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BA1" w:rsidRDefault="00807BA1" w:rsidP="00A0688A">
      <w:pPr>
        <w:spacing w:after="120" w:line="240" w:lineRule="auto"/>
        <w:jc w:val="center"/>
        <w:rPr>
          <w:rFonts w:ascii="Times New Roman" w:hAnsi="Times New Roman" w:cs="Times New Roman"/>
          <w:b/>
          <w:sz w:val="24"/>
          <w:szCs w:val="24"/>
        </w:rPr>
      </w:pPr>
      <w:bookmarkStart w:id="0" w:name="_Toc246702625"/>
      <w:r w:rsidRPr="00807BA1">
        <w:rPr>
          <w:rFonts w:ascii="Times New Roman" w:hAnsi="Times New Roman" w:cs="Times New Roman"/>
          <w:b/>
          <w:sz w:val="24"/>
          <w:szCs w:val="24"/>
        </w:rPr>
        <w:t xml:space="preserve">TÜRK </w:t>
      </w:r>
      <w:r w:rsidR="00EF356F">
        <w:rPr>
          <w:rFonts w:ascii="Times New Roman" w:hAnsi="Times New Roman" w:cs="Times New Roman"/>
          <w:b/>
          <w:sz w:val="24"/>
          <w:szCs w:val="24"/>
        </w:rPr>
        <w:t>MEVDUAT BANKACILIĞI İÇİN</w:t>
      </w:r>
      <w:r w:rsidRPr="00807BA1">
        <w:rPr>
          <w:rFonts w:ascii="Times New Roman" w:hAnsi="Times New Roman" w:cs="Times New Roman"/>
          <w:b/>
          <w:sz w:val="24"/>
          <w:szCs w:val="24"/>
        </w:rPr>
        <w:t xml:space="preserve"> ETKİNLİK</w:t>
      </w:r>
      <w:r w:rsidR="004340EA">
        <w:rPr>
          <w:rFonts w:ascii="Times New Roman" w:hAnsi="Times New Roman" w:cs="Times New Roman"/>
          <w:b/>
          <w:sz w:val="24"/>
          <w:szCs w:val="24"/>
        </w:rPr>
        <w:t xml:space="preserve"> </w:t>
      </w:r>
      <w:bookmarkEnd w:id="0"/>
      <w:r w:rsidR="00767ADC">
        <w:rPr>
          <w:rFonts w:ascii="Times New Roman" w:hAnsi="Times New Roman" w:cs="Times New Roman"/>
          <w:b/>
          <w:sz w:val="24"/>
          <w:szCs w:val="24"/>
        </w:rPr>
        <w:t>ANALİZİ</w:t>
      </w:r>
      <w:r w:rsidR="00EF356F">
        <w:rPr>
          <w:rFonts w:ascii="Times New Roman" w:hAnsi="Times New Roman" w:cs="Times New Roman"/>
          <w:b/>
          <w:sz w:val="24"/>
          <w:szCs w:val="24"/>
        </w:rPr>
        <w:t>: KÜRESEL FİNANS KRİZİNİN ETKİLERİ</w:t>
      </w:r>
    </w:p>
    <w:p w:rsidR="00393036" w:rsidRDefault="00393036" w:rsidP="00A0688A">
      <w:pPr>
        <w:spacing w:after="120" w:line="240" w:lineRule="auto"/>
        <w:jc w:val="right"/>
        <w:rPr>
          <w:rFonts w:ascii="Times New Roman" w:hAnsi="Times New Roman" w:cs="Times New Roman"/>
          <w:b/>
          <w:sz w:val="24"/>
          <w:szCs w:val="24"/>
        </w:rPr>
      </w:pPr>
    </w:p>
    <w:p w:rsidR="0022244A" w:rsidRPr="004340EA" w:rsidRDefault="00393036" w:rsidP="00A0688A">
      <w:pPr>
        <w:spacing w:after="120" w:line="240" w:lineRule="auto"/>
        <w:jc w:val="right"/>
        <w:rPr>
          <w:rFonts w:ascii="Times New Roman" w:hAnsi="Times New Roman" w:cs="Times New Roman"/>
          <w:b/>
          <w:sz w:val="24"/>
          <w:szCs w:val="24"/>
        </w:rPr>
      </w:pPr>
      <w:r w:rsidRPr="004340EA">
        <w:rPr>
          <w:rFonts w:ascii="Times New Roman" w:hAnsi="Times New Roman" w:cs="Times New Roman"/>
          <w:b/>
          <w:sz w:val="24"/>
          <w:szCs w:val="24"/>
        </w:rPr>
        <w:t>Serdal ERGÜN</w:t>
      </w:r>
      <w:r w:rsidRPr="004340EA">
        <w:rPr>
          <w:rStyle w:val="DipnotBavurusu"/>
          <w:rFonts w:ascii="Times New Roman" w:hAnsi="Times New Roman" w:cs="Times New Roman"/>
          <w:b/>
          <w:sz w:val="24"/>
          <w:szCs w:val="24"/>
        </w:rPr>
        <w:t xml:space="preserve"> </w:t>
      </w:r>
      <w:r w:rsidR="004340EA" w:rsidRPr="004340EA">
        <w:rPr>
          <w:rStyle w:val="DipnotBavurusu"/>
          <w:rFonts w:ascii="Times New Roman" w:hAnsi="Times New Roman" w:cs="Times New Roman"/>
          <w:b/>
          <w:sz w:val="24"/>
          <w:szCs w:val="24"/>
        </w:rPr>
        <w:footnoteReference w:id="1"/>
      </w:r>
    </w:p>
    <w:p w:rsidR="004340EA" w:rsidRDefault="00393036" w:rsidP="00A0688A">
      <w:pPr>
        <w:spacing w:after="120" w:line="240" w:lineRule="auto"/>
        <w:jc w:val="right"/>
        <w:rPr>
          <w:rFonts w:ascii="Times New Roman" w:hAnsi="Times New Roman" w:cs="Times New Roman"/>
          <w:b/>
          <w:sz w:val="24"/>
          <w:szCs w:val="24"/>
        </w:rPr>
      </w:pPr>
      <w:r w:rsidRPr="004340EA">
        <w:rPr>
          <w:rFonts w:ascii="Times New Roman" w:hAnsi="Times New Roman" w:cs="Times New Roman"/>
          <w:b/>
          <w:sz w:val="24"/>
          <w:szCs w:val="24"/>
        </w:rPr>
        <w:t>Nezir KÖSE</w:t>
      </w:r>
      <w:r>
        <w:rPr>
          <w:rFonts w:ascii="Times New Roman" w:hAnsi="Times New Roman" w:cs="Times New Roman"/>
          <w:b/>
          <w:sz w:val="24"/>
          <w:szCs w:val="24"/>
        </w:rPr>
        <w:t xml:space="preserve"> </w:t>
      </w:r>
      <w:r w:rsidR="004340EA" w:rsidRPr="004340EA">
        <w:rPr>
          <w:rStyle w:val="DipnotBavurusu"/>
          <w:rFonts w:ascii="Times New Roman" w:hAnsi="Times New Roman" w:cs="Times New Roman"/>
          <w:b/>
          <w:sz w:val="24"/>
          <w:szCs w:val="24"/>
        </w:rPr>
        <w:footnoteReference w:id="2"/>
      </w:r>
    </w:p>
    <w:p w:rsidR="005C5DB2" w:rsidRPr="00092D42" w:rsidRDefault="005C5DB2" w:rsidP="00A0688A">
      <w:pPr>
        <w:spacing w:after="120" w:line="240" w:lineRule="auto"/>
        <w:jc w:val="both"/>
        <w:rPr>
          <w:rFonts w:ascii="Times New Roman" w:hAnsi="Times New Roman" w:cs="Times New Roman"/>
          <w:b/>
          <w:i/>
          <w:sz w:val="24"/>
          <w:szCs w:val="24"/>
        </w:rPr>
      </w:pPr>
      <w:r w:rsidRPr="00092D42">
        <w:rPr>
          <w:rFonts w:ascii="Times New Roman" w:hAnsi="Times New Roman" w:cs="Times New Roman"/>
          <w:b/>
          <w:i/>
          <w:sz w:val="24"/>
          <w:szCs w:val="24"/>
        </w:rPr>
        <w:t>ÖZET</w:t>
      </w:r>
    </w:p>
    <w:p w:rsidR="006C52FE" w:rsidRPr="00092D42" w:rsidRDefault="0022244A" w:rsidP="00A0688A">
      <w:pPr>
        <w:spacing w:after="120" w:line="240" w:lineRule="auto"/>
        <w:jc w:val="both"/>
        <w:rPr>
          <w:rFonts w:ascii="Times New Roman" w:hAnsi="Times New Roman" w:cs="Times New Roman"/>
          <w:i/>
          <w:sz w:val="24"/>
          <w:szCs w:val="24"/>
        </w:rPr>
      </w:pPr>
      <w:r w:rsidRPr="00092D42">
        <w:rPr>
          <w:rFonts w:ascii="Times New Roman" w:hAnsi="Times New Roman" w:cs="Times New Roman"/>
          <w:i/>
          <w:sz w:val="24"/>
          <w:szCs w:val="24"/>
        </w:rPr>
        <w:t xml:space="preserve">Bu çalışmada, </w:t>
      </w:r>
      <w:r w:rsidR="006A5BDF" w:rsidRPr="00092D42">
        <w:rPr>
          <w:rFonts w:ascii="Times New Roman" w:hAnsi="Times New Roman" w:cs="Times New Roman"/>
          <w:i/>
          <w:sz w:val="24"/>
          <w:szCs w:val="24"/>
        </w:rPr>
        <w:t xml:space="preserve">2002–2013 arasında yer alan yıllık verilerle </w:t>
      </w:r>
      <w:r w:rsidRPr="00092D42">
        <w:rPr>
          <w:rFonts w:ascii="Times New Roman" w:hAnsi="Times New Roman" w:cs="Times New Roman"/>
          <w:i/>
          <w:sz w:val="24"/>
          <w:szCs w:val="24"/>
        </w:rPr>
        <w:t>Türk</w:t>
      </w:r>
      <w:r w:rsidR="006A5BDF" w:rsidRPr="00092D42">
        <w:rPr>
          <w:rFonts w:ascii="Times New Roman" w:hAnsi="Times New Roman" w:cs="Times New Roman"/>
          <w:i/>
          <w:sz w:val="24"/>
          <w:szCs w:val="24"/>
        </w:rPr>
        <w:t xml:space="preserve"> Mevduat Bankacılığı için</w:t>
      </w:r>
      <w:r w:rsidRPr="00092D42">
        <w:rPr>
          <w:rFonts w:ascii="Times New Roman" w:hAnsi="Times New Roman" w:cs="Times New Roman"/>
          <w:i/>
          <w:sz w:val="24"/>
          <w:szCs w:val="24"/>
        </w:rPr>
        <w:t xml:space="preserve"> teknik ve ölçek etkinlikleri Veri Zarflama </w:t>
      </w:r>
      <w:r w:rsidR="00664A20" w:rsidRPr="00092D42">
        <w:rPr>
          <w:rFonts w:ascii="Times New Roman" w:hAnsi="Times New Roman" w:cs="Times New Roman"/>
          <w:i/>
          <w:sz w:val="24"/>
          <w:szCs w:val="24"/>
        </w:rPr>
        <w:t>Analizi</w:t>
      </w:r>
      <w:r w:rsidR="006A5BDF" w:rsidRPr="00092D42">
        <w:rPr>
          <w:rFonts w:ascii="Times New Roman" w:hAnsi="Times New Roman" w:cs="Times New Roman"/>
          <w:i/>
          <w:sz w:val="24"/>
          <w:szCs w:val="24"/>
        </w:rPr>
        <w:t xml:space="preserve"> (VZA)</w:t>
      </w:r>
      <w:r w:rsidR="00664A20" w:rsidRPr="00092D42">
        <w:rPr>
          <w:rFonts w:ascii="Times New Roman" w:hAnsi="Times New Roman" w:cs="Times New Roman"/>
          <w:i/>
          <w:sz w:val="24"/>
          <w:szCs w:val="24"/>
        </w:rPr>
        <w:t xml:space="preserve"> ile</w:t>
      </w:r>
      <w:r w:rsidRPr="00092D42">
        <w:rPr>
          <w:rFonts w:ascii="Times New Roman" w:hAnsi="Times New Roman" w:cs="Times New Roman"/>
          <w:i/>
          <w:sz w:val="24"/>
          <w:szCs w:val="24"/>
        </w:rPr>
        <w:t xml:space="preserve"> incelenmiştir. Ayrıca Malmqu</w:t>
      </w:r>
      <w:r w:rsidR="00664A20" w:rsidRPr="00092D42">
        <w:rPr>
          <w:rFonts w:ascii="Times New Roman" w:hAnsi="Times New Roman" w:cs="Times New Roman"/>
          <w:i/>
          <w:sz w:val="24"/>
          <w:szCs w:val="24"/>
        </w:rPr>
        <w:t>ist</w:t>
      </w:r>
      <w:r w:rsidR="006A5BDF" w:rsidRPr="00092D42">
        <w:rPr>
          <w:rFonts w:ascii="Times New Roman" w:hAnsi="Times New Roman" w:cs="Times New Roman"/>
          <w:i/>
          <w:sz w:val="24"/>
          <w:szCs w:val="24"/>
        </w:rPr>
        <w:t xml:space="preserve"> VZA yöntemi kullanılarak</w:t>
      </w:r>
      <w:r w:rsidR="00664A20" w:rsidRPr="00092D42">
        <w:rPr>
          <w:rFonts w:ascii="Times New Roman" w:hAnsi="Times New Roman" w:cs="Times New Roman"/>
          <w:i/>
          <w:sz w:val="24"/>
          <w:szCs w:val="24"/>
        </w:rPr>
        <w:t xml:space="preserve"> </w:t>
      </w:r>
      <w:r w:rsidR="006A5BDF" w:rsidRPr="00092D42">
        <w:rPr>
          <w:rFonts w:ascii="Times New Roman" w:hAnsi="Times New Roman" w:cs="Times New Roman"/>
          <w:i/>
          <w:sz w:val="24"/>
          <w:szCs w:val="24"/>
        </w:rPr>
        <w:t>toplam faktör verimliliği, teknolojik, teknik etkinlik ve ölçek etkinliğindeki değişimler hesaplanmıştır.</w:t>
      </w:r>
      <w:r w:rsidRPr="00092D42">
        <w:rPr>
          <w:rFonts w:ascii="Times New Roman" w:hAnsi="Times New Roman" w:cs="Times New Roman"/>
          <w:i/>
          <w:sz w:val="24"/>
          <w:szCs w:val="24"/>
        </w:rPr>
        <w:t xml:space="preserve"> Çalışmada toplam mevduat ile mevduat dışı </w:t>
      </w:r>
      <w:r w:rsidR="00730975" w:rsidRPr="00092D42">
        <w:rPr>
          <w:rFonts w:ascii="Times New Roman" w:hAnsi="Times New Roman" w:cs="Times New Roman"/>
          <w:i/>
          <w:sz w:val="24"/>
          <w:szCs w:val="24"/>
        </w:rPr>
        <w:t>kaynaklar girdileri,</w:t>
      </w:r>
      <w:r w:rsidRPr="00092D42">
        <w:rPr>
          <w:rFonts w:ascii="Times New Roman" w:hAnsi="Times New Roman" w:cs="Times New Roman"/>
          <w:i/>
          <w:sz w:val="24"/>
          <w:szCs w:val="24"/>
        </w:rPr>
        <w:t xml:space="preserve"> toplam krediler ile menkul değerler </w:t>
      </w:r>
      <w:r w:rsidR="00730975" w:rsidRPr="00092D42">
        <w:rPr>
          <w:rFonts w:ascii="Times New Roman" w:hAnsi="Times New Roman" w:cs="Times New Roman"/>
          <w:i/>
          <w:sz w:val="24"/>
          <w:szCs w:val="24"/>
        </w:rPr>
        <w:t>ise</w:t>
      </w:r>
      <w:r w:rsidRPr="00092D42">
        <w:rPr>
          <w:rFonts w:ascii="Times New Roman" w:hAnsi="Times New Roman" w:cs="Times New Roman"/>
          <w:i/>
          <w:sz w:val="24"/>
          <w:szCs w:val="24"/>
        </w:rPr>
        <w:t xml:space="preserve"> çıktı</w:t>
      </w:r>
      <w:r w:rsidR="00730975" w:rsidRPr="00092D42">
        <w:rPr>
          <w:rFonts w:ascii="Times New Roman" w:hAnsi="Times New Roman" w:cs="Times New Roman"/>
          <w:i/>
          <w:sz w:val="24"/>
          <w:szCs w:val="24"/>
        </w:rPr>
        <w:t>ları</w:t>
      </w:r>
      <w:r w:rsidRPr="00092D42">
        <w:rPr>
          <w:rFonts w:ascii="Times New Roman" w:hAnsi="Times New Roman" w:cs="Times New Roman"/>
          <w:i/>
          <w:sz w:val="24"/>
          <w:szCs w:val="24"/>
        </w:rPr>
        <w:t xml:space="preserve"> </w:t>
      </w:r>
      <w:r w:rsidR="00730975" w:rsidRPr="00092D42">
        <w:rPr>
          <w:rFonts w:ascii="Times New Roman" w:hAnsi="Times New Roman" w:cs="Times New Roman"/>
          <w:i/>
          <w:sz w:val="24"/>
          <w:szCs w:val="24"/>
        </w:rPr>
        <w:t>oluşturmaktadır</w:t>
      </w:r>
      <w:r w:rsidRPr="00092D42">
        <w:rPr>
          <w:rFonts w:ascii="Times New Roman" w:hAnsi="Times New Roman" w:cs="Times New Roman"/>
          <w:i/>
          <w:sz w:val="24"/>
          <w:szCs w:val="24"/>
        </w:rPr>
        <w:t>.</w:t>
      </w:r>
      <w:r w:rsidR="006C52FE" w:rsidRPr="00092D42">
        <w:rPr>
          <w:rFonts w:ascii="Times New Roman" w:hAnsi="Times New Roman" w:cs="Times New Roman"/>
          <w:i/>
          <w:sz w:val="24"/>
          <w:szCs w:val="24"/>
        </w:rPr>
        <w:t xml:space="preserve"> Elde edilen bulgular 2002–2013 yılları arasında </w:t>
      </w:r>
      <w:r w:rsidR="00086B94">
        <w:rPr>
          <w:rFonts w:ascii="Times New Roman" w:hAnsi="Times New Roman" w:cs="Times New Roman"/>
          <w:i/>
          <w:sz w:val="24"/>
          <w:szCs w:val="24"/>
        </w:rPr>
        <w:t>Türk bankacılık sektörü</w:t>
      </w:r>
      <w:r w:rsidR="006C52FE" w:rsidRPr="00092D42">
        <w:rPr>
          <w:rFonts w:ascii="Times New Roman" w:hAnsi="Times New Roman" w:cs="Times New Roman"/>
          <w:i/>
          <w:sz w:val="24"/>
          <w:szCs w:val="24"/>
        </w:rPr>
        <w:t xml:space="preserve">nün </w:t>
      </w:r>
      <w:r w:rsidR="006A5BDF" w:rsidRPr="00092D42">
        <w:rPr>
          <w:rFonts w:ascii="Times New Roman" w:hAnsi="Times New Roman" w:cs="Times New Roman"/>
          <w:i/>
          <w:sz w:val="24"/>
          <w:szCs w:val="24"/>
        </w:rPr>
        <w:t>yüksek bir teknik etkinliğe sahip olduğunu</w:t>
      </w:r>
      <w:r w:rsidR="006C52FE" w:rsidRPr="00092D42">
        <w:rPr>
          <w:rFonts w:ascii="Times New Roman" w:hAnsi="Times New Roman" w:cs="Times New Roman"/>
          <w:i/>
          <w:sz w:val="24"/>
          <w:szCs w:val="24"/>
        </w:rPr>
        <w:t xml:space="preserve"> göstermiştir. Ayrıca küresel ekonomik kriz </w:t>
      </w:r>
      <w:r w:rsidR="00E75BF6" w:rsidRPr="00092D42">
        <w:rPr>
          <w:rFonts w:ascii="Times New Roman" w:hAnsi="Times New Roman" w:cs="Times New Roman"/>
          <w:i/>
          <w:sz w:val="24"/>
          <w:szCs w:val="24"/>
        </w:rPr>
        <w:t>dönemine karşılık gelen 2003 yılında</w:t>
      </w:r>
      <w:r w:rsidR="006C52FE" w:rsidRPr="00092D42">
        <w:rPr>
          <w:rFonts w:ascii="Times New Roman" w:hAnsi="Times New Roman" w:cs="Times New Roman"/>
          <w:i/>
          <w:sz w:val="24"/>
          <w:szCs w:val="24"/>
        </w:rPr>
        <w:t xml:space="preserve"> Türk </w:t>
      </w:r>
      <w:r w:rsidR="007B220E" w:rsidRPr="00092D42">
        <w:rPr>
          <w:rFonts w:ascii="Times New Roman" w:hAnsi="Times New Roman" w:cs="Times New Roman"/>
          <w:i/>
          <w:sz w:val="24"/>
          <w:szCs w:val="24"/>
        </w:rPr>
        <w:t>Mevduat Bankacılığı için</w:t>
      </w:r>
      <w:r w:rsidR="006C52FE" w:rsidRPr="00092D42">
        <w:rPr>
          <w:rFonts w:ascii="Times New Roman" w:hAnsi="Times New Roman" w:cs="Times New Roman"/>
          <w:i/>
          <w:sz w:val="24"/>
          <w:szCs w:val="24"/>
        </w:rPr>
        <w:t xml:space="preserve"> ölçek etkinliğinde </w:t>
      </w:r>
      <w:r w:rsidR="00E75BF6" w:rsidRPr="00092D42">
        <w:rPr>
          <w:rFonts w:ascii="Times New Roman" w:hAnsi="Times New Roman" w:cs="Times New Roman"/>
          <w:i/>
          <w:sz w:val="24"/>
          <w:szCs w:val="24"/>
        </w:rPr>
        <w:t xml:space="preserve">anlamlı bir </w:t>
      </w:r>
      <w:r w:rsidR="006C52FE" w:rsidRPr="00092D42">
        <w:rPr>
          <w:rFonts w:ascii="Times New Roman" w:hAnsi="Times New Roman" w:cs="Times New Roman"/>
          <w:i/>
          <w:sz w:val="24"/>
          <w:szCs w:val="24"/>
        </w:rPr>
        <w:t xml:space="preserve">artış </w:t>
      </w:r>
      <w:r w:rsidR="00C108A8" w:rsidRPr="00092D42">
        <w:rPr>
          <w:rFonts w:ascii="Times New Roman" w:hAnsi="Times New Roman" w:cs="Times New Roman"/>
          <w:i/>
          <w:sz w:val="24"/>
          <w:szCs w:val="24"/>
        </w:rPr>
        <w:t>olmasına karşın</w:t>
      </w:r>
      <w:r w:rsidR="006C52FE" w:rsidRPr="00092D42">
        <w:rPr>
          <w:rFonts w:ascii="Times New Roman" w:hAnsi="Times New Roman" w:cs="Times New Roman"/>
          <w:i/>
          <w:sz w:val="24"/>
          <w:szCs w:val="24"/>
        </w:rPr>
        <w:t xml:space="preserve"> teknolojik</w:t>
      </w:r>
      <w:r w:rsidR="00C108A8" w:rsidRPr="00092D42">
        <w:rPr>
          <w:rFonts w:ascii="Times New Roman" w:hAnsi="Times New Roman" w:cs="Times New Roman"/>
          <w:i/>
          <w:sz w:val="24"/>
          <w:szCs w:val="24"/>
        </w:rPr>
        <w:t xml:space="preserve"> ve</w:t>
      </w:r>
      <w:r w:rsidR="006C52FE" w:rsidRPr="00092D42">
        <w:rPr>
          <w:rFonts w:ascii="Times New Roman" w:hAnsi="Times New Roman" w:cs="Times New Roman"/>
          <w:i/>
          <w:sz w:val="24"/>
          <w:szCs w:val="24"/>
        </w:rPr>
        <w:t xml:space="preserve"> </w:t>
      </w:r>
      <w:r w:rsidR="00C108A8" w:rsidRPr="00092D42">
        <w:rPr>
          <w:rFonts w:ascii="Times New Roman" w:hAnsi="Times New Roman" w:cs="Times New Roman"/>
          <w:i/>
          <w:sz w:val="24"/>
          <w:szCs w:val="24"/>
        </w:rPr>
        <w:t xml:space="preserve">toplam faktör verimliliği </w:t>
      </w:r>
      <w:r w:rsidR="006C52FE" w:rsidRPr="00092D42">
        <w:rPr>
          <w:rFonts w:ascii="Times New Roman" w:hAnsi="Times New Roman" w:cs="Times New Roman"/>
          <w:i/>
          <w:sz w:val="24"/>
          <w:szCs w:val="24"/>
        </w:rPr>
        <w:t xml:space="preserve">değişimde azalma </w:t>
      </w:r>
      <w:r w:rsidR="00C108A8" w:rsidRPr="00092D42">
        <w:rPr>
          <w:rFonts w:ascii="Times New Roman" w:hAnsi="Times New Roman" w:cs="Times New Roman"/>
          <w:i/>
          <w:sz w:val="24"/>
          <w:szCs w:val="24"/>
        </w:rPr>
        <w:t>olduğu belirlenmiştir</w:t>
      </w:r>
      <w:r w:rsidR="006C52FE" w:rsidRPr="00092D42">
        <w:rPr>
          <w:rFonts w:ascii="Times New Roman" w:hAnsi="Times New Roman" w:cs="Times New Roman"/>
          <w:i/>
          <w:sz w:val="24"/>
          <w:szCs w:val="24"/>
        </w:rPr>
        <w:t xml:space="preserve">. </w:t>
      </w:r>
    </w:p>
    <w:p w:rsidR="005C5DB2" w:rsidRPr="00092D42" w:rsidRDefault="005C5DB2" w:rsidP="00A0688A">
      <w:pPr>
        <w:spacing w:after="120" w:line="240" w:lineRule="auto"/>
        <w:jc w:val="both"/>
        <w:rPr>
          <w:rFonts w:ascii="Times New Roman" w:hAnsi="Times New Roman" w:cs="Times New Roman"/>
          <w:i/>
          <w:sz w:val="24"/>
          <w:szCs w:val="24"/>
        </w:rPr>
      </w:pPr>
      <w:r w:rsidRPr="00092D42">
        <w:rPr>
          <w:rFonts w:ascii="Times New Roman" w:hAnsi="Times New Roman" w:cs="Times New Roman"/>
          <w:b/>
          <w:i/>
          <w:sz w:val="24"/>
          <w:szCs w:val="24"/>
        </w:rPr>
        <w:t>Anahtar Kelimeler:</w:t>
      </w:r>
      <w:r w:rsidRPr="00092D42">
        <w:rPr>
          <w:rFonts w:ascii="Times New Roman" w:hAnsi="Times New Roman" w:cs="Times New Roman"/>
          <w:i/>
          <w:sz w:val="24"/>
          <w:szCs w:val="24"/>
        </w:rPr>
        <w:t xml:space="preserve"> Veri Zarflama Analizi, Malmquist Toplam Faktör Verimliliği, </w:t>
      </w:r>
      <w:r w:rsidR="00893802">
        <w:rPr>
          <w:rFonts w:ascii="Times New Roman" w:hAnsi="Times New Roman" w:cs="Times New Roman"/>
          <w:i/>
          <w:sz w:val="24"/>
          <w:szCs w:val="24"/>
        </w:rPr>
        <w:t>Türk Bankacılık S</w:t>
      </w:r>
      <w:r w:rsidR="00086B94">
        <w:rPr>
          <w:rFonts w:ascii="Times New Roman" w:hAnsi="Times New Roman" w:cs="Times New Roman"/>
          <w:i/>
          <w:sz w:val="24"/>
          <w:szCs w:val="24"/>
        </w:rPr>
        <w:t>ektörü</w:t>
      </w:r>
      <w:r w:rsidRPr="00092D42">
        <w:rPr>
          <w:rFonts w:ascii="Times New Roman" w:hAnsi="Times New Roman" w:cs="Times New Roman"/>
          <w:i/>
          <w:sz w:val="24"/>
          <w:szCs w:val="24"/>
        </w:rPr>
        <w:t>.</w:t>
      </w:r>
    </w:p>
    <w:p w:rsidR="00092D42" w:rsidRDefault="00092D42" w:rsidP="00A0688A">
      <w:pPr>
        <w:spacing w:after="120" w:line="240" w:lineRule="auto"/>
        <w:jc w:val="center"/>
        <w:rPr>
          <w:rFonts w:ascii="Times New Roman" w:hAnsi="Times New Roman" w:cs="Times New Roman"/>
          <w:b/>
          <w:sz w:val="24"/>
          <w:szCs w:val="24"/>
          <w:lang w:val="en-US"/>
        </w:rPr>
      </w:pPr>
    </w:p>
    <w:p w:rsidR="00767ADC" w:rsidRPr="00767ADC" w:rsidRDefault="00767ADC" w:rsidP="00A0688A">
      <w:pPr>
        <w:spacing w:after="120" w:line="240" w:lineRule="auto"/>
        <w:jc w:val="center"/>
        <w:rPr>
          <w:rFonts w:ascii="Times New Roman" w:hAnsi="Times New Roman" w:cs="Times New Roman"/>
          <w:b/>
          <w:sz w:val="24"/>
          <w:szCs w:val="24"/>
          <w:lang w:val="en-US"/>
        </w:rPr>
      </w:pPr>
      <w:r w:rsidRPr="00767ADC">
        <w:rPr>
          <w:rFonts w:ascii="Times New Roman" w:hAnsi="Times New Roman" w:cs="Times New Roman"/>
          <w:b/>
          <w:sz w:val="24"/>
          <w:szCs w:val="24"/>
          <w:lang w:val="en-US"/>
        </w:rPr>
        <w:t xml:space="preserve">EFFICIENCY ANALYSIS </w:t>
      </w:r>
      <w:r w:rsidR="00262DB3">
        <w:rPr>
          <w:rFonts w:ascii="Times New Roman" w:hAnsi="Times New Roman" w:cs="Times New Roman"/>
          <w:b/>
          <w:sz w:val="24"/>
          <w:szCs w:val="24"/>
          <w:lang w:val="en-US"/>
        </w:rPr>
        <w:t>FOR</w:t>
      </w:r>
      <w:r w:rsidRPr="00767ADC">
        <w:rPr>
          <w:rFonts w:ascii="Times New Roman" w:hAnsi="Times New Roman" w:cs="Times New Roman"/>
          <w:b/>
          <w:sz w:val="24"/>
          <w:szCs w:val="24"/>
          <w:lang w:val="en-US"/>
        </w:rPr>
        <w:t xml:space="preserve"> TURKISH </w:t>
      </w:r>
      <w:r w:rsidR="00EF356F">
        <w:rPr>
          <w:rFonts w:ascii="Times New Roman" w:hAnsi="Times New Roman" w:cs="Times New Roman"/>
          <w:b/>
          <w:sz w:val="24"/>
          <w:szCs w:val="24"/>
          <w:lang w:val="en-US"/>
        </w:rPr>
        <w:t xml:space="preserve">DEPOSIT </w:t>
      </w:r>
      <w:r w:rsidRPr="00767ADC">
        <w:rPr>
          <w:rFonts w:ascii="Times New Roman" w:hAnsi="Times New Roman" w:cs="Times New Roman"/>
          <w:b/>
          <w:sz w:val="24"/>
          <w:szCs w:val="24"/>
          <w:lang w:val="en-US"/>
        </w:rPr>
        <w:t>BANKING</w:t>
      </w:r>
      <w:r w:rsidR="00EF356F">
        <w:rPr>
          <w:rFonts w:ascii="Times New Roman" w:hAnsi="Times New Roman" w:cs="Times New Roman"/>
          <w:b/>
          <w:sz w:val="24"/>
          <w:szCs w:val="24"/>
          <w:lang w:val="en-US"/>
        </w:rPr>
        <w:t>: THE EFFECTS OF</w:t>
      </w:r>
      <w:r w:rsidRPr="00767ADC">
        <w:rPr>
          <w:rFonts w:ascii="Times New Roman" w:hAnsi="Times New Roman" w:cs="Times New Roman"/>
          <w:b/>
          <w:sz w:val="24"/>
          <w:szCs w:val="24"/>
          <w:lang w:val="en-US"/>
        </w:rPr>
        <w:t xml:space="preserve"> GLOBAL FINANCIAL CRISIS </w:t>
      </w:r>
    </w:p>
    <w:p w:rsidR="000149B9" w:rsidRPr="00092D42" w:rsidRDefault="000149B9" w:rsidP="00A0688A">
      <w:pPr>
        <w:spacing w:after="120" w:line="240" w:lineRule="auto"/>
        <w:jc w:val="both"/>
        <w:rPr>
          <w:rFonts w:ascii="Times New Roman" w:hAnsi="Times New Roman" w:cs="Times New Roman"/>
          <w:b/>
          <w:i/>
          <w:sz w:val="24"/>
          <w:szCs w:val="24"/>
        </w:rPr>
      </w:pPr>
      <w:r w:rsidRPr="00092D42">
        <w:rPr>
          <w:rFonts w:ascii="Times New Roman" w:hAnsi="Times New Roman" w:cs="Times New Roman"/>
          <w:b/>
          <w:i/>
          <w:sz w:val="24"/>
          <w:szCs w:val="24"/>
        </w:rPr>
        <w:t>ABSTRACT</w:t>
      </w:r>
    </w:p>
    <w:p w:rsidR="005B1E2C" w:rsidRPr="00092D42" w:rsidRDefault="005B1E2C" w:rsidP="00A0688A">
      <w:pPr>
        <w:spacing w:after="120" w:line="240" w:lineRule="auto"/>
        <w:jc w:val="both"/>
        <w:rPr>
          <w:rFonts w:ascii="Times New Roman" w:hAnsi="Times New Roman" w:cs="Times New Roman"/>
          <w:i/>
          <w:sz w:val="24"/>
          <w:szCs w:val="24"/>
          <w:lang w:val="en-US"/>
        </w:rPr>
      </w:pPr>
      <w:r w:rsidRPr="00092D42">
        <w:rPr>
          <w:rFonts w:ascii="Times New Roman" w:hAnsi="Times New Roman" w:cs="Times New Roman"/>
          <w:i/>
          <w:sz w:val="24"/>
          <w:szCs w:val="24"/>
          <w:lang w:val="en-US"/>
        </w:rPr>
        <w:t>In this study, the technical and scale efficiencies for</w:t>
      </w:r>
      <w:r w:rsidR="006A5BDF" w:rsidRPr="00092D42">
        <w:rPr>
          <w:rFonts w:ascii="Times New Roman" w:hAnsi="Times New Roman" w:cs="Times New Roman"/>
          <w:i/>
          <w:sz w:val="24"/>
          <w:szCs w:val="24"/>
          <w:lang w:val="en-US"/>
        </w:rPr>
        <w:t xml:space="preserve"> </w:t>
      </w:r>
      <w:r w:rsidRPr="00092D42">
        <w:rPr>
          <w:rFonts w:ascii="Times New Roman" w:hAnsi="Times New Roman" w:cs="Times New Roman"/>
          <w:i/>
          <w:sz w:val="24"/>
          <w:szCs w:val="24"/>
          <w:lang w:val="en-US"/>
        </w:rPr>
        <w:t xml:space="preserve">deposit banking in Turkey are examined for yearly periods between 2002 and 2013 by using data envelopment analysis (DEA). Moreover Malmquist DEA method is used to calculate indices </w:t>
      </w:r>
      <w:r w:rsidR="00AE1525" w:rsidRPr="00092D42">
        <w:rPr>
          <w:rFonts w:ascii="Times New Roman" w:hAnsi="Times New Roman" w:cs="Times New Roman"/>
          <w:i/>
          <w:sz w:val="24"/>
          <w:szCs w:val="24"/>
          <w:lang w:val="en-US"/>
        </w:rPr>
        <w:t>for</w:t>
      </w:r>
      <w:r w:rsidRPr="00092D42">
        <w:rPr>
          <w:rFonts w:ascii="Times New Roman" w:hAnsi="Times New Roman" w:cs="Times New Roman"/>
          <w:i/>
          <w:sz w:val="24"/>
          <w:szCs w:val="24"/>
          <w:lang w:val="en-US"/>
        </w:rPr>
        <w:t xml:space="preserve"> total factor productivity change, technological change, technical efficiency change, and scale efficiency change. The resources of deposit and n</w:t>
      </w:r>
      <w:r w:rsidR="00AE1525" w:rsidRPr="00092D42">
        <w:rPr>
          <w:rFonts w:ascii="Times New Roman" w:hAnsi="Times New Roman" w:cs="Times New Roman"/>
          <w:i/>
          <w:sz w:val="24"/>
          <w:szCs w:val="24"/>
          <w:lang w:val="en-US"/>
        </w:rPr>
        <w:t>on</w:t>
      </w:r>
      <w:r w:rsidRPr="00092D42">
        <w:rPr>
          <w:rFonts w:ascii="Times New Roman" w:hAnsi="Times New Roman" w:cs="Times New Roman"/>
          <w:i/>
          <w:sz w:val="24"/>
          <w:szCs w:val="24"/>
          <w:lang w:val="en-US"/>
        </w:rPr>
        <w:t xml:space="preserve">-deposit have been used as </w:t>
      </w:r>
      <w:r w:rsidR="00E75BF6" w:rsidRPr="00092D42">
        <w:rPr>
          <w:rFonts w:ascii="Times New Roman" w:hAnsi="Times New Roman" w:cs="Times New Roman"/>
          <w:i/>
          <w:sz w:val="24"/>
          <w:szCs w:val="24"/>
          <w:lang w:val="en-US"/>
        </w:rPr>
        <w:t xml:space="preserve">two </w:t>
      </w:r>
      <w:r w:rsidRPr="00092D42">
        <w:rPr>
          <w:rFonts w:ascii="Times New Roman" w:hAnsi="Times New Roman" w:cs="Times New Roman"/>
          <w:i/>
          <w:sz w:val="24"/>
          <w:szCs w:val="24"/>
          <w:lang w:val="en-US"/>
        </w:rPr>
        <w:t xml:space="preserve">input variables; two output variables are selected as total loans and security reserve funds. The empirical evidences show that Turkish deposit banking sector </w:t>
      </w:r>
      <w:r w:rsidR="00AE1525" w:rsidRPr="00092D42">
        <w:rPr>
          <w:rFonts w:ascii="Times New Roman" w:hAnsi="Times New Roman" w:cs="Times New Roman"/>
          <w:i/>
          <w:sz w:val="24"/>
          <w:szCs w:val="24"/>
          <w:lang w:val="en-US"/>
        </w:rPr>
        <w:t>had</w:t>
      </w:r>
      <w:r w:rsidRPr="00092D42">
        <w:rPr>
          <w:rFonts w:ascii="Times New Roman" w:hAnsi="Times New Roman" w:cs="Times New Roman"/>
          <w:i/>
          <w:sz w:val="24"/>
          <w:szCs w:val="24"/>
          <w:lang w:val="en-US"/>
        </w:rPr>
        <w:t xml:space="preserve"> high technical efficiency for the sampling period. On the other hand, it has been observed that the scale efficiency has increased, but technological change and total factor productivity have decreased in 2008 (global financial crises period) for the Turkish deposit banking sector.</w:t>
      </w:r>
    </w:p>
    <w:p w:rsidR="00807BA1" w:rsidRPr="00092D42" w:rsidRDefault="00092D42" w:rsidP="00A0688A">
      <w:pPr>
        <w:spacing w:after="120" w:line="240" w:lineRule="auto"/>
        <w:jc w:val="both"/>
        <w:rPr>
          <w:rFonts w:ascii="Times New Roman" w:hAnsi="Times New Roman" w:cs="Times New Roman"/>
          <w:i/>
          <w:sz w:val="24"/>
          <w:szCs w:val="24"/>
          <w:lang w:val="en-US"/>
        </w:rPr>
      </w:pPr>
      <w:r>
        <w:rPr>
          <w:rFonts w:ascii="Times New Roman" w:hAnsi="Times New Roman" w:cs="Times New Roman"/>
          <w:b/>
          <w:i/>
          <w:sz w:val="24"/>
          <w:szCs w:val="24"/>
          <w:lang w:val="en-US"/>
        </w:rPr>
        <w:t>Keyw</w:t>
      </w:r>
      <w:r w:rsidR="00560964" w:rsidRPr="00092D42">
        <w:rPr>
          <w:rFonts w:ascii="Times New Roman" w:hAnsi="Times New Roman" w:cs="Times New Roman"/>
          <w:b/>
          <w:i/>
          <w:sz w:val="24"/>
          <w:szCs w:val="24"/>
          <w:lang w:val="en-US"/>
        </w:rPr>
        <w:t xml:space="preserve">ords: </w:t>
      </w:r>
      <w:r w:rsidR="00560964" w:rsidRPr="00092D42">
        <w:rPr>
          <w:rFonts w:ascii="Times New Roman" w:hAnsi="Times New Roman" w:cs="Times New Roman"/>
          <w:i/>
          <w:sz w:val="24"/>
          <w:szCs w:val="24"/>
          <w:lang w:val="en-US"/>
        </w:rPr>
        <w:t>Data Envelopment Analysis, Malmquist Total Factor Efficiency, Turkish Banking Sector</w:t>
      </w:r>
      <w:r w:rsidR="00846AA3" w:rsidRPr="00092D42">
        <w:rPr>
          <w:rFonts w:ascii="Times New Roman" w:hAnsi="Times New Roman" w:cs="Times New Roman"/>
          <w:i/>
          <w:sz w:val="24"/>
          <w:szCs w:val="24"/>
          <w:lang w:val="en-US"/>
        </w:rPr>
        <w:t>.</w:t>
      </w:r>
    </w:p>
    <w:p w:rsidR="00092D42" w:rsidRDefault="00092D42" w:rsidP="00A0688A">
      <w:pPr>
        <w:spacing w:after="120" w:line="240" w:lineRule="auto"/>
        <w:rPr>
          <w:rFonts w:ascii="Times New Roman" w:hAnsi="Times New Roman" w:cs="Times New Roman"/>
          <w:b/>
          <w:sz w:val="24"/>
          <w:szCs w:val="24"/>
        </w:rPr>
      </w:pPr>
    </w:p>
    <w:p w:rsidR="00807BA1" w:rsidRPr="00092D42" w:rsidRDefault="00092D42" w:rsidP="00092D42">
      <w:pPr>
        <w:spacing w:after="120" w:line="240" w:lineRule="auto"/>
        <w:rPr>
          <w:rFonts w:ascii="Times New Roman" w:hAnsi="Times New Roman" w:cs="Times New Roman"/>
          <w:b/>
          <w:sz w:val="24"/>
          <w:szCs w:val="24"/>
        </w:rPr>
      </w:pPr>
      <w:r>
        <w:rPr>
          <w:rFonts w:ascii="Times New Roman" w:hAnsi="Times New Roman" w:cs="Times New Roman"/>
          <w:b/>
          <w:sz w:val="24"/>
          <w:szCs w:val="24"/>
        </w:rPr>
        <w:t>1.</w:t>
      </w:r>
      <w:r w:rsidRPr="00092D42">
        <w:rPr>
          <w:rFonts w:ascii="Times New Roman" w:hAnsi="Times New Roman" w:cs="Times New Roman"/>
          <w:b/>
          <w:sz w:val="24"/>
          <w:szCs w:val="24"/>
        </w:rPr>
        <w:t>GİRİŞ</w:t>
      </w:r>
    </w:p>
    <w:p w:rsidR="00807BA1" w:rsidRDefault="00807BA1" w:rsidP="00A265E6">
      <w:pPr>
        <w:spacing w:after="120" w:line="240" w:lineRule="auto"/>
        <w:jc w:val="both"/>
        <w:rPr>
          <w:rFonts w:ascii="Times New Roman" w:hAnsi="Times New Roman" w:cs="Times New Roman"/>
          <w:sz w:val="24"/>
          <w:szCs w:val="24"/>
        </w:rPr>
      </w:pPr>
      <w:r w:rsidRPr="00807BA1">
        <w:rPr>
          <w:rFonts w:ascii="Times New Roman" w:hAnsi="Times New Roman" w:cs="Times New Roman"/>
          <w:sz w:val="24"/>
          <w:szCs w:val="24"/>
        </w:rPr>
        <w:t xml:space="preserve">Amerika Birleşik Devletleri (ABD) Mortgage piyasalarında 2006 yılında başlayan dalgalanma, 2007 yılından itibaren öncelikle kredi krizine ve akabinde likidite krizine dönüşerek küresel finansal sistemi etkisi altına almıştır. Bu süreçte finansal piyasalar, kredi piyasalarında ortaya çıkan dalgalanmanın menkul kıymetleştirme ile nasıl bir tehlike haline </w:t>
      </w:r>
      <w:r w:rsidRPr="00807BA1">
        <w:rPr>
          <w:rFonts w:ascii="Times New Roman" w:hAnsi="Times New Roman" w:cs="Times New Roman"/>
          <w:sz w:val="24"/>
          <w:szCs w:val="24"/>
        </w:rPr>
        <w:lastRenderedPageBreak/>
        <w:t xml:space="preserve">dönüştüğünü öğrenirken, Bearns&amp;Stearns gibi birçok büyük finans kuruluşu ardı ardına zarar açıklamak zorunda kalmıştır (Demir, F. ve diğerleri, 2008). </w:t>
      </w:r>
    </w:p>
    <w:p w:rsidR="00807BA1" w:rsidRPr="00807BA1" w:rsidRDefault="00807BA1"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Pr="00807BA1">
        <w:rPr>
          <w:rFonts w:ascii="Times New Roman" w:hAnsi="Times New Roman" w:cs="Times New Roman"/>
          <w:sz w:val="24"/>
          <w:szCs w:val="24"/>
        </w:rPr>
        <w:t xml:space="preserve">ünya ekonomilerinin birbirlerine artan oranda bağımlı olduğu günümüzde, küresel finans piyasalarında ortaya çıkan krizden gelişmiş ve gelişmekte olan tüm ekonomilerin çok ciddi boyutlarda etkilenmesi kaçınılmazdır. Küresel finans krizinin reel sektör üzerindeki olumsuz etkilerini 2008 yılının son çeyreğinde ekonomideki daralmanın yanı sıra işsizlik oranlarındaki artışlar ile hisseden Türkiye için 2009 yılının ilk çeyreği krizinin reel ekonomi üzerindeki etkilerinin derinleştiği bir dönem olmuştur. Ancak, 2001 ekonomik krizinden sonra alınan önlemlerle finans sisteminin eskiye göre çok daha sağlam olması, 2007 yılından itibaren yaşanan küresel likidite krizinin </w:t>
      </w:r>
      <w:r w:rsidR="00086B94">
        <w:rPr>
          <w:rFonts w:ascii="Times New Roman" w:hAnsi="Times New Roman" w:cs="Times New Roman"/>
          <w:sz w:val="24"/>
          <w:szCs w:val="24"/>
        </w:rPr>
        <w:t>Türk bankacılık sektörü</w:t>
      </w:r>
      <w:r w:rsidRPr="00807BA1">
        <w:rPr>
          <w:rFonts w:ascii="Times New Roman" w:hAnsi="Times New Roman" w:cs="Times New Roman"/>
          <w:sz w:val="24"/>
          <w:szCs w:val="24"/>
        </w:rPr>
        <w:t xml:space="preserve"> üzerindeki olumsuz etkilerini sınırlayan önemli bir unsur olarak karşımıza çıkmaktadır. Buna karşın Türkiye’deki finansal sektör içerisinde büyük bir paya</w:t>
      </w:r>
      <w:r>
        <w:rPr>
          <w:rFonts w:ascii="Times New Roman" w:hAnsi="Times New Roman" w:cs="Times New Roman"/>
          <w:sz w:val="24"/>
          <w:szCs w:val="24"/>
        </w:rPr>
        <w:t xml:space="preserve"> sahip olan bankacılık sektörünün</w:t>
      </w:r>
      <w:r w:rsidR="00816B15">
        <w:rPr>
          <w:rFonts w:ascii="Times New Roman" w:hAnsi="Times New Roman" w:cs="Times New Roman"/>
          <w:sz w:val="24"/>
          <w:szCs w:val="24"/>
        </w:rPr>
        <w:t xml:space="preserve"> küresel finansal krizin etkilerini de kapsayacak şekilde</w:t>
      </w:r>
      <w:r w:rsidRPr="00807BA1">
        <w:rPr>
          <w:rFonts w:ascii="Times New Roman" w:hAnsi="Times New Roman" w:cs="Times New Roman"/>
          <w:sz w:val="24"/>
          <w:szCs w:val="24"/>
        </w:rPr>
        <w:t xml:space="preserve"> etkinlik bakımından değerlendirilmesi önem arz etmektedir.  </w:t>
      </w:r>
    </w:p>
    <w:p w:rsidR="00807BA1" w:rsidRPr="00807BA1" w:rsidRDefault="00807BA1" w:rsidP="00A265E6">
      <w:pPr>
        <w:spacing w:after="120" w:line="240" w:lineRule="auto"/>
        <w:jc w:val="both"/>
        <w:rPr>
          <w:rFonts w:ascii="Times New Roman" w:hAnsi="Times New Roman" w:cs="Times New Roman"/>
          <w:sz w:val="24"/>
          <w:szCs w:val="24"/>
        </w:rPr>
      </w:pPr>
      <w:r w:rsidRPr="00807BA1">
        <w:rPr>
          <w:rFonts w:ascii="Times New Roman" w:hAnsi="Times New Roman" w:cs="Times New Roman"/>
          <w:sz w:val="24"/>
          <w:szCs w:val="24"/>
        </w:rPr>
        <w:t>Bu çalış</w:t>
      </w:r>
      <w:r w:rsidR="00664A20">
        <w:rPr>
          <w:rFonts w:ascii="Times New Roman" w:hAnsi="Times New Roman" w:cs="Times New Roman"/>
          <w:sz w:val="24"/>
          <w:szCs w:val="24"/>
        </w:rPr>
        <w:t>mada, Veri Zarflama Analizi (VZA</w:t>
      </w:r>
      <w:r w:rsidRPr="00807BA1">
        <w:rPr>
          <w:rFonts w:ascii="Times New Roman" w:hAnsi="Times New Roman" w:cs="Times New Roman"/>
          <w:sz w:val="24"/>
          <w:szCs w:val="24"/>
        </w:rPr>
        <w:t>) yaklaşımı çerçevesinde 2002–20</w:t>
      </w:r>
      <w:r>
        <w:rPr>
          <w:rFonts w:ascii="Times New Roman" w:hAnsi="Times New Roman" w:cs="Times New Roman"/>
          <w:sz w:val="24"/>
          <w:szCs w:val="24"/>
        </w:rPr>
        <w:t>13</w:t>
      </w:r>
      <w:r w:rsidRPr="00807BA1">
        <w:rPr>
          <w:rFonts w:ascii="Times New Roman" w:hAnsi="Times New Roman" w:cs="Times New Roman"/>
          <w:sz w:val="24"/>
          <w:szCs w:val="24"/>
        </w:rPr>
        <w:t xml:space="preserve"> dönemlerini kapsayan yıllık verilerle her yıl için </w:t>
      </w:r>
      <w:r w:rsidR="00086B94">
        <w:rPr>
          <w:rFonts w:ascii="Times New Roman" w:hAnsi="Times New Roman" w:cs="Times New Roman"/>
          <w:sz w:val="24"/>
          <w:szCs w:val="24"/>
        </w:rPr>
        <w:t>Türk bankacılık sektörü</w:t>
      </w:r>
      <w:r>
        <w:rPr>
          <w:rFonts w:ascii="Times New Roman" w:hAnsi="Times New Roman" w:cs="Times New Roman"/>
          <w:sz w:val="24"/>
          <w:szCs w:val="24"/>
        </w:rPr>
        <w:t>nün</w:t>
      </w:r>
      <w:r w:rsidRPr="00807BA1">
        <w:rPr>
          <w:rFonts w:ascii="Times New Roman" w:hAnsi="Times New Roman" w:cs="Times New Roman"/>
          <w:sz w:val="24"/>
          <w:szCs w:val="24"/>
        </w:rPr>
        <w:t xml:space="preserve"> teknik ve ölçek</w:t>
      </w:r>
      <w:r w:rsidR="00664A20">
        <w:rPr>
          <w:rFonts w:ascii="Times New Roman" w:hAnsi="Times New Roman" w:cs="Times New Roman"/>
          <w:sz w:val="24"/>
          <w:szCs w:val="24"/>
        </w:rPr>
        <w:t xml:space="preserve"> etkinlikleri incelenmiştir. VZA</w:t>
      </w:r>
      <w:r w:rsidRPr="00807BA1">
        <w:rPr>
          <w:rFonts w:ascii="Times New Roman" w:hAnsi="Times New Roman" w:cs="Times New Roman"/>
          <w:sz w:val="24"/>
          <w:szCs w:val="24"/>
        </w:rPr>
        <w:t xml:space="preserve"> yatay-kesit verilerle etkin karar alma birimlerinin oluşturduğu etkin üretim sınırına göre her bir karar biriminin teknik ve ölçeğe göre etkinliklerini ölçen statik bir yaklaşımdır. Panel veri kümesinin varlığında ise </w:t>
      </w:r>
      <w:r w:rsidR="00D113E6">
        <w:rPr>
          <w:rFonts w:ascii="Times New Roman" w:hAnsi="Times New Roman" w:cs="Times New Roman"/>
          <w:sz w:val="24"/>
          <w:szCs w:val="24"/>
        </w:rPr>
        <w:t>VZA’y</w:t>
      </w:r>
      <w:r w:rsidR="00C3120E">
        <w:rPr>
          <w:rFonts w:ascii="Times New Roman" w:hAnsi="Times New Roman" w:cs="Times New Roman"/>
          <w:sz w:val="24"/>
          <w:szCs w:val="24"/>
        </w:rPr>
        <w:t>a</w:t>
      </w:r>
      <w:bookmarkStart w:id="1" w:name="_GoBack"/>
      <w:bookmarkEnd w:id="1"/>
      <w:r w:rsidR="00664A20">
        <w:rPr>
          <w:rFonts w:ascii="Times New Roman" w:hAnsi="Times New Roman" w:cs="Times New Roman"/>
          <w:sz w:val="24"/>
          <w:szCs w:val="24"/>
        </w:rPr>
        <w:t xml:space="preserve"> </w:t>
      </w:r>
      <w:r w:rsidRPr="00807BA1">
        <w:rPr>
          <w:rFonts w:ascii="Times New Roman" w:hAnsi="Times New Roman" w:cs="Times New Roman"/>
          <w:sz w:val="24"/>
          <w:szCs w:val="24"/>
        </w:rPr>
        <w:t>dayalı bir yöntem olan Malmquist toplam faktör verimlilik (TF</w:t>
      </w:r>
      <w:r w:rsidR="00664A20">
        <w:rPr>
          <w:rFonts w:ascii="Times New Roman" w:hAnsi="Times New Roman" w:cs="Times New Roman"/>
          <w:sz w:val="24"/>
          <w:szCs w:val="24"/>
        </w:rPr>
        <w:t>V</w:t>
      </w:r>
      <w:r w:rsidRPr="00807BA1">
        <w:rPr>
          <w:rFonts w:ascii="Times New Roman" w:hAnsi="Times New Roman" w:cs="Times New Roman"/>
          <w:sz w:val="24"/>
          <w:szCs w:val="24"/>
        </w:rPr>
        <w:t>) endeksi hesaplanarak</w:t>
      </w:r>
      <w:r w:rsidR="001F2870">
        <w:rPr>
          <w:rFonts w:ascii="Times New Roman" w:hAnsi="Times New Roman" w:cs="Times New Roman"/>
          <w:sz w:val="24"/>
          <w:szCs w:val="24"/>
        </w:rPr>
        <w:t>,</w:t>
      </w:r>
      <w:r w:rsidRPr="00807BA1">
        <w:rPr>
          <w:rFonts w:ascii="Times New Roman" w:hAnsi="Times New Roman" w:cs="Times New Roman"/>
          <w:sz w:val="24"/>
          <w:szCs w:val="24"/>
        </w:rPr>
        <w:t xml:space="preserve"> etkinlik analizlerine zaman boyutu kazandırmak mümkün olmaktadır. Çalışmada Fare ve diğerleri (1994) yakl</w:t>
      </w:r>
      <w:r w:rsidR="00664A20">
        <w:rPr>
          <w:rFonts w:ascii="Times New Roman" w:hAnsi="Times New Roman" w:cs="Times New Roman"/>
          <w:sz w:val="24"/>
          <w:szCs w:val="24"/>
        </w:rPr>
        <w:t>aşımı kullanılarak Malmquist TFV</w:t>
      </w:r>
      <w:r w:rsidRPr="00807BA1">
        <w:rPr>
          <w:rFonts w:ascii="Times New Roman" w:hAnsi="Times New Roman" w:cs="Times New Roman"/>
          <w:sz w:val="24"/>
          <w:szCs w:val="24"/>
        </w:rPr>
        <w:t xml:space="preserve"> değişim endeksleri çerçevesinde bir araştırma da gerçekleştirilmiştir. Bu çerçevede, araştırma kapsamında bulunan bankalar</w:t>
      </w:r>
      <w:r>
        <w:rPr>
          <w:rFonts w:ascii="Times New Roman" w:hAnsi="Times New Roman" w:cs="Times New Roman"/>
          <w:sz w:val="24"/>
          <w:szCs w:val="24"/>
        </w:rPr>
        <w:t>ın</w:t>
      </w:r>
      <w:r w:rsidRPr="00807BA1">
        <w:rPr>
          <w:rFonts w:ascii="Times New Roman" w:hAnsi="Times New Roman" w:cs="Times New Roman"/>
          <w:sz w:val="24"/>
          <w:szCs w:val="24"/>
        </w:rPr>
        <w:t xml:space="preserve"> bir önceki yıla göre (i) Teknik etkinlik değişimi</w:t>
      </w:r>
      <w:r w:rsidR="001F2870">
        <w:rPr>
          <w:rFonts w:ascii="Times New Roman" w:hAnsi="Times New Roman" w:cs="Times New Roman"/>
          <w:sz w:val="24"/>
          <w:szCs w:val="24"/>
        </w:rPr>
        <w:t>,</w:t>
      </w:r>
      <w:r w:rsidRPr="00807BA1">
        <w:rPr>
          <w:rFonts w:ascii="Times New Roman" w:hAnsi="Times New Roman" w:cs="Times New Roman"/>
          <w:sz w:val="24"/>
          <w:szCs w:val="24"/>
        </w:rPr>
        <w:t xml:space="preserve"> (ii) Teknolojik değişimi</w:t>
      </w:r>
      <w:r w:rsidR="001F2870">
        <w:rPr>
          <w:rFonts w:ascii="Times New Roman" w:hAnsi="Times New Roman" w:cs="Times New Roman"/>
          <w:sz w:val="24"/>
          <w:szCs w:val="24"/>
        </w:rPr>
        <w:t>,</w:t>
      </w:r>
      <w:r w:rsidRPr="00807BA1">
        <w:rPr>
          <w:rFonts w:ascii="Times New Roman" w:hAnsi="Times New Roman" w:cs="Times New Roman"/>
          <w:sz w:val="24"/>
          <w:szCs w:val="24"/>
        </w:rPr>
        <w:t xml:space="preserve"> (iii) Salt Teknik Etkinlik Değişimi</w:t>
      </w:r>
      <w:r w:rsidR="001F2870">
        <w:rPr>
          <w:rFonts w:ascii="Times New Roman" w:hAnsi="Times New Roman" w:cs="Times New Roman"/>
          <w:sz w:val="24"/>
          <w:szCs w:val="24"/>
        </w:rPr>
        <w:t>,</w:t>
      </w:r>
      <w:r w:rsidRPr="00807BA1">
        <w:rPr>
          <w:rFonts w:ascii="Times New Roman" w:hAnsi="Times New Roman" w:cs="Times New Roman"/>
          <w:sz w:val="24"/>
          <w:szCs w:val="24"/>
        </w:rPr>
        <w:t xml:space="preserve"> (iv) Ölçek Etkinlik Değişimi ve (v) Toplam Faktör Verimlilik Değişimi her yıl için ayrı ayrı hesaplanmıştır. Ayrıca ortalama değerler dikkate alınarak söz konusu sektörler için genel bir değerlendirme yapılmıştır. </w:t>
      </w:r>
    </w:p>
    <w:p w:rsidR="00807BA1" w:rsidRPr="00807BA1" w:rsidRDefault="00807BA1" w:rsidP="00A265E6">
      <w:pPr>
        <w:spacing w:after="120" w:line="240" w:lineRule="auto"/>
        <w:jc w:val="both"/>
        <w:rPr>
          <w:rFonts w:ascii="Times New Roman" w:hAnsi="Times New Roman" w:cs="Times New Roman"/>
          <w:sz w:val="24"/>
          <w:szCs w:val="24"/>
        </w:rPr>
      </w:pPr>
      <w:r w:rsidRPr="00807BA1">
        <w:rPr>
          <w:rFonts w:ascii="Times New Roman" w:hAnsi="Times New Roman" w:cs="Times New Roman"/>
          <w:sz w:val="24"/>
          <w:szCs w:val="24"/>
        </w:rPr>
        <w:t xml:space="preserve">Çalışmanın </w:t>
      </w:r>
      <w:r w:rsidR="00AA45F1">
        <w:rPr>
          <w:rFonts w:ascii="Times New Roman" w:hAnsi="Times New Roman" w:cs="Times New Roman"/>
          <w:sz w:val="24"/>
          <w:szCs w:val="24"/>
        </w:rPr>
        <w:t xml:space="preserve">ikinci </w:t>
      </w:r>
      <w:r w:rsidRPr="00807BA1">
        <w:rPr>
          <w:rFonts w:ascii="Times New Roman" w:hAnsi="Times New Roman" w:cs="Times New Roman"/>
          <w:sz w:val="24"/>
          <w:szCs w:val="24"/>
        </w:rPr>
        <w:t xml:space="preserve">bölümünde </w:t>
      </w:r>
      <w:r w:rsidR="00D113E6">
        <w:rPr>
          <w:rFonts w:ascii="Times New Roman" w:hAnsi="Times New Roman" w:cs="Times New Roman"/>
          <w:sz w:val="24"/>
          <w:szCs w:val="24"/>
        </w:rPr>
        <w:t>VZA’y</w:t>
      </w:r>
      <w:r w:rsidR="00C3120E">
        <w:rPr>
          <w:rFonts w:ascii="Times New Roman" w:hAnsi="Times New Roman" w:cs="Times New Roman"/>
          <w:sz w:val="24"/>
          <w:szCs w:val="24"/>
        </w:rPr>
        <w:t>a</w:t>
      </w:r>
      <w:r w:rsidR="00060F4C">
        <w:rPr>
          <w:rFonts w:ascii="Times New Roman" w:hAnsi="Times New Roman" w:cs="Times New Roman"/>
          <w:sz w:val="24"/>
          <w:szCs w:val="24"/>
        </w:rPr>
        <w:t xml:space="preserve"> dayalı olarak</w:t>
      </w:r>
      <w:r w:rsidR="00AA45F1">
        <w:rPr>
          <w:rFonts w:ascii="Times New Roman" w:hAnsi="Times New Roman" w:cs="Times New Roman"/>
          <w:sz w:val="24"/>
          <w:szCs w:val="24"/>
        </w:rPr>
        <w:t xml:space="preserve"> </w:t>
      </w:r>
      <w:r w:rsidR="00086B94">
        <w:rPr>
          <w:rFonts w:ascii="Times New Roman" w:hAnsi="Times New Roman" w:cs="Times New Roman"/>
          <w:sz w:val="24"/>
          <w:szCs w:val="24"/>
        </w:rPr>
        <w:t>Türk bankacılık sektörü</w:t>
      </w:r>
      <w:r w:rsidR="00060F4C">
        <w:rPr>
          <w:rFonts w:ascii="Times New Roman" w:hAnsi="Times New Roman" w:cs="Times New Roman"/>
          <w:sz w:val="24"/>
          <w:szCs w:val="24"/>
        </w:rPr>
        <w:t>nün etkinliğini</w:t>
      </w:r>
      <w:r w:rsidR="00AA45F1">
        <w:rPr>
          <w:rFonts w:ascii="Times New Roman" w:hAnsi="Times New Roman" w:cs="Times New Roman"/>
          <w:sz w:val="24"/>
          <w:szCs w:val="24"/>
        </w:rPr>
        <w:t xml:space="preserve"> </w:t>
      </w:r>
      <w:r w:rsidR="00060F4C">
        <w:rPr>
          <w:rFonts w:ascii="Times New Roman" w:hAnsi="Times New Roman" w:cs="Times New Roman"/>
          <w:sz w:val="24"/>
          <w:szCs w:val="24"/>
        </w:rPr>
        <w:t xml:space="preserve">ampirik olarak araştıran </w:t>
      </w:r>
      <w:r w:rsidR="00AA45F1">
        <w:rPr>
          <w:rFonts w:ascii="Times New Roman" w:hAnsi="Times New Roman" w:cs="Times New Roman"/>
          <w:sz w:val="24"/>
          <w:szCs w:val="24"/>
        </w:rPr>
        <w:t>çalışmalara yer verilmiştir.</w:t>
      </w:r>
      <w:r w:rsidRPr="00807BA1">
        <w:rPr>
          <w:rFonts w:ascii="Times New Roman" w:hAnsi="Times New Roman" w:cs="Times New Roman"/>
          <w:sz w:val="24"/>
          <w:szCs w:val="24"/>
        </w:rPr>
        <w:t xml:space="preserve"> </w:t>
      </w:r>
      <w:r w:rsidR="00060F4C">
        <w:rPr>
          <w:rFonts w:ascii="Times New Roman" w:hAnsi="Times New Roman" w:cs="Times New Roman"/>
          <w:sz w:val="24"/>
          <w:szCs w:val="24"/>
        </w:rPr>
        <w:t>Üçüncü</w:t>
      </w:r>
      <w:r w:rsidRPr="00807BA1">
        <w:rPr>
          <w:rFonts w:ascii="Times New Roman" w:hAnsi="Times New Roman" w:cs="Times New Roman"/>
          <w:sz w:val="24"/>
          <w:szCs w:val="24"/>
        </w:rPr>
        <w:t xml:space="preserve"> bölümde </w:t>
      </w:r>
      <w:r w:rsidR="00060F4C">
        <w:rPr>
          <w:rFonts w:ascii="Times New Roman" w:hAnsi="Times New Roman" w:cs="Times New Roman"/>
          <w:sz w:val="24"/>
          <w:szCs w:val="24"/>
        </w:rPr>
        <w:t xml:space="preserve">teorik çerçevede </w:t>
      </w:r>
      <w:r w:rsidR="00484001">
        <w:rPr>
          <w:rFonts w:ascii="Times New Roman" w:hAnsi="Times New Roman" w:cs="Times New Roman"/>
          <w:sz w:val="24"/>
          <w:szCs w:val="24"/>
        </w:rPr>
        <w:t xml:space="preserve">araştırmanın </w:t>
      </w:r>
      <w:r w:rsidR="00AA45F1">
        <w:rPr>
          <w:rFonts w:ascii="Times New Roman" w:hAnsi="Times New Roman" w:cs="Times New Roman"/>
          <w:sz w:val="24"/>
          <w:szCs w:val="24"/>
        </w:rPr>
        <w:t xml:space="preserve">yöntemi olan VZA </w:t>
      </w:r>
      <w:r w:rsidR="00060F4C">
        <w:rPr>
          <w:rFonts w:ascii="Times New Roman" w:hAnsi="Times New Roman" w:cs="Times New Roman"/>
          <w:sz w:val="24"/>
          <w:szCs w:val="24"/>
        </w:rPr>
        <w:t>ele alınmıştır</w:t>
      </w:r>
      <w:r w:rsidR="00AA45F1">
        <w:rPr>
          <w:rFonts w:ascii="Times New Roman" w:hAnsi="Times New Roman" w:cs="Times New Roman"/>
          <w:sz w:val="24"/>
          <w:szCs w:val="24"/>
        </w:rPr>
        <w:t xml:space="preserve">. </w:t>
      </w:r>
      <w:r w:rsidR="00060F4C">
        <w:rPr>
          <w:rFonts w:ascii="Times New Roman" w:hAnsi="Times New Roman" w:cs="Times New Roman"/>
          <w:sz w:val="24"/>
          <w:szCs w:val="24"/>
        </w:rPr>
        <w:t>Dördüncü</w:t>
      </w:r>
      <w:r w:rsidRPr="00807BA1">
        <w:rPr>
          <w:rFonts w:ascii="Times New Roman" w:hAnsi="Times New Roman" w:cs="Times New Roman"/>
          <w:sz w:val="24"/>
          <w:szCs w:val="24"/>
        </w:rPr>
        <w:t xml:space="preserve"> bölümde</w:t>
      </w:r>
      <w:r w:rsidR="00AA45F1">
        <w:rPr>
          <w:rFonts w:ascii="Times New Roman" w:hAnsi="Times New Roman" w:cs="Times New Roman"/>
          <w:sz w:val="24"/>
          <w:szCs w:val="24"/>
        </w:rPr>
        <w:t xml:space="preserve"> araştırmanın kapsamı tanımlandıktan sonra </w:t>
      </w:r>
      <w:r w:rsidR="00060F4C">
        <w:rPr>
          <w:rFonts w:ascii="Times New Roman" w:hAnsi="Times New Roman" w:cs="Times New Roman"/>
          <w:sz w:val="24"/>
          <w:szCs w:val="24"/>
        </w:rPr>
        <w:t>beşinci</w:t>
      </w:r>
      <w:r w:rsidR="00AA45F1">
        <w:rPr>
          <w:rFonts w:ascii="Times New Roman" w:hAnsi="Times New Roman" w:cs="Times New Roman"/>
          <w:sz w:val="24"/>
          <w:szCs w:val="24"/>
        </w:rPr>
        <w:t xml:space="preserve"> bölümde</w:t>
      </w:r>
      <w:r w:rsidRPr="00807BA1">
        <w:rPr>
          <w:rFonts w:ascii="Times New Roman" w:hAnsi="Times New Roman" w:cs="Times New Roman"/>
          <w:sz w:val="24"/>
          <w:szCs w:val="24"/>
        </w:rPr>
        <w:t xml:space="preserve"> </w:t>
      </w:r>
      <w:r w:rsidR="00086B94">
        <w:rPr>
          <w:rFonts w:ascii="Times New Roman" w:hAnsi="Times New Roman" w:cs="Times New Roman"/>
          <w:sz w:val="24"/>
          <w:szCs w:val="24"/>
        </w:rPr>
        <w:t>Türk bankacılık sektörü</w:t>
      </w:r>
      <w:r w:rsidR="00AA45F1">
        <w:rPr>
          <w:rFonts w:ascii="Times New Roman" w:hAnsi="Times New Roman" w:cs="Times New Roman"/>
          <w:sz w:val="24"/>
          <w:szCs w:val="24"/>
        </w:rPr>
        <w:t xml:space="preserve"> </w:t>
      </w:r>
      <w:r w:rsidR="00060F4C">
        <w:rPr>
          <w:rFonts w:ascii="Times New Roman" w:hAnsi="Times New Roman" w:cs="Times New Roman"/>
          <w:sz w:val="24"/>
          <w:szCs w:val="24"/>
        </w:rPr>
        <w:t>etkinlik analizlerinden elde edilen</w:t>
      </w:r>
      <w:r w:rsidRPr="00807BA1">
        <w:rPr>
          <w:rFonts w:ascii="Times New Roman" w:hAnsi="Times New Roman" w:cs="Times New Roman"/>
          <w:sz w:val="24"/>
          <w:szCs w:val="24"/>
        </w:rPr>
        <w:t xml:space="preserve"> ampirik</w:t>
      </w:r>
      <w:r w:rsidR="00060F4C">
        <w:rPr>
          <w:rFonts w:ascii="Times New Roman" w:hAnsi="Times New Roman" w:cs="Times New Roman"/>
          <w:sz w:val="24"/>
          <w:szCs w:val="24"/>
        </w:rPr>
        <w:t xml:space="preserve"> bulgular</w:t>
      </w:r>
      <w:r w:rsidRPr="00807BA1">
        <w:rPr>
          <w:rFonts w:ascii="Times New Roman" w:hAnsi="Times New Roman" w:cs="Times New Roman"/>
          <w:sz w:val="24"/>
          <w:szCs w:val="24"/>
        </w:rPr>
        <w:t xml:space="preserve"> </w:t>
      </w:r>
      <w:r w:rsidR="00060F4C">
        <w:rPr>
          <w:rFonts w:ascii="Times New Roman" w:hAnsi="Times New Roman" w:cs="Times New Roman"/>
          <w:sz w:val="24"/>
          <w:szCs w:val="24"/>
        </w:rPr>
        <w:t>verilmiştir</w:t>
      </w:r>
      <w:r w:rsidRPr="00807BA1">
        <w:rPr>
          <w:rFonts w:ascii="Times New Roman" w:hAnsi="Times New Roman" w:cs="Times New Roman"/>
          <w:sz w:val="24"/>
          <w:szCs w:val="24"/>
        </w:rPr>
        <w:t xml:space="preserve">. Çalışma elde edilen bulguların değerlendirilmesi ile son bulmaktadır. </w:t>
      </w:r>
    </w:p>
    <w:p w:rsidR="001A0CBB" w:rsidRDefault="001A0CBB" w:rsidP="00A0688A">
      <w:pPr>
        <w:spacing w:after="120" w:line="240" w:lineRule="auto"/>
        <w:jc w:val="both"/>
        <w:rPr>
          <w:rFonts w:ascii="Times New Roman" w:hAnsi="Times New Roman" w:cs="Times New Roman"/>
          <w:b/>
          <w:sz w:val="24"/>
          <w:szCs w:val="24"/>
        </w:rPr>
      </w:pPr>
      <w:bookmarkStart w:id="2" w:name="_Toc246702637"/>
      <w:r>
        <w:rPr>
          <w:rFonts w:ascii="Times New Roman" w:hAnsi="Times New Roman" w:cs="Times New Roman"/>
          <w:b/>
          <w:sz w:val="24"/>
          <w:szCs w:val="24"/>
        </w:rPr>
        <w:t xml:space="preserve">2. </w:t>
      </w:r>
      <w:r w:rsidR="00086B94">
        <w:rPr>
          <w:rFonts w:ascii="Times New Roman" w:hAnsi="Times New Roman" w:cs="Times New Roman"/>
          <w:b/>
          <w:sz w:val="24"/>
          <w:szCs w:val="24"/>
        </w:rPr>
        <w:t>TÜRK BANKACILIK SEKTÖRÜ</w:t>
      </w:r>
      <w:r w:rsidR="00981F0D">
        <w:rPr>
          <w:rFonts w:ascii="Times New Roman" w:hAnsi="Times New Roman" w:cs="Times New Roman"/>
          <w:b/>
          <w:sz w:val="24"/>
          <w:szCs w:val="24"/>
        </w:rPr>
        <w:t xml:space="preserve"> ÜZERİNE YAPILAN BAZI ETKİNLİK ÇALIŞMALARI</w:t>
      </w:r>
    </w:p>
    <w:p w:rsidR="001A0CBB" w:rsidRDefault="001A0CBB"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Bankacılık sistemine ilişkin birçok etkinlik ölçümü çalışması yapılmış olup, bu çalışmalarda genellikle Veri Zarflama Analizi (VZA) yöntemi kullanılmıştır. </w:t>
      </w:r>
      <w:r w:rsidRPr="003D3B83">
        <w:rPr>
          <w:rFonts w:ascii="Times New Roman" w:hAnsi="Times New Roman" w:cs="Times New Roman"/>
          <w:sz w:val="24"/>
          <w:szCs w:val="24"/>
        </w:rPr>
        <w:t xml:space="preserve">Literatürdeki </w:t>
      </w:r>
      <w:r w:rsidR="00981F0D">
        <w:rPr>
          <w:rFonts w:ascii="Times New Roman" w:hAnsi="Times New Roman" w:cs="Times New Roman"/>
          <w:sz w:val="24"/>
          <w:szCs w:val="24"/>
        </w:rPr>
        <w:t>çalışmalar incelendiğinde VZA’nı</w:t>
      </w:r>
      <w:r w:rsidRPr="003D3B83">
        <w:rPr>
          <w:rFonts w:ascii="Times New Roman" w:hAnsi="Times New Roman" w:cs="Times New Roman"/>
          <w:sz w:val="24"/>
          <w:szCs w:val="24"/>
        </w:rPr>
        <w:t>n birçok ülkede banka ve şube düzeyinde etkinlik ölçümünde kullanıldığı fakat şube bazında verilere ulaşmak daha zor olduğu</w:t>
      </w:r>
      <w:r>
        <w:rPr>
          <w:rFonts w:ascii="Times New Roman" w:hAnsi="Times New Roman" w:cs="Times New Roman"/>
          <w:sz w:val="24"/>
          <w:szCs w:val="24"/>
        </w:rPr>
        <w:t>ndan</w:t>
      </w:r>
      <w:r w:rsidRPr="003D3B83">
        <w:rPr>
          <w:rFonts w:ascii="Times New Roman" w:hAnsi="Times New Roman" w:cs="Times New Roman"/>
          <w:sz w:val="24"/>
          <w:szCs w:val="24"/>
        </w:rPr>
        <w:t xml:space="preserve"> </w:t>
      </w:r>
      <w:r>
        <w:rPr>
          <w:rFonts w:ascii="Times New Roman" w:hAnsi="Times New Roman" w:cs="Times New Roman"/>
          <w:sz w:val="24"/>
          <w:szCs w:val="24"/>
        </w:rPr>
        <w:t>çalışmaların çoğunlukla</w:t>
      </w:r>
      <w:r w:rsidRPr="003D3B83">
        <w:rPr>
          <w:rFonts w:ascii="Times New Roman" w:hAnsi="Times New Roman" w:cs="Times New Roman"/>
          <w:sz w:val="24"/>
          <w:szCs w:val="24"/>
        </w:rPr>
        <w:t xml:space="preserve"> banka düzeyinde yapıldığı görülmektedir. </w:t>
      </w:r>
    </w:p>
    <w:p w:rsidR="00ED50B3" w:rsidRDefault="001A0CBB"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Berger ve</w:t>
      </w:r>
      <w:r w:rsidRPr="003D3B83">
        <w:rPr>
          <w:rFonts w:ascii="Times New Roman" w:hAnsi="Times New Roman" w:cs="Times New Roman"/>
          <w:sz w:val="24"/>
          <w:szCs w:val="24"/>
        </w:rPr>
        <w:t xml:space="preserve"> Humprey’in finansal kurumlarda etkinlik ölçümüne ilişkin çalışmalarda kullanılan yöntemler üzerine 1997 yılında yaptığı çalışmada da incelenen ve 21 farklı ülkede yapılmış olan 122 çalışmanın 62’sinde VZA kullanıldığı bu 62 çalışmanın da yaklaşık %</w:t>
      </w:r>
      <w:r w:rsidR="00981F0D">
        <w:rPr>
          <w:rFonts w:ascii="Times New Roman" w:hAnsi="Times New Roman" w:cs="Times New Roman"/>
          <w:sz w:val="24"/>
          <w:szCs w:val="24"/>
        </w:rPr>
        <w:t xml:space="preserve"> </w:t>
      </w:r>
      <w:r w:rsidRPr="003D3B83">
        <w:rPr>
          <w:rFonts w:ascii="Times New Roman" w:hAnsi="Times New Roman" w:cs="Times New Roman"/>
          <w:sz w:val="24"/>
          <w:szCs w:val="24"/>
        </w:rPr>
        <w:t>68’inin bankalar arası etkinlik karşılaştırmasına yönelik olduğu belirlenmiştir</w:t>
      </w:r>
      <w:r>
        <w:rPr>
          <w:rFonts w:ascii="Times New Roman" w:hAnsi="Times New Roman" w:cs="Times New Roman"/>
          <w:sz w:val="24"/>
          <w:szCs w:val="24"/>
        </w:rPr>
        <w:t xml:space="preserve"> (Özdemir ve Demireli, 2013)</w:t>
      </w:r>
      <w:r w:rsidRPr="003D3B83">
        <w:rPr>
          <w:rFonts w:ascii="Times New Roman" w:hAnsi="Times New Roman" w:cs="Times New Roman"/>
          <w:sz w:val="24"/>
          <w:szCs w:val="24"/>
        </w:rPr>
        <w:t>.</w:t>
      </w:r>
      <w:r>
        <w:rPr>
          <w:rFonts w:ascii="Times New Roman" w:hAnsi="Times New Roman" w:cs="Times New Roman"/>
          <w:sz w:val="24"/>
          <w:szCs w:val="24"/>
        </w:rPr>
        <w:t xml:space="preserve"> Bu çalışmalar incelendiğinde, b</w:t>
      </w:r>
      <w:r w:rsidRPr="00EF321C">
        <w:rPr>
          <w:rFonts w:ascii="Times New Roman" w:hAnsi="Times New Roman" w:cs="Times New Roman"/>
          <w:sz w:val="24"/>
          <w:szCs w:val="24"/>
        </w:rPr>
        <w:t>ankacılık sektörü için etkinliğin ölçülmesine ilişkin girdi ve çıktı</w:t>
      </w:r>
      <w:r>
        <w:rPr>
          <w:rFonts w:ascii="Times New Roman" w:hAnsi="Times New Roman" w:cs="Times New Roman"/>
          <w:sz w:val="24"/>
          <w:szCs w:val="24"/>
        </w:rPr>
        <w:t>larının kesin bir tanımlamasının yapılamadığı dikkati çekmektedir</w:t>
      </w:r>
      <w:r w:rsidRPr="00EF321C">
        <w:rPr>
          <w:rFonts w:ascii="Times New Roman" w:hAnsi="Times New Roman" w:cs="Times New Roman"/>
          <w:sz w:val="24"/>
          <w:szCs w:val="24"/>
        </w:rPr>
        <w:t xml:space="preserve">. Özellikle banka çıktısı kavramında yaşanan karmaşa, bankaların çok ürünlü doğasından ve bankacılık hizmetleri için diğer hizmet ve sanayi sektörlerinden karşılaştırma yapacak uygun bir temsili değişkenin olmamasından kaynaklanmaktadır (Kaya Türker ve Doğan, 2005). </w:t>
      </w:r>
    </w:p>
    <w:p w:rsidR="001A0CBB" w:rsidRPr="00EF321C" w:rsidRDefault="001A0CBB" w:rsidP="00A265E6">
      <w:pPr>
        <w:spacing w:after="120" w:line="240" w:lineRule="auto"/>
        <w:jc w:val="both"/>
        <w:rPr>
          <w:rFonts w:ascii="Times New Roman" w:hAnsi="Times New Roman" w:cs="Times New Roman"/>
          <w:sz w:val="24"/>
          <w:szCs w:val="24"/>
        </w:rPr>
      </w:pPr>
      <w:r w:rsidRPr="00EF321C">
        <w:rPr>
          <w:rFonts w:ascii="Times New Roman" w:hAnsi="Times New Roman" w:cs="Times New Roman"/>
          <w:sz w:val="24"/>
          <w:szCs w:val="24"/>
        </w:rPr>
        <w:lastRenderedPageBreak/>
        <w:t xml:space="preserve">Literatürde bankacılık sektörünün </w:t>
      </w:r>
      <w:r w:rsidR="00ED50B3">
        <w:rPr>
          <w:rFonts w:ascii="Times New Roman" w:hAnsi="Times New Roman" w:cs="Times New Roman"/>
          <w:sz w:val="24"/>
          <w:szCs w:val="24"/>
        </w:rPr>
        <w:t>VZA</w:t>
      </w:r>
      <w:r w:rsidRPr="00EF321C">
        <w:rPr>
          <w:rFonts w:ascii="Times New Roman" w:hAnsi="Times New Roman" w:cs="Times New Roman"/>
          <w:sz w:val="24"/>
          <w:szCs w:val="24"/>
        </w:rPr>
        <w:t xml:space="preserve"> ile etkinliğinin ölçülmesi üzerine yapılan çalışmalarda girdi ve çıktıların belirlenmesi için alternatif üç farklı yaklaşım</w:t>
      </w:r>
      <w:r w:rsidR="001F2870">
        <w:rPr>
          <w:rFonts w:ascii="Times New Roman" w:hAnsi="Times New Roman" w:cs="Times New Roman"/>
          <w:sz w:val="24"/>
          <w:szCs w:val="24"/>
        </w:rPr>
        <w:t xml:space="preserve"> dikkate alınmaktadır. Bunlar; ü</w:t>
      </w:r>
      <w:r w:rsidRPr="00EF321C">
        <w:rPr>
          <w:rFonts w:ascii="Times New Roman" w:hAnsi="Times New Roman" w:cs="Times New Roman"/>
          <w:sz w:val="24"/>
          <w:szCs w:val="24"/>
        </w:rPr>
        <w:t>retim, aracılık ve kâr/gelir yaklaşımları olarak sıralanabilir. Üretim yaklaşımında bankaların sermaye ve işgücünü kullanarak, mevduat ve kredileri ürettikleri kabul edilmektedir. Böylece bankaların çıktıları mevduat ve krediler (hesap sayısı/işlem adedi) ile ölçülürken, girdiler işgücü (çalışan sayısı/maliyeti) ve fiziksel sermaye (sabit varlıklar) olarak ifade edilmektedir. Aracılık yaklaşımında ise, bankaların sermaye ve işgücünü kullanarak mevduatları, kredi ve diğer yatırımlara dönüştürdükleri kabul edilir. Bu yaklaşımda girdi ve çıktılar hesap sayıları yerine parasal değerleriyle ölçülür. Aracılık yaklaşımıyla üretim yaklaşımı arasındaki temel farklılık üretim yaklaşımında mevduat çıktı olarak dikkate alınırken aracılık yaklaşımında girdi olarak değerlendirilmektedir. Bankaların temel amacının kâr maksimizasyonu olmasından hareket eden kâr/gelir yaklaşımında girdi olarak faiz dışı giderler (işletme giderleri ve diğer faiz dışı giderler), çıktı olarak ise net faiz geliri ve faiz dışı gelirler alınmaktadır (Drake ve diğerleri, 2005).</w:t>
      </w:r>
    </w:p>
    <w:p w:rsidR="00ED50B3" w:rsidRDefault="001A0CBB"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VZA’</w:t>
      </w:r>
      <w:r w:rsidR="00981F0D">
        <w:rPr>
          <w:rFonts w:ascii="Times New Roman" w:hAnsi="Times New Roman" w:cs="Times New Roman"/>
          <w:sz w:val="24"/>
          <w:szCs w:val="24"/>
        </w:rPr>
        <w:t>y</w:t>
      </w:r>
      <w:r w:rsidR="00C3120E">
        <w:rPr>
          <w:rFonts w:ascii="Times New Roman" w:hAnsi="Times New Roman" w:cs="Times New Roman"/>
          <w:sz w:val="24"/>
          <w:szCs w:val="24"/>
        </w:rPr>
        <w:t>a</w:t>
      </w:r>
      <w:r>
        <w:rPr>
          <w:rFonts w:ascii="Times New Roman" w:hAnsi="Times New Roman" w:cs="Times New Roman"/>
          <w:sz w:val="24"/>
          <w:szCs w:val="24"/>
        </w:rPr>
        <w:t xml:space="preserve"> dayalı olarak</w:t>
      </w:r>
      <w:r w:rsidRPr="003D3B83">
        <w:rPr>
          <w:rFonts w:ascii="Times New Roman" w:hAnsi="Times New Roman" w:cs="Times New Roman"/>
          <w:sz w:val="24"/>
          <w:szCs w:val="24"/>
        </w:rPr>
        <w:t xml:space="preserve"> Türkiye’de faaliyet gösteren bankaların</w:t>
      </w:r>
      <w:r>
        <w:rPr>
          <w:rFonts w:ascii="Times New Roman" w:hAnsi="Times New Roman" w:cs="Times New Roman"/>
          <w:sz w:val="24"/>
          <w:szCs w:val="24"/>
        </w:rPr>
        <w:t xml:space="preserve"> </w:t>
      </w:r>
      <w:r w:rsidRPr="003D3B83">
        <w:rPr>
          <w:rFonts w:ascii="Times New Roman" w:hAnsi="Times New Roman" w:cs="Times New Roman"/>
          <w:sz w:val="24"/>
          <w:szCs w:val="24"/>
        </w:rPr>
        <w:t xml:space="preserve">etkinlik ölçümüne </w:t>
      </w:r>
      <w:r>
        <w:rPr>
          <w:rFonts w:ascii="Times New Roman" w:hAnsi="Times New Roman" w:cs="Times New Roman"/>
          <w:sz w:val="24"/>
          <w:szCs w:val="24"/>
        </w:rPr>
        <w:t xml:space="preserve">yönelik birçok çalışmada da tanımlanan girdi ve çıktıların farklılaştığı göze çarpmaktadır. Ertuğrul ve Zaim (1996) çalışmalarında girdi olarak; personel sayısı, faiz giderleri, amortisman ve işletme giderleri, çıktı olarak ise vadesiz mevduat, vadeli mevduat, kısa vadeli krediler ve uzun vadeli krediler almışlardır. Analizi yapılan yıllarda finansal reformların ticari bankaların teknik etkinliklerini olumlu yönde etkilediğini ve kamu bankalarının beklenenden daha etkin olduğunu tespit etmişler.   </w:t>
      </w:r>
    </w:p>
    <w:p w:rsidR="00AC5A8A" w:rsidRDefault="00ED50B3" w:rsidP="00A265E6">
      <w:pPr>
        <w:spacing w:after="120" w:line="240" w:lineRule="auto"/>
        <w:jc w:val="both"/>
        <w:rPr>
          <w:rFonts w:ascii="Times New Roman" w:hAnsi="Times New Roman" w:cs="Times New Roman"/>
          <w:sz w:val="24"/>
          <w:szCs w:val="24"/>
        </w:rPr>
      </w:pPr>
      <w:r w:rsidRPr="00ED50B3">
        <w:rPr>
          <w:rFonts w:ascii="Times New Roman" w:hAnsi="Times New Roman" w:cs="Times New Roman"/>
          <w:sz w:val="24"/>
          <w:szCs w:val="24"/>
        </w:rPr>
        <w:t>Cing</w:t>
      </w:r>
      <w:r>
        <w:rPr>
          <w:rFonts w:ascii="Times New Roman" w:hAnsi="Times New Roman" w:cs="Times New Roman"/>
          <w:sz w:val="24"/>
          <w:szCs w:val="24"/>
        </w:rPr>
        <w:t>i ve Tarım (2000) çalışması ise</w:t>
      </w:r>
      <w:r w:rsidRPr="00ED50B3">
        <w:rPr>
          <w:rFonts w:ascii="Times New Roman" w:hAnsi="Times New Roman" w:cs="Times New Roman"/>
          <w:sz w:val="24"/>
          <w:szCs w:val="24"/>
        </w:rPr>
        <w:t xml:space="preserve"> kullandıkları girdi-çıktı bileşiminde oluşturulan veri seti ile karma yaklaşımdır. Çalışmada </w:t>
      </w:r>
      <w:r w:rsidR="00086B94">
        <w:rPr>
          <w:rFonts w:ascii="Times New Roman" w:hAnsi="Times New Roman" w:cs="Times New Roman"/>
          <w:sz w:val="24"/>
          <w:szCs w:val="24"/>
        </w:rPr>
        <w:t>Türk bankacılık sektörü</w:t>
      </w:r>
      <w:r w:rsidRPr="00ED50B3">
        <w:rPr>
          <w:rFonts w:ascii="Times New Roman" w:hAnsi="Times New Roman" w:cs="Times New Roman"/>
          <w:sz w:val="24"/>
          <w:szCs w:val="24"/>
        </w:rPr>
        <w:t>nün 1989-1996 yılları arasına ait verilerle veri zarflama analizi uygulanmaktadır. Bu çalışmada 21 banka için 4 çıktı (toplam kar, toplam kredi, toplam mevduat, kredi geri dönüş oranı) ve 2 girdi (toplam aktifler ve toplam gider) verileri kullanılmaktadır.</w:t>
      </w:r>
    </w:p>
    <w:p w:rsidR="001A0CBB" w:rsidRDefault="001A0CBB"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Bal ve</w:t>
      </w:r>
      <w:r w:rsidRPr="003D3B83">
        <w:rPr>
          <w:rFonts w:ascii="Times New Roman" w:hAnsi="Times New Roman" w:cs="Times New Roman"/>
          <w:sz w:val="24"/>
          <w:szCs w:val="24"/>
        </w:rPr>
        <w:t xml:space="preserve"> Gölcükcü (2002</w:t>
      </w:r>
      <w:r>
        <w:rPr>
          <w:rFonts w:ascii="Times New Roman" w:hAnsi="Times New Roman" w:cs="Times New Roman"/>
          <w:sz w:val="24"/>
          <w:szCs w:val="24"/>
        </w:rPr>
        <w:t>)</w:t>
      </w:r>
      <w:r w:rsidRPr="003D3B83">
        <w:rPr>
          <w:rFonts w:ascii="Times New Roman" w:hAnsi="Times New Roman" w:cs="Times New Roman"/>
          <w:sz w:val="24"/>
          <w:szCs w:val="24"/>
        </w:rPr>
        <w:t xml:space="preserve"> çalışma</w:t>
      </w:r>
      <w:r>
        <w:rPr>
          <w:rFonts w:ascii="Times New Roman" w:hAnsi="Times New Roman" w:cs="Times New Roman"/>
          <w:sz w:val="24"/>
          <w:szCs w:val="24"/>
        </w:rPr>
        <w:t>sın</w:t>
      </w:r>
      <w:r w:rsidRPr="003D3B83">
        <w:rPr>
          <w:rFonts w:ascii="Times New Roman" w:hAnsi="Times New Roman" w:cs="Times New Roman"/>
          <w:sz w:val="24"/>
          <w:szCs w:val="24"/>
        </w:rPr>
        <w:t>da</w:t>
      </w:r>
      <w:r>
        <w:rPr>
          <w:rFonts w:ascii="Times New Roman" w:hAnsi="Times New Roman" w:cs="Times New Roman"/>
          <w:sz w:val="24"/>
          <w:szCs w:val="24"/>
        </w:rPr>
        <w:t>, BCC modeli çerçevesinde Türkiye’deki 21 ticari bankanın etkinliği</w:t>
      </w:r>
      <w:r w:rsidRPr="003D3B83">
        <w:rPr>
          <w:rFonts w:ascii="Times New Roman" w:hAnsi="Times New Roman" w:cs="Times New Roman"/>
          <w:sz w:val="24"/>
          <w:szCs w:val="24"/>
        </w:rPr>
        <w:t xml:space="preserve"> tüketici, taşıt ve konut kredisi faiz oranları</w:t>
      </w:r>
      <w:r>
        <w:rPr>
          <w:rFonts w:ascii="Times New Roman" w:hAnsi="Times New Roman" w:cs="Times New Roman"/>
          <w:sz w:val="24"/>
          <w:szCs w:val="24"/>
        </w:rPr>
        <w:t xml:space="preserve"> olmak üzere</w:t>
      </w:r>
      <w:r w:rsidRPr="003D3B83">
        <w:rPr>
          <w:rFonts w:ascii="Times New Roman" w:hAnsi="Times New Roman" w:cs="Times New Roman"/>
          <w:sz w:val="24"/>
          <w:szCs w:val="24"/>
        </w:rPr>
        <w:t xml:space="preserve"> 3 girdi </w:t>
      </w:r>
      <w:r w:rsidR="00ED50B3" w:rsidRPr="003D3B83">
        <w:rPr>
          <w:rFonts w:ascii="Times New Roman" w:hAnsi="Times New Roman" w:cs="Times New Roman"/>
          <w:sz w:val="24"/>
          <w:szCs w:val="24"/>
        </w:rPr>
        <w:t>değişkeni ve</w:t>
      </w:r>
      <w:r w:rsidRPr="003D3B83">
        <w:rPr>
          <w:rFonts w:ascii="Times New Roman" w:hAnsi="Times New Roman" w:cs="Times New Roman"/>
          <w:sz w:val="24"/>
          <w:szCs w:val="24"/>
        </w:rPr>
        <w:t xml:space="preserve"> TL, dolar ve mark üzerinden açılan mevduata uygulana</w:t>
      </w:r>
      <w:r>
        <w:rPr>
          <w:rFonts w:ascii="Times New Roman" w:hAnsi="Times New Roman" w:cs="Times New Roman"/>
          <w:sz w:val="24"/>
          <w:szCs w:val="24"/>
        </w:rPr>
        <w:t>n</w:t>
      </w:r>
      <w:r w:rsidRPr="003D3B83">
        <w:rPr>
          <w:rFonts w:ascii="Times New Roman" w:hAnsi="Times New Roman" w:cs="Times New Roman"/>
          <w:sz w:val="24"/>
          <w:szCs w:val="24"/>
        </w:rPr>
        <w:t xml:space="preserve"> faiz oranları</w:t>
      </w:r>
      <w:r>
        <w:rPr>
          <w:rFonts w:ascii="Times New Roman" w:hAnsi="Times New Roman" w:cs="Times New Roman"/>
          <w:sz w:val="24"/>
          <w:szCs w:val="24"/>
        </w:rPr>
        <w:t xml:space="preserve"> olmak üzere</w:t>
      </w:r>
      <w:r w:rsidRPr="003D3B83">
        <w:rPr>
          <w:rFonts w:ascii="Times New Roman" w:hAnsi="Times New Roman" w:cs="Times New Roman"/>
          <w:sz w:val="24"/>
          <w:szCs w:val="24"/>
        </w:rPr>
        <w:t xml:space="preserve"> 3 çıktı değişkeni kullanarak </w:t>
      </w:r>
      <w:r>
        <w:rPr>
          <w:rFonts w:ascii="Times New Roman" w:hAnsi="Times New Roman" w:cs="Times New Roman"/>
          <w:sz w:val="24"/>
          <w:szCs w:val="24"/>
        </w:rPr>
        <w:t>VZA ile incelenmiştir. Elde edilen bulgular 8 ticari bankanın etkin geriye kalan 13 bankanın ise etkin olmadığını göstermiştir.</w:t>
      </w:r>
      <w:r w:rsidRPr="003D3B83">
        <w:rPr>
          <w:rFonts w:ascii="Times New Roman" w:hAnsi="Times New Roman" w:cs="Times New Roman"/>
          <w:sz w:val="24"/>
          <w:szCs w:val="24"/>
        </w:rPr>
        <w:t xml:space="preserve"> </w:t>
      </w:r>
    </w:p>
    <w:p w:rsidR="00ED50B3" w:rsidRPr="00ED50B3" w:rsidRDefault="00ED50B3" w:rsidP="00A265E6">
      <w:pPr>
        <w:spacing w:after="120" w:line="240" w:lineRule="auto"/>
        <w:jc w:val="both"/>
        <w:rPr>
          <w:rFonts w:ascii="Times New Roman" w:hAnsi="Times New Roman" w:cs="Times New Roman"/>
          <w:sz w:val="24"/>
          <w:szCs w:val="24"/>
        </w:rPr>
      </w:pPr>
      <w:r w:rsidRPr="00ED50B3">
        <w:rPr>
          <w:rFonts w:ascii="Times New Roman" w:hAnsi="Times New Roman" w:cs="Times New Roman"/>
          <w:sz w:val="24"/>
          <w:szCs w:val="24"/>
        </w:rPr>
        <w:t>Çola</w:t>
      </w:r>
      <w:r>
        <w:rPr>
          <w:rFonts w:ascii="Times New Roman" w:hAnsi="Times New Roman" w:cs="Times New Roman"/>
          <w:sz w:val="24"/>
          <w:szCs w:val="24"/>
        </w:rPr>
        <w:t>k ve Altan (2002) çalışmasında</w:t>
      </w:r>
      <w:r w:rsidRPr="00ED50B3">
        <w:rPr>
          <w:rFonts w:ascii="Times New Roman" w:hAnsi="Times New Roman" w:cs="Times New Roman"/>
          <w:sz w:val="24"/>
          <w:szCs w:val="24"/>
        </w:rPr>
        <w:t xml:space="preserve"> 1999 ve 2000 yılları için 41 adet bankayı içeren bir analiz gerçekleştir</w:t>
      </w:r>
      <w:r>
        <w:rPr>
          <w:rFonts w:ascii="Times New Roman" w:hAnsi="Times New Roman" w:cs="Times New Roman"/>
          <w:sz w:val="24"/>
          <w:szCs w:val="24"/>
        </w:rPr>
        <w:t>il</w:t>
      </w:r>
      <w:r w:rsidRPr="00ED50B3">
        <w:rPr>
          <w:rFonts w:ascii="Times New Roman" w:hAnsi="Times New Roman" w:cs="Times New Roman"/>
          <w:sz w:val="24"/>
          <w:szCs w:val="24"/>
        </w:rPr>
        <w:t>miş</w:t>
      </w:r>
      <w:r>
        <w:rPr>
          <w:rFonts w:ascii="Times New Roman" w:hAnsi="Times New Roman" w:cs="Times New Roman"/>
          <w:sz w:val="24"/>
          <w:szCs w:val="24"/>
        </w:rPr>
        <w:t>t</w:t>
      </w:r>
      <w:r w:rsidRPr="00ED50B3">
        <w:rPr>
          <w:rFonts w:ascii="Times New Roman" w:hAnsi="Times New Roman" w:cs="Times New Roman"/>
          <w:sz w:val="24"/>
          <w:szCs w:val="24"/>
        </w:rPr>
        <w:t xml:space="preserve">ir. </w:t>
      </w:r>
      <w:r>
        <w:rPr>
          <w:rFonts w:ascii="Times New Roman" w:hAnsi="Times New Roman" w:cs="Times New Roman"/>
          <w:sz w:val="24"/>
          <w:szCs w:val="24"/>
        </w:rPr>
        <w:t>B</w:t>
      </w:r>
      <w:r w:rsidRPr="00ED50B3">
        <w:rPr>
          <w:rFonts w:ascii="Times New Roman" w:hAnsi="Times New Roman" w:cs="Times New Roman"/>
          <w:sz w:val="24"/>
          <w:szCs w:val="24"/>
        </w:rPr>
        <w:t>u çalışmada 6 adet girdi (sermaye standart rasyosu, toplam krediler/toplam aktifler, takipteki krediler/toplam krediler, duran aktifler/toplam likit, aktifler/toplam aktifler, likit aktifler/ mevduat+mevduat dışı kaynaklar) ve 3 adet çıktı (net dönem k</w:t>
      </w:r>
      <w:r w:rsidR="001917C5">
        <w:rPr>
          <w:rFonts w:ascii="Times New Roman" w:hAnsi="Times New Roman" w:cs="Times New Roman"/>
          <w:sz w:val="24"/>
          <w:szCs w:val="24"/>
        </w:rPr>
        <w:t>â</w:t>
      </w:r>
      <w:r w:rsidRPr="00ED50B3">
        <w:rPr>
          <w:rFonts w:ascii="Times New Roman" w:hAnsi="Times New Roman" w:cs="Times New Roman"/>
          <w:sz w:val="24"/>
          <w:szCs w:val="24"/>
        </w:rPr>
        <w:t>rı/ortala</w:t>
      </w:r>
      <w:r w:rsidR="001917C5">
        <w:rPr>
          <w:rFonts w:ascii="Times New Roman" w:hAnsi="Times New Roman" w:cs="Times New Roman"/>
          <w:sz w:val="24"/>
          <w:szCs w:val="24"/>
        </w:rPr>
        <w:t>ma toplam aktifler, net dönem kâ</w:t>
      </w:r>
      <w:r w:rsidRPr="00ED50B3">
        <w:rPr>
          <w:rFonts w:ascii="Times New Roman" w:hAnsi="Times New Roman" w:cs="Times New Roman"/>
          <w:sz w:val="24"/>
          <w:szCs w:val="24"/>
        </w:rPr>
        <w:t>rı/or</w:t>
      </w:r>
      <w:r w:rsidR="001917C5">
        <w:rPr>
          <w:rFonts w:ascii="Times New Roman" w:hAnsi="Times New Roman" w:cs="Times New Roman"/>
          <w:sz w:val="24"/>
          <w:szCs w:val="24"/>
        </w:rPr>
        <w:t>talama özkaynaklar, net dönem kâ</w:t>
      </w:r>
      <w:r w:rsidRPr="00ED50B3">
        <w:rPr>
          <w:rFonts w:ascii="Times New Roman" w:hAnsi="Times New Roman" w:cs="Times New Roman"/>
          <w:sz w:val="24"/>
          <w:szCs w:val="24"/>
        </w:rPr>
        <w:t>rı/ortalama ödenmiş sermaye) kullan</w:t>
      </w:r>
      <w:r>
        <w:rPr>
          <w:rFonts w:ascii="Times New Roman" w:hAnsi="Times New Roman" w:cs="Times New Roman"/>
          <w:sz w:val="24"/>
          <w:szCs w:val="24"/>
        </w:rPr>
        <w:t>ıl</w:t>
      </w:r>
      <w:r w:rsidRPr="00ED50B3">
        <w:rPr>
          <w:rFonts w:ascii="Times New Roman" w:hAnsi="Times New Roman" w:cs="Times New Roman"/>
          <w:sz w:val="24"/>
          <w:szCs w:val="24"/>
        </w:rPr>
        <w:t>mış</w:t>
      </w:r>
      <w:r>
        <w:rPr>
          <w:rFonts w:ascii="Times New Roman" w:hAnsi="Times New Roman" w:cs="Times New Roman"/>
          <w:sz w:val="24"/>
          <w:szCs w:val="24"/>
        </w:rPr>
        <w:t>t</w:t>
      </w:r>
      <w:r w:rsidRPr="00ED50B3">
        <w:rPr>
          <w:rFonts w:ascii="Times New Roman" w:hAnsi="Times New Roman" w:cs="Times New Roman"/>
          <w:sz w:val="24"/>
          <w:szCs w:val="24"/>
        </w:rPr>
        <w:t>ır. Çalışmanın sonuçlarına göre küçük ölçekli bankalar, büyük ölçekli bankalara göre daha etkindir.</w:t>
      </w:r>
    </w:p>
    <w:p w:rsidR="00ED50B3" w:rsidRPr="00ED50B3" w:rsidRDefault="00ED50B3" w:rsidP="00A265E6">
      <w:pPr>
        <w:spacing w:after="120" w:line="240" w:lineRule="auto"/>
        <w:jc w:val="both"/>
        <w:rPr>
          <w:rFonts w:ascii="Times New Roman" w:hAnsi="Times New Roman" w:cs="Times New Roman"/>
          <w:sz w:val="24"/>
          <w:szCs w:val="24"/>
        </w:rPr>
      </w:pPr>
      <w:r w:rsidRPr="00ED50B3">
        <w:rPr>
          <w:rFonts w:ascii="Times New Roman" w:hAnsi="Times New Roman" w:cs="Times New Roman"/>
          <w:sz w:val="24"/>
          <w:szCs w:val="24"/>
        </w:rPr>
        <w:t xml:space="preserve">Işık ve Hassan (2002) </w:t>
      </w:r>
      <w:r>
        <w:rPr>
          <w:rFonts w:ascii="Times New Roman" w:hAnsi="Times New Roman" w:cs="Times New Roman"/>
          <w:sz w:val="24"/>
          <w:szCs w:val="24"/>
        </w:rPr>
        <w:t>çalışmasında Türk Bankacılık S</w:t>
      </w:r>
      <w:r w:rsidRPr="00ED50B3">
        <w:rPr>
          <w:rFonts w:ascii="Times New Roman" w:hAnsi="Times New Roman" w:cs="Times New Roman"/>
          <w:sz w:val="24"/>
          <w:szCs w:val="24"/>
        </w:rPr>
        <w:t>istemi</w:t>
      </w:r>
      <w:r>
        <w:rPr>
          <w:rFonts w:ascii="Times New Roman" w:hAnsi="Times New Roman" w:cs="Times New Roman"/>
          <w:sz w:val="24"/>
          <w:szCs w:val="24"/>
        </w:rPr>
        <w:t>’</w:t>
      </w:r>
      <w:r w:rsidRPr="00ED50B3">
        <w:rPr>
          <w:rFonts w:ascii="Times New Roman" w:hAnsi="Times New Roman" w:cs="Times New Roman"/>
          <w:sz w:val="24"/>
          <w:szCs w:val="24"/>
        </w:rPr>
        <w:t>nde teknik,</w:t>
      </w:r>
      <w:r>
        <w:rPr>
          <w:rFonts w:ascii="Times New Roman" w:hAnsi="Times New Roman" w:cs="Times New Roman"/>
          <w:sz w:val="24"/>
          <w:szCs w:val="24"/>
        </w:rPr>
        <w:t xml:space="preserve"> ölçek ve dağıtımsal etkinsizl</w:t>
      </w:r>
      <w:r w:rsidRPr="00ED50B3">
        <w:rPr>
          <w:rFonts w:ascii="Times New Roman" w:hAnsi="Times New Roman" w:cs="Times New Roman"/>
          <w:sz w:val="24"/>
          <w:szCs w:val="24"/>
        </w:rPr>
        <w:t>i</w:t>
      </w:r>
      <w:r>
        <w:rPr>
          <w:rFonts w:ascii="Times New Roman" w:hAnsi="Times New Roman" w:cs="Times New Roman"/>
          <w:sz w:val="24"/>
          <w:szCs w:val="24"/>
        </w:rPr>
        <w:t>k</w:t>
      </w:r>
      <w:r w:rsidRPr="00ED50B3">
        <w:rPr>
          <w:rFonts w:ascii="Times New Roman" w:hAnsi="Times New Roman" w:cs="Times New Roman"/>
          <w:sz w:val="24"/>
          <w:szCs w:val="24"/>
        </w:rPr>
        <w:t xml:space="preserve"> ölçmeye çalış</w:t>
      </w:r>
      <w:r>
        <w:rPr>
          <w:rFonts w:ascii="Times New Roman" w:hAnsi="Times New Roman" w:cs="Times New Roman"/>
          <w:sz w:val="24"/>
          <w:szCs w:val="24"/>
        </w:rPr>
        <w:t>ıl</w:t>
      </w:r>
      <w:r w:rsidRPr="00ED50B3">
        <w:rPr>
          <w:rFonts w:ascii="Times New Roman" w:hAnsi="Times New Roman" w:cs="Times New Roman"/>
          <w:sz w:val="24"/>
          <w:szCs w:val="24"/>
        </w:rPr>
        <w:t>mış</w:t>
      </w:r>
      <w:r>
        <w:rPr>
          <w:rFonts w:ascii="Times New Roman" w:hAnsi="Times New Roman" w:cs="Times New Roman"/>
          <w:sz w:val="24"/>
          <w:szCs w:val="24"/>
        </w:rPr>
        <w:t>t</w:t>
      </w:r>
      <w:r w:rsidRPr="00ED50B3">
        <w:rPr>
          <w:rFonts w:ascii="Times New Roman" w:hAnsi="Times New Roman" w:cs="Times New Roman"/>
          <w:sz w:val="24"/>
          <w:szCs w:val="24"/>
        </w:rPr>
        <w:t>ır. 1988 yılından başlayarak 4’er yıl arayla değişik banka (daha çok ticari) sayılarıyla analiz yap</w:t>
      </w:r>
      <w:r>
        <w:rPr>
          <w:rFonts w:ascii="Times New Roman" w:hAnsi="Times New Roman" w:cs="Times New Roman"/>
          <w:sz w:val="24"/>
          <w:szCs w:val="24"/>
        </w:rPr>
        <w:t>ılmışt</w:t>
      </w:r>
      <w:r w:rsidRPr="00ED50B3">
        <w:rPr>
          <w:rFonts w:ascii="Times New Roman" w:hAnsi="Times New Roman" w:cs="Times New Roman"/>
          <w:sz w:val="24"/>
          <w:szCs w:val="24"/>
        </w:rPr>
        <w:t xml:space="preserve">ır. 3 girdi (personel, sermaye ve mevduat) ve 4 </w:t>
      </w:r>
      <w:r w:rsidR="00FC03B9">
        <w:rPr>
          <w:rFonts w:ascii="Times New Roman" w:hAnsi="Times New Roman" w:cs="Times New Roman"/>
          <w:sz w:val="24"/>
          <w:szCs w:val="24"/>
        </w:rPr>
        <w:t>çıktı (k</w:t>
      </w:r>
      <w:r w:rsidRPr="00ED50B3">
        <w:rPr>
          <w:rFonts w:ascii="Times New Roman" w:hAnsi="Times New Roman" w:cs="Times New Roman"/>
          <w:sz w:val="24"/>
          <w:szCs w:val="24"/>
        </w:rPr>
        <w:t>ıs</w:t>
      </w:r>
      <w:r w:rsidR="00FC03B9">
        <w:rPr>
          <w:rFonts w:ascii="Times New Roman" w:hAnsi="Times New Roman" w:cs="Times New Roman"/>
          <w:sz w:val="24"/>
          <w:szCs w:val="24"/>
        </w:rPr>
        <w:t>a süreli krediler, uzun süreli krediler, gayri-nakdi k</w:t>
      </w:r>
      <w:r w:rsidRPr="00ED50B3">
        <w:rPr>
          <w:rFonts w:ascii="Times New Roman" w:hAnsi="Times New Roman" w:cs="Times New Roman"/>
          <w:sz w:val="24"/>
          <w:szCs w:val="24"/>
        </w:rPr>
        <w:t xml:space="preserve">rediler ve </w:t>
      </w:r>
      <w:r w:rsidR="00FC03B9">
        <w:rPr>
          <w:rFonts w:ascii="Times New Roman" w:hAnsi="Times New Roman" w:cs="Times New Roman"/>
          <w:sz w:val="24"/>
          <w:szCs w:val="24"/>
        </w:rPr>
        <w:t>d</w:t>
      </w:r>
      <w:r w:rsidRPr="00ED50B3">
        <w:rPr>
          <w:rFonts w:ascii="Times New Roman" w:hAnsi="Times New Roman" w:cs="Times New Roman"/>
          <w:sz w:val="24"/>
          <w:szCs w:val="24"/>
        </w:rPr>
        <w:t>iğer</w:t>
      </w:r>
      <w:r w:rsidR="00FC03B9">
        <w:rPr>
          <w:rFonts w:ascii="Times New Roman" w:hAnsi="Times New Roman" w:cs="Times New Roman"/>
          <w:sz w:val="24"/>
          <w:szCs w:val="24"/>
        </w:rPr>
        <w:t xml:space="preserve"> g</w:t>
      </w:r>
      <w:r>
        <w:rPr>
          <w:rFonts w:ascii="Times New Roman" w:hAnsi="Times New Roman" w:cs="Times New Roman"/>
          <w:sz w:val="24"/>
          <w:szCs w:val="24"/>
        </w:rPr>
        <w:t>elirler) kullan</w:t>
      </w:r>
      <w:r w:rsidR="00131050">
        <w:rPr>
          <w:rFonts w:ascii="Times New Roman" w:hAnsi="Times New Roman" w:cs="Times New Roman"/>
          <w:sz w:val="24"/>
          <w:szCs w:val="24"/>
        </w:rPr>
        <w:t>ıl</w:t>
      </w:r>
      <w:r>
        <w:rPr>
          <w:rFonts w:ascii="Times New Roman" w:hAnsi="Times New Roman" w:cs="Times New Roman"/>
          <w:sz w:val="24"/>
          <w:szCs w:val="24"/>
        </w:rPr>
        <w:t>arak yapılan</w:t>
      </w:r>
      <w:r w:rsidRPr="00ED50B3">
        <w:rPr>
          <w:rFonts w:ascii="Times New Roman" w:hAnsi="Times New Roman" w:cs="Times New Roman"/>
          <w:sz w:val="24"/>
          <w:szCs w:val="24"/>
        </w:rPr>
        <w:t xml:space="preserve"> analiz</w:t>
      </w:r>
      <w:r>
        <w:rPr>
          <w:rFonts w:ascii="Times New Roman" w:hAnsi="Times New Roman" w:cs="Times New Roman"/>
          <w:sz w:val="24"/>
          <w:szCs w:val="24"/>
        </w:rPr>
        <w:t>ler</w:t>
      </w:r>
      <w:r w:rsidRPr="00ED50B3">
        <w:rPr>
          <w:rFonts w:ascii="Times New Roman" w:hAnsi="Times New Roman" w:cs="Times New Roman"/>
          <w:sz w:val="24"/>
          <w:szCs w:val="24"/>
        </w:rPr>
        <w:t xml:space="preserve"> sonucunda </w:t>
      </w:r>
      <w:r>
        <w:rPr>
          <w:rFonts w:ascii="Times New Roman" w:hAnsi="Times New Roman" w:cs="Times New Roman"/>
          <w:sz w:val="24"/>
          <w:szCs w:val="24"/>
        </w:rPr>
        <w:t>Türk Bankacılık S</w:t>
      </w:r>
      <w:r w:rsidRPr="00ED50B3">
        <w:rPr>
          <w:rFonts w:ascii="Times New Roman" w:hAnsi="Times New Roman" w:cs="Times New Roman"/>
          <w:sz w:val="24"/>
          <w:szCs w:val="24"/>
        </w:rPr>
        <w:t>istemi</w:t>
      </w:r>
      <w:r>
        <w:rPr>
          <w:rFonts w:ascii="Times New Roman" w:hAnsi="Times New Roman" w:cs="Times New Roman"/>
          <w:sz w:val="24"/>
          <w:szCs w:val="24"/>
        </w:rPr>
        <w:t xml:space="preserve">’nin yeterli düzeyde </w:t>
      </w:r>
      <w:r w:rsidRPr="00ED50B3">
        <w:rPr>
          <w:rFonts w:ascii="Times New Roman" w:hAnsi="Times New Roman" w:cs="Times New Roman"/>
          <w:sz w:val="24"/>
          <w:szCs w:val="24"/>
        </w:rPr>
        <w:t>etkin olmadığını belirle</w:t>
      </w:r>
      <w:r>
        <w:rPr>
          <w:rFonts w:ascii="Times New Roman" w:hAnsi="Times New Roman" w:cs="Times New Roman"/>
          <w:sz w:val="24"/>
          <w:szCs w:val="24"/>
        </w:rPr>
        <w:t>n</w:t>
      </w:r>
      <w:r w:rsidRPr="00ED50B3">
        <w:rPr>
          <w:rFonts w:ascii="Times New Roman" w:hAnsi="Times New Roman" w:cs="Times New Roman"/>
          <w:sz w:val="24"/>
          <w:szCs w:val="24"/>
        </w:rPr>
        <w:t>miş</w:t>
      </w:r>
      <w:r>
        <w:rPr>
          <w:rFonts w:ascii="Times New Roman" w:hAnsi="Times New Roman" w:cs="Times New Roman"/>
          <w:sz w:val="24"/>
          <w:szCs w:val="24"/>
        </w:rPr>
        <w:t>t</w:t>
      </w:r>
      <w:r w:rsidRPr="00ED50B3">
        <w:rPr>
          <w:rFonts w:ascii="Times New Roman" w:hAnsi="Times New Roman" w:cs="Times New Roman"/>
          <w:sz w:val="24"/>
          <w:szCs w:val="24"/>
        </w:rPr>
        <w:t>ir.</w:t>
      </w:r>
    </w:p>
    <w:p w:rsidR="001A0CBB" w:rsidRDefault="001A0CBB" w:rsidP="00A265E6">
      <w:pPr>
        <w:spacing w:after="120" w:line="240" w:lineRule="auto"/>
        <w:jc w:val="both"/>
        <w:rPr>
          <w:rFonts w:ascii="Times New Roman" w:hAnsi="Times New Roman" w:cs="Times New Roman"/>
          <w:sz w:val="24"/>
          <w:szCs w:val="24"/>
        </w:rPr>
      </w:pPr>
      <w:r w:rsidRPr="003D3B83">
        <w:rPr>
          <w:rFonts w:ascii="Times New Roman" w:hAnsi="Times New Roman" w:cs="Times New Roman"/>
          <w:sz w:val="24"/>
          <w:szCs w:val="24"/>
        </w:rPr>
        <w:t xml:space="preserve">Mercan vd. (2003) çalışmalarında </w:t>
      </w:r>
      <w:r w:rsidR="00ED50B3">
        <w:rPr>
          <w:rFonts w:ascii="Times New Roman" w:hAnsi="Times New Roman" w:cs="Times New Roman"/>
          <w:sz w:val="24"/>
          <w:szCs w:val="24"/>
        </w:rPr>
        <w:t xml:space="preserve">Türkiye’deki </w:t>
      </w:r>
      <w:r w:rsidRPr="003D3B83">
        <w:rPr>
          <w:rFonts w:ascii="Times New Roman" w:hAnsi="Times New Roman" w:cs="Times New Roman"/>
          <w:sz w:val="24"/>
          <w:szCs w:val="24"/>
        </w:rPr>
        <w:t>ticari bankaların 1989-1999 y</w:t>
      </w:r>
      <w:r>
        <w:rPr>
          <w:rFonts w:ascii="Times New Roman" w:hAnsi="Times New Roman" w:cs="Times New Roman"/>
          <w:sz w:val="24"/>
          <w:szCs w:val="24"/>
        </w:rPr>
        <w:t>ılları arasındaki etkinlikleri</w:t>
      </w:r>
      <w:r w:rsidRPr="003D3B83">
        <w:rPr>
          <w:rFonts w:ascii="Times New Roman" w:hAnsi="Times New Roman" w:cs="Times New Roman"/>
          <w:sz w:val="24"/>
          <w:szCs w:val="24"/>
        </w:rPr>
        <w:t xml:space="preserve">, 2 girdi ve 3 </w:t>
      </w:r>
      <w:r>
        <w:rPr>
          <w:rFonts w:ascii="Times New Roman" w:hAnsi="Times New Roman" w:cs="Times New Roman"/>
          <w:sz w:val="24"/>
          <w:szCs w:val="24"/>
        </w:rPr>
        <w:t>çıktı değişkeni kullanılarak incelenmiştir. Bu çalışmadan elde edilen bulgulara göre</w:t>
      </w:r>
      <w:r w:rsidR="001F2870">
        <w:rPr>
          <w:rFonts w:ascii="Times New Roman" w:hAnsi="Times New Roman" w:cs="Times New Roman"/>
          <w:sz w:val="24"/>
          <w:szCs w:val="24"/>
        </w:rPr>
        <w:t>,</w:t>
      </w:r>
      <w:r>
        <w:rPr>
          <w:rFonts w:ascii="Times New Roman" w:hAnsi="Times New Roman" w:cs="Times New Roman"/>
          <w:sz w:val="24"/>
          <w:szCs w:val="24"/>
        </w:rPr>
        <w:t xml:space="preserve"> Türkiye’deki ticari bankaların finansal performansları 1993 yılına kadar artma eğiliminde iken </w:t>
      </w:r>
      <w:r w:rsidR="007E2075">
        <w:rPr>
          <w:rFonts w:ascii="Times New Roman" w:hAnsi="Times New Roman" w:cs="Times New Roman"/>
          <w:sz w:val="24"/>
          <w:szCs w:val="24"/>
        </w:rPr>
        <w:t>bu yıldan sonra düşüş yaşandığı</w:t>
      </w:r>
      <w:r>
        <w:rPr>
          <w:rFonts w:ascii="Times New Roman" w:hAnsi="Times New Roman" w:cs="Times New Roman"/>
          <w:sz w:val="24"/>
          <w:szCs w:val="24"/>
        </w:rPr>
        <w:t xml:space="preserve"> </w:t>
      </w:r>
      <w:r w:rsidR="005953EA">
        <w:rPr>
          <w:rFonts w:ascii="Times New Roman" w:hAnsi="Times New Roman" w:cs="Times New Roman"/>
          <w:sz w:val="24"/>
          <w:szCs w:val="24"/>
        </w:rPr>
        <w:t>belirlen</w:t>
      </w:r>
      <w:r>
        <w:rPr>
          <w:rFonts w:ascii="Times New Roman" w:hAnsi="Times New Roman" w:cs="Times New Roman"/>
          <w:sz w:val="24"/>
          <w:szCs w:val="24"/>
        </w:rPr>
        <w:t xml:space="preserve">miştir. Ayrıca, 1989-1999 yılları </w:t>
      </w:r>
      <w:r>
        <w:rPr>
          <w:rFonts w:ascii="Times New Roman" w:hAnsi="Times New Roman" w:cs="Times New Roman"/>
          <w:sz w:val="24"/>
          <w:szCs w:val="24"/>
        </w:rPr>
        <w:lastRenderedPageBreak/>
        <w:t>arasında Türkiye’de faaliyet gösteren yabancı ve özel sermayeli bankaların kamu bankalarından daha</w:t>
      </w:r>
      <w:r w:rsidR="00ED50B3">
        <w:rPr>
          <w:rFonts w:ascii="Times New Roman" w:hAnsi="Times New Roman" w:cs="Times New Roman"/>
          <w:sz w:val="24"/>
          <w:szCs w:val="24"/>
        </w:rPr>
        <w:t xml:space="preserve"> etkin olduğu bulgusu</w:t>
      </w:r>
      <w:r>
        <w:rPr>
          <w:rFonts w:ascii="Times New Roman" w:hAnsi="Times New Roman" w:cs="Times New Roman"/>
          <w:sz w:val="24"/>
          <w:szCs w:val="24"/>
        </w:rPr>
        <w:t xml:space="preserve"> </w:t>
      </w:r>
      <w:r w:rsidR="00ED50B3">
        <w:rPr>
          <w:rFonts w:ascii="Times New Roman" w:hAnsi="Times New Roman" w:cs="Times New Roman"/>
          <w:sz w:val="24"/>
          <w:szCs w:val="24"/>
        </w:rPr>
        <w:t>elde edilmiştir</w:t>
      </w:r>
      <w:r>
        <w:rPr>
          <w:rFonts w:ascii="Times New Roman" w:hAnsi="Times New Roman" w:cs="Times New Roman"/>
          <w:sz w:val="24"/>
          <w:szCs w:val="24"/>
        </w:rPr>
        <w:t xml:space="preserve">.  </w:t>
      </w:r>
      <w:r w:rsidRPr="003D3B83">
        <w:rPr>
          <w:rFonts w:ascii="Times New Roman" w:hAnsi="Times New Roman" w:cs="Times New Roman"/>
          <w:sz w:val="24"/>
          <w:szCs w:val="24"/>
        </w:rPr>
        <w:t xml:space="preserve"> </w:t>
      </w:r>
    </w:p>
    <w:p w:rsidR="005953EA" w:rsidRPr="005953EA" w:rsidRDefault="005953EA" w:rsidP="00A265E6">
      <w:pPr>
        <w:spacing w:after="120" w:line="240" w:lineRule="auto"/>
        <w:jc w:val="both"/>
        <w:rPr>
          <w:rFonts w:ascii="Times New Roman" w:hAnsi="Times New Roman" w:cs="Times New Roman"/>
          <w:sz w:val="24"/>
          <w:szCs w:val="24"/>
        </w:rPr>
      </w:pPr>
      <w:r w:rsidRPr="005953EA">
        <w:rPr>
          <w:rFonts w:ascii="Times New Roman" w:hAnsi="Times New Roman" w:cs="Times New Roman"/>
          <w:sz w:val="24"/>
          <w:szCs w:val="24"/>
        </w:rPr>
        <w:t>Kay</w:t>
      </w:r>
      <w:r>
        <w:rPr>
          <w:rFonts w:ascii="Times New Roman" w:hAnsi="Times New Roman" w:cs="Times New Roman"/>
          <w:sz w:val="24"/>
          <w:szCs w:val="24"/>
        </w:rPr>
        <w:t>a ve Doğan</w:t>
      </w:r>
      <w:r w:rsidR="00981F0D">
        <w:rPr>
          <w:rFonts w:ascii="Times New Roman" w:hAnsi="Times New Roman" w:cs="Times New Roman"/>
          <w:sz w:val="24"/>
          <w:szCs w:val="24"/>
        </w:rPr>
        <w:t>’ın</w:t>
      </w:r>
      <w:r>
        <w:rPr>
          <w:rFonts w:ascii="Times New Roman" w:hAnsi="Times New Roman" w:cs="Times New Roman"/>
          <w:sz w:val="24"/>
          <w:szCs w:val="24"/>
        </w:rPr>
        <w:t xml:space="preserve"> (2005) çalışmasında</w:t>
      </w:r>
      <w:r w:rsidRPr="005953EA">
        <w:rPr>
          <w:rFonts w:ascii="Times New Roman" w:hAnsi="Times New Roman" w:cs="Times New Roman"/>
          <w:sz w:val="24"/>
          <w:szCs w:val="24"/>
        </w:rPr>
        <w:t xml:space="preserve"> girdi ve çıktı verileri yönünden üretim yaklaşımına ve aracılık yaklaşımına yönelik iki ayrı veri set</w:t>
      </w:r>
      <w:r>
        <w:rPr>
          <w:rFonts w:ascii="Times New Roman" w:hAnsi="Times New Roman" w:cs="Times New Roman"/>
          <w:sz w:val="24"/>
          <w:szCs w:val="24"/>
        </w:rPr>
        <w:t>i</w:t>
      </w:r>
      <w:r w:rsidRPr="005953EA">
        <w:rPr>
          <w:rFonts w:ascii="Times New Roman" w:hAnsi="Times New Roman" w:cs="Times New Roman"/>
          <w:sz w:val="24"/>
          <w:szCs w:val="24"/>
        </w:rPr>
        <w:t xml:space="preserve"> oluştur</w:t>
      </w:r>
      <w:r>
        <w:rPr>
          <w:rFonts w:ascii="Times New Roman" w:hAnsi="Times New Roman" w:cs="Times New Roman"/>
          <w:sz w:val="24"/>
          <w:szCs w:val="24"/>
        </w:rPr>
        <w:t>ulmuştur</w:t>
      </w:r>
      <w:r w:rsidRPr="005953EA">
        <w:rPr>
          <w:rFonts w:ascii="Times New Roman" w:hAnsi="Times New Roman" w:cs="Times New Roman"/>
          <w:sz w:val="24"/>
          <w:szCs w:val="24"/>
        </w:rPr>
        <w:t>. Üretim yaklaşımı</w:t>
      </w:r>
      <w:r w:rsidR="001F2870">
        <w:rPr>
          <w:rFonts w:ascii="Times New Roman" w:hAnsi="Times New Roman" w:cs="Times New Roman"/>
          <w:sz w:val="24"/>
          <w:szCs w:val="24"/>
        </w:rPr>
        <w:t xml:space="preserve"> girdileri (personel giderleri/</w:t>
      </w:r>
      <w:r w:rsidRPr="005953EA">
        <w:rPr>
          <w:rFonts w:ascii="Times New Roman" w:hAnsi="Times New Roman" w:cs="Times New Roman"/>
          <w:sz w:val="24"/>
          <w:szCs w:val="24"/>
        </w:rPr>
        <w:t>toplam akti</w:t>
      </w:r>
      <w:r w:rsidR="001F2870">
        <w:rPr>
          <w:rFonts w:ascii="Times New Roman" w:hAnsi="Times New Roman" w:cs="Times New Roman"/>
          <w:sz w:val="24"/>
          <w:szCs w:val="24"/>
        </w:rPr>
        <w:t>fler, diğer faiz dışı giderler/</w:t>
      </w:r>
      <w:r w:rsidRPr="005953EA">
        <w:rPr>
          <w:rFonts w:ascii="Times New Roman" w:hAnsi="Times New Roman" w:cs="Times New Roman"/>
          <w:sz w:val="24"/>
          <w:szCs w:val="24"/>
        </w:rPr>
        <w:t>toplam aktifler, şube başına personel sayısı</w:t>
      </w:r>
      <w:r w:rsidR="001F2870">
        <w:rPr>
          <w:rFonts w:ascii="Times New Roman" w:hAnsi="Times New Roman" w:cs="Times New Roman"/>
          <w:sz w:val="24"/>
          <w:szCs w:val="24"/>
        </w:rPr>
        <w:t>) ve çıktıları (toplam mevduat/</w:t>
      </w:r>
      <w:r w:rsidRPr="005953EA">
        <w:rPr>
          <w:rFonts w:ascii="Times New Roman" w:hAnsi="Times New Roman" w:cs="Times New Roman"/>
          <w:sz w:val="24"/>
          <w:szCs w:val="24"/>
        </w:rPr>
        <w:t>toplam aktifler, toplam krediler/toplam aktifler) olarak belirlenmektedir. Aracılık yaklaşımı girdileri (mevduat/ toplam aktifler, mevduat dışı yabancı kaynaklar/toplam aktifler, faiz giderleri/ toplam aktifler, faiz dışı giderler/ toplam aktifler) ve çıktıları (toplam krediler/toplam aktifler, faiz gelirleri/toplam aktifler) olarak belirlenmektedir.</w:t>
      </w:r>
    </w:p>
    <w:p w:rsidR="001A0CBB" w:rsidRDefault="001A0CBB" w:rsidP="00A265E6">
      <w:pPr>
        <w:spacing w:after="120" w:line="240" w:lineRule="auto"/>
        <w:jc w:val="both"/>
        <w:rPr>
          <w:rFonts w:ascii="Times New Roman" w:hAnsi="Times New Roman" w:cs="Times New Roman"/>
          <w:sz w:val="24"/>
          <w:szCs w:val="24"/>
        </w:rPr>
      </w:pPr>
      <w:r w:rsidRPr="003D3B83">
        <w:rPr>
          <w:rFonts w:ascii="Times New Roman" w:hAnsi="Times New Roman" w:cs="Times New Roman"/>
          <w:sz w:val="24"/>
          <w:szCs w:val="24"/>
        </w:rPr>
        <w:t>Şakar (2006</w:t>
      </w:r>
      <w:r>
        <w:rPr>
          <w:rFonts w:ascii="Times New Roman" w:hAnsi="Times New Roman" w:cs="Times New Roman"/>
          <w:sz w:val="24"/>
          <w:szCs w:val="24"/>
        </w:rPr>
        <w:t>) çalışmasında,</w:t>
      </w:r>
      <w:r w:rsidRPr="003D3B83">
        <w:rPr>
          <w:rFonts w:ascii="Times New Roman" w:hAnsi="Times New Roman" w:cs="Times New Roman"/>
          <w:sz w:val="24"/>
          <w:szCs w:val="24"/>
        </w:rPr>
        <w:t xml:space="preserve"> </w:t>
      </w:r>
      <w:r>
        <w:rPr>
          <w:rFonts w:ascii="Times New Roman" w:hAnsi="Times New Roman" w:cs="Times New Roman"/>
          <w:sz w:val="24"/>
          <w:szCs w:val="24"/>
        </w:rPr>
        <w:t xml:space="preserve">Türkiye’deki </w:t>
      </w:r>
      <w:r w:rsidRPr="003D3B83">
        <w:rPr>
          <w:rFonts w:ascii="Times New Roman" w:hAnsi="Times New Roman" w:cs="Times New Roman"/>
          <w:sz w:val="24"/>
          <w:szCs w:val="24"/>
        </w:rPr>
        <w:t>11 ticari bankanın 2003-200</w:t>
      </w:r>
      <w:r>
        <w:rPr>
          <w:rFonts w:ascii="Times New Roman" w:hAnsi="Times New Roman" w:cs="Times New Roman"/>
          <w:sz w:val="24"/>
          <w:szCs w:val="24"/>
        </w:rPr>
        <w:t>5 yılları arasındaki etkinliği</w:t>
      </w:r>
      <w:r w:rsidR="00994D02">
        <w:rPr>
          <w:rFonts w:ascii="Times New Roman" w:hAnsi="Times New Roman" w:cs="Times New Roman"/>
          <w:sz w:val="24"/>
          <w:szCs w:val="24"/>
        </w:rPr>
        <w:t>ni</w:t>
      </w:r>
      <w:r w:rsidRPr="003D3B83">
        <w:rPr>
          <w:rFonts w:ascii="Times New Roman" w:hAnsi="Times New Roman" w:cs="Times New Roman"/>
          <w:sz w:val="24"/>
          <w:szCs w:val="24"/>
        </w:rPr>
        <w:t xml:space="preserve"> 5 girdi değişkeni (şube sayısı, şube başına personel sayısı, aktif payı, kredi payı ve mevduat payı) ve 5 çıktı değişkeni (ak</w:t>
      </w:r>
      <w:r w:rsidR="00F642FD">
        <w:rPr>
          <w:rFonts w:ascii="Times New Roman" w:hAnsi="Times New Roman" w:cs="Times New Roman"/>
          <w:sz w:val="24"/>
          <w:szCs w:val="24"/>
        </w:rPr>
        <w:t>tiflerin kâ</w:t>
      </w:r>
      <w:r w:rsidR="00FB735D">
        <w:rPr>
          <w:rFonts w:ascii="Times New Roman" w:hAnsi="Times New Roman" w:cs="Times New Roman"/>
          <w:sz w:val="24"/>
          <w:szCs w:val="24"/>
        </w:rPr>
        <w:t>rlılığı, özsermaye kâ</w:t>
      </w:r>
      <w:r w:rsidRPr="003D3B83">
        <w:rPr>
          <w:rFonts w:ascii="Times New Roman" w:hAnsi="Times New Roman" w:cs="Times New Roman"/>
          <w:sz w:val="24"/>
          <w:szCs w:val="24"/>
        </w:rPr>
        <w:t xml:space="preserve">rlılığı, net faiz geliri/aktifler, net faiz geliri/toplam faaliyet gelirleri ve faiz dışı gelirler/toplam aktifler rasyoları) kullanarak </w:t>
      </w:r>
      <w:r w:rsidR="00E94D4C">
        <w:rPr>
          <w:rFonts w:ascii="Times New Roman" w:hAnsi="Times New Roman" w:cs="Times New Roman"/>
          <w:sz w:val="24"/>
          <w:szCs w:val="24"/>
        </w:rPr>
        <w:t>incele</w:t>
      </w:r>
      <w:r>
        <w:rPr>
          <w:rFonts w:ascii="Times New Roman" w:hAnsi="Times New Roman" w:cs="Times New Roman"/>
          <w:sz w:val="24"/>
          <w:szCs w:val="24"/>
        </w:rPr>
        <w:t>miştir</w:t>
      </w:r>
      <w:r w:rsidRPr="003D3B83">
        <w:rPr>
          <w:rFonts w:ascii="Times New Roman" w:hAnsi="Times New Roman" w:cs="Times New Roman"/>
          <w:sz w:val="24"/>
          <w:szCs w:val="24"/>
        </w:rPr>
        <w:t xml:space="preserve">. Çalışmada ayrıca ölçeğe göre sabit ve değişken getirinin etkinlik değerlerinde yarattığı değişimi analiz etmek için Malmquist endeks değerleri hesaplanmıştır. </w:t>
      </w:r>
    </w:p>
    <w:p w:rsidR="005953EA" w:rsidRPr="005953EA" w:rsidRDefault="005953EA" w:rsidP="00A265E6">
      <w:pPr>
        <w:spacing w:after="120" w:line="240" w:lineRule="auto"/>
        <w:jc w:val="both"/>
        <w:rPr>
          <w:rFonts w:ascii="Times New Roman" w:hAnsi="Times New Roman" w:cs="Times New Roman"/>
          <w:sz w:val="24"/>
          <w:szCs w:val="24"/>
        </w:rPr>
      </w:pPr>
      <w:r w:rsidRPr="005953EA">
        <w:rPr>
          <w:rFonts w:ascii="Times New Roman" w:hAnsi="Times New Roman" w:cs="Times New Roman"/>
          <w:sz w:val="24"/>
          <w:szCs w:val="24"/>
        </w:rPr>
        <w:t>Bastı (2006)</w:t>
      </w:r>
      <w:r w:rsidR="00066A5D" w:rsidRPr="00066A5D">
        <w:rPr>
          <w:rFonts w:ascii="Times New Roman" w:hAnsi="Times New Roman" w:cs="Times New Roman"/>
          <w:sz w:val="24"/>
          <w:szCs w:val="24"/>
        </w:rPr>
        <w:t xml:space="preserve"> </w:t>
      </w:r>
      <w:r w:rsidR="00066A5D">
        <w:rPr>
          <w:rFonts w:ascii="Times New Roman" w:hAnsi="Times New Roman" w:cs="Times New Roman"/>
          <w:sz w:val="24"/>
          <w:szCs w:val="24"/>
        </w:rPr>
        <w:t>’nın</w:t>
      </w:r>
      <w:r w:rsidRPr="005953EA">
        <w:rPr>
          <w:rFonts w:ascii="Times New Roman" w:hAnsi="Times New Roman" w:cs="Times New Roman"/>
          <w:sz w:val="24"/>
          <w:szCs w:val="24"/>
        </w:rPr>
        <w:t xml:space="preserve">, 2001 </w:t>
      </w:r>
      <w:r w:rsidR="003761C0">
        <w:rPr>
          <w:rFonts w:ascii="Times New Roman" w:hAnsi="Times New Roman" w:cs="Times New Roman"/>
          <w:sz w:val="24"/>
          <w:szCs w:val="24"/>
        </w:rPr>
        <w:t>Finansal K</w:t>
      </w:r>
      <w:r w:rsidRPr="005953EA">
        <w:rPr>
          <w:rFonts w:ascii="Times New Roman" w:hAnsi="Times New Roman" w:cs="Times New Roman"/>
          <w:sz w:val="24"/>
          <w:szCs w:val="24"/>
        </w:rPr>
        <w:t>rizi</w:t>
      </w:r>
      <w:r w:rsidR="003761C0">
        <w:rPr>
          <w:rFonts w:ascii="Times New Roman" w:hAnsi="Times New Roman" w:cs="Times New Roman"/>
          <w:sz w:val="24"/>
          <w:szCs w:val="24"/>
        </w:rPr>
        <w:t>’</w:t>
      </w:r>
      <w:r w:rsidRPr="005953EA">
        <w:rPr>
          <w:rFonts w:ascii="Times New Roman" w:hAnsi="Times New Roman" w:cs="Times New Roman"/>
          <w:sz w:val="24"/>
          <w:szCs w:val="24"/>
        </w:rPr>
        <w:t>nin</w:t>
      </w:r>
      <w:r w:rsidR="0012007D">
        <w:rPr>
          <w:rFonts w:ascii="Times New Roman" w:hAnsi="Times New Roman" w:cs="Times New Roman"/>
          <w:sz w:val="24"/>
          <w:szCs w:val="24"/>
        </w:rPr>
        <w:t>,</w:t>
      </w:r>
      <w:r w:rsidRPr="005953EA">
        <w:rPr>
          <w:rFonts w:ascii="Times New Roman" w:hAnsi="Times New Roman" w:cs="Times New Roman"/>
          <w:sz w:val="24"/>
          <w:szCs w:val="24"/>
        </w:rPr>
        <w:t xml:space="preserve"> sektörün toplam faktör verimliliğine etkilerini incelediği çalışma</w:t>
      </w:r>
      <w:r w:rsidR="003761C0">
        <w:rPr>
          <w:rFonts w:ascii="Times New Roman" w:hAnsi="Times New Roman" w:cs="Times New Roman"/>
          <w:sz w:val="24"/>
          <w:szCs w:val="24"/>
        </w:rPr>
        <w:t>sın</w:t>
      </w:r>
      <w:r w:rsidRPr="005953EA">
        <w:rPr>
          <w:rFonts w:ascii="Times New Roman" w:hAnsi="Times New Roman" w:cs="Times New Roman"/>
          <w:sz w:val="24"/>
          <w:szCs w:val="24"/>
        </w:rPr>
        <w:t>da, sektörde kriz nedeniyle verimlilik kaybının oluştuğu</w:t>
      </w:r>
      <w:r w:rsidR="0012007D">
        <w:rPr>
          <w:rFonts w:ascii="Times New Roman" w:hAnsi="Times New Roman" w:cs="Times New Roman"/>
          <w:sz w:val="24"/>
          <w:szCs w:val="24"/>
        </w:rPr>
        <w:t>nu</w:t>
      </w:r>
      <w:r w:rsidRPr="005953EA">
        <w:rPr>
          <w:rFonts w:ascii="Times New Roman" w:hAnsi="Times New Roman" w:cs="Times New Roman"/>
          <w:sz w:val="24"/>
          <w:szCs w:val="24"/>
        </w:rPr>
        <w:t>, ancak kriz sonrası dönemde yaşanan artış ile birlikte sektörün kr</w:t>
      </w:r>
      <w:r w:rsidR="0012007D">
        <w:rPr>
          <w:rFonts w:ascii="Times New Roman" w:hAnsi="Times New Roman" w:cs="Times New Roman"/>
          <w:sz w:val="24"/>
          <w:szCs w:val="24"/>
        </w:rPr>
        <w:t xml:space="preserve">izin olumsuz etkilerini sildiğini </w:t>
      </w:r>
      <w:r w:rsidRPr="005953EA">
        <w:rPr>
          <w:rFonts w:ascii="Times New Roman" w:hAnsi="Times New Roman" w:cs="Times New Roman"/>
          <w:sz w:val="24"/>
          <w:szCs w:val="24"/>
        </w:rPr>
        <w:t>ortaya ko</w:t>
      </w:r>
      <w:r w:rsidR="0012007D">
        <w:rPr>
          <w:rFonts w:ascii="Times New Roman" w:hAnsi="Times New Roman" w:cs="Times New Roman"/>
          <w:sz w:val="24"/>
          <w:szCs w:val="24"/>
        </w:rPr>
        <w:t>y</w:t>
      </w:r>
      <w:r w:rsidRPr="005953EA">
        <w:rPr>
          <w:rFonts w:ascii="Times New Roman" w:hAnsi="Times New Roman" w:cs="Times New Roman"/>
          <w:sz w:val="24"/>
          <w:szCs w:val="24"/>
        </w:rPr>
        <w:t>muştur. Çalışmada ayrıca, kriz sırasındaki verimlilik düşüşünün etkin sınırın gerilemesinden (teknolojik gerileme) kaynaklandığı belirtilmektedir.</w:t>
      </w:r>
    </w:p>
    <w:p w:rsidR="005953EA" w:rsidRDefault="001A0CBB"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Eleren ve</w:t>
      </w:r>
      <w:r w:rsidRPr="003D3B83">
        <w:rPr>
          <w:rFonts w:ascii="Times New Roman" w:hAnsi="Times New Roman" w:cs="Times New Roman"/>
          <w:sz w:val="24"/>
          <w:szCs w:val="24"/>
        </w:rPr>
        <w:t xml:space="preserve"> Özgür (2006)</w:t>
      </w:r>
      <w:r w:rsidR="00066A5D">
        <w:rPr>
          <w:rFonts w:ascii="Times New Roman" w:hAnsi="Times New Roman" w:cs="Times New Roman"/>
          <w:sz w:val="24"/>
          <w:szCs w:val="24"/>
        </w:rPr>
        <w:t>’ün</w:t>
      </w:r>
      <w:r w:rsidRPr="003D3B83">
        <w:rPr>
          <w:rFonts w:ascii="Times New Roman" w:hAnsi="Times New Roman" w:cs="Times New Roman"/>
          <w:sz w:val="24"/>
          <w:szCs w:val="24"/>
        </w:rPr>
        <w:t xml:space="preserve"> çalışma</w:t>
      </w:r>
      <w:r>
        <w:rPr>
          <w:rFonts w:ascii="Times New Roman" w:hAnsi="Times New Roman" w:cs="Times New Roman"/>
          <w:sz w:val="24"/>
          <w:szCs w:val="24"/>
        </w:rPr>
        <w:t>sın</w:t>
      </w:r>
      <w:r w:rsidRPr="003D3B83">
        <w:rPr>
          <w:rFonts w:ascii="Times New Roman" w:hAnsi="Times New Roman" w:cs="Times New Roman"/>
          <w:sz w:val="24"/>
          <w:szCs w:val="24"/>
        </w:rPr>
        <w:t>da</w:t>
      </w:r>
      <w:r>
        <w:rPr>
          <w:rFonts w:ascii="Times New Roman" w:hAnsi="Times New Roman" w:cs="Times New Roman"/>
          <w:sz w:val="24"/>
          <w:szCs w:val="24"/>
        </w:rPr>
        <w:t>,</w:t>
      </w:r>
      <w:r w:rsidRPr="003D3B83">
        <w:rPr>
          <w:rFonts w:ascii="Times New Roman" w:hAnsi="Times New Roman" w:cs="Times New Roman"/>
          <w:sz w:val="24"/>
          <w:szCs w:val="24"/>
        </w:rPr>
        <w:t xml:space="preserve"> 2001-2005 dönemi için Türkiye’de faaliyet gösteren yabancı sermayeli mevduat bankalarının etkinlikl</w:t>
      </w:r>
      <w:r>
        <w:rPr>
          <w:rFonts w:ascii="Times New Roman" w:hAnsi="Times New Roman" w:cs="Times New Roman"/>
          <w:sz w:val="24"/>
          <w:szCs w:val="24"/>
        </w:rPr>
        <w:t>eri</w:t>
      </w:r>
      <w:r w:rsidRPr="003D3B83">
        <w:rPr>
          <w:rFonts w:ascii="Times New Roman" w:hAnsi="Times New Roman" w:cs="Times New Roman"/>
          <w:sz w:val="24"/>
          <w:szCs w:val="24"/>
        </w:rPr>
        <w:t xml:space="preserve"> VZA </w:t>
      </w:r>
      <w:r>
        <w:rPr>
          <w:rFonts w:ascii="Times New Roman" w:hAnsi="Times New Roman" w:cs="Times New Roman"/>
          <w:sz w:val="24"/>
          <w:szCs w:val="24"/>
        </w:rPr>
        <w:t>ile</w:t>
      </w:r>
      <w:r w:rsidRPr="003D3B83">
        <w:rPr>
          <w:rFonts w:ascii="Times New Roman" w:hAnsi="Times New Roman" w:cs="Times New Roman"/>
          <w:sz w:val="24"/>
          <w:szCs w:val="24"/>
        </w:rPr>
        <w:t xml:space="preserve"> ölç</w:t>
      </w:r>
      <w:r w:rsidR="005953EA">
        <w:rPr>
          <w:rFonts w:ascii="Times New Roman" w:hAnsi="Times New Roman" w:cs="Times New Roman"/>
          <w:sz w:val="24"/>
          <w:szCs w:val="24"/>
        </w:rPr>
        <w:t>ül</w:t>
      </w:r>
      <w:r w:rsidRPr="003D3B83">
        <w:rPr>
          <w:rFonts w:ascii="Times New Roman" w:hAnsi="Times New Roman" w:cs="Times New Roman"/>
          <w:sz w:val="24"/>
          <w:szCs w:val="24"/>
        </w:rPr>
        <w:t>müş</w:t>
      </w:r>
      <w:r w:rsidR="005953EA">
        <w:rPr>
          <w:rFonts w:ascii="Times New Roman" w:hAnsi="Times New Roman" w:cs="Times New Roman"/>
          <w:sz w:val="24"/>
          <w:szCs w:val="24"/>
        </w:rPr>
        <w:t>tür</w:t>
      </w:r>
      <w:r w:rsidRPr="003D3B83">
        <w:rPr>
          <w:rFonts w:ascii="Times New Roman" w:hAnsi="Times New Roman" w:cs="Times New Roman"/>
          <w:sz w:val="24"/>
          <w:szCs w:val="24"/>
        </w:rPr>
        <w:t>. Çalışmada yabancı sermayeli 9 banka için etkinlik ölçümü gerçekleştirilmiş ve analizde girdi değişkenleri olarak mevduat ve faiz giderleri, çıktı değişkenleri olarak ise kredi ve faiz gelirleri ele alınmıştır. Çalışma sonucunda etkinlik değerlerinin ekonomik ve siyasi istikrarın yerleşmeye başladığı yıllarda düşüş eğilimi gösterdiği, 2004 yılından itibaren faiz oranlarındaki düşme ve bireysel kredi hacmindeki artışla birlikte etkinlik düzeylerinin artış eğilimine girdiği belirlenmiştir.</w:t>
      </w:r>
    </w:p>
    <w:p w:rsidR="005953EA" w:rsidRPr="005953EA" w:rsidRDefault="005953EA" w:rsidP="00A265E6">
      <w:pPr>
        <w:spacing w:after="120" w:line="240" w:lineRule="auto"/>
        <w:jc w:val="both"/>
        <w:rPr>
          <w:rFonts w:ascii="Times New Roman" w:hAnsi="Times New Roman" w:cs="Times New Roman"/>
          <w:sz w:val="24"/>
          <w:szCs w:val="24"/>
        </w:rPr>
      </w:pPr>
      <w:r w:rsidRPr="005953EA">
        <w:rPr>
          <w:rFonts w:ascii="Times New Roman" w:hAnsi="Times New Roman" w:cs="Times New Roman"/>
          <w:sz w:val="24"/>
          <w:szCs w:val="24"/>
        </w:rPr>
        <w:t>Öncü ve Aktaş (2007)</w:t>
      </w:r>
      <w:r w:rsidR="00565E8C">
        <w:rPr>
          <w:rFonts w:ascii="Times New Roman" w:hAnsi="Times New Roman" w:cs="Times New Roman"/>
          <w:sz w:val="24"/>
          <w:szCs w:val="24"/>
        </w:rPr>
        <w:t>’ın</w:t>
      </w:r>
      <w:r w:rsidRPr="005953EA">
        <w:rPr>
          <w:rFonts w:ascii="Times New Roman" w:hAnsi="Times New Roman" w:cs="Times New Roman"/>
          <w:sz w:val="24"/>
          <w:szCs w:val="24"/>
        </w:rPr>
        <w:t xml:space="preserve"> çalışmasında 2001-2005 arasında faaliyet gösteren ticari bankaların tamamına ait verilerle </w:t>
      </w:r>
      <w:r w:rsidR="00086B94">
        <w:rPr>
          <w:rFonts w:ascii="Times New Roman" w:hAnsi="Times New Roman" w:cs="Times New Roman"/>
          <w:sz w:val="24"/>
          <w:szCs w:val="24"/>
        </w:rPr>
        <w:t>Türk bankacılık sektörü</w:t>
      </w:r>
      <w:r w:rsidRPr="005953EA">
        <w:rPr>
          <w:rFonts w:ascii="Times New Roman" w:hAnsi="Times New Roman" w:cs="Times New Roman"/>
          <w:sz w:val="24"/>
          <w:szCs w:val="24"/>
        </w:rPr>
        <w:t>nün toplam faktör verimliğindeki değişimler VZA’</w:t>
      </w:r>
      <w:r w:rsidR="00565E8C">
        <w:rPr>
          <w:rFonts w:ascii="Times New Roman" w:hAnsi="Times New Roman" w:cs="Times New Roman"/>
          <w:sz w:val="24"/>
          <w:szCs w:val="24"/>
        </w:rPr>
        <w:t>ya</w:t>
      </w:r>
      <w:r w:rsidRPr="005953EA">
        <w:rPr>
          <w:rFonts w:ascii="Times New Roman" w:hAnsi="Times New Roman" w:cs="Times New Roman"/>
          <w:sz w:val="24"/>
          <w:szCs w:val="24"/>
        </w:rPr>
        <w:t xml:space="preserve"> dayalı Malmquist Endeksi kullanılarak incelenmiştir.  Modelin girdilerini personel sayısı, fiziki sermaye ve ödünç alınan fonlar oluşturmakta iken çıktılarını toplam krediler ve diğer gelir getirici varlıklar oluş</w:t>
      </w:r>
      <w:r w:rsidR="008B19B9">
        <w:rPr>
          <w:rFonts w:ascii="Times New Roman" w:hAnsi="Times New Roman" w:cs="Times New Roman"/>
          <w:sz w:val="24"/>
          <w:szCs w:val="24"/>
        </w:rPr>
        <w:t>tur</w:t>
      </w:r>
      <w:r w:rsidRPr="005953EA">
        <w:rPr>
          <w:rFonts w:ascii="Times New Roman" w:hAnsi="Times New Roman" w:cs="Times New Roman"/>
          <w:sz w:val="24"/>
          <w:szCs w:val="24"/>
        </w:rPr>
        <w:t>maktadır. Bu araştırmadan elde edilen bulgular 2001-2005 döneminde etkinlik artışından çok teknolojik ilerleme nedeniyle verimlilik kazanımı elde edildiğini ortaya koymuştur.</w:t>
      </w:r>
    </w:p>
    <w:p w:rsidR="001A0CBB" w:rsidRDefault="001A0CBB" w:rsidP="00A265E6">
      <w:pPr>
        <w:spacing w:after="120" w:line="240" w:lineRule="auto"/>
        <w:jc w:val="both"/>
        <w:rPr>
          <w:rFonts w:ascii="Times New Roman" w:hAnsi="Times New Roman" w:cs="Times New Roman"/>
          <w:sz w:val="24"/>
          <w:szCs w:val="24"/>
        </w:rPr>
      </w:pPr>
      <w:r w:rsidRPr="003D3B83">
        <w:rPr>
          <w:rFonts w:ascii="Times New Roman" w:hAnsi="Times New Roman" w:cs="Times New Roman"/>
          <w:sz w:val="24"/>
          <w:szCs w:val="24"/>
        </w:rPr>
        <w:t>Denizer vd. (2007)</w:t>
      </w:r>
      <w:r w:rsidR="0097238C">
        <w:rPr>
          <w:rFonts w:ascii="Times New Roman" w:hAnsi="Times New Roman" w:cs="Times New Roman"/>
          <w:sz w:val="24"/>
          <w:szCs w:val="24"/>
        </w:rPr>
        <w:t>’nin</w:t>
      </w:r>
      <w:r>
        <w:rPr>
          <w:rFonts w:ascii="Times New Roman" w:hAnsi="Times New Roman" w:cs="Times New Roman"/>
          <w:sz w:val="24"/>
          <w:szCs w:val="24"/>
        </w:rPr>
        <w:t xml:space="preserve"> çalışmasında,</w:t>
      </w:r>
      <w:r w:rsidRPr="003D3B83">
        <w:rPr>
          <w:rFonts w:ascii="Times New Roman" w:hAnsi="Times New Roman" w:cs="Times New Roman"/>
          <w:sz w:val="24"/>
          <w:szCs w:val="24"/>
        </w:rPr>
        <w:t xml:space="preserve"> 1970-1994 yılları arasında faaliyet gö</w:t>
      </w:r>
      <w:r>
        <w:rPr>
          <w:rFonts w:ascii="Times New Roman" w:hAnsi="Times New Roman" w:cs="Times New Roman"/>
          <w:sz w:val="24"/>
          <w:szCs w:val="24"/>
        </w:rPr>
        <w:t>steren bankaların etkinlikleri</w:t>
      </w:r>
      <w:r w:rsidRPr="003D3B83">
        <w:rPr>
          <w:rFonts w:ascii="Times New Roman" w:hAnsi="Times New Roman" w:cs="Times New Roman"/>
          <w:sz w:val="24"/>
          <w:szCs w:val="24"/>
        </w:rPr>
        <w:t xml:space="preserve"> VZA </w:t>
      </w:r>
      <w:r>
        <w:rPr>
          <w:rFonts w:ascii="Times New Roman" w:hAnsi="Times New Roman" w:cs="Times New Roman"/>
          <w:sz w:val="24"/>
          <w:szCs w:val="24"/>
        </w:rPr>
        <w:t>ile</w:t>
      </w:r>
      <w:r w:rsidRPr="003D3B83">
        <w:rPr>
          <w:rFonts w:ascii="Times New Roman" w:hAnsi="Times New Roman" w:cs="Times New Roman"/>
          <w:sz w:val="24"/>
          <w:szCs w:val="24"/>
        </w:rPr>
        <w:t xml:space="preserve"> </w:t>
      </w:r>
      <w:r>
        <w:rPr>
          <w:rFonts w:ascii="Times New Roman" w:hAnsi="Times New Roman" w:cs="Times New Roman"/>
          <w:sz w:val="24"/>
          <w:szCs w:val="24"/>
        </w:rPr>
        <w:t>incelen</w:t>
      </w:r>
      <w:r w:rsidRPr="003D3B83">
        <w:rPr>
          <w:rFonts w:ascii="Times New Roman" w:hAnsi="Times New Roman" w:cs="Times New Roman"/>
          <w:sz w:val="24"/>
          <w:szCs w:val="24"/>
        </w:rPr>
        <w:t xml:space="preserve">miştir. </w:t>
      </w:r>
      <w:r>
        <w:rPr>
          <w:rFonts w:ascii="Times New Roman" w:hAnsi="Times New Roman" w:cs="Times New Roman"/>
          <w:sz w:val="24"/>
          <w:szCs w:val="24"/>
        </w:rPr>
        <w:t>Bu çalışmada hem üretim yaklaşımından hem de</w:t>
      </w:r>
      <w:r w:rsidRPr="003D3B83">
        <w:rPr>
          <w:rFonts w:ascii="Times New Roman" w:hAnsi="Times New Roman" w:cs="Times New Roman"/>
          <w:sz w:val="24"/>
          <w:szCs w:val="24"/>
        </w:rPr>
        <w:t xml:space="preserve"> aracılık yaklaşımından</w:t>
      </w:r>
      <w:r>
        <w:rPr>
          <w:rFonts w:ascii="Times New Roman" w:hAnsi="Times New Roman" w:cs="Times New Roman"/>
          <w:sz w:val="24"/>
          <w:szCs w:val="24"/>
        </w:rPr>
        <w:t xml:space="preserve"> hareketle girdi ve çıktılar belirlenmiştir.</w:t>
      </w:r>
      <w:r w:rsidRPr="003D3B83">
        <w:rPr>
          <w:rFonts w:ascii="Times New Roman" w:hAnsi="Times New Roman" w:cs="Times New Roman"/>
          <w:sz w:val="24"/>
          <w:szCs w:val="24"/>
        </w:rPr>
        <w:t xml:space="preserve"> </w:t>
      </w:r>
      <w:r>
        <w:rPr>
          <w:rFonts w:ascii="Times New Roman" w:hAnsi="Times New Roman" w:cs="Times New Roman"/>
          <w:sz w:val="24"/>
          <w:szCs w:val="24"/>
        </w:rPr>
        <w:t xml:space="preserve">Üretim yaklaşımı kullanıldığında </w:t>
      </w:r>
      <w:r w:rsidRPr="003D3B83">
        <w:rPr>
          <w:rFonts w:ascii="Times New Roman" w:hAnsi="Times New Roman" w:cs="Times New Roman"/>
          <w:sz w:val="24"/>
          <w:szCs w:val="24"/>
        </w:rPr>
        <w:t>girdi değişkenleri toplam sermaye, faaliyet giderleri ve bankalar tar</w:t>
      </w:r>
      <w:r>
        <w:rPr>
          <w:rFonts w:ascii="Times New Roman" w:hAnsi="Times New Roman" w:cs="Times New Roman"/>
          <w:sz w:val="24"/>
          <w:szCs w:val="24"/>
        </w:rPr>
        <w:t>afından ödenen faiz ve ücretler iken</w:t>
      </w:r>
      <w:r w:rsidR="001F2870">
        <w:rPr>
          <w:rFonts w:ascii="Times New Roman" w:hAnsi="Times New Roman" w:cs="Times New Roman"/>
          <w:sz w:val="24"/>
          <w:szCs w:val="24"/>
        </w:rPr>
        <w:t>,</w:t>
      </w:r>
      <w:r w:rsidRPr="003D3B83">
        <w:rPr>
          <w:rFonts w:ascii="Times New Roman" w:hAnsi="Times New Roman" w:cs="Times New Roman"/>
          <w:sz w:val="24"/>
          <w:szCs w:val="24"/>
        </w:rPr>
        <w:t xml:space="preserve"> çıktı değişkenleri toplam mevduat ve faiz dışı gelirlerdir. </w:t>
      </w:r>
      <w:r>
        <w:rPr>
          <w:rFonts w:ascii="Times New Roman" w:hAnsi="Times New Roman" w:cs="Times New Roman"/>
          <w:sz w:val="24"/>
          <w:szCs w:val="24"/>
        </w:rPr>
        <w:t>Aracılık yaklaşımında</w:t>
      </w:r>
      <w:r w:rsidRPr="003D3B83">
        <w:rPr>
          <w:rFonts w:ascii="Times New Roman" w:hAnsi="Times New Roman" w:cs="Times New Roman"/>
          <w:sz w:val="24"/>
          <w:szCs w:val="24"/>
        </w:rPr>
        <w:t xml:space="preserve"> ise girdi değişkenleri olarak sermaye ve faaliyet giderlerinin dışında toplam mevduat yer alırken, çıktı değişkenleri krediler ve faiz, komisyon ve ücretlerin toplamından oluşan gelirlerdir. </w:t>
      </w:r>
    </w:p>
    <w:p w:rsidR="005953EA" w:rsidRPr="005953EA" w:rsidRDefault="005953EA" w:rsidP="00A265E6">
      <w:pPr>
        <w:spacing w:after="120" w:line="240" w:lineRule="auto"/>
        <w:jc w:val="both"/>
        <w:rPr>
          <w:rFonts w:ascii="Times New Roman" w:hAnsi="Times New Roman" w:cs="Times New Roman"/>
          <w:sz w:val="24"/>
          <w:szCs w:val="24"/>
        </w:rPr>
      </w:pPr>
      <w:r w:rsidRPr="005953EA">
        <w:rPr>
          <w:rFonts w:ascii="Times New Roman" w:hAnsi="Times New Roman" w:cs="Times New Roman"/>
          <w:sz w:val="24"/>
          <w:szCs w:val="24"/>
        </w:rPr>
        <w:t>Kırkık ve Pehlivan (2009)</w:t>
      </w:r>
      <w:r w:rsidR="00443CD0">
        <w:rPr>
          <w:rFonts w:ascii="Times New Roman" w:hAnsi="Times New Roman" w:cs="Times New Roman"/>
          <w:sz w:val="24"/>
          <w:szCs w:val="24"/>
        </w:rPr>
        <w:t>’ın</w:t>
      </w:r>
      <w:r w:rsidRPr="005953EA">
        <w:rPr>
          <w:rFonts w:ascii="Times New Roman" w:hAnsi="Times New Roman" w:cs="Times New Roman"/>
          <w:sz w:val="24"/>
          <w:szCs w:val="24"/>
        </w:rPr>
        <w:t xml:space="preserve"> çalışmasında, Türkiye’de bankacılık sektöründe faaliyet gösteren 20 bankanın etkinliği</w:t>
      </w:r>
      <w:r w:rsidR="00086B94">
        <w:rPr>
          <w:rFonts w:ascii="Times New Roman" w:hAnsi="Times New Roman" w:cs="Times New Roman"/>
          <w:sz w:val="24"/>
          <w:szCs w:val="24"/>
        </w:rPr>
        <w:t>,</w:t>
      </w:r>
      <w:r w:rsidRPr="005953EA">
        <w:rPr>
          <w:rFonts w:ascii="Times New Roman" w:hAnsi="Times New Roman" w:cs="Times New Roman"/>
          <w:sz w:val="24"/>
          <w:szCs w:val="24"/>
        </w:rPr>
        <w:t xml:space="preserve"> Haziran 2008 dönemi verileri ile 4 girdi ve 2 çı</w:t>
      </w:r>
      <w:r w:rsidR="001F2870">
        <w:rPr>
          <w:rFonts w:ascii="Times New Roman" w:hAnsi="Times New Roman" w:cs="Times New Roman"/>
          <w:sz w:val="24"/>
          <w:szCs w:val="24"/>
        </w:rPr>
        <w:t>ktı kullanılarak VZA ile incele</w:t>
      </w:r>
      <w:r w:rsidRPr="005953EA">
        <w:rPr>
          <w:rFonts w:ascii="Times New Roman" w:hAnsi="Times New Roman" w:cs="Times New Roman"/>
          <w:sz w:val="24"/>
          <w:szCs w:val="24"/>
        </w:rPr>
        <w:t xml:space="preserve">miştir. Çalışmada etkin olmayan bankaların etkinliklerinin artırılması amacıyla girdilerde herhangi bir değişikliğe gidilmeden, hangi çıktıların ne oranda yükseltileceği </w:t>
      </w:r>
      <w:r w:rsidRPr="005953EA">
        <w:rPr>
          <w:rFonts w:ascii="Times New Roman" w:hAnsi="Times New Roman" w:cs="Times New Roman"/>
          <w:sz w:val="24"/>
          <w:szCs w:val="24"/>
        </w:rPr>
        <w:lastRenderedPageBreak/>
        <w:t xml:space="preserve">yönünde iyileştirme önerileri sunulmuştur. Bunun yanı sıra, tüm girdi ve çıktıların her bir karar biriminin etkinliklerine olan katkılarına da yer verilmiştir. </w:t>
      </w:r>
    </w:p>
    <w:p w:rsidR="001A0CBB" w:rsidRDefault="001A0CBB"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Behdioğlu ve</w:t>
      </w:r>
      <w:r w:rsidRPr="003D3B83">
        <w:rPr>
          <w:rFonts w:ascii="Times New Roman" w:hAnsi="Times New Roman" w:cs="Times New Roman"/>
          <w:sz w:val="24"/>
          <w:szCs w:val="24"/>
        </w:rPr>
        <w:t xml:space="preserve"> Özcan (2009)</w:t>
      </w:r>
      <w:r w:rsidR="00086B94">
        <w:rPr>
          <w:rFonts w:ascii="Times New Roman" w:hAnsi="Times New Roman" w:cs="Times New Roman"/>
          <w:sz w:val="24"/>
          <w:szCs w:val="24"/>
        </w:rPr>
        <w:t>’ın</w:t>
      </w:r>
      <w:r w:rsidRPr="003D3B83">
        <w:rPr>
          <w:rFonts w:ascii="Times New Roman" w:hAnsi="Times New Roman" w:cs="Times New Roman"/>
          <w:sz w:val="24"/>
          <w:szCs w:val="24"/>
        </w:rPr>
        <w:t xml:space="preserve"> çalışma</w:t>
      </w:r>
      <w:r>
        <w:rPr>
          <w:rFonts w:ascii="Times New Roman" w:hAnsi="Times New Roman" w:cs="Times New Roman"/>
          <w:sz w:val="24"/>
          <w:szCs w:val="24"/>
        </w:rPr>
        <w:t xml:space="preserve">sında, </w:t>
      </w:r>
      <w:r w:rsidRPr="003D3B83">
        <w:rPr>
          <w:rFonts w:ascii="Times New Roman" w:hAnsi="Times New Roman" w:cs="Times New Roman"/>
          <w:sz w:val="24"/>
          <w:szCs w:val="24"/>
        </w:rPr>
        <w:t>19</w:t>
      </w:r>
      <w:r>
        <w:rPr>
          <w:rFonts w:ascii="Times New Roman" w:hAnsi="Times New Roman" w:cs="Times New Roman"/>
          <w:sz w:val="24"/>
          <w:szCs w:val="24"/>
        </w:rPr>
        <w:t>99-2005 yılları arasında</w:t>
      </w:r>
      <w:r w:rsidRPr="003D3B83">
        <w:rPr>
          <w:rFonts w:ascii="Times New Roman" w:hAnsi="Times New Roman" w:cs="Times New Roman"/>
          <w:sz w:val="24"/>
          <w:szCs w:val="24"/>
        </w:rPr>
        <w:t xml:space="preserve"> VZA ile Türkiye’de faaliyet gösteren 29 ticari bankanın </w:t>
      </w:r>
      <w:r>
        <w:rPr>
          <w:rFonts w:ascii="Times New Roman" w:hAnsi="Times New Roman" w:cs="Times New Roman"/>
          <w:sz w:val="24"/>
          <w:szCs w:val="24"/>
        </w:rPr>
        <w:t>etkinlikleri</w:t>
      </w:r>
      <w:r w:rsidRPr="003D3B83">
        <w:rPr>
          <w:rFonts w:ascii="Times New Roman" w:hAnsi="Times New Roman" w:cs="Times New Roman"/>
          <w:sz w:val="24"/>
          <w:szCs w:val="24"/>
        </w:rPr>
        <w:t xml:space="preserve"> </w:t>
      </w:r>
      <w:r>
        <w:rPr>
          <w:rFonts w:ascii="Times New Roman" w:hAnsi="Times New Roman" w:cs="Times New Roman"/>
          <w:sz w:val="24"/>
          <w:szCs w:val="24"/>
        </w:rPr>
        <w:t>incelenmiştir</w:t>
      </w:r>
      <w:r w:rsidRPr="003D3B83">
        <w:rPr>
          <w:rFonts w:ascii="Times New Roman" w:hAnsi="Times New Roman" w:cs="Times New Roman"/>
          <w:sz w:val="24"/>
          <w:szCs w:val="24"/>
        </w:rPr>
        <w:t>. Çalışma</w:t>
      </w:r>
      <w:r>
        <w:rPr>
          <w:rFonts w:ascii="Times New Roman" w:hAnsi="Times New Roman" w:cs="Times New Roman"/>
          <w:sz w:val="24"/>
          <w:szCs w:val="24"/>
        </w:rPr>
        <w:t>dan elde edilen bulgulara göre</w:t>
      </w:r>
      <w:r w:rsidRPr="003D3B83">
        <w:rPr>
          <w:rFonts w:ascii="Times New Roman" w:hAnsi="Times New Roman" w:cs="Times New Roman"/>
          <w:sz w:val="24"/>
          <w:szCs w:val="24"/>
        </w:rPr>
        <w:t xml:space="preserve"> </w:t>
      </w:r>
      <w:r w:rsidR="00086B94">
        <w:rPr>
          <w:rFonts w:ascii="Times New Roman" w:hAnsi="Times New Roman" w:cs="Times New Roman"/>
          <w:sz w:val="24"/>
          <w:szCs w:val="24"/>
        </w:rPr>
        <w:t>Türk bankacılık sektörü</w:t>
      </w:r>
      <w:r w:rsidRPr="003D3B83">
        <w:rPr>
          <w:rFonts w:ascii="Times New Roman" w:hAnsi="Times New Roman" w:cs="Times New Roman"/>
          <w:sz w:val="24"/>
          <w:szCs w:val="24"/>
        </w:rPr>
        <w:t xml:space="preserve">nde ortalama etkinlik düzeyi en yüksek bankaların yabancı sermayeli olduğu </w:t>
      </w:r>
      <w:r>
        <w:rPr>
          <w:rFonts w:ascii="Times New Roman" w:hAnsi="Times New Roman" w:cs="Times New Roman"/>
          <w:sz w:val="24"/>
          <w:szCs w:val="24"/>
        </w:rPr>
        <w:t>belirlen</w:t>
      </w:r>
      <w:r w:rsidRPr="003D3B83">
        <w:rPr>
          <w:rFonts w:ascii="Times New Roman" w:hAnsi="Times New Roman" w:cs="Times New Roman"/>
          <w:sz w:val="24"/>
          <w:szCs w:val="24"/>
        </w:rPr>
        <w:t xml:space="preserve">miştir. </w:t>
      </w:r>
    </w:p>
    <w:p w:rsidR="001A0CBB" w:rsidRDefault="001A0CBB"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Tarkoçin ve</w:t>
      </w:r>
      <w:r w:rsidRPr="003D3B83">
        <w:rPr>
          <w:rFonts w:ascii="Times New Roman" w:hAnsi="Times New Roman" w:cs="Times New Roman"/>
          <w:sz w:val="24"/>
          <w:szCs w:val="24"/>
        </w:rPr>
        <w:t xml:space="preserve"> Gencer (2010)</w:t>
      </w:r>
      <w:r w:rsidR="00086B94">
        <w:rPr>
          <w:rFonts w:ascii="Times New Roman" w:hAnsi="Times New Roman" w:cs="Times New Roman"/>
          <w:sz w:val="24"/>
          <w:szCs w:val="24"/>
        </w:rPr>
        <w:t>’in</w:t>
      </w:r>
      <w:r w:rsidRPr="003D3B83">
        <w:rPr>
          <w:rFonts w:ascii="Times New Roman" w:hAnsi="Times New Roman" w:cs="Times New Roman"/>
          <w:sz w:val="24"/>
          <w:szCs w:val="24"/>
        </w:rPr>
        <w:t xml:space="preserve"> çalışma</w:t>
      </w:r>
      <w:r>
        <w:rPr>
          <w:rFonts w:ascii="Times New Roman" w:hAnsi="Times New Roman" w:cs="Times New Roman"/>
          <w:sz w:val="24"/>
          <w:szCs w:val="24"/>
        </w:rPr>
        <w:t>sında</w:t>
      </w:r>
      <w:r w:rsidR="00086B94">
        <w:rPr>
          <w:rFonts w:ascii="Times New Roman" w:hAnsi="Times New Roman" w:cs="Times New Roman"/>
          <w:sz w:val="24"/>
          <w:szCs w:val="24"/>
        </w:rPr>
        <w:t>,</w:t>
      </w:r>
      <w:r w:rsidRPr="003D3B83">
        <w:rPr>
          <w:rFonts w:ascii="Times New Roman" w:hAnsi="Times New Roman" w:cs="Times New Roman"/>
          <w:sz w:val="24"/>
          <w:szCs w:val="24"/>
        </w:rPr>
        <w:t xml:space="preserve"> 2003</w:t>
      </w:r>
      <w:r>
        <w:rPr>
          <w:rFonts w:ascii="Times New Roman" w:hAnsi="Times New Roman" w:cs="Times New Roman"/>
          <w:sz w:val="24"/>
          <w:szCs w:val="24"/>
        </w:rPr>
        <w:t>-</w:t>
      </w:r>
      <w:r w:rsidRPr="003D3B83">
        <w:rPr>
          <w:rFonts w:ascii="Times New Roman" w:hAnsi="Times New Roman" w:cs="Times New Roman"/>
          <w:sz w:val="24"/>
          <w:szCs w:val="24"/>
        </w:rPr>
        <w:t>2009 arasında 22 ticari banka</w:t>
      </w:r>
      <w:r>
        <w:rPr>
          <w:rFonts w:ascii="Times New Roman" w:hAnsi="Times New Roman" w:cs="Times New Roman"/>
          <w:sz w:val="24"/>
          <w:szCs w:val="24"/>
        </w:rPr>
        <w:t>nın etkinlikleri</w:t>
      </w:r>
      <w:r w:rsidRPr="003D3B83">
        <w:rPr>
          <w:rFonts w:ascii="Times New Roman" w:hAnsi="Times New Roman" w:cs="Times New Roman"/>
          <w:sz w:val="24"/>
          <w:szCs w:val="24"/>
        </w:rPr>
        <w:t xml:space="preserve"> VZA kullanarak </w:t>
      </w:r>
      <w:r>
        <w:rPr>
          <w:rFonts w:ascii="Times New Roman" w:hAnsi="Times New Roman" w:cs="Times New Roman"/>
          <w:sz w:val="24"/>
          <w:szCs w:val="24"/>
        </w:rPr>
        <w:t>incelen</w:t>
      </w:r>
      <w:r w:rsidRPr="003D3B83">
        <w:rPr>
          <w:rFonts w:ascii="Times New Roman" w:hAnsi="Times New Roman" w:cs="Times New Roman"/>
          <w:sz w:val="24"/>
          <w:szCs w:val="24"/>
        </w:rPr>
        <w:t>miş</w:t>
      </w:r>
      <w:r>
        <w:rPr>
          <w:rFonts w:ascii="Times New Roman" w:hAnsi="Times New Roman" w:cs="Times New Roman"/>
          <w:sz w:val="24"/>
          <w:szCs w:val="24"/>
        </w:rPr>
        <w:t>t</w:t>
      </w:r>
      <w:r w:rsidRPr="003D3B83">
        <w:rPr>
          <w:rFonts w:ascii="Times New Roman" w:hAnsi="Times New Roman" w:cs="Times New Roman"/>
          <w:sz w:val="24"/>
          <w:szCs w:val="24"/>
        </w:rPr>
        <w:t xml:space="preserve">ir. </w:t>
      </w:r>
      <w:r>
        <w:rPr>
          <w:rFonts w:ascii="Times New Roman" w:hAnsi="Times New Roman" w:cs="Times New Roman"/>
          <w:sz w:val="24"/>
          <w:szCs w:val="24"/>
        </w:rPr>
        <w:t xml:space="preserve">Ele alınan </w:t>
      </w:r>
      <w:r w:rsidR="005953EA">
        <w:rPr>
          <w:rFonts w:ascii="Times New Roman" w:hAnsi="Times New Roman" w:cs="Times New Roman"/>
          <w:sz w:val="24"/>
          <w:szCs w:val="24"/>
        </w:rPr>
        <w:t>modellerin ortaya koyduğu</w:t>
      </w:r>
      <w:r>
        <w:rPr>
          <w:rFonts w:ascii="Times New Roman" w:hAnsi="Times New Roman" w:cs="Times New Roman"/>
          <w:sz w:val="24"/>
          <w:szCs w:val="24"/>
        </w:rPr>
        <w:t xml:space="preserve"> bulgulara göre </w:t>
      </w:r>
      <w:r w:rsidRPr="003D3B83">
        <w:rPr>
          <w:rFonts w:ascii="Times New Roman" w:hAnsi="Times New Roman" w:cs="Times New Roman"/>
          <w:sz w:val="24"/>
          <w:szCs w:val="24"/>
        </w:rPr>
        <w:t>girdi ve çıktı</w:t>
      </w:r>
      <w:r>
        <w:rPr>
          <w:rFonts w:ascii="Times New Roman" w:hAnsi="Times New Roman" w:cs="Times New Roman"/>
          <w:sz w:val="24"/>
          <w:szCs w:val="24"/>
        </w:rPr>
        <w:t xml:space="preserve">larda farklılaşmalar olduğunda sonuçlarda da </w:t>
      </w:r>
      <w:r w:rsidRPr="003D3B83">
        <w:rPr>
          <w:rFonts w:ascii="Times New Roman" w:hAnsi="Times New Roman" w:cs="Times New Roman"/>
          <w:sz w:val="24"/>
          <w:szCs w:val="24"/>
        </w:rPr>
        <w:t xml:space="preserve">değişiklikler olduğu saptanmıştır. </w:t>
      </w:r>
    </w:p>
    <w:p w:rsidR="001A0CBB" w:rsidRDefault="001A0CBB" w:rsidP="00A265E6">
      <w:pPr>
        <w:spacing w:after="120" w:line="240" w:lineRule="auto"/>
        <w:jc w:val="both"/>
        <w:rPr>
          <w:rFonts w:ascii="Times New Roman" w:hAnsi="Times New Roman" w:cs="Times New Roman"/>
          <w:sz w:val="24"/>
          <w:szCs w:val="24"/>
        </w:rPr>
      </w:pPr>
      <w:r w:rsidRPr="003D3B83">
        <w:rPr>
          <w:rFonts w:ascii="Times New Roman" w:hAnsi="Times New Roman" w:cs="Times New Roman"/>
          <w:sz w:val="24"/>
          <w:szCs w:val="24"/>
        </w:rPr>
        <w:t>Budak (2011)</w:t>
      </w:r>
      <w:r w:rsidR="00BF108D">
        <w:rPr>
          <w:rFonts w:ascii="Times New Roman" w:hAnsi="Times New Roman" w:cs="Times New Roman"/>
          <w:sz w:val="24"/>
          <w:szCs w:val="24"/>
        </w:rPr>
        <w:t>’ın</w:t>
      </w:r>
      <w:r w:rsidRPr="003D3B83">
        <w:rPr>
          <w:rFonts w:ascii="Times New Roman" w:hAnsi="Times New Roman" w:cs="Times New Roman"/>
          <w:sz w:val="24"/>
          <w:szCs w:val="24"/>
        </w:rPr>
        <w:t xml:space="preserve"> çalışmasında</w:t>
      </w:r>
      <w:r>
        <w:rPr>
          <w:rFonts w:ascii="Times New Roman" w:hAnsi="Times New Roman" w:cs="Times New Roman"/>
          <w:sz w:val="24"/>
          <w:szCs w:val="24"/>
        </w:rPr>
        <w:t xml:space="preserve"> </w:t>
      </w:r>
      <w:r w:rsidR="00086B94">
        <w:rPr>
          <w:rFonts w:ascii="Times New Roman" w:hAnsi="Times New Roman" w:cs="Times New Roman"/>
          <w:sz w:val="24"/>
          <w:szCs w:val="24"/>
        </w:rPr>
        <w:t>Türk bankacılık sektörü</w:t>
      </w:r>
      <w:r>
        <w:rPr>
          <w:rFonts w:ascii="Times New Roman" w:hAnsi="Times New Roman" w:cs="Times New Roman"/>
          <w:sz w:val="24"/>
          <w:szCs w:val="24"/>
        </w:rPr>
        <w:t>nün etkinliği 2008-2010 yılları arasında</w:t>
      </w:r>
      <w:r w:rsidRPr="003D3B83">
        <w:rPr>
          <w:rFonts w:ascii="Times New Roman" w:hAnsi="Times New Roman" w:cs="Times New Roman"/>
          <w:sz w:val="24"/>
          <w:szCs w:val="24"/>
        </w:rPr>
        <w:t xml:space="preserve"> faaliyet gösteren 22 ticari bankanın </w:t>
      </w:r>
      <w:r>
        <w:rPr>
          <w:rFonts w:ascii="Times New Roman" w:hAnsi="Times New Roman" w:cs="Times New Roman"/>
          <w:sz w:val="24"/>
          <w:szCs w:val="24"/>
        </w:rPr>
        <w:t>verileri ile incelenmiştir.</w:t>
      </w:r>
      <w:r w:rsidRPr="003D3B83">
        <w:rPr>
          <w:rFonts w:ascii="Times New Roman" w:hAnsi="Times New Roman" w:cs="Times New Roman"/>
          <w:sz w:val="24"/>
          <w:szCs w:val="24"/>
        </w:rPr>
        <w:t xml:space="preserve"> </w:t>
      </w:r>
      <w:r>
        <w:rPr>
          <w:rFonts w:ascii="Times New Roman" w:hAnsi="Times New Roman" w:cs="Times New Roman"/>
          <w:sz w:val="24"/>
          <w:szCs w:val="24"/>
        </w:rPr>
        <w:t>A</w:t>
      </w:r>
      <w:r w:rsidRPr="003D3B83">
        <w:rPr>
          <w:rFonts w:ascii="Times New Roman" w:hAnsi="Times New Roman" w:cs="Times New Roman"/>
          <w:sz w:val="24"/>
          <w:szCs w:val="24"/>
        </w:rPr>
        <w:t xml:space="preserve">yrıca 2010 </w:t>
      </w:r>
      <w:r>
        <w:rPr>
          <w:rFonts w:ascii="Times New Roman" w:hAnsi="Times New Roman" w:cs="Times New Roman"/>
          <w:sz w:val="24"/>
          <w:szCs w:val="24"/>
        </w:rPr>
        <w:t>yılı itibariyle etkin bulunmayan bankalar için</w:t>
      </w:r>
      <w:r w:rsidRPr="003D3B83">
        <w:rPr>
          <w:rFonts w:ascii="Times New Roman" w:hAnsi="Times New Roman" w:cs="Times New Roman"/>
          <w:sz w:val="24"/>
          <w:szCs w:val="24"/>
        </w:rPr>
        <w:t xml:space="preserve"> hedef değerler belirle</w:t>
      </w:r>
      <w:r>
        <w:rPr>
          <w:rFonts w:ascii="Times New Roman" w:hAnsi="Times New Roman" w:cs="Times New Roman"/>
          <w:sz w:val="24"/>
          <w:szCs w:val="24"/>
        </w:rPr>
        <w:t>n</w:t>
      </w:r>
      <w:r w:rsidRPr="003D3B83">
        <w:rPr>
          <w:rFonts w:ascii="Times New Roman" w:hAnsi="Times New Roman" w:cs="Times New Roman"/>
          <w:sz w:val="24"/>
          <w:szCs w:val="24"/>
        </w:rPr>
        <w:t xml:space="preserve">miştir. </w:t>
      </w:r>
    </w:p>
    <w:p w:rsidR="001A0CBB" w:rsidRDefault="001A0CBB"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Er ve</w:t>
      </w:r>
      <w:r w:rsidRPr="003D3B83">
        <w:rPr>
          <w:rFonts w:ascii="Times New Roman" w:hAnsi="Times New Roman" w:cs="Times New Roman"/>
          <w:sz w:val="24"/>
          <w:szCs w:val="24"/>
        </w:rPr>
        <w:t xml:space="preserve"> Uysal (2012</w:t>
      </w:r>
      <w:r>
        <w:rPr>
          <w:rFonts w:ascii="Times New Roman" w:hAnsi="Times New Roman" w:cs="Times New Roman"/>
          <w:sz w:val="24"/>
          <w:szCs w:val="24"/>
        </w:rPr>
        <w:t>)</w:t>
      </w:r>
      <w:r w:rsidR="00BF108D">
        <w:rPr>
          <w:rFonts w:ascii="Times New Roman" w:hAnsi="Times New Roman" w:cs="Times New Roman"/>
          <w:sz w:val="24"/>
          <w:szCs w:val="24"/>
        </w:rPr>
        <w:t>’ın</w:t>
      </w:r>
      <w:r w:rsidRPr="003D3B83">
        <w:rPr>
          <w:rFonts w:ascii="Times New Roman" w:hAnsi="Times New Roman" w:cs="Times New Roman"/>
          <w:sz w:val="24"/>
          <w:szCs w:val="24"/>
        </w:rPr>
        <w:t xml:space="preserve"> çalışma</w:t>
      </w:r>
      <w:r>
        <w:rPr>
          <w:rFonts w:ascii="Times New Roman" w:hAnsi="Times New Roman" w:cs="Times New Roman"/>
          <w:sz w:val="24"/>
          <w:szCs w:val="24"/>
        </w:rPr>
        <w:t>sın</w:t>
      </w:r>
      <w:r w:rsidRPr="003D3B83">
        <w:rPr>
          <w:rFonts w:ascii="Times New Roman" w:hAnsi="Times New Roman" w:cs="Times New Roman"/>
          <w:sz w:val="24"/>
          <w:szCs w:val="24"/>
        </w:rPr>
        <w:t xml:space="preserve">da Türkiye'de faaliyet gösteren </w:t>
      </w:r>
      <w:r>
        <w:rPr>
          <w:rFonts w:ascii="Times New Roman" w:hAnsi="Times New Roman" w:cs="Times New Roman"/>
          <w:sz w:val="24"/>
          <w:szCs w:val="24"/>
        </w:rPr>
        <w:t>4 katılım bankası</w:t>
      </w:r>
      <w:r w:rsidRPr="003D3B83">
        <w:rPr>
          <w:rFonts w:ascii="Times New Roman" w:hAnsi="Times New Roman" w:cs="Times New Roman"/>
          <w:sz w:val="24"/>
          <w:szCs w:val="24"/>
        </w:rPr>
        <w:t xml:space="preserve"> </w:t>
      </w:r>
      <w:r>
        <w:rPr>
          <w:rFonts w:ascii="Times New Roman" w:hAnsi="Times New Roman" w:cs="Times New Roman"/>
          <w:sz w:val="24"/>
          <w:szCs w:val="24"/>
        </w:rPr>
        <w:t>ile</w:t>
      </w:r>
      <w:r w:rsidRPr="003D3B83">
        <w:rPr>
          <w:rFonts w:ascii="Times New Roman" w:hAnsi="Times New Roman" w:cs="Times New Roman"/>
          <w:sz w:val="24"/>
          <w:szCs w:val="24"/>
        </w:rPr>
        <w:t xml:space="preserve"> </w:t>
      </w:r>
      <w:r>
        <w:rPr>
          <w:rFonts w:ascii="Times New Roman" w:hAnsi="Times New Roman" w:cs="Times New Roman"/>
          <w:sz w:val="24"/>
          <w:szCs w:val="24"/>
        </w:rPr>
        <w:t xml:space="preserve">26 </w:t>
      </w:r>
      <w:r w:rsidRPr="003D3B83">
        <w:rPr>
          <w:rFonts w:ascii="Times New Roman" w:hAnsi="Times New Roman" w:cs="Times New Roman"/>
          <w:sz w:val="24"/>
          <w:szCs w:val="24"/>
        </w:rPr>
        <w:t>ticari</w:t>
      </w:r>
      <w:r>
        <w:rPr>
          <w:rFonts w:ascii="Times New Roman" w:hAnsi="Times New Roman" w:cs="Times New Roman"/>
          <w:sz w:val="24"/>
          <w:szCs w:val="24"/>
        </w:rPr>
        <w:t xml:space="preserve"> bankanın etkinlikleri</w:t>
      </w:r>
      <w:r w:rsidRPr="003D3B83">
        <w:rPr>
          <w:rFonts w:ascii="Times New Roman" w:hAnsi="Times New Roman" w:cs="Times New Roman"/>
          <w:sz w:val="24"/>
          <w:szCs w:val="24"/>
        </w:rPr>
        <w:t xml:space="preserve"> 2005-2010 </w:t>
      </w:r>
      <w:r>
        <w:rPr>
          <w:rFonts w:ascii="Times New Roman" w:hAnsi="Times New Roman" w:cs="Times New Roman"/>
          <w:sz w:val="24"/>
          <w:szCs w:val="24"/>
        </w:rPr>
        <w:t>arasındaki yıllar</w:t>
      </w:r>
      <w:r w:rsidRPr="003D3B83">
        <w:rPr>
          <w:rFonts w:ascii="Times New Roman" w:hAnsi="Times New Roman" w:cs="Times New Roman"/>
          <w:sz w:val="24"/>
          <w:szCs w:val="24"/>
        </w:rPr>
        <w:t xml:space="preserve"> için karşılaştırmalı olarak analiz </w:t>
      </w:r>
      <w:r>
        <w:rPr>
          <w:rFonts w:ascii="Times New Roman" w:hAnsi="Times New Roman" w:cs="Times New Roman"/>
          <w:sz w:val="24"/>
          <w:szCs w:val="24"/>
        </w:rPr>
        <w:t>edilmiştir</w:t>
      </w:r>
      <w:r w:rsidRPr="003D3B83">
        <w:rPr>
          <w:rFonts w:ascii="Times New Roman" w:hAnsi="Times New Roman" w:cs="Times New Roman"/>
          <w:sz w:val="24"/>
          <w:szCs w:val="24"/>
        </w:rPr>
        <w:t>. Çalışma</w:t>
      </w:r>
      <w:r>
        <w:rPr>
          <w:rFonts w:ascii="Times New Roman" w:hAnsi="Times New Roman" w:cs="Times New Roman"/>
          <w:sz w:val="24"/>
          <w:szCs w:val="24"/>
        </w:rPr>
        <w:t>dan elde edilen bulgular</w:t>
      </w:r>
      <w:r w:rsidRPr="003D3B83">
        <w:rPr>
          <w:rFonts w:ascii="Times New Roman" w:hAnsi="Times New Roman" w:cs="Times New Roman"/>
          <w:sz w:val="24"/>
          <w:szCs w:val="24"/>
        </w:rPr>
        <w:t>, ölçeğe göre sabit getiri varsayımında 2'si katılım bankası olmak üzere 11, değişken getiri varsayımında ise 3'ü katılım bankası olmak üzere 16 bankanın etkin</w:t>
      </w:r>
      <w:r>
        <w:rPr>
          <w:rFonts w:ascii="Times New Roman" w:hAnsi="Times New Roman" w:cs="Times New Roman"/>
          <w:sz w:val="24"/>
          <w:szCs w:val="24"/>
        </w:rPr>
        <w:t xml:space="preserve"> olduğunu göstermiştir.</w:t>
      </w:r>
      <w:r w:rsidRPr="003D3B83">
        <w:rPr>
          <w:rFonts w:ascii="Times New Roman" w:hAnsi="Times New Roman" w:cs="Times New Roman"/>
          <w:sz w:val="24"/>
          <w:szCs w:val="24"/>
        </w:rPr>
        <w:t xml:space="preserve"> </w:t>
      </w:r>
    </w:p>
    <w:p w:rsidR="001A0CBB" w:rsidRDefault="001A0CBB" w:rsidP="00A265E6">
      <w:pPr>
        <w:spacing w:after="120" w:line="240" w:lineRule="auto"/>
        <w:jc w:val="both"/>
        <w:rPr>
          <w:rFonts w:ascii="Times New Roman" w:hAnsi="Times New Roman" w:cs="Times New Roman"/>
          <w:sz w:val="24"/>
          <w:szCs w:val="24"/>
        </w:rPr>
      </w:pPr>
      <w:r w:rsidRPr="003D3B83">
        <w:rPr>
          <w:rFonts w:ascii="Times New Roman" w:hAnsi="Times New Roman" w:cs="Times New Roman"/>
          <w:sz w:val="24"/>
          <w:szCs w:val="24"/>
        </w:rPr>
        <w:t>Koçyiğit (2013)</w:t>
      </w:r>
      <w:r w:rsidR="00BF108D">
        <w:rPr>
          <w:rFonts w:ascii="Times New Roman" w:hAnsi="Times New Roman" w:cs="Times New Roman"/>
          <w:sz w:val="24"/>
          <w:szCs w:val="24"/>
        </w:rPr>
        <w:t>’in</w:t>
      </w:r>
      <w:r w:rsidRPr="003D3B83">
        <w:rPr>
          <w:rFonts w:ascii="Times New Roman" w:hAnsi="Times New Roman" w:cs="Times New Roman"/>
          <w:sz w:val="24"/>
          <w:szCs w:val="24"/>
        </w:rPr>
        <w:t xml:space="preserve"> çalışmasında İMKB’ye kayıtlı mevduat bankalarının 2006-2010 y</w:t>
      </w:r>
      <w:r>
        <w:rPr>
          <w:rFonts w:ascii="Times New Roman" w:hAnsi="Times New Roman" w:cs="Times New Roman"/>
          <w:sz w:val="24"/>
          <w:szCs w:val="24"/>
        </w:rPr>
        <w:t>ılları arasındaki etkinlikleri</w:t>
      </w:r>
      <w:r w:rsidRPr="003D3B83">
        <w:rPr>
          <w:rFonts w:ascii="Times New Roman" w:hAnsi="Times New Roman" w:cs="Times New Roman"/>
          <w:sz w:val="24"/>
          <w:szCs w:val="24"/>
        </w:rPr>
        <w:t xml:space="preserve"> VZA ile </w:t>
      </w:r>
      <w:r w:rsidR="00D95094">
        <w:rPr>
          <w:rFonts w:ascii="Times New Roman" w:hAnsi="Times New Roman" w:cs="Times New Roman"/>
          <w:sz w:val="24"/>
          <w:szCs w:val="24"/>
        </w:rPr>
        <w:t>incelen</w:t>
      </w:r>
      <w:r>
        <w:rPr>
          <w:rFonts w:ascii="Times New Roman" w:hAnsi="Times New Roman" w:cs="Times New Roman"/>
          <w:sz w:val="24"/>
          <w:szCs w:val="24"/>
        </w:rPr>
        <w:t>miştir.</w:t>
      </w:r>
      <w:r w:rsidRPr="003D3B83">
        <w:rPr>
          <w:rFonts w:ascii="Times New Roman" w:hAnsi="Times New Roman" w:cs="Times New Roman"/>
          <w:sz w:val="24"/>
          <w:szCs w:val="24"/>
        </w:rPr>
        <w:t xml:space="preserve"> </w:t>
      </w:r>
      <w:r>
        <w:rPr>
          <w:rFonts w:ascii="Times New Roman" w:hAnsi="Times New Roman" w:cs="Times New Roman"/>
          <w:sz w:val="24"/>
          <w:szCs w:val="24"/>
        </w:rPr>
        <w:t>Ayrıca ele alınan</w:t>
      </w:r>
      <w:r w:rsidR="00BF108D">
        <w:rPr>
          <w:rFonts w:ascii="Times New Roman" w:hAnsi="Times New Roman" w:cs="Times New Roman"/>
          <w:sz w:val="24"/>
          <w:szCs w:val="24"/>
        </w:rPr>
        <w:t xml:space="preserve"> bankaların</w:t>
      </w:r>
      <w:r w:rsidRPr="003D3B83">
        <w:rPr>
          <w:rFonts w:ascii="Times New Roman" w:hAnsi="Times New Roman" w:cs="Times New Roman"/>
          <w:sz w:val="24"/>
          <w:szCs w:val="24"/>
        </w:rPr>
        <w:t xml:space="preserve"> etkinlikleri ile hisse senedi getirileri arasın</w:t>
      </w:r>
      <w:r>
        <w:rPr>
          <w:rFonts w:ascii="Times New Roman" w:hAnsi="Times New Roman" w:cs="Times New Roman"/>
          <w:sz w:val="24"/>
          <w:szCs w:val="24"/>
        </w:rPr>
        <w:t>da istatistiksel olarak anlamlı</w:t>
      </w:r>
      <w:r w:rsidRPr="003D3B83">
        <w:rPr>
          <w:rFonts w:ascii="Times New Roman" w:hAnsi="Times New Roman" w:cs="Times New Roman"/>
          <w:sz w:val="24"/>
          <w:szCs w:val="24"/>
        </w:rPr>
        <w:t xml:space="preserve"> bir ilişki</w:t>
      </w:r>
      <w:r>
        <w:rPr>
          <w:rFonts w:ascii="Times New Roman" w:hAnsi="Times New Roman" w:cs="Times New Roman"/>
          <w:sz w:val="24"/>
          <w:szCs w:val="24"/>
        </w:rPr>
        <w:t>nin olmadığı</w:t>
      </w:r>
      <w:r w:rsidRPr="003D3B83">
        <w:rPr>
          <w:rFonts w:ascii="Times New Roman" w:hAnsi="Times New Roman" w:cs="Times New Roman"/>
          <w:sz w:val="24"/>
          <w:szCs w:val="24"/>
        </w:rPr>
        <w:t xml:space="preserve"> </w:t>
      </w:r>
      <w:r>
        <w:rPr>
          <w:rFonts w:ascii="Times New Roman" w:hAnsi="Times New Roman" w:cs="Times New Roman"/>
          <w:sz w:val="24"/>
          <w:szCs w:val="24"/>
        </w:rPr>
        <w:t>gösterilmiştir.</w:t>
      </w:r>
    </w:p>
    <w:p w:rsidR="001A0CBB" w:rsidRDefault="001A0CBB" w:rsidP="00A265E6">
      <w:pPr>
        <w:spacing w:after="120" w:line="240" w:lineRule="auto"/>
        <w:jc w:val="both"/>
        <w:rPr>
          <w:rFonts w:ascii="Times New Roman" w:hAnsi="Times New Roman" w:cs="Times New Roman"/>
          <w:sz w:val="24"/>
          <w:szCs w:val="24"/>
        </w:rPr>
      </w:pPr>
      <w:r w:rsidRPr="003D3B83">
        <w:rPr>
          <w:rFonts w:ascii="Times New Roman" w:hAnsi="Times New Roman" w:cs="Times New Roman"/>
          <w:sz w:val="24"/>
          <w:szCs w:val="24"/>
        </w:rPr>
        <w:t>Bektaş (2013</w:t>
      </w:r>
      <w:r>
        <w:rPr>
          <w:rFonts w:ascii="Times New Roman" w:hAnsi="Times New Roman" w:cs="Times New Roman"/>
          <w:sz w:val="24"/>
          <w:szCs w:val="24"/>
        </w:rPr>
        <w:t>)</w:t>
      </w:r>
      <w:r w:rsidRPr="003D3B83">
        <w:rPr>
          <w:rFonts w:ascii="Times New Roman" w:hAnsi="Times New Roman" w:cs="Times New Roman"/>
          <w:sz w:val="24"/>
          <w:szCs w:val="24"/>
        </w:rPr>
        <w:t xml:space="preserve"> çalışmasında, 2007-2011 yılları arasında</w:t>
      </w:r>
      <w:r>
        <w:rPr>
          <w:rFonts w:ascii="Times New Roman" w:hAnsi="Times New Roman" w:cs="Times New Roman"/>
          <w:sz w:val="24"/>
          <w:szCs w:val="24"/>
        </w:rPr>
        <w:t xml:space="preserve"> </w:t>
      </w:r>
      <w:r w:rsidR="00086B94">
        <w:rPr>
          <w:rFonts w:ascii="Times New Roman" w:hAnsi="Times New Roman" w:cs="Times New Roman"/>
          <w:sz w:val="24"/>
          <w:szCs w:val="24"/>
        </w:rPr>
        <w:t>Türk bankacılık sektörü</w:t>
      </w:r>
      <w:r w:rsidR="00D95094">
        <w:rPr>
          <w:rFonts w:ascii="Times New Roman" w:hAnsi="Times New Roman" w:cs="Times New Roman"/>
          <w:sz w:val="24"/>
          <w:szCs w:val="24"/>
        </w:rPr>
        <w:t>n</w:t>
      </w:r>
      <w:r w:rsidR="00D95094" w:rsidRPr="003D3B83">
        <w:rPr>
          <w:rFonts w:ascii="Times New Roman" w:hAnsi="Times New Roman" w:cs="Times New Roman"/>
          <w:sz w:val="24"/>
          <w:szCs w:val="24"/>
        </w:rPr>
        <w:t>de</w:t>
      </w:r>
      <w:r w:rsidRPr="003D3B83">
        <w:rPr>
          <w:rFonts w:ascii="Times New Roman" w:hAnsi="Times New Roman" w:cs="Times New Roman"/>
          <w:sz w:val="24"/>
          <w:szCs w:val="24"/>
        </w:rPr>
        <w:t xml:space="preserve"> faaliyet göster</w:t>
      </w:r>
      <w:r>
        <w:rPr>
          <w:rFonts w:ascii="Times New Roman" w:hAnsi="Times New Roman" w:cs="Times New Roman"/>
          <w:sz w:val="24"/>
          <w:szCs w:val="24"/>
        </w:rPr>
        <w:t>en ticari bankaların etkinliği 3 girdi (toplam mevduat, faiz giderleri, faiz dışı giderler) ve 3 çıktı (toplam krediler ve alacaklar, faiz gelirleri, faiz dışı gelirler) kullanılarak</w:t>
      </w:r>
      <w:r w:rsidRPr="003D3B83">
        <w:rPr>
          <w:rFonts w:ascii="Times New Roman" w:hAnsi="Times New Roman" w:cs="Times New Roman"/>
          <w:sz w:val="24"/>
          <w:szCs w:val="24"/>
        </w:rPr>
        <w:t xml:space="preserve"> VZA ile incelemiştir. Çalışma</w:t>
      </w:r>
      <w:r>
        <w:rPr>
          <w:rFonts w:ascii="Times New Roman" w:hAnsi="Times New Roman" w:cs="Times New Roman"/>
          <w:sz w:val="24"/>
          <w:szCs w:val="24"/>
        </w:rPr>
        <w:t>dan elde edilen bulgular</w:t>
      </w:r>
      <w:r w:rsidRPr="003D3B83">
        <w:rPr>
          <w:rFonts w:ascii="Times New Roman" w:hAnsi="Times New Roman" w:cs="Times New Roman"/>
          <w:sz w:val="24"/>
          <w:szCs w:val="24"/>
        </w:rPr>
        <w:t xml:space="preserve"> özel ve yabancı sermayeli ticari bankalar arasında aracılık yaklaşımı </w:t>
      </w:r>
      <w:r>
        <w:rPr>
          <w:rFonts w:ascii="Times New Roman" w:hAnsi="Times New Roman" w:cs="Times New Roman"/>
          <w:sz w:val="24"/>
          <w:szCs w:val="24"/>
        </w:rPr>
        <w:t xml:space="preserve">bakımından </w:t>
      </w:r>
      <w:r w:rsidRPr="003D3B83">
        <w:rPr>
          <w:rFonts w:ascii="Times New Roman" w:hAnsi="Times New Roman" w:cs="Times New Roman"/>
          <w:sz w:val="24"/>
          <w:szCs w:val="24"/>
        </w:rPr>
        <w:t>istatistiksel olarak anlamlı bir fark bulunmadığı</w:t>
      </w:r>
      <w:r>
        <w:rPr>
          <w:rFonts w:ascii="Times New Roman" w:hAnsi="Times New Roman" w:cs="Times New Roman"/>
          <w:sz w:val="24"/>
          <w:szCs w:val="24"/>
        </w:rPr>
        <w:t>nı göstermiştir.</w:t>
      </w:r>
    </w:p>
    <w:p w:rsidR="001A0CBB" w:rsidRPr="001A0CBB" w:rsidRDefault="001A0CBB"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Özdemir ve Demireli (2013)</w:t>
      </w:r>
      <w:r w:rsidR="008C0875">
        <w:rPr>
          <w:rFonts w:ascii="Times New Roman" w:hAnsi="Times New Roman" w:cs="Times New Roman"/>
          <w:sz w:val="24"/>
          <w:szCs w:val="24"/>
        </w:rPr>
        <w:t>’nin</w:t>
      </w:r>
      <w:r>
        <w:rPr>
          <w:rFonts w:ascii="Times New Roman" w:hAnsi="Times New Roman" w:cs="Times New Roman"/>
          <w:sz w:val="24"/>
          <w:szCs w:val="24"/>
        </w:rPr>
        <w:t xml:space="preserve"> çalışmasında</w:t>
      </w:r>
      <w:r w:rsidRPr="001A0CBB">
        <w:rPr>
          <w:rFonts w:ascii="Times New Roman" w:hAnsi="Times New Roman" w:cs="Times New Roman"/>
          <w:sz w:val="24"/>
          <w:szCs w:val="24"/>
        </w:rPr>
        <w:t>,</w:t>
      </w:r>
      <w:r>
        <w:rPr>
          <w:rFonts w:ascii="Times New Roman" w:hAnsi="Times New Roman" w:cs="Times New Roman"/>
          <w:sz w:val="24"/>
          <w:szCs w:val="24"/>
        </w:rPr>
        <w:t xml:space="preserve"> </w:t>
      </w:r>
      <w:r w:rsidRPr="00AC7348">
        <w:rPr>
          <w:rFonts w:ascii="Times New Roman" w:hAnsi="Times New Roman" w:cs="Times New Roman"/>
          <w:sz w:val="24"/>
          <w:szCs w:val="24"/>
        </w:rPr>
        <w:t xml:space="preserve">Türkiye’de faaliyet gösteren </w:t>
      </w:r>
      <w:r w:rsidRPr="001A0CBB">
        <w:rPr>
          <w:rFonts w:ascii="Times New Roman" w:hAnsi="Times New Roman" w:cs="Times New Roman"/>
          <w:sz w:val="24"/>
          <w:szCs w:val="24"/>
        </w:rPr>
        <w:t>21 mevduat bankasının</w:t>
      </w:r>
      <w:r w:rsidRPr="00AC7348">
        <w:rPr>
          <w:rFonts w:ascii="Times New Roman" w:hAnsi="Times New Roman" w:cs="Times New Roman"/>
          <w:sz w:val="24"/>
          <w:szCs w:val="24"/>
        </w:rPr>
        <w:t xml:space="preserve"> 2011 ve 2012 yılları için etkinlikleri ağırlık kısıtsız </w:t>
      </w:r>
      <w:r w:rsidR="005953EA" w:rsidRPr="001A0CBB">
        <w:rPr>
          <w:rFonts w:ascii="Times New Roman" w:hAnsi="Times New Roman" w:cs="Times New Roman"/>
          <w:sz w:val="24"/>
          <w:szCs w:val="24"/>
        </w:rPr>
        <w:t>ve</w:t>
      </w:r>
      <w:r w:rsidR="005953EA" w:rsidRPr="00AC7348">
        <w:rPr>
          <w:rFonts w:ascii="Times New Roman" w:hAnsi="Times New Roman" w:cs="Times New Roman"/>
          <w:sz w:val="24"/>
          <w:szCs w:val="24"/>
        </w:rPr>
        <w:t xml:space="preserve"> </w:t>
      </w:r>
      <w:r w:rsidR="005953EA" w:rsidRPr="001A0CBB">
        <w:rPr>
          <w:rFonts w:ascii="Times New Roman" w:hAnsi="Times New Roman" w:cs="Times New Roman"/>
          <w:sz w:val="24"/>
          <w:szCs w:val="24"/>
        </w:rPr>
        <w:t>güven</w:t>
      </w:r>
      <w:r w:rsidRPr="001A0CBB">
        <w:rPr>
          <w:rFonts w:ascii="Times New Roman" w:hAnsi="Times New Roman" w:cs="Times New Roman"/>
          <w:sz w:val="24"/>
          <w:szCs w:val="24"/>
        </w:rPr>
        <w:t xml:space="preserve"> bölgesi (</w:t>
      </w:r>
      <w:r w:rsidRPr="00AC7348">
        <w:rPr>
          <w:rFonts w:ascii="Times New Roman" w:hAnsi="Times New Roman" w:cs="Times New Roman"/>
          <w:sz w:val="24"/>
          <w:szCs w:val="24"/>
        </w:rPr>
        <w:t>AR</w:t>
      </w:r>
      <w:r w:rsidRPr="001A0CBB">
        <w:rPr>
          <w:rFonts w:ascii="Times New Roman" w:hAnsi="Times New Roman" w:cs="Times New Roman"/>
          <w:sz w:val="24"/>
          <w:szCs w:val="24"/>
        </w:rPr>
        <w:t>)</w:t>
      </w:r>
      <w:r w:rsidRPr="00AC7348">
        <w:rPr>
          <w:rFonts w:ascii="Times New Roman" w:hAnsi="Times New Roman" w:cs="Times New Roman"/>
          <w:sz w:val="24"/>
          <w:szCs w:val="24"/>
        </w:rPr>
        <w:t xml:space="preserve"> kısıtlı model kullanılarak ölçülmüş</w:t>
      </w:r>
      <w:r w:rsidRPr="001A0CBB">
        <w:rPr>
          <w:rFonts w:ascii="Times New Roman" w:hAnsi="Times New Roman" w:cs="Times New Roman"/>
          <w:sz w:val="24"/>
          <w:szCs w:val="24"/>
        </w:rPr>
        <w:t>tür. Çalışmada kullanılan girdiler</w:t>
      </w:r>
      <w:r w:rsidR="008C0875">
        <w:rPr>
          <w:rFonts w:ascii="Times New Roman" w:hAnsi="Times New Roman" w:cs="Times New Roman"/>
          <w:sz w:val="24"/>
          <w:szCs w:val="24"/>
        </w:rPr>
        <w:t>;</w:t>
      </w:r>
      <w:r w:rsidRPr="001A0CBB">
        <w:rPr>
          <w:rFonts w:ascii="Times New Roman" w:hAnsi="Times New Roman" w:cs="Times New Roman"/>
          <w:sz w:val="24"/>
          <w:szCs w:val="24"/>
        </w:rPr>
        <w:t xml:space="preserve"> personel sayısı, toplam mevduat, faiz giderleri ve faiz dışı giderler iken çıktılar sırasıyla</w:t>
      </w:r>
      <w:r w:rsidR="008C0875">
        <w:rPr>
          <w:rFonts w:ascii="Times New Roman" w:hAnsi="Times New Roman" w:cs="Times New Roman"/>
          <w:sz w:val="24"/>
          <w:szCs w:val="24"/>
        </w:rPr>
        <w:t>;</w:t>
      </w:r>
      <w:r w:rsidRPr="001A0CBB">
        <w:rPr>
          <w:rFonts w:ascii="Times New Roman" w:hAnsi="Times New Roman" w:cs="Times New Roman"/>
          <w:sz w:val="24"/>
          <w:szCs w:val="24"/>
        </w:rPr>
        <w:t xml:space="preserve"> toplam krediler, faiz gelirleri ile faiz dışı gelirlerdir.</w:t>
      </w:r>
      <w:r w:rsidRPr="00AC7348">
        <w:rPr>
          <w:rFonts w:ascii="Times New Roman" w:hAnsi="Times New Roman" w:cs="Times New Roman"/>
          <w:sz w:val="24"/>
          <w:szCs w:val="24"/>
        </w:rPr>
        <w:t xml:space="preserve"> </w:t>
      </w:r>
      <w:r w:rsidRPr="001A0CBB">
        <w:rPr>
          <w:rFonts w:ascii="Times New Roman" w:hAnsi="Times New Roman" w:cs="Times New Roman"/>
          <w:sz w:val="24"/>
          <w:szCs w:val="24"/>
        </w:rPr>
        <w:t>Çalışmada a</w:t>
      </w:r>
      <w:r w:rsidRPr="00AC7348">
        <w:rPr>
          <w:rFonts w:ascii="Times New Roman" w:hAnsi="Times New Roman" w:cs="Times New Roman"/>
          <w:sz w:val="24"/>
          <w:szCs w:val="24"/>
        </w:rPr>
        <w:t xml:space="preserve">ğırlık kısıtlı VZA modelinin etkin olan ve olmayan bankaları ayrıştırma gücünün daha yüksek olduğu </w:t>
      </w:r>
      <w:r w:rsidRPr="001A0CBB">
        <w:rPr>
          <w:rFonts w:ascii="Times New Roman" w:hAnsi="Times New Roman" w:cs="Times New Roman"/>
          <w:sz w:val="24"/>
          <w:szCs w:val="24"/>
        </w:rPr>
        <w:t xml:space="preserve">ve </w:t>
      </w:r>
      <w:r w:rsidRPr="00AC7348">
        <w:rPr>
          <w:rFonts w:ascii="Times New Roman" w:hAnsi="Times New Roman" w:cs="Times New Roman"/>
          <w:sz w:val="24"/>
          <w:szCs w:val="24"/>
        </w:rPr>
        <w:t xml:space="preserve">ayrıca modelde kullanılan değişkenlerin verileri dışındaki piyasa verilerinin de analize </w:t>
      </w:r>
      <w:r w:rsidRPr="001A0CBB">
        <w:rPr>
          <w:rFonts w:ascii="Times New Roman" w:hAnsi="Times New Roman" w:cs="Times New Roman"/>
          <w:sz w:val="24"/>
          <w:szCs w:val="24"/>
        </w:rPr>
        <w:t>dâhil</w:t>
      </w:r>
      <w:r w:rsidRPr="00AC7348">
        <w:rPr>
          <w:rFonts w:ascii="Times New Roman" w:hAnsi="Times New Roman" w:cs="Times New Roman"/>
          <w:sz w:val="24"/>
          <w:szCs w:val="24"/>
        </w:rPr>
        <w:t xml:space="preserve"> edilmesine </w:t>
      </w:r>
      <w:r w:rsidRPr="001A0CBB">
        <w:rPr>
          <w:rFonts w:ascii="Times New Roman" w:hAnsi="Times New Roman" w:cs="Times New Roman"/>
          <w:sz w:val="24"/>
          <w:szCs w:val="24"/>
        </w:rPr>
        <w:t>imkân</w:t>
      </w:r>
      <w:r w:rsidRPr="00AC7348">
        <w:rPr>
          <w:rFonts w:ascii="Times New Roman" w:hAnsi="Times New Roman" w:cs="Times New Roman"/>
          <w:sz w:val="24"/>
          <w:szCs w:val="24"/>
        </w:rPr>
        <w:t xml:space="preserve"> sağladığı</w:t>
      </w:r>
      <w:r w:rsidRPr="001A0CBB">
        <w:rPr>
          <w:rFonts w:ascii="Times New Roman" w:hAnsi="Times New Roman" w:cs="Times New Roman"/>
          <w:sz w:val="24"/>
          <w:szCs w:val="24"/>
        </w:rPr>
        <w:t xml:space="preserve"> </w:t>
      </w:r>
      <w:r w:rsidR="005953EA">
        <w:rPr>
          <w:rFonts w:ascii="Times New Roman" w:hAnsi="Times New Roman" w:cs="Times New Roman"/>
          <w:sz w:val="24"/>
          <w:szCs w:val="24"/>
        </w:rPr>
        <w:t>ortaya konmuştur</w:t>
      </w:r>
      <w:r w:rsidRPr="001A0CBB">
        <w:rPr>
          <w:rFonts w:ascii="Times New Roman" w:hAnsi="Times New Roman" w:cs="Times New Roman"/>
          <w:sz w:val="24"/>
          <w:szCs w:val="24"/>
        </w:rPr>
        <w:t>.</w:t>
      </w:r>
    </w:p>
    <w:p w:rsidR="001A0CBB" w:rsidRPr="001A0CBB" w:rsidRDefault="001A0CBB" w:rsidP="00A265E6">
      <w:pPr>
        <w:spacing w:after="120" w:line="240" w:lineRule="auto"/>
        <w:jc w:val="both"/>
        <w:rPr>
          <w:rFonts w:ascii="Times New Roman" w:hAnsi="Times New Roman" w:cs="Times New Roman"/>
          <w:sz w:val="24"/>
          <w:szCs w:val="24"/>
        </w:rPr>
      </w:pPr>
      <w:r w:rsidRPr="001A0CBB">
        <w:rPr>
          <w:rFonts w:ascii="Times New Roman" w:hAnsi="Times New Roman" w:cs="Times New Roman"/>
          <w:sz w:val="24"/>
          <w:szCs w:val="24"/>
        </w:rPr>
        <w:t>Akyüz vd. (2013)</w:t>
      </w:r>
      <w:r w:rsidR="00142BD9">
        <w:rPr>
          <w:rFonts w:ascii="Times New Roman" w:hAnsi="Times New Roman" w:cs="Times New Roman"/>
          <w:sz w:val="24"/>
          <w:szCs w:val="24"/>
        </w:rPr>
        <w:t>’nin</w:t>
      </w:r>
      <w:r w:rsidRPr="001A0CBB">
        <w:rPr>
          <w:rFonts w:ascii="Times New Roman" w:hAnsi="Times New Roman" w:cs="Times New Roman"/>
          <w:sz w:val="24"/>
          <w:szCs w:val="24"/>
        </w:rPr>
        <w:t xml:space="preserve"> çalışmasında, Borsa </w:t>
      </w:r>
      <w:r w:rsidR="005953EA" w:rsidRPr="001A0CBB">
        <w:rPr>
          <w:rFonts w:ascii="Times New Roman" w:hAnsi="Times New Roman" w:cs="Times New Roman"/>
          <w:sz w:val="24"/>
          <w:szCs w:val="24"/>
        </w:rPr>
        <w:t>İstanbul’da işlem</w:t>
      </w:r>
      <w:r w:rsidRPr="001A0CBB">
        <w:rPr>
          <w:rFonts w:ascii="Times New Roman" w:hAnsi="Times New Roman" w:cs="Times New Roman"/>
          <w:sz w:val="24"/>
          <w:szCs w:val="24"/>
        </w:rPr>
        <w:t xml:space="preserve"> gören 11 mevduat bankasının 2007-2011 yıllarındaki verimlilik ölçümü</w:t>
      </w:r>
      <w:r w:rsidR="008A28E8">
        <w:rPr>
          <w:rFonts w:ascii="Times New Roman" w:hAnsi="Times New Roman" w:cs="Times New Roman"/>
          <w:sz w:val="24"/>
          <w:szCs w:val="24"/>
        </w:rPr>
        <w:t>,</w:t>
      </w:r>
      <w:r w:rsidRPr="001A0CBB">
        <w:rPr>
          <w:rFonts w:ascii="Times New Roman" w:hAnsi="Times New Roman" w:cs="Times New Roman"/>
          <w:sz w:val="24"/>
          <w:szCs w:val="24"/>
        </w:rPr>
        <w:t xml:space="preserve"> toplam faktör verimliliği analizlerine olanak veren Malmquist To</w:t>
      </w:r>
      <w:r w:rsidR="00D95094">
        <w:rPr>
          <w:rFonts w:ascii="Times New Roman" w:hAnsi="Times New Roman" w:cs="Times New Roman"/>
          <w:sz w:val="24"/>
          <w:szCs w:val="24"/>
        </w:rPr>
        <w:t>plam Faktör Verimlilik Endeksi y</w:t>
      </w:r>
      <w:r w:rsidRPr="001A0CBB">
        <w:rPr>
          <w:rFonts w:ascii="Times New Roman" w:hAnsi="Times New Roman" w:cs="Times New Roman"/>
          <w:sz w:val="24"/>
          <w:szCs w:val="24"/>
        </w:rPr>
        <w:t>öntemi kullanılarak hesaplanmıştır. Çalışmada girdi seti olarak</w:t>
      </w:r>
      <w:r w:rsidR="00724E9E">
        <w:rPr>
          <w:rFonts w:ascii="Times New Roman" w:hAnsi="Times New Roman" w:cs="Times New Roman"/>
          <w:sz w:val="24"/>
          <w:szCs w:val="24"/>
        </w:rPr>
        <w:t>;</w:t>
      </w:r>
      <w:r w:rsidRPr="001A0CBB">
        <w:rPr>
          <w:rFonts w:ascii="Times New Roman" w:hAnsi="Times New Roman" w:cs="Times New Roman"/>
          <w:sz w:val="24"/>
          <w:szCs w:val="24"/>
        </w:rPr>
        <w:t xml:space="preserve"> mevduat, özsermaye, faiz giderleri; çıktı seti olarak</w:t>
      </w:r>
      <w:r w:rsidR="00724E9E">
        <w:rPr>
          <w:rFonts w:ascii="Times New Roman" w:hAnsi="Times New Roman" w:cs="Times New Roman"/>
          <w:sz w:val="24"/>
          <w:szCs w:val="24"/>
        </w:rPr>
        <w:t>; net kâ</w:t>
      </w:r>
      <w:r w:rsidRPr="001A0CBB">
        <w:rPr>
          <w:rFonts w:ascii="Times New Roman" w:hAnsi="Times New Roman" w:cs="Times New Roman"/>
          <w:sz w:val="24"/>
          <w:szCs w:val="24"/>
        </w:rPr>
        <w:t>r ve faiz gelirleri değişkenleri kullanılmıştır. Elde edilen bulgular, 2008-2009 döneminde toplam faktör verimliliğinde artış, diğer dönemlerde bir azalma olduğunu göstermiştir.</w:t>
      </w:r>
    </w:p>
    <w:p w:rsidR="001A0CBB" w:rsidRPr="001A0CBB" w:rsidRDefault="001A0CBB" w:rsidP="00A265E6">
      <w:pPr>
        <w:spacing w:after="120" w:line="240" w:lineRule="auto"/>
        <w:jc w:val="both"/>
        <w:rPr>
          <w:rFonts w:ascii="Times New Roman" w:hAnsi="Times New Roman" w:cs="Times New Roman"/>
          <w:sz w:val="24"/>
          <w:szCs w:val="24"/>
        </w:rPr>
      </w:pPr>
      <w:r w:rsidRPr="001A0CBB">
        <w:rPr>
          <w:rFonts w:ascii="Times New Roman" w:hAnsi="Times New Roman" w:cs="Times New Roman"/>
          <w:sz w:val="24"/>
          <w:szCs w:val="24"/>
        </w:rPr>
        <w:t>Timor ve Mimarbaşı (2013)</w:t>
      </w:r>
      <w:r w:rsidR="008A28E8">
        <w:rPr>
          <w:rFonts w:ascii="Times New Roman" w:hAnsi="Times New Roman" w:cs="Times New Roman"/>
          <w:sz w:val="24"/>
          <w:szCs w:val="24"/>
        </w:rPr>
        <w:t>’nın</w:t>
      </w:r>
      <w:r w:rsidRPr="001A0CBB">
        <w:rPr>
          <w:rFonts w:ascii="Times New Roman" w:hAnsi="Times New Roman" w:cs="Times New Roman"/>
          <w:sz w:val="24"/>
          <w:szCs w:val="24"/>
        </w:rPr>
        <w:t xml:space="preserve"> çalışmasında, özel bir bankanın 15 şubesine ilişkin 2010 yılı verileri kullanılarak </w:t>
      </w:r>
      <w:r w:rsidRPr="009248AE">
        <w:rPr>
          <w:rFonts w:ascii="Times New Roman" w:hAnsi="Times New Roman" w:cs="Times New Roman"/>
          <w:sz w:val="24"/>
          <w:szCs w:val="24"/>
        </w:rPr>
        <w:t>VZA yöntemi kullanılarak etkin ve etkin olmayan şubeler göreceli olarak belirlenmiş ve banka şube sıralamalarının yerindeliğini irdelemek üzere TOPSIS yöntemine başvurulmuştur.</w:t>
      </w:r>
      <w:r w:rsidRPr="001A0CBB">
        <w:rPr>
          <w:rFonts w:ascii="Times New Roman" w:hAnsi="Times New Roman" w:cs="Times New Roman"/>
          <w:sz w:val="24"/>
          <w:szCs w:val="24"/>
        </w:rPr>
        <w:t xml:space="preserve"> Çalışmada 4 girdi (</w:t>
      </w:r>
      <w:r w:rsidRPr="009248AE">
        <w:rPr>
          <w:rFonts w:ascii="Times New Roman" w:hAnsi="Times New Roman" w:cs="Times New Roman"/>
          <w:sz w:val="24"/>
          <w:szCs w:val="24"/>
        </w:rPr>
        <w:t xml:space="preserve">banka müşterilerinin ortalama gişe bekleme süresi, banka dışı müşterilerin ortalama gişe bekleme süresi,  banka müşterilerinin şikâyet sayısı, banka dışı </w:t>
      </w:r>
      <w:r w:rsidRPr="009248AE">
        <w:rPr>
          <w:rFonts w:ascii="Times New Roman" w:hAnsi="Times New Roman" w:cs="Times New Roman"/>
          <w:sz w:val="24"/>
          <w:szCs w:val="24"/>
        </w:rPr>
        <w:lastRenderedPageBreak/>
        <w:t>müşterilerin şikâyet sayısı) ve 2 çıktı (banka müşterilerinin fiş/gişe sayısı, banka dışı müşterilerinin fiş/gişe sayısı</w:t>
      </w:r>
      <w:r w:rsidRPr="001A0CBB">
        <w:rPr>
          <w:rFonts w:ascii="Times New Roman" w:hAnsi="Times New Roman" w:cs="Times New Roman"/>
          <w:sz w:val="24"/>
          <w:szCs w:val="24"/>
        </w:rPr>
        <w:t xml:space="preserve">) kullanılmıştır. </w:t>
      </w:r>
    </w:p>
    <w:p w:rsidR="001A0CBB" w:rsidRPr="001A0CBB" w:rsidRDefault="001A0CBB" w:rsidP="00A265E6">
      <w:pPr>
        <w:spacing w:after="120" w:line="240" w:lineRule="auto"/>
        <w:jc w:val="both"/>
        <w:rPr>
          <w:rFonts w:ascii="Times New Roman" w:hAnsi="Times New Roman" w:cs="Times New Roman"/>
          <w:sz w:val="24"/>
          <w:szCs w:val="24"/>
        </w:rPr>
      </w:pPr>
      <w:r w:rsidRPr="001A0CBB">
        <w:rPr>
          <w:rFonts w:ascii="Times New Roman" w:hAnsi="Times New Roman" w:cs="Times New Roman"/>
          <w:sz w:val="24"/>
          <w:szCs w:val="24"/>
        </w:rPr>
        <w:t>Küçükaksoy ve Önal (2013)</w:t>
      </w:r>
      <w:r w:rsidR="00913F54">
        <w:rPr>
          <w:rFonts w:ascii="Times New Roman" w:hAnsi="Times New Roman" w:cs="Times New Roman"/>
          <w:sz w:val="24"/>
          <w:szCs w:val="24"/>
        </w:rPr>
        <w:t>’ın</w:t>
      </w:r>
      <w:r w:rsidRPr="001A0CBB">
        <w:rPr>
          <w:rFonts w:ascii="Times New Roman" w:hAnsi="Times New Roman" w:cs="Times New Roman"/>
          <w:sz w:val="24"/>
          <w:szCs w:val="24"/>
        </w:rPr>
        <w:t xml:space="preserve"> çalışmasında Türkiye’de faaliyet gösteren 10 adet özel sermayeli mevduat bankaları ve 5 adet Türkiye’de kurulmuş yabancı sermayeli mevduat bankalarının 2004-2011 yılları arasında ölçeğe göre değişken getiri vars</w:t>
      </w:r>
      <w:r w:rsidR="00745449">
        <w:rPr>
          <w:rFonts w:ascii="Times New Roman" w:hAnsi="Times New Roman" w:cs="Times New Roman"/>
          <w:sz w:val="24"/>
          <w:szCs w:val="24"/>
        </w:rPr>
        <w:t xml:space="preserve">ayımı altında girdi odaklı VZA’ya </w:t>
      </w:r>
      <w:r w:rsidRPr="001A0CBB">
        <w:rPr>
          <w:rFonts w:ascii="Times New Roman" w:hAnsi="Times New Roman" w:cs="Times New Roman"/>
          <w:sz w:val="24"/>
          <w:szCs w:val="24"/>
        </w:rPr>
        <w:t xml:space="preserve">göre etkinlikleri araştırılmıştır. Çalışmada 3 girdi (toplam mevduat, faiz giderleri, personel giderleri) ve 2 çıktı (toplam kredi, faiz gelirleri) kullanılmıştır. Ayrıca etkin bulunmayan bankaların her yıl için etkinliklerini sağlayabilmeleri için girdilerinde yapması gereken değişiklikler için önerilerde bulunulmuştur.  </w:t>
      </w:r>
    </w:p>
    <w:p w:rsidR="00484001" w:rsidRPr="00484001" w:rsidRDefault="00AA45F1" w:rsidP="00A0688A">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484001" w:rsidRPr="00484001">
        <w:rPr>
          <w:rFonts w:ascii="Times New Roman" w:hAnsi="Times New Roman" w:cs="Times New Roman"/>
          <w:b/>
          <w:sz w:val="24"/>
          <w:szCs w:val="24"/>
        </w:rPr>
        <w:t xml:space="preserve">. </w:t>
      </w:r>
      <w:r w:rsidR="00B23978" w:rsidRPr="00484001">
        <w:rPr>
          <w:rFonts w:ascii="Times New Roman" w:hAnsi="Times New Roman" w:cs="Times New Roman"/>
          <w:b/>
          <w:sz w:val="24"/>
          <w:szCs w:val="24"/>
        </w:rPr>
        <w:t>ARAŞTIRMANIN YÖNTEMİ</w:t>
      </w:r>
    </w:p>
    <w:p w:rsidR="00484001" w:rsidRPr="00484001" w:rsidRDefault="00AA45F1" w:rsidP="00A0688A">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3</w:t>
      </w:r>
      <w:r w:rsidR="00484001" w:rsidRPr="00484001">
        <w:rPr>
          <w:rFonts w:ascii="Times New Roman" w:hAnsi="Times New Roman" w:cs="Times New Roman"/>
          <w:b/>
          <w:sz w:val="24"/>
          <w:szCs w:val="24"/>
        </w:rPr>
        <w:t>.1. Veri Zarflama Analizi</w:t>
      </w:r>
      <w:bookmarkEnd w:id="2"/>
    </w:p>
    <w:p w:rsid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Uygulamalı çalışmalarda en sık kullanılan parametrik olmayan yöntem veri zarflama analizidir. Bu yöntemin sahip olduğu en önemli özellik, her karar alma birimindeki etkinsizlik miktarını ve kaynaklarını tanımlayabilmesidir. Bu özelliği ile yöntem, etkin olmayan birimlerde ne kadarlık bir girdi azaltma ve/veya çıktı miktarını artırmak gerektiğine ilişkin olarak yöneticilere yol göster</w:t>
      </w:r>
      <w:r w:rsidR="00B23978">
        <w:rPr>
          <w:rFonts w:ascii="Times New Roman" w:hAnsi="Times New Roman" w:cs="Times New Roman"/>
          <w:sz w:val="24"/>
          <w:szCs w:val="24"/>
        </w:rPr>
        <w:t>mektedir.</w:t>
      </w:r>
      <w:r w:rsidRPr="00484001">
        <w:rPr>
          <w:rFonts w:ascii="Times New Roman" w:hAnsi="Times New Roman" w:cs="Times New Roman"/>
          <w:sz w:val="24"/>
          <w:szCs w:val="24"/>
        </w:rPr>
        <w:t xml:space="preserve"> </w:t>
      </w:r>
    </w:p>
    <w:p w:rsid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 xml:space="preserve">İlk başta </w:t>
      </w:r>
      <w:r w:rsidR="00AE1525">
        <w:rPr>
          <w:rFonts w:ascii="Times New Roman" w:hAnsi="Times New Roman" w:cs="Times New Roman"/>
          <w:sz w:val="24"/>
          <w:szCs w:val="24"/>
        </w:rPr>
        <w:t>kâr amacı gütmeyen kurumların (</w:t>
      </w:r>
      <w:r w:rsidRPr="00484001">
        <w:rPr>
          <w:rFonts w:ascii="Times New Roman" w:hAnsi="Times New Roman" w:cs="Times New Roman"/>
          <w:sz w:val="24"/>
          <w:szCs w:val="24"/>
        </w:rPr>
        <w:t>hastane, silahlı kuvvetler, üniversite vb.) karşılaştırmalı etkinliğinin ölçülmesini hedefleyen bu yöntem, daha sonraları ARGE projelerinde, çok uluslu ya da çok şubeli şirketlerin göreli performanslarının ölçümünde ve nihayet kâr amaçlı üretim ve hizmet sektörlerinde de işletmeler arası göreli etkinliğin ölçümünde kullanılmaya başlanmıştır. Yöntemin getirdiği en önemli yenilik, birçok girdinin kullanılarak birçok çıktının elde edildiği ortamlarda, parametrik yöntemlerde olduğu gibi önceden belirlenmiş herhangi bir analitik üretim fonksiyonu varlığının öngörülmesine gereksinim duymadan ölçüm yapılabilmesidir. Ayrıca girdi ve çıktılar, ölçüm birimlerinden bağımsızdırlar. Bu nedenle işletmenin değişik boyutlarının aynı zamanda ölçülebilmesi imkânı vardır (Karsak ve İşcan, 2000:</w:t>
      </w:r>
      <w:r w:rsidR="004912AC">
        <w:rPr>
          <w:rFonts w:ascii="Times New Roman" w:hAnsi="Times New Roman" w:cs="Times New Roman"/>
          <w:sz w:val="24"/>
          <w:szCs w:val="24"/>
        </w:rPr>
        <w:t xml:space="preserve"> </w:t>
      </w:r>
      <w:r w:rsidRPr="00484001">
        <w:rPr>
          <w:rFonts w:ascii="Times New Roman" w:hAnsi="Times New Roman" w:cs="Times New Roman"/>
          <w:sz w:val="24"/>
          <w:szCs w:val="24"/>
        </w:rPr>
        <w:t xml:space="preserve">2). </w:t>
      </w:r>
    </w:p>
    <w:p w:rsidR="00484001" w:rsidRP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Veri Zarflama Analizinde girdi sayısı ile çıktı sayısının çarpımı kadar boyut oluşur ve en az boyut sayısı kadar da etkin karar birimi olmalıdır. Bu durumun bir sonucu olarak (Karar birim sayısı</w:t>
      </w:r>
      <w:r>
        <w:rPr>
          <w:rFonts w:ascii="Times New Roman" w:hAnsi="Times New Roman" w:cs="Times New Roman"/>
          <w:sz w:val="24"/>
          <w:szCs w:val="24"/>
        </w:rPr>
        <w:t xml:space="preserve"> </w:t>
      </w:r>
      <m:oMath>
        <m:r>
          <w:rPr>
            <w:rFonts w:ascii="Cambria Math" w:hAnsi="Cambria Math" w:cs="Times New Roman"/>
            <w:sz w:val="24"/>
            <w:szCs w:val="24"/>
          </w:rPr>
          <m:t>≥</m:t>
        </m:r>
      </m:oMath>
      <w:r w:rsidRPr="00484001">
        <w:rPr>
          <w:rFonts w:ascii="Times New Roman" w:hAnsi="Times New Roman" w:cs="Times New Roman"/>
          <w:sz w:val="24"/>
          <w:szCs w:val="24"/>
        </w:rPr>
        <w:t xml:space="preserve">  2</w:t>
      </w:r>
      <m:oMath>
        <m:r>
          <w:rPr>
            <w:rFonts w:ascii="Cambria Math" w:hAnsi="Cambria Math" w:cs="Times New Roman"/>
            <w:sz w:val="24"/>
            <w:szCs w:val="24"/>
          </w:rPr>
          <m:t xml:space="preserve"> × </m:t>
        </m:r>
      </m:oMath>
      <w:r w:rsidRPr="00484001">
        <w:rPr>
          <w:rFonts w:ascii="Times New Roman" w:hAnsi="Times New Roman" w:cs="Times New Roman"/>
          <w:sz w:val="24"/>
          <w:szCs w:val="24"/>
        </w:rPr>
        <w:t>Girdi sayısı</w:t>
      </w:r>
      <m:oMath>
        <m:r>
          <w:rPr>
            <w:rFonts w:ascii="Cambria Math" w:hAnsi="Cambria Math" w:cs="Times New Roman"/>
            <w:sz w:val="24"/>
            <w:szCs w:val="24"/>
          </w:rPr>
          <m:t xml:space="preserve"> × </m:t>
        </m:r>
      </m:oMath>
      <w:r w:rsidRPr="00484001">
        <w:rPr>
          <w:rFonts w:ascii="Times New Roman" w:hAnsi="Times New Roman" w:cs="Times New Roman"/>
          <w:sz w:val="24"/>
          <w:szCs w:val="24"/>
        </w:rPr>
        <w:t>Çıktı sayısı)  eşitsizliğin</w:t>
      </w:r>
      <w:r w:rsidR="008F7BCF">
        <w:rPr>
          <w:rFonts w:ascii="Times New Roman" w:hAnsi="Times New Roman" w:cs="Times New Roman"/>
          <w:sz w:val="24"/>
          <w:szCs w:val="24"/>
        </w:rPr>
        <w:t>in</w:t>
      </w:r>
      <w:r w:rsidRPr="00484001">
        <w:rPr>
          <w:rFonts w:ascii="Times New Roman" w:hAnsi="Times New Roman" w:cs="Times New Roman"/>
          <w:sz w:val="24"/>
          <w:szCs w:val="24"/>
        </w:rPr>
        <w:t xml:space="preserve"> sağlanması gerekir. Bu genel kurala </w:t>
      </w:r>
      <w:r w:rsidR="001F2870">
        <w:rPr>
          <w:rFonts w:ascii="Times New Roman" w:hAnsi="Times New Roman" w:cs="Times New Roman"/>
          <w:sz w:val="24"/>
          <w:szCs w:val="24"/>
        </w:rPr>
        <w:t>ek olarak,</w:t>
      </w:r>
      <w:r w:rsidRPr="00484001">
        <w:rPr>
          <w:rFonts w:ascii="Times New Roman" w:hAnsi="Times New Roman" w:cs="Times New Roman"/>
          <w:sz w:val="24"/>
          <w:szCs w:val="24"/>
        </w:rPr>
        <w:t xml:space="preserve"> girdiler ve çıktılar arasında kuvvetli bir ilişkinin olması arzu </w:t>
      </w:r>
      <w:r w:rsidR="00664A20">
        <w:rPr>
          <w:rFonts w:ascii="Times New Roman" w:hAnsi="Times New Roman" w:cs="Times New Roman"/>
          <w:sz w:val="24"/>
          <w:szCs w:val="24"/>
        </w:rPr>
        <w:t>edilen bir durumdur. Ayrıca, VZA</w:t>
      </w:r>
      <w:r w:rsidRPr="00484001">
        <w:rPr>
          <w:rFonts w:ascii="Times New Roman" w:hAnsi="Times New Roman" w:cs="Times New Roman"/>
          <w:sz w:val="24"/>
          <w:szCs w:val="24"/>
        </w:rPr>
        <w:t>’</w:t>
      </w:r>
      <w:r w:rsidR="008300EC">
        <w:rPr>
          <w:rFonts w:ascii="Times New Roman" w:hAnsi="Times New Roman" w:cs="Times New Roman"/>
          <w:sz w:val="24"/>
          <w:szCs w:val="24"/>
        </w:rPr>
        <w:t>da</w:t>
      </w:r>
      <w:r w:rsidRPr="00484001">
        <w:rPr>
          <w:rFonts w:ascii="Times New Roman" w:hAnsi="Times New Roman" w:cs="Times New Roman"/>
          <w:sz w:val="24"/>
          <w:szCs w:val="24"/>
        </w:rPr>
        <w:t xml:space="preserve"> girdilerin artması etkinlikte azalışa, çıktıların artması ise etkinlikte artışa neden olmaktadır. Bu nedenle, girdi ve çıktı sayısının çok fazla olmamasının yanı sıra ikisi arasında büyük farklılaşmalar</w:t>
      </w:r>
      <w:r>
        <w:rPr>
          <w:rFonts w:ascii="Times New Roman" w:hAnsi="Times New Roman" w:cs="Times New Roman"/>
          <w:sz w:val="24"/>
          <w:szCs w:val="24"/>
        </w:rPr>
        <w:t xml:space="preserve"> da</w:t>
      </w:r>
      <w:r w:rsidRPr="00484001">
        <w:rPr>
          <w:rFonts w:ascii="Times New Roman" w:hAnsi="Times New Roman" w:cs="Times New Roman"/>
          <w:sz w:val="24"/>
          <w:szCs w:val="24"/>
        </w:rPr>
        <w:t xml:space="preserve"> olmamalıdır.</w:t>
      </w:r>
    </w:p>
    <w:p w:rsidR="00484001" w:rsidRPr="00484001" w:rsidRDefault="001F2870"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VZA</w:t>
      </w:r>
      <w:r w:rsidR="00484001" w:rsidRPr="00484001">
        <w:rPr>
          <w:rFonts w:ascii="Times New Roman" w:hAnsi="Times New Roman" w:cs="Times New Roman"/>
          <w:sz w:val="24"/>
          <w:szCs w:val="24"/>
        </w:rPr>
        <w:t>, farklı ölçeklerle ölçülmüş ya da farklı ölçü birimlerine sahip çok sayıda girdi ve çıktının karşılaştırma yapmayı zorlaştırdığı durumlarda, karar birimlerinin göreli performanslarını (etkinliklerini) ölçmekte kullanılan doğrusal pro</w:t>
      </w:r>
      <w:r w:rsidR="00AE1525">
        <w:rPr>
          <w:rFonts w:ascii="Times New Roman" w:hAnsi="Times New Roman" w:cs="Times New Roman"/>
          <w:sz w:val="24"/>
          <w:szCs w:val="24"/>
        </w:rPr>
        <w:t>gramlama esaslı bir yöntemdir (</w:t>
      </w:r>
      <w:r w:rsidR="00484001" w:rsidRPr="00484001">
        <w:rPr>
          <w:rFonts w:ascii="Times New Roman" w:hAnsi="Times New Roman" w:cs="Times New Roman"/>
          <w:sz w:val="24"/>
          <w:szCs w:val="24"/>
        </w:rPr>
        <w:t>Boussofiane ve diğ. 1991). Analizin temelinde benzer türden karar birimlerinin üretim etkinliklerinin değerlendirilmesi yer alır. Analize konu olacak karar birimlerinin aynı hedefe yönelik benzer işlevler görmesi, aynı pazar şartlarında çalışması ve gruptaki bütün birimlerin verimliliklerini nitelendiren etmenlerin, yoğunluk ve büyüklüklerindeki farklılıklar hariç</w:t>
      </w:r>
      <w:r w:rsidR="00AE1525">
        <w:rPr>
          <w:rFonts w:ascii="Times New Roman" w:hAnsi="Times New Roman" w:cs="Times New Roman"/>
          <w:sz w:val="24"/>
          <w:szCs w:val="24"/>
        </w:rPr>
        <w:t>, aynı olması şartları aranır (</w:t>
      </w:r>
      <w:r w:rsidR="00484001" w:rsidRPr="00484001">
        <w:rPr>
          <w:rFonts w:ascii="Times New Roman" w:hAnsi="Times New Roman" w:cs="Times New Roman"/>
          <w:sz w:val="24"/>
          <w:szCs w:val="24"/>
        </w:rPr>
        <w:t>Karsak ve İşc</w:t>
      </w:r>
      <w:r w:rsidR="00AE1525">
        <w:rPr>
          <w:rFonts w:ascii="Times New Roman" w:hAnsi="Times New Roman" w:cs="Times New Roman"/>
          <w:sz w:val="24"/>
          <w:szCs w:val="24"/>
        </w:rPr>
        <w:t>an, 2000: 3</w:t>
      </w:r>
      <w:r w:rsidR="00484001" w:rsidRPr="00484001">
        <w:rPr>
          <w:rFonts w:ascii="Times New Roman" w:hAnsi="Times New Roman" w:cs="Times New Roman"/>
          <w:sz w:val="24"/>
          <w:szCs w:val="24"/>
        </w:rPr>
        <w:t>).</w:t>
      </w:r>
    </w:p>
    <w:p w:rsidR="00484001" w:rsidRPr="00484001" w:rsidRDefault="00664A20"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VZA</w:t>
      </w:r>
      <w:r w:rsidR="001F2870">
        <w:rPr>
          <w:rFonts w:ascii="Times New Roman" w:hAnsi="Times New Roman" w:cs="Times New Roman"/>
          <w:sz w:val="24"/>
          <w:szCs w:val="24"/>
        </w:rPr>
        <w:t>,</w:t>
      </w:r>
      <w:r w:rsidR="00484001" w:rsidRPr="00484001">
        <w:rPr>
          <w:rFonts w:ascii="Times New Roman" w:hAnsi="Times New Roman" w:cs="Times New Roman"/>
          <w:sz w:val="24"/>
          <w:szCs w:val="24"/>
        </w:rPr>
        <w:t xml:space="preserve"> Farrell (1957) tarafından ilk kez ortalama performans ölçütüne alternatif olarak sınır üretim fonksiyonu önerisi ile gündeme gelmiş</w:t>
      </w:r>
      <w:r w:rsidR="00AE1525">
        <w:rPr>
          <w:rFonts w:ascii="Times New Roman" w:hAnsi="Times New Roman" w:cs="Times New Roman"/>
          <w:sz w:val="24"/>
          <w:szCs w:val="24"/>
        </w:rPr>
        <w:t xml:space="preserve"> ve Charnes, Cooper ve Rhodes (</w:t>
      </w:r>
      <w:r w:rsidR="00484001" w:rsidRPr="00484001">
        <w:rPr>
          <w:rFonts w:ascii="Times New Roman" w:hAnsi="Times New Roman" w:cs="Times New Roman"/>
          <w:sz w:val="24"/>
          <w:szCs w:val="24"/>
        </w:rPr>
        <w:t xml:space="preserve">CCR, 1978) ve Banker, Charnes ve Cooper (BCC, 1984) çalışmalarıyla günümüzde kullanılan şeklini almıştır. CCR tarafından önerilen yaklaşımda karar alma birimlerinin ölçeğe göre sabit getiri (CRS) altında çalıştıkları varsayılmaktadır. CRS varsayımı tüm karar alma birimlerinin optimum ölçekte çalıştığı ve ölçek etkinsizliğinin olmadığını ifade etmektedir. Buna karşın,    </w:t>
      </w:r>
      <w:r w:rsidR="00484001" w:rsidRPr="00484001">
        <w:rPr>
          <w:rFonts w:ascii="Times New Roman" w:hAnsi="Times New Roman" w:cs="Times New Roman"/>
          <w:sz w:val="24"/>
          <w:szCs w:val="24"/>
        </w:rPr>
        <w:lastRenderedPageBreak/>
        <w:t xml:space="preserve">BCC tarafından ölçeğe göre değişken getiri (VRS) varsayımına dayalı bir çözümleme yapılmaktadır.  Böylece karar birimlerinin her biri için ölçeğe göre getiri durumları (sabit, artan ya da azalan) belirlenebilir. Bunun yanı sıra CRS ve VRS varsayımları kullanılarak elde edilen çözümlerden hareketle “ölçek etkinliği” hesaplamaları da yapılabilmektedir. </w:t>
      </w:r>
    </w:p>
    <w:p w:rsidR="00484001" w:rsidRPr="00484001" w:rsidRDefault="00664A20"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VZA</w:t>
      </w:r>
      <w:r w:rsidR="00FE3F77">
        <w:rPr>
          <w:rFonts w:ascii="Times New Roman" w:hAnsi="Times New Roman" w:cs="Times New Roman"/>
          <w:sz w:val="24"/>
          <w:szCs w:val="24"/>
        </w:rPr>
        <w:t>,</w:t>
      </w:r>
      <w:r w:rsidR="00484001" w:rsidRPr="00484001">
        <w:rPr>
          <w:rFonts w:ascii="Times New Roman" w:hAnsi="Times New Roman" w:cs="Times New Roman"/>
          <w:sz w:val="24"/>
          <w:szCs w:val="24"/>
        </w:rPr>
        <w:t xml:space="preserve"> girdi odaklı ya da çıktı odaklı olarak çözülebilmektedir. Girdi odaklı yaklaşım</w:t>
      </w:r>
      <w:r w:rsidR="00FE3F77">
        <w:rPr>
          <w:rFonts w:ascii="Times New Roman" w:hAnsi="Times New Roman" w:cs="Times New Roman"/>
          <w:sz w:val="24"/>
          <w:szCs w:val="24"/>
        </w:rPr>
        <w:t>;</w:t>
      </w:r>
      <w:r w:rsidR="00484001" w:rsidRPr="00484001">
        <w:rPr>
          <w:rFonts w:ascii="Times New Roman" w:hAnsi="Times New Roman" w:cs="Times New Roman"/>
          <w:sz w:val="24"/>
          <w:szCs w:val="24"/>
        </w:rPr>
        <w:t xml:space="preserve"> çıktı miktarları veri </w:t>
      </w:r>
      <w:r w:rsidR="00FE3F77">
        <w:rPr>
          <w:rFonts w:ascii="Times New Roman" w:hAnsi="Times New Roman" w:cs="Times New Roman"/>
          <w:sz w:val="24"/>
          <w:szCs w:val="24"/>
        </w:rPr>
        <w:t>olarak kullanılarak</w:t>
      </w:r>
      <w:r w:rsidR="00484001" w:rsidRPr="00484001">
        <w:rPr>
          <w:rFonts w:ascii="Times New Roman" w:hAnsi="Times New Roman" w:cs="Times New Roman"/>
          <w:sz w:val="24"/>
          <w:szCs w:val="24"/>
        </w:rPr>
        <w:t xml:space="preserve"> girdi miktarlarında meydana gelebilecek değişimlerin incelenmesi iken çıktı odaklı yaklaşım</w:t>
      </w:r>
      <w:r w:rsidR="00FE3F77">
        <w:rPr>
          <w:rFonts w:ascii="Times New Roman" w:hAnsi="Times New Roman" w:cs="Times New Roman"/>
          <w:sz w:val="24"/>
          <w:szCs w:val="24"/>
        </w:rPr>
        <w:t>;</w:t>
      </w:r>
      <w:r w:rsidR="00484001" w:rsidRPr="00484001">
        <w:rPr>
          <w:rFonts w:ascii="Times New Roman" w:hAnsi="Times New Roman" w:cs="Times New Roman"/>
          <w:sz w:val="24"/>
          <w:szCs w:val="24"/>
        </w:rPr>
        <w:t xml:space="preserve"> girdi miktarları veri </w:t>
      </w:r>
      <w:r w:rsidR="00FE3F77">
        <w:rPr>
          <w:rFonts w:ascii="Times New Roman" w:hAnsi="Times New Roman" w:cs="Times New Roman"/>
          <w:sz w:val="24"/>
          <w:szCs w:val="24"/>
        </w:rPr>
        <w:t>olarak kullanılırken</w:t>
      </w:r>
      <w:r w:rsidR="00484001" w:rsidRPr="00484001">
        <w:rPr>
          <w:rFonts w:ascii="Times New Roman" w:hAnsi="Times New Roman" w:cs="Times New Roman"/>
          <w:sz w:val="24"/>
          <w:szCs w:val="24"/>
        </w:rPr>
        <w:t xml:space="preserve"> çıktı miktarlarındaki değişimlerin incelenmesidir. Böylece girdi odaklı yaklaşım “çıktı miktarlarında değişim olmaksızın girdi miktarlarında ne kadar bir azaltma yapılabilir</w:t>
      </w:r>
      <w:r w:rsidR="00484001">
        <w:rPr>
          <w:rFonts w:ascii="Times New Roman" w:hAnsi="Times New Roman" w:cs="Times New Roman"/>
          <w:sz w:val="24"/>
          <w:szCs w:val="24"/>
        </w:rPr>
        <w:t>?</w:t>
      </w:r>
      <w:r w:rsidR="00B15DC5">
        <w:rPr>
          <w:rFonts w:ascii="Times New Roman" w:hAnsi="Times New Roman" w:cs="Times New Roman"/>
          <w:sz w:val="24"/>
          <w:szCs w:val="24"/>
        </w:rPr>
        <w:t>”, çıktı odaklı yaklaşım ise “</w:t>
      </w:r>
      <w:r w:rsidR="00484001" w:rsidRPr="00484001">
        <w:rPr>
          <w:rFonts w:ascii="Times New Roman" w:hAnsi="Times New Roman" w:cs="Times New Roman"/>
          <w:sz w:val="24"/>
          <w:szCs w:val="24"/>
        </w:rPr>
        <w:t>girdi miktarlarında değişiklik olmaksızın çıktı miktarlarında ne ölçüde bir genişleme yapılabilir</w:t>
      </w:r>
      <w:r w:rsidR="00484001">
        <w:rPr>
          <w:rFonts w:ascii="Times New Roman" w:hAnsi="Times New Roman" w:cs="Times New Roman"/>
          <w:sz w:val="24"/>
          <w:szCs w:val="24"/>
        </w:rPr>
        <w:t>?</w:t>
      </w:r>
      <w:r w:rsidR="00484001" w:rsidRPr="00484001">
        <w:rPr>
          <w:rFonts w:ascii="Times New Roman" w:hAnsi="Times New Roman" w:cs="Times New Roman"/>
          <w:sz w:val="24"/>
          <w:szCs w:val="24"/>
        </w:rPr>
        <w:t xml:space="preserve">” sorularına cevap verecektir.  Araştırmacılar, girdiler üzerinde kontrolün az olduğunu ya da olmadığını varsayar ise çıktı odaklı modeli, çıktılar üzerinde kontrol az ise girdi odaklı modeli benimsemelidir.  Buna karşın, araştırmada sadece karar alma birimlerinin etkinlik durumlarının incelenmesi söz konusu ise her iki odaklı yaklaşım da kullanılabilir. Bunlara ilaveten, girdi veya çıktı odaklı teknik etkinlik ölçümleri ölçeğe göre sabit getirinin varlığında birbirine eşit iken artan ya da azalan getiriler söz konusu olduğunda farklı değerler alabilir (Fare ve Lowell, 1978). </w:t>
      </w:r>
    </w:p>
    <w:p w:rsidR="00484001" w:rsidRP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Çoklu çıktı ve çoklu girdi faktörleri durumunda etkinlik skoru aşağıdaki gibi tanımlanabilir:</w: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sz w:val="24"/>
          <w:szCs w:val="24"/>
        </w:rPr>
        <w:t>Etkinlik = Çıktıların ağırlıklı toplamı / Girdilerin ağırlıklı toplamı</w:t>
      </w:r>
    </w:p>
    <w:p w:rsidR="00484001" w:rsidRPr="00484001" w:rsidRDefault="00664A20"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VZA</w:t>
      </w:r>
      <w:r w:rsidR="00484001" w:rsidRPr="00484001">
        <w:rPr>
          <w:rFonts w:ascii="Times New Roman" w:hAnsi="Times New Roman" w:cs="Times New Roman"/>
          <w:sz w:val="24"/>
          <w:szCs w:val="24"/>
        </w:rPr>
        <w:t xml:space="preserve"> kullanılarak hesaplanan etkinlik skorları her karar alma birimi için 0 ile 1 arasında değerler alır. Etkinlik skoru 1 değerine sahip olan karar alma birimleri etkin sınır üzerinde olduğundan teknik etkin olarak kabul edilir.</w:t>
      </w:r>
    </w:p>
    <w:p w:rsidR="00484001" w:rsidRP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Girdi odaklılık varsayımı altında optimal ağırlıklar aşağıda verilen matematiksel programlama probleminin çözümü ile bulunur:</w: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position w:val="-14"/>
          <w:sz w:val="24"/>
          <w:szCs w:val="24"/>
        </w:rPr>
        <w:object w:dxaOrig="17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9.5pt" o:ole="">
            <v:imagedata r:id="rId9" o:title=""/>
          </v:shape>
          <o:OLEObject Type="Embed" ProgID="Equation.3" ShapeID="_x0000_i1025" DrawAspect="Content" ObjectID="_1492593356" r:id="rId10"/>
        </w:objec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sz w:val="24"/>
          <w:szCs w:val="24"/>
        </w:rPr>
        <w:t xml:space="preserve">Kısıtlar: </w:t>
      </w:r>
      <w:r w:rsidRPr="00484001">
        <w:rPr>
          <w:rFonts w:ascii="Times New Roman" w:hAnsi="Times New Roman" w:cs="Times New Roman"/>
          <w:position w:val="-14"/>
          <w:sz w:val="24"/>
          <w:szCs w:val="24"/>
        </w:rPr>
        <w:object w:dxaOrig="2740" w:dyaOrig="380">
          <v:shape id="_x0000_i1026" type="#_x0000_t75" style="width:137.25pt;height:19.5pt" o:ole="">
            <v:imagedata r:id="rId11" o:title=""/>
          </v:shape>
          <o:OLEObject Type="Embed" ProgID="Equation.3" ShapeID="_x0000_i1026" DrawAspect="Content" ObjectID="_1492593357" r:id="rId12"/>
        </w:object>
      </w:r>
      <w:r w:rsidR="00AE1525">
        <w:rPr>
          <w:rFonts w:ascii="Times New Roman" w:hAnsi="Times New Roman" w:cs="Times New Roman"/>
          <w:sz w:val="24"/>
          <w:szCs w:val="24"/>
        </w:rPr>
        <w:t xml:space="preserve">; </w:t>
      </w:r>
      <w:r w:rsidRPr="00484001">
        <w:rPr>
          <w:rFonts w:ascii="Times New Roman" w:hAnsi="Times New Roman" w:cs="Times New Roman"/>
          <w:sz w:val="24"/>
          <w:szCs w:val="24"/>
        </w:rPr>
        <w:t xml:space="preserve"> </w:t>
      </w:r>
      <w:r w:rsidRPr="00484001">
        <w:rPr>
          <w:rFonts w:ascii="Times New Roman" w:hAnsi="Times New Roman" w:cs="Times New Roman"/>
          <w:position w:val="-10"/>
          <w:sz w:val="24"/>
          <w:szCs w:val="24"/>
        </w:rPr>
        <w:object w:dxaOrig="700" w:dyaOrig="320">
          <v:shape id="_x0000_i1027" type="#_x0000_t75" style="width:35.25pt;height:15.75pt" o:ole="">
            <v:imagedata r:id="rId13" o:title=""/>
          </v:shape>
          <o:OLEObject Type="Embed" ProgID="Equation.3" ShapeID="_x0000_i1027" DrawAspect="Content" ObjectID="_1492593358" r:id="rId14"/>
        </w:object>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t>(1)</w:t>
      </w:r>
    </w:p>
    <w:p w:rsidR="00484001" w:rsidRPr="00484001" w:rsidRDefault="00AF73C7"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 firmanın her biri</w:t>
      </w:r>
      <w:r w:rsidR="00484001" w:rsidRPr="00484001">
        <w:rPr>
          <w:rFonts w:ascii="Times New Roman" w:hAnsi="Times New Roman" w:cs="Times New Roman"/>
          <w:sz w:val="24"/>
          <w:szCs w:val="24"/>
        </w:rPr>
        <w:t xml:space="preserve"> için N girdi ve M çıktı vardır. I firmalarının tamamı için veriler N×I girdi matrisi (X) ve M×I çıktı matrisi (Y) ile gösterilirken </w:t>
      </w:r>
      <w:r w:rsidR="00484001" w:rsidRPr="00484001">
        <w:rPr>
          <w:rFonts w:ascii="Times New Roman" w:hAnsi="Times New Roman" w:cs="Times New Roman"/>
          <w:position w:val="-12"/>
          <w:sz w:val="24"/>
          <w:szCs w:val="24"/>
        </w:rPr>
        <w:object w:dxaOrig="240" w:dyaOrig="360">
          <v:shape id="_x0000_i1028" type="#_x0000_t75" style="width:12pt;height:18.75pt" o:ole="">
            <v:imagedata r:id="rId15" o:title=""/>
          </v:shape>
          <o:OLEObject Type="Embed" ProgID="Equation.3" ShapeID="_x0000_i1028" DrawAspect="Content" ObjectID="_1492593359" r:id="rId16"/>
        </w:object>
      </w:r>
      <w:r w:rsidR="00484001" w:rsidRPr="00484001">
        <w:rPr>
          <w:rFonts w:ascii="Times New Roman" w:hAnsi="Times New Roman" w:cs="Times New Roman"/>
          <w:sz w:val="24"/>
          <w:szCs w:val="24"/>
        </w:rPr>
        <w:t xml:space="preserve"> ve </w:t>
      </w:r>
      <w:r w:rsidR="00484001" w:rsidRPr="00484001">
        <w:rPr>
          <w:rFonts w:ascii="Times New Roman" w:hAnsi="Times New Roman" w:cs="Times New Roman"/>
          <w:position w:val="-12"/>
          <w:sz w:val="24"/>
          <w:szCs w:val="24"/>
        </w:rPr>
        <w:object w:dxaOrig="260" w:dyaOrig="360">
          <v:shape id="_x0000_i1029" type="#_x0000_t75" style="width:13.5pt;height:18.75pt" o:ole="">
            <v:imagedata r:id="rId17" o:title=""/>
          </v:shape>
          <o:OLEObject Type="Embed" ProgID="Equation.3" ShapeID="_x0000_i1029" DrawAspect="Content" ObjectID="_1492593360" r:id="rId18"/>
        </w:object>
      </w:r>
      <w:r w:rsidR="00484001" w:rsidRPr="00484001">
        <w:rPr>
          <w:rFonts w:ascii="Times New Roman" w:hAnsi="Times New Roman" w:cs="Times New Roman"/>
          <w:sz w:val="24"/>
          <w:szCs w:val="24"/>
        </w:rPr>
        <w:t xml:space="preserve"> sütun vektörleri i-inci firma için sırasıyla girdi ve çıktıların kümesini göstermektedir.</w:t>
      </w:r>
    </w:p>
    <w:p w:rsidR="00484001" w:rsidRP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Aşağıdaki çarpımsal form yeni bir kısıt getirerek sınırsız sayıda çözüm elde etme problemini yok etmektedir:</w: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sz w:val="24"/>
          <w:szCs w:val="24"/>
        </w:rPr>
        <w:t xml:space="preserve"> </w:t>
      </w:r>
      <w:r w:rsidRPr="00484001">
        <w:rPr>
          <w:rFonts w:ascii="Times New Roman" w:hAnsi="Times New Roman" w:cs="Times New Roman"/>
          <w:position w:val="-14"/>
          <w:sz w:val="24"/>
          <w:szCs w:val="24"/>
        </w:rPr>
        <w:object w:dxaOrig="1300" w:dyaOrig="380">
          <v:shape id="_x0000_i1030" type="#_x0000_t75" style="width:65.25pt;height:19.5pt" o:ole="">
            <v:imagedata r:id="rId19" o:title=""/>
          </v:shape>
          <o:OLEObject Type="Embed" ProgID="Equation.3" ShapeID="_x0000_i1030" DrawAspect="Content" ObjectID="_1492593361" r:id="rId20"/>
        </w:objec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sz w:val="24"/>
          <w:szCs w:val="24"/>
        </w:rPr>
        <w:t xml:space="preserve">Kısıtlar: </w:t>
      </w:r>
      <w:r w:rsidRPr="00484001">
        <w:rPr>
          <w:rFonts w:ascii="Times New Roman" w:hAnsi="Times New Roman" w:cs="Times New Roman"/>
          <w:position w:val="-10"/>
          <w:sz w:val="24"/>
          <w:szCs w:val="24"/>
        </w:rPr>
        <w:object w:dxaOrig="820" w:dyaOrig="340">
          <v:shape id="_x0000_i1031" type="#_x0000_t75" style="width:41.25pt;height:16.5pt" o:ole="">
            <v:imagedata r:id="rId21" o:title=""/>
          </v:shape>
          <o:OLEObject Type="Embed" ProgID="Equation.3" ShapeID="_x0000_i1031" DrawAspect="Content" ObjectID="_1492593362" r:id="rId22"/>
        </w:object>
      </w:r>
      <w:r w:rsidR="00A74F5D">
        <w:rPr>
          <w:rFonts w:ascii="Times New Roman" w:hAnsi="Times New Roman" w:cs="Times New Roman"/>
          <w:sz w:val="24"/>
          <w:szCs w:val="24"/>
        </w:rPr>
        <w:t>;</w:t>
      </w:r>
      <w:r w:rsidRPr="00484001">
        <w:rPr>
          <w:rFonts w:ascii="Times New Roman" w:hAnsi="Times New Roman" w:cs="Times New Roman"/>
          <w:sz w:val="24"/>
          <w:szCs w:val="24"/>
        </w:rPr>
        <w:tab/>
        <w:t xml:space="preserve">  </w:t>
      </w:r>
      <w:r w:rsidRPr="00484001">
        <w:rPr>
          <w:rFonts w:ascii="Times New Roman" w:hAnsi="Times New Roman" w:cs="Times New Roman"/>
          <w:position w:val="-14"/>
          <w:sz w:val="24"/>
          <w:szCs w:val="24"/>
        </w:rPr>
        <w:object w:dxaOrig="3460" w:dyaOrig="380">
          <v:shape id="_x0000_i1032" type="#_x0000_t75" style="width:173.25pt;height:19.5pt" o:ole="">
            <v:imagedata r:id="rId23" o:title=""/>
          </v:shape>
          <o:OLEObject Type="Embed" ProgID="Equation.3" ShapeID="_x0000_i1032" DrawAspect="Content" ObjectID="_1492593363" r:id="rId24"/>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Pr="00484001">
        <w:rPr>
          <w:rFonts w:ascii="Times New Roman" w:hAnsi="Times New Roman" w:cs="Times New Roman"/>
          <w:position w:val="-10"/>
          <w:sz w:val="24"/>
          <w:szCs w:val="24"/>
        </w:rPr>
        <w:object w:dxaOrig="700" w:dyaOrig="320">
          <v:shape id="_x0000_i1033" type="#_x0000_t75" style="width:35.25pt;height:15.75pt" o:ole="">
            <v:imagedata r:id="rId25" o:title=""/>
          </v:shape>
          <o:OLEObject Type="Embed" ProgID="Equation.3" ShapeID="_x0000_i1033" DrawAspect="Content" ObjectID="_1492593364" r:id="rId26"/>
        </w:object>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t>(2)</w:t>
      </w:r>
    </w:p>
    <w:p w:rsidR="00484001" w:rsidRP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 xml:space="preserve">Çarpımsal formdan daha az kısıtlama içerdiğinden dolayı bu doğrusal programlamanın dual formundan hareketle türetilen eşit zarf formu çözüm için tercih edilir: </w: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position w:val="-14"/>
          <w:sz w:val="24"/>
          <w:szCs w:val="24"/>
        </w:rPr>
        <w:object w:dxaOrig="859" w:dyaOrig="380">
          <v:shape id="_x0000_i1034" type="#_x0000_t75" style="width:42.75pt;height:19.5pt" o:ole="">
            <v:imagedata r:id="rId27" o:title=""/>
          </v:shape>
          <o:OLEObject Type="Embed" ProgID="Equation.3" ShapeID="_x0000_i1034" DrawAspect="Content" ObjectID="_1492593365" r:id="rId28"/>
        </w:objec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sz w:val="24"/>
          <w:szCs w:val="24"/>
        </w:rPr>
        <w:t xml:space="preserve">Kısıtlar: </w:t>
      </w:r>
      <w:r w:rsidRPr="00484001">
        <w:rPr>
          <w:rFonts w:ascii="Times New Roman" w:hAnsi="Times New Roman" w:cs="Times New Roman"/>
          <w:position w:val="-10"/>
          <w:sz w:val="24"/>
          <w:szCs w:val="24"/>
        </w:rPr>
        <w:object w:dxaOrig="1359" w:dyaOrig="340">
          <v:shape id="_x0000_i1035" type="#_x0000_t75" style="width:67.5pt;height:16.5pt" o:ole="">
            <v:imagedata r:id="rId29" o:title=""/>
          </v:shape>
          <o:OLEObject Type="Embed" ProgID="Equation.3" ShapeID="_x0000_i1035" DrawAspect="Content" ObjectID="_1492593366" r:id="rId30"/>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Pr="00484001">
        <w:rPr>
          <w:rFonts w:ascii="Times New Roman" w:hAnsi="Times New Roman" w:cs="Times New Roman"/>
          <w:position w:val="-10"/>
          <w:sz w:val="24"/>
          <w:szCs w:val="24"/>
        </w:rPr>
        <w:object w:dxaOrig="1380" w:dyaOrig="340">
          <v:shape id="_x0000_i1036" type="#_x0000_t75" style="width:69pt;height:16.5pt" o:ole="">
            <v:imagedata r:id="rId31" o:title=""/>
          </v:shape>
          <o:OLEObject Type="Embed" ProgID="Equation.3" ShapeID="_x0000_i1036" DrawAspect="Content" ObjectID="_1492593367" r:id="rId32"/>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Pr="00484001">
        <w:rPr>
          <w:rFonts w:ascii="Times New Roman" w:hAnsi="Times New Roman" w:cs="Times New Roman"/>
          <w:position w:val="-6"/>
          <w:sz w:val="24"/>
          <w:szCs w:val="24"/>
        </w:rPr>
        <w:object w:dxaOrig="580" w:dyaOrig="279">
          <v:shape id="_x0000_i1037" type="#_x0000_t75" style="width:29.25pt;height:14.25pt" o:ole="">
            <v:imagedata r:id="rId33" o:title=""/>
          </v:shape>
          <o:OLEObject Type="Embed" ProgID="Equation.3" ShapeID="_x0000_i1037" DrawAspect="Content" ObjectID="_1492593368" r:id="rId34"/>
        </w:object>
      </w:r>
      <w:r w:rsidRPr="00484001">
        <w:rPr>
          <w:rFonts w:ascii="Times New Roman" w:hAnsi="Times New Roman" w:cs="Times New Roman"/>
          <w:sz w:val="24"/>
          <w:szCs w:val="24"/>
        </w:rPr>
        <w:tab/>
      </w:r>
      <w:r w:rsidR="00AE1525">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t>(3)</w:t>
      </w:r>
    </w:p>
    <w:p w:rsidR="00484001" w:rsidRP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 xml:space="preserve">Burada </w:t>
      </w:r>
      <w:r w:rsidRPr="00484001">
        <w:rPr>
          <w:rFonts w:ascii="Times New Roman" w:hAnsi="Times New Roman" w:cs="Times New Roman"/>
          <w:position w:val="-6"/>
          <w:sz w:val="24"/>
          <w:szCs w:val="24"/>
        </w:rPr>
        <w:object w:dxaOrig="200" w:dyaOrig="279">
          <v:shape id="_x0000_i1038" type="#_x0000_t75" style="width:9.75pt;height:14.25pt" o:ole="">
            <v:imagedata r:id="rId35" o:title=""/>
          </v:shape>
          <o:OLEObject Type="Embed" ProgID="Equation.3" ShapeID="_x0000_i1038" DrawAspect="Content" ObjectID="_1492593369" r:id="rId36"/>
        </w:object>
      </w:r>
      <w:r w:rsidRPr="00484001">
        <w:rPr>
          <w:rFonts w:ascii="Times New Roman" w:hAnsi="Times New Roman" w:cs="Times New Roman"/>
          <w:sz w:val="24"/>
          <w:szCs w:val="24"/>
        </w:rPr>
        <w:t xml:space="preserve"> bir skaler ve </w:t>
      </w:r>
      <w:r w:rsidRPr="00484001">
        <w:rPr>
          <w:rFonts w:ascii="Times New Roman" w:hAnsi="Times New Roman" w:cs="Times New Roman"/>
          <w:position w:val="-6"/>
          <w:sz w:val="24"/>
          <w:szCs w:val="24"/>
        </w:rPr>
        <w:object w:dxaOrig="220" w:dyaOrig="279">
          <v:shape id="_x0000_i1039" type="#_x0000_t75" style="width:11.25pt;height:14.25pt" o:ole="">
            <v:imagedata r:id="rId37" o:title=""/>
          </v:shape>
          <o:OLEObject Type="Embed" ProgID="Equation.3" ShapeID="_x0000_i1039" DrawAspect="Content" ObjectID="_1492593370" r:id="rId38"/>
        </w:object>
      </w:r>
      <w:r w:rsidRPr="00484001">
        <w:rPr>
          <w:rFonts w:ascii="Times New Roman" w:hAnsi="Times New Roman" w:cs="Times New Roman"/>
          <w:sz w:val="24"/>
          <w:szCs w:val="24"/>
        </w:rPr>
        <w:t xml:space="preserve"> ise I×1 boyutunda sabitler (ağırlıklar) vektörüdür. </w:t>
      </w:r>
      <w:r w:rsidRPr="00484001">
        <w:rPr>
          <w:rFonts w:ascii="Times New Roman" w:hAnsi="Times New Roman" w:cs="Times New Roman"/>
          <w:position w:val="-6"/>
          <w:sz w:val="24"/>
          <w:szCs w:val="24"/>
        </w:rPr>
        <w:object w:dxaOrig="200" w:dyaOrig="279">
          <v:shape id="_x0000_i1040" type="#_x0000_t75" style="width:9.75pt;height:14.25pt" o:ole="">
            <v:imagedata r:id="rId39" o:title=""/>
          </v:shape>
          <o:OLEObject Type="Embed" ProgID="Equation.3" ShapeID="_x0000_i1040" DrawAspect="Content" ObjectID="_1492593371" r:id="rId40"/>
        </w:object>
      </w:r>
      <w:r w:rsidRPr="00484001">
        <w:rPr>
          <w:rFonts w:ascii="Times New Roman" w:hAnsi="Times New Roman" w:cs="Times New Roman"/>
          <w:sz w:val="24"/>
          <w:szCs w:val="24"/>
        </w:rPr>
        <w:t xml:space="preserve"> için bulunan değer i-inci firmanın etkinlik skorudur ve </w:t>
      </w:r>
      <w:r w:rsidRPr="00484001">
        <w:rPr>
          <w:rFonts w:ascii="Times New Roman" w:hAnsi="Times New Roman" w:cs="Times New Roman"/>
          <w:position w:val="-6"/>
          <w:sz w:val="24"/>
          <w:szCs w:val="24"/>
        </w:rPr>
        <w:object w:dxaOrig="540" w:dyaOrig="279">
          <v:shape id="_x0000_i1041" type="#_x0000_t75" style="width:27pt;height:14.25pt" o:ole="">
            <v:imagedata r:id="rId41" o:title=""/>
          </v:shape>
          <o:OLEObject Type="Embed" ProgID="Equation.3" ShapeID="_x0000_i1041" DrawAspect="Content" ObjectID="_1492593372" r:id="rId42"/>
        </w:object>
      </w:r>
      <w:r w:rsidRPr="00484001">
        <w:rPr>
          <w:rFonts w:ascii="Times New Roman" w:hAnsi="Times New Roman" w:cs="Times New Roman"/>
          <w:sz w:val="24"/>
          <w:szCs w:val="24"/>
        </w:rPr>
        <w:t xml:space="preserve"> koşulunu sağlar. Herhangi bir firma için bu değerin 1 olarak hesaplanması durumunda </w:t>
      </w:r>
      <w:r w:rsidRPr="00484001">
        <w:rPr>
          <w:rFonts w:ascii="Times New Roman" w:hAnsi="Times New Roman" w:cs="Times New Roman"/>
          <w:position w:val="-6"/>
          <w:sz w:val="24"/>
          <w:szCs w:val="24"/>
        </w:rPr>
        <w:object w:dxaOrig="200" w:dyaOrig="279">
          <v:shape id="_x0000_i1042" type="#_x0000_t75" style="width:9.75pt;height:14.25pt" o:ole="">
            <v:imagedata r:id="rId43" o:title=""/>
          </v:shape>
          <o:OLEObject Type="Embed" ProgID="Equation.3" ShapeID="_x0000_i1042" DrawAspect="Content" ObjectID="_1492593373" r:id="rId44"/>
        </w:object>
      </w:r>
      <w:r w:rsidRPr="00484001">
        <w:rPr>
          <w:rFonts w:ascii="Times New Roman" w:hAnsi="Times New Roman" w:cs="Times New Roman"/>
          <w:sz w:val="24"/>
          <w:szCs w:val="24"/>
        </w:rPr>
        <w:t xml:space="preserve"> sınır üzerinde bir noktadır ve ilgili firmanın </w:t>
      </w:r>
      <w:r w:rsidRPr="00484001">
        <w:rPr>
          <w:rFonts w:ascii="Times New Roman" w:hAnsi="Times New Roman" w:cs="Times New Roman"/>
          <w:sz w:val="24"/>
          <w:szCs w:val="24"/>
        </w:rPr>
        <w:lastRenderedPageBreak/>
        <w:t xml:space="preserve">teknik etkin olduğunu gösterir. Her firma için </w:t>
      </w:r>
      <w:r w:rsidRPr="00484001">
        <w:rPr>
          <w:rFonts w:ascii="Times New Roman" w:hAnsi="Times New Roman" w:cs="Times New Roman"/>
          <w:position w:val="-6"/>
          <w:sz w:val="24"/>
          <w:szCs w:val="24"/>
        </w:rPr>
        <w:object w:dxaOrig="200" w:dyaOrig="279">
          <v:shape id="_x0000_i1043" type="#_x0000_t75" style="width:9.75pt;height:14.25pt" o:ole="">
            <v:imagedata r:id="rId45" o:title=""/>
          </v:shape>
          <o:OLEObject Type="Embed" ProgID="Equation.3" ShapeID="_x0000_i1043" DrawAspect="Content" ObjectID="_1492593374" r:id="rId46"/>
        </w:object>
      </w:r>
      <w:r w:rsidRPr="00484001">
        <w:rPr>
          <w:rFonts w:ascii="Times New Roman" w:hAnsi="Times New Roman" w:cs="Times New Roman"/>
          <w:sz w:val="24"/>
          <w:szCs w:val="24"/>
        </w:rPr>
        <w:t xml:space="preserve"> değerinin hesaplanabilmesi için doğrusal programlama modeli I - kez çözülmelidir.</w:t>
      </w:r>
    </w:p>
    <w:p w:rsidR="00484001" w:rsidRP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Yukarıda verilen doğrusal programlama yaklaşımı ölçeğe göre sabit getiri (CRS) varsayımı altında yapılmıştır. CRS problemi bir konvekslik kısıtlaması ilave edilerek ölçeğe göre değişen getiri (VRS) için hesaplamalara uygun hale getirilebilir. VRS modeli kullanılarak bulunan teknik etkinlik skorları CRS tanımlaması altında bulunan skorlara eşit ya da daha büyük olacaktır. VRS doğrusal programlama problemi aşağıdaki gibidir:</w: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position w:val="-14"/>
          <w:sz w:val="24"/>
          <w:szCs w:val="24"/>
        </w:rPr>
        <w:object w:dxaOrig="859" w:dyaOrig="380">
          <v:shape id="_x0000_i1044" type="#_x0000_t75" style="width:42.75pt;height:19.5pt" o:ole="">
            <v:imagedata r:id="rId47" o:title=""/>
          </v:shape>
          <o:OLEObject Type="Embed" ProgID="Equation.3" ShapeID="_x0000_i1044" DrawAspect="Content" ObjectID="_1492593375" r:id="rId48"/>
        </w:objec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sz w:val="24"/>
          <w:szCs w:val="24"/>
        </w:rPr>
        <w:t xml:space="preserve">Kısıtlar: </w:t>
      </w:r>
      <w:r w:rsidRPr="00484001">
        <w:rPr>
          <w:rFonts w:ascii="Times New Roman" w:hAnsi="Times New Roman" w:cs="Times New Roman"/>
          <w:position w:val="-10"/>
          <w:sz w:val="24"/>
          <w:szCs w:val="24"/>
        </w:rPr>
        <w:object w:dxaOrig="1359" w:dyaOrig="340">
          <v:shape id="_x0000_i1045" type="#_x0000_t75" style="width:67.5pt;height:16.5pt" o:ole="">
            <v:imagedata r:id="rId49" o:title=""/>
          </v:shape>
          <o:OLEObject Type="Embed" ProgID="Equation.3" ShapeID="_x0000_i1045" DrawAspect="Content" ObjectID="_1492593376" r:id="rId50"/>
        </w:object>
      </w:r>
      <w:r w:rsidR="00A74F5D">
        <w:rPr>
          <w:rFonts w:ascii="Times New Roman" w:hAnsi="Times New Roman" w:cs="Times New Roman"/>
          <w:sz w:val="24"/>
          <w:szCs w:val="24"/>
        </w:rPr>
        <w:t xml:space="preserve">; </w:t>
      </w:r>
      <w:r w:rsidRPr="00484001">
        <w:rPr>
          <w:rFonts w:ascii="Times New Roman" w:hAnsi="Times New Roman" w:cs="Times New Roman"/>
          <w:sz w:val="24"/>
          <w:szCs w:val="24"/>
        </w:rPr>
        <w:t xml:space="preserve">  </w:t>
      </w:r>
      <w:r w:rsidRPr="00484001">
        <w:rPr>
          <w:rFonts w:ascii="Times New Roman" w:hAnsi="Times New Roman" w:cs="Times New Roman"/>
          <w:position w:val="-10"/>
          <w:sz w:val="24"/>
          <w:szCs w:val="24"/>
        </w:rPr>
        <w:object w:dxaOrig="1380" w:dyaOrig="340">
          <v:shape id="_x0000_i1046" type="#_x0000_t75" style="width:69pt;height:16.5pt" o:ole="">
            <v:imagedata r:id="rId51" o:title=""/>
          </v:shape>
          <o:OLEObject Type="Embed" ProgID="Equation.3" ShapeID="_x0000_i1046" DrawAspect="Content" ObjectID="_1492593377" r:id="rId52"/>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Pr="00484001">
        <w:rPr>
          <w:rFonts w:ascii="Times New Roman" w:hAnsi="Times New Roman" w:cs="Times New Roman"/>
          <w:position w:val="-10"/>
          <w:sz w:val="24"/>
          <w:szCs w:val="24"/>
        </w:rPr>
        <w:object w:dxaOrig="840" w:dyaOrig="320">
          <v:shape id="_x0000_i1047" type="#_x0000_t75" style="width:42pt;height:15.75pt" o:ole="">
            <v:imagedata r:id="rId53" o:title=""/>
          </v:shape>
          <o:OLEObject Type="Embed" ProgID="Equation.3" ShapeID="_x0000_i1047" DrawAspect="Content" ObjectID="_1492593378" r:id="rId54"/>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Pr="00484001">
        <w:rPr>
          <w:rFonts w:ascii="Times New Roman" w:hAnsi="Times New Roman" w:cs="Times New Roman"/>
          <w:position w:val="-6"/>
          <w:sz w:val="24"/>
          <w:szCs w:val="24"/>
        </w:rPr>
        <w:object w:dxaOrig="580" w:dyaOrig="279">
          <v:shape id="_x0000_i1048" type="#_x0000_t75" style="width:29.25pt;height:14.25pt" o:ole="">
            <v:imagedata r:id="rId55" o:title=""/>
          </v:shape>
          <o:OLEObject Type="Embed" ProgID="Equation.3" ShapeID="_x0000_i1048" DrawAspect="Content" ObjectID="_1492593379" r:id="rId56"/>
        </w:object>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t>(4)</w:t>
      </w:r>
    </w:p>
    <w:p w:rsidR="00484001" w:rsidRP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 xml:space="preserve">Burada </w:t>
      </w:r>
      <w:r w:rsidRPr="00484001">
        <w:rPr>
          <w:rFonts w:ascii="Times New Roman" w:hAnsi="Times New Roman" w:cs="Times New Roman"/>
          <w:position w:val="-10"/>
          <w:sz w:val="24"/>
          <w:szCs w:val="24"/>
        </w:rPr>
        <w:object w:dxaOrig="300" w:dyaOrig="320">
          <v:shape id="_x0000_i1049" type="#_x0000_t75" style="width:15pt;height:15.75pt" o:ole="">
            <v:imagedata r:id="rId57" o:title=""/>
          </v:shape>
          <o:OLEObject Type="Embed" ProgID="Equation.3" ShapeID="_x0000_i1049" DrawAspect="Content" ObjectID="_1492593380" r:id="rId58"/>
        </w:object>
      </w:r>
      <w:r w:rsidRPr="00484001">
        <w:rPr>
          <w:rFonts w:ascii="Times New Roman" w:hAnsi="Times New Roman" w:cs="Times New Roman"/>
          <w:sz w:val="24"/>
          <w:szCs w:val="24"/>
        </w:rPr>
        <w:t xml:space="preserve"> tanımlaması I×1 boyutunda 1 değerlerinden oluşan bir vektördür. CRS ve VRS varsayımları altında hesaplanan teknik etkinlik (TE) skorlarından hareketle ölçek etkinliği (SE) aşağıda verilen ilişki yardımıyla hesaplanabilir:</w: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sz w:val="24"/>
          <w:szCs w:val="24"/>
        </w:rPr>
        <w:t>TECRS = TEVRS × SE</w:t>
      </w:r>
      <w:r w:rsidRPr="00484001">
        <w:rPr>
          <w:rFonts w:ascii="Times New Roman" w:hAnsi="Times New Roman" w:cs="Times New Roman"/>
          <w:sz w:val="24"/>
          <w:szCs w:val="24"/>
        </w:rPr>
        <w:tab/>
      </w:r>
      <w:r w:rsidR="00AE1525">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t>(5)</w:t>
      </w:r>
    </w:p>
    <w:p w:rsidR="00484001" w:rsidRP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Çıktı odaklı modeller girdi odaklı modellere benzer bir yapıdadır. (4)-eşitliği ile verilen girdi odaklı VRS doğrusal programlama problemi çıktı odaklı yaklaşımda aşağıdaki gibi olacaktır:</w:t>
      </w:r>
    </w:p>
    <w:p w:rsidR="00484001" w:rsidRPr="00484001" w:rsidRDefault="001A40BA" w:rsidP="00A0688A">
      <w:pPr>
        <w:spacing w:after="120" w:line="240" w:lineRule="auto"/>
        <w:ind w:firstLine="360"/>
        <w:jc w:val="both"/>
        <w:rPr>
          <w:rFonts w:ascii="Times New Roman" w:hAnsi="Times New Roman" w:cs="Times New Roman"/>
          <w:sz w:val="24"/>
          <w:szCs w:val="24"/>
        </w:rPr>
      </w:pPr>
      <w:r w:rsidRPr="001A40BA">
        <w:rPr>
          <w:rFonts w:ascii="Times New Roman" w:hAnsi="Times New Roman" w:cs="Times New Roman"/>
          <w:position w:val="-14"/>
          <w:sz w:val="24"/>
          <w:szCs w:val="24"/>
        </w:rPr>
        <w:object w:dxaOrig="880" w:dyaOrig="380">
          <v:shape id="_x0000_i1050" type="#_x0000_t75" style="width:43.5pt;height:19.5pt" o:ole="">
            <v:imagedata r:id="rId59" o:title=""/>
          </v:shape>
          <o:OLEObject Type="Embed" ProgID="Equation.3" ShapeID="_x0000_i1050" DrawAspect="Content" ObjectID="_1492593381" r:id="rId60"/>
        </w:objec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sz w:val="24"/>
          <w:szCs w:val="24"/>
        </w:rPr>
        <w:t xml:space="preserve">Kısıtlar: </w:t>
      </w:r>
      <w:r w:rsidR="001A40BA" w:rsidRPr="001A40BA">
        <w:rPr>
          <w:rFonts w:ascii="Times New Roman" w:hAnsi="Times New Roman" w:cs="Times New Roman"/>
          <w:position w:val="-10"/>
          <w:sz w:val="24"/>
          <w:szCs w:val="24"/>
        </w:rPr>
        <w:object w:dxaOrig="1440" w:dyaOrig="340">
          <v:shape id="_x0000_i1051" type="#_x0000_t75" style="width:1in;height:16.5pt" o:ole="">
            <v:imagedata r:id="rId61" o:title=""/>
          </v:shape>
          <o:OLEObject Type="Embed" ProgID="Equation.3" ShapeID="_x0000_i1051" DrawAspect="Content" ObjectID="_1492593382" r:id="rId62"/>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001A40BA" w:rsidRPr="001A40BA">
        <w:rPr>
          <w:rFonts w:ascii="Times New Roman" w:hAnsi="Times New Roman" w:cs="Times New Roman"/>
          <w:position w:val="-10"/>
          <w:sz w:val="24"/>
          <w:szCs w:val="24"/>
        </w:rPr>
        <w:object w:dxaOrig="1260" w:dyaOrig="340">
          <v:shape id="_x0000_i1052" type="#_x0000_t75" style="width:63pt;height:16.5pt" o:ole="">
            <v:imagedata r:id="rId63" o:title=""/>
          </v:shape>
          <o:OLEObject Type="Embed" ProgID="Equation.3" ShapeID="_x0000_i1052" DrawAspect="Content" ObjectID="_1492593383" r:id="rId64"/>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001A40BA" w:rsidRPr="001A40BA">
        <w:rPr>
          <w:rFonts w:ascii="Times New Roman" w:hAnsi="Times New Roman" w:cs="Times New Roman"/>
          <w:position w:val="-10"/>
          <w:sz w:val="24"/>
          <w:szCs w:val="24"/>
        </w:rPr>
        <w:object w:dxaOrig="840" w:dyaOrig="320">
          <v:shape id="_x0000_i1053" type="#_x0000_t75" style="width:42pt;height:15.75pt" o:ole="">
            <v:imagedata r:id="rId65" o:title=""/>
          </v:shape>
          <o:OLEObject Type="Embed" ProgID="Equation.3" ShapeID="_x0000_i1053" DrawAspect="Content" ObjectID="_1492593384" r:id="rId66"/>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001A40BA" w:rsidRPr="001A40BA">
        <w:rPr>
          <w:rFonts w:ascii="Times New Roman" w:hAnsi="Times New Roman" w:cs="Times New Roman"/>
          <w:position w:val="-6"/>
          <w:sz w:val="24"/>
          <w:szCs w:val="24"/>
        </w:rPr>
        <w:object w:dxaOrig="580" w:dyaOrig="279">
          <v:shape id="_x0000_i1054" type="#_x0000_t75" style="width:29.25pt;height:14.25pt" o:ole="">
            <v:imagedata r:id="rId67" o:title=""/>
          </v:shape>
          <o:OLEObject Type="Embed" ProgID="Equation.3" ShapeID="_x0000_i1054" DrawAspect="Content" ObjectID="_1492593385" r:id="rId68"/>
        </w:object>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t>(6)</w:t>
      </w:r>
    </w:p>
    <w:p w:rsid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 xml:space="preserve">Burada </w:t>
      </w:r>
      <w:r w:rsidR="001A40BA" w:rsidRPr="001A40BA">
        <w:rPr>
          <w:rFonts w:ascii="Times New Roman" w:hAnsi="Times New Roman" w:cs="Times New Roman"/>
          <w:position w:val="-10"/>
          <w:sz w:val="24"/>
          <w:szCs w:val="24"/>
        </w:rPr>
        <w:object w:dxaOrig="960" w:dyaOrig="320">
          <v:shape id="_x0000_i1055" type="#_x0000_t75" style="width:48pt;height:15.75pt" o:ole="">
            <v:imagedata r:id="rId69" o:title=""/>
          </v:shape>
          <o:OLEObject Type="Embed" ProgID="Equation.3" ShapeID="_x0000_i1055" DrawAspect="Content" ObjectID="_1492593386" r:id="rId70"/>
        </w:object>
      </w:r>
      <w:r w:rsidRPr="00484001">
        <w:rPr>
          <w:rFonts w:ascii="Times New Roman" w:hAnsi="Times New Roman" w:cs="Times New Roman"/>
          <w:sz w:val="24"/>
          <w:szCs w:val="24"/>
        </w:rPr>
        <w:t xml:space="preserve"> ve </w:t>
      </w:r>
      <w:r w:rsidR="001A40BA" w:rsidRPr="001A40BA">
        <w:rPr>
          <w:rFonts w:ascii="Times New Roman" w:hAnsi="Times New Roman" w:cs="Times New Roman"/>
          <w:position w:val="-10"/>
          <w:sz w:val="24"/>
          <w:szCs w:val="24"/>
        </w:rPr>
        <w:object w:dxaOrig="499" w:dyaOrig="320">
          <v:shape id="_x0000_i1056" type="#_x0000_t75" style="width:24.75pt;height:15.75pt" o:ole="">
            <v:imagedata r:id="rId71" o:title=""/>
          </v:shape>
          <o:OLEObject Type="Embed" ProgID="Equation.3" ShapeID="_x0000_i1056" DrawAspect="Content" ObjectID="_1492593387" r:id="rId72"/>
        </w:object>
      </w:r>
      <w:r w:rsidRPr="00484001">
        <w:rPr>
          <w:rFonts w:ascii="Times New Roman" w:hAnsi="Times New Roman" w:cs="Times New Roman"/>
          <w:sz w:val="24"/>
          <w:szCs w:val="24"/>
        </w:rPr>
        <w:t xml:space="preserve"> ise girdi miktarları sabit iken I-cı karar alma biriminin çıktılarda yapabileceği nispi artıştır. Ayrıca </w:t>
      </w:r>
      <w:r w:rsidR="001A40BA" w:rsidRPr="001A40BA">
        <w:rPr>
          <w:rFonts w:ascii="Times New Roman" w:hAnsi="Times New Roman" w:cs="Times New Roman"/>
          <w:position w:val="-10"/>
          <w:sz w:val="24"/>
          <w:szCs w:val="24"/>
        </w:rPr>
        <w:object w:dxaOrig="360" w:dyaOrig="340">
          <v:shape id="_x0000_i1057" type="#_x0000_t75" style="width:18.75pt;height:16.5pt" o:ole="">
            <v:imagedata r:id="rId73" o:title=""/>
          </v:shape>
          <o:OLEObject Type="Embed" ProgID="Equation.3" ShapeID="_x0000_i1057" DrawAspect="Content" ObjectID="_1492593388" r:id="rId74"/>
        </w:object>
      </w:r>
      <w:r w:rsidRPr="00484001">
        <w:rPr>
          <w:rFonts w:ascii="Times New Roman" w:hAnsi="Times New Roman" w:cs="Times New Roman"/>
          <w:sz w:val="24"/>
          <w:szCs w:val="24"/>
        </w:rPr>
        <w:t xml:space="preserve">  katsayısı 0 ile 1 arasında değişen teknik etkinlik skorunu tanımlamaktadır. </w:t>
      </w:r>
    </w:p>
    <w:p w:rsidR="00484001" w:rsidRPr="001A40BA" w:rsidRDefault="00AA45F1" w:rsidP="00A0688A">
      <w:pPr>
        <w:spacing w:after="120" w:line="240" w:lineRule="auto"/>
        <w:jc w:val="both"/>
        <w:rPr>
          <w:rFonts w:ascii="Times New Roman" w:hAnsi="Times New Roman" w:cs="Times New Roman"/>
          <w:b/>
          <w:sz w:val="24"/>
          <w:szCs w:val="24"/>
        </w:rPr>
      </w:pPr>
      <w:bookmarkStart w:id="3" w:name="_Toc246702638"/>
      <w:r>
        <w:rPr>
          <w:rFonts w:ascii="Times New Roman" w:hAnsi="Times New Roman" w:cs="Times New Roman"/>
          <w:b/>
          <w:sz w:val="24"/>
          <w:szCs w:val="24"/>
        </w:rPr>
        <w:t>3</w:t>
      </w:r>
      <w:r w:rsidR="001A40BA" w:rsidRPr="001A40BA">
        <w:rPr>
          <w:rFonts w:ascii="Times New Roman" w:hAnsi="Times New Roman" w:cs="Times New Roman"/>
          <w:b/>
          <w:sz w:val="24"/>
          <w:szCs w:val="24"/>
        </w:rPr>
        <w:t xml:space="preserve">.2. </w:t>
      </w:r>
      <w:r w:rsidR="00484001" w:rsidRPr="001A40BA">
        <w:rPr>
          <w:rFonts w:ascii="Times New Roman" w:hAnsi="Times New Roman" w:cs="Times New Roman"/>
          <w:b/>
          <w:sz w:val="24"/>
          <w:szCs w:val="24"/>
        </w:rPr>
        <w:t>Malmquist Toplam Faktör Verimlilik Endeksi</w:t>
      </w:r>
      <w:bookmarkEnd w:id="3"/>
    </w:p>
    <w:p w:rsidR="00484001" w:rsidRPr="00484001" w:rsidRDefault="00A265E6"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VZ</w:t>
      </w:r>
      <w:r w:rsidR="00664A20">
        <w:rPr>
          <w:rFonts w:ascii="Times New Roman" w:hAnsi="Times New Roman" w:cs="Times New Roman"/>
          <w:sz w:val="24"/>
          <w:szCs w:val="24"/>
        </w:rPr>
        <w:t>A</w:t>
      </w:r>
      <w:r w:rsidR="00484001" w:rsidRPr="00484001">
        <w:rPr>
          <w:rFonts w:ascii="Times New Roman" w:hAnsi="Times New Roman" w:cs="Times New Roman"/>
          <w:sz w:val="24"/>
          <w:szCs w:val="24"/>
        </w:rPr>
        <w:t xml:space="preserve"> yatay-kesit verilerle etkin karar alma birimlerinin oluşturduğu etkin üretim sınırına göre her bir karar biriminin teknik etkinliğini ölçen statik bir yaklaşımdır. Panel veri kümesinin varlığında ise </w:t>
      </w:r>
      <w:r w:rsidR="001F2870">
        <w:rPr>
          <w:rFonts w:ascii="Times New Roman" w:hAnsi="Times New Roman" w:cs="Times New Roman"/>
          <w:sz w:val="24"/>
          <w:szCs w:val="24"/>
        </w:rPr>
        <w:t>VZA</w:t>
      </w:r>
      <w:r w:rsidR="00CB74AC">
        <w:rPr>
          <w:rFonts w:ascii="Times New Roman" w:hAnsi="Times New Roman" w:cs="Times New Roman"/>
          <w:sz w:val="24"/>
          <w:szCs w:val="24"/>
        </w:rPr>
        <w:t>’ya</w:t>
      </w:r>
      <w:r w:rsidR="00664A20">
        <w:rPr>
          <w:rFonts w:ascii="Times New Roman" w:hAnsi="Times New Roman" w:cs="Times New Roman"/>
          <w:sz w:val="24"/>
          <w:szCs w:val="24"/>
        </w:rPr>
        <w:t xml:space="preserve"> d</w:t>
      </w:r>
      <w:r w:rsidR="00484001" w:rsidRPr="00484001">
        <w:rPr>
          <w:rFonts w:ascii="Times New Roman" w:hAnsi="Times New Roman" w:cs="Times New Roman"/>
          <w:sz w:val="24"/>
          <w:szCs w:val="24"/>
        </w:rPr>
        <w:t>ayalı bir yöntem olan Malmqui</w:t>
      </w:r>
      <w:r w:rsidR="00664A20">
        <w:rPr>
          <w:rFonts w:ascii="Times New Roman" w:hAnsi="Times New Roman" w:cs="Times New Roman"/>
          <w:sz w:val="24"/>
          <w:szCs w:val="24"/>
        </w:rPr>
        <w:t xml:space="preserve">st </w:t>
      </w:r>
      <w:r w:rsidR="00A20DF6">
        <w:rPr>
          <w:rFonts w:ascii="Times New Roman" w:hAnsi="Times New Roman" w:cs="Times New Roman"/>
          <w:sz w:val="24"/>
          <w:szCs w:val="24"/>
        </w:rPr>
        <w:t xml:space="preserve">Toplam Faktör Verimlilik </w:t>
      </w:r>
      <w:r w:rsidR="00664A20">
        <w:rPr>
          <w:rFonts w:ascii="Times New Roman" w:hAnsi="Times New Roman" w:cs="Times New Roman"/>
          <w:sz w:val="24"/>
          <w:szCs w:val="24"/>
        </w:rPr>
        <w:t>(TFV</w:t>
      </w:r>
      <w:r w:rsidR="00484001" w:rsidRPr="00484001">
        <w:rPr>
          <w:rFonts w:ascii="Times New Roman" w:hAnsi="Times New Roman" w:cs="Times New Roman"/>
          <w:sz w:val="24"/>
          <w:szCs w:val="24"/>
        </w:rPr>
        <w:t>) endeksi hesaplanarak etkinlik analizlerine</w:t>
      </w:r>
      <w:r w:rsidR="00B04F35">
        <w:rPr>
          <w:rFonts w:ascii="Times New Roman" w:hAnsi="Times New Roman" w:cs="Times New Roman"/>
          <w:sz w:val="24"/>
          <w:szCs w:val="24"/>
        </w:rPr>
        <w:t>,</w:t>
      </w:r>
      <w:r w:rsidR="00484001" w:rsidRPr="00484001">
        <w:rPr>
          <w:rFonts w:ascii="Times New Roman" w:hAnsi="Times New Roman" w:cs="Times New Roman"/>
          <w:sz w:val="24"/>
          <w:szCs w:val="24"/>
        </w:rPr>
        <w:t xml:space="preserve"> zaman boyutu kazandırmak mümkün olmaktadır. Bu endeks bir karar biriminin iki zaman dönemi arasındaki verim</w:t>
      </w:r>
      <w:r w:rsidR="00B04F35">
        <w:rPr>
          <w:rFonts w:ascii="Times New Roman" w:hAnsi="Times New Roman" w:cs="Times New Roman"/>
          <w:sz w:val="24"/>
          <w:szCs w:val="24"/>
        </w:rPr>
        <w:t>lilik değişimini ve bu değişimi</w:t>
      </w:r>
      <w:r w:rsidR="00484001" w:rsidRPr="00484001">
        <w:rPr>
          <w:rFonts w:ascii="Times New Roman" w:hAnsi="Times New Roman" w:cs="Times New Roman"/>
          <w:sz w:val="24"/>
          <w:szCs w:val="24"/>
        </w:rPr>
        <w:t xml:space="preserve"> teknik değişim ve teknik etkinlik değişimi şeklinde ayrıştıran bir ölçümü sağlamaktadır. Malmquist endeks değerinin 1'den büyük olma</w:t>
      </w:r>
      <w:r w:rsidR="00664A20">
        <w:rPr>
          <w:rFonts w:ascii="Times New Roman" w:hAnsi="Times New Roman" w:cs="Times New Roman"/>
          <w:sz w:val="24"/>
          <w:szCs w:val="24"/>
        </w:rPr>
        <w:t>sı t döneminden t+1 dönemine TFV</w:t>
      </w:r>
      <w:r w:rsidR="00301405">
        <w:rPr>
          <w:rFonts w:ascii="Times New Roman" w:hAnsi="Times New Roman" w:cs="Times New Roman"/>
          <w:sz w:val="24"/>
          <w:szCs w:val="24"/>
        </w:rPr>
        <w:t>’</w:t>
      </w:r>
      <w:r w:rsidR="00484001" w:rsidRPr="00484001">
        <w:rPr>
          <w:rFonts w:ascii="Times New Roman" w:hAnsi="Times New Roman" w:cs="Times New Roman"/>
          <w:sz w:val="24"/>
          <w:szCs w:val="24"/>
        </w:rPr>
        <w:t>de büyüme olduğunu, 1'den küçük olması ise aynı dönemler dikkate alındığında TF</w:t>
      </w:r>
      <w:r w:rsidR="00664A20">
        <w:rPr>
          <w:rFonts w:ascii="Times New Roman" w:hAnsi="Times New Roman" w:cs="Times New Roman"/>
          <w:sz w:val="24"/>
          <w:szCs w:val="24"/>
        </w:rPr>
        <w:t>V</w:t>
      </w:r>
      <w:r w:rsidR="00484001" w:rsidRPr="00484001">
        <w:rPr>
          <w:rFonts w:ascii="Times New Roman" w:hAnsi="Times New Roman" w:cs="Times New Roman"/>
          <w:sz w:val="24"/>
          <w:szCs w:val="24"/>
        </w:rPr>
        <w:t>'de azalma olduğunu göstermektedir.</w:t>
      </w:r>
    </w:p>
    <w:p w:rsidR="00484001" w:rsidRP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Fare ve diğerleri (1994) çıktı od</w:t>
      </w:r>
      <w:r w:rsidR="00664A20">
        <w:rPr>
          <w:rFonts w:ascii="Times New Roman" w:hAnsi="Times New Roman" w:cs="Times New Roman"/>
          <w:sz w:val="24"/>
          <w:szCs w:val="24"/>
        </w:rPr>
        <w:t>aklı yaklaşım için Malmquist TFV</w:t>
      </w:r>
      <w:r w:rsidRPr="00484001">
        <w:rPr>
          <w:rFonts w:ascii="Times New Roman" w:hAnsi="Times New Roman" w:cs="Times New Roman"/>
          <w:sz w:val="24"/>
          <w:szCs w:val="24"/>
        </w:rPr>
        <w:t xml:space="preserve"> değişim endeksini aşağıdaki gibi tanımlar: </w:t>
      </w:r>
    </w:p>
    <w:p w:rsidR="00484001" w:rsidRPr="00484001" w:rsidRDefault="001A40BA" w:rsidP="00A0688A">
      <w:pPr>
        <w:spacing w:after="120" w:line="240" w:lineRule="auto"/>
        <w:ind w:firstLine="360"/>
        <w:jc w:val="both"/>
        <w:rPr>
          <w:rFonts w:ascii="Times New Roman" w:hAnsi="Times New Roman" w:cs="Times New Roman"/>
          <w:sz w:val="24"/>
          <w:szCs w:val="24"/>
        </w:rPr>
      </w:pPr>
      <w:r w:rsidRPr="001A40BA">
        <w:rPr>
          <w:rFonts w:ascii="Times New Roman" w:hAnsi="Times New Roman" w:cs="Times New Roman"/>
          <w:position w:val="-32"/>
          <w:sz w:val="24"/>
          <w:szCs w:val="24"/>
        </w:rPr>
        <w:object w:dxaOrig="5240" w:dyaOrig="820">
          <v:shape id="_x0000_i1058" type="#_x0000_t75" style="width:261.75pt;height:41.25pt" o:ole="">
            <v:imagedata r:id="rId75" o:title=""/>
          </v:shape>
          <o:OLEObject Type="Embed" ProgID="Equation.3" ShapeID="_x0000_i1058" DrawAspect="Content" ObjectID="_1492593389" r:id="rId76"/>
        </w:object>
      </w:r>
      <w:r w:rsidR="00484001" w:rsidRPr="00484001">
        <w:rPr>
          <w:rFonts w:ascii="Times New Roman" w:hAnsi="Times New Roman" w:cs="Times New Roman"/>
          <w:sz w:val="24"/>
          <w:szCs w:val="24"/>
        </w:rPr>
        <w:tab/>
      </w:r>
      <w:r w:rsidR="00484001" w:rsidRPr="00484001">
        <w:rPr>
          <w:rFonts w:ascii="Times New Roman" w:hAnsi="Times New Roman" w:cs="Times New Roman"/>
          <w:sz w:val="24"/>
          <w:szCs w:val="24"/>
        </w:rPr>
        <w:tab/>
      </w:r>
      <w:r w:rsidR="00484001" w:rsidRPr="00484001">
        <w:rPr>
          <w:rFonts w:ascii="Times New Roman" w:hAnsi="Times New Roman" w:cs="Times New Roman"/>
          <w:sz w:val="24"/>
          <w:szCs w:val="24"/>
        </w:rPr>
        <w:tab/>
      </w:r>
      <w:r w:rsidR="00484001" w:rsidRPr="00484001">
        <w:rPr>
          <w:rFonts w:ascii="Times New Roman" w:hAnsi="Times New Roman" w:cs="Times New Roman"/>
          <w:sz w:val="24"/>
          <w:szCs w:val="24"/>
        </w:rPr>
        <w:tab/>
        <w:t>(7)</w:t>
      </w:r>
    </w:p>
    <w:p w:rsidR="00484001" w:rsidRP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 xml:space="preserve">Bu endeks üretim noktası </w:t>
      </w:r>
      <w:r w:rsidR="001A40BA" w:rsidRPr="001A40BA">
        <w:rPr>
          <w:rFonts w:ascii="Times New Roman" w:hAnsi="Times New Roman" w:cs="Times New Roman"/>
          <w:position w:val="-12"/>
          <w:sz w:val="24"/>
          <w:szCs w:val="24"/>
        </w:rPr>
        <w:object w:dxaOrig="740" w:dyaOrig="360">
          <v:shape id="_x0000_i1059" type="#_x0000_t75" style="width:36.75pt;height:18.75pt" o:ole="">
            <v:imagedata r:id="rId77" o:title=""/>
          </v:shape>
          <o:OLEObject Type="Embed" ProgID="Equation.3" ShapeID="_x0000_i1059" DrawAspect="Content" ObjectID="_1492593390" r:id="rId78"/>
        </w:object>
      </w:r>
      <w:r w:rsidR="00A20DF6">
        <w:rPr>
          <w:rFonts w:ascii="Times New Roman" w:hAnsi="Times New Roman" w:cs="Times New Roman"/>
          <w:sz w:val="24"/>
          <w:szCs w:val="24"/>
        </w:rPr>
        <w:t>’na</w:t>
      </w:r>
      <w:r w:rsidRPr="00484001">
        <w:rPr>
          <w:rFonts w:ascii="Times New Roman" w:hAnsi="Times New Roman" w:cs="Times New Roman"/>
          <w:sz w:val="24"/>
          <w:szCs w:val="24"/>
        </w:rPr>
        <w:t xml:space="preserve"> göre üretim noktası </w:t>
      </w:r>
      <w:r w:rsidR="001A40BA" w:rsidRPr="001A40BA">
        <w:rPr>
          <w:rFonts w:ascii="Times New Roman" w:hAnsi="Times New Roman" w:cs="Times New Roman"/>
          <w:position w:val="-12"/>
          <w:sz w:val="24"/>
          <w:szCs w:val="24"/>
        </w:rPr>
        <w:object w:dxaOrig="1020" w:dyaOrig="360">
          <v:shape id="_x0000_i1060" type="#_x0000_t75" style="width:51pt;height:18.75pt" o:ole="">
            <v:imagedata r:id="rId79" o:title=""/>
          </v:shape>
          <o:OLEObject Type="Embed" ProgID="Equation.3" ShapeID="_x0000_i1060" DrawAspect="Content" ObjectID="_1492593391" r:id="rId80"/>
        </w:object>
      </w:r>
      <w:r w:rsidRPr="00484001">
        <w:rPr>
          <w:rFonts w:ascii="Times New Roman" w:hAnsi="Times New Roman" w:cs="Times New Roman"/>
          <w:sz w:val="24"/>
          <w:szCs w:val="24"/>
        </w:rPr>
        <w:t>’</w:t>
      </w:r>
      <w:r w:rsidR="00957481">
        <w:rPr>
          <w:rFonts w:ascii="Times New Roman" w:hAnsi="Times New Roman" w:cs="Times New Roman"/>
          <w:sz w:val="24"/>
          <w:szCs w:val="24"/>
        </w:rPr>
        <w:t>nın</w:t>
      </w:r>
      <w:r w:rsidRPr="00484001">
        <w:rPr>
          <w:rFonts w:ascii="Times New Roman" w:hAnsi="Times New Roman" w:cs="Times New Roman"/>
          <w:sz w:val="24"/>
          <w:szCs w:val="24"/>
        </w:rPr>
        <w:t xml:space="preserve"> verimliliğini gösterir. 1’den daha büyük endeks değeri t döneminden t+1 dönemine pozitif bir TF</w:t>
      </w:r>
      <w:r w:rsidR="00664A20">
        <w:rPr>
          <w:rFonts w:ascii="Times New Roman" w:hAnsi="Times New Roman" w:cs="Times New Roman"/>
          <w:sz w:val="24"/>
          <w:szCs w:val="24"/>
        </w:rPr>
        <w:t>V</w:t>
      </w:r>
      <w:r w:rsidRPr="00484001">
        <w:rPr>
          <w:rFonts w:ascii="Times New Roman" w:hAnsi="Times New Roman" w:cs="Times New Roman"/>
          <w:sz w:val="24"/>
          <w:szCs w:val="24"/>
        </w:rPr>
        <w:t xml:space="preserve"> büyümesine işaret etmektedir. Bu endek</w:t>
      </w:r>
      <w:r w:rsidR="00664A20">
        <w:rPr>
          <w:rFonts w:ascii="Times New Roman" w:hAnsi="Times New Roman" w:cs="Times New Roman"/>
          <w:sz w:val="24"/>
          <w:szCs w:val="24"/>
        </w:rPr>
        <w:t>s iki çıktı odaklı Malmquist TFV</w:t>
      </w:r>
      <w:r w:rsidRPr="00484001">
        <w:rPr>
          <w:rFonts w:ascii="Times New Roman" w:hAnsi="Times New Roman" w:cs="Times New Roman"/>
          <w:sz w:val="24"/>
          <w:szCs w:val="24"/>
        </w:rPr>
        <w:t xml:space="preserve"> endeksinin geometrik ortalaması olup</w:t>
      </w:r>
      <w:r w:rsidR="003D3375">
        <w:rPr>
          <w:rFonts w:ascii="Times New Roman" w:hAnsi="Times New Roman" w:cs="Times New Roman"/>
          <w:sz w:val="24"/>
          <w:szCs w:val="24"/>
        </w:rPr>
        <w:t>,</w:t>
      </w:r>
      <w:r w:rsidRPr="00484001">
        <w:rPr>
          <w:rFonts w:ascii="Times New Roman" w:hAnsi="Times New Roman" w:cs="Times New Roman"/>
          <w:sz w:val="24"/>
          <w:szCs w:val="24"/>
        </w:rPr>
        <w:t xml:space="preserve"> t dönemindeki teknoloji ile t+1 dönemindeki teknolojiyi kullanmaktadır. </w:t>
      </w:r>
    </w:p>
    <w:p w:rsidR="00484001" w:rsidRPr="00484001" w:rsidRDefault="00664A20"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Malmquist TFV</w:t>
      </w:r>
      <w:r w:rsidR="00484001" w:rsidRPr="00484001">
        <w:rPr>
          <w:rFonts w:ascii="Times New Roman" w:hAnsi="Times New Roman" w:cs="Times New Roman"/>
          <w:sz w:val="24"/>
          <w:szCs w:val="24"/>
        </w:rPr>
        <w:t xml:space="preserve"> endeksi aşağıdaki gibi yazılabilir:</w: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sz w:val="24"/>
          <w:szCs w:val="24"/>
        </w:rPr>
        <w:lastRenderedPageBreak/>
        <w:t xml:space="preserve"> </w:t>
      </w:r>
      <w:r w:rsidR="001A40BA" w:rsidRPr="001A40BA">
        <w:rPr>
          <w:rFonts w:ascii="Times New Roman" w:hAnsi="Times New Roman" w:cs="Times New Roman"/>
          <w:position w:val="-32"/>
          <w:sz w:val="24"/>
          <w:szCs w:val="24"/>
        </w:rPr>
        <w:object w:dxaOrig="6500" w:dyaOrig="820">
          <v:shape id="_x0000_i1061" type="#_x0000_t75" style="width:325.5pt;height:41.25pt" o:ole="">
            <v:imagedata r:id="rId81" o:title=""/>
          </v:shape>
          <o:OLEObject Type="Embed" ProgID="Equation.3" ShapeID="_x0000_i1061" DrawAspect="Content" ObjectID="_1492593392" r:id="rId82"/>
        </w:object>
      </w:r>
      <w:r w:rsidRPr="00484001">
        <w:rPr>
          <w:rFonts w:ascii="Times New Roman" w:hAnsi="Times New Roman" w:cs="Times New Roman"/>
          <w:sz w:val="24"/>
          <w:szCs w:val="24"/>
        </w:rPr>
        <w:tab/>
      </w:r>
      <w:r w:rsidRPr="00484001">
        <w:rPr>
          <w:rFonts w:ascii="Times New Roman" w:hAnsi="Times New Roman" w:cs="Times New Roman"/>
          <w:sz w:val="24"/>
          <w:szCs w:val="24"/>
        </w:rPr>
        <w:tab/>
        <w:t>(8)</w:t>
      </w:r>
    </w:p>
    <w:p w:rsidR="00484001" w:rsidRP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Bu eşitlikten hareketle, teknik etkinlikteki değişim ve teknolojideki değişim aşağıdaki gibi hesaplanabilir:</w: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sz w:val="24"/>
          <w:szCs w:val="24"/>
        </w:rPr>
        <w:t xml:space="preserve">Teknik etkinlikteki değişim= </w:t>
      </w:r>
      <w:r w:rsidR="001A40BA" w:rsidRPr="001A40BA">
        <w:rPr>
          <w:rFonts w:ascii="Times New Roman" w:hAnsi="Times New Roman" w:cs="Times New Roman"/>
          <w:position w:val="-30"/>
          <w:sz w:val="24"/>
          <w:szCs w:val="24"/>
        </w:rPr>
        <w:object w:dxaOrig="1440" w:dyaOrig="720">
          <v:shape id="_x0000_i1062" type="#_x0000_t75" style="width:1in;height:36pt" o:ole="">
            <v:imagedata r:id="rId83" o:title=""/>
          </v:shape>
          <o:OLEObject Type="Embed" ProgID="Equation.3" ShapeID="_x0000_i1062" DrawAspect="Content" ObjectID="_1492593393" r:id="rId84"/>
        </w:objec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sz w:val="24"/>
          <w:szCs w:val="24"/>
        </w:rPr>
        <w:t xml:space="preserve">Teknolojideki değişim= </w:t>
      </w:r>
      <w:r w:rsidR="001A40BA" w:rsidRPr="001A40BA">
        <w:rPr>
          <w:rFonts w:ascii="Times New Roman" w:hAnsi="Times New Roman" w:cs="Times New Roman"/>
          <w:position w:val="-32"/>
          <w:sz w:val="24"/>
          <w:szCs w:val="24"/>
        </w:rPr>
        <w:object w:dxaOrig="3140" w:dyaOrig="820">
          <v:shape id="_x0000_i1063" type="#_x0000_t75" style="width:157.5pt;height:41.25pt" o:ole="">
            <v:imagedata r:id="rId85" o:title=""/>
          </v:shape>
          <o:OLEObject Type="Embed" ProgID="Equation.3" ShapeID="_x0000_i1063" DrawAspect="Content" ObjectID="_1492593394" r:id="rId86"/>
        </w:object>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t>(9)</w:t>
      </w:r>
    </w:p>
    <w:p w:rsidR="00484001" w:rsidRPr="00484001" w:rsidRDefault="00484001" w:rsidP="00A265E6">
      <w:pPr>
        <w:spacing w:after="120" w:line="240" w:lineRule="auto"/>
        <w:jc w:val="both"/>
        <w:rPr>
          <w:rFonts w:ascii="Times New Roman" w:hAnsi="Times New Roman" w:cs="Times New Roman"/>
          <w:sz w:val="24"/>
          <w:szCs w:val="24"/>
        </w:rPr>
      </w:pPr>
      <w:r w:rsidRPr="00484001">
        <w:rPr>
          <w:rFonts w:ascii="Times New Roman" w:hAnsi="Times New Roman" w:cs="Times New Roman"/>
          <w:sz w:val="24"/>
          <w:szCs w:val="24"/>
        </w:rPr>
        <w:t>Eş</w:t>
      </w:r>
      <w:r w:rsidR="00664A20">
        <w:rPr>
          <w:rFonts w:ascii="Times New Roman" w:hAnsi="Times New Roman" w:cs="Times New Roman"/>
          <w:sz w:val="24"/>
          <w:szCs w:val="24"/>
        </w:rPr>
        <w:t>itlik-7’de verilen Malmquist TFV</w:t>
      </w:r>
      <w:r w:rsidRPr="00484001">
        <w:rPr>
          <w:rFonts w:ascii="Times New Roman" w:hAnsi="Times New Roman" w:cs="Times New Roman"/>
          <w:sz w:val="24"/>
          <w:szCs w:val="24"/>
        </w:rPr>
        <w:t xml:space="preserve"> endeksinin hesaplanabilmesi için dört doğrusal programlama problemini içeren dört bileşen uzaklık fonksiyonlarının bulunması gerekmektedir. Ölçeğe göre sabit getiri varsayımı altında çıktı odaklı yaklaşımla TF</w:t>
      </w:r>
      <w:r w:rsidR="00664A20">
        <w:rPr>
          <w:rFonts w:ascii="Times New Roman" w:hAnsi="Times New Roman" w:cs="Times New Roman"/>
          <w:sz w:val="24"/>
          <w:szCs w:val="24"/>
        </w:rPr>
        <w:t>V</w:t>
      </w:r>
      <w:r w:rsidRPr="00484001">
        <w:rPr>
          <w:rFonts w:ascii="Times New Roman" w:hAnsi="Times New Roman" w:cs="Times New Roman"/>
          <w:sz w:val="24"/>
          <w:szCs w:val="24"/>
        </w:rPr>
        <w:t xml:space="preserve"> değişim endeksinin hesaplanmasında kullanılan doğrusal programlama problemleri aşağıda verilmiştir (Coelli, 1996).</w:t>
      </w:r>
    </w:p>
    <w:p w:rsidR="00484001" w:rsidRPr="00484001" w:rsidRDefault="001A40BA" w:rsidP="00A0688A">
      <w:pPr>
        <w:spacing w:after="120" w:line="240" w:lineRule="auto"/>
        <w:ind w:firstLine="360"/>
        <w:jc w:val="both"/>
        <w:rPr>
          <w:rFonts w:ascii="Times New Roman" w:hAnsi="Times New Roman" w:cs="Times New Roman"/>
          <w:sz w:val="24"/>
          <w:szCs w:val="24"/>
        </w:rPr>
      </w:pPr>
      <w:r w:rsidRPr="001A40BA">
        <w:rPr>
          <w:rFonts w:ascii="Times New Roman" w:hAnsi="Times New Roman" w:cs="Times New Roman"/>
          <w:position w:val="-14"/>
          <w:sz w:val="24"/>
          <w:szCs w:val="24"/>
        </w:rPr>
        <w:object w:dxaOrig="2320" w:dyaOrig="460">
          <v:shape id="_x0000_i1064" type="#_x0000_t75" style="width:116.25pt;height:22.5pt" o:ole="">
            <v:imagedata r:id="rId87" o:title=""/>
          </v:shape>
          <o:OLEObject Type="Embed" ProgID="Equation.3" ShapeID="_x0000_i1064" DrawAspect="Content" ObjectID="_1492593395" r:id="rId88"/>
        </w:objec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sz w:val="24"/>
          <w:szCs w:val="24"/>
        </w:rPr>
        <w:t xml:space="preserve">Kısıtlar: </w:t>
      </w:r>
      <w:r w:rsidR="001A40BA" w:rsidRPr="001A40BA">
        <w:rPr>
          <w:rFonts w:ascii="Times New Roman" w:hAnsi="Times New Roman" w:cs="Times New Roman"/>
          <w:position w:val="-14"/>
          <w:sz w:val="24"/>
          <w:szCs w:val="24"/>
        </w:rPr>
        <w:object w:dxaOrig="1540" w:dyaOrig="380">
          <v:shape id="_x0000_i1065" type="#_x0000_t75" style="width:77.25pt;height:19.5pt" o:ole="">
            <v:imagedata r:id="rId89" o:title=""/>
          </v:shape>
          <o:OLEObject Type="Embed" ProgID="Equation.3" ShapeID="_x0000_i1065" DrawAspect="Content" ObjectID="_1492593396" r:id="rId90"/>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001A40BA" w:rsidRPr="001A40BA">
        <w:rPr>
          <w:rFonts w:ascii="Times New Roman" w:hAnsi="Times New Roman" w:cs="Times New Roman"/>
          <w:position w:val="-14"/>
          <w:sz w:val="24"/>
          <w:szCs w:val="24"/>
        </w:rPr>
        <w:object w:dxaOrig="1420" w:dyaOrig="380">
          <v:shape id="_x0000_i1066" type="#_x0000_t75" style="width:71.25pt;height:19.5pt" o:ole="">
            <v:imagedata r:id="rId91" o:title=""/>
          </v:shape>
          <o:OLEObject Type="Embed" ProgID="Equation.3" ShapeID="_x0000_i1066" DrawAspect="Content" ObjectID="_1492593397" r:id="rId92"/>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001A40BA" w:rsidRPr="001A40BA">
        <w:rPr>
          <w:rFonts w:ascii="Times New Roman" w:hAnsi="Times New Roman" w:cs="Times New Roman"/>
          <w:position w:val="-6"/>
          <w:sz w:val="24"/>
          <w:szCs w:val="24"/>
        </w:rPr>
        <w:object w:dxaOrig="580" w:dyaOrig="279">
          <v:shape id="_x0000_i1067" type="#_x0000_t75" style="width:29.25pt;height:14.25pt" o:ole="">
            <v:imagedata r:id="rId93" o:title=""/>
          </v:shape>
          <o:OLEObject Type="Embed" ProgID="Equation.3" ShapeID="_x0000_i1067" DrawAspect="Content" ObjectID="_1492593398" r:id="rId94"/>
        </w:object>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t>(10)</w:t>
      </w:r>
    </w:p>
    <w:p w:rsidR="00484001" w:rsidRPr="00484001" w:rsidRDefault="001A40BA" w:rsidP="00A0688A">
      <w:pPr>
        <w:spacing w:after="120" w:line="240" w:lineRule="auto"/>
        <w:ind w:firstLine="360"/>
        <w:jc w:val="both"/>
        <w:rPr>
          <w:rFonts w:ascii="Times New Roman" w:hAnsi="Times New Roman" w:cs="Times New Roman"/>
          <w:sz w:val="24"/>
          <w:szCs w:val="24"/>
        </w:rPr>
      </w:pPr>
      <w:r w:rsidRPr="001A40BA">
        <w:rPr>
          <w:rFonts w:ascii="Times New Roman" w:hAnsi="Times New Roman" w:cs="Times New Roman"/>
          <w:position w:val="-14"/>
          <w:sz w:val="24"/>
          <w:szCs w:val="24"/>
        </w:rPr>
        <w:object w:dxaOrig="2720" w:dyaOrig="460">
          <v:shape id="_x0000_i1068" type="#_x0000_t75" style="width:136.5pt;height:22.5pt" o:ole="">
            <v:imagedata r:id="rId95" o:title=""/>
          </v:shape>
          <o:OLEObject Type="Embed" ProgID="Equation.3" ShapeID="_x0000_i1068" DrawAspect="Content" ObjectID="_1492593399" r:id="rId96"/>
        </w:objec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sz w:val="24"/>
          <w:szCs w:val="24"/>
        </w:rPr>
        <w:t xml:space="preserve">Kısıtlar: </w:t>
      </w:r>
      <w:r w:rsidR="001A40BA" w:rsidRPr="001A40BA">
        <w:rPr>
          <w:rFonts w:ascii="Times New Roman" w:hAnsi="Times New Roman" w:cs="Times New Roman"/>
          <w:position w:val="-14"/>
          <w:sz w:val="24"/>
          <w:szCs w:val="24"/>
        </w:rPr>
        <w:object w:dxaOrig="1860" w:dyaOrig="380">
          <v:shape id="_x0000_i1069" type="#_x0000_t75" style="width:93pt;height:19.5pt" o:ole="">
            <v:imagedata r:id="rId97" o:title=""/>
          </v:shape>
          <o:OLEObject Type="Embed" ProgID="Equation.3" ShapeID="_x0000_i1069" DrawAspect="Content" ObjectID="_1492593400" r:id="rId98"/>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001A40BA" w:rsidRPr="001A40BA">
        <w:rPr>
          <w:rFonts w:ascii="Times New Roman" w:hAnsi="Times New Roman" w:cs="Times New Roman"/>
          <w:position w:val="-14"/>
          <w:sz w:val="24"/>
          <w:szCs w:val="24"/>
        </w:rPr>
        <w:object w:dxaOrig="1740" w:dyaOrig="380">
          <v:shape id="_x0000_i1070" type="#_x0000_t75" style="width:87pt;height:19.5pt" o:ole="">
            <v:imagedata r:id="rId99" o:title=""/>
          </v:shape>
          <o:OLEObject Type="Embed" ProgID="Equation.3" ShapeID="_x0000_i1070" DrawAspect="Content" ObjectID="_1492593401" r:id="rId100"/>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001A40BA" w:rsidRPr="001A40BA">
        <w:rPr>
          <w:rFonts w:ascii="Times New Roman" w:hAnsi="Times New Roman" w:cs="Times New Roman"/>
          <w:position w:val="-6"/>
          <w:sz w:val="24"/>
          <w:szCs w:val="24"/>
        </w:rPr>
        <w:object w:dxaOrig="580" w:dyaOrig="279">
          <v:shape id="_x0000_i1071" type="#_x0000_t75" style="width:29.25pt;height:14.25pt" o:ole="">
            <v:imagedata r:id="rId101" o:title=""/>
          </v:shape>
          <o:OLEObject Type="Embed" ProgID="Equation.3" ShapeID="_x0000_i1071" DrawAspect="Content" ObjectID="_1492593402" r:id="rId102"/>
        </w:object>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t>(11)</w:t>
      </w:r>
    </w:p>
    <w:p w:rsidR="00484001" w:rsidRPr="00484001" w:rsidRDefault="001A40BA" w:rsidP="00A0688A">
      <w:pPr>
        <w:spacing w:after="120" w:line="240" w:lineRule="auto"/>
        <w:ind w:firstLine="360"/>
        <w:jc w:val="both"/>
        <w:rPr>
          <w:rFonts w:ascii="Times New Roman" w:hAnsi="Times New Roman" w:cs="Times New Roman"/>
          <w:sz w:val="24"/>
          <w:szCs w:val="24"/>
        </w:rPr>
      </w:pPr>
      <w:r w:rsidRPr="001A40BA">
        <w:rPr>
          <w:rFonts w:ascii="Times New Roman" w:hAnsi="Times New Roman" w:cs="Times New Roman"/>
          <w:position w:val="-14"/>
          <w:sz w:val="24"/>
          <w:szCs w:val="24"/>
        </w:rPr>
        <w:object w:dxaOrig="2600" w:dyaOrig="460">
          <v:shape id="_x0000_i1072" type="#_x0000_t75" style="width:129.75pt;height:22.5pt" o:ole="">
            <v:imagedata r:id="rId103" o:title=""/>
          </v:shape>
          <o:OLEObject Type="Embed" ProgID="Equation.3" ShapeID="_x0000_i1072" DrawAspect="Content" ObjectID="_1492593403" r:id="rId104"/>
        </w:objec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sz w:val="24"/>
          <w:szCs w:val="24"/>
        </w:rPr>
        <w:t xml:space="preserve">Kısıtlar: </w:t>
      </w:r>
      <w:r w:rsidR="001A40BA" w:rsidRPr="001A40BA">
        <w:rPr>
          <w:rFonts w:ascii="Times New Roman" w:hAnsi="Times New Roman" w:cs="Times New Roman"/>
          <w:position w:val="-14"/>
          <w:sz w:val="24"/>
          <w:szCs w:val="24"/>
        </w:rPr>
        <w:object w:dxaOrig="1719" w:dyaOrig="380">
          <v:shape id="_x0000_i1073" type="#_x0000_t75" style="width:86.25pt;height:19.5pt" o:ole="">
            <v:imagedata r:id="rId105" o:title=""/>
          </v:shape>
          <o:OLEObject Type="Embed" ProgID="Equation.3" ShapeID="_x0000_i1073" DrawAspect="Content" ObjectID="_1492593404" r:id="rId106"/>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001A40BA" w:rsidRPr="001A40BA">
        <w:rPr>
          <w:rFonts w:ascii="Times New Roman" w:hAnsi="Times New Roman" w:cs="Times New Roman"/>
          <w:position w:val="-14"/>
          <w:sz w:val="24"/>
          <w:szCs w:val="24"/>
        </w:rPr>
        <w:object w:dxaOrig="1600" w:dyaOrig="380">
          <v:shape id="_x0000_i1074" type="#_x0000_t75" style="width:79.5pt;height:19.5pt" o:ole="">
            <v:imagedata r:id="rId107" o:title=""/>
          </v:shape>
          <o:OLEObject Type="Embed" ProgID="Equation.3" ShapeID="_x0000_i1074" DrawAspect="Content" ObjectID="_1492593405" r:id="rId108"/>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001A40BA" w:rsidRPr="001A40BA">
        <w:rPr>
          <w:rFonts w:ascii="Times New Roman" w:hAnsi="Times New Roman" w:cs="Times New Roman"/>
          <w:position w:val="-6"/>
          <w:sz w:val="24"/>
          <w:szCs w:val="24"/>
        </w:rPr>
        <w:object w:dxaOrig="580" w:dyaOrig="279">
          <v:shape id="_x0000_i1075" type="#_x0000_t75" style="width:29.25pt;height:14.25pt" o:ole="">
            <v:imagedata r:id="rId109" o:title=""/>
          </v:shape>
          <o:OLEObject Type="Embed" ProgID="Equation.3" ShapeID="_x0000_i1075" DrawAspect="Content" ObjectID="_1492593406" r:id="rId110"/>
        </w:object>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t>(12)</w:t>
      </w:r>
    </w:p>
    <w:p w:rsidR="00484001" w:rsidRPr="00484001" w:rsidRDefault="001A40BA" w:rsidP="00A0688A">
      <w:pPr>
        <w:spacing w:after="120" w:line="240" w:lineRule="auto"/>
        <w:ind w:firstLine="360"/>
        <w:jc w:val="both"/>
        <w:rPr>
          <w:rFonts w:ascii="Times New Roman" w:hAnsi="Times New Roman" w:cs="Times New Roman"/>
          <w:sz w:val="24"/>
          <w:szCs w:val="24"/>
        </w:rPr>
      </w:pPr>
      <w:r w:rsidRPr="001A40BA">
        <w:rPr>
          <w:rFonts w:ascii="Times New Roman" w:hAnsi="Times New Roman" w:cs="Times New Roman"/>
          <w:position w:val="-14"/>
          <w:sz w:val="24"/>
          <w:szCs w:val="24"/>
        </w:rPr>
        <w:object w:dxaOrig="2460" w:dyaOrig="460">
          <v:shape id="_x0000_i1076" type="#_x0000_t75" style="width:123pt;height:22.5pt" o:ole="">
            <v:imagedata r:id="rId111" o:title=""/>
          </v:shape>
          <o:OLEObject Type="Embed" ProgID="Equation.3" ShapeID="_x0000_i1076" DrawAspect="Content" ObjectID="_1492593407" r:id="rId112"/>
        </w:object>
      </w:r>
    </w:p>
    <w:p w:rsidR="00484001" w:rsidRPr="00484001" w:rsidRDefault="00484001" w:rsidP="00A0688A">
      <w:pPr>
        <w:spacing w:after="120" w:line="240" w:lineRule="auto"/>
        <w:ind w:firstLine="360"/>
        <w:jc w:val="both"/>
        <w:rPr>
          <w:rFonts w:ascii="Times New Roman" w:hAnsi="Times New Roman" w:cs="Times New Roman"/>
          <w:sz w:val="24"/>
          <w:szCs w:val="24"/>
        </w:rPr>
      </w:pPr>
      <w:r w:rsidRPr="00484001">
        <w:rPr>
          <w:rFonts w:ascii="Times New Roman" w:hAnsi="Times New Roman" w:cs="Times New Roman"/>
          <w:sz w:val="24"/>
          <w:szCs w:val="24"/>
        </w:rPr>
        <w:t xml:space="preserve">Kısıtlar: </w:t>
      </w:r>
      <w:r w:rsidR="001A40BA" w:rsidRPr="001A40BA">
        <w:rPr>
          <w:rFonts w:ascii="Times New Roman" w:hAnsi="Times New Roman" w:cs="Times New Roman"/>
          <w:position w:val="-14"/>
          <w:sz w:val="24"/>
          <w:szCs w:val="24"/>
        </w:rPr>
        <w:object w:dxaOrig="1680" w:dyaOrig="380">
          <v:shape id="_x0000_i1077" type="#_x0000_t75" style="width:84.75pt;height:19.5pt" o:ole="">
            <v:imagedata r:id="rId113" o:title=""/>
          </v:shape>
          <o:OLEObject Type="Embed" ProgID="Equation.3" ShapeID="_x0000_i1077" DrawAspect="Content" ObjectID="_1492593408" r:id="rId114"/>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001A40BA" w:rsidRPr="001A40BA">
        <w:rPr>
          <w:rFonts w:ascii="Times New Roman" w:hAnsi="Times New Roman" w:cs="Times New Roman"/>
          <w:position w:val="-14"/>
          <w:sz w:val="24"/>
          <w:szCs w:val="24"/>
        </w:rPr>
        <w:object w:dxaOrig="1560" w:dyaOrig="380">
          <v:shape id="_x0000_i1078" type="#_x0000_t75" style="width:78pt;height:19.5pt" o:ole="">
            <v:imagedata r:id="rId115" o:title=""/>
          </v:shape>
          <o:OLEObject Type="Embed" ProgID="Equation.3" ShapeID="_x0000_i1078" DrawAspect="Content" ObjectID="_1492593409" r:id="rId116"/>
        </w:object>
      </w:r>
      <w:r w:rsidR="00AE1525">
        <w:rPr>
          <w:rFonts w:ascii="Times New Roman" w:hAnsi="Times New Roman" w:cs="Times New Roman"/>
          <w:sz w:val="24"/>
          <w:szCs w:val="24"/>
        </w:rPr>
        <w:t>;</w:t>
      </w:r>
      <w:r w:rsidRPr="00484001">
        <w:rPr>
          <w:rFonts w:ascii="Times New Roman" w:hAnsi="Times New Roman" w:cs="Times New Roman"/>
          <w:sz w:val="24"/>
          <w:szCs w:val="24"/>
        </w:rPr>
        <w:t xml:space="preserve"> </w:t>
      </w:r>
      <w:r w:rsidR="001A40BA" w:rsidRPr="001A40BA">
        <w:rPr>
          <w:rFonts w:ascii="Times New Roman" w:hAnsi="Times New Roman" w:cs="Times New Roman"/>
          <w:position w:val="-6"/>
          <w:sz w:val="24"/>
          <w:szCs w:val="24"/>
        </w:rPr>
        <w:object w:dxaOrig="580" w:dyaOrig="279">
          <v:shape id="_x0000_i1079" type="#_x0000_t75" style="width:29.25pt;height:14.25pt" o:ole="">
            <v:imagedata r:id="rId117" o:title=""/>
          </v:shape>
          <o:OLEObject Type="Embed" ProgID="Equation.3" ShapeID="_x0000_i1079" DrawAspect="Content" ObjectID="_1492593410" r:id="rId118"/>
        </w:object>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r>
      <w:r w:rsidRPr="00484001">
        <w:rPr>
          <w:rFonts w:ascii="Times New Roman" w:hAnsi="Times New Roman" w:cs="Times New Roman"/>
          <w:sz w:val="24"/>
          <w:szCs w:val="24"/>
        </w:rPr>
        <w:tab/>
        <w:t>(13)</w:t>
      </w:r>
    </w:p>
    <w:p w:rsidR="00484001" w:rsidRPr="00484001" w:rsidRDefault="00664A20"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Malmquist TFV</w:t>
      </w:r>
      <w:r w:rsidR="00484001" w:rsidRPr="00484001">
        <w:rPr>
          <w:rFonts w:ascii="Times New Roman" w:hAnsi="Times New Roman" w:cs="Times New Roman"/>
          <w:sz w:val="24"/>
          <w:szCs w:val="24"/>
        </w:rPr>
        <w:t xml:space="preserve"> değişim endeksinin hesaplanabilmesi yukarıda verilen dört doğrusal programlama probleminin örnekteki her bir karar birimi ve her bir dönem için çözülmesini gerektirmektedir. Böylece, T dönem sayısını ve I gözlem sayısını göstermek üzere Ix(3T-2) adet problem çözülmelidir. </w:t>
      </w:r>
    </w:p>
    <w:p w:rsidR="006868D2" w:rsidRPr="006868D2" w:rsidRDefault="00AA45F1" w:rsidP="00A0688A">
      <w:pPr>
        <w:spacing w:after="120" w:line="240" w:lineRule="auto"/>
        <w:rPr>
          <w:rFonts w:ascii="Times New Roman" w:hAnsi="Times New Roman" w:cs="Times New Roman"/>
          <w:b/>
          <w:sz w:val="24"/>
          <w:szCs w:val="24"/>
        </w:rPr>
      </w:pPr>
      <w:bookmarkStart w:id="4" w:name="_Toc246702645"/>
      <w:r>
        <w:rPr>
          <w:rFonts w:ascii="Times New Roman" w:hAnsi="Times New Roman" w:cs="Times New Roman"/>
          <w:b/>
          <w:sz w:val="24"/>
          <w:szCs w:val="24"/>
        </w:rPr>
        <w:t>4</w:t>
      </w:r>
      <w:r w:rsidR="006868D2" w:rsidRPr="006868D2">
        <w:rPr>
          <w:rFonts w:ascii="Times New Roman" w:hAnsi="Times New Roman" w:cs="Times New Roman"/>
          <w:b/>
          <w:sz w:val="24"/>
          <w:szCs w:val="24"/>
        </w:rPr>
        <w:t>.</w:t>
      </w:r>
      <w:r w:rsidR="00A1364D">
        <w:rPr>
          <w:rFonts w:ascii="Times New Roman" w:hAnsi="Times New Roman" w:cs="Times New Roman"/>
          <w:b/>
          <w:sz w:val="24"/>
          <w:szCs w:val="24"/>
        </w:rPr>
        <w:t xml:space="preserve"> </w:t>
      </w:r>
      <w:r w:rsidR="00782D31" w:rsidRPr="006868D2">
        <w:rPr>
          <w:rFonts w:ascii="Times New Roman" w:hAnsi="Times New Roman" w:cs="Times New Roman"/>
          <w:b/>
          <w:sz w:val="24"/>
          <w:szCs w:val="24"/>
        </w:rPr>
        <w:t>ARAŞTIRMANIN KAPSAMI</w:t>
      </w:r>
      <w:bookmarkEnd w:id="4"/>
    </w:p>
    <w:p w:rsidR="006868D2" w:rsidRPr="006868D2" w:rsidRDefault="00AA45F1" w:rsidP="00A0688A">
      <w:pPr>
        <w:spacing w:after="120" w:line="240" w:lineRule="auto"/>
        <w:rPr>
          <w:rFonts w:ascii="Times New Roman" w:hAnsi="Times New Roman" w:cs="Times New Roman"/>
          <w:b/>
          <w:sz w:val="24"/>
          <w:szCs w:val="24"/>
        </w:rPr>
      </w:pPr>
      <w:bookmarkStart w:id="5" w:name="_Toc246702646"/>
      <w:r>
        <w:rPr>
          <w:rFonts w:ascii="Times New Roman" w:hAnsi="Times New Roman" w:cs="Times New Roman"/>
          <w:b/>
          <w:sz w:val="24"/>
          <w:szCs w:val="24"/>
        </w:rPr>
        <w:t>4</w:t>
      </w:r>
      <w:r w:rsidR="006868D2" w:rsidRPr="006868D2">
        <w:rPr>
          <w:rFonts w:ascii="Times New Roman" w:hAnsi="Times New Roman" w:cs="Times New Roman"/>
          <w:b/>
          <w:sz w:val="24"/>
          <w:szCs w:val="24"/>
        </w:rPr>
        <w:t>.1. Karar Birimlerin Seçimi</w:t>
      </w:r>
      <w:bookmarkEnd w:id="5"/>
      <w:r w:rsidR="006868D2" w:rsidRPr="006868D2">
        <w:rPr>
          <w:rFonts w:ascii="Times New Roman" w:hAnsi="Times New Roman" w:cs="Times New Roman"/>
          <w:b/>
          <w:sz w:val="24"/>
          <w:szCs w:val="24"/>
        </w:rPr>
        <w:t xml:space="preserve"> </w:t>
      </w:r>
    </w:p>
    <w:p w:rsidR="006868D2" w:rsidRDefault="006868D2"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Araştırmanın kapsamı 2014 yılı itibariyle Türkiye’de faaliyet gösteren mevduat bankaları ile sınırlandırılmıştır. Türkiye’de 2014</w:t>
      </w:r>
      <w:r w:rsidRPr="006868D2">
        <w:rPr>
          <w:rFonts w:ascii="Times New Roman" w:hAnsi="Times New Roman" w:cs="Times New Roman"/>
          <w:sz w:val="24"/>
          <w:szCs w:val="24"/>
        </w:rPr>
        <w:t xml:space="preserve"> yılı itibariyle faaliyet g</w:t>
      </w:r>
      <w:r w:rsidR="000E7AB1">
        <w:rPr>
          <w:rFonts w:ascii="Times New Roman" w:hAnsi="Times New Roman" w:cs="Times New Roman"/>
          <w:sz w:val="24"/>
          <w:szCs w:val="24"/>
        </w:rPr>
        <w:t>österen kamu sermayeli 3, özel s</w:t>
      </w:r>
      <w:r w:rsidRPr="006868D2">
        <w:rPr>
          <w:rFonts w:ascii="Times New Roman" w:hAnsi="Times New Roman" w:cs="Times New Roman"/>
          <w:sz w:val="24"/>
          <w:szCs w:val="24"/>
        </w:rPr>
        <w:t xml:space="preserve">ermayeli 11 ve yabancı </w:t>
      </w:r>
      <w:r w:rsidR="000E7AB1">
        <w:rPr>
          <w:rFonts w:ascii="Times New Roman" w:hAnsi="Times New Roman" w:cs="Times New Roman"/>
          <w:sz w:val="24"/>
          <w:szCs w:val="24"/>
        </w:rPr>
        <w:t xml:space="preserve">sermayeli </w:t>
      </w:r>
      <w:r w:rsidRPr="006868D2">
        <w:rPr>
          <w:rFonts w:ascii="Times New Roman" w:hAnsi="Times New Roman" w:cs="Times New Roman"/>
          <w:sz w:val="24"/>
          <w:szCs w:val="24"/>
        </w:rPr>
        <w:t xml:space="preserve">17 olmak üzere toplam mevduat bankalarının sayısı 31 adettir. </w:t>
      </w:r>
      <w:r w:rsidR="008129AA">
        <w:rPr>
          <w:rFonts w:ascii="Times New Roman" w:hAnsi="Times New Roman" w:cs="Times New Roman"/>
          <w:sz w:val="24"/>
          <w:szCs w:val="24"/>
        </w:rPr>
        <w:t xml:space="preserve">Bu bankaların </w:t>
      </w:r>
      <w:r w:rsidR="000E7AB1">
        <w:rPr>
          <w:rFonts w:ascii="Times New Roman" w:hAnsi="Times New Roman" w:cs="Times New Roman"/>
          <w:sz w:val="24"/>
          <w:szCs w:val="24"/>
        </w:rPr>
        <w:t xml:space="preserve">2002-2013 </w:t>
      </w:r>
      <w:r w:rsidR="008129AA">
        <w:rPr>
          <w:rFonts w:ascii="Times New Roman" w:hAnsi="Times New Roman" w:cs="Times New Roman"/>
          <w:sz w:val="24"/>
          <w:szCs w:val="24"/>
        </w:rPr>
        <w:t>arasındaki yılların tamamında</w:t>
      </w:r>
      <w:r w:rsidR="000E7AB1">
        <w:rPr>
          <w:rFonts w:ascii="Times New Roman" w:hAnsi="Times New Roman" w:cs="Times New Roman"/>
          <w:sz w:val="24"/>
          <w:szCs w:val="24"/>
        </w:rPr>
        <w:t xml:space="preserve"> Türkiye’de faaliyet göstermesi ve tanımlanan girdiler ve çıktıları</w:t>
      </w:r>
      <w:r w:rsidR="00066D35">
        <w:rPr>
          <w:rFonts w:ascii="Times New Roman" w:hAnsi="Times New Roman" w:cs="Times New Roman"/>
          <w:sz w:val="24"/>
          <w:szCs w:val="24"/>
        </w:rPr>
        <w:t>n</w:t>
      </w:r>
      <w:r w:rsidR="000E7AB1">
        <w:rPr>
          <w:rFonts w:ascii="Times New Roman" w:hAnsi="Times New Roman" w:cs="Times New Roman"/>
          <w:sz w:val="24"/>
          <w:szCs w:val="24"/>
        </w:rPr>
        <w:t xml:space="preserve"> sıfırdan büyük olması koşulları dikkate alındığında, bazı özel ve yabancı sermayeli bankalar </w:t>
      </w:r>
      <w:r w:rsidRPr="006868D2">
        <w:rPr>
          <w:rFonts w:ascii="Times New Roman" w:hAnsi="Times New Roman" w:cs="Times New Roman"/>
          <w:sz w:val="24"/>
          <w:szCs w:val="24"/>
        </w:rPr>
        <w:t xml:space="preserve">araştırma kapsamı dışında tutulmuştur. </w:t>
      </w:r>
      <w:r w:rsidR="000E7AB1">
        <w:rPr>
          <w:rFonts w:ascii="Times New Roman" w:hAnsi="Times New Roman" w:cs="Times New Roman"/>
          <w:sz w:val="24"/>
          <w:szCs w:val="24"/>
        </w:rPr>
        <w:t>Bu kısıtlamalar altında a</w:t>
      </w:r>
      <w:r w:rsidRPr="006868D2">
        <w:rPr>
          <w:rFonts w:ascii="Times New Roman" w:hAnsi="Times New Roman" w:cs="Times New Roman"/>
          <w:sz w:val="24"/>
          <w:szCs w:val="24"/>
        </w:rPr>
        <w:t xml:space="preserve">raştırmanın </w:t>
      </w:r>
      <w:r w:rsidR="000E7AB1">
        <w:rPr>
          <w:rFonts w:ascii="Times New Roman" w:hAnsi="Times New Roman" w:cs="Times New Roman"/>
          <w:sz w:val="24"/>
          <w:szCs w:val="24"/>
        </w:rPr>
        <w:t>kapsamında yer alan 21 bankanı</w:t>
      </w:r>
      <w:r w:rsidR="00EF321C">
        <w:rPr>
          <w:rFonts w:ascii="Times New Roman" w:hAnsi="Times New Roman" w:cs="Times New Roman"/>
          <w:sz w:val="24"/>
          <w:szCs w:val="24"/>
        </w:rPr>
        <w:t>n</w:t>
      </w:r>
      <w:r w:rsidR="000E7AB1">
        <w:rPr>
          <w:rFonts w:ascii="Times New Roman" w:hAnsi="Times New Roman" w:cs="Times New Roman"/>
          <w:sz w:val="24"/>
          <w:szCs w:val="24"/>
        </w:rPr>
        <w:t xml:space="preserve"> listesi </w:t>
      </w:r>
      <w:r w:rsidR="00530B7C">
        <w:rPr>
          <w:rFonts w:ascii="Times New Roman" w:hAnsi="Times New Roman" w:cs="Times New Roman"/>
          <w:sz w:val="24"/>
          <w:szCs w:val="24"/>
        </w:rPr>
        <w:t>Çizelge</w:t>
      </w:r>
      <w:r w:rsidR="000E7AB1">
        <w:rPr>
          <w:rFonts w:ascii="Times New Roman" w:hAnsi="Times New Roman" w:cs="Times New Roman"/>
          <w:sz w:val="24"/>
          <w:szCs w:val="24"/>
        </w:rPr>
        <w:t xml:space="preserve">1’de </w:t>
      </w:r>
      <w:r w:rsidRPr="006868D2">
        <w:rPr>
          <w:rFonts w:ascii="Times New Roman" w:hAnsi="Times New Roman" w:cs="Times New Roman"/>
          <w:sz w:val="24"/>
          <w:szCs w:val="24"/>
        </w:rPr>
        <w:t>verilmiştir.</w:t>
      </w:r>
    </w:p>
    <w:p w:rsidR="00066D35" w:rsidRDefault="00066D35" w:rsidP="00A265E6">
      <w:pPr>
        <w:spacing w:after="120" w:line="240" w:lineRule="auto"/>
        <w:jc w:val="both"/>
        <w:rPr>
          <w:rFonts w:ascii="Times New Roman" w:hAnsi="Times New Roman" w:cs="Times New Roman"/>
          <w:sz w:val="24"/>
          <w:szCs w:val="24"/>
        </w:rPr>
      </w:pPr>
    </w:p>
    <w:tbl>
      <w:tblPr>
        <w:tblStyle w:val="TabloKlavuzu"/>
        <w:tblW w:w="5090" w:type="pct"/>
        <w:tblLook w:val="04A0" w:firstRow="1" w:lastRow="0" w:firstColumn="1" w:lastColumn="0" w:noHBand="0" w:noVBand="1"/>
      </w:tblPr>
      <w:tblGrid>
        <w:gridCol w:w="3370"/>
        <w:gridCol w:w="3116"/>
        <w:gridCol w:w="2969"/>
      </w:tblGrid>
      <w:tr w:rsidR="00321A43" w:rsidRPr="00A1364D" w:rsidTr="00066D35">
        <w:tc>
          <w:tcPr>
            <w:tcW w:w="5000" w:type="pct"/>
            <w:gridSpan w:val="3"/>
            <w:tcBorders>
              <w:top w:val="nil"/>
              <w:left w:val="nil"/>
              <w:bottom w:val="single" w:sz="4" w:space="0" w:color="auto"/>
              <w:right w:val="nil"/>
            </w:tcBorders>
          </w:tcPr>
          <w:p w:rsidR="00066D35" w:rsidRDefault="00D56E97" w:rsidP="00D56E97">
            <w:pPr>
              <w:pStyle w:val="AralkYok"/>
              <w:jc w:val="center"/>
              <w:rPr>
                <w:rFonts w:ascii="Times New Roman" w:hAnsi="Times New Roman" w:cs="Times New Roman"/>
                <w:b/>
              </w:rPr>
            </w:pPr>
            <w:r>
              <w:rPr>
                <w:rFonts w:ascii="Times New Roman" w:hAnsi="Times New Roman" w:cs="Times New Roman"/>
                <w:b/>
              </w:rPr>
              <w:lastRenderedPageBreak/>
              <w:t>Çizelge 1. Araştırma Kapsamındaki Bankalar</w:t>
            </w:r>
          </w:p>
          <w:p w:rsidR="00066D35" w:rsidRPr="00A1364D" w:rsidRDefault="00066D35" w:rsidP="00EB5058">
            <w:pPr>
              <w:pStyle w:val="AralkYok"/>
              <w:rPr>
                <w:rFonts w:ascii="Times New Roman" w:hAnsi="Times New Roman" w:cs="Times New Roman"/>
                <w:b/>
              </w:rPr>
            </w:pPr>
          </w:p>
        </w:tc>
      </w:tr>
      <w:tr w:rsidR="00BA0B6E" w:rsidRPr="00321A43" w:rsidTr="00066D35">
        <w:tc>
          <w:tcPr>
            <w:tcW w:w="1782" w:type="pct"/>
            <w:tcBorders>
              <w:top w:val="single" w:sz="4" w:space="0" w:color="auto"/>
              <w:bottom w:val="single" w:sz="4" w:space="0" w:color="auto"/>
            </w:tcBorders>
          </w:tcPr>
          <w:p w:rsidR="00321A43" w:rsidRPr="003D3375" w:rsidRDefault="00321A43" w:rsidP="00EB5058">
            <w:pPr>
              <w:pStyle w:val="AralkYok"/>
              <w:jc w:val="center"/>
              <w:rPr>
                <w:rFonts w:ascii="Times New Roman" w:hAnsi="Times New Roman" w:cs="Times New Roman"/>
                <w:b/>
              </w:rPr>
            </w:pPr>
            <w:r w:rsidRPr="003D3375">
              <w:rPr>
                <w:rFonts w:ascii="Times New Roman" w:hAnsi="Times New Roman" w:cs="Times New Roman"/>
                <w:b/>
              </w:rPr>
              <w:t>Kamu Sermayeli Bankalar</w:t>
            </w:r>
          </w:p>
        </w:tc>
        <w:tc>
          <w:tcPr>
            <w:tcW w:w="1648" w:type="pct"/>
            <w:tcBorders>
              <w:top w:val="single" w:sz="4" w:space="0" w:color="auto"/>
              <w:bottom w:val="single" w:sz="4" w:space="0" w:color="auto"/>
            </w:tcBorders>
          </w:tcPr>
          <w:p w:rsidR="00321A43" w:rsidRPr="003D3375" w:rsidRDefault="00321A43" w:rsidP="00EB5058">
            <w:pPr>
              <w:pStyle w:val="AralkYok"/>
              <w:jc w:val="center"/>
              <w:rPr>
                <w:rFonts w:ascii="Times New Roman" w:hAnsi="Times New Roman" w:cs="Times New Roman"/>
                <w:b/>
              </w:rPr>
            </w:pPr>
            <w:r w:rsidRPr="003D3375">
              <w:rPr>
                <w:rFonts w:ascii="Times New Roman" w:hAnsi="Times New Roman" w:cs="Times New Roman"/>
                <w:b/>
              </w:rPr>
              <w:t>Özel Sermayeli Bankalar</w:t>
            </w:r>
          </w:p>
        </w:tc>
        <w:tc>
          <w:tcPr>
            <w:tcW w:w="1570" w:type="pct"/>
            <w:tcBorders>
              <w:top w:val="single" w:sz="4" w:space="0" w:color="auto"/>
              <w:bottom w:val="single" w:sz="4" w:space="0" w:color="auto"/>
            </w:tcBorders>
          </w:tcPr>
          <w:p w:rsidR="00321A43" w:rsidRPr="003D3375" w:rsidRDefault="00321A43" w:rsidP="00EB5058">
            <w:pPr>
              <w:pStyle w:val="AralkYok"/>
              <w:jc w:val="center"/>
              <w:rPr>
                <w:rFonts w:ascii="Times New Roman" w:hAnsi="Times New Roman" w:cs="Times New Roman"/>
                <w:b/>
              </w:rPr>
            </w:pPr>
            <w:r w:rsidRPr="003D3375">
              <w:rPr>
                <w:rFonts w:ascii="Times New Roman" w:hAnsi="Times New Roman" w:cs="Times New Roman"/>
                <w:b/>
              </w:rPr>
              <w:t>Yabancı Sermayeli Bankalar</w:t>
            </w:r>
          </w:p>
        </w:tc>
      </w:tr>
      <w:tr w:rsidR="00BA0B6E" w:rsidRPr="00321A43" w:rsidTr="00066D35">
        <w:tc>
          <w:tcPr>
            <w:tcW w:w="1782" w:type="pct"/>
            <w:tcBorders>
              <w:top w:val="single" w:sz="4" w:space="0" w:color="auto"/>
              <w:left w:val="single" w:sz="4" w:space="0" w:color="auto"/>
              <w:bottom w:val="nil"/>
              <w:right w:val="single" w:sz="4" w:space="0" w:color="auto"/>
            </w:tcBorders>
            <w:vAlign w:val="center"/>
          </w:tcPr>
          <w:p w:rsidR="00321A43" w:rsidRPr="00321A43" w:rsidRDefault="00BA0B6E" w:rsidP="003D3375">
            <w:pPr>
              <w:pStyle w:val="AralkYok"/>
              <w:rPr>
                <w:rFonts w:ascii="Times New Roman" w:hAnsi="Times New Roman" w:cs="Times New Roman"/>
              </w:rPr>
            </w:pPr>
            <w:r>
              <w:rPr>
                <w:rFonts w:ascii="Times New Roman" w:hAnsi="Times New Roman" w:cs="Times New Roman"/>
              </w:rPr>
              <w:t>1.</w:t>
            </w:r>
            <w:r w:rsidR="003D3375">
              <w:rPr>
                <w:rFonts w:ascii="Times New Roman" w:hAnsi="Times New Roman" w:cs="Times New Roman"/>
              </w:rPr>
              <w:t xml:space="preserve"> </w:t>
            </w:r>
            <w:r w:rsidR="00AE1525">
              <w:rPr>
                <w:rFonts w:ascii="Times New Roman" w:hAnsi="Times New Roman" w:cs="Times New Roman"/>
              </w:rPr>
              <w:t>T.</w:t>
            </w:r>
            <w:r w:rsidR="00321A43" w:rsidRPr="00321A43">
              <w:rPr>
                <w:rFonts w:ascii="Times New Roman" w:hAnsi="Times New Roman" w:cs="Times New Roman"/>
              </w:rPr>
              <w:t>C</w:t>
            </w:r>
            <w:r w:rsidR="00AE1525">
              <w:rPr>
                <w:rFonts w:ascii="Times New Roman" w:hAnsi="Times New Roman" w:cs="Times New Roman"/>
              </w:rPr>
              <w:t xml:space="preserve">. </w:t>
            </w:r>
            <w:r w:rsidR="00321A43" w:rsidRPr="00321A43">
              <w:rPr>
                <w:rFonts w:ascii="Times New Roman" w:hAnsi="Times New Roman" w:cs="Times New Roman"/>
              </w:rPr>
              <w:t>Ziraat Bankası A.Ş</w:t>
            </w:r>
          </w:p>
        </w:tc>
        <w:tc>
          <w:tcPr>
            <w:tcW w:w="1648" w:type="pct"/>
            <w:tcBorders>
              <w:top w:val="single" w:sz="4" w:space="0" w:color="auto"/>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1. </w:t>
            </w:r>
            <w:r w:rsidR="00321A43" w:rsidRPr="00321A43">
              <w:rPr>
                <w:rFonts w:ascii="Times New Roman" w:hAnsi="Times New Roman" w:cs="Times New Roman"/>
              </w:rPr>
              <w:t>Akbank T.A.Ş.</w:t>
            </w:r>
          </w:p>
        </w:tc>
        <w:tc>
          <w:tcPr>
            <w:tcW w:w="1570" w:type="pct"/>
            <w:tcBorders>
              <w:top w:val="single" w:sz="4" w:space="0" w:color="auto"/>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1. </w:t>
            </w:r>
            <w:r w:rsidR="00321A43" w:rsidRPr="00321A43">
              <w:rPr>
                <w:rFonts w:ascii="Times New Roman" w:hAnsi="Times New Roman" w:cs="Times New Roman"/>
              </w:rPr>
              <w:t>Alternatifbank A.Ş.</w:t>
            </w:r>
          </w:p>
        </w:tc>
      </w:tr>
      <w:tr w:rsidR="00BA0B6E" w:rsidRPr="00321A43" w:rsidTr="00BA0B6E">
        <w:tc>
          <w:tcPr>
            <w:tcW w:w="1782"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2. </w:t>
            </w:r>
            <w:r w:rsidR="00321A43" w:rsidRPr="00321A43">
              <w:rPr>
                <w:rFonts w:ascii="Times New Roman" w:hAnsi="Times New Roman" w:cs="Times New Roman"/>
              </w:rPr>
              <w:t>Türkiye Halk Bankası A.Ş.</w:t>
            </w:r>
          </w:p>
        </w:tc>
        <w:tc>
          <w:tcPr>
            <w:tcW w:w="1648"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2. </w:t>
            </w:r>
            <w:r w:rsidR="00321A43" w:rsidRPr="00321A43">
              <w:rPr>
                <w:rFonts w:ascii="Times New Roman" w:hAnsi="Times New Roman" w:cs="Times New Roman"/>
              </w:rPr>
              <w:t>Anadolubank A.Ş.</w:t>
            </w:r>
          </w:p>
        </w:tc>
        <w:tc>
          <w:tcPr>
            <w:tcW w:w="1570"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2. </w:t>
            </w:r>
            <w:r w:rsidR="00321A43" w:rsidRPr="00321A43">
              <w:rPr>
                <w:rFonts w:ascii="Times New Roman" w:hAnsi="Times New Roman" w:cs="Times New Roman"/>
              </w:rPr>
              <w:t>Arap Türk Bankası A.Ş.</w:t>
            </w:r>
          </w:p>
        </w:tc>
      </w:tr>
      <w:tr w:rsidR="00BA0B6E" w:rsidRPr="00321A43" w:rsidTr="00BA0B6E">
        <w:tc>
          <w:tcPr>
            <w:tcW w:w="1782"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3. </w:t>
            </w:r>
            <w:r w:rsidR="00321A43" w:rsidRPr="00321A43">
              <w:rPr>
                <w:rFonts w:ascii="Times New Roman" w:hAnsi="Times New Roman" w:cs="Times New Roman"/>
              </w:rPr>
              <w:t>Türkiye Vakıflar Bankası T.A.Ş.</w:t>
            </w:r>
          </w:p>
        </w:tc>
        <w:tc>
          <w:tcPr>
            <w:tcW w:w="1648"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3. </w:t>
            </w:r>
            <w:r w:rsidR="00321A43" w:rsidRPr="00321A43">
              <w:rPr>
                <w:rFonts w:ascii="Times New Roman" w:hAnsi="Times New Roman" w:cs="Times New Roman"/>
              </w:rPr>
              <w:t>Şekerbank T.A.Ş.</w:t>
            </w:r>
          </w:p>
        </w:tc>
        <w:tc>
          <w:tcPr>
            <w:tcW w:w="1570"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3. </w:t>
            </w:r>
            <w:r w:rsidR="00321A43" w:rsidRPr="00321A43">
              <w:rPr>
                <w:rFonts w:ascii="Times New Roman" w:hAnsi="Times New Roman" w:cs="Times New Roman"/>
              </w:rPr>
              <w:t>Citibank A.Ş.</w:t>
            </w:r>
          </w:p>
        </w:tc>
      </w:tr>
      <w:tr w:rsidR="00BA0B6E" w:rsidRPr="00321A43" w:rsidTr="00BA0B6E">
        <w:tc>
          <w:tcPr>
            <w:tcW w:w="1782" w:type="pct"/>
            <w:tcBorders>
              <w:top w:val="nil"/>
              <w:left w:val="single" w:sz="4" w:space="0" w:color="auto"/>
              <w:bottom w:val="nil"/>
              <w:right w:val="single" w:sz="4" w:space="0" w:color="auto"/>
            </w:tcBorders>
            <w:vAlign w:val="center"/>
          </w:tcPr>
          <w:p w:rsidR="00321A43" w:rsidRPr="00321A43" w:rsidRDefault="00321A43" w:rsidP="00EB5058">
            <w:pPr>
              <w:pStyle w:val="AralkYok"/>
              <w:rPr>
                <w:rFonts w:ascii="Times New Roman" w:hAnsi="Times New Roman" w:cs="Times New Roman"/>
              </w:rPr>
            </w:pPr>
          </w:p>
        </w:tc>
        <w:tc>
          <w:tcPr>
            <w:tcW w:w="1648"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4. </w:t>
            </w:r>
            <w:r w:rsidR="00321A43" w:rsidRPr="00321A43">
              <w:rPr>
                <w:rFonts w:ascii="Times New Roman" w:hAnsi="Times New Roman" w:cs="Times New Roman"/>
              </w:rPr>
              <w:t>Tekstil Bankası A.Ş.</w:t>
            </w:r>
          </w:p>
        </w:tc>
        <w:tc>
          <w:tcPr>
            <w:tcW w:w="1570"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4. </w:t>
            </w:r>
            <w:r w:rsidR="00321A43" w:rsidRPr="00321A43">
              <w:rPr>
                <w:rFonts w:ascii="Times New Roman" w:hAnsi="Times New Roman" w:cs="Times New Roman"/>
              </w:rPr>
              <w:t>Denizbank A.Ş.</w:t>
            </w:r>
          </w:p>
        </w:tc>
      </w:tr>
      <w:tr w:rsidR="00BA0B6E" w:rsidRPr="00321A43" w:rsidTr="00BA0B6E">
        <w:tc>
          <w:tcPr>
            <w:tcW w:w="1782" w:type="pct"/>
            <w:tcBorders>
              <w:top w:val="nil"/>
              <w:left w:val="single" w:sz="4" w:space="0" w:color="auto"/>
              <w:bottom w:val="nil"/>
              <w:right w:val="single" w:sz="4" w:space="0" w:color="auto"/>
            </w:tcBorders>
            <w:vAlign w:val="center"/>
          </w:tcPr>
          <w:p w:rsidR="00321A43" w:rsidRPr="00321A43" w:rsidRDefault="00321A43" w:rsidP="00EB5058">
            <w:pPr>
              <w:pStyle w:val="AralkYok"/>
              <w:rPr>
                <w:rFonts w:ascii="Times New Roman" w:hAnsi="Times New Roman" w:cs="Times New Roman"/>
              </w:rPr>
            </w:pPr>
          </w:p>
        </w:tc>
        <w:tc>
          <w:tcPr>
            <w:tcW w:w="1648"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5. </w:t>
            </w:r>
            <w:r w:rsidR="00321A43" w:rsidRPr="00321A43">
              <w:rPr>
                <w:rFonts w:ascii="Times New Roman" w:hAnsi="Times New Roman" w:cs="Times New Roman"/>
              </w:rPr>
              <w:t>Turkish Bank A.Ş.</w:t>
            </w:r>
          </w:p>
        </w:tc>
        <w:tc>
          <w:tcPr>
            <w:tcW w:w="1570"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5. </w:t>
            </w:r>
            <w:r w:rsidR="00321A43" w:rsidRPr="00321A43">
              <w:rPr>
                <w:rFonts w:ascii="Times New Roman" w:hAnsi="Times New Roman" w:cs="Times New Roman"/>
              </w:rPr>
              <w:t>Finans Bank A.Ş.</w:t>
            </w:r>
          </w:p>
        </w:tc>
      </w:tr>
      <w:tr w:rsidR="00BA0B6E" w:rsidRPr="00321A43" w:rsidTr="00BA0B6E">
        <w:tc>
          <w:tcPr>
            <w:tcW w:w="1782" w:type="pct"/>
            <w:tcBorders>
              <w:top w:val="nil"/>
              <w:left w:val="single" w:sz="4" w:space="0" w:color="auto"/>
              <w:bottom w:val="nil"/>
              <w:right w:val="single" w:sz="4" w:space="0" w:color="auto"/>
            </w:tcBorders>
            <w:vAlign w:val="center"/>
          </w:tcPr>
          <w:p w:rsidR="00321A43" w:rsidRPr="00321A43" w:rsidRDefault="00321A43" w:rsidP="00EB5058">
            <w:pPr>
              <w:pStyle w:val="AralkYok"/>
              <w:rPr>
                <w:rFonts w:ascii="Times New Roman" w:hAnsi="Times New Roman" w:cs="Times New Roman"/>
              </w:rPr>
            </w:pPr>
          </w:p>
        </w:tc>
        <w:tc>
          <w:tcPr>
            <w:tcW w:w="1648"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6. </w:t>
            </w:r>
            <w:r w:rsidR="00321A43" w:rsidRPr="00321A43">
              <w:rPr>
                <w:rFonts w:ascii="Times New Roman" w:hAnsi="Times New Roman" w:cs="Times New Roman"/>
              </w:rPr>
              <w:t>Türk Ekonomi Bankası A.Ş.</w:t>
            </w:r>
          </w:p>
        </w:tc>
        <w:tc>
          <w:tcPr>
            <w:tcW w:w="1570"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6. </w:t>
            </w:r>
            <w:r w:rsidR="00321A43" w:rsidRPr="00321A43">
              <w:rPr>
                <w:rFonts w:ascii="Times New Roman" w:hAnsi="Times New Roman" w:cs="Times New Roman"/>
              </w:rPr>
              <w:t>Habib Bank Limited</w:t>
            </w:r>
          </w:p>
        </w:tc>
      </w:tr>
      <w:tr w:rsidR="00BA0B6E" w:rsidRPr="00321A43" w:rsidTr="00BA0B6E">
        <w:tc>
          <w:tcPr>
            <w:tcW w:w="1782" w:type="pct"/>
            <w:tcBorders>
              <w:top w:val="nil"/>
              <w:left w:val="single" w:sz="4" w:space="0" w:color="auto"/>
              <w:bottom w:val="nil"/>
              <w:right w:val="single" w:sz="4" w:space="0" w:color="auto"/>
            </w:tcBorders>
            <w:vAlign w:val="center"/>
          </w:tcPr>
          <w:p w:rsidR="00321A43" w:rsidRPr="00321A43" w:rsidRDefault="00321A43" w:rsidP="00EB5058">
            <w:pPr>
              <w:pStyle w:val="AralkYok"/>
              <w:rPr>
                <w:rFonts w:ascii="Times New Roman" w:hAnsi="Times New Roman" w:cs="Times New Roman"/>
              </w:rPr>
            </w:pPr>
          </w:p>
        </w:tc>
        <w:tc>
          <w:tcPr>
            <w:tcW w:w="1648"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7. </w:t>
            </w:r>
            <w:r w:rsidR="00321A43" w:rsidRPr="00321A43">
              <w:rPr>
                <w:rFonts w:ascii="Times New Roman" w:hAnsi="Times New Roman" w:cs="Times New Roman"/>
              </w:rPr>
              <w:t>Türkiye Garanti Bankası A.Ş.</w:t>
            </w:r>
          </w:p>
        </w:tc>
        <w:tc>
          <w:tcPr>
            <w:tcW w:w="1570"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7. </w:t>
            </w:r>
            <w:r w:rsidR="00321A43" w:rsidRPr="00321A43">
              <w:rPr>
                <w:rFonts w:ascii="Times New Roman" w:hAnsi="Times New Roman" w:cs="Times New Roman"/>
              </w:rPr>
              <w:t>HSBC Bank A.Ş.</w:t>
            </w:r>
          </w:p>
        </w:tc>
      </w:tr>
      <w:tr w:rsidR="00BA0B6E" w:rsidRPr="00321A43" w:rsidTr="00BA0B6E">
        <w:tc>
          <w:tcPr>
            <w:tcW w:w="1782" w:type="pct"/>
            <w:tcBorders>
              <w:top w:val="nil"/>
              <w:left w:val="single" w:sz="4" w:space="0" w:color="auto"/>
              <w:bottom w:val="nil"/>
              <w:right w:val="single" w:sz="4" w:space="0" w:color="auto"/>
            </w:tcBorders>
            <w:vAlign w:val="center"/>
          </w:tcPr>
          <w:p w:rsidR="00321A43" w:rsidRPr="00321A43" w:rsidRDefault="00321A43" w:rsidP="00EB5058">
            <w:pPr>
              <w:pStyle w:val="AralkYok"/>
              <w:rPr>
                <w:rFonts w:ascii="Times New Roman" w:hAnsi="Times New Roman" w:cs="Times New Roman"/>
              </w:rPr>
            </w:pPr>
          </w:p>
        </w:tc>
        <w:tc>
          <w:tcPr>
            <w:tcW w:w="1648"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8. </w:t>
            </w:r>
            <w:r w:rsidR="00321A43" w:rsidRPr="00321A43">
              <w:rPr>
                <w:rFonts w:ascii="Times New Roman" w:hAnsi="Times New Roman" w:cs="Times New Roman"/>
              </w:rPr>
              <w:t>Türkiye İş Bankası A.Ş.</w:t>
            </w:r>
          </w:p>
        </w:tc>
        <w:tc>
          <w:tcPr>
            <w:tcW w:w="1570" w:type="pct"/>
            <w:tcBorders>
              <w:top w:val="nil"/>
              <w:left w:val="single" w:sz="4" w:space="0" w:color="auto"/>
              <w:bottom w:val="nil"/>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8. </w:t>
            </w:r>
            <w:r w:rsidR="00321A43" w:rsidRPr="00321A43">
              <w:rPr>
                <w:rFonts w:ascii="Times New Roman" w:hAnsi="Times New Roman" w:cs="Times New Roman"/>
              </w:rPr>
              <w:t>ING Bank A.Ş.</w:t>
            </w:r>
          </w:p>
        </w:tc>
      </w:tr>
      <w:tr w:rsidR="00BA0B6E" w:rsidRPr="00321A43" w:rsidTr="00BA0B6E">
        <w:tc>
          <w:tcPr>
            <w:tcW w:w="1782" w:type="pct"/>
            <w:tcBorders>
              <w:top w:val="nil"/>
              <w:left w:val="single" w:sz="4" w:space="0" w:color="auto"/>
              <w:bottom w:val="single" w:sz="4" w:space="0" w:color="auto"/>
              <w:right w:val="single" w:sz="4" w:space="0" w:color="auto"/>
            </w:tcBorders>
            <w:vAlign w:val="center"/>
          </w:tcPr>
          <w:p w:rsidR="00321A43" w:rsidRPr="00321A43" w:rsidRDefault="00321A43" w:rsidP="00EB5058">
            <w:pPr>
              <w:pStyle w:val="AralkYok"/>
              <w:rPr>
                <w:rFonts w:ascii="Times New Roman" w:hAnsi="Times New Roman" w:cs="Times New Roman"/>
              </w:rPr>
            </w:pPr>
          </w:p>
        </w:tc>
        <w:tc>
          <w:tcPr>
            <w:tcW w:w="1648" w:type="pct"/>
            <w:tcBorders>
              <w:top w:val="nil"/>
              <w:left w:val="single" w:sz="4" w:space="0" w:color="auto"/>
              <w:bottom w:val="single" w:sz="4" w:space="0" w:color="auto"/>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9. </w:t>
            </w:r>
            <w:r w:rsidR="00321A43" w:rsidRPr="00321A43">
              <w:rPr>
                <w:rFonts w:ascii="Times New Roman" w:hAnsi="Times New Roman" w:cs="Times New Roman"/>
              </w:rPr>
              <w:t>Yapı ve Kredi Bankası A.Ş.</w:t>
            </w:r>
          </w:p>
        </w:tc>
        <w:tc>
          <w:tcPr>
            <w:tcW w:w="1570" w:type="pct"/>
            <w:tcBorders>
              <w:top w:val="nil"/>
              <w:left w:val="single" w:sz="4" w:space="0" w:color="auto"/>
              <w:bottom w:val="single" w:sz="4" w:space="0" w:color="auto"/>
              <w:right w:val="single" w:sz="4" w:space="0" w:color="auto"/>
            </w:tcBorders>
            <w:vAlign w:val="center"/>
          </w:tcPr>
          <w:p w:rsidR="00321A43" w:rsidRPr="00321A43" w:rsidRDefault="00BA0B6E" w:rsidP="00EB5058">
            <w:pPr>
              <w:pStyle w:val="AralkYok"/>
              <w:rPr>
                <w:rFonts w:ascii="Times New Roman" w:hAnsi="Times New Roman" w:cs="Times New Roman"/>
              </w:rPr>
            </w:pPr>
            <w:r>
              <w:rPr>
                <w:rFonts w:ascii="Times New Roman" w:hAnsi="Times New Roman" w:cs="Times New Roman"/>
              </w:rPr>
              <w:t xml:space="preserve">9. </w:t>
            </w:r>
            <w:r w:rsidR="00321A43" w:rsidRPr="00321A43">
              <w:rPr>
                <w:rFonts w:ascii="Times New Roman" w:hAnsi="Times New Roman" w:cs="Times New Roman"/>
              </w:rPr>
              <w:t>Turkland Bank A.Ş.</w:t>
            </w:r>
          </w:p>
        </w:tc>
      </w:tr>
    </w:tbl>
    <w:p w:rsidR="002636A1" w:rsidRDefault="002636A1" w:rsidP="00A0688A">
      <w:pPr>
        <w:spacing w:after="120" w:line="240" w:lineRule="auto"/>
        <w:rPr>
          <w:rFonts w:ascii="Times New Roman" w:hAnsi="Times New Roman" w:cs="Times New Roman"/>
          <w:b/>
          <w:sz w:val="24"/>
          <w:szCs w:val="24"/>
        </w:rPr>
      </w:pPr>
      <w:bookmarkStart w:id="6" w:name="_Toc246702647"/>
    </w:p>
    <w:p w:rsidR="006868D2" w:rsidRPr="00EF321C" w:rsidRDefault="00AA45F1" w:rsidP="00A0688A">
      <w:pPr>
        <w:spacing w:after="120" w:line="240" w:lineRule="auto"/>
        <w:rPr>
          <w:rFonts w:ascii="Times New Roman" w:hAnsi="Times New Roman" w:cs="Times New Roman"/>
          <w:b/>
          <w:sz w:val="24"/>
          <w:szCs w:val="24"/>
        </w:rPr>
      </w:pPr>
      <w:r>
        <w:rPr>
          <w:rFonts w:ascii="Times New Roman" w:hAnsi="Times New Roman" w:cs="Times New Roman"/>
          <w:b/>
          <w:sz w:val="24"/>
          <w:szCs w:val="24"/>
        </w:rPr>
        <w:t>4</w:t>
      </w:r>
      <w:r w:rsidR="006868D2" w:rsidRPr="00EF321C">
        <w:rPr>
          <w:rFonts w:ascii="Times New Roman" w:hAnsi="Times New Roman" w:cs="Times New Roman"/>
          <w:b/>
          <w:sz w:val="24"/>
          <w:szCs w:val="24"/>
        </w:rPr>
        <w:t>.2. Girdi ve Çıktıların Belirlenmesi</w:t>
      </w:r>
      <w:bookmarkEnd w:id="6"/>
      <w:r w:rsidR="006868D2" w:rsidRPr="00EF321C">
        <w:rPr>
          <w:rFonts w:ascii="Times New Roman" w:hAnsi="Times New Roman" w:cs="Times New Roman"/>
          <w:b/>
          <w:sz w:val="24"/>
          <w:szCs w:val="24"/>
        </w:rPr>
        <w:t xml:space="preserve"> </w:t>
      </w:r>
    </w:p>
    <w:p w:rsidR="006868D2" w:rsidRPr="00EF321C" w:rsidRDefault="006868D2" w:rsidP="00A265E6">
      <w:pPr>
        <w:spacing w:after="120" w:line="240" w:lineRule="auto"/>
        <w:jc w:val="both"/>
        <w:rPr>
          <w:rFonts w:ascii="Times New Roman" w:hAnsi="Times New Roman" w:cs="Times New Roman"/>
          <w:sz w:val="24"/>
          <w:szCs w:val="24"/>
        </w:rPr>
      </w:pPr>
      <w:r w:rsidRPr="00EF321C">
        <w:rPr>
          <w:rFonts w:ascii="Times New Roman" w:hAnsi="Times New Roman" w:cs="Times New Roman"/>
          <w:sz w:val="24"/>
          <w:szCs w:val="24"/>
        </w:rPr>
        <w:t xml:space="preserve">Çalışmada kullanılan girdi ve çıktılar aracılık yaklaşımı çerçevesinde aşağıdaki gibi belirlenmiştir. </w:t>
      </w:r>
    </w:p>
    <w:p w:rsidR="006868D2" w:rsidRPr="00EF321C" w:rsidRDefault="006868D2" w:rsidP="00A265E6">
      <w:pPr>
        <w:spacing w:after="120" w:line="240" w:lineRule="auto"/>
        <w:jc w:val="both"/>
        <w:rPr>
          <w:rFonts w:ascii="Times New Roman" w:hAnsi="Times New Roman" w:cs="Times New Roman"/>
          <w:sz w:val="24"/>
          <w:szCs w:val="24"/>
        </w:rPr>
      </w:pPr>
      <w:r w:rsidRPr="00EF321C">
        <w:rPr>
          <w:rFonts w:ascii="Times New Roman" w:hAnsi="Times New Roman" w:cs="Times New Roman"/>
          <w:sz w:val="24"/>
          <w:szCs w:val="24"/>
        </w:rPr>
        <w:t>Girdiler:</w:t>
      </w:r>
    </w:p>
    <w:p w:rsidR="006868D2" w:rsidRPr="00EF321C" w:rsidRDefault="006868D2" w:rsidP="00A0688A">
      <w:pPr>
        <w:pStyle w:val="ListeParagraf"/>
        <w:numPr>
          <w:ilvl w:val="0"/>
          <w:numId w:val="4"/>
        </w:numPr>
        <w:spacing w:after="120" w:line="240" w:lineRule="auto"/>
        <w:jc w:val="both"/>
        <w:rPr>
          <w:rFonts w:ascii="Times New Roman" w:hAnsi="Times New Roman" w:cs="Times New Roman"/>
          <w:sz w:val="24"/>
          <w:szCs w:val="24"/>
        </w:rPr>
      </w:pPr>
      <w:r w:rsidRPr="00EF321C">
        <w:rPr>
          <w:rFonts w:ascii="Times New Roman" w:hAnsi="Times New Roman" w:cs="Times New Roman"/>
          <w:sz w:val="24"/>
          <w:szCs w:val="24"/>
        </w:rPr>
        <w:t>Toplam Mevduat (Bin TL)</w:t>
      </w:r>
      <w:r w:rsidR="00A74F5D">
        <w:rPr>
          <w:rFonts w:ascii="Times New Roman" w:hAnsi="Times New Roman" w:cs="Times New Roman"/>
          <w:sz w:val="24"/>
          <w:szCs w:val="24"/>
        </w:rPr>
        <w:t>,</w:t>
      </w:r>
    </w:p>
    <w:p w:rsidR="006868D2" w:rsidRPr="00EF321C" w:rsidRDefault="00392AE9" w:rsidP="00A0688A">
      <w:pPr>
        <w:pStyle w:val="ListeParagraf"/>
        <w:numPr>
          <w:ilvl w:val="0"/>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Mevduat Dışı K</w:t>
      </w:r>
      <w:r w:rsidR="006868D2" w:rsidRPr="00EF321C">
        <w:rPr>
          <w:rFonts w:ascii="Times New Roman" w:hAnsi="Times New Roman" w:cs="Times New Roman"/>
          <w:sz w:val="24"/>
          <w:szCs w:val="24"/>
        </w:rPr>
        <w:t>aynaklar (Para Piyasalarına Borçlar + Alınan Krediler + Fonlar + İhraç Edilen Menkul Kıymetler, Bin TL)</w:t>
      </w:r>
      <w:r w:rsidR="00A74F5D">
        <w:rPr>
          <w:rFonts w:ascii="Times New Roman" w:hAnsi="Times New Roman" w:cs="Times New Roman"/>
          <w:sz w:val="24"/>
          <w:szCs w:val="24"/>
        </w:rPr>
        <w:t>.</w:t>
      </w:r>
      <w:r w:rsidR="006868D2" w:rsidRPr="00EF321C">
        <w:rPr>
          <w:rFonts w:ascii="Times New Roman" w:hAnsi="Times New Roman" w:cs="Times New Roman"/>
          <w:sz w:val="24"/>
          <w:szCs w:val="24"/>
        </w:rPr>
        <w:t xml:space="preserve">  </w:t>
      </w:r>
    </w:p>
    <w:p w:rsidR="006868D2" w:rsidRPr="00EF321C" w:rsidRDefault="006868D2" w:rsidP="00A265E6">
      <w:pPr>
        <w:spacing w:after="120" w:line="240" w:lineRule="auto"/>
        <w:jc w:val="both"/>
        <w:rPr>
          <w:rFonts w:ascii="Times New Roman" w:hAnsi="Times New Roman" w:cs="Times New Roman"/>
          <w:sz w:val="24"/>
          <w:szCs w:val="24"/>
        </w:rPr>
      </w:pPr>
      <w:r w:rsidRPr="00EF321C">
        <w:rPr>
          <w:rFonts w:ascii="Times New Roman" w:hAnsi="Times New Roman" w:cs="Times New Roman"/>
          <w:sz w:val="24"/>
          <w:szCs w:val="24"/>
        </w:rPr>
        <w:t>Çıktılar:</w:t>
      </w:r>
    </w:p>
    <w:p w:rsidR="006868D2" w:rsidRPr="00EF321C" w:rsidRDefault="006868D2" w:rsidP="00A0688A">
      <w:pPr>
        <w:pStyle w:val="ListeParagraf"/>
        <w:numPr>
          <w:ilvl w:val="0"/>
          <w:numId w:val="5"/>
        </w:numPr>
        <w:spacing w:after="120" w:line="240" w:lineRule="auto"/>
        <w:jc w:val="both"/>
        <w:rPr>
          <w:rFonts w:ascii="Times New Roman" w:hAnsi="Times New Roman" w:cs="Times New Roman"/>
          <w:sz w:val="24"/>
          <w:szCs w:val="24"/>
        </w:rPr>
      </w:pPr>
      <w:r w:rsidRPr="00EF321C">
        <w:rPr>
          <w:rFonts w:ascii="Times New Roman" w:hAnsi="Times New Roman" w:cs="Times New Roman"/>
          <w:sz w:val="24"/>
          <w:szCs w:val="24"/>
        </w:rPr>
        <w:t>Toplam Krediler (Krediler + Takipteki Krediler - Özel Karşılıklar, Bin TL)</w:t>
      </w:r>
      <w:r w:rsidR="00A74F5D">
        <w:rPr>
          <w:rFonts w:ascii="Times New Roman" w:hAnsi="Times New Roman" w:cs="Times New Roman"/>
          <w:sz w:val="24"/>
          <w:szCs w:val="24"/>
        </w:rPr>
        <w:t>,</w:t>
      </w:r>
    </w:p>
    <w:p w:rsidR="006868D2" w:rsidRDefault="00392AE9" w:rsidP="00A0688A">
      <w:pPr>
        <w:pStyle w:val="ListeParagraf"/>
        <w:numPr>
          <w:ilvl w:val="0"/>
          <w:numId w:val="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Menkul D</w:t>
      </w:r>
      <w:r w:rsidR="006868D2" w:rsidRPr="00EF321C">
        <w:rPr>
          <w:rFonts w:ascii="Times New Roman" w:hAnsi="Times New Roman" w:cs="Times New Roman"/>
          <w:sz w:val="24"/>
          <w:szCs w:val="24"/>
        </w:rPr>
        <w:t>eğerler (Satılmaya Hazır Menkul Değerler (Net)+Vadeye Kadar Elde Tutulacak Menkul Değerler (Net), Bin TL).</w:t>
      </w:r>
    </w:p>
    <w:p w:rsidR="006868D2" w:rsidRPr="00EE60AC" w:rsidRDefault="00AA45F1" w:rsidP="00A0688A">
      <w:pPr>
        <w:spacing w:after="120" w:line="240" w:lineRule="auto"/>
        <w:rPr>
          <w:rFonts w:ascii="Times New Roman" w:hAnsi="Times New Roman" w:cs="Times New Roman"/>
          <w:b/>
          <w:sz w:val="24"/>
          <w:szCs w:val="24"/>
        </w:rPr>
      </w:pPr>
      <w:bookmarkStart w:id="7" w:name="_Toc246702648"/>
      <w:r>
        <w:rPr>
          <w:rFonts w:ascii="Times New Roman" w:hAnsi="Times New Roman" w:cs="Times New Roman"/>
          <w:b/>
          <w:sz w:val="24"/>
          <w:szCs w:val="24"/>
        </w:rPr>
        <w:t>4</w:t>
      </w:r>
      <w:r w:rsidR="006868D2" w:rsidRPr="00EE60AC">
        <w:rPr>
          <w:rFonts w:ascii="Times New Roman" w:hAnsi="Times New Roman" w:cs="Times New Roman"/>
          <w:b/>
          <w:sz w:val="24"/>
          <w:szCs w:val="24"/>
        </w:rPr>
        <w:t>.3. Model ve Veriler</w:t>
      </w:r>
      <w:bookmarkEnd w:id="7"/>
    </w:p>
    <w:p w:rsidR="006868D2" w:rsidRDefault="00A74F5D"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VZ</w:t>
      </w:r>
      <w:r w:rsidR="00664A20">
        <w:rPr>
          <w:rFonts w:ascii="Times New Roman" w:hAnsi="Times New Roman" w:cs="Times New Roman"/>
          <w:sz w:val="24"/>
          <w:szCs w:val="24"/>
        </w:rPr>
        <w:t>A</w:t>
      </w:r>
      <w:r w:rsidR="00392AE9">
        <w:rPr>
          <w:rFonts w:ascii="Times New Roman" w:hAnsi="Times New Roman" w:cs="Times New Roman"/>
          <w:sz w:val="24"/>
          <w:szCs w:val="24"/>
        </w:rPr>
        <w:t>,</w:t>
      </w:r>
      <w:r w:rsidR="006868D2" w:rsidRPr="00EE60AC">
        <w:rPr>
          <w:rFonts w:ascii="Times New Roman" w:hAnsi="Times New Roman" w:cs="Times New Roman"/>
          <w:sz w:val="24"/>
          <w:szCs w:val="24"/>
        </w:rPr>
        <w:t xml:space="preserve"> ölçeğe göre değişken getiri varsayımı altında çıktı odaklı yaklaşım kullanılarak yapılmıştır. Grifell-Tatje ve Lovell (1997), ölçeğe göre değişken getiri varsayımının kulla</w:t>
      </w:r>
      <w:r w:rsidR="00664A20">
        <w:rPr>
          <w:rFonts w:ascii="Times New Roman" w:hAnsi="Times New Roman" w:cs="Times New Roman"/>
          <w:sz w:val="24"/>
          <w:szCs w:val="24"/>
        </w:rPr>
        <w:t>nılması durumunda, Malmquist TFV</w:t>
      </w:r>
      <w:r w:rsidR="006868D2" w:rsidRPr="00EE60AC">
        <w:rPr>
          <w:rFonts w:ascii="Times New Roman" w:hAnsi="Times New Roman" w:cs="Times New Roman"/>
          <w:sz w:val="24"/>
          <w:szCs w:val="24"/>
        </w:rPr>
        <w:t xml:space="preserve"> endeksi için gerekli olan uzaklık fonk</w:t>
      </w:r>
      <w:r w:rsidR="00664A20">
        <w:rPr>
          <w:rFonts w:ascii="Times New Roman" w:hAnsi="Times New Roman" w:cs="Times New Roman"/>
          <w:sz w:val="24"/>
          <w:szCs w:val="24"/>
        </w:rPr>
        <w:t>siyonlarının hesaplanmasında TFV</w:t>
      </w:r>
      <w:r w:rsidR="006868D2" w:rsidRPr="00EE60AC">
        <w:rPr>
          <w:rFonts w:ascii="Times New Roman" w:hAnsi="Times New Roman" w:cs="Times New Roman"/>
          <w:sz w:val="24"/>
          <w:szCs w:val="24"/>
        </w:rPr>
        <w:t xml:space="preserve"> değişim endeksindeki değişimlerin (verimlilik kazanımı veya kaybı) doğru ölçülemediğini göster</w:t>
      </w:r>
      <w:r w:rsidR="00664A20">
        <w:rPr>
          <w:rFonts w:ascii="Times New Roman" w:hAnsi="Times New Roman" w:cs="Times New Roman"/>
          <w:sz w:val="24"/>
          <w:szCs w:val="24"/>
        </w:rPr>
        <w:t>miştir. Bu nedenle Malmquist TFV</w:t>
      </w:r>
      <w:r w:rsidR="006868D2" w:rsidRPr="00EE60AC">
        <w:rPr>
          <w:rFonts w:ascii="Times New Roman" w:hAnsi="Times New Roman" w:cs="Times New Roman"/>
          <w:sz w:val="24"/>
          <w:szCs w:val="24"/>
        </w:rPr>
        <w:t xml:space="preserve"> endeksi ölçeğe göre sabit getiri varsayımı altında çıktı odaklı yaklaşım kullanılarak hesaplanmıştır.</w:t>
      </w:r>
    </w:p>
    <w:p w:rsidR="00FB68F8" w:rsidRDefault="00FB68F8" w:rsidP="00392AE9">
      <w:pPr>
        <w:spacing w:before="120" w:after="120" w:line="240" w:lineRule="auto"/>
        <w:jc w:val="both"/>
        <w:rPr>
          <w:rFonts w:ascii="Times New Roman" w:hAnsi="Times New Roman" w:cs="Times New Roman"/>
          <w:sz w:val="24"/>
          <w:szCs w:val="24"/>
        </w:rPr>
      </w:pPr>
      <w:r w:rsidRPr="00FB68F8">
        <w:rPr>
          <w:rFonts w:ascii="Times New Roman" w:hAnsi="Times New Roman" w:cs="Times New Roman"/>
          <w:sz w:val="24"/>
          <w:szCs w:val="24"/>
        </w:rPr>
        <w:t xml:space="preserve">Çalışma </w:t>
      </w:r>
      <w:r>
        <w:rPr>
          <w:rFonts w:ascii="Times New Roman" w:hAnsi="Times New Roman" w:cs="Times New Roman"/>
          <w:sz w:val="24"/>
          <w:szCs w:val="24"/>
        </w:rPr>
        <w:t>2002–2013</w:t>
      </w:r>
      <w:r w:rsidRPr="00FB68F8">
        <w:rPr>
          <w:rFonts w:ascii="Times New Roman" w:hAnsi="Times New Roman" w:cs="Times New Roman"/>
          <w:sz w:val="24"/>
          <w:szCs w:val="24"/>
        </w:rPr>
        <w:t xml:space="preserve"> dönemlerini kapsayan yıllık veriler ile yürütülmüştür. Veriler Türkiye Bankalar Birliği’nin (TBB) web sayfasındaki (http://www.tbb.org.tr/tr/banka-ve-sektor-bilgileri/istatistiki-raporlar) </w:t>
      </w:r>
      <w:r>
        <w:rPr>
          <w:rFonts w:ascii="Times New Roman" w:hAnsi="Times New Roman" w:cs="Times New Roman"/>
          <w:sz w:val="24"/>
          <w:szCs w:val="24"/>
        </w:rPr>
        <w:t>bankalara ait finansal tablolardan</w:t>
      </w:r>
      <w:r w:rsidRPr="00FB68F8">
        <w:rPr>
          <w:rFonts w:ascii="Times New Roman" w:hAnsi="Times New Roman" w:cs="Times New Roman"/>
          <w:sz w:val="24"/>
          <w:szCs w:val="24"/>
        </w:rPr>
        <w:t xml:space="preserve"> alınmıştır.   </w:t>
      </w:r>
    </w:p>
    <w:p w:rsidR="00FB68F8" w:rsidRPr="00FB68F8" w:rsidRDefault="00AA45F1" w:rsidP="00392AE9">
      <w:pPr>
        <w:spacing w:before="120" w:after="120" w:line="240" w:lineRule="auto"/>
        <w:rPr>
          <w:rFonts w:ascii="Times New Roman" w:hAnsi="Times New Roman" w:cs="Times New Roman"/>
          <w:b/>
          <w:sz w:val="24"/>
          <w:szCs w:val="24"/>
        </w:rPr>
      </w:pPr>
      <w:bookmarkStart w:id="8" w:name="_Toc246702649"/>
      <w:r>
        <w:rPr>
          <w:rFonts w:ascii="Times New Roman" w:hAnsi="Times New Roman" w:cs="Times New Roman"/>
          <w:b/>
          <w:sz w:val="24"/>
          <w:szCs w:val="24"/>
        </w:rPr>
        <w:t>5</w:t>
      </w:r>
      <w:r w:rsidR="00A1364D">
        <w:rPr>
          <w:rFonts w:ascii="Times New Roman" w:hAnsi="Times New Roman" w:cs="Times New Roman"/>
          <w:b/>
          <w:sz w:val="24"/>
          <w:szCs w:val="24"/>
        </w:rPr>
        <w:t>.</w:t>
      </w:r>
      <w:r w:rsidR="00FB68F8" w:rsidRPr="00FB68F8">
        <w:rPr>
          <w:rFonts w:ascii="Times New Roman" w:hAnsi="Times New Roman" w:cs="Times New Roman"/>
          <w:b/>
          <w:sz w:val="24"/>
          <w:szCs w:val="24"/>
        </w:rPr>
        <w:t xml:space="preserve"> </w:t>
      </w:r>
      <w:r w:rsidR="00392AE9" w:rsidRPr="00FB68F8">
        <w:rPr>
          <w:rFonts w:ascii="Times New Roman" w:hAnsi="Times New Roman" w:cs="Times New Roman"/>
          <w:b/>
          <w:sz w:val="24"/>
          <w:szCs w:val="24"/>
        </w:rPr>
        <w:t>AMPİRİK SONUÇLAR</w:t>
      </w:r>
      <w:bookmarkEnd w:id="8"/>
    </w:p>
    <w:p w:rsidR="002754FA" w:rsidRDefault="00FB68F8" w:rsidP="00A265E6">
      <w:pPr>
        <w:spacing w:after="120" w:line="240" w:lineRule="auto"/>
        <w:jc w:val="both"/>
        <w:rPr>
          <w:rFonts w:ascii="Times New Roman" w:hAnsi="Times New Roman" w:cs="Times New Roman"/>
          <w:sz w:val="24"/>
          <w:szCs w:val="24"/>
        </w:rPr>
      </w:pPr>
      <w:r w:rsidRPr="00FB68F8">
        <w:rPr>
          <w:rFonts w:ascii="Times New Roman" w:hAnsi="Times New Roman" w:cs="Times New Roman"/>
          <w:sz w:val="24"/>
          <w:szCs w:val="24"/>
        </w:rPr>
        <w:t xml:space="preserve">Ölçeğe göre değişken getiri varsayımı altında yıllar itibariyle bankaların teknik etkinlik durumları </w:t>
      </w:r>
      <w:r w:rsidR="00530B7C">
        <w:rPr>
          <w:rFonts w:ascii="Times New Roman" w:hAnsi="Times New Roman" w:cs="Times New Roman"/>
          <w:sz w:val="24"/>
          <w:szCs w:val="24"/>
        </w:rPr>
        <w:t>Çizelge</w:t>
      </w:r>
      <w:r w:rsidR="000D64F3">
        <w:rPr>
          <w:rFonts w:ascii="Times New Roman" w:hAnsi="Times New Roman" w:cs="Times New Roman"/>
          <w:sz w:val="24"/>
          <w:szCs w:val="24"/>
        </w:rPr>
        <w:t xml:space="preserve"> </w:t>
      </w:r>
      <w:r w:rsidRPr="00FB68F8">
        <w:rPr>
          <w:rFonts w:ascii="Times New Roman" w:hAnsi="Times New Roman" w:cs="Times New Roman"/>
          <w:sz w:val="24"/>
          <w:szCs w:val="24"/>
        </w:rPr>
        <w:t>2’de özetlenmiştir.</w:t>
      </w:r>
      <w:r w:rsidR="00546919">
        <w:rPr>
          <w:rFonts w:ascii="Times New Roman" w:hAnsi="Times New Roman" w:cs="Times New Roman"/>
          <w:sz w:val="24"/>
          <w:szCs w:val="24"/>
        </w:rPr>
        <w:t xml:space="preserve"> </w:t>
      </w:r>
    </w:p>
    <w:p w:rsidR="00A265E6" w:rsidRDefault="00A265E6" w:rsidP="00A265E6">
      <w:pPr>
        <w:spacing w:after="120" w:line="240" w:lineRule="auto"/>
        <w:jc w:val="both"/>
        <w:rPr>
          <w:rFonts w:ascii="Times New Roman" w:hAnsi="Times New Roman" w:cs="Times New Roman"/>
          <w:sz w:val="24"/>
          <w:szCs w:val="24"/>
        </w:rPr>
      </w:pPr>
    </w:p>
    <w:p w:rsidR="00EB5058" w:rsidRDefault="00EB5058" w:rsidP="00A265E6">
      <w:pPr>
        <w:spacing w:after="120" w:line="240" w:lineRule="auto"/>
        <w:jc w:val="both"/>
        <w:rPr>
          <w:rFonts w:ascii="Times New Roman" w:hAnsi="Times New Roman" w:cs="Times New Roman"/>
          <w:sz w:val="24"/>
          <w:szCs w:val="24"/>
        </w:rPr>
      </w:pPr>
    </w:p>
    <w:p w:rsidR="00EB5058" w:rsidRDefault="00EB5058" w:rsidP="00A265E6">
      <w:pPr>
        <w:spacing w:after="120" w:line="240" w:lineRule="auto"/>
        <w:jc w:val="both"/>
        <w:rPr>
          <w:rFonts w:ascii="Times New Roman" w:hAnsi="Times New Roman" w:cs="Times New Roman"/>
          <w:sz w:val="24"/>
          <w:szCs w:val="24"/>
        </w:rPr>
      </w:pPr>
    </w:p>
    <w:p w:rsidR="00EB5058" w:rsidRDefault="00EB5058" w:rsidP="00A265E6">
      <w:pPr>
        <w:spacing w:after="120" w:line="240" w:lineRule="auto"/>
        <w:jc w:val="both"/>
        <w:rPr>
          <w:rFonts w:ascii="Times New Roman" w:hAnsi="Times New Roman" w:cs="Times New Roman"/>
          <w:sz w:val="24"/>
          <w:szCs w:val="24"/>
        </w:rPr>
      </w:pPr>
    </w:p>
    <w:p w:rsidR="00EB5058" w:rsidRDefault="00EB5058" w:rsidP="00A265E6">
      <w:pPr>
        <w:spacing w:after="120" w:line="240" w:lineRule="auto"/>
        <w:jc w:val="both"/>
        <w:rPr>
          <w:rFonts w:ascii="Times New Roman" w:hAnsi="Times New Roman" w:cs="Times New Roman"/>
          <w:sz w:val="24"/>
          <w:szCs w:val="24"/>
        </w:rPr>
      </w:pPr>
    </w:p>
    <w:p w:rsidR="00EB5058" w:rsidRDefault="00EB5058" w:rsidP="00A265E6">
      <w:pPr>
        <w:spacing w:after="120" w:line="240" w:lineRule="auto"/>
        <w:jc w:val="both"/>
        <w:rPr>
          <w:rFonts w:ascii="Times New Roman" w:hAnsi="Times New Roman" w:cs="Times New Roman"/>
          <w:sz w:val="24"/>
          <w:szCs w:val="24"/>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0"/>
        <w:gridCol w:w="500"/>
        <w:gridCol w:w="500"/>
        <w:gridCol w:w="500"/>
        <w:gridCol w:w="500"/>
        <w:gridCol w:w="500"/>
        <w:gridCol w:w="500"/>
        <w:gridCol w:w="500"/>
        <w:gridCol w:w="500"/>
        <w:gridCol w:w="500"/>
        <w:gridCol w:w="500"/>
        <w:gridCol w:w="500"/>
        <w:gridCol w:w="500"/>
        <w:gridCol w:w="700"/>
        <w:gridCol w:w="793"/>
      </w:tblGrid>
      <w:tr w:rsidR="00B04374" w:rsidRPr="0081188D" w:rsidTr="00A74F5D">
        <w:trPr>
          <w:trHeight w:val="20"/>
          <w:jc w:val="center"/>
        </w:trPr>
        <w:tc>
          <w:tcPr>
            <w:tcW w:w="9993" w:type="dxa"/>
            <w:gridSpan w:val="15"/>
            <w:tcBorders>
              <w:top w:val="nil"/>
              <w:left w:val="nil"/>
              <w:bottom w:val="single" w:sz="4" w:space="0" w:color="auto"/>
              <w:right w:val="nil"/>
            </w:tcBorders>
            <w:shd w:val="clear" w:color="auto" w:fill="auto"/>
            <w:noWrap/>
            <w:vAlign w:val="center"/>
            <w:hideMark/>
          </w:tcPr>
          <w:p w:rsidR="00B04374" w:rsidRDefault="00AE1525" w:rsidP="00392AE9">
            <w:pPr>
              <w:pStyle w:val="AralkYok"/>
              <w:rPr>
                <w:rFonts w:ascii="Times New Roman" w:hAnsi="Times New Roman" w:cs="Times New Roman"/>
                <w:b/>
                <w:lang w:eastAsia="tr-TR"/>
              </w:rPr>
            </w:pPr>
            <w:r>
              <w:rPr>
                <w:rFonts w:ascii="Times New Roman" w:hAnsi="Times New Roman" w:cs="Times New Roman"/>
                <w:b/>
                <w:lang w:eastAsia="tr-TR"/>
              </w:rPr>
              <w:lastRenderedPageBreak/>
              <w:t>Çizelge</w:t>
            </w:r>
            <w:r w:rsidR="00457BCE">
              <w:rPr>
                <w:rFonts w:ascii="Times New Roman" w:hAnsi="Times New Roman" w:cs="Times New Roman"/>
                <w:b/>
                <w:lang w:eastAsia="tr-TR"/>
              </w:rPr>
              <w:t xml:space="preserve"> 2</w:t>
            </w:r>
            <w:r w:rsidR="00392AE9">
              <w:rPr>
                <w:rFonts w:ascii="Times New Roman" w:hAnsi="Times New Roman" w:cs="Times New Roman"/>
                <w:b/>
                <w:lang w:eastAsia="tr-TR"/>
              </w:rPr>
              <w:t>.</w:t>
            </w:r>
            <w:r w:rsidR="00B04374" w:rsidRPr="0081188D">
              <w:rPr>
                <w:rFonts w:ascii="Times New Roman" w:hAnsi="Times New Roman" w:cs="Times New Roman"/>
                <w:b/>
                <w:lang w:eastAsia="tr-TR"/>
              </w:rPr>
              <w:t xml:space="preserve"> Ölçeğe Göre Değişken Getiri Varsayımı Altında Yıllara Göre Bankaların Teknik Etkinlikleri</w:t>
            </w:r>
          </w:p>
          <w:p w:rsidR="0065652B" w:rsidRPr="0081188D" w:rsidRDefault="0065652B" w:rsidP="00392AE9">
            <w:pPr>
              <w:pStyle w:val="AralkYok"/>
              <w:rPr>
                <w:rFonts w:ascii="Times New Roman" w:hAnsi="Times New Roman" w:cs="Times New Roman"/>
                <w:b/>
                <w:lang w:eastAsia="tr-TR"/>
              </w:rPr>
            </w:pPr>
          </w:p>
        </w:tc>
      </w:tr>
      <w:tr w:rsidR="00B04374" w:rsidRPr="00D74083" w:rsidTr="00A74F5D">
        <w:trPr>
          <w:trHeight w:val="284"/>
          <w:jc w:val="center"/>
        </w:trPr>
        <w:tc>
          <w:tcPr>
            <w:tcW w:w="0" w:type="auto"/>
            <w:tcBorders>
              <w:top w:val="single" w:sz="4" w:space="0" w:color="auto"/>
            </w:tcBorders>
            <w:shd w:val="clear" w:color="auto" w:fill="auto"/>
            <w:noWrap/>
            <w:vAlign w:val="center"/>
            <w:hideMark/>
          </w:tcPr>
          <w:p w:rsidR="00B04374" w:rsidRPr="003D3375" w:rsidRDefault="00B04374" w:rsidP="00EB5058">
            <w:pPr>
              <w:pStyle w:val="AralkYok"/>
              <w:rPr>
                <w:rFonts w:ascii="Times New Roman" w:hAnsi="Times New Roman" w:cs="Times New Roman"/>
                <w:b/>
                <w:sz w:val="18"/>
                <w:szCs w:val="18"/>
                <w:lang w:eastAsia="tr-TR"/>
              </w:rPr>
            </w:pPr>
            <w:r w:rsidRPr="003D3375">
              <w:rPr>
                <w:rFonts w:ascii="Times New Roman" w:hAnsi="Times New Roman" w:cs="Times New Roman"/>
                <w:b/>
                <w:sz w:val="18"/>
                <w:szCs w:val="18"/>
                <w:lang w:eastAsia="tr-TR"/>
              </w:rPr>
              <w:t>Banka Adı</w:t>
            </w:r>
          </w:p>
        </w:tc>
        <w:tc>
          <w:tcPr>
            <w:tcW w:w="500" w:type="dxa"/>
            <w:tcBorders>
              <w:top w:val="single" w:sz="4" w:space="0" w:color="auto"/>
            </w:tcBorders>
            <w:shd w:val="clear" w:color="auto" w:fill="auto"/>
            <w:noWrap/>
            <w:vAlign w:val="center"/>
            <w:hideMark/>
          </w:tcPr>
          <w:p w:rsidR="00B04374" w:rsidRPr="003D3375" w:rsidRDefault="00B04374" w:rsidP="00EB5058">
            <w:pPr>
              <w:pStyle w:val="AralkYok"/>
              <w:jc w:val="center"/>
              <w:rPr>
                <w:rFonts w:ascii="Times New Roman" w:hAnsi="Times New Roman" w:cs="Times New Roman"/>
                <w:b/>
                <w:sz w:val="18"/>
                <w:szCs w:val="18"/>
                <w:lang w:eastAsia="tr-TR"/>
              </w:rPr>
            </w:pPr>
            <w:r w:rsidRPr="003D3375">
              <w:rPr>
                <w:rFonts w:ascii="Times New Roman" w:hAnsi="Times New Roman" w:cs="Times New Roman"/>
                <w:b/>
                <w:sz w:val="18"/>
                <w:szCs w:val="18"/>
                <w:lang w:eastAsia="tr-TR"/>
              </w:rPr>
              <w:t>2002</w:t>
            </w:r>
          </w:p>
        </w:tc>
        <w:tc>
          <w:tcPr>
            <w:tcW w:w="500" w:type="dxa"/>
            <w:tcBorders>
              <w:top w:val="single" w:sz="4" w:space="0" w:color="auto"/>
            </w:tcBorders>
            <w:shd w:val="clear" w:color="auto" w:fill="auto"/>
            <w:noWrap/>
            <w:vAlign w:val="center"/>
            <w:hideMark/>
          </w:tcPr>
          <w:p w:rsidR="00B04374" w:rsidRPr="003D3375" w:rsidRDefault="00B04374" w:rsidP="00EB5058">
            <w:pPr>
              <w:pStyle w:val="AralkYok"/>
              <w:jc w:val="center"/>
              <w:rPr>
                <w:rFonts w:ascii="Times New Roman" w:hAnsi="Times New Roman" w:cs="Times New Roman"/>
                <w:b/>
                <w:sz w:val="18"/>
                <w:szCs w:val="18"/>
                <w:lang w:eastAsia="tr-TR"/>
              </w:rPr>
            </w:pPr>
            <w:r w:rsidRPr="003D3375">
              <w:rPr>
                <w:rFonts w:ascii="Times New Roman" w:hAnsi="Times New Roman" w:cs="Times New Roman"/>
                <w:b/>
                <w:sz w:val="18"/>
                <w:szCs w:val="18"/>
                <w:lang w:eastAsia="tr-TR"/>
              </w:rPr>
              <w:t>2003</w:t>
            </w:r>
          </w:p>
        </w:tc>
        <w:tc>
          <w:tcPr>
            <w:tcW w:w="500" w:type="dxa"/>
            <w:tcBorders>
              <w:top w:val="single" w:sz="4" w:space="0" w:color="auto"/>
            </w:tcBorders>
            <w:shd w:val="clear" w:color="auto" w:fill="auto"/>
            <w:noWrap/>
            <w:vAlign w:val="center"/>
            <w:hideMark/>
          </w:tcPr>
          <w:p w:rsidR="00B04374" w:rsidRPr="003D3375" w:rsidRDefault="00B04374" w:rsidP="00EB5058">
            <w:pPr>
              <w:pStyle w:val="AralkYok"/>
              <w:jc w:val="center"/>
              <w:rPr>
                <w:rFonts w:ascii="Times New Roman" w:hAnsi="Times New Roman" w:cs="Times New Roman"/>
                <w:b/>
                <w:sz w:val="18"/>
                <w:szCs w:val="18"/>
                <w:lang w:eastAsia="tr-TR"/>
              </w:rPr>
            </w:pPr>
            <w:r w:rsidRPr="003D3375">
              <w:rPr>
                <w:rFonts w:ascii="Times New Roman" w:hAnsi="Times New Roman" w:cs="Times New Roman"/>
                <w:b/>
                <w:sz w:val="18"/>
                <w:szCs w:val="18"/>
                <w:lang w:eastAsia="tr-TR"/>
              </w:rPr>
              <w:t>2004</w:t>
            </w:r>
          </w:p>
        </w:tc>
        <w:tc>
          <w:tcPr>
            <w:tcW w:w="500" w:type="dxa"/>
            <w:tcBorders>
              <w:top w:val="single" w:sz="4" w:space="0" w:color="auto"/>
            </w:tcBorders>
            <w:shd w:val="clear" w:color="auto" w:fill="auto"/>
            <w:noWrap/>
            <w:vAlign w:val="center"/>
            <w:hideMark/>
          </w:tcPr>
          <w:p w:rsidR="00B04374" w:rsidRPr="003D3375" w:rsidRDefault="00B04374" w:rsidP="00EB5058">
            <w:pPr>
              <w:pStyle w:val="AralkYok"/>
              <w:jc w:val="center"/>
              <w:rPr>
                <w:rFonts w:ascii="Times New Roman" w:hAnsi="Times New Roman" w:cs="Times New Roman"/>
                <w:b/>
                <w:sz w:val="18"/>
                <w:szCs w:val="18"/>
                <w:lang w:eastAsia="tr-TR"/>
              </w:rPr>
            </w:pPr>
            <w:r w:rsidRPr="003D3375">
              <w:rPr>
                <w:rFonts w:ascii="Times New Roman" w:hAnsi="Times New Roman" w:cs="Times New Roman"/>
                <w:b/>
                <w:sz w:val="18"/>
                <w:szCs w:val="18"/>
                <w:lang w:eastAsia="tr-TR"/>
              </w:rPr>
              <w:t>2005</w:t>
            </w:r>
          </w:p>
        </w:tc>
        <w:tc>
          <w:tcPr>
            <w:tcW w:w="500" w:type="dxa"/>
            <w:tcBorders>
              <w:top w:val="single" w:sz="4" w:space="0" w:color="auto"/>
            </w:tcBorders>
            <w:shd w:val="clear" w:color="auto" w:fill="auto"/>
            <w:noWrap/>
            <w:vAlign w:val="center"/>
            <w:hideMark/>
          </w:tcPr>
          <w:p w:rsidR="00B04374" w:rsidRPr="003D3375" w:rsidRDefault="00B04374" w:rsidP="00EB5058">
            <w:pPr>
              <w:pStyle w:val="AralkYok"/>
              <w:jc w:val="center"/>
              <w:rPr>
                <w:rFonts w:ascii="Times New Roman" w:hAnsi="Times New Roman" w:cs="Times New Roman"/>
                <w:b/>
                <w:sz w:val="18"/>
                <w:szCs w:val="18"/>
                <w:lang w:eastAsia="tr-TR"/>
              </w:rPr>
            </w:pPr>
            <w:r w:rsidRPr="003D3375">
              <w:rPr>
                <w:rFonts w:ascii="Times New Roman" w:hAnsi="Times New Roman" w:cs="Times New Roman"/>
                <w:b/>
                <w:sz w:val="18"/>
                <w:szCs w:val="18"/>
                <w:lang w:eastAsia="tr-TR"/>
              </w:rPr>
              <w:t>2006</w:t>
            </w:r>
          </w:p>
        </w:tc>
        <w:tc>
          <w:tcPr>
            <w:tcW w:w="500" w:type="dxa"/>
            <w:tcBorders>
              <w:top w:val="single" w:sz="4" w:space="0" w:color="auto"/>
            </w:tcBorders>
            <w:shd w:val="clear" w:color="auto" w:fill="auto"/>
            <w:noWrap/>
            <w:vAlign w:val="center"/>
            <w:hideMark/>
          </w:tcPr>
          <w:p w:rsidR="00B04374" w:rsidRPr="003D3375" w:rsidRDefault="00B04374" w:rsidP="00EB5058">
            <w:pPr>
              <w:pStyle w:val="AralkYok"/>
              <w:jc w:val="center"/>
              <w:rPr>
                <w:rFonts w:ascii="Times New Roman" w:hAnsi="Times New Roman" w:cs="Times New Roman"/>
                <w:b/>
                <w:sz w:val="18"/>
                <w:szCs w:val="18"/>
                <w:lang w:eastAsia="tr-TR"/>
              </w:rPr>
            </w:pPr>
            <w:r w:rsidRPr="003D3375">
              <w:rPr>
                <w:rFonts w:ascii="Times New Roman" w:hAnsi="Times New Roman" w:cs="Times New Roman"/>
                <w:b/>
                <w:sz w:val="18"/>
                <w:szCs w:val="18"/>
                <w:lang w:eastAsia="tr-TR"/>
              </w:rPr>
              <w:t>2007</w:t>
            </w:r>
          </w:p>
        </w:tc>
        <w:tc>
          <w:tcPr>
            <w:tcW w:w="500" w:type="dxa"/>
            <w:tcBorders>
              <w:top w:val="single" w:sz="4" w:space="0" w:color="auto"/>
            </w:tcBorders>
            <w:shd w:val="clear" w:color="auto" w:fill="auto"/>
            <w:noWrap/>
            <w:vAlign w:val="center"/>
            <w:hideMark/>
          </w:tcPr>
          <w:p w:rsidR="00B04374" w:rsidRPr="003D3375" w:rsidRDefault="00B04374" w:rsidP="00EB5058">
            <w:pPr>
              <w:pStyle w:val="AralkYok"/>
              <w:jc w:val="center"/>
              <w:rPr>
                <w:rFonts w:ascii="Times New Roman" w:hAnsi="Times New Roman" w:cs="Times New Roman"/>
                <w:b/>
                <w:sz w:val="18"/>
                <w:szCs w:val="18"/>
                <w:lang w:eastAsia="tr-TR"/>
              </w:rPr>
            </w:pPr>
            <w:r w:rsidRPr="003D3375">
              <w:rPr>
                <w:rFonts w:ascii="Times New Roman" w:hAnsi="Times New Roman" w:cs="Times New Roman"/>
                <w:b/>
                <w:sz w:val="18"/>
                <w:szCs w:val="18"/>
                <w:lang w:eastAsia="tr-TR"/>
              </w:rPr>
              <w:t>2008</w:t>
            </w:r>
          </w:p>
        </w:tc>
        <w:tc>
          <w:tcPr>
            <w:tcW w:w="500" w:type="dxa"/>
            <w:tcBorders>
              <w:top w:val="single" w:sz="4" w:space="0" w:color="auto"/>
            </w:tcBorders>
            <w:shd w:val="clear" w:color="auto" w:fill="auto"/>
            <w:noWrap/>
            <w:vAlign w:val="center"/>
            <w:hideMark/>
          </w:tcPr>
          <w:p w:rsidR="00B04374" w:rsidRPr="003D3375" w:rsidRDefault="00B04374" w:rsidP="00EB5058">
            <w:pPr>
              <w:pStyle w:val="AralkYok"/>
              <w:jc w:val="center"/>
              <w:rPr>
                <w:rFonts w:ascii="Times New Roman" w:hAnsi="Times New Roman" w:cs="Times New Roman"/>
                <w:b/>
                <w:sz w:val="18"/>
                <w:szCs w:val="18"/>
                <w:lang w:eastAsia="tr-TR"/>
              </w:rPr>
            </w:pPr>
            <w:r w:rsidRPr="003D3375">
              <w:rPr>
                <w:rFonts w:ascii="Times New Roman" w:hAnsi="Times New Roman" w:cs="Times New Roman"/>
                <w:b/>
                <w:sz w:val="18"/>
                <w:szCs w:val="18"/>
                <w:lang w:eastAsia="tr-TR"/>
              </w:rPr>
              <w:t>2009</w:t>
            </w:r>
          </w:p>
        </w:tc>
        <w:tc>
          <w:tcPr>
            <w:tcW w:w="500" w:type="dxa"/>
            <w:tcBorders>
              <w:top w:val="single" w:sz="4" w:space="0" w:color="auto"/>
            </w:tcBorders>
            <w:shd w:val="clear" w:color="auto" w:fill="auto"/>
            <w:noWrap/>
            <w:vAlign w:val="center"/>
            <w:hideMark/>
          </w:tcPr>
          <w:p w:rsidR="00B04374" w:rsidRPr="003D3375" w:rsidRDefault="00B04374" w:rsidP="00EB5058">
            <w:pPr>
              <w:pStyle w:val="AralkYok"/>
              <w:jc w:val="center"/>
              <w:rPr>
                <w:rFonts w:ascii="Times New Roman" w:hAnsi="Times New Roman" w:cs="Times New Roman"/>
                <w:b/>
                <w:sz w:val="18"/>
                <w:szCs w:val="18"/>
                <w:lang w:eastAsia="tr-TR"/>
              </w:rPr>
            </w:pPr>
            <w:r w:rsidRPr="003D3375">
              <w:rPr>
                <w:rFonts w:ascii="Times New Roman" w:hAnsi="Times New Roman" w:cs="Times New Roman"/>
                <w:b/>
                <w:sz w:val="18"/>
                <w:szCs w:val="18"/>
                <w:lang w:eastAsia="tr-TR"/>
              </w:rPr>
              <w:t>2010</w:t>
            </w:r>
          </w:p>
        </w:tc>
        <w:tc>
          <w:tcPr>
            <w:tcW w:w="500" w:type="dxa"/>
            <w:tcBorders>
              <w:top w:val="single" w:sz="4" w:space="0" w:color="auto"/>
            </w:tcBorders>
            <w:shd w:val="clear" w:color="auto" w:fill="auto"/>
            <w:noWrap/>
            <w:vAlign w:val="center"/>
            <w:hideMark/>
          </w:tcPr>
          <w:p w:rsidR="00B04374" w:rsidRPr="003D3375" w:rsidRDefault="00B04374" w:rsidP="00EB5058">
            <w:pPr>
              <w:pStyle w:val="AralkYok"/>
              <w:jc w:val="center"/>
              <w:rPr>
                <w:rFonts w:ascii="Times New Roman" w:hAnsi="Times New Roman" w:cs="Times New Roman"/>
                <w:b/>
                <w:sz w:val="18"/>
                <w:szCs w:val="18"/>
                <w:lang w:eastAsia="tr-TR"/>
              </w:rPr>
            </w:pPr>
            <w:r w:rsidRPr="003D3375">
              <w:rPr>
                <w:rFonts w:ascii="Times New Roman" w:hAnsi="Times New Roman" w:cs="Times New Roman"/>
                <w:b/>
                <w:sz w:val="18"/>
                <w:szCs w:val="18"/>
                <w:lang w:eastAsia="tr-TR"/>
              </w:rPr>
              <w:t>2011</w:t>
            </w:r>
          </w:p>
        </w:tc>
        <w:tc>
          <w:tcPr>
            <w:tcW w:w="500" w:type="dxa"/>
            <w:tcBorders>
              <w:top w:val="single" w:sz="4" w:space="0" w:color="auto"/>
            </w:tcBorders>
            <w:shd w:val="clear" w:color="auto" w:fill="auto"/>
            <w:noWrap/>
            <w:vAlign w:val="center"/>
            <w:hideMark/>
          </w:tcPr>
          <w:p w:rsidR="00B04374" w:rsidRPr="003D3375" w:rsidRDefault="00B04374" w:rsidP="00EB5058">
            <w:pPr>
              <w:pStyle w:val="AralkYok"/>
              <w:jc w:val="center"/>
              <w:rPr>
                <w:rFonts w:ascii="Times New Roman" w:hAnsi="Times New Roman" w:cs="Times New Roman"/>
                <w:b/>
                <w:sz w:val="18"/>
                <w:szCs w:val="18"/>
                <w:lang w:eastAsia="tr-TR"/>
              </w:rPr>
            </w:pPr>
            <w:r w:rsidRPr="003D3375">
              <w:rPr>
                <w:rFonts w:ascii="Times New Roman" w:hAnsi="Times New Roman" w:cs="Times New Roman"/>
                <w:b/>
                <w:sz w:val="18"/>
                <w:szCs w:val="18"/>
                <w:lang w:eastAsia="tr-TR"/>
              </w:rPr>
              <w:t>2012</w:t>
            </w:r>
          </w:p>
        </w:tc>
        <w:tc>
          <w:tcPr>
            <w:tcW w:w="500" w:type="dxa"/>
            <w:tcBorders>
              <w:top w:val="single" w:sz="4" w:space="0" w:color="auto"/>
            </w:tcBorders>
            <w:shd w:val="clear" w:color="auto" w:fill="auto"/>
            <w:noWrap/>
            <w:vAlign w:val="center"/>
            <w:hideMark/>
          </w:tcPr>
          <w:p w:rsidR="00B04374" w:rsidRPr="003D3375" w:rsidRDefault="00B04374" w:rsidP="00EB5058">
            <w:pPr>
              <w:pStyle w:val="AralkYok"/>
              <w:jc w:val="center"/>
              <w:rPr>
                <w:rFonts w:ascii="Times New Roman" w:hAnsi="Times New Roman" w:cs="Times New Roman"/>
                <w:b/>
                <w:sz w:val="18"/>
                <w:szCs w:val="18"/>
                <w:lang w:eastAsia="tr-TR"/>
              </w:rPr>
            </w:pPr>
            <w:r w:rsidRPr="003D3375">
              <w:rPr>
                <w:rFonts w:ascii="Times New Roman" w:hAnsi="Times New Roman" w:cs="Times New Roman"/>
                <w:b/>
                <w:sz w:val="18"/>
                <w:szCs w:val="18"/>
                <w:lang w:eastAsia="tr-TR"/>
              </w:rPr>
              <w:t>2013</w:t>
            </w:r>
          </w:p>
        </w:tc>
        <w:tc>
          <w:tcPr>
            <w:tcW w:w="700" w:type="dxa"/>
            <w:tcBorders>
              <w:top w:val="single" w:sz="4" w:space="0" w:color="auto"/>
            </w:tcBorders>
            <w:shd w:val="clear" w:color="auto" w:fill="auto"/>
            <w:noWrap/>
            <w:vAlign w:val="center"/>
            <w:hideMark/>
          </w:tcPr>
          <w:p w:rsidR="00B04374" w:rsidRPr="003D3375" w:rsidRDefault="002636A1" w:rsidP="00EB5058">
            <w:pPr>
              <w:pStyle w:val="AralkYok"/>
              <w:jc w:val="center"/>
              <w:rPr>
                <w:rFonts w:ascii="Times New Roman" w:hAnsi="Times New Roman" w:cs="Times New Roman"/>
                <w:b/>
                <w:sz w:val="18"/>
                <w:szCs w:val="18"/>
                <w:lang w:eastAsia="tr-TR"/>
              </w:rPr>
            </w:pPr>
            <w:r w:rsidRPr="003D3375">
              <w:rPr>
                <w:rFonts w:ascii="Times New Roman" w:hAnsi="Times New Roman" w:cs="Times New Roman"/>
                <w:b/>
                <w:sz w:val="18"/>
                <w:szCs w:val="18"/>
                <w:lang w:eastAsia="tr-TR"/>
              </w:rPr>
              <w:t>Etkin Yıl Sayısı</w:t>
            </w:r>
          </w:p>
        </w:tc>
        <w:tc>
          <w:tcPr>
            <w:tcW w:w="793" w:type="dxa"/>
            <w:tcBorders>
              <w:top w:val="single" w:sz="4" w:space="0" w:color="auto"/>
            </w:tcBorders>
            <w:shd w:val="clear" w:color="auto" w:fill="auto"/>
            <w:noWrap/>
            <w:vAlign w:val="center"/>
            <w:hideMark/>
          </w:tcPr>
          <w:p w:rsidR="00B04374" w:rsidRPr="003D3375" w:rsidRDefault="00B04374" w:rsidP="00EB5058">
            <w:pPr>
              <w:pStyle w:val="AralkYok"/>
              <w:jc w:val="center"/>
              <w:rPr>
                <w:rFonts w:ascii="Times New Roman" w:hAnsi="Times New Roman" w:cs="Times New Roman"/>
                <w:b/>
                <w:sz w:val="18"/>
                <w:szCs w:val="18"/>
                <w:lang w:eastAsia="tr-TR"/>
              </w:rPr>
            </w:pPr>
            <w:r w:rsidRPr="003D3375">
              <w:rPr>
                <w:rFonts w:ascii="Times New Roman" w:hAnsi="Times New Roman" w:cs="Times New Roman"/>
                <w:b/>
                <w:sz w:val="18"/>
                <w:szCs w:val="18"/>
                <w:lang w:eastAsia="tr-TR"/>
              </w:rPr>
              <w:t>Yüzde</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Akbank T.A.Ş.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82</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B04374" w:rsidP="0065652B">
            <w:pPr>
              <w:autoSpaceDE w:val="0"/>
              <w:autoSpaceDN w:val="0"/>
              <w:adjustRightInd w:val="0"/>
              <w:spacing w:after="0" w:line="240" w:lineRule="auto"/>
              <w:jc w:val="right"/>
              <w:rPr>
                <w:rFonts w:ascii="Times New Roman" w:hAnsi="Times New Roman" w:cs="Times New Roman"/>
                <w:color w:val="000000"/>
                <w:sz w:val="18"/>
                <w:szCs w:val="18"/>
              </w:rPr>
            </w:pPr>
            <w:r w:rsidRPr="00B04374">
              <w:rPr>
                <w:rFonts w:ascii="Times New Roman" w:hAnsi="Times New Roman" w:cs="Times New Roman"/>
                <w:color w:val="000000"/>
                <w:sz w:val="18"/>
                <w:szCs w:val="18"/>
              </w:rPr>
              <w:t>1</w:t>
            </w:r>
            <w:r w:rsidR="0065652B">
              <w:rPr>
                <w:rFonts w:ascii="Times New Roman" w:hAnsi="Times New Roman" w:cs="Times New Roman"/>
                <w:color w:val="000000"/>
                <w:sz w:val="18"/>
                <w:szCs w:val="18"/>
              </w:rPr>
              <w:t>,</w:t>
            </w:r>
            <w:r w:rsidRPr="00B04374">
              <w:rPr>
                <w:rFonts w:ascii="Times New Roman" w:hAnsi="Times New Roman" w:cs="Times New Roman"/>
                <w:color w:val="000000"/>
                <w:sz w:val="18"/>
                <w:szCs w:val="18"/>
              </w:rPr>
              <w:t>00</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11</w:t>
            </w:r>
          </w:p>
        </w:tc>
        <w:tc>
          <w:tcPr>
            <w:tcW w:w="793" w:type="dxa"/>
            <w:shd w:val="clear" w:color="auto" w:fill="auto"/>
            <w:noWrap/>
            <w:vAlign w:val="center"/>
            <w:hideMark/>
          </w:tcPr>
          <w:p w:rsidR="00B04374" w:rsidRPr="00D74083" w:rsidRDefault="00B814D2"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91,</w:t>
            </w:r>
            <w:r w:rsidR="00B04374" w:rsidRPr="00D74083">
              <w:rPr>
                <w:rFonts w:ascii="Times New Roman" w:hAnsi="Times New Roman" w:cs="Times New Roman"/>
                <w:sz w:val="18"/>
                <w:szCs w:val="18"/>
                <w:lang w:eastAsia="tr-TR"/>
              </w:rPr>
              <w:t>7</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Alternatifbank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65</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84</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92</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94</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62</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97</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6</w:t>
            </w:r>
          </w:p>
        </w:tc>
        <w:tc>
          <w:tcPr>
            <w:tcW w:w="793" w:type="dxa"/>
            <w:shd w:val="clear" w:color="auto" w:fill="auto"/>
            <w:noWrap/>
            <w:vAlign w:val="center"/>
            <w:hideMark/>
          </w:tcPr>
          <w:p w:rsidR="00B04374" w:rsidRPr="00D74083" w:rsidRDefault="00B814D2"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50,</w:t>
            </w:r>
            <w:r w:rsidR="00B04374" w:rsidRPr="00D74083">
              <w:rPr>
                <w:rFonts w:ascii="Times New Roman" w:hAnsi="Times New Roman" w:cs="Times New Roman"/>
                <w:sz w:val="18"/>
                <w:szCs w:val="18"/>
                <w:lang w:eastAsia="tr-TR"/>
              </w:rPr>
              <w:t>0</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Anadolubank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76</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75</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78</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91</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87</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96</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91</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96</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94</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99</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96</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w:t>
            </w:r>
          </w:p>
        </w:tc>
        <w:tc>
          <w:tcPr>
            <w:tcW w:w="793" w:type="dxa"/>
            <w:shd w:val="clear" w:color="auto" w:fill="auto"/>
            <w:noWrap/>
            <w:vAlign w:val="center"/>
            <w:hideMark/>
          </w:tcPr>
          <w:p w:rsidR="00B04374" w:rsidRPr="00D74083" w:rsidRDefault="00E94C75"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8,</w:t>
            </w:r>
            <w:r w:rsidR="00B04374" w:rsidRPr="00D74083">
              <w:rPr>
                <w:rFonts w:ascii="Times New Roman" w:hAnsi="Times New Roman" w:cs="Times New Roman"/>
                <w:sz w:val="18"/>
                <w:szCs w:val="18"/>
                <w:lang w:eastAsia="tr-TR"/>
              </w:rPr>
              <w:t>3</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Arap Türk Bankası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39</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51</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10</w:t>
            </w:r>
          </w:p>
        </w:tc>
        <w:tc>
          <w:tcPr>
            <w:tcW w:w="793" w:type="dxa"/>
            <w:shd w:val="clear" w:color="auto" w:fill="auto"/>
            <w:noWrap/>
            <w:vAlign w:val="center"/>
            <w:hideMark/>
          </w:tcPr>
          <w:p w:rsidR="00B04374" w:rsidRPr="00D74083" w:rsidRDefault="00E94C75"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83,</w:t>
            </w:r>
            <w:r w:rsidR="00B04374" w:rsidRPr="00D74083">
              <w:rPr>
                <w:rFonts w:ascii="Times New Roman" w:hAnsi="Times New Roman" w:cs="Times New Roman"/>
                <w:sz w:val="18"/>
                <w:szCs w:val="18"/>
                <w:lang w:eastAsia="tr-TR"/>
              </w:rPr>
              <w:t>3</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Citibank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62</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82</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53</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60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57</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6</w:t>
            </w:r>
          </w:p>
        </w:tc>
        <w:tc>
          <w:tcPr>
            <w:tcW w:w="793" w:type="dxa"/>
            <w:shd w:val="clear" w:color="auto" w:fill="auto"/>
            <w:noWrap/>
            <w:vAlign w:val="center"/>
            <w:hideMark/>
          </w:tcPr>
          <w:p w:rsidR="00B04374" w:rsidRPr="00D74083" w:rsidRDefault="00B04374" w:rsidP="00E94C75">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50</w:t>
            </w:r>
            <w:r w:rsidR="00E94C75">
              <w:rPr>
                <w:rFonts w:ascii="Times New Roman" w:hAnsi="Times New Roman" w:cs="Times New Roman"/>
                <w:sz w:val="18"/>
                <w:szCs w:val="18"/>
                <w:lang w:eastAsia="tr-TR"/>
              </w:rPr>
              <w:t>,</w:t>
            </w:r>
            <w:r w:rsidRPr="00D74083">
              <w:rPr>
                <w:rFonts w:ascii="Times New Roman" w:hAnsi="Times New Roman" w:cs="Times New Roman"/>
                <w:sz w:val="18"/>
                <w:szCs w:val="18"/>
                <w:lang w:eastAsia="tr-TR"/>
              </w:rPr>
              <w:t>0</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Denizbank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65</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67</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77</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74</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81</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94</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99</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96</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93</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3</w:t>
            </w:r>
          </w:p>
        </w:tc>
        <w:tc>
          <w:tcPr>
            <w:tcW w:w="793" w:type="dxa"/>
            <w:shd w:val="clear" w:color="auto" w:fill="auto"/>
            <w:noWrap/>
            <w:vAlign w:val="center"/>
            <w:hideMark/>
          </w:tcPr>
          <w:p w:rsidR="00B04374" w:rsidRPr="00D74083" w:rsidRDefault="00E94C75"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25,</w:t>
            </w:r>
            <w:r w:rsidR="00B04374" w:rsidRPr="00D74083">
              <w:rPr>
                <w:rFonts w:ascii="Times New Roman" w:hAnsi="Times New Roman" w:cs="Times New Roman"/>
                <w:sz w:val="18"/>
                <w:szCs w:val="18"/>
                <w:lang w:eastAsia="tr-TR"/>
              </w:rPr>
              <w:t>0</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Finans Bank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B04374" w:rsidP="0065652B">
            <w:pPr>
              <w:autoSpaceDE w:val="0"/>
              <w:autoSpaceDN w:val="0"/>
              <w:adjustRightInd w:val="0"/>
              <w:spacing w:after="0" w:line="240" w:lineRule="auto"/>
              <w:jc w:val="right"/>
              <w:rPr>
                <w:rFonts w:ascii="Times New Roman" w:hAnsi="Times New Roman" w:cs="Times New Roman"/>
                <w:color w:val="000000"/>
                <w:sz w:val="18"/>
                <w:szCs w:val="18"/>
              </w:rPr>
            </w:pPr>
            <w:r w:rsidRPr="00B04374">
              <w:rPr>
                <w:rFonts w:ascii="Times New Roman" w:hAnsi="Times New Roman" w:cs="Times New Roman"/>
                <w:color w:val="000000"/>
                <w:sz w:val="18"/>
                <w:szCs w:val="18"/>
              </w:rPr>
              <w:t>1</w:t>
            </w:r>
            <w:r w:rsidR="0065652B">
              <w:rPr>
                <w:rFonts w:ascii="Times New Roman" w:hAnsi="Times New Roman" w:cs="Times New Roman"/>
                <w:color w:val="000000"/>
                <w:sz w:val="18"/>
                <w:szCs w:val="18"/>
              </w:rPr>
              <w:t>,</w:t>
            </w:r>
            <w:r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98</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11</w:t>
            </w:r>
          </w:p>
        </w:tc>
        <w:tc>
          <w:tcPr>
            <w:tcW w:w="793" w:type="dxa"/>
            <w:shd w:val="clear" w:color="auto" w:fill="auto"/>
            <w:noWrap/>
            <w:vAlign w:val="center"/>
            <w:hideMark/>
          </w:tcPr>
          <w:p w:rsidR="00B04374" w:rsidRPr="00D74083" w:rsidRDefault="00E94C75"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91,</w:t>
            </w:r>
            <w:r w:rsidR="00B04374" w:rsidRPr="00D74083">
              <w:rPr>
                <w:rFonts w:ascii="Times New Roman" w:hAnsi="Times New Roman" w:cs="Times New Roman"/>
                <w:sz w:val="18"/>
                <w:szCs w:val="18"/>
                <w:lang w:eastAsia="tr-TR"/>
              </w:rPr>
              <w:t>7</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Habib Bank Limited</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12</w:t>
            </w:r>
          </w:p>
        </w:tc>
        <w:tc>
          <w:tcPr>
            <w:tcW w:w="793" w:type="dxa"/>
            <w:shd w:val="clear" w:color="auto" w:fill="auto"/>
            <w:noWrap/>
            <w:vAlign w:val="center"/>
            <w:hideMark/>
          </w:tcPr>
          <w:p w:rsidR="00B04374" w:rsidRPr="00D74083" w:rsidRDefault="00E94C75"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100,</w:t>
            </w:r>
            <w:r w:rsidR="00B04374" w:rsidRPr="00D74083">
              <w:rPr>
                <w:rFonts w:ascii="Times New Roman" w:hAnsi="Times New Roman" w:cs="Times New Roman"/>
                <w:sz w:val="18"/>
                <w:szCs w:val="18"/>
                <w:lang w:eastAsia="tr-TR"/>
              </w:rPr>
              <w:t>0</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HSBC Bank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85</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84</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91</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77</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8</w:t>
            </w:r>
          </w:p>
        </w:tc>
        <w:tc>
          <w:tcPr>
            <w:tcW w:w="793" w:type="dxa"/>
            <w:shd w:val="clear" w:color="auto" w:fill="auto"/>
            <w:noWrap/>
            <w:vAlign w:val="center"/>
            <w:hideMark/>
          </w:tcPr>
          <w:p w:rsidR="00B04374" w:rsidRPr="00D74083" w:rsidRDefault="00E94C75"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66,</w:t>
            </w:r>
            <w:r w:rsidR="00B04374" w:rsidRPr="00D74083">
              <w:rPr>
                <w:rFonts w:ascii="Times New Roman" w:hAnsi="Times New Roman" w:cs="Times New Roman"/>
                <w:sz w:val="18"/>
                <w:szCs w:val="18"/>
                <w:lang w:eastAsia="tr-TR"/>
              </w:rPr>
              <w:t>7</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ING Bank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98</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95</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9</w:t>
            </w:r>
          </w:p>
        </w:tc>
        <w:tc>
          <w:tcPr>
            <w:tcW w:w="793" w:type="dxa"/>
            <w:shd w:val="clear" w:color="auto" w:fill="auto"/>
            <w:noWrap/>
            <w:vAlign w:val="center"/>
            <w:hideMark/>
          </w:tcPr>
          <w:p w:rsidR="00B04374" w:rsidRPr="00D74083" w:rsidRDefault="00E94C75"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75,</w:t>
            </w:r>
            <w:r w:rsidR="00B04374" w:rsidRPr="00D74083">
              <w:rPr>
                <w:rFonts w:ascii="Times New Roman" w:hAnsi="Times New Roman" w:cs="Times New Roman"/>
                <w:sz w:val="18"/>
                <w:szCs w:val="18"/>
                <w:lang w:eastAsia="tr-TR"/>
              </w:rPr>
              <w:t>0</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Şekerbank T.A.Ş.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88</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72</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66</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83</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98</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92</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93</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96</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95</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2</w:t>
            </w:r>
          </w:p>
        </w:tc>
        <w:tc>
          <w:tcPr>
            <w:tcW w:w="793" w:type="dxa"/>
            <w:shd w:val="clear" w:color="auto" w:fill="auto"/>
            <w:noWrap/>
            <w:vAlign w:val="center"/>
            <w:hideMark/>
          </w:tcPr>
          <w:p w:rsidR="00B04374" w:rsidRPr="00D74083" w:rsidRDefault="00E94C75"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16,</w:t>
            </w:r>
            <w:r w:rsidR="00B04374" w:rsidRPr="00D74083">
              <w:rPr>
                <w:rFonts w:ascii="Times New Roman" w:hAnsi="Times New Roman" w:cs="Times New Roman"/>
                <w:sz w:val="18"/>
                <w:szCs w:val="18"/>
                <w:lang w:eastAsia="tr-TR"/>
              </w:rPr>
              <w:t>7</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Tekstil Bankası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74</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92</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93</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93</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85</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6</w:t>
            </w:r>
          </w:p>
        </w:tc>
        <w:tc>
          <w:tcPr>
            <w:tcW w:w="793" w:type="dxa"/>
            <w:shd w:val="clear" w:color="auto" w:fill="auto"/>
            <w:noWrap/>
            <w:vAlign w:val="center"/>
            <w:hideMark/>
          </w:tcPr>
          <w:p w:rsidR="00B04374" w:rsidRPr="00D74083" w:rsidRDefault="00E94C75"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50,</w:t>
            </w:r>
            <w:r w:rsidR="00B04374" w:rsidRPr="00D74083">
              <w:rPr>
                <w:rFonts w:ascii="Times New Roman" w:hAnsi="Times New Roman" w:cs="Times New Roman"/>
                <w:sz w:val="18"/>
                <w:szCs w:val="18"/>
                <w:lang w:eastAsia="tr-TR"/>
              </w:rPr>
              <w:t>0</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Turkish Bank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29</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39</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47</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41</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45</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36</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53</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45</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60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67</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2</w:t>
            </w:r>
          </w:p>
        </w:tc>
        <w:tc>
          <w:tcPr>
            <w:tcW w:w="793" w:type="dxa"/>
            <w:shd w:val="clear" w:color="auto" w:fill="auto"/>
            <w:noWrap/>
            <w:vAlign w:val="center"/>
            <w:hideMark/>
          </w:tcPr>
          <w:p w:rsidR="00B04374" w:rsidRPr="00D74083" w:rsidRDefault="00CF3F6C"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16,</w:t>
            </w:r>
            <w:r w:rsidR="00B04374" w:rsidRPr="00D74083">
              <w:rPr>
                <w:rFonts w:ascii="Times New Roman" w:hAnsi="Times New Roman" w:cs="Times New Roman"/>
                <w:sz w:val="18"/>
                <w:szCs w:val="18"/>
                <w:lang w:eastAsia="tr-TR"/>
              </w:rPr>
              <w:t>7</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Turkland Bank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70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77</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99</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94</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92</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7</w:t>
            </w:r>
          </w:p>
        </w:tc>
        <w:tc>
          <w:tcPr>
            <w:tcW w:w="793" w:type="dxa"/>
            <w:shd w:val="clear" w:color="auto" w:fill="auto"/>
            <w:noWrap/>
            <w:vAlign w:val="center"/>
            <w:hideMark/>
          </w:tcPr>
          <w:p w:rsidR="00B04374" w:rsidRPr="00D74083" w:rsidRDefault="006C641F"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58,</w:t>
            </w:r>
            <w:r w:rsidR="00B04374" w:rsidRPr="00D74083">
              <w:rPr>
                <w:rFonts w:ascii="Times New Roman" w:hAnsi="Times New Roman" w:cs="Times New Roman"/>
                <w:sz w:val="18"/>
                <w:szCs w:val="18"/>
                <w:lang w:eastAsia="tr-TR"/>
              </w:rPr>
              <w:t>3</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Türk Ekonomi Bankası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69</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72</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67</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79</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86</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85</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81</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83</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89</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98</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2</w:t>
            </w:r>
          </w:p>
        </w:tc>
        <w:tc>
          <w:tcPr>
            <w:tcW w:w="793" w:type="dxa"/>
            <w:shd w:val="clear" w:color="auto" w:fill="auto"/>
            <w:noWrap/>
            <w:vAlign w:val="center"/>
            <w:hideMark/>
          </w:tcPr>
          <w:p w:rsidR="00B04374" w:rsidRPr="00D74083" w:rsidRDefault="006C641F"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16,</w:t>
            </w:r>
            <w:r w:rsidR="00B04374" w:rsidRPr="00D74083">
              <w:rPr>
                <w:rFonts w:ascii="Times New Roman" w:hAnsi="Times New Roman" w:cs="Times New Roman"/>
                <w:sz w:val="18"/>
                <w:szCs w:val="18"/>
                <w:lang w:eastAsia="tr-TR"/>
              </w:rPr>
              <w:t>7</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T</w:t>
            </w:r>
            <w:r>
              <w:rPr>
                <w:rFonts w:ascii="Times New Roman" w:hAnsi="Times New Roman" w:cs="Times New Roman"/>
                <w:sz w:val="18"/>
                <w:szCs w:val="18"/>
                <w:lang w:eastAsia="tr-TR"/>
              </w:rPr>
              <w:t xml:space="preserve">. </w:t>
            </w:r>
            <w:r w:rsidRPr="00D74083">
              <w:rPr>
                <w:rFonts w:ascii="Times New Roman" w:hAnsi="Times New Roman" w:cs="Times New Roman"/>
                <w:sz w:val="18"/>
                <w:szCs w:val="18"/>
                <w:lang w:eastAsia="tr-TR"/>
              </w:rPr>
              <w:t>C</w:t>
            </w:r>
            <w:r>
              <w:rPr>
                <w:rFonts w:ascii="Times New Roman" w:hAnsi="Times New Roman" w:cs="Times New Roman"/>
                <w:sz w:val="18"/>
                <w:szCs w:val="18"/>
                <w:lang w:eastAsia="tr-TR"/>
              </w:rPr>
              <w:t xml:space="preserve">. </w:t>
            </w:r>
            <w:r w:rsidRPr="00D74083">
              <w:rPr>
                <w:rFonts w:ascii="Times New Roman" w:hAnsi="Times New Roman" w:cs="Times New Roman"/>
                <w:sz w:val="18"/>
                <w:szCs w:val="18"/>
                <w:lang w:eastAsia="tr-TR"/>
              </w:rPr>
              <w:t>Ziraat Bankası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12</w:t>
            </w:r>
          </w:p>
        </w:tc>
        <w:tc>
          <w:tcPr>
            <w:tcW w:w="793" w:type="dxa"/>
            <w:shd w:val="clear" w:color="auto" w:fill="auto"/>
            <w:noWrap/>
            <w:vAlign w:val="center"/>
            <w:hideMark/>
          </w:tcPr>
          <w:p w:rsidR="00B04374" w:rsidRPr="00D74083" w:rsidRDefault="006C641F"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100,</w:t>
            </w:r>
            <w:r w:rsidR="00B04374" w:rsidRPr="00D74083">
              <w:rPr>
                <w:rFonts w:ascii="Times New Roman" w:hAnsi="Times New Roman" w:cs="Times New Roman"/>
                <w:sz w:val="18"/>
                <w:szCs w:val="18"/>
                <w:lang w:eastAsia="tr-TR"/>
              </w:rPr>
              <w:t>0</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Türkiye Garanti Bankası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97</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97</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98</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99</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95</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92</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5</w:t>
            </w:r>
          </w:p>
        </w:tc>
        <w:tc>
          <w:tcPr>
            <w:tcW w:w="793" w:type="dxa"/>
            <w:shd w:val="clear" w:color="auto" w:fill="auto"/>
            <w:noWrap/>
            <w:vAlign w:val="center"/>
            <w:hideMark/>
          </w:tcPr>
          <w:p w:rsidR="00B04374" w:rsidRPr="00D74083" w:rsidRDefault="006C641F"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41,</w:t>
            </w:r>
            <w:r w:rsidR="00B04374" w:rsidRPr="00D74083">
              <w:rPr>
                <w:rFonts w:ascii="Times New Roman" w:hAnsi="Times New Roman" w:cs="Times New Roman"/>
                <w:sz w:val="18"/>
                <w:szCs w:val="18"/>
                <w:lang w:eastAsia="tr-TR"/>
              </w:rPr>
              <w:t>7</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Türkiye Halk Bankası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99</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11</w:t>
            </w:r>
          </w:p>
        </w:tc>
        <w:tc>
          <w:tcPr>
            <w:tcW w:w="793" w:type="dxa"/>
            <w:shd w:val="clear" w:color="auto" w:fill="auto"/>
            <w:noWrap/>
            <w:vAlign w:val="center"/>
            <w:hideMark/>
          </w:tcPr>
          <w:p w:rsidR="00B04374" w:rsidRPr="00D74083" w:rsidRDefault="006C641F"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91,</w:t>
            </w:r>
            <w:r w:rsidR="00B04374" w:rsidRPr="00D74083">
              <w:rPr>
                <w:rFonts w:ascii="Times New Roman" w:hAnsi="Times New Roman" w:cs="Times New Roman"/>
                <w:sz w:val="18"/>
                <w:szCs w:val="18"/>
                <w:lang w:eastAsia="tr-TR"/>
              </w:rPr>
              <w:t>7</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Türkiye İş Bankası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12</w:t>
            </w:r>
          </w:p>
        </w:tc>
        <w:tc>
          <w:tcPr>
            <w:tcW w:w="793" w:type="dxa"/>
            <w:shd w:val="clear" w:color="auto" w:fill="auto"/>
            <w:noWrap/>
            <w:vAlign w:val="center"/>
            <w:hideMark/>
          </w:tcPr>
          <w:p w:rsidR="00B04374" w:rsidRPr="00D74083" w:rsidRDefault="006C641F"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100,</w:t>
            </w:r>
            <w:r w:rsidR="00B04374" w:rsidRPr="00D74083">
              <w:rPr>
                <w:rFonts w:ascii="Times New Roman" w:hAnsi="Times New Roman" w:cs="Times New Roman"/>
                <w:sz w:val="18"/>
                <w:szCs w:val="18"/>
                <w:lang w:eastAsia="tr-TR"/>
              </w:rPr>
              <w:t>0</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Türkiye Vakıflar Bankası T.A.Ş.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65</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66</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81</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96</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96</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96</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92</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95</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99</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95</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2</w:t>
            </w:r>
          </w:p>
        </w:tc>
        <w:tc>
          <w:tcPr>
            <w:tcW w:w="793" w:type="dxa"/>
            <w:shd w:val="clear" w:color="auto" w:fill="auto"/>
            <w:noWrap/>
            <w:vAlign w:val="center"/>
            <w:hideMark/>
          </w:tcPr>
          <w:p w:rsidR="00B04374" w:rsidRPr="00D74083" w:rsidRDefault="006C641F"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16,</w:t>
            </w:r>
            <w:r w:rsidR="00B04374" w:rsidRPr="00D74083">
              <w:rPr>
                <w:rFonts w:ascii="Times New Roman" w:hAnsi="Times New Roman" w:cs="Times New Roman"/>
                <w:sz w:val="18"/>
                <w:szCs w:val="18"/>
                <w:lang w:eastAsia="tr-TR"/>
              </w:rPr>
              <w:t>7</w:t>
            </w:r>
          </w:p>
        </w:tc>
      </w:tr>
      <w:tr w:rsidR="00B04374" w:rsidRPr="00D74083" w:rsidTr="00A74F5D">
        <w:trPr>
          <w:trHeight w:val="284"/>
          <w:jc w:val="center"/>
        </w:trPr>
        <w:tc>
          <w:tcPr>
            <w:tcW w:w="0" w:type="auto"/>
            <w:shd w:val="clear" w:color="auto" w:fill="auto"/>
            <w:noWrap/>
            <w:vAlign w:val="bottom"/>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Yapı ve Kredi Bankası A.Ş.</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r w:rsidR="00B04374" w:rsidRPr="00B04374">
              <w:rPr>
                <w:rFonts w:ascii="Times New Roman" w:hAnsi="Times New Roman" w:cs="Times New Roman"/>
                <w:color w:val="000000"/>
                <w:sz w:val="18"/>
                <w:szCs w:val="18"/>
              </w:rPr>
              <w:t>99</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500" w:type="dxa"/>
            <w:shd w:val="clear" w:color="auto" w:fill="auto"/>
            <w:noWrap/>
            <w:vAlign w:val="center"/>
            <w:hideMark/>
          </w:tcPr>
          <w:p w:rsidR="00B04374" w:rsidRPr="00B04374" w:rsidRDefault="0065652B" w:rsidP="00EB5058">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B04374" w:rsidRPr="00B04374">
              <w:rPr>
                <w:rFonts w:ascii="Times New Roman" w:hAnsi="Times New Roman" w:cs="Times New Roman"/>
                <w:color w:val="000000"/>
                <w:sz w:val="18"/>
                <w:szCs w:val="18"/>
              </w:rPr>
              <w:t>00</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11</w:t>
            </w:r>
          </w:p>
        </w:tc>
        <w:tc>
          <w:tcPr>
            <w:tcW w:w="793" w:type="dxa"/>
            <w:shd w:val="clear" w:color="auto" w:fill="auto"/>
            <w:noWrap/>
            <w:vAlign w:val="center"/>
            <w:hideMark/>
          </w:tcPr>
          <w:p w:rsidR="00B04374" w:rsidRPr="00D74083" w:rsidRDefault="006C641F"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91,</w:t>
            </w:r>
            <w:r w:rsidR="00B04374" w:rsidRPr="00D74083">
              <w:rPr>
                <w:rFonts w:ascii="Times New Roman" w:hAnsi="Times New Roman" w:cs="Times New Roman"/>
                <w:sz w:val="18"/>
                <w:szCs w:val="18"/>
                <w:lang w:eastAsia="tr-TR"/>
              </w:rPr>
              <w:t>7</w:t>
            </w:r>
          </w:p>
        </w:tc>
      </w:tr>
      <w:tr w:rsidR="00B04374" w:rsidRPr="00D74083" w:rsidTr="00A74F5D">
        <w:trPr>
          <w:trHeight w:val="284"/>
          <w:jc w:val="center"/>
        </w:trPr>
        <w:tc>
          <w:tcPr>
            <w:tcW w:w="0" w:type="auto"/>
            <w:shd w:val="clear" w:color="auto" w:fill="auto"/>
            <w:noWrap/>
            <w:vAlign w:val="center"/>
            <w:hideMark/>
          </w:tcPr>
          <w:p w:rsidR="00B04374" w:rsidRPr="00D74083" w:rsidRDefault="002636A1" w:rsidP="00EB5058">
            <w:pPr>
              <w:pStyle w:val="AralkYok"/>
              <w:rPr>
                <w:rFonts w:ascii="Times New Roman" w:hAnsi="Times New Roman" w:cs="Times New Roman"/>
                <w:sz w:val="18"/>
                <w:szCs w:val="18"/>
                <w:lang w:eastAsia="tr-TR"/>
              </w:rPr>
            </w:pPr>
            <w:r>
              <w:rPr>
                <w:rFonts w:ascii="Times New Roman" w:hAnsi="Times New Roman" w:cs="Times New Roman"/>
                <w:sz w:val="18"/>
                <w:szCs w:val="18"/>
                <w:lang w:eastAsia="tr-TR"/>
              </w:rPr>
              <w:t xml:space="preserve">Etkin Banka Sayısı </w:t>
            </w:r>
          </w:p>
        </w:tc>
        <w:tc>
          <w:tcPr>
            <w:tcW w:w="5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11</w:t>
            </w:r>
          </w:p>
        </w:tc>
        <w:tc>
          <w:tcPr>
            <w:tcW w:w="5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12</w:t>
            </w:r>
          </w:p>
        </w:tc>
        <w:tc>
          <w:tcPr>
            <w:tcW w:w="5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8</w:t>
            </w:r>
          </w:p>
        </w:tc>
        <w:tc>
          <w:tcPr>
            <w:tcW w:w="5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13</w:t>
            </w:r>
          </w:p>
        </w:tc>
        <w:tc>
          <w:tcPr>
            <w:tcW w:w="5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13</w:t>
            </w:r>
          </w:p>
        </w:tc>
        <w:tc>
          <w:tcPr>
            <w:tcW w:w="5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13</w:t>
            </w:r>
          </w:p>
        </w:tc>
        <w:tc>
          <w:tcPr>
            <w:tcW w:w="5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13</w:t>
            </w:r>
          </w:p>
        </w:tc>
        <w:tc>
          <w:tcPr>
            <w:tcW w:w="5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15</w:t>
            </w:r>
          </w:p>
        </w:tc>
        <w:tc>
          <w:tcPr>
            <w:tcW w:w="5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13</w:t>
            </w:r>
          </w:p>
        </w:tc>
        <w:tc>
          <w:tcPr>
            <w:tcW w:w="5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13</w:t>
            </w:r>
          </w:p>
        </w:tc>
        <w:tc>
          <w:tcPr>
            <w:tcW w:w="5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11</w:t>
            </w:r>
          </w:p>
        </w:tc>
        <w:tc>
          <w:tcPr>
            <w:tcW w:w="5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14</w:t>
            </w:r>
          </w:p>
        </w:tc>
        <w:tc>
          <w:tcPr>
            <w:tcW w:w="700"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p>
        </w:tc>
        <w:tc>
          <w:tcPr>
            <w:tcW w:w="793" w:type="dxa"/>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p>
        </w:tc>
      </w:tr>
      <w:tr w:rsidR="00B04374" w:rsidRPr="00D74083" w:rsidTr="00A74F5D">
        <w:trPr>
          <w:trHeight w:val="284"/>
          <w:jc w:val="center"/>
        </w:trPr>
        <w:tc>
          <w:tcPr>
            <w:tcW w:w="0" w:type="auto"/>
            <w:tcBorders>
              <w:bottom w:val="single" w:sz="4" w:space="0" w:color="auto"/>
            </w:tcBorders>
            <w:shd w:val="clear" w:color="auto" w:fill="auto"/>
            <w:noWrap/>
            <w:vAlign w:val="center"/>
            <w:hideMark/>
          </w:tcPr>
          <w:p w:rsidR="00B04374" w:rsidRPr="00D74083" w:rsidRDefault="00B04374" w:rsidP="00EB5058">
            <w:pPr>
              <w:pStyle w:val="AralkYok"/>
              <w:rPr>
                <w:rFonts w:ascii="Times New Roman" w:hAnsi="Times New Roman" w:cs="Times New Roman"/>
                <w:sz w:val="18"/>
                <w:szCs w:val="18"/>
                <w:lang w:eastAsia="tr-TR"/>
              </w:rPr>
            </w:pPr>
            <w:r w:rsidRPr="00D74083">
              <w:rPr>
                <w:rFonts w:ascii="Times New Roman" w:hAnsi="Times New Roman" w:cs="Times New Roman"/>
                <w:sz w:val="18"/>
                <w:szCs w:val="18"/>
                <w:lang w:eastAsia="tr-TR"/>
              </w:rPr>
              <w:t>Yüzde</w:t>
            </w:r>
          </w:p>
        </w:tc>
        <w:tc>
          <w:tcPr>
            <w:tcW w:w="500" w:type="dxa"/>
            <w:tcBorders>
              <w:bottom w:val="single" w:sz="4" w:space="0" w:color="auto"/>
            </w:tcBorders>
            <w:shd w:val="clear" w:color="auto" w:fill="auto"/>
            <w:noWrap/>
            <w:vAlign w:val="center"/>
            <w:hideMark/>
          </w:tcPr>
          <w:p w:rsidR="00B04374" w:rsidRPr="00D74083" w:rsidRDefault="00B04374" w:rsidP="0065652B">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52</w:t>
            </w:r>
            <w:r w:rsidR="0065652B">
              <w:rPr>
                <w:rFonts w:ascii="Times New Roman" w:hAnsi="Times New Roman" w:cs="Times New Roman"/>
                <w:sz w:val="18"/>
                <w:szCs w:val="18"/>
                <w:lang w:eastAsia="tr-TR"/>
              </w:rPr>
              <w:t>,</w:t>
            </w:r>
            <w:r w:rsidRPr="00D74083">
              <w:rPr>
                <w:rFonts w:ascii="Times New Roman" w:hAnsi="Times New Roman" w:cs="Times New Roman"/>
                <w:sz w:val="18"/>
                <w:szCs w:val="18"/>
                <w:lang w:eastAsia="tr-TR"/>
              </w:rPr>
              <w:t>4</w:t>
            </w:r>
          </w:p>
        </w:tc>
        <w:tc>
          <w:tcPr>
            <w:tcW w:w="500" w:type="dxa"/>
            <w:tcBorders>
              <w:bottom w:val="single" w:sz="4" w:space="0" w:color="auto"/>
            </w:tcBorders>
            <w:shd w:val="clear" w:color="auto" w:fill="auto"/>
            <w:noWrap/>
            <w:vAlign w:val="center"/>
            <w:hideMark/>
          </w:tcPr>
          <w:p w:rsidR="00B04374" w:rsidRPr="00D74083" w:rsidRDefault="00B04374" w:rsidP="0065652B">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57</w:t>
            </w:r>
            <w:r w:rsidR="0065652B">
              <w:rPr>
                <w:rFonts w:ascii="Times New Roman" w:hAnsi="Times New Roman" w:cs="Times New Roman"/>
                <w:sz w:val="18"/>
                <w:szCs w:val="18"/>
                <w:lang w:eastAsia="tr-TR"/>
              </w:rPr>
              <w:t>,</w:t>
            </w:r>
            <w:r w:rsidRPr="00D74083">
              <w:rPr>
                <w:rFonts w:ascii="Times New Roman" w:hAnsi="Times New Roman" w:cs="Times New Roman"/>
                <w:sz w:val="18"/>
                <w:szCs w:val="18"/>
                <w:lang w:eastAsia="tr-TR"/>
              </w:rPr>
              <w:t>1</w:t>
            </w:r>
          </w:p>
        </w:tc>
        <w:tc>
          <w:tcPr>
            <w:tcW w:w="500" w:type="dxa"/>
            <w:tcBorders>
              <w:bottom w:val="single" w:sz="4" w:space="0" w:color="auto"/>
            </w:tcBorders>
            <w:shd w:val="clear" w:color="auto" w:fill="auto"/>
            <w:noWrap/>
            <w:vAlign w:val="center"/>
            <w:hideMark/>
          </w:tcPr>
          <w:p w:rsidR="00B04374" w:rsidRPr="00D74083" w:rsidRDefault="00B04374" w:rsidP="0065652B">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38</w:t>
            </w:r>
            <w:r w:rsidR="0065652B">
              <w:rPr>
                <w:rFonts w:ascii="Times New Roman" w:hAnsi="Times New Roman" w:cs="Times New Roman"/>
                <w:sz w:val="18"/>
                <w:szCs w:val="18"/>
                <w:lang w:eastAsia="tr-TR"/>
              </w:rPr>
              <w:t>,</w:t>
            </w:r>
            <w:r w:rsidRPr="00D74083">
              <w:rPr>
                <w:rFonts w:ascii="Times New Roman" w:hAnsi="Times New Roman" w:cs="Times New Roman"/>
                <w:sz w:val="18"/>
                <w:szCs w:val="18"/>
                <w:lang w:eastAsia="tr-TR"/>
              </w:rPr>
              <w:t>1</w:t>
            </w:r>
          </w:p>
        </w:tc>
        <w:tc>
          <w:tcPr>
            <w:tcW w:w="500" w:type="dxa"/>
            <w:tcBorders>
              <w:bottom w:val="single" w:sz="4" w:space="0" w:color="auto"/>
            </w:tcBorders>
            <w:shd w:val="clear" w:color="auto" w:fill="auto"/>
            <w:noWrap/>
            <w:vAlign w:val="center"/>
            <w:hideMark/>
          </w:tcPr>
          <w:p w:rsidR="00B04374" w:rsidRPr="00D74083" w:rsidRDefault="00B04374" w:rsidP="0065652B">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61</w:t>
            </w:r>
            <w:r w:rsidR="0065652B">
              <w:rPr>
                <w:rFonts w:ascii="Times New Roman" w:hAnsi="Times New Roman" w:cs="Times New Roman"/>
                <w:sz w:val="18"/>
                <w:szCs w:val="18"/>
                <w:lang w:eastAsia="tr-TR"/>
              </w:rPr>
              <w:t>,</w:t>
            </w:r>
            <w:r w:rsidRPr="00D74083">
              <w:rPr>
                <w:rFonts w:ascii="Times New Roman" w:hAnsi="Times New Roman" w:cs="Times New Roman"/>
                <w:sz w:val="18"/>
                <w:szCs w:val="18"/>
                <w:lang w:eastAsia="tr-TR"/>
              </w:rPr>
              <w:t>9</w:t>
            </w:r>
          </w:p>
        </w:tc>
        <w:tc>
          <w:tcPr>
            <w:tcW w:w="500" w:type="dxa"/>
            <w:tcBorders>
              <w:bottom w:val="single" w:sz="4" w:space="0" w:color="auto"/>
            </w:tcBorders>
            <w:shd w:val="clear" w:color="auto" w:fill="auto"/>
            <w:noWrap/>
            <w:vAlign w:val="center"/>
            <w:hideMark/>
          </w:tcPr>
          <w:p w:rsidR="00B04374" w:rsidRPr="00D74083" w:rsidRDefault="00B04374" w:rsidP="0065652B">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61</w:t>
            </w:r>
            <w:r w:rsidR="0065652B">
              <w:rPr>
                <w:rFonts w:ascii="Times New Roman" w:hAnsi="Times New Roman" w:cs="Times New Roman"/>
                <w:sz w:val="18"/>
                <w:szCs w:val="18"/>
                <w:lang w:eastAsia="tr-TR"/>
              </w:rPr>
              <w:t>,</w:t>
            </w:r>
            <w:r w:rsidRPr="00D74083">
              <w:rPr>
                <w:rFonts w:ascii="Times New Roman" w:hAnsi="Times New Roman" w:cs="Times New Roman"/>
                <w:sz w:val="18"/>
                <w:szCs w:val="18"/>
                <w:lang w:eastAsia="tr-TR"/>
              </w:rPr>
              <w:t>9</w:t>
            </w:r>
          </w:p>
        </w:tc>
        <w:tc>
          <w:tcPr>
            <w:tcW w:w="500" w:type="dxa"/>
            <w:tcBorders>
              <w:bottom w:val="single" w:sz="4" w:space="0" w:color="auto"/>
            </w:tcBorders>
            <w:shd w:val="clear" w:color="auto" w:fill="auto"/>
            <w:noWrap/>
            <w:vAlign w:val="center"/>
            <w:hideMark/>
          </w:tcPr>
          <w:p w:rsidR="00B04374" w:rsidRPr="00D74083" w:rsidRDefault="00B04374" w:rsidP="0065652B">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61</w:t>
            </w:r>
            <w:r w:rsidR="0065652B">
              <w:rPr>
                <w:rFonts w:ascii="Times New Roman" w:hAnsi="Times New Roman" w:cs="Times New Roman"/>
                <w:sz w:val="18"/>
                <w:szCs w:val="18"/>
                <w:lang w:eastAsia="tr-TR"/>
              </w:rPr>
              <w:t>,</w:t>
            </w:r>
            <w:r w:rsidRPr="00D74083">
              <w:rPr>
                <w:rFonts w:ascii="Times New Roman" w:hAnsi="Times New Roman" w:cs="Times New Roman"/>
                <w:sz w:val="18"/>
                <w:szCs w:val="18"/>
                <w:lang w:eastAsia="tr-TR"/>
              </w:rPr>
              <w:t>9</w:t>
            </w:r>
          </w:p>
        </w:tc>
        <w:tc>
          <w:tcPr>
            <w:tcW w:w="500" w:type="dxa"/>
            <w:tcBorders>
              <w:bottom w:val="single" w:sz="4" w:space="0" w:color="auto"/>
            </w:tcBorders>
            <w:shd w:val="clear" w:color="auto" w:fill="auto"/>
            <w:noWrap/>
            <w:vAlign w:val="center"/>
            <w:hideMark/>
          </w:tcPr>
          <w:p w:rsidR="00B04374" w:rsidRPr="00D74083" w:rsidRDefault="00B04374" w:rsidP="0065652B">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61</w:t>
            </w:r>
            <w:r w:rsidR="0065652B">
              <w:rPr>
                <w:rFonts w:ascii="Times New Roman" w:hAnsi="Times New Roman" w:cs="Times New Roman"/>
                <w:sz w:val="18"/>
                <w:szCs w:val="18"/>
                <w:lang w:eastAsia="tr-TR"/>
              </w:rPr>
              <w:t>,</w:t>
            </w:r>
            <w:r w:rsidRPr="00D74083">
              <w:rPr>
                <w:rFonts w:ascii="Times New Roman" w:hAnsi="Times New Roman" w:cs="Times New Roman"/>
                <w:sz w:val="18"/>
                <w:szCs w:val="18"/>
                <w:lang w:eastAsia="tr-TR"/>
              </w:rPr>
              <w:t>9</w:t>
            </w:r>
          </w:p>
        </w:tc>
        <w:tc>
          <w:tcPr>
            <w:tcW w:w="500" w:type="dxa"/>
            <w:tcBorders>
              <w:bottom w:val="single" w:sz="4" w:space="0" w:color="auto"/>
            </w:tcBorders>
            <w:shd w:val="clear" w:color="auto" w:fill="auto"/>
            <w:noWrap/>
            <w:vAlign w:val="center"/>
            <w:hideMark/>
          </w:tcPr>
          <w:p w:rsidR="00B04374" w:rsidRPr="00D74083" w:rsidRDefault="00B04374" w:rsidP="0065652B">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71</w:t>
            </w:r>
            <w:r w:rsidR="0065652B">
              <w:rPr>
                <w:rFonts w:ascii="Times New Roman" w:hAnsi="Times New Roman" w:cs="Times New Roman"/>
                <w:sz w:val="18"/>
                <w:szCs w:val="18"/>
                <w:lang w:eastAsia="tr-TR"/>
              </w:rPr>
              <w:t>,</w:t>
            </w:r>
            <w:r w:rsidRPr="00D74083">
              <w:rPr>
                <w:rFonts w:ascii="Times New Roman" w:hAnsi="Times New Roman" w:cs="Times New Roman"/>
                <w:sz w:val="18"/>
                <w:szCs w:val="18"/>
                <w:lang w:eastAsia="tr-TR"/>
              </w:rPr>
              <w:t>4</w:t>
            </w:r>
          </w:p>
        </w:tc>
        <w:tc>
          <w:tcPr>
            <w:tcW w:w="500" w:type="dxa"/>
            <w:tcBorders>
              <w:bottom w:val="single" w:sz="4" w:space="0" w:color="auto"/>
            </w:tcBorders>
            <w:shd w:val="clear" w:color="auto" w:fill="auto"/>
            <w:noWrap/>
            <w:vAlign w:val="center"/>
            <w:hideMark/>
          </w:tcPr>
          <w:p w:rsidR="00B04374" w:rsidRPr="00D74083" w:rsidRDefault="00B04374" w:rsidP="0065652B">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61</w:t>
            </w:r>
            <w:r w:rsidR="0065652B">
              <w:rPr>
                <w:rFonts w:ascii="Times New Roman" w:hAnsi="Times New Roman" w:cs="Times New Roman"/>
                <w:sz w:val="18"/>
                <w:szCs w:val="18"/>
                <w:lang w:eastAsia="tr-TR"/>
              </w:rPr>
              <w:t>,</w:t>
            </w:r>
            <w:r w:rsidRPr="00D74083">
              <w:rPr>
                <w:rFonts w:ascii="Times New Roman" w:hAnsi="Times New Roman" w:cs="Times New Roman"/>
                <w:sz w:val="18"/>
                <w:szCs w:val="18"/>
                <w:lang w:eastAsia="tr-TR"/>
              </w:rPr>
              <w:t>9</w:t>
            </w:r>
          </w:p>
        </w:tc>
        <w:tc>
          <w:tcPr>
            <w:tcW w:w="500" w:type="dxa"/>
            <w:tcBorders>
              <w:bottom w:val="single" w:sz="4" w:space="0" w:color="auto"/>
            </w:tcBorders>
            <w:shd w:val="clear" w:color="auto" w:fill="auto"/>
            <w:noWrap/>
            <w:vAlign w:val="center"/>
            <w:hideMark/>
          </w:tcPr>
          <w:p w:rsidR="00B04374" w:rsidRPr="00D74083" w:rsidRDefault="0065652B"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61,</w:t>
            </w:r>
            <w:r w:rsidR="00B04374" w:rsidRPr="00D74083">
              <w:rPr>
                <w:rFonts w:ascii="Times New Roman" w:hAnsi="Times New Roman" w:cs="Times New Roman"/>
                <w:sz w:val="18"/>
                <w:szCs w:val="18"/>
                <w:lang w:eastAsia="tr-TR"/>
              </w:rPr>
              <w:t>9</w:t>
            </w:r>
          </w:p>
        </w:tc>
        <w:tc>
          <w:tcPr>
            <w:tcW w:w="500" w:type="dxa"/>
            <w:tcBorders>
              <w:bottom w:val="single" w:sz="4" w:space="0" w:color="auto"/>
            </w:tcBorders>
            <w:shd w:val="clear" w:color="auto" w:fill="auto"/>
            <w:noWrap/>
            <w:vAlign w:val="center"/>
            <w:hideMark/>
          </w:tcPr>
          <w:p w:rsidR="00B04374" w:rsidRPr="00D74083" w:rsidRDefault="00B04374" w:rsidP="0065652B">
            <w:pPr>
              <w:pStyle w:val="AralkYok"/>
              <w:jc w:val="right"/>
              <w:rPr>
                <w:rFonts w:ascii="Times New Roman" w:hAnsi="Times New Roman" w:cs="Times New Roman"/>
                <w:sz w:val="18"/>
                <w:szCs w:val="18"/>
                <w:lang w:eastAsia="tr-TR"/>
              </w:rPr>
            </w:pPr>
            <w:r w:rsidRPr="00D74083">
              <w:rPr>
                <w:rFonts w:ascii="Times New Roman" w:hAnsi="Times New Roman" w:cs="Times New Roman"/>
                <w:sz w:val="18"/>
                <w:szCs w:val="18"/>
                <w:lang w:eastAsia="tr-TR"/>
              </w:rPr>
              <w:t>52</w:t>
            </w:r>
            <w:r w:rsidR="0065652B">
              <w:rPr>
                <w:rFonts w:ascii="Times New Roman" w:hAnsi="Times New Roman" w:cs="Times New Roman"/>
                <w:sz w:val="18"/>
                <w:szCs w:val="18"/>
                <w:lang w:eastAsia="tr-TR"/>
              </w:rPr>
              <w:t>,</w:t>
            </w:r>
            <w:r w:rsidRPr="00D74083">
              <w:rPr>
                <w:rFonts w:ascii="Times New Roman" w:hAnsi="Times New Roman" w:cs="Times New Roman"/>
                <w:sz w:val="18"/>
                <w:szCs w:val="18"/>
                <w:lang w:eastAsia="tr-TR"/>
              </w:rPr>
              <w:t>4</w:t>
            </w:r>
          </w:p>
        </w:tc>
        <w:tc>
          <w:tcPr>
            <w:tcW w:w="500" w:type="dxa"/>
            <w:tcBorders>
              <w:bottom w:val="single" w:sz="4" w:space="0" w:color="auto"/>
            </w:tcBorders>
            <w:shd w:val="clear" w:color="auto" w:fill="auto"/>
            <w:noWrap/>
            <w:vAlign w:val="center"/>
            <w:hideMark/>
          </w:tcPr>
          <w:p w:rsidR="00B04374" w:rsidRPr="00D74083" w:rsidRDefault="0065652B" w:rsidP="00EB5058">
            <w:pPr>
              <w:pStyle w:val="AralkYok"/>
              <w:jc w:val="right"/>
              <w:rPr>
                <w:rFonts w:ascii="Times New Roman" w:hAnsi="Times New Roman" w:cs="Times New Roman"/>
                <w:sz w:val="18"/>
                <w:szCs w:val="18"/>
                <w:lang w:eastAsia="tr-TR"/>
              </w:rPr>
            </w:pPr>
            <w:r>
              <w:rPr>
                <w:rFonts w:ascii="Times New Roman" w:hAnsi="Times New Roman" w:cs="Times New Roman"/>
                <w:sz w:val="18"/>
                <w:szCs w:val="18"/>
                <w:lang w:eastAsia="tr-TR"/>
              </w:rPr>
              <w:t>66,</w:t>
            </w:r>
            <w:r w:rsidR="00B04374" w:rsidRPr="00D74083">
              <w:rPr>
                <w:rFonts w:ascii="Times New Roman" w:hAnsi="Times New Roman" w:cs="Times New Roman"/>
                <w:sz w:val="18"/>
                <w:szCs w:val="18"/>
                <w:lang w:eastAsia="tr-TR"/>
              </w:rPr>
              <w:t>7</w:t>
            </w:r>
          </w:p>
        </w:tc>
        <w:tc>
          <w:tcPr>
            <w:tcW w:w="700" w:type="dxa"/>
            <w:tcBorders>
              <w:bottom w:val="single" w:sz="4" w:space="0" w:color="auto"/>
            </w:tcBorders>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p>
        </w:tc>
        <w:tc>
          <w:tcPr>
            <w:tcW w:w="793" w:type="dxa"/>
            <w:tcBorders>
              <w:bottom w:val="single" w:sz="4" w:space="0" w:color="auto"/>
            </w:tcBorders>
            <w:shd w:val="clear" w:color="auto" w:fill="auto"/>
            <w:noWrap/>
            <w:vAlign w:val="center"/>
            <w:hideMark/>
          </w:tcPr>
          <w:p w:rsidR="00B04374" w:rsidRPr="00D74083" w:rsidRDefault="00B04374" w:rsidP="00EB5058">
            <w:pPr>
              <w:pStyle w:val="AralkYok"/>
              <w:jc w:val="right"/>
              <w:rPr>
                <w:rFonts w:ascii="Times New Roman" w:hAnsi="Times New Roman" w:cs="Times New Roman"/>
                <w:sz w:val="18"/>
                <w:szCs w:val="18"/>
                <w:lang w:eastAsia="tr-TR"/>
              </w:rPr>
            </w:pPr>
          </w:p>
        </w:tc>
      </w:tr>
      <w:tr w:rsidR="00B04374" w:rsidRPr="00D74083" w:rsidTr="00A74F5D">
        <w:trPr>
          <w:trHeight w:val="284"/>
          <w:jc w:val="center"/>
        </w:trPr>
        <w:tc>
          <w:tcPr>
            <w:tcW w:w="9993" w:type="dxa"/>
            <w:gridSpan w:val="15"/>
            <w:tcBorders>
              <w:top w:val="single" w:sz="4" w:space="0" w:color="auto"/>
              <w:left w:val="nil"/>
              <w:bottom w:val="nil"/>
              <w:right w:val="nil"/>
            </w:tcBorders>
            <w:shd w:val="clear" w:color="auto" w:fill="auto"/>
            <w:noWrap/>
            <w:vAlign w:val="center"/>
            <w:hideMark/>
          </w:tcPr>
          <w:p w:rsidR="00B04374" w:rsidRPr="00BA21D7" w:rsidRDefault="00B04374" w:rsidP="00EB5058">
            <w:pPr>
              <w:pStyle w:val="AralkYok"/>
              <w:rPr>
                <w:rFonts w:ascii="Times New Roman" w:hAnsi="Times New Roman" w:cs="Times New Roman"/>
                <w:i/>
                <w:lang w:eastAsia="tr-TR"/>
              </w:rPr>
            </w:pPr>
            <w:r w:rsidRPr="00BA21D7">
              <w:rPr>
                <w:rFonts w:ascii="Times New Roman" w:hAnsi="Times New Roman" w:cs="Times New Roman"/>
                <w:i/>
                <w:lang w:eastAsia="tr-TR"/>
              </w:rPr>
              <w:t>1: Teknik etkin; 1’den küçük ise teknik etkin d</w:t>
            </w:r>
            <w:r w:rsidR="00BA21D7">
              <w:rPr>
                <w:rFonts w:ascii="Times New Roman" w:hAnsi="Times New Roman" w:cs="Times New Roman"/>
                <w:i/>
                <w:lang w:eastAsia="tr-TR"/>
              </w:rPr>
              <w:t>eğil.</w:t>
            </w:r>
            <w:r w:rsidRPr="00BA21D7">
              <w:rPr>
                <w:rFonts w:ascii="Times New Roman" w:hAnsi="Times New Roman" w:cs="Times New Roman"/>
                <w:i/>
                <w:lang w:eastAsia="tr-TR"/>
              </w:rPr>
              <w:t xml:space="preserve">  </w:t>
            </w:r>
          </w:p>
        </w:tc>
      </w:tr>
    </w:tbl>
    <w:p w:rsidR="00EB5058" w:rsidRDefault="00EB5058" w:rsidP="00A265E6">
      <w:pPr>
        <w:spacing w:after="120" w:line="240" w:lineRule="auto"/>
        <w:jc w:val="both"/>
        <w:rPr>
          <w:rFonts w:ascii="Times New Roman" w:hAnsi="Times New Roman" w:cs="Times New Roman"/>
          <w:sz w:val="24"/>
          <w:szCs w:val="24"/>
        </w:rPr>
      </w:pPr>
    </w:p>
    <w:p w:rsidR="00457BCE" w:rsidRDefault="00530B7C"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Çizelge </w:t>
      </w:r>
      <w:r w:rsidR="00457BCE" w:rsidRPr="00FB68F8">
        <w:rPr>
          <w:rFonts w:ascii="Times New Roman" w:hAnsi="Times New Roman" w:cs="Times New Roman"/>
          <w:sz w:val="24"/>
          <w:szCs w:val="24"/>
        </w:rPr>
        <w:t xml:space="preserve">2’deki veriler incelendiğinde; </w:t>
      </w:r>
      <w:r w:rsidR="00457BCE">
        <w:rPr>
          <w:rFonts w:ascii="Times New Roman" w:hAnsi="Times New Roman" w:cs="Times New Roman"/>
          <w:sz w:val="24"/>
          <w:szCs w:val="24"/>
        </w:rPr>
        <w:t>2002–2013</w:t>
      </w:r>
      <w:r w:rsidR="00457BCE" w:rsidRPr="00FB68F8">
        <w:rPr>
          <w:rFonts w:ascii="Times New Roman" w:hAnsi="Times New Roman" w:cs="Times New Roman"/>
          <w:sz w:val="24"/>
          <w:szCs w:val="24"/>
        </w:rPr>
        <w:t xml:space="preserve"> dönemleri arasındaki yılların tamamında </w:t>
      </w:r>
      <w:r w:rsidR="00457BCE">
        <w:rPr>
          <w:rFonts w:ascii="Times New Roman" w:hAnsi="Times New Roman" w:cs="Times New Roman"/>
          <w:sz w:val="24"/>
          <w:szCs w:val="24"/>
        </w:rPr>
        <w:t>Kamu sermayeli bankalar</w:t>
      </w:r>
      <w:r w:rsidR="00457BCE" w:rsidRPr="00FB68F8">
        <w:rPr>
          <w:rFonts w:ascii="Times New Roman" w:hAnsi="Times New Roman" w:cs="Times New Roman"/>
          <w:sz w:val="24"/>
          <w:szCs w:val="24"/>
        </w:rPr>
        <w:t xml:space="preserve">dan Ziraat Bankası, </w:t>
      </w:r>
      <w:r w:rsidR="00457BCE">
        <w:rPr>
          <w:rFonts w:ascii="Times New Roman" w:hAnsi="Times New Roman" w:cs="Times New Roman"/>
          <w:sz w:val="24"/>
          <w:szCs w:val="24"/>
        </w:rPr>
        <w:t>özel sermayeli bankalar</w:t>
      </w:r>
      <w:r w:rsidR="00457BCE" w:rsidRPr="00FB68F8">
        <w:rPr>
          <w:rFonts w:ascii="Times New Roman" w:hAnsi="Times New Roman" w:cs="Times New Roman"/>
          <w:sz w:val="24"/>
          <w:szCs w:val="24"/>
        </w:rPr>
        <w:t xml:space="preserve">dan </w:t>
      </w:r>
      <w:r w:rsidR="00457BCE">
        <w:rPr>
          <w:rFonts w:ascii="Times New Roman" w:hAnsi="Times New Roman" w:cs="Times New Roman"/>
          <w:sz w:val="24"/>
          <w:szCs w:val="24"/>
        </w:rPr>
        <w:t xml:space="preserve">İş Bankası </w:t>
      </w:r>
      <w:r w:rsidR="00457BCE" w:rsidRPr="00FB68F8">
        <w:rPr>
          <w:rFonts w:ascii="Times New Roman" w:hAnsi="Times New Roman" w:cs="Times New Roman"/>
          <w:sz w:val="24"/>
          <w:szCs w:val="24"/>
        </w:rPr>
        <w:t xml:space="preserve">ve yabancı bankalardan da </w:t>
      </w:r>
      <w:r w:rsidR="00457BCE">
        <w:rPr>
          <w:rFonts w:ascii="Times New Roman" w:hAnsi="Times New Roman" w:cs="Times New Roman"/>
          <w:sz w:val="24"/>
          <w:szCs w:val="24"/>
        </w:rPr>
        <w:t xml:space="preserve">Habib </w:t>
      </w:r>
      <w:r w:rsidR="00457BCE" w:rsidRPr="00FB68F8">
        <w:rPr>
          <w:rFonts w:ascii="Times New Roman" w:hAnsi="Times New Roman" w:cs="Times New Roman"/>
          <w:sz w:val="24"/>
          <w:szCs w:val="24"/>
        </w:rPr>
        <w:t>Bank’ın teknik etkin olduğu görülebilir.</w:t>
      </w:r>
      <w:r w:rsidR="00457BCE">
        <w:rPr>
          <w:rFonts w:ascii="Times New Roman" w:hAnsi="Times New Roman" w:cs="Times New Roman"/>
          <w:sz w:val="24"/>
          <w:szCs w:val="24"/>
        </w:rPr>
        <w:t xml:space="preserve"> Ayrıca, kamu sermayeli bankalardan Halkbank 2009 yılı, özel sermayeli bankalardan Akbank 2002</w:t>
      </w:r>
      <w:r w:rsidR="005F6D81">
        <w:rPr>
          <w:rFonts w:ascii="Times New Roman" w:hAnsi="Times New Roman" w:cs="Times New Roman"/>
          <w:sz w:val="24"/>
          <w:szCs w:val="24"/>
        </w:rPr>
        <w:t xml:space="preserve"> yılı</w:t>
      </w:r>
      <w:r w:rsidR="00457BCE">
        <w:rPr>
          <w:rFonts w:ascii="Times New Roman" w:hAnsi="Times New Roman" w:cs="Times New Roman"/>
          <w:sz w:val="24"/>
          <w:szCs w:val="24"/>
        </w:rPr>
        <w:t xml:space="preserve"> ve Yapı ve Kredi Bankası 2004</w:t>
      </w:r>
      <w:r w:rsidR="005F6D81">
        <w:rPr>
          <w:rFonts w:ascii="Times New Roman" w:hAnsi="Times New Roman" w:cs="Times New Roman"/>
          <w:sz w:val="24"/>
          <w:szCs w:val="24"/>
        </w:rPr>
        <w:t xml:space="preserve"> yılı</w:t>
      </w:r>
      <w:r w:rsidR="00457BCE">
        <w:rPr>
          <w:rFonts w:ascii="Times New Roman" w:hAnsi="Times New Roman" w:cs="Times New Roman"/>
          <w:sz w:val="24"/>
          <w:szCs w:val="24"/>
        </w:rPr>
        <w:t>, özel sermayeli bankalardan ise Finansbank 2008 yılı hariç diğer yılların tamamında teknik etkin olarak belirlenmiştir.</w:t>
      </w:r>
    </w:p>
    <w:p w:rsidR="00D76719" w:rsidRDefault="00546919"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Kamu bankalarından Vakıfbank 2002-2013 yılları arasında sadece 2006 ve 2011 yıllarında teknik etkin olarak tespit edilmiştir. </w:t>
      </w:r>
      <w:r w:rsidR="00A96EAC">
        <w:rPr>
          <w:rFonts w:ascii="Times New Roman" w:hAnsi="Times New Roman" w:cs="Times New Roman"/>
          <w:sz w:val="24"/>
          <w:szCs w:val="24"/>
        </w:rPr>
        <w:t xml:space="preserve">Buna karşın 2002-2004 yılları arasında Vakıfbank için düşük seviyede olan teknik etkinlik skorları 2005 yılından günümüze kadar 1 ya da 1’e oldukça yakın seviyede belirlenmiştir. </w:t>
      </w:r>
      <w:r w:rsidR="007D4FA4" w:rsidRPr="007D4FA4">
        <w:rPr>
          <w:rFonts w:ascii="Times New Roman" w:hAnsi="Times New Roman" w:cs="Times New Roman"/>
          <w:sz w:val="24"/>
          <w:szCs w:val="24"/>
        </w:rPr>
        <w:t xml:space="preserve">Bu durum, teknik etkinlik bakımından Kamu Sermayeli Ziraat ve Halk Bankalarının oldukça iyi bir konumda </w:t>
      </w:r>
      <w:r w:rsidR="00B04374">
        <w:rPr>
          <w:rFonts w:ascii="Times New Roman" w:hAnsi="Times New Roman" w:cs="Times New Roman"/>
          <w:sz w:val="24"/>
          <w:szCs w:val="24"/>
        </w:rPr>
        <w:t>olduğuna</w:t>
      </w:r>
      <w:r w:rsidR="007D4FA4" w:rsidRPr="007D4FA4">
        <w:rPr>
          <w:rFonts w:ascii="Times New Roman" w:hAnsi="Times New Roman" w:cs="Times New Roman"/>
          <w:sz w:val="24"/>
          <w:szCs w:val="24"/>
        </w:rPr>
        <w:t xml:space="preserve"> </w:t>
      </w:r>
      <w:r w:rsidR="00B04374">
        <w:rPr>
          <w:rFonts w:ascii="Times New Roman" w:hAnsi="Times New Roman" w:cs="Times New Roman"/>
          <w:sz w:val="24"/>
          <w:szCs w:val="24"/>
        </w:rPr>
        <w:t>ancak</w:t>
      </w:r>
      <w:r w:rsidR="007D4FA4" w:rsidRPr="007D4FA4">
        <w:rPr>
          <w:rFonts w:ascii="Times New Roman" w:hAnsi="Times New Roman" w:cs="Times New Roman"/>
          <w:sz w:val="24"/>
          <w:szCs w:val="24"/>
        </w:rPr>
        <w:t xml:space="preserve"> </w:t>
      </w:r>
      <w:r w:rsidR="00B04374">
        <w:rPr>
          <w:rFonts w:ascii="Times New Roman" w:hAnsi="Times New Roman" w:cs="Times New Roman"/>
          <w:sz w:val="24"/>
          <w:szCs w:val="24"/>
        </w:rPr>
        <w:t xml:space="preserve">teknik etkinlik bakımından </w:t>
      </w:r>
      <w:r w:rsidR="007D4FA4" w:rsidRPr="007D4FA4">
        <w:rPr>
          <w:rFonts w:ascii="Times New Roman" w:hAnsi="Times New Roman" w:cs="Times New Roman"/>
          <w:sz w:val="24"/>
          <w:szCs w:val="24"/>
        </w:rPr>
        <w:t xml:space="preserve">Vakıflar Bankası için </w:t>
      </w:r>
      <w:r w:rsidR="00B04374">
        <w:rPr>
          <w:rFonts w:ascii="Times New Roman" w:hAnsi="Times New Roman" w:cs="Times New Roman"/>
          <w:sz w:val="24"/>
          <w:szCs w:val="24"/>
        </w:rPr>
        <w:t xml:space="preserve">aynı başarının sağlanamadığına </w:t>
      </w:r>
      <w:r w:rsidR="007D4FA4" w:rsidRPr="007D4FA4">
        <w:rPr>
          <w:rFonts w:ascii="Times New Roman" w:hAnsi="Times New Roman" w:cs="Times New Roman"/>
          <w:sz w:val="24"/>
          <w:szCs w:val="24"/>
        </w:rPr>
        <w:t>işaret etmektedir</w:t>
      </w:r>
      <w:r w:rsidR="007D4FA4">
        <w:rPr>
          <w:rFonts w:ascii="Times New Roman" w:hAnsi="Times New Roman" w:cs="Times New Roman"/>
          <w:sz w:val="24"/>
          <w:szCs w:val="24"/>
        </w:rPr>
        <w:t xml:space="preserve">. </w:t>
      </w:r>
      <w:r w:rsidR="002754FA">
        <w:rPr>
          <w:rFonts w:ascii="Times New Roman" w:hAnsi="Times New Roman" w:cs="Times New Roman"/>
          <w:sz w:val="24"/>
          <w:szCs w:val="24"/>
        </w:rPr>
        <w:t xml:space="preserve">Özel sermayeli bankalardan Anadolubank’ın 2002 yılı hariç diğer dönemlerin tamamında teknik etkin olmadığı belirlenmiştir. </w:t>
      </w:r>
      <w:r w:rsidR="00EF12DC">
        <w:rPr>
          <w:rFonts w:ascii="Times New Roman" w:hAnsi="Times New Roman" w:cs="Times New Roman"/>
          <w:sz w:val="24"/>
          <w:szCs w:val="24"/>
        </w:rPr>
        <w:t xml:space="preserve">Özel sermayeli bankalardan Türk Ekonomi Bankası 2002-2010 yılları arasında teknik etkin değilken son iki yılda (2012 ve 2013) teknik etkinliği yakalamıştır. Buna karşın </w:t>
      </w:r>
      <w:r w:rsidR="00EF12DC" w:rsidRPr="00EF12DC">
        <w:rPr>
          <w:rFonts w:ascii="Times New Roman" w:hAnsi="Times New Roman" w:cs="Times New Roman"/>
          <w:sz w:val="24"/>
          <w:szCs w:val="24"/>
        </w:rPr>
        <w:t>Turkish Bank</w:t>
      </w:r>
      <w:r w:rsidR="00EF12DC">
        <w:rPr>
          <w:rFonts w:ascii="Times New Roman" w:hAnsi="Times New Roman" w:cs="Times New Roman"/>
          <w:sz w:val="24"/>
          <w:szCs w:val="24"/>
        </w:rPr>
        <w:t xml:space="preserve"> ise 2002 ve</w:t>
      </w:r>
      <w:r w:rsidR="00DF72E0">
        <w:rPr>
          <w:rFonts w:ascii="Times New Roman" w:hAnsi="Times New Roman" w:cs="Times New Roman"/>
          <w:sz w:val="24"/>
          <w:szCs w:val="24"/>
        </w:rPr>
        <w:t xml:space="preserve"> 2003 yıllarında teknik etkin</w:t>
      </w:r>
      <w:r w:rsidR="00EF12DC">
        <w:rPr>
          <w:rFonts w:ascii="Times New Roman" w:hAnsi="Times New Roman" w:cs="Times New Roman"/>
          <w:sz w:val="24"/>
          <w:szCs w:val="24"/>
        </w:rPr>
        <w:t xml:space="preserve"> </w:t>
      </w:r>
      <w:r w:rsidR="00DF72E0">
        <w:rPr>
          <w:rFonts w:ascii="Times New Roman" w:hAnsi="Times New Roman" w:cs="Times New Roman"/>
          <w:sz w:val="24"/>
          <w:szCs w:val="24"/>
        </w:rPr>
        <w:t>i</w:t>
      </w:r>
      <w:r w:rsidR="00EF12DC">
        <w:rPr>
          <w:rFonts w:ascii="Times New Roman" w:hAnsi="Times New Roman" w:cs="Times New Roman"/>
          <w:sz w:val="24"/>
          <w:szCs w:val="24"/>
        </w:rPr>
        <w:t>ken</w:t>
      </w:r>
      <w:r w:rsidR="003D3375">
        <w:rPr>
          <w:rFonts w:ascii="Times New Roman" w:hAnsi="Times New Roman" w:cs="Times New Roman"/>
          <w:sz w:val="24"/>
          <w:szCs w:val="24"/>
        </w:rPr>
        <w:t>,</w:t>
      </w:r>
      <w:r w:rsidR="00EF12DC">
        <w:rPr>
          <w:rFonts w:ascii="Times New Roman" w:hAnsi="Times New Roman" w:cs="Times New Roman"/>
          <w:sz w:val="24"/>
          <w:szCs w:val="24"/>
        </w:rPr>
        <w:t xml:space="preserve"> ilerleyen yıllar</w:t>
      </w:r>
      <w:r w:rsidR="00C77DBE">
        <w:rPr>
          <w:rFonts w:ascii="Times New Roman" w:hAnsi="Times New Roman" w:cs="Times New Roman"/>
          <w:sz w:val="24"/>
          <w:szCs w:val="24"/>
        </w:rPr>
        <w:t>ın hiç</w:t>
      </w:r>
      <w:r w:rsidR="00DF72E0">
        <w:rPr>
          <w:rFonts w:ascii="Times New Roman" w:hAnsi="Times New Roman" w:cs="Times New Roman"/>
          <w:sz w:val="24"/>
          <w:szCs w:val="24"/>
        </w:rPr>
        <w:t>birinde teknik etkinliği</w:t>
      </w:r>
      <w:r w:rsidR="00EF12DC">
        <w:rPr>
          <w:rFonts w:ascii="Times New Roman" w:hAnsi="Times New Roman" w:cs="Times New Roman"/>
          <w:sz w:val="24"/>
          <w:szCs w:val="24"/>
        </w:rPr>
        <w:t xml:space="preserve"> yakala</w:t>
      </w:r>
      <w:r w:rsidR="003D3375">
        <w:rPr>
          <w:rFonts w:ascii="Times New Roman" w:hAnsi="Times New Roman" w:cs="Times New Roman"/>
          <w:sz w:val="24"/>
          <w:szCs w:val="24"/>
        </w:rPr>
        <w:t>y</w:t>
      </w:r>
      <w:r w:rsidR="00EF12DC">
        <w:rPr>
          <w:rFonts w:ascii="Times New Roman" w:hAnsi="Times New Roman" w:cs="Times New Roman"/>
          <w:sz w:val="24"/>
          <w:szCs w:val="24"/>
        </w:rPr>
        <w:t>amadığı gözlenmiştir.  Yine özel sermayeli bankalardan Şekerbank’ın küresel finans krizinin yoğun yaşandığı 2008 ve 2009 yıllarında teknik etkin iken diğer dönemlerde teknik etkin olmaması dikkati çekmektedir.</w:t>
      </w:r>
      <w:r w:rsidR="002754FA">
        <w:rPr>
          <w:rFonts w:ascii="Times New Roman" w:hAnsi="Times New Roman" w:cs="Times New Roman"/>
          <w:sz w:val="24"/>
          <w:szCs w:val="24"/>
        </w:rPr>
        <w:t xml:space="preserve"> </w:t>
      </w:r>
      <w:r w:rsidR="002754FA">
        <w:rPr>
          <w:rFonts w:ascii="Times New Roman" w:hAnsi="Times New Roman" w:cs="Times New Roman"/>
          <w:sz w:val="24"/>
          <w:szCs w:val="24"/>
        </w:rPr>
        <w:lastRenderedPageBreak/>
        <w:t xml:space="preserve">Ayrıca yabancı sermayeli bankalardan Denizbank yine finansal kriz yıllarında (2008 ve 2009) ve son yıl 2013’de teknik etkin iken diğer yılların tamamında teknik etkin olmadığı </w:t>
      </w:r>
      <w:r w:rsidR="00D76719">
        <w:rPr>
          <w:rFonts w:ascii="Times New Roman" w:hAnsi="Times New Roman" w:cs="Times New Roman"/>
          <w:sz w:val="24"/>
          <w:szCs w:val="24"/>
        </w:rPr>
        <w:t>tespit edil</w:t>
      </w:r>
      <w:r w:rsidR="002754FA">
        <w:rPr>
          <w:rFonts w:ascii="Times New Roman" w:hAnsi="Times New Roman" w:cs="Times New Roman"/>
          <w:sz w:val="24"/>
          <w:szCs w:val="24"/>
        </w:rPr>
        <w:t>miştir.</w:t>
      </w:r>
    </w:p>
    <w:p w:rsidR="00FB68F8" w:rsidRDefault="00D76719"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Yıllar itibariyle bir inceleme yapıldığında; 2002 yılında 21 bankadan 11’i (%</w:t>
      </w:r>
      <w:r w:rsidR="004D062F">
        <w:rPr>
          <w:rFonts w:ascii="Times New Roman" w:hAnsi="Times New Roman" w:cs="Times New Roman"/>
          <w:sz w:val="24"/>
          <w:szCs w:val="24"/>
        </w:rPr>
        <w:t xml:space="preserve"> 52,</w:t>
      </w:r>
      <w:r>
        <w:rPr>
          <w:rFonts w:ascii="Times New Roman" w:hAnsi="Times New Roman" w:cs="Times New Roman"/>
          <w:sz w:val="24"/>
          <w:szCs w:val="24"/>
        </w:rPr>
        <w:t>4) teknik etkin iken</w:t>
      </w:r>
      <w:r w:rsidR="003D3375">
        <w:rPr>
          <w:rFonts w:ascii="Times New Roman" w:hAnsi="Times New Roman" w:cs="Times New Roman"/>
          <w:sz w:val="24"/>
          <w:szCs w:val="24"/>
        </w:rPr>
        <w:t>,</w:t>
      </w:r>
      <w:r>
        <w:rPr>
          <w:rFonts w:ascii="Times New Roman" w:hAnsi="Times New Roman" w:cs="Times New Roman"/>
          <w:sz w:val="24"/>
          <w:szCs w:val="24"/>
        </w:rPr>
        <w:t xml:space="preserve"> bu oran 2003 yılında </w:t>
      </w:r>
      <w:r w:rsidR="00AE1525">
        <w:rPr>
          <w:rFonts w:ascii="Times New Roman" w:hAnsi="Times New Roman" w:cs="Times New Roman"/>
          <w:sz w:val="24"/>
          <w:szCs w:val="24"/>
        </w:rPr>
        <w:t>%</w:t>
      </w:r>
      <w:r w:rsidR="004D062F">
        <w:rPr>
          <w:rFonts w:ascii="Times New Roman" w:hAnsi="Times New Roman" w:cs="Times New Roman"/>
          <w:sz w:val="24"/>
          <w:szCs w:val="24"/>
        </w:rPr>
        <w:t xml:space="preserve"> 57,</w:t>
      </w:r>
      <w:r>
        <w:rPr>
          <w:rFonts w:ascii="Times New Roman" w:hAnsi="Times New Roman" w:cs="Times New Roman"/>
          <w:sz w:val="24"/>
          <w:szCs w:val="24"/>
        </w:rPr>
        <w:t>1 seviyesine çıkmıştır. Buna karşın 2004 yılında söz konusu oranın %</w:t>
      </w:r>
      <w:r w:rsidR="004D062F">
        <w:rPr>
          <w:rFonts w:ascii="Times New Roman" w:hAnsi="Times New Roman" w:cs="Times New Roman"/>
          <w:sz w:val="24"/>
          <w:szCs w:val="24"/>
        </w:rPr>
        <w:t xml:space="preserve"> 38,1</w:t>
      </w:r>
      <w:r>
        <w:rPr>
          <w:rFonts w:ascii="Times New Roman" w:hAnsi="Times New Roman" w:cs="Times New Roman"/>
          <w:sz w:val="24"/>
          <w:szCs w:val="24"/>
        </w:rPr>
        <w:t xml:space="preserve"> seviyesine gerilemesi dikkati çekmektedir. </w:t>
      </w:r>
      <w:r w:rsidR="00B04374">
        <w:rPr>
          <w:rFonts w:ascii="Times New Roman" w:hAnsi="Times New Roman" w:cs="Times New Roman"/>
          <w:sz w:val="24"/>
          <w:szCs w:val="24"/>
        </w:rPr>
        <w:t xml:space="preserve">Takip eden </w:t>
      </w:r>
      <w:r>
        <w:rPr>
          <w:rFonts w:ascii="Times New Roman" w:hAnsi="Times New Roman" w:cs="Times New Roman"/>
          <w:sz w:val="24"/>
          <w:szCs w:val="24"/>
        </w:rPr>
        <w:t>dört yılda ise etkin bankaların oranı %</w:t>
      </w:r>
      <w:r w:rsidR="004D062F">
        <w:rPr>
          <w:rFonts w:ascii="Times New Roman" w:hAnsi="Times New Roman" w:cs="Times New Roman"/>
          <w:sz w:val="24"/>
          <w:szCs w:val="24"/>
        </w:rPr>
        <w:t xml:space="preserve"> 61,9</w:t>
      </w:r>
      <w:r>
        <w:rPr>
          <w:rFonts w:ascii="Times New Roman" w:hAnsi="Times New Roman" w:cs="Times New Roman"/>
          <w:sz w:val="24"/>
          <w:szCs w:val="24"/>
        </w:rPr>
        <w:t xml:space="preserve"> seviyesinde sabit kalmış ve finansal küresel krizin Türkiye Ekonomisini olumsuz etkilediği 2009 yılın</w:t>
      </w:r>
      <w:r w:rsidR="004D062F">
        <w:rPr>
          <w:rFonts w:ascii="Times New Roman" w:hAnsi="Times New Roman" w:cs="Times New Roman"/>
          <w:sz w:val="24"/>
          <w:szCs w:val="24"/>
        </w:rPr>
        <w:t>da % 71,</w:t>
      </w:r>
      <w:r>
        <w:rPr>
          <w:rFonts w:ascii="Times New Roman" w:hAnsi="Times New Roman" w:cs="Times New Roman"/>
          <w:sz w:val="24"/>
          <w:szCs w:val="24"/>
        </w:rPr>
        <w:t>4 oranı ile en yüksek seviyesine çıkmıştır. 2010 ve 2011 yıllarında teknik etkinliği sağlayan banka oranı yine %</w:t>
      </w:r>
      <w:r w:rsidR="004D062F">
        <w:rPr>
          <w:rFonts w:ascii="Times New Roman" w:hAnsi="Times New Roman" w:cs="Times New Roman"/>
          <w:sz w:val="24"/>
          <w:szCs w:val="24"/>
        </w:rPr>
        <w:t xml:space="preserve"> 61,</w:t>
      </w:r>
      <w:r>
        <w:rPr>
          <w:rFonts w:ascii="Times New Roman" w:hAnsi="Times New Roman" w:cs="Times New Roman"/>
          <w:sz w:val="24"/>
          <w:szCs w:val="24"/>
        </w:rPr>
        <w:t>9 iken 2012 yılında bu oran %</w:t>
      </w:r>
      <w:r w:rsidR="004D062F">
        <w:rPr>
          <w:rFonts w:ascii="Times New Roman" w:hAnsi="Times New Roman" w:cs="Times New Roman"/>
          <w:sz w:val="24"/>
          <w:szCs w:val="24"/>
        </w:rPr>
        <w:t xml:space="preserve"> 52,</w:t>
      </w:r>
      <w:r>
        <w:rPr>
          <w:rFonts w:ascii="Times New Roman" w:hAnsi="Times New Roman" w:cs="Times New Roman"/>
          <w:sz w:val="24"/>
          <w:szCs w:val="24"/>
        </w:rPr>
        <w:t>4 seviyesine gerilemiş ve 2013 yılında %</w:t>
      </w:r>
      <w:r w:rsidR="004D062F">
        <w:rPr>
          <w:rFonts w:ascii="Times New Roman" w:hAnsi="Times New Roman" w:cs="Times New Roman"/>
          <w:sz w:val="24"/>
          <w:szCs w:val="24"/>
        </w:rPr>
        <w:t xml:space="preserve"> 66,</w:t>
      </w:r>
      <w:r>
        <w:rPr>
          <w:rFonts w:ascii="Times New Roman" w:hAnsi="Times New Roman" w:cs="Times New Roman"/>
          <w:sz w:val="24"/>
          <w:szCs w:val="24"/>
        </w:rPr>
        <w:t xml:space="preserve">7 </w:t>
      </w:r>
      <w:r w:rsidR="002636A1">
        <w:rPr>
          <w:rFonts w:ascii="Times New Roman" w:hAnsi="Times New Roman" w:cs="Times New Roman"/>
          <w:sz w:val="24"/>
          <w:szCs w:val="24"/>
        </w:rPr>
        <w:t>seviyesine çıkmıştır.</w:t>
      </w:r>
      <w:r w:rsidR="00EF12DC">
        <w:rPr>
          <w:rFonts w:ascii="Times New Roman" w:hAnsi="Times New Roman" w:cs="Times New Roman"/>
          <w:sz w:val="24"/>
          <w:szCs w:val="24"/>
        </w:rPr>
        <w:t xml:space="preserve"> </w:t>
      </w:r>
    </w:p>
    <w:p w:rsidR="007D4FA4" w:rsidRDefault="007D4FA4" w:rsidP="00A265E6">
      <w:pPr>
        <w:spacing w:after="120" w:line="240" w:lineRule="auto"/>
        <w:jc w:val="both"/>
        <w:rPr>
          <w:rFonts w:ascii="Times New Roman" w:hAnsi="Times New Roman" w:cs="Times New Roman"/>
          <w:sz w:val="24"/>
          <w:szCs w:val="24"/>
        </w:rPr>
      </w:pPr>
      <w:r w:rsidRPr="007D4FA4">
        <w:rPr>
          <w:rFonts w:ascii="Times New Roman" w:hAnsi="Times New Roman" w:cs="Times New Roman"/>
          <w:sz w:val="24"/>
          <w:szCs w:val="24"/>
        </w:rPr>
        <w:t xml:space="preserve">Araştırma kapsamında yer alan 21 banka için teknik etkinlik skorlarından hareketle bulunan ortalama yıllık değerler </w:t>
      </w:r>
      <w:r w:rsidR="00530B7C">
        <w:rPr>
          <w:rFonts w:ascii="Times New Roman" w:hAnsi="Times New Roman" w:cs="Times New Roman"/>
          <w:sz w:val="24"/>
          <w:szCs w:val="24"/>
        </w:rPr>
        <w:t>Şekil</w:t>
      </w:r>
      <w:r w:rsidRPr="007D4FA4">
        <w:rPr>
          <w:rFonts w:ascii="Times New Roman" w:hAnsi="Times New Roman" w:cs="Times New Roman"/>
          <w:sz w:val="24"/>
          <w:szCs w:val="24"/>
        </w:rPr>
        <w:t xml:space="preserve"> 1’de verilmiştir. Bankacılık Sektörü için 2002 yı</w:t>
      </w:r>
      <w:r w:rsidR="009C389A">
        <w:rPr>
          <w:rFonts w:ascii="Times New Roman" w:hAnsi="Times New Roman" w:cs="Times New Roman"/>
          <w:sz w:val="24"/>
          <w:szCs w:val="24"/>
        </w:rPr>
        <w:t>lında ortalama değer olarak 0</w:t>
      </w:r>
      <w:r w:rsidR="009A47BF">
        <w:rPr>
          <w:rFonts w:ascii="Times New Roman" w:hAnsi="Times New Roman" w:cs="Times New Roman"/>
          <w:sz w:val="24"/>
          <w:szCs w:val="24"/>
        </w:rPr>
        <w:t>,</w:t>
      </w:r>
      <w:r w:rsidR="009C389A">
        <w:rPr>
          <w:rFonts w:ascii="Times New Roman" w:hAnsi="Times New Roman" w:cs="Times New Roman"/>
          <w:sz w:val="24"/>
          <w:szCs w:val="24"/>
        </w:rPr>
        <w:t>884</w:t>
      </w:r>
      <w:r w:rsidRPr="007D4FA4">
        <w:rPr>
          <w:rFonts w:ascii="Times New Roman" w:hAnsi="Times New Roman" w:cs="Times New Roman"/>
          <w:sz w:val="24"/>
          <w:szCs w:val="24"/>
        </w:rPr>
        <w:t xml:space="preserve"> seviyesinde olan teknik etkinlik, </w:t>
      </w:r>
      <w:r w:rsidR="009C389A">
        <w:rPr>
          <w:rFonts w:ascii="Times New Roman" w:hAnsi="Times New Roman" w:cs="Times New Roman"/>
          <w:sz w:val="24"/>
          <w:szCs w:val="24"/>
        </w:rPr>
        <w:t xml:space="preserve">2004 yılı hariç </w:t>
      </w:r>
      <w:r w:rsidRPr="007D4FA4">
        <w:rPr>
          <w:rFonts w:ascii="Times New Roman" w:hAnsi="Times New Roman" w:cs="Times New Roman"/>
          <w:sz w:val="24"/>
          <w:szCs w:val="24"/>
        </w:rPr>
        <w:t xml:space="preserve">ilerleyen yıllarda </w:t>
      </w:r>
      <w:r w:rsidR="009A47BF">
        <w:rPr>
          <w:rFonts w:ascii="Times New Roman" w:hAnsi="Times New Roman" w:cs="Times New Roman"/>
          <w:sz w:val="24"/>
          <w:szCs w:val="24"/>
        </w:rPr>
        <w:t>daima 0,</w:t>
      </w:r>
      <w:r w:rsidR="009C389A">
        <w:rPr>
          <w:rFonts w:ascii="Times New Roman" w:hAnsi="Times New Roman" w:cs="Times New Roman"/>
          <w:sz w:val="24"/>
          <w:szCs w:val="24"/>
        </w:rPr>
        <w:t xml:space="preserve">90’ın üzerinde </w:t>
      </w:r>
      <w:r w:rsidRPr="007D4FA4">
        <w:rPr>
          <w:rFonts w:ascii="Times New Roman" w:hAnsi="Times New Roman" w:cs="Times New Roman"/>
          <w:sz w:val="24"/>
          <w:szCs w:val="24"/>
        </w:rPr>
        <w:t>gerçekleşmiştir. Bu sonuç, 2002–20</w:t>
      </w:r>
      <w:r w:rsidR="009C389A">
        <w:rPr>
          <w:rFonts w:ascii="Times New Roman" w:hAnsi="Times New Roman" w:cs="Times New Roman"/>
          <w:sz w:val="24"/>
          <w:szCs w:val="24"/>
        </w:rPr>
        <w:t>13</w:t>
      </w:r>
      <w:r w:rsidRPr="007D4FA4">
        <w:rPr>
          <w:rFonts w:ascii="Times New Roman" w:hAnsi="Times New Roman" w:cs="Times New Roman"/>
          <w:sz w:val="24"/>
          <w:szCs w:val="24"/>
        </w:rPr>
        <w:t xml:space="preserve"> yılları arasında </w:t>
      </w:r>
      <w:r w:rsidR="00086B94">
        <w:rPr>
          <w:rFonts w:ascii="Times New Roman" w:hAnsi="Times New Roman" w:cs="Times New Roman"/>
          <w:sz w:val="24"/>
          <w:szCs w:val="24"/>
        </w:rPr>
        <w:t>Türk bankacılık sektörü</w:t>
      </w:r>
      <w:r w:rsidRPr="007D4FA4">
        <w:rPr>
          <w:rFonts w:ascii="Times New Roman" w:hAnsi="Times New Roman" w:cs="Times New Roman"/>
          <w:sz w:val="24"/>
          <w:szCs w:val="24"/>
        </w:rPr>
        <w:t xml:space="preserve">nün teknik etkinlik bakımından sürekli gelişerek iyi bir seviyeye geldiğini somut olarak göstermektedir.  </w:t>
      </w:r>
    </w:p>
    <w:p w:rsidR="007D4FA4" w:rsidRDefault="00AE1525" w:rsidP="00A0688A">
      <w:pPr>
        <w:spacing w:after="120" w:line="240" w:lineRule="auto"/>
        <w:ind w:firstLine="360"/>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7289F48E" wp14:editId="3177D550">
            <wp:extent cx="4953000" cy="28003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953000" cy="2800350"/>
                    </a:xfrm>
                    <a:prstGeom prst="rect">
                      <a:avLst/>
                    </a:prstGeom>
                    <a:noFill/>
                  </pic:spPr>
                </pic:pic>
              </a:graphicData>
            </a:graphic>
          </wp:inline>
        </w:drawing>
      </w:r>
    </w:p>
    <w:p w:rsidR="0065266B" w:rsidRPr="0065266B" w:rsidRDefault="0065266B" w:rsidP="00A0688A">
      <w:pPr>
        <w:spacing w:after="120" w:line="240" w:lineRule="auto"/>
        <w:ind w:firstLine="360"/>
        <w:jc w:val="center"/>
        <w:rPr>
          <w:rFonts w:ascii="Times New Roman" w:hAnsi="Times New Roman" w:cs="Times New Roman"/>
          <w:b/>
          <w:sz w:val="24"/>
          <w:szCs w:val="24"/>
        </w:rPr>
      </w:pPr>
      <w:r w:rsidRPr="0065266B">
        <w:rPr>
          <w:rFonts w:ascii="Times New Roman" w:hAnsi="Times New Roman" w:cs="Times New Roman"/>
          <w:b/>
          <w:sz w:val="24"/>
          <w:szCs w:val="24"/>
        </w:rPr>
        <w:t>Şekil 1. Ölçeğe Göre Değişken Getiri Varsay</w:t>
      </w:r>
      <w:r>
        <w:rPr>
          <w:rFonts w:ascii="Times New Roman" w:hAnsi="Times New Roman" w:cs="Times New Roman"/>
          <w:b/>
          <w:sz w:val="24"/>
          <w:szCs w:val="24"/>
        </w:rPr>
        <w:t>ımı Altında Bankacılık Sektörü Y</w:t>
      </w:r>
      <w:r w:rsidRPr="0065266B">
        <w:rPr>
          <w:rFonts w:ascii="Times New Roman" w:hAnsi="Times New Roman" w:cs="Times New Roman"/>
          <w:b/>
          <w:sz w:val="24"/>
          <w:szCs w:val="24"/>
        </w:rPr>
        <w:t>ıllık Ortalama Etkinlik Skorları</w:t>
      </w:r>
    </w:p>
    <w:p w:rsidR="0065266B" w:rsidRPr="007D4FA4" w:rsidRDefault="0065266B" w:rsidP="00A0688A">
      <w:pPr>
        <w:spacing w:after="120" w:line="240" w:lineRule="auto"/>
        <w:ind w:firstLine="360"/>
        <w:jc w:val="center"/>
        <w:rPr>
          <w:rFonts w:ascii="Times New Roman" w:hAnsi="Times New Roman" w:cs="Times New Roman"/>
          <w:sz w:val="24"/>
          <w:szCs w:val="24"/>
        </w:rPr>
      </w:pPr>
    </w:p>
    <w:p w:rsidR="007D4FA4" w:rsidRDefault="007D4FA4" w:rsidP="00A265E6">
      <w:pPr>
        <w:spacing w:after="120" w:line="240" w:lineRule="auto"/>
        <w:jc w:val="both"/>
        <w:rPr>
          <w:rFonts w:ascii="Times New Roman" w:hAnsi="Times New Roman" w:cs="Times New Roman"/>
          <w:sz w:val="24"/>
          <w:szCs w:val="24"/>
        </w:rPr>
      </w:pPr>
      <w:r w:rsidRPr="007D4FA4">
        <w:rPr>
          <w:rFonts w:ascii="Times New Roman" w:hAnsi="Times New Roman" w:cs="Times New Roman"/>
          <w:sz w:val="24"/>
          <w:szCs w:val="24"/>
        </w:rPr>
        <w:t>2002–20</w:t>
      </w:r>
      <w:r w:rsidR="009C389A">
        <w:rPr>
          <w:rFonts w:ascii="Times New Roman" w:hAnsi="Times New Roman" w:cs="Times New Roman"/>
          <w:sz w:val="24"/>
          <w:szCs w:val="24"/>
        </w:rPr>
        <w:t xml:space="preserve">13 </w:t>
      </w:r>
      <w:r w:rsidRPr="007D4FA4">
        <w:rPr>
          <w:rFonts w:ascii="Times New Roman" w:hAnsi="Times New Roman" w:cs="Times New Roman"/>
          <w:sz w:val="24"/>
          <w:szCs w:val="24"/>
        </w:rPr>
        <w:t xml:space="preserve">dönemleri arasındaki yıllarda her banka için hesaplanan ortalama teknik etkinlik skorları </w:t>
      </w:r>
      <w:r w:rsidR="00530B7C">
        <w:rPr>
          <w:rFonts w:ascii="Times New Roman" w:hAnsi="Times New Roman" w:cs="Times New Roman"/>
          <w:sz w:val="24"/>
          <w:szCs w:val="24"/>
        </w:rPr>
        <w:t>Şekil</w:t>
      </w:r>
      <w:r w:rsidR="009C389A">
        <w:rPr>
          <w:rFonts w:ascii="Times New Roman" w:hAnsi="Times New Roman" w:cs="Times New Roman"/>
          <w:sz w:val="24"/>
          <w:szCs w:val="24"/>
        </w:rPr>
        <w:t xml:space="preserve"> 2</w:t>
      </w:r>
      <w:r w:rsidRPr="007D4FA4">
        <w:rPr>
          <w:rFonts w:ascii="Times New Roman" w:hAnsi="Times New Roman" w:cs="Times New Roman"/>
          <w:sz w:val="24"/>
          <w:szCs w:val="24"/>
        </w:rPr>
        <w:t xml:space="preserve">’de </w:t>
      </w:r>
      <w:r w:rsidR="009C389A">
        <w:rPr>
          <w:rFonts w:ascii="Times New Roman" w:hAnsi="Times New Roman" w:cs="Times New Roman"/>
          <w:sz w:val="24"/>
          <w:szCs w:val="24"/>
        </w:rPr>
        <w:t>veril</w:t>
      </w:r>
      <w:r w:rsidRPr="007D4FA4">
        <w:rPr>
          <w:rFonts w:ascii="Times New Roman" w:hAnsi="Times New Roman" w:cs="Times New Roman"/>
          <w:sz w:val="24"/>
          <w:szCs w:val="24"/>
        </w:rPr>
        <w:t xml:space="preserve">miştir. Bu veriler incelendiğinde, </w:t>
      </w:r>
      <w:r w:rsidR="00B04374">
        <w:rPr>
          <w:rFonts w:ascii="Times New Roman" w:hAnsi="Times New Roman" w:cs="Times New Roman"/>
          <w:sz w:val="24"/>
          <w:szCs w:val="24"/>
        </w:rPr>
        <w:t xml:space="preserve">teknik etkinlik bakımından en yüksek skora sahip olan bankaların </w:t>
      </w:r>
      <w:r w:rsidRPr="007D4FA4">
        <w:rPr>
          <w:rFonts w:ascii="Times New Roman" w:hAnsi="Times New Roman" w:cs="Times New Roman"/>
          <w:sz w:val="24"/>
          <w:szCs w:val="24"/>
        </w:rPr>
        <w:t>Ziraat Bankası</w:t>
      </w:r>
      <w:r w:rsidR="00D2047F">
        <w:rPr>
          <w:rFonts w:ascii="Times New Roman" w:hAnsi="Times New Roman" w:cs="Times New Roman"/>
          <w:sz w:val="24"/>
          <w:szCs w:val="24"/>
        </w:rPr>
        <w:t xml:space="preserve">, Halkbank, Türkiye İş Bankası, Habib Bank, Finans Bank ve </w:t>
      </w:r>
      <w:r w:rsidRPr="007D4FA4">
        <w:rPr>
          <w:rFonts w:ascii="Times New Roman" w:hAnsi="Times New Roman" w:cs="Times New Roman"/>
          <w:sz w:val="24"/>
          <w:szCs w:val="24"/>
        </w:rPr>
        <w:t>Yapı ve Kredi Bankası olduğu görülmüştür. Ortalama değerler bakımından en dü</w:t>
      </w:r>
      <w:r w:rsidR="00D2047F">
        <w:rPr>
          <w:rFonts w:ascii="Times New Roman" w:hAnsi="Times New Roman" w:cs="Times New Roman"/>
          <w:sz w:val="24"/>
          <w:szCs w:val="24"/>
        </w:rPr>
        <w:t>şük seviyeye sahip olan banka</w:t>
      </w:r>
      <w:r w:rsidRPr="007D4FA4">
        <w:rPr>
          <w:rFonts w:ascii="Times New Roman" w:hAnsi="Times New Roman" w:cs="Times New Roman"/>
          <w:sz w:val="24"/>
          <w:szCs w:val="24"/>
        </w:rPr>
        <w:t xml:space="preserve"> ise</w:t>
      </w:r>
      <w:r w:rsidR="00A22400">
        <w:rPr>
          <w:rFonts w:ascii="Times New Roman" w:hAnsi="Times New Roman" w:cs="Times New Roman"/>
          <w:sz w:val="24"/>
          <w:szCs w:val="24"/>
        </w:rPr>
        <w:t xml:space="preserve"> 0,</w:t>
      </w:r>
      <w:r w:rsidR="00D2047F">
        <w:rPr>
          <w:rFonts w:ascii="Times New Roman" w:hAnsi="Times New Roman" w:cs="Times New Roman"/>
          <w:sz w:val="24"/>
          <w:szCs w:val="24"/>
        </w:rPr>
        <w:t>551 skoru ile Turkish Bank’dır. Bu bankayı</w:t>
      </w:r>
      <w:r w:rsidRPr="007D4FA4">
        <w:rPr>
          <w:rFonts w:ascii="Times New Roman" w:hAnsi="Times New Roman" w:cs="Times New Roman"/>
          <w:sz w:val="24"/>
          <w:szCs w:val="24"/>
        </w:rPr>
        <w:t xml:space="preserve"> </w:t>
      </w:r>
      <w:r w:rsidR="00D2047F">
        <w:rPr>
          <w:rFonts w:ascii="Times New Roman" w:hAnsi="Times New Roman" w:cs="Times New Roman"/>
          <w:sz w:val="24"/>
          <w:szCs w:val="24"/>
        </w:rPr>
        <w:t xml:space="preserve">Citibank, </w:t>
      </w:r>
      <w:r w:rsidRPr="007D4FA4">
        <w:rPr>
          <w:rFonts w:ascii="Times New Roman" w:hAnsi="Times New Roman" w:cs="Times New Roman"/>
          <w:sz w:val="24"/>
          <w:szCs w:val="24"/>
        </w:rPr>
        <w:t>Türk Ekonomi Bankası</w:t>
      </w:r>
      <w:r w:rsidR="00D2047F">
        <w:rPr>
          <w:rFonts w:ascii="Times New Roman" w:hAnsi="Times New Roman" w:cs="Times New Roman"/>
          <w:sz w:val="24"/>
          <w:szCs w:val="24"/>
        </w:rPr>
        <w:t xml:space="preserve"> ve</w:t>
      </w:r>
      <w:r w:rsidRPr="007D4FA4">
        <w:rPr>
          <w:rFonts w:ascii="Times New Roman" w:hAnsi="Times New Roman" w:cs="Times New Roman"/>
          <w:sz w:val="24"/>
          <w:szCs w:val="24"/>
        </w:rPr>
        <w:t xml:space="preserve"> Denizbank </w:t>
      </w:r>
      <w:r w:rsidR="009B7043">
        <w:rPr>
          <w:rFonts w:ascii="Times New Roman" w:hAnsi="Times New Roman" w:cs="Times New Roman"/>
          <w:sz w:val="24"/>
          <w:szCs w:val="24"/>
        </w:rPr>
        <w:t>izlemektedir.</w:t>
      </w:r>
      <w:r w:rsidRPr="007D4FA4">
        <w:rPr>
          <w:rFonts w:ascii="Times New Roman" w:hAnsi="Times New Roman" w:cs="Times New Roman"/>
          <w:sz w:val="24"/>
          <w:szCs w:val="24"/>
        </w:rPr>
        <w:t xml:space="preserve"> </w:t>
      </w:r>
    </w:p>
    <w:p w:rsidR="009C389A" w:rsidRDefault="00AE1525" w:rsidP="00A0688A">
      <w:pPr>
        <w:spacing w:after="120" w:line="240" w:lineRule="auto"/>
        <w:ind w:firstLine="360"/>
        <w:jc w:val="center"/>
        <w:rPr>
          <w:rFonts w:ascii="Times New Roman" w:hAnsi="Times New Roman" w:cs="Times New Roman"/>
          <w:sz w:val="24"/>
          <w:szCs w:val="24"/>
        </w:rPr>
      </w:pPr>
      <w:r>
        <w:rPr>
          <w:rFonts w:ascii="Times New Roman" w:hAnsi="Times New Roman" w:cs="Times New Roman"/>
          <w:noProof/>
          <w:sz w:val="24"/>
          <w:szCs w:val="24"/>
          <w:lang w:eastAsia="tr-TR"/>
        </w:rPr>
        <w:lastRenderedPageBreak/>
        <w:drawing>
          <wp:inline distT="0" distB="0" distL="0" distR="0" wp14:anchorId="5D3F1CED" wp14:editId="59459925">
            <wp:extent cx="5819775" cy="3600450"/>
            <wp:effectExtent l="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819775" cy="3600450"/>
                    </a:xfrm>
                    <a:prstGeom prst="rect">
                      <a:avLst/>
                    </a:prstGeom>
                    <a:noFill/>
                  </pic:spPr>
                </pic:pic>
              </a:graphicData>
            </a:graphic>
          </wp:inline>
        </w:drawing>
      </w:r>
    </w:p>
    <w:p w:rsidR="009A47BF" w:rsidRPr="009A47BF" w:rsidRDefault="009A47BF" w:rsidP="00A0688A">
      <w:pPr>
        <w:spacing w:after="120" w:line="240" w:lineRule="auto"/>
        <w:ind w:firstLine="360"/>
        <w:jc w:val="center"/>
        <w:rPr>
          <w:rFonts w:ascii="Times New Roman" w:hAnsi="Times New Roman" w:cs="Times New Roman"/>
          <w:b/>
          <w:sz w:val="24"/>
          <w:szCs w:val="24"/>
        </w:rPr>
      </w:pPr>
      <w:r w:rsidRPr="009A47BF">
        <w:rPr>
          <w:rFonts w:ascii="Times New Roman" w:hAnsi="Times New Roman" w:cs="Times New Roman"/>
          <w:b/>
          <w:sz w:val="24"/>
          <w:szCs w:val="24"/>
        </w:rPr>
        <w:t>Şekil 2. Bankaların Ortalama Teknik Etkinlik Skorları</w:t>
      </w:r>
    </w:p>
    <w:p w:rsidR="00AD11B5" w:rsidRDefault="00AD11B5" w:rsidP="00A265E6">
      <w:pPr>
        <w:spacing w:after="120" w:line="240" w:lineRule="auto"/>
        <w:jc w:val="both"/>
        <w:rPr>
          <w:rFonts w:ascii="Times New Roman" w:hAnsi="Times New Roman" w:cs="Times New Roman"/>
          <w:sz w:val="24"/>
          <w:szCs w:val="24"/>
        </w:rPr>
      </w:pPr>
      <w:r w:rsidRPr="00AD11B5">
        <w:rPr>
          <w:rFonts w:ascii="Times New Roman" w:hAnsi="Times New Roman" w:cs="Times New Roman"/>
          <w:sz w:val="24"/>
          <w:szCs w:val="24"/>
        </w:rPr>
        <w:t>Teknik etkinli</w:t>
      </w:r>
      <w:r>
        <w:rPr>
          <w:rFonts w:ascii="Times New Roman" w:hAnsi="Times New Roman" w:cs="Times New Roman"/>
          <w:sz w:val="24"/>
          <w:szCs w:val="24"/>
        </w:rPr>
        <w:t>ğ</w:t>
      </w:r>
      <w:r w:rsidRPr="00AD11B5">
        <w:rPr>
          <w:rFonts w:ascii="Times New Roman" w:hAnsi="Times New Roman" w:cs="Times New Roman"/>
          <w:sz w:val="24"/>
          <w:szCs w:val="24"/>
        </w:rPr>
        <w:t>in yanında bir ba</w:t>
      </w:r>
      <w:r>
        <w:rPr>
          <w:rFonts w:ascii="Times New Roman" w:hAnsi="Times New Roman" w:cs="Times New Roman"/>
          <w:sz w:val="24"/>
          <w:szCs w:val="24"/>
        </w:rPr>
        <w:t>ş</w:t>
      </w:r>
      <w:r w:rsidRPr="00AD11B5">
        <w:rPr>
          <w:rFonts w:ascii="Times New Roman" w:hAnsi="Times New Roman" w:cs="Times New Roman"/>
          <w:sz w:val="24"/>
          <w:szCs w:val="24"/>
        </w:rPr>
        <w:t>ka performans</w:t>
      </w:r>
      <w:r>
        <w:rPr>
          <w:rFonts w:ascii="Times New Roman" w:hAnsi="Times New Roman" w:cs="Times New Roman"/>
          <w:sz w:val="24"/>
          <w:szCs w:val="24"/>
        </w:rPr>
        <w:t xml:space="preserve"> </w:t>
      </w:r>
      <w:r w:rsidR="002636A1">
        <w:rPr>
          <w:rFonts w:ascii="Times New Roman" w:hAnsi="Times New Roman" w:cs="Times New Roman"/>
          <w:sz w:val="24"/>
          <w:szCs w:val="24"/>
        </w:rPr>
        <w:t>göstergesi</w:t>
      </w:r>
      <w:r w:rsidRPr="00AD11B5">
        <w:rPr>
          <w:rFonts w:ascii="Times New Roman" w:hAnsi="Times New Roman" w:cs="Times New Roman"/>
          <w:sz w:val="24"/>
          <w:szCs w:val="24"/>
        </w:rPr>
        <w:t xml:space="preserve"> olarak en verimli ölçek büyüklü</w:t>
      </w:r>
      <w:r>
        <w:rPr>
          <w:rFonts w:ascii="Times New Roman" w:hAnsi="Times New Roman" w:cs="Times New Roman"/>
          <w:sz w:val="24"/>
          <w:szCs w:val="24"/>
        </w:rPr>
        <w:t>ğ</w:t>
      </w:r>
      <w:r w:rsidRPr="00AD11B5">
        <w:rPr>
          <w:rFonts w:ascii="Times New Roman" w:hAnsi="Times New Roman" w:cs="Times New Roman"/>
          <w:sz w:val="24"/>
          <w:szCs w:val="24"/>
        </w:rPr>
        <w:t>üne olan yakınlık ele alınmalıdır.</w:t>
      </w:r>
      <w:r>
        <w:rPr>
          <w:rFonts w:ascii="Times New Roman" w:hAnsi="Times New Roman" w:cs="Times New Roman"/>
          <w:sz w:val="24"/>
          <w:szCs w:val="24"/>
        </w:rPr>
        <w:t xml:space="preserve"> </w:t>
      </w:r>
      <w:r w:rsidRPr="00AD11B5">
        <w:rPr>
          <w:rFonts w:ascii="Times New Roman" w:hAnsi="Times New Roman" w:cs="Times New Roman"/>
          <w:sz w:val="24"/>
          <w:szCs w:val="24"/>
        </w:rPr>
        <w:t>Bu kavram ölçek etkinli</w:t>
      </w:r>
      <w:r>
        <w:rPr>
          <w:rFonts w:ascii="Times New Roman" w:hAnsi="Times New Roman" w:cs="Times New Roman"/>
          <w:sz w:val="24"/>
          <w:szCs w:val="24"/>
        </w:rPr>
        <w:t>ğ</w:t>
      </w:r>
      <w:r w:rsidRPr="00AD11B5">
        <w:rPr>
          <w:rFonts w:ascii="Times New Roman" w:hAnsi="Times New Roman" w:cs="Times New Roman"/>
          <w:sz w:val="24"/>
          <w:szCs w:val="24"/>
        </w:rPr>
        <w:t>i olarak ifade edilmektedir. CCR modelinden elde</w:t>
      </w:r>
      <w:r>
        <w:rPr>
          <w:rFonts w:ascii="Times New Roman" w:hAnsi="Times New Roman" w:cs="Times New Roman"/>
          <w:sz w:val="24"/>
          <w:szCs w:val="24"/>
        </w:rPr>
        <w:t xml:space="preserve"> </w:t>
      </w:r>
      <w:r w:rsidRPr="00AD11B5">
        <w:rPr>
          <w:rFonts w:ascii="Times New Roman" w:hAnsi="Times New Roman" w:cs="Times New Roman"/>
          <w:sz w:val="24"/>
          <w:szCs w:val="24"/>
        </w:rPr>
        <w:t>edilen toplam etkinlik de</w:t>
      </w:r>
      <w:r>
        <w:rPr>
          <w:rFonts w:ascii="Times New Roman" w:hAnsi="Times New Roman" w:cs="Times New Roman"/>
          <w:sz w:val="24"/>
          <w:szCs w:val="24"/>
        </w:rPr>
        <w:t>ğ</w:t>
      </w:r>
      <w:r w:rsidRPr="00AD11B5">
        <w:rPr>
          <w:rFonts w:ascii="Times New Roman" w:hAnsi="Times New Roman" w:cs="Times New Roman"/>
          <w:sz w:val="24"/>
          <w:szCs w:val="24"/>
        </w:rPr>
        <w:t>erinin BCC modelinden elde edilen teknik etkinlik</w:t>
      </w:r>
      <w:r>
        <w:rPr>
          <w:rFonts w:ascii="Times New Roman" w:hAnsi="Times New Roman" w:cs="Times New Roman"/>
          <w:sz w:val="24"/>
          <w:szCs w:val="24"/>
        </w:rPr>
        <w:t xml:space="preserve"> </w:t>
      </w:r>
      <w:r w:rsidRPr="00AD11B5">
        <w:rPr>
          <w:rFonts w:ascii="Times New Roman" w:hAnsi="Times New Roman" w:cs="Times New Roman"/>
          <w:sz w:val="24"/>
          <w:szCs w:val="24"/>
        </w:rPr>
        <w:t>de</w:t>
      </w:r>
      <w:r>
        <w:rPr>
          <w:rFonts w:ascii="Times New Roman" w:hAnsi="Times New Roman" w:cs="Times New Roman"/>
          <w:sz w:val="24"/>
          <w:szCs w:val="24"/>
        </w:rPr>
        <w:t>ğ</w:t>
      </w:r>
      <w:r w:rsidRPr="00AD11B5">
        <w:rPr>
          <w:rFonts w:ascii="Times New Roman" w:hAnsi="Times New Roman" w:cs="Times New Roman"/>
          <w:sz w:val="24"/>
          <w:szCs w:val="24"/>
        </w:rPr>
        <w:t>erine oranlanmasıyla ölçek etkinli</w:t>
      </w:r>
      <w:r>
        <w:rPr>
          <w:rFonts w:ascii="Times New Roman" w:hAnsi="Times New Roman" w:cs="Times New Roman"/>
          <w:sz w:val="24"/>
          <w:szCs w:val="24"/>
        </w:rPr>
        <w:t>ğ</w:t>
      </w:r>
      <w:r w:rsidRPr="00AD11B5">
        <w:rPr>
          <w:rFonts w:ascii="Times New Roman" w:hAnsi="Times New Roman" w:cs="Times New Roman"/>
          <w:sz w:val="24"/>
          <w:szCs w:val="24"/>
        </w:rPr>
        <w:t>i elde edilmektedir</w:t>
      </w:r>
      <w:r>
        <w:rPr>
          <w:rFonts w:ascii="Times New Roman" w:hAnsi="Times New Roman" w:cs="Times New Roman"/>
          <w:sz w:val="24"/>
          <w:szCs w:val="24"/>
        </w:rPr>
        <w:t xml:space="preserve"> Bir bankanın </w:t>
      </w:r>
      <w:r w:rsidRPr="00AD11B5">
        <w:rPr>
          <w:rFonts w:ascii="Times New Roman" w:hAnsi="Times New Roman" w:cs="Times New Roman"/>
          <w:sz w:val="24"/>
          <w:szCs w:val="24"/>
        </w:rPr>
        <w:t>ölçe</w:t>
      </w:r>
      <w:r>
        <w:rPr>
          <w:rFonts w:ascii="Times New Roman" w:hAnsi="Times New Roman" w:cs="Times New Roman"/>
          <w:sz w:val="24"/>
          <w:szCs w:val="24"/>
        </w:rPr>
        <w:t>ğ</w:t>
      </w:r>
      <w:r w:rsidRPr="00AD11B5">
        <w:rPr>
          <w:rFonts w:ascii="Times New Roman" w:hAnsi="Times New Roman" w:cs="Times New Roman"/>
          <w:sz w:val="24"/>
          <w:szCs w:val="24"/>
        </w:rPr>
        <w:t>e göre</w:t>
      </w:r>
      <w:r>
        <w:rPr>
          <w:rFonts w:ascii="Times New Roman" w:hAnsi="Times New Roman" w:cs="Times New Roman"/>
          <w:sz w:val="24"/>
          <w:szCs w:val="24"/>
        </w:rPr>
        <w:t xml:space="preserve"> </w:t>
      </w:r>
      <w:r w:rsidRPr="00AD11B5">
        <w:rPr>
          <w:rFonts w:ascii="Times New Roman" w:hAnsi="Times New Roman" w:cs="Times New Roman"/>
          <w:sz w:val="24"/>
          <w:szCs w:val="24"/>
        </w:rPr>
        <w:t>sabit getiri özelli</w:t>
      </w:r>
      <w:r>
        <w:rPr>
          <w:rFonts w:ascii="Times New Roman" w:hAnsi="Times New Roman" w:cs="Times New Roman"/>
          <w:sz w:val="24"/>
          <w:szCs w:val="24"/>
        </w:rPr>
        <w:t>ğ</w:t>
      </w:r>
      <w:r w:rsidRPr="00AD11B5">
        <w:rPr>
          <w:rFonts w:ascii="Times New Roman" w:hAnsi="Times New Roman" w:cs="Times New Roman"/>
          <w:sz w:val="24"/>
          <w:szCs w:val="24"/>
        </w:rPr>
        <w:t>i</w:t>
      </w:r>
      <w:r>
        <w:rPr>
          <w:rFonts w:ascii="Times New Roman" w:hAnsi="Times New Roman" w:cs="Times New Roman"/>
          <w:sz w:val="24"/>
          <w:szCs w:val="24"/>
        </w:rPr>
        <w:t>ne sahip olması</w:t>
      </w:r>
      <w:r w:rsidRPr="00AD11B5">
        <w:rPr>
          <w:rFonts w:ascii="Times New Roman" w:hAnsi="Times New Roman" w:cs="Times New Roman"/>
          <w:sz w:val="24"/>
          <w:szCs w:val="24"/>
        </w:rPr>
        <w:t xml:space="preserve"> </w:t>
      </w:r>
      <w:r>
        <w:rPr>
          <w:rFonts w:ascii="Times New Roman" w:hAnsi="Times New Roman" w:cs="Times New Roman"/>
          <w:sz w:val="24"/>
          <w:szCs w:val="24"/>
        </w:rPr>
        <w:t>girdi</w:t>
      </w:r>
      <w:r w:rsidRPr="00AD11B5">
        <w:rPr>
          <w:rFonts w:ascii="Times New Roman" w:hAnsi="Times New Roman" w:cs="Times New Roman"/>
          <w:sz w:val="24"/>
          <w:szCs w:val="24"/>
        </w:rPr>
        <w:t xml:space="preserve"> miktarları</w:t>
      </w:r>
      <w:r>
        <w:rPr>
          <w:rFonts w:ascii="Times New Roman" w:hAnsi="Times New Roman" w:cs="Times New Roman"/>
          <w:sz w:val="24"/>
          <w:szCs w:val="24"/>
        </w:rPr>
        <w:t xml:space="preserve">ndaki bir artış oranının çıktılarında da aynı oranda </w:t>
      </w:r>
      <w:r w:rsidRPr="00AD11B5">
        <w:rPr>
          <w:rFonts w:ascii="Times New Roman" w:hAnsi="Times New Roman" w:cs="Times New Roman"/>
          <w:sz w:val="24"/>
          <w:szCs w:val="24"/>
        </w:rPr>
        <w:t>artı</w:t>
      </w:r>
      <w:r>
        <w:rPr>
          <w:rFonts w:ascii="Times New Roman" w:hAnsi="Times New Roman" w:cs="Times New Roman"/>
          <w:sz w:val="24"/>
          <w:szCs w:val="24"/>
        </w:rPr>
        <w:t>şa neden olacağı</w:t>
      </w:r>
      <w:r w:rsidRPr="00AD11B5">
        <w:rPr>
          <w:rFonts w:ascii="Times New Roman" w:hAnsi="Times New Roman" w:cs="Times New Roman"/>
          <w:sz w:val="24"/>
          <w:szCs w:val="24"/>
        </w:rPr>
        <w:t xml:space="preserve"> </w:t>
      </w:r>
      <w:r>
        <w:rPr>
          <w:rFonts w:ascii="Times New Roman" w:hAnsi="Times New Roman" w:cs="Times New Roman"/>
          <w:sz w:val="24"/>
          <w:szCs w:val="24"/>
        </w:rPr>
        <w:t>anlamına gelmektedir.</w:t>
      </w:r>
      <w:r w:rsidRPr="00AD11B5">
        <w:rPr>
          <w:rFonts w:ascii="Times New Roman" w:hAnsi="Times New Roman" w:cs="Times New Roman"/>
          <w:sz w:val="24"/>
          <w:szCs w:val="24"/>
        </w:rPr>
        <w:t xml:space="preserve"> </w:t>
      </w:r>
      <w:r w:rsidR="00127A3C">
        <w:rPr>
          <w:rFonts w:ascii="Times New Roman" w:hAnsi="Times New Roman" w:cs="Times New Roman"/>
          <w:sz w:val="24"/>
          <w:szCs w:val="24"/>
        </w:rPr>
        <w:t>Bu özelliğe sahip olan bankaların</w:t>
      </w:r>
      <w:r w:rsidR="003D3375">
        <w:rPr>
          <w:rFonts w:ascii="Times New Roman" w:hAnsi="Times New Roman" w:cs="Times New Roman"/>
          <w:sz w:val="24"/>
          <w:szCs w:val="24"/>
        </w:rPr>
        <w:t>,</w:t>
      </w:r>
      <w:r w:rsidR="00127A3C">
        <w:rPr>
          <w:rFonts w:ascii="Times New Roman" w:hAnsi="Times New Roman" w:cs="Times New Roman"/>
          <w:sz w:val="24"/>
          <w:szCs w:val="24"/>
        </w:rPr>
        <w:t xml:space="preserve"> ölçek etkinliğine sahip olduğu kararına varılabilir. </w:t>
      </w:r>
      <w:r>
        <w:rPr>
          <w:rFonts w:ascii="Times New Roman" w:hAnsi="Times New Roman" w:cs="Times New Roman"/>
          <w:sz w:val="24"/>
          <w:szCs w:val="24"/>
        </w:rPr>
        <w:t xml:space="preserve">Ölçeğe </w:t>
      </w:r>
      <w:r w:rsidRPr="00AD11B5">
        <w:rPr>
          <w:rFonts w:ascii="Times New Roman" w:hAnsi="Times New Roman" w:cs="Times New Roman"/>
          <w:sz w:val="24"/>
          <w:szCs w:val="24"/>
        </w:rPr>
        <w:t>göre azalan getiri özelli</w:t>
      </w:r>
      <w:r>
        <w:rPr>
          <w:rFonts w:ascii="Times New Roman" w:hAnsi="Times New Roman" w:cs="Times New Roman"/>
          <w:sz w:val="24"/>
          <w:szCs w:val="24"/>
        </w:rPr>
        <w:t>ğ</w:t>
      </w:r>
      <w:r w:rsidRPr="00AD11B5">
        <w:rPr>
          <w:rFonts w:ascii="Times New Roman" w:hAnsi="Times New Roman" w:cs="Times New Roman"/>
          <w:sz w:val="24"/>
          <w:szCs w:val="24"/>
        </w:rPr>
        <w:t>i</w:t>
      </w:r>
      <w:r w:rsidR="00127A3C">
        <w:rPr>
          <w:rFonts w:ascii="Times New Roman" w:hAnsi="Times New Roman" w:cs="Times New Roman"/>
          <w:sz w:val="24"/>
          <w:szCs w:val="24"/>
        </w:rPr>
        <w:t>ne sahip bankalarda</w:t>
      </w:r>
      <w:r w:rsidRPr="00AD11B5">
        <w:rPr>
          <w:rFonts w:ascii="Times New Roman" w:hAnsi="Times New Roman" w:cs="Times New Roman"/>
          <w:sz w:val="24"/>
          <w:szCs w:val="24"/>
        </w:rPr>
        <w:t xml:space="preserve"> </w:t>
      </w:r>
      <w:r>
        <w:rPr>
          <w:rFonts w:ascii="Times New Roman" w:hAnsi="Times New Roman" w:cs="Times New Roman"/>
          <w:sz w:val="24"/>
          <w:szCs w:val="24"/>
        </w:rPr>
        <w:t xml:space="preserve">ise </w:t>
      </w:r>
      <w:r w:rsidRPr="00AD11B5">
        <w:rPr>
          <w:rFonts w:ascii="Times New Roman" w:hAnsi="Times New Roman" w:cs="Times New Roman"/>
          <w:sz w:val="24"/>
          <w:szCs w:val="24"/>
        </w:rPr>
        <w:t>girdileri aynı oranda arttırıldı</w:t>
      </w:r>
      <w:r>
        <w:rPr>
          <w:rFonts w:ascii="Times New Roman" w:hAnsi="Times New Roman" w:cs="Times New Roman"/>
          <w:sz w:val="24"/>
          <w:szCs w:val="24"/>
        </w:rPr>
        <w:t>ğ</w:t>
      </w:r>
      <w:r w:rsidRPr="00AD11B5">
        <w:rPr>
          <w:rFonts w:ascii="Times New Roman" w:hAnsi="Times New Roman" w:cs="Times New Roman"/>
          <w:sz w:val="24"/>
          <w:szCs w:val="24"/>
        </w:rPr>
        <w:t>ında çıktı seviyelerindeki artı</w:t>
      </w:r>
      <w:r>
        <w:rPr>
          <w:rFonts w:ascii="Times New Roman" w:hAnsi="Times New Roman" w:cs="Times New Roman"/>
          <w:sz w:val="24"/>
          <w:szCs w:val="24"/>
        </w:rPr>
        <w:t>ş</w:t>
      </w:r>
      <w:r w:rsidRPr="00AD11B5">
        <w:rPr>
          <w:rFonts w:ascii="Times New Roman" w:hAnsi="Times New Roman" w:cs="Times New Roman"/>
          <w:sz w:val="24"/>
          <w:szCs w:val="24"/>
        </w:rPr>
        <w:t>,</w:t>
      </w:r>
      <w:r>
        <w:rPr>
          <w:rFonts w:ascii="Times New Roman" w:hAnsi="Times New Roman" w:cs="Times New Roman"/>
          <w:sz w:val="24"/>
          <w:szCs w:val="24"/>
        </w:rPr>
        <w:t xml:space="preserve"> g</w:t>
      </w:r>
      <w:r w:rsidRPr="00AD11B5">
        <w:rPr>
          <w:rFonts w:ascii="Times New Roman" w:hAnsi="Times New Roman" w:cs="Times New Roman"/>
          <w:sz w:val="24"/>
          <w:szCs w:val="24"/>
        </w:rPr>
        <w:t>irdilerindeki artı</w:t>
      </w:r>
      <w:r w:rsidR="00127A3C">
        <w:rPr>
          <w:rFonts w:ascii="Times New Roman" w:hAnsi="Times New Roman" w:cs="Times New Roman"/>
          <w:sz w:val="24"/>
          <w:szCs w:val="24"/>
        </w:rPr>
        <w:t>ş</w:t>
      </w:r>
      <w:r w:rsidRPr="00AD11B5">
        <w:rPr>
          <w:rFonts w:ascii="Times New Roman" w:hAnsi="Times New Roman" w:cs="Times New Roman"/>
          <w:sz w:val="24"/>
          <w:szCs w:val="24"/>
        </w:rPr>
        <w:t xml:space="preserve"> oranı</w:t>
      </w:r>
      <w:r w:rsidR="00127A3C">
        <w:rPr>
          <w:rFonts w:ascii="Times New Roman" w:hAnsi="Times New Roman" w:cs="Times New Roman"/>
          <w:sz w:val="24"/>
          <w:szCs w:val="24"/>
        </w:rPr>
        <w:t>ndan daha az olacaktır</w:t>
      </w:r>
      <w:r w:rsidRPr="00AD11B5">
        <w:rPr>
          <w:rFonts w:ascii="Times New Roman" w:hAnsi="Times New Roman" w:cs="Times New Roman"/>
          <w:sz w:val="24"/>
          <w:szCs w:val="24"/>
        </w:rPr>
        <w:t xml:space="preserve">. </w:t>
      </w:r>
      <w:r w:rsidR="00127A3C">
        <w:rPr>
          <w:rFonts w:ascii="Times New Roman" w:hAnsi="Times New Roman" w:cs="Times New Roman"/>
          <w:sz w:val="24"/>
          <w:szCs w:val="24"/>
        </w:rPr>
        <w:t>Ölçeğe göre artan getiri ise</w:t>
      </w:r>
      <w:r w:rsidR="003D3375">
        <w:rPr>
          <w:rFonts w:ascii="Times New Roman" w:hAnsi="Times New Roman" w:cs="Times New Roman"/>
          <w:sz w:val="24"/>
          <w:szCs w:val="24"/>
        </w:rPr>
        <w:t>,</w:t>
      </w:r>
      <w:r w:rsidR="00127A3C">
        <w:rPr>
          <w:rFonts w:ascii="Times New Roman" w:hAnsi="Times New Roman" w:cs="Times New Roman"/>
          <w:sz w:val="24"/>
          <w:szCs w:val="24"/>
        </w:rPr>
        <w:t xml:space="preserve"> </w:t>
      </w:r>
      <w:r w:rsidRPr="00AD11B5">
        <w:rPr>
          <w:rFonts w:ascii="Times New Roman" w:hAnsi="Times New Roman" w:cs="Times New Roman"/>
          <w:sz w:val="24"/>
          <w:szCs w:val="24"/>
        </w:rPr>
        <w:t>girdileri</w:t>
      </w:r>
      <w:r>
        <w:rPr>
          <w:rFonts w:ascii="Times New Roman" w:hAnsi="Times New Roman" w:cs="Times New Roman"/>
          <w:sz w:val="24"/>
          <w:szCs w:val="24"/>
        </w:rPr>
        <w:t xml:space="preserve"> </w:t>
      </w:r>
      <w:r w:rsidRPr="00AD11B5">
        <w:rPr>
          <w:rFonts w:ascii="Times New Roman" w:hAnsi="Times New Roman" w:cs="Times New Roman"/>
          <w:sz w:val="24"/>
          <w:szCs w:val="24"/>
        </w:rPr>
        <w:t>aynı oranda arttırıldı</w:t>
      </w:r>
      <w:r w:rsidR="00127A3C">
        <w:rPr>
          <w:rFonts w:ascii="Times New Roman" w:hAnsi="Times New Roman" w:cs="Times New Roman"/>
          <w:sz w:val="24"/>
          <w:szCs w:val="24"/>
        </w:rPr>
        <w:t>ğ</w:t>
      </w:r>
      <w:r w:rsidRPr="00AD11B5">
        <w:rPr>
          <w:rFonts w:ascii="Times New Roman" w:hAnsi="Times New Roman" w:cs="Times New Roman"/>
          <w:sz w:val="24"/>
          <w:szCs w:val="24"/>
        </w:rPr>
        <w:t>ında çıktı seviyelerindeki artı</w:t>
      </w:r>
      <w:r w:rsidR="00127A3C">
        <w:rPr>
          <w:rFonts w:ascii="Times New Roman" w:hAnsi="Times New Roman" w:cs="Times New Roman"/>
          <w:sz w:val="24"/>
          <w:szCs w:val="24"/>
        </w:rPr>
        <w:t>ş</w:t>
      </w:r>
      <w:r w:rsidRPr="00AD11B5">
        <w:rPr>
          <w:rFonts w:ascii="Times New Roman" w:hAnsi="Times New Roman" w:cs="Times New Roman"/>
          <w:sz w:val="24"/>
          <w:szCs w:val="24"/>
        </w:rPr>
        <w:t xml:space="preserve">ın girdilerindeki </w:t>
      </w:r>
      <w:r>
        <w:rPr>
          <w:rFonts w:ascii="Times New Roman" w:hAnsi="Times New Roman" w:cs="Times New Roman"/>
          <w:sz w:val="24"/>
          <w:szCs w:val="24"/>
        </w:rPr>
        <w:t xml:space="preserve">artış </w:t>
      </w:r>
      <w:r w:rsidRPr="00AD11B5">
        <w:rPr>
          <w:rFonts w:ascii="Times New Roman" w:hAnsi="Times New Roman" w:cs="Times New Roman"/>
          <w:sz w:val="24"/>
          <w:szCs w:val="24"/>
        </w:rPr>
        <w:t>oranı</w:t>
      </w:r>
      <w:r w:rsidR="00127A3C">
        <w:rPr>
          <w:rFonts w:ascii="Times New Roman" w:hAnsi="Times New Roman" w:cs="Times New Roman"/>
          <w:sz w:val="24"/>
          <w:szCs w:val="24"/>
        </w:rPr>
        <w:t>ndan fazla olması anlamına gelmektedir.</w:t>
      </w:r>
      <w:r w:rsidRPr="00AD11B5">
        <w:rPr>
          <w:rFonts w:ascii="Times New Roman" w:hAnsi="Times New Roman" w:cs="Times New Roman"/>
          <w:sz w:val="24"/>
          <w:szCs w:val="24"/>
        </w:rPr>
        <w:t xml:space="preserve"> Ölçe</w:t>
      </w:r>
      <w:r w:rsidR="00127A3C">
        <w:rPr>
          <w:rFonts w:ascii="Times New Roman" w:hAnsi="Times New Roman" w:cs="Times New Roman"/>
          <w:sz w:val="24"/>
          <w:szCs w:val="24"/>
        </w:rPr>
        <w:t>ğ</w:t>
      </w:r>
      <w:r w:rsidRPr="00AD11B5">
        <w:rPr>
          <w:rFonts w:ascii="Times New Roman" w:hAnsi="Times New Roman" w:cs="Times New Roman"/>
          <w:sz w:val="24"/>
          <w:szCs w:val="24"/>
        </w:rPr>
        <w:t>e göre azalan getiri özelli</w:t>
      </w:r>
      <w:r w:rsidR="00127A3C">
        <w:rPr>
          <w:rFonts w:ascii="Times New Roman" w:hAnsi="Times New Roman" w:cs="Times New Roman"/>
          <w:sz w:val="24"/>
          <w:szCs w:val="24"/>
        </w:rPr>
        <w:t>ğ</w:t>
      </w:r>
      <w:r w:rsidRPr="00AD11B5">
        <w:rPr>
          <w:rFonts w:ascii="Times New Roman" w:hAnsi="Times New Roman" w:cs="Times New Roman"/>
          <w:sz w:val="24"/>
          <w:szCs w:val="24"/>
        </w:rPr>
        <w:t>ine sahip olan</w:t>
      </w:r>
      <w:r>
        <w:rPr>
          <w:rFonts w:ascii="Times New Roman" w:hAnsi="Times New Roman" w:cs="Times New Roman"/>
          <w:sz w:val="24"/>
          <w:szCs w:val="24"/>
        </w:rPr>
        <w:t xml:space="preserve"> </w:t>
      </w:r>
      <w:r w:rsidR="001B352B">
        <w:rPr>
          <w:rFonts w:ascii="Times New Roman" w:hAnsi="Times New Roman" w:cs="Times New Roman"/>
          <w:sz w:val="24"/>
          <w:szCs w:val="24"/>
        </w:rPr>
        <w:t>bankaların</w:t>
      </w:r>
      <w:r w:rsidRPr="00AD11B5">
        <w:rPr>
          <w:rFonts w:ascii="Times New Roman" w:hAnsi="Times New Roman" w:cs="Times New Roman"/>
          <w:sz w:val="24"/>
          <w:szCs w:val="24"/>
        </w:rPr>
        <w:t xml:space="preserve"> göreceli olarak kaynaklarını daha verimsiz kullandıkları,</w:t>
      </w:r>
      <w:r>
        <w:rPr>
          <w:rFonts w:ascii="Times New Roman" w:hAnsi="Times New Roman" w:cs="Times New Roman"/>
          <w:sz w:val="24"/>
          <w:szCs w:val="24"/>
        </w:rPr>
        <w:t xml:space="preserve"> </w:t>
      </w:r>
      <w:r w:rsidRPr="00AD11B5">
        <w:rPr>
          <w:rFonts w:ascii="Times New Roman" w:hAnsi="Times New Roman" w:cs="Times New Roman"/>
          <w:sz w:val="24"/>
          <w:szCs w:val="24"/>
        </w:rPr>
        <w:t>yatırım veya organik büyüme sürecinde oldukları sonuçlarına varılabilir</w:t>
      </w:r>
      <w:r w:rsidR="00127A3C">
        <w:rPr>
          <w:rFonts w:ascii="Times New Roman" w:hAnsi="Times New Roman" w:cs="Times New Roman"/>
          <w:sz w:val="24"/>
          <w:szCs w:val="24"/>
        </w:rPr>
        <w:t xml:space="preserve"> (Behdioğlu ve Özcan, 2009).</w:t>
      </w:r>
      <w:r w:rsidR="00127A3C">
        <w:rPr>
          <w:rFonts w:ascii="Times-Roman" w:hAnsi="Times-Roman" w:cs="Times-Roman"/>
          <w:sz w:val="19"/>
          <w:szCs w:val="19"/>
        </w:rPr>
        <w:t xml:space="preserve"> </w:t>
      </w:r>
    </w:p>
    <w:p w:rsidR="007D4FA4" w:rsidRDefault="00457BCE" w:rsidP="00A265E6">
      <w:pPr>
        <w:spacing w:after="120" w:line="240" w:lineRule="auto"/>
        <w:jc w:val="both"/>
        <w:rPr>
          <w:rFonts w:ascii="Times New Roman" w:hAnsi="Times New Roman" w:cs="Times New Roman"/>
          <w:sz w:val="24"/>
          <w:szCs w:val="24"/>
        </w:rPr>
      </w:pPr>
      <w:r w:rsidRPr="00457BCE">
        <w:rPr>
          <w:rFonts w:ascii="Times New Roman" w:hAnsi="Times New Roman" w:cs="Times New Roman"/>
          <w:sz w:val="24"/>
          <w:szCs w:val="24"/>
        </w:rPr>
        <w:t xml:space="preserve">Ölçeğe göre değişken getiri varsayımı altında çıktı odaklı yaklaşım çerçevesinde </w:t>
      </w:r>
      <w:r w:rsidR="00664A20">
        <w:rPr>
          <w:rFonts w:ascii="Times New Roman" w:hAnsi="Times New Roman" w:cs="Times New Roman"/>
          <w:sz w:val="24"/>
          <w:szCs w:val="24"/>
        </w:rPr>
        <w:t>V</w:t>
      </w:r>
      <w:r w:rsidR="006C312C">
        <w:rPr>
          <w:rFonts w:ascii="Times New Roman" w:hAnsi="Times New Roman" w:cs="Times New Roman"/>
          <w:sz w:val="24"/>
          <w:szCs w:val="24"/>
        </w:rPr>
        <w:t>Z</w:t>
      </w:r>
      <w:r w:rsidR="00664A20">
        <w:rPr>
          <w:rFonts w:ascii="Times New Roman" w:hAnsi="Times New Roman" w:cs="Times New Roman"/>
          <w:sz w:val="24"/>
          <w:szCs w:val="24"/>
        </w:rPr>
        <w:t>A</w:t>
      </w:r>
      <w:r w:rsidRPr="00457BCE">
        <w:rPr>
          <w:rFonts w:ascii="Times New Roman" w:hAnsi="Times New Roman" w:cs="Times New Roman"/>
          <w:sz w:val="24"/>
          <w:szCs w:val="24"/>
        </w:rPr>
        <w:t xml:space="preserve"> yöntemiyle hesaplanan </w:t>
      </w:r>
      <w:r w:rsidR="007F4D2A">
        <w:rPr>
          <w:rFonts w:ascii="Times New Roman" w:hAnsi="Times New Roman" w:cs="Times New Roman"/>
          <w:sz w:val="24"/>
          <w:szCs w:val="24"/>
        </w:rPr>
        <w:t xml:space="preserve">bankaların </w:t>
      </w:r>
      <w:r w:rsidRPr="00457BCE">
        <w:rPr>
          <w:rFonts w:ascii="Times New Roman" w:hAnsi="Times New Roman" w:cs="Times New Roman"/>
          <w:sz w:val="24"/>
          <w:szCs w:val="24"/>
        </w:rPr>
        <w:t>ölçek etkinlik</w:t>
      </w:r>
      <w:r>
        <w:rPr>
          <w:rFonts w:ascii="Times New Roman" w:hAnsi="Times New Roman" w:cs="Times New Roman"/>
          <w:sz w:val="24"/>
          <w:szCs w:val="24"/>
        </w:rPr>
        <w:t>leri</w:t>
      </w:r>
      <w:r w:rsidRPr="00457BCE">
        <w:rPr>
          <w:rFonts w:ascii="Times New Roman" w:hAnsi="Times New Roman" w:cs="Times New Roman"/>
          <w:sz w:val="24"/>
          <w:szCs w:val="24"/>
        </w:rPr>
        <w:t xml:space="preserve"> 2002–20</w:t>
      </w:r>
      <w:r>
        <w:rPr>
          <w:rFonts w:ascii="Times New Roman" w:hAnsi="Times New Roman" w:cs="Times New Roman"/>
          <w:sz w:val="24"/>
          <w:szCs w:val="24"/>
        </w:rPr>
        <w:t>13</w:t>
      </w:r>
      <w:r w:rsidRPr="00457BCE">
        <w:rPr>
          <w:rFonts w:ascii="Times New Roman" w:hAnsi="Times New Roman" w:cs="Times New Roman"/>
          <w:sz w:val="24"/>
          <w:szCs w:val="24"/>
        </w:rPr>
        <w:t xml:space="preserve"> dönemleri arasındaki her yıl için </w:t>
      </w:r>
      <w:r w:rsidR="00530B7C">
        <w:rPr>
          <w:rFonts w:ascii="Times New Roman" w:hAnsi="Times New Roman" w:cs="Times New Roman"/>
          <w:sz w:val="24"/>
          <w:szCs w:val="24"/>
        </w:rPr>
        <w:t>Çizelge</w:t>
      </w:r>
      <w:r>
        <w:rPr>
          <w:rFonts w:ascii="Times New Roman" w:hAnsi="Times New Roman" w:cs="Times New Roman"/>
          <w:sz w:val="24"/>
          <w:szCs w:val="24"/>
        </w:rPr>
        <w:t xml:space="preserve"> 3</w:t>
      </w:r>
      <w:r w:rsidRPr="00457BCE">
        <w:rPr>
          <w:rFonts w:ascii="Times New Roman" w:hAnsi="Times New Roman" w:cs="Times New Roman"/>
          <w:sz w:val="24"/>
          <w:szCs w:val="24"/>
        </w:rPr>
        <w:t>’de verilmiştir.</w:t>
      </w:r>
    </w:p>
    <w:p w:rsidR="00A265E6" w:rsidRDefault="00A265E6" w:rsidP="00A265E6">
      <w:pPr>
        <w:spacing w:after="120" w:line="240" w:lineRule="auto"/>
        <w:jc w:val="both"/>
        <w:rPr>
          <w:rFonts w:ascii="Times New Roman" w:hAnsi="Times New Roman" w:cs="Times New Roman"/>
          <w:sz w:val="24"/>
          <w:szCs w:val="24"/>
        </w:rPr>
      </w:pPr>
    </w:p>
    <w:p w:rsidR="00A265E6" w:rsidRDefault="00A265E6" w:rsidP="00A265E6">
      <w:pPr>
        <w:spacing w:after="120" w:line="240" w:lineRule="auto"/>
        <w:jc w:val="both"/>
        <w:rPr>
          <w:rFonts w:ascii="Times New Roman" w:hAnsi="Times New Roman" w:cs="Times New Roman"/>
          <w:sz w:val="24"/>
          <w:szCs w:val="24"/>
        </w:rPr>
      </w:pPr>
    </w:p>
    <w:p w:rsidR="00A265E6" w:rsidRDefault="00A265E6" w:rsidP="00A265E6">
      <w:pPr>
        <w:spacing w:after="120" w:line="240" w:lineRule="auto"/>
        <w:jc w:val="both"/>
        <w:rPr>
          <w:rFonts w:ascii="Times New Roman" w:hAnsi="Times New Roman" w:cs="Times New Roman"/>
          <w:sz w:val="24"/>
          <w:szCs w:val="24"/>
        </w:rPr>
      </w:pPr>
    </w:p>
    <w:p w:rsidR="00A265E6" w:rsidRDefault="00A265E6" w:rsidP="00A265E6">
      <w:pPr>
        <w:spacing w:after="120" w:line="240" w:lineRule="auto"/>
        <w:jc w:val="both"/>
        <w:rPr>
          <w:rFonts w:ascii="Times New Roman" w:hAnsi="Times New Roman" w:cs="Times New Roman"/>
          <w:sz w:val="24"/>
          <w:szCs w:val="24"/>
        </w:rPr>
      </w:pPr>
    </w:p>
    <w:p w:rsidR="00A265E6" w:rsidRDefault="00A265E6" w:rsidP="00A265E6">
      <w:pPr>
        <w:spacing w:after="120" w:line="240" w:lineRule="auto"/>
        <w:jc w:val="both"/>
        <w:rPr>
          <w:rFonts w:ascii="Times New Roman" w:hAnsi="Times New Roman" w:cs="Times New Roman"/>
          <w:sz w:val="24"/>
          <w:szCs w:val="24"/>
        </w:rPr>
      </w:pPr>
    </w:p>
    <w:p w:rsidR="00A265E6" w:rsidRDefault="00A265E6" w:rsidP="00A265E6">
      <w:pPr>
        <w:spacing w:after="120" w:line="240" w:lineRule="auto"/>
        <w:jc w:val="both"/>
        <w:rPr>
          <w:rFonts w:ascii="Times New Roman" w:hAnsi="Times New Roman" w:cs="Times New Roman"/>
          <w:sz w:val="24"/>
          <w:szCs w:val="24"/>
        </w:rPr>
      </w:pPr>
    </w:p>
    <w:p w:rsidR="00A265E6" w:rsidRDefault="00A265E6" w:rsidP="00A265E6">
      <w:pPr>
        <w:spacing w:after="120" w:line="240" w:lineRule="auto"/>
        <w:jc w:val="both"/>
        <w:rPr>
          <w:rFonts w:ascii="Times New Roman" w:hAnsi="Times New Roman" w:cs="Times New Roman"/>
          <w:sz w:val="24"/>
          <w:szCs w:val="24"/>
        </w:rPr>
      </w:pPr>
    </w:p>
    <w:p w:rsidR="00A265E6" w:rsidRDefault="00A265E6" w:rsidP="00A265E6">
      <w:pPr>
        <w:spacing w:after="120" w:line="240" w:lineRule="auto"/>
        <w:jc w:val="both"/>
        <w:rPr>
          <w:rFonts w:ascii="Times New Roman" w:hAnsi="Times New Roman" w:cs="Times New Roman"/>
          <w:sz w:val="24"/>
          <w:szCs w:val="24"/>
        </w:rPr>
      </w:pPr>
    </w:p>
    <w:p w:rsidR="00A265E6" w:rsidRDefault="00A265E6" w:rsidP="00A265E6">
      <w:pPr>
        <w:spacing w:after="120" w:line="240" w:lineRule="auto"/>
        <w:jc w:val="both"/>
        <w:rPr>
          <w:rFonts w:ascii="Times New Roman" w:hAnsi="Times New Roman" w:cs="Times New Roman"/>
          <w:sz w:val="24"/>
          <w:szCs w:val="24"/>
        </w:rPr>
      </w:pPr>
    </w:p>
    <w:tbl>
      <w:tblPr>
        <w:tblW w:w="5062" w:type="pct"/>
        <w:tblCellMar>
          <w:left w:w="70" w:type="dxa"/>
          <w:right w:w="70" w:type="dxa"/>
        </w:tblCellMar>
        <w:tblLook w:val="04A0" w:firstRow="1" w:lastRow="0" w:firstColumn="1" w:lastColumn="0" w:noHBand="0" w:noVBand="1"/>
      </w:tblPr>
      <w:tblGrid>
        <w:gridCol w:w="2843"/>
        <w:gridCol w:w="540"/>
        <w:gridCol w:w="540"/>
        <w:gridCol w:w="540"/>
        <w:gridCol w:w="540"/>
        <w:gridCol w:w="540"/>
        <w:gridCol w:w="540"/>
        <w:gridCol w:w="540"/>
        <w:gridCol w:w="540"/>
        <w:gridCol w:w="541"/>
        <w:gridCol w:w="541"/>
        <w:gridCol w:w="541"/>
        <w:gridCol w:w="540"/>
      </w:tblGrid>
      <w:tr w:rsidR="00004AC8" w:rsidRPr="00004AC8" w:rsidTr="00004AC8">
        <w:trPr>
          <w:trHeight w:val="284"/>
        </w:trPr>
        <w:tc>
          <w:tcPr>
            <w:tcW w:w="5000" w:type="pct"/>
            <w:gridSpan w:val="13"/>
            <w:tcBorders>
              <w:top w:val="nil"/>
              <w:left w:val="nil"/>
              <w:bottom w:val="single" w:sz="4" w:space="0" w:color="auto"/>
              <w:right w:val="nil"/>
            </w:tcBorders>
            <w:shd w:val="clear" w:color="auto" w:fill="auto"/>
            <w:noWrap/>
            <w:vAlign w:val="bottom"/>
            <w:hideMark/>
          </w:tcPr>
          <w:p w:rsidR="00004AC8" w:rsidRDefault="006C312C" w:rsidP="001B352B">
            <w:pPr>
              <w:pStyle w:val="AralkYok"/>
              <w:jc w:val="center"/>
              <w:rPr>
                <w:rFonts w:ascii="Times New Roman" w:hAnsi="Times New Roman" w:cs="Times New Roman"/>
                <w:b/>
                <w:lang w:eastAsia="tr-TR"/>
              </w:rPr>
            </w:pPr>
            <w:r>
              <w:rPr>
                <w:rFonts w:ascii="Times New Roman" w:hAnsi="Times New Roman" w:cs="Times New Roman"/>
                <w:b/>
                <w:lang w:eastAsia="tr-TR"/>
              </w:rPr>
              <w:t>Çizelge</w:t>
            </w:r>
            <w:r w:rsidR="001B352B">
              <w:rPr>
                <w:rFonts w:ascii="Times New Roman" w:hAnsi="Times New Roman" w:cs="Times New Roman"/>
                <w:b/>
                <w:lang w:eastAsia="tr-TR"/>
              </w:rPr>
              <w:t xml:space="preserve"> 3.</w:t>
            </w:r>
            <w:r w:rsidR="00004AC8" w:rsidRPr="00004AC8">
              <w:rPr>
                <w:rFonts w:ascii="Times New Roman" w:hAnsi="Times New Roman" w:cs="Times New Roman"/>
                <w:b/>
                <w:lang w:eastAsia="tr-TR"/>
              </w:rPr>
              <w:t xml:space="preserve"> Yıllara Göre Bankaların Ölçek Etkinlikleri</w:t>
            </w:r>
          </w:p>
          <w:p w:rsidR="001B352B" w:rsidRPr="00004AC8" w:rsidRDefault="001B352B" w:rsidP="001B352B">
            <w:pPr>
              <w:pStyle w:val="AralkYok"/>
              <w:jc w:val="center"/>
              <w:rPr>
                <w:rFonts w:ascii="Times New Roman" w:hAnsi="Times New Roman" w:cs="Times New Roman"/>
                <w:b/>
                <w:lang w:eastAsia="tr-TR"/>
              </w:rPr>
            </w:pPr>
          </w:p>
        </w:tc>
      </w:tr>
      <w:tr w:rsidR="00004AC8" w:rsidRPr="00004AC8" w:rsidTr="00413259">
        <w:trPr>
          <w:trHeight w:val="284"/>
        </w:trPr>
        <w:tc>
          <w:tcPr>
            <w:tcW w:w="15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p>
        </w:tc>
        <w:tc>
          <w:tcPr>
            <w:tcW w:w="290" w:type="pct"/>
            <w:tcBorders>
              <w:left w:val="single" w:sz="4" w:space="0" w:color="auto"/>
              <w:bottom w:val="single" w:sz="4" w:space="0" w:color="auto"/>
            </w:tcBorders>
            <w:shd w:val="clear" w:color="auto" w:fill="auto"/>
            <w:noWrap/>
            <w:vAlign w:val="center"/>
            <w:hideMark/>
          </w:tcPr>
          <w:p w:rsidR="00004AC8" w:rsidRPr="001B352B" w:rsidRDefault="00004AC8" w:rsidP="00EB5058">
            <w:pPr>
              <w:pStyle w:val="AralkYok"/>
              <w:rPr>
                <w:rFonts w:ascii="Times New Roman" w:hAnsi="Times New Roman" w:cs="Times New Roman"/>
                <w:b/>
                <w:sz w:val="20"/>
                <w:szCs w:val="20"/>
                <w:lang w:eastAsia="tr-TR"/>
              </w:rPr>
            </w:pPr>
            <w:r w:rsidRPr="001B352B">
              <w:rPr>
                <w:rFonts w:ascii="Times New Roman" w:hAnsi="Times New Roman" w:cs="Times New Roman"/>
                <w:b/>
                <w:sz w:val="20"/>
                <w:szCs w:val="20"/>
                <w:lang w:eastAsia="tr-TR"/>
              </w:rPr>
              <w:t>2002</w:t>
            </w:r>
          </w:p>
        </w:tc>
        <w:tc>
          <w:tcPr>
            <w:tcW w:w="290" w:type="pct"/>
            <w:tcBorders>
              <w:bottom w:val="single" w:sz="4" w:space="0" w:color="auto"/>
            </w:tcBorders>
            <w:shd w:val="clear" w:color="auto" w:fill="auto"/>
            <w:noWrap/>
            <w:vAlign w:val="center"/>
            <w:hideMark/>
          </w:tcPr>
          <w:p w:rsidR="00004AC8" w:rsidRPr="001B352B" w:rsidRDefault="00004AC8" w:rsidP="00EB5058">
            <w:pPr>
              <w:pStyle w:val="AralkYok"/>
              <w:rPr>
                <w:rFonts w:ascii="Times New Roman" w:hAnsi="Times New Roman" w:cs="Times New Roman"/>
                <w:b/>
                <w:sz w:val="20"/>
                <w:szCs w:val="20"/>
                <w:lang w:eastAsia="tr-TR"/>
              </w:rPr>
            </w:pPr>
            <w:r w:rsidRPr="001B352B">
              <w:rPr>
                <w:rFonts w:ascii="Times New Roman" w:hAnsi="Times New Roman" w:cs="Times New Roman"/>
                <w:b/>
                <w:sz w:val="20"/>
                <w:szCs w:val="20"/>
                <w:lang w:eastAsia="tr-TR"/>
              </w:rPr>
              <w:t>2003</w:t>
            </w:r>
          </w:p>
        </w:tc>
        <w:tc>
          <w:tcPr>
            <w:tcW w:w="290" w:type="pct"/>
            <w:tcBorders>
              <w:bottom w:val="single" w:sz="4" w:space="0" w:color="auto"/>
            </w:tcBorders>
            <w:shd w:val="clear" w:color="auto" w:fill="auto"/>
            <w:noWrap/>
            <w:vAlign w:val="center"/>
            <w:hideMark/>
          </w:tcPr>
          <w:p w:rsidR="00004AC8" w:rsidRPr="001B352B" w:rsidRDefault="00004AC8" w:rsidP="00EB5058">
            <w:pPr>
              <w:pStyle w:val="AralkYok"/>
              <w:rPr>
                <w:rFonts w:ascii="Times New Roman" w:hAnsi="Times New Roman" w:cs="Times New Roman"/>
                <w:b/>
                <w:sz w:val="20"/>
                <w:szCs w:val="20"/>
                <w:lang w:eastAsia="tr-TR"/>
              </w:rPr>
            </w:pPr>
            <w:r w:rsidRPr="001B352B">
              <w:rPr>
                <w:rFonts w:ascii="Times New Roman" w:hAnsi="Times New Roman" w:cs="Times New Roman"/>
                <w:b/>
                <w:sz w:val="20"/>
                <w:szCs w:val="20"/>
                <w:lang w:eastAsia="tr-TR"/>
              </w:rPr>
              <w:t>2004</w:t>
            </w:r>
          </w:p>
        </w:tc>
        <w:tc>
          <w:tcPr>
            <w:tcW w:w="290" w:type="pct"/>
            <w:tcBorders>
              <w:bottom w:val="single" w:sz="4" w:space="0" w:color="auto"/>
            </w:tcBorders>
            <w:shd w:val="clear" w:color="auto" w:fill="auto"/>
            <w:noWrap/>
            <w:vAlign w:val="center"/>
            <w:hideMark/>
          </w:tcPr>
          <w:p w:rsidR="00004AC8" w:rsidRPr="001B352B" w:rsidRDefault="00004AC8" w:rsidP="00EB5058">
            <w:pPr>
              <w:pStyle w:val="AralkYok"/>
              <w:rPr>
                <w:rFonts w:ascii="Times New Roman" w:hAnsi="Times New Roman" w:cs="Times New Roman"/>
                <w:b/>
                <w:sz w:val="20"/>
                <w:szCs w:val="20"/>
                <w:lang w:eastAsia="tr-TR"/>
              </w:rPr>
            </w:pPr>
            <w:r w:rsidRPr="001B352B">
              <w:rPr>
                <w:rFonts w:ascii="Times New Roman" w:hAnsi="Times New Roman" w:cs="Times New Roman"/>
                <w:b/>
                <w:sz w:val="20"/>
                <w:szCs w:val="20"/>
                <w:lang w:eastAsia="tr-TR"/>
              </w:rPr>
              <w:t>2005</w:t>
            </w:r>
          </w:p>
        </w:tc>
        <w:tc>
          <w:tcPr>
            <w:tcW w:w="290" w:type="pct"/>
            <w:tcBorders>
              <w:bottom w:val="single" w:sz="4" w:space="0" w:color="auto"/>
            </w:tcBorders>
            <w:shd w:val="clear" w:color="auto" w:fill="auto"/>
            <w:noWrap/>
            <w:vAlign w:val="center"/>
            <w:hideMark/>
          </w:tcPr>
          <w:p w:rsidR="00004AC8" w:rsidRPr="001B352B" w:rsidRDefault="00004AC8" w:rsidP="00EB5058">
            <w:pPr>
              <w:pStyle w:val="AralkYok"/>
              <w:rPr>
                <w:rFonts w:ascii="Times New Roman" w:hAnsi="Times New Roman" w:cs="Times New Roman"/>
                <w:b/>
                <w:sz w:val="20"/>
                <w:szCs w:val="20"/>
                <w:lang w:eastAsia="tr-TR"/>
              </w:rPr>
            </w:pPr>
            <w:r w:rsidRPr="001B352B">
              <w:rPr>
                <w:rFonts w:ascii="Times New Roman" w:hAnsi="Times New Roman" w:cs="Times New Roman"/>
                <w:b/>
                <w:sz w:val="20"/>
                <w:szCs w:val="20"/>
                <w:lang w:eastAsia="tr-TR"/>
              </w:rPr>
              <w:t>2006</w:t>
            </w:r>
          </w:p>
        </w:tc>
        <w:tc>
          <w:tcPr>
            <w:tcW w:w="290" w:type="pct"/>
            <w:tcBorders>
              <w:bottom w:val="single" w:sz="4" w:space="0" w:color="auto"/>
            </w:tcBorders>
            <w:shd w:val="clear" w:color="auto" w:fill="auto"/>
            <w:noWrap/>
            <w:vAlign w:val="center"/>
            <w:hideMark/>
          </w:tcPr>
          <w:p w:rsidR="00004AC8" w:rsidRPr="001B352B" w:rsidRDefault="00004AC8" w:rsidP="00EB5058">
            <w:pPr>
              <w:pStyle w:val="AralkYok"/>
              <w:rPr>
                <w:rFonts w:ascii="Times New Roman" w:hAnsi="Times New Roman" w:cs="Times New Roman"/>
                <w:b/>
                <w:sz w:val="20"/>
                <w:szCs w:val="20"/>
                <w:lang w:eastAsia="tr-TR"/>
              </w:rPr>
            </w:pPr>
            <w:r w:rsidRPr="001B352B">
              <w:rPr>
                <w:rFonts w:ascii="Times New Roman" w:hAnsi="Times New Roman" w:cs="Times New Roman"/>
                <w:b/>
                <w:sz w:val="20"/>
                <w:szCs w:val="20"/>
                <w:lang w:eastAsia="tr-TR"/>
              </w:rPr>
              <w:t>2007</w:t>
            </w:r>
          </w:p>
        </w:tc>
        <w:tc>
          <w:tcPr>
            <w:tcW w:w="290" w:type="pct"/>
            <w:tcBorders>
              <w:bottom w:val="single" w:sz="4" w:space="0" w:color="auto"/>
            </w:tcBorders>
            <w:shd w:val="clear" w:color="auto" w:fill="auto"/>
            <w:noWrap/>
            <w:vAlign w:val="center"/>
            <w:hideMark/>
          </w:tcPr>
          <w:p w:rsidR="00004AC8" w:rsidRPr="001B352B" w:rsidRDefault="00004AC8" w:rsidP="00EB5058">
            <w:pPr>
              <w:pStyle w:val="AralkYok"/>
              <w:rPr>
                <w:rFonts w:ascii="Times New Roman" w:hAnsi="Times New Roman" w:cs="Times New Roman"/>
                <w:b/>
                <w:sz w:val="20"/>
                <w:szCs w:val="20"/>
                <w:lang w:eastAsia="tr-TR"/>
              </w:rPr>
            </w:pPr>
            <w:r w:rsidRPr="001B352B">
              <w:rPr>
                <w:rFonts w:ascii="Times New Roman" w:hAnsi="Times New Roman" w:cs="Times New Roman"/>
                <w:b/>
                <w:sz w:val="20"/>
                <w:szCs w:val="20"/>
                <w:lang w:eastAsia="tr-TR"/>
              </w:rPr>
              <w:t>2008</w:t>
            </w:r>
          </w:p>
        </w:tc>
        <w:tc>
          <w:tcPr>
            <w:tcW w:w="290" w:type="pct"/>
            <w:tcBorders>
              <w:bottom w:val="single" w:sz="4" w:space="0" w:color="auto"/>
            </w:tcBorders>
            <w:shd w:val="clear" w:color="auto" w:fill="auto"/>
            <w:noWrap/>
            <w:vAlign w:val="center"/>
            <w:hideMark/>
          </w:tcPr>
          <w:p w:rsidR="00004AC8" w:rsidRPr="001B352B" w:rsidRDefault="00004AC8" w:rsidP="00EB5058">
            <w:pPr>
              <w:pStyle w:val="AralkYok"/>
              <w:rPr>
                <w:rFonts w:ascii="Times New Roman" w:hAnsi="Times New Roman" w:cs="Times New Roman"/>
                <w:b/>
                <w:sz w:val="20"/>
                <w:szCs w:val="20"/>
                <w:lang w:eastAsia="tr-TR"/>
              </w:rPr>
            </w:pPr>
            <w:r w:rsidRPr="001B352B">
              <w:rPr>
                <w:rFonts w:ascii="Times New Roman" w:hAnsi="Times New Roman" w:cs="Times New Roman"/>
                <w:b/>
                <w:sz w:val="20"/>
                <w:szCs w:val="20"/>
                <w:lang w:eastAsia="tr-TR"/>
              </w:rPr>
              <w:t>2009</w:t>
            </w:r>
          </w:p>
        </w:tc>
        <w:tc>
          <w:tcPr>
            <w:tcW w:w="290" w:type="pct"/>
            <w:tcBorders>
              <w:bottom w:val="single" w:sz="4" w:space="0" w:color="auto"/>
            </w:tcBorders>
            <w:shd w:val="clear" w:color="auto" w:fill="auto"/>
            <w:noWrap/>
            <w:vAlign w:val="center"/>
            <w:hideMark/>
          </w:tcPr>
          <w:p w:rsidR="00004AC8" w:rsidRPr="001B352B" w:rsidRDefault="00004AC8" w:rsidP="00EB5058">
            <w:pPr>
              <w:pStyle w:val="AralkYok"/>
              <w:rPr>
                <w:rFonts w:ascii="Times New Roman" w:hAnsi="Times New Roman" w:cs="Times New Roman"/>
                <w:b/>
                <w:sz w:val="20"/>
                <w:szCs w:val="20"/>
                <w:lang w:eastAsia="tr-TR"/>
              </w:rPr>
            </w:pPr>
            <w:r w:rsidRPr="001B352B">
              <w:rPr>
                <w:rFonts w:ascii="Times New Roman" w:hAnsi="Times New Roman" w:cs="Times New Roman"/>
                <w:b/>
                <w:sz w:val="20"/>
                <w:szCs w:val="20"/>
                <w:lang w:eastAsia="tr-TR"/>
              </w:rPr>
              <w:t>2010</w:t>
            </w:r>
          </w:p>
        </w:tc>
        <w:tc>
          <w:tcPr>
            <w:tcW w:w="290" w:type="pct"/>
            <w:tcBorders>
              <w:bottom w:val="single" w:sz="4" w:space="0" w:color="auto"/>
            </w:tcBorders>
            <w:shd w:val="clear" w:color="auto" w:fill="auto"/>
            <w:noWrap/>
            <w:vAlign w:val="center"/>
            <w:hideMark/>
          </w:tcPr>
          <w:p w:rsidR="00004AC8" w:rsidRPr="001B352B" w:rsidRDefault="00004AC8" w:rsidP="00EB5058">
            <w:pPr>
              <w:pStyle w:val="AralkYok"/>
              <w:rPr>
                <w:rFonts w:ascii="Times New Roman" w:hAnsi="Times New Roman" w:cs="Times New Roman"/>
                <w:b/>
                <w:sz w:val="20"/>
                <w:szCs w:val="20"/>
                <w:lang w:eastAsia="tr-TR"/>
              </w:rPr>
            </w:pPr>
            <w:r w:rsidRPr="001B352B">
              <w:rPr>
                <w:rFonts w:ascii="Times New Roman" w:hAnsi="Times New Roman" w:cs="Times New Roman"/>
                <w:b/>
                <w:sz w:val="20"/>
                <w:szCs w:val="20"/>
                <w:lang w:eastAsia="tr-TR"/>
              </w:rPr>
              <w:t>2011</w:t>
            </w:r>
          </w:p>
        </w:tc>
        <w:tc>
          <w:tcPr>
            <w:tcW w:w="290" w:type="pct"/>
            <w:tcBorders>
              <w:bottom w:val="single" w:sz="4" w:space="0" w:color="auto"/>
            </w:tcBorders>
            <w:shd w:val="clear" w:color="auto" w:fill="auto"/>
            <w:noWrap/>
            <w:vAlign w:val="center"/>
            <w:hideMark/>
          </w:tcPr>
          <w:p w:rsidR="00004AC8" w:rsidRPr="001B352B" w:rsidRDefault="00004AC8" w:rsidP="00EB5058">
            <w:pPr>
              <w:pStyle w:val="AralkYok"/>
              <w:rPr>
                <w:rFonts w:ascii="Times New Roman" w:hAnsi="Times New Roman" w:cs="Times New Roman"/>
                <w:b/>
                <w:sz w:val="20"/>
                <w:szCs w:val="20"/>
                <w:lang w:eastAsia="tr-TR"/>
              </w:rPr>
            </w:pPr>
            <w:r w:rsidRPr="001B352B">
              <w:rPr>
                <w:rFonts w:ascii="Times New Roman" w:hAnsi="Times New Roman" w:cs="Times New Roman"/>
                <w:b/>
                <w:sz w:val="20"/>
                <w:szCs w:val="20"/>
                <w:lang w:eastAsia="tr-TR"/>
              </w:rPr>
              <w:t>2012</w:t>
            </w:r>
          </w:p>
        </w:tc>
        <w:tc>
          <w:tcPr>
            <w:tcW w:w="290" w:type="pct"/>
            <w:tcBorders>
              <w:bottom w:val="single" w:sz="4" w:space="0" w:color="auto"/>
              <w:right w:val="single" w:sz="4" w:space="0" w:color="auto"/>
            </w:tcBorders>
            <w:shd w:val="clear" w:color="auto" w:fill="auto"/>
            <w:noWrap/>
            <w:vAlign w:val="center"/>
            <w:hideMark/>
          </w:tcPr>
          <w:p w:rsidR="00004AC8" w:rsidRPr="001B352B" w:rsidRDefault="00004AC8" w:rsidP="00EB5058">
            <w:pPr>
              <w:pStyle w:val="AralkYok"/>
              <w:rPr>
                <w:rFonts w:ascii="Times New Roman" w:hAnsi="Times New Roman" w:cs="Times New Roman"/>
                <w:b/>
                <w:sz w:val="20"/>
                <w:szCs w:val="20"/>
                <w:lang w:eastAsia="tr-TR"/>
              </w:rPr>
            </w:pPr>
            <w:r w:rsidRPr="001B352B">
              <w:rPr>
                <w:rFonts w:ascii="Times New Roman" w:hAnsi="Times New Roman" w:cs="Times New Roman"/>
                <w:b/>
                <w:sz w:val="20"/>
                <w:szCs w:val="20"/>
                <w:lang w:eastAsia="tr-TR"/>
              </w:rPr>
              <w:t>2013</w:t>
            </w:r>
          </w:p>
        </w:tc>
      </w:tr>
      <w:tr w:rsidR="00004AC8" w:rsidRPr="00004AC8" w:rsidTr="00413259">
        <w:trPr>
          <w:trHeight w:val="284"/>
        </w:trPr>
        <w:tc>
          <w:tcPr>
            <w:tcW w:w="15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Akbank T.A.Ş.</w:t>
            </w:r>
          </w:p>
        </w:tc>
        <w:tc>
          <w:tcPr>
            <w:tcW w:w="290" w:type="pct"/>
            <w:tcBorders>
              <w:top w:val="single" w:sz="4" w:space="0" w:color="auto"/>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single" w:sz="4" w:space="0" w:color="auto"/>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single" w:sz="4" w:space="0" w:color="auto"/>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single" w:sz="4" w:space="0" w:color="auto"/>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single" w:sz="4" w:space="0" w:color="auto"/>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single" w:sz="4" w:space="0" w:color="auto"/>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single" w:sz="4" w:space="0" w:color="auto"/>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single" w:sz="4" w:space="0" w:color="auto"/>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single" w:sz="4" w:space="0" w:color="auto"/>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single" w:sz="4" w:space="0" w:color="auto"/>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single" w:sz="4" w:space="0" w:color="auto"/>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single" w:sz="4" w:space="0" w:color="auto"/>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Alternatifbank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Anadolubank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Arap Türk Bankası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Citibank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Denizbank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Finans Bank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Habib Bank Limited</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HSBC Bank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ING Bank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Şekerbank T.A.Ş.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Tekstil Bankası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Turkish Bank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Turkland Bank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Türk Ekonomi Bankası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BD4E02" w:rsidP="00EB5058">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 xml:space="preserve">T. C. </w:t>
            </w:r>
            <w:r w:rsidR="00004AC8" w:rsidRPr="00004AC8">
              <w:rPr>
                <w:rFonts w:ascii="Times New Roman" w:hAnsi="Times New Roman" w:cs="Times New Roman"/>
                <w:sz w:val="20"/>
                <w:szCs w:val="20"/>
                <w:lang w:eastAsia="tr-TR"/>
              </w:rPr>
              <w:t>Ziraat Bankası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Türkiye Garanti Bankası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Türkiye Halk Bankası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Türkiye İş Bankası 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Türkiye Vakıflar Bankası T.A.Ş.</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nil"/>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413259">
        <w:trPr>
          <w:trHeight w:val="284"/>
        </w:trPr>
        <w:tc>
          <w:tcPr>
            <w:tcW w:w="1525" w:type="pct"/>
            <w:tcBorders>
              <w:top w:val="nil"/>
              <w:left w:val="single" w:sz="4" w:space="0" w:color="auto"/>
              <w:bottom w:val="single" w:sz="4" w:space="0" w:color="auto"/>
              <w:right w:val="single" w:sz="4" w:space="0" w:color="auto"/>
            </w:tcBorders>
            <w:shd w:val="clear" w:color="auto" w:fill="auto"/>
            <w:noWrap/>
            <w:vAlign w:val="bottom"/>
            <w:hideMark/>
          </w:tcPr>
          <w:p w:rsidR="00004AC8" w:rsidRPr="00004AC8" w:rsidRDefault="00004AC8" w:rsidP="00EB5058">
            <w:pPr>
              <w:pStyle w:val="AralkYok"/>
              <w:rPr>
                <w:rFonts w:ascii="Times New Roman" w:hAnsi="Times New Roman" w:cs="Times New Roman"/>
                <w:sz w:val="20"/>
                <w:szCs w:val="20"/>
                <w:lang w:eastAsia="tr-TR"/>
              </w:rPr>
            </w:pPr>
            <w:r w:rsidRPr="00004AC8">
              <w:rPr>
                <w:rFonts w:ascii="Times New Roman" w:hAnsi="Times New Roman" w:cs="Times New Roman"/>
                <w:sz w:val="20"/>
                <w:szCs w:val="20"/>
                <w:lang w:eastAsia="tr-TR"/>
              </w:rPr>
              <w:t>Yapı ve Kredi Bankası A.Ş.</w:t>
            </w:r>
          </w:p>
        </w:tc>
        <w:tc>
          <w:tcPr>
            <w:tcW w:w="290" w:type="pct"/>
            <w:tcBorders>
              <w:top w:val="nil"/>
              <w:left w:val="nil"/>
              <w:bottom w:val="single" w:sz="4" w:space="0" w:color="auto"/>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single" w:sz="4" w:space="0" w:color="auto"/>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single" w:sz="4" w:space="0" w:color="auto"/>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single" w:sz="4" w:space="0" w:color="auto"/>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single" w:sz="4" w:space="0" w:color="auto"/>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single" w:sz="4" w:space="0" w:color="auto"/>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single" w:sz="4" w:space="0" w:color="auto"/>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single" w:sz="4" w:space="0" w:color="auto"/>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single" w:sz="4" w:space="0" w:color="auto"/>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single" w:sz="4" w:space="0" w:color="auto"/>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single" w:sz="4" w:space="0" w:color="auto"/>
              <w:right w:val="nil"/>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c>
          <w:tcPr>
            <w:tcW w:w="290" w:type="pct"/>
            <w:tcBorders>
              <w:top w:val="nil"/>
              <w:left w:val="nil"/>
              <w:bottom w:val="single" w:sz="4" w:space="0" w:color="auto"/>
              <w:right w:val="single" w:sz="4" w:space="0" w:color="auto"/>
            </w:tcBorders>
            <w:shd w:val="clear" w:color="auto" w:fill="auto"/>
            <w:noWrap/>
            <w:hideMark/>
          </w:tcPr>
          <w:p w:rsidR="00004AC8" w:rsidRPr="00004AC8" w:rsidRDefault="00004AC8" w:rsidP="00EB5058">
            <w:pPr>
              <w:autoSpaceDE w:val="0"/>
              <w:autoSpaceDN w:val="0"/>
              <w:adjustRightInd w:val="0"/>
              <w:spacing w:after="0" w:line="240" w:lineRule="auto"/>
              <w:jc w:val="center"/>
              <w:rPr>
                <w:rFonts w:ascii="Calibri" w:hAnsi="Calibri" w:cs="Calibri"/>
                <w:color w:val="000000"/>
                <w:sz w:val="20"/>
                <w:szCs w:val="20"/>
              </w:rPr>
            </w:pPr>
            <w:r w:rsidRPr="00004AC8">
              <w:rPr>
                <w:rFonts w:ascii="Calibri" w:hAnsi="Calibri" w:cs="Calibri"/>
                <w:color w:val="000000"/>
                <w:sz w:val="20"/>
                <w:szCs w:val="20"/>
              </w:rPr>
              <w:t>↓</w:t>
            </w:r>
          </w:p>
        </w:tc>
      </w:tr>
      <w:tr w:rsidR="00004AC8" w:rsidRPr="00004AC8" w:rsidTr="00004AC8">
        <w:trPr>
          <w:trHeight w:val="284"/>
        </w:trPr>
        <w:tc>
          <w:tcPr>
            <w:tcW w:w="5000" w:type="pct"/>
            <w:gridSpan w:val="13"/>
            <w:tcBorders>
              <w:top w:val="single" w:sz="4" w:space="0" w:color="auto"/>
              <w:left w:val="nil"/>
              <w:bottom w:val="nil"/>
              <w:right w:val="nil"/>
            </w:tcBorders>
            <w:shd w:val="clear" w:color="auto" w:fill="auto"/>
            <w:noWrap/>
            <w:vAlign w:val="center"/>
            <w:hideMark/>
          </w:tcPr>
          <w:p w:rsidR="00004AC8" w:rsidRPr="00232A53" w:rsidRDefault="00004AC8" w:rsidP="00EB5058">
            <w:pPr>
              <w:pStyle w:val="AralkYok"/>
              <w:rPr>
                <w:rFonts w:ascii="Times New Roman" w:hAnsi="Times New Roman" w:cs="Times New Roman"/>
                <w:i/>
                <w:lang w:eastAsia="tr-TR"/>
              </w:rPr>
            </w:pPr>
            <w:r w:rsidRPr="00232A53">
              <w:rPr>
                <w:rFonts w:ascii="Calibri" w:hAnsi="Calibri" w:cs="Calibri"/>
                <w:i/>
                <w:color w:val="000000"/>
              </w:rPr>
              <w:t>↓</w:t>
            </w:r>
            <w:r w:rsidR="00232A53">
              <w:rPr>
                <w:rFonts w:ascii="Times New Roman" w:hAnsi="Times New Roman" w:cs="Times New Roman"/>
                <w:i/>
                <w:lang w:eastAsia="tr-TR"/>
              </w:rPr>
              <w:t>:Azalan G</w:t>
            </w:r>
            <w:r w:rsidRPr="00232A53">
              <w:rPr>
                <w:rFonts w:ascii="Times New Roman" w:hAnsi="Times New Roman" w:cs="Times New Roman"/>
                <w:i/>
                <w:lang w:eastAsia="tr-TR"/>
              </w:rPr>
              <w:t xml:space="preserve">etiri, </w:t>
            </w:r>
            <w:r w:rsidRPr="00232A53">
              <w:rPr>
                <w:rFonts w:ascii="Calibri" w:hAnsi="Calibri" w:cs="Calibri"/>
                <w:i/>
                <w:color w:val="000000"/>
              </w:rPr>
              <w:t>↑</w:t>
            </w:r>
            <w:r w:rsidR="00232A53">
              <w:rPr>
                <w:rFonts w:ascii="Times New Roman" w:hAnsi="Times New Roman" w:cs="Times New Roman"/>
                <w:i/>
                <w:lang w:eastAsia="tr-TR"/>
              </w:rPr>
              <w:t>: Artan Getiri,  -: Sabit G</w:t>
            </w:r>
            <w:r w:rsidRPr="00232A53">
              <w:rPr>
                <w:rFonts w:ascii="Times New Roman" w:hAnsi="Times New Roman" w:cs="Times New Roman"/>
                <w:i/>
                <w:lang w:eastAsia="tr-TR"/>
              </w:rPr>
              <w:t xml:space="preserve">etiri </w:t>
            </w:r>
          </w:p>
        </w:tc>
      </w:tr>
    </w:tbl>
    <w:p w:rsidR="00004AC8" w:rsidRDefault="00004AC8" w:rsidP="00A0688A">
      <w:pPr>
        <w:spacing w:after="120" w:line="240" w:lineRule="auto"/>
        <w:jc w:val="both"/>
        <w:rPr>
          <w:rFonts w:ascii="Times New Roman" w:hAnsi="Times New Roman" w:cs="Times New Roman"/>
          <w:sz w:val="24"/>
          <w:szCs w:val="24"/>
        </w:rPr>
      </w:pPr>
    </w:p>
    <w:p w:rsidR="00FB68F8" w:rsidRPr="00FB68F8" w:rsidRDefault="00FB68F8" w:rsidP="00A265E6">
      <w:pPr>
        <w:spacing w:after="120" w:line="240" w:lineRule="auto"/>
        <w:jc w:val="both"/>
        <w:rPr>
          <w:rFonts w:ascii="Times New Roman" w:hAnsi="Times New Roman" w:cs="Times New Roman"/>
          <w:sz w:val="24"/>
          <w:szCs w:val="24"/>
        </w:rPr>
      </w:pPr>
      <w:r w:rsidRPr="00FB68F8">
        <w:rPr>
          <w:rFonts w:ascii="Times New Roman" w:hAnsi="Times New Roman" w:cs="Times New Roman"/>
          <w:sz w:val="24"/>
          <w:szCs w:val="24"/>
        </w:rPr>
        <w:t>Kamu Sermaye</w:t>
      </w:r>
      <w:r w:rsidR="003D3375">
        <w:rPr>
          <w:rFonts w:ascii="Times New Roman" w:hAnsi="Times New Roman" w:cs="Times New Roman"/>
          <w:sz w:val="24"/>
          <w:szCs w:val="24"/>
        </w:rPr>
        <w:t>li Bankaları</w:t>
      </w:r>
      <w:r w:rsidRPr="00FB68F8">
        <w:rPr>
          <w:rFonts w:ascii="Times New Roman" w:hAnsi="Times New Roman" w:cs="Times New Roman"/>
          <w:sz w:val="24"/>
          <w:szCs w:val="24"/>
        </w:rPr>
        <w:t xml:space="preserve"> için ölçek etkinlikleri incelendiğinde; Ziraat Bankası için </w:t>
      </w:r>
      <w:r w:rsidR="00BD4E02">
        <w:rPr>
          <w:rFonts w:ascii="Times New Roman" w:hAnsi="Times New Roman" w:cs="Times New Roman"/>
          <w:sz w:val="24"/>
          <w:szCs w:val="24"/>
        </w:rPr>
        <w:t xml:space="preserve">2003, 2004 ve 2005 </w:t>
      </w:r>
      <w:r w:rsidRPr="00FB68F8">
        <w:rPr>
          <w:rFonts w:ascii="Times New Roman" w:hAnsi="Times New Roman" w:cs="Times New Roman"/>
          <w:sz w:val="24"/>
          <w:szCs w:val="24"/>
        </w:rPr>
        <w:t>yılları</w:t>
      </w:r>
      <w:r w:rsidR="00BD4E02">
        <w:rPr>
          <w:rFonts w:ascii="Times New Roman" w:hAnsi="Times New Roman" w:cs="Times New Roman"/>
          <w:sz w:val="24"/>
          <w:szCs w:val="24"/>
        </w:rPr>
        <w:t>nda</w:t>
      </w:r>
      <w:r w:rsidRPr="00FB68F8">
        <w:rPr>
          <w:rFonts w:ascii="Times New Roman" w:hAnsi="Times New Roman" w:cs="Times New Roman"/>
          <w:sz w:val="24"/>
          <w:szCs w:val="24"/>
        </w:rPr>
        <w:t xml:space="preserve"> ölçeğe göre azalan getirinin söz konusu olduğu ancak </w:t>
      </w:r>
      <w:r w:rsidR="00BD4E02">
        <w:rPr>
          <w:rFonts w:ascii="Times New Roman" w:hAnsi="Times New Roman" w:cs="Times New Roman"/>
          <w:sz w:val="24"/>
          <w:szCs w:val="24"/>
        </w:rPr>
        <w:t xml:space="preserve">diğer yılların </w:t>
      </w:r>
      <w:r w:rsidR="00670615">
        <w:rPr>
          <w:rFonts w:ascii="Times New Roman" w:hAnsi="Times New Roman" w:cs="Times New Roman"/>
          <w:sz w:val="24"/>
          <w:szCs w:val="24"/>
        </w:rPr>
        <w:t>tamamında ölçeğe</w:t>
      </w:r>
      <w:r w:rsidR="00BD4E02">
        <w:rPr>
          <w:rFonts w:ascii="Times New Roman" w:hAnsi="Times New Roman" w:cs="Times New Roman"/>
          <w:sz w:val="24"/>
          <w:szCs w:val="24"/>
        </w:rPr>
        <w:t xml:space="preserve"> göre sabit getirinin sağlandığı görülmektedir. Bu sonuçlar 2003, 2004 ve 2005 yılları hariç diğer yıllarda Ziraat Bankası’nın ölçek etkinliğine sahip olduğunu göstermektedir.</w:t>
      </w:r>
      <w:r w:rsidR="00BF696C">
        <w:rPr>
          <w:rFonts w:ascii="Times New Roman" w:hAnsi="Times New Roman" w:cs="Times New Roman"/>
          <w:sz w:val="24"/>
          <w:szCs w:val="24"/>
        </w:rPr>
        <w:t xml:space="preserve"> Halk Bankası için 2007 yılında gözlenen ölçeğe göre azalan getirinin 2009-2012 yılları arasında da devam ettiği tespit edilmiştir. Diğer yıllarda Halk Bankası ölçeğe göre sabit getiri ile ölçek etkinliğine sahiptir. </w:t>
      </w:r>
      <w:r w:rsidRPr="00FB68F8">
        <w:rPr>
          <w:rFonts w:ascii="Times New Roman" w:hAnsi="Times New Roman" w:cs="Times New Roman"/>
          <w:sz w:val="24"/>
          <w:szCs w:val="24"/>
        </w:rPr>
        <w:t xml:space="preserve">Vakıflar Bankası için ise </w:t>
      </w:r>
      <w:r w:rsidR="00BF696C">
        <w:rPr>
          <w:rFonts w:ascii="Times New Roman" w:hAnsi="Times New Roman" w:cs="Times New Roman"/>
          <w:sz w:val="24"/>
          <w:szCs w:val="24"/>
        </w:rPr>
        <w:t xml:space="preserve">2002-2013 </w:t>
      </w:r>
      <w:r w:rsidRPr="00FB68F8">
        <w:rPr>
          <w:rFonts w:ascii="Times New Roman" w:hAnsi="Times New Roman" w:cs="Times New Roman"/>
          <w:sz w:val="24"/>
          <w:szCs w:val="24"/>
        </w:rPr>
        <w:t>yılların</w:t>
      </w:r>
      <w:r w:rsidR="00B91957">
        <w:rPr>
          <w:rFonts w:ascii="Times New Roman" w:hAnsi="Times New Roman" w:cs="Times New Roman"/>
          <w:sz w:val="24"/>
          <w:szCs w:val="24"/>
        </w:rPr>
        <w:t>ın</w:t>
      </w:r>
      <w:r w:rsidRPr="00FB68F8">
        <w:rPr>
          <w:rFonts w:ascii="Times New Roman" w:hAnsi="Times New Roman" w:cs="Times New Roman"/>
          <w:sz w:val="24"/>
          <w:szCs w:val="24"/>
        </w:rPr>
        <w:t xml:space="preserve"> tamamında ölçeğe göre azalan getiri yapısında bir ölçek etkinsizliği söz konusudur.  </w:t>
      </w:r>
    </w:p>
    <w:p w:rsidR="00670615" w:rsidRDefault="00FB68F8" w:rsidP="00A265E6">
      <w:pPr>
        <w:spacing w:after="120" w:line="240" w:lineRule="auto"/>
        <w:jc w:val="both"/>
        <w:rPr>
          <w:rFonts w:ascii="Times New Roman" w:hAnsi="Times New Roman" w:cs="Times New Roman"/>
          <w:sz w:val="24"/>
          <w:szCs w:val="24"/>
        </w:rPr>
      </w:pPr>
      <w:r w:rsidRPr="00FB68F8">
        <w:rPr>
          <w:rFonts w:ascii="Times New Roman" w:hAnsi="Times New Roman" w:cs="Times New Roman"/>
          <w:sz w:val="24"/>
          <w:szCs w:val="24"/>
        </w:rPr>
        <w:t>Özel sermayeli bankalarımızdan Türkiye İş Bankası</w:t>
      </w:r>
      <w:r w:rsidR="003D3375">
        <w:rPr>
          <w:rFonts w:ascii="Times New Roman" w:hAnsi="Times New Roman" w:cs="Times New Roman"/>
          <w:sz w:val="24"/>
          <w:szCs w:val="24"/>
        </w:rPr>
        <w:t>,</w:t>
      </w:r>
      <w:r w:rsidR="00670615">
        <w:rPr>
          <w:rFonts w:ascii="Times New Roman" w:hAnsi="Times New Roman" w:cs="Times New Roman"/>
          <w:sz w:val="24"/>
          <w:szCs w:val="24"/>
        </w:rPr>
        <w:t xml:space="preserve"> 2002-2013 arasındaki yılların tamamında teknik etkin olmasına karşın</w:t>
      </w:r>
      <w:r w:rsidRPr="00FB68F8">
        <w:rPr>
          <w:rFonts w:ascii="Times New Roman" w:hAnsi="Times New Roman" w:cs="Times New Roman"/>
          <w:sz w:val="24"/>
          <w:szCs w:val="24"/>
        </w:rPr>
        <w:t xml:space="preserve"> 200</w:t>
      </w:r>
      <w:r w:rsidR="00585045">
        <w:rPr>
          <w:rFonts w:ascii="Times New Roman" w:hAnsi="Times New Roman" w:cs="Times New Roman"/>
          <w:sz w:val="24"/>
          <w:szCs w:val="24"/>
        </w:rPr>
        <w:t>6 ve 2013</w:t>
      </w:r>
      <w:r w:rsidRPr="00FB68F8">
        <w:rPr>
          <w:rFonts w:ascii="Times New Roman" w:hAnsi="Times New Roman" w:cs="Times New Roman"/>
          <w:sz w:val="24"/>
          <w:szCs w:val="24"/>
        </w:rPr>
        <w:t xml:space="preserve"> yıl</w:t>
      </w:r>
      <w:r w:rsidR="00585045">
        <w:rPr>
          <w:rFonts w:ascii="Times New Roman" w:hAnsi="Times New Roman" w:cs="Times New Roman"/>
          <w:sz w:val="24"/>
          <w:szCs w:val="24"/>
        </w:rPr>
        <w:t>ları</w:t>
      </w:r>
      <w:r w:rsidRPr="00FB68F8">
        <w:rPr>
          <w:rFonts w:ascii="Times New Roman" w:hAnsi="Times New Roman" w:cs="Times New Roman"/>
          <w:sz w:val="24"/>
          <w:szCs w:val="24"/>
        </w:rPr>
        <w:t xml:space="preserve"> hariç diğer yılların tamamında “ölçeğe göre azalan getiri durumunda “ölçek etkinliği olmayan” bir yapıya sahiptir. Özel Sermayeli Bankalar arasında bulunan Akbank ise</w:t>
      </w:r>
      <w:r w:rsidR="003D3375">
        <w:rPr>
          <w:rFonts w:ascii="Times New Roman" w:hAnsi="Times New Roman" w:cs="Times New Roman"/>
          <w:sz w:val="24"/>
          <w:szCs w:val="24"/>
        </w:rPr>
        <w:t>,</w:t>
      </w:r>
      <w:r w:rsidRPr="00FB68F8">
        <w:rPr>
          <w:rFonts w:ascii="Times New Roman" w:hAnsi="Times New Roman" w:cs="Times New Roman"/>
          <w:sz w:val="24"/>
          <w:szCs w:val="24"/>
        </w:rPr>
        <w:t xml:space="preserve"> </w:t>
      </w:r>
      <w:r w:rsidR="00585045">
        <w:rPr>
          <w:rFonts w:ascii="Times New Roman" w:hAnsi="Times New Roman" w:cs="Times New Roman"/>
          <w:sz w:val="24"/>
          <w:szCs w:val="24"/>
        </w:rPr>
        <w:t>küresel finans krizi yıllarında (2008 ve 2009) yakaladığı ölçek etkinliğini 2010 ve 2012 yıllarında da korumuştur. Buna karşın</w:t>
      </w:r>
      <w:r w:rsidR="00670615">
        <w:rPr>
          <w:rFonts w:ascii="Times New Roman" w:hAnsi="Times New Roman" w:cs="Times New Roman"/>
          <w:sz w:val="24"/>
          <w:szCs w:val="24"/>
        </w:rPr>
        <w:t>, elde edilen bulgular Akbank’ın</w:t>
      </w:r>
      <w:r w:rsidR="00585045">
        <w:rPr>
          <w:rFonts w:ascii="Times New Roman" w:hAnsi="Times New Roman" w:cs="Times New Roman"/>
          <w:sz w:val="24"/>
          <w:szCs w:val="24"/>
        </w:rPr>
        <w:t xml:space="preserve"> diğer yıllarda </w:t>
      </w:r>
      <w:r w:rsidR="00585045" w:rsidRPr="00FB68F8">
        <w:rPr>
          <w:rFonts w:ascii="Times New Roman" w:hAnsi="Times New Roman" w:cs="Times New Roman"/>
          <w:sz w:val="24"/>
          <w:szCs w:val="24"/>
        </w:rPr>
        <w:t>“ölçeğ</w:t>
      </w:r>
      <w:r w:rsidR="00B91957">
        <w:rPr>
          <w:rFonts w:ascii="Times New Roman" w:hAnsi="Times New Roman" w:cs="Times New Roman"/>
          <w:sz w:val="24"/>
          <w:szCs w:val="24"/>
        </w:rPr>
        <w:t xml:space="preserve">e göre azalan getiri durumunda </w:t>
      </w:r>
      <w:r w:rsidR="00585045" w:rsidRPr="00FB68F8">
        <w:rPr>
          <w:rFonts w:ascii="Times New Roman" w:hAnsi="Times New Roman" w:cs="Times New Roman"/>
          <w:sz w:val="24"/>
          <w:szCs w:val="24"/>
        </w:rPr>
        <w:t>ölçek etkinl</w:t>
      </w:r>
      <w:r w:rsidR="00670615">
        <w:rPr>
          <w:rFonts w:ascii="Times New Roman" w:hAnsi="Times New Roman" w:cs="Times New Roman"/>
          <w:sz w:val="24"/>
          <w:szCs w:val="24"/>
        </w:rPr>
        <w:t>iği olmayan” bir yapıya sahip olduğunu göstermiştir.</w:t>
      </w:r>
      <w:r w:rsidRPr="00FB68F8">
        <w:rPr>
          <w:rFonts w:ascii="Times New Roman" w:hAnsi="Times New Roman" w:cs="Times New Roman"/>
          <w:sz w:val="24"/>
          <w:szCs w:val="24"/>
        </w:rPr>
        <w:t xml:space="preserve"> Özel sermayeli bankalardan Yapı ve Kredi Bankası araştırma kapsamında yer alan yılların</w:t>
      </w:r>
      <w:r w:rsidR="00670615">
        <w:rPr>
          <w:rFonts w:ascii="Times New Roman" w:hAnsi="Times New Roman" w:cs="Times New Roman"/>
          <w:sz w:val="24"/>
          <w:szCs w:val="24"/>
        </w:rPr>
        <w:t xml:space="preserve"> neredeyse</w:t>
      </w:r>
      <w:r w:rsidRPr="00FB68F8">
        <w:rPr>
          <w:rFonts w:ascii="Times New Roman" w:hAnsi="Times New Roman" w:cs="Times New Roman"/>
          <w:sz w:val="24"/>
          <w:szCs w:val="24"/>
        </w:rPr>
        <w:t xml:space="preserve"> tamamında teknik </w:t>
      </w:r>
      <w:r w:rsidR="00670615">
        <w:rPr>
          <w:rFonts w:ascii="Times New Roman" w:hAnsi="Times New Roman" w:cs="Times New Roman"/>
          <w:sz w:val="24"/>
          <w:szCs w:val="24"/>
        </w:rPr>
        <w:t>etkin olarak bulunmasına karşın</w:t>
      </w:r>
      <w:r w:rsidRPr="00FB68F8">
        <w:rPr>
          <w:rFonts w:ascii="Times New Roman" w:hAnsi="Times New Roman" w:cs="Times New Roman"/>
          <w:sz w:val="24"/>
          <w:szCs w:val="24"/>
        </w:rPr>
        <w:t xml:space="preserve"> </w:t>
      </w:r>
      <w:r w:rsidR="00670615">
        <w:rPr>
          <w:rFonts w:ascii="Times New Roman" w:hAnsi="Times New Roman" w:cs="Times New Roman"/>
          <w:sz w:val="24"/>
          <w:szCs w:val="24"/>
        </w:rPr>
        <w:t xml:space="preserve">2006 ve 2008 yılları hariç </w:t>
      </w:r>
      <w:r w:rsidR="00670615" w:rsidRPr="00FB68F8">
        <w:rPr>
          <w:rFonts w:ascii="Times New Roman" w:hAnsi="Times New Roman" w:cs="Times New Roman"/>
          <w:sz w:val="24"/>
          <w:szCs w:val="24"/>
        </w:rPr>
        <w:t>“ölçeğ</w:t>
      </w:r>
      <w:r w:rsidR="00B91957">
        <w:rPr>
          <w:rFonts w:ascii="Times New Roman" w:hAnsi="Times New Roman" w:cs="Times New Roman"/>
          <w:sz w:val="24"/>
          <w:szCs w:val="24"/>
        </w:rPr>
        <w:t xml:space="preserve">e göre azalan getiri durumunda </w:t>
      </w:r>
      <w:r w:rsidR="00670615" w:rsidRPr="00FB68F8">
        <w:rPr>
          <w:rFonts w:ascii="Times New Roman" w:hAnsi="Times New Roman" w:cs="Times New Roman"/>
          <w:sz w:val="24"/>
          <w:szCs w:val="24"/>
        </w:rPr>
        <w:t>ölçek etkinliği olmayan” bir yapıya sahiptir.</w:t>
      </w:r>
      <w:r w:rsidR="00670615">
        <w:rPr>
          <w:rFonts w:ascii="Times New Roman" w:hAnsi="Times New Roman" w:cs="Times New Roman"/>
          <w:sz w:val="24"/>
          <w:szCs w:val="24"/>
        </w:rPr>
        <w:t xml:space="preserve"> 2002-2013 arasındaki yılların tamamında </w:t>
      </w:r>
      <w:r w:rsidRPr="00FB68F8">
        <w:rPr>
          <w:rFonts w:ascii="Times New Roman" w:hAnsi="Times New Roman" w:cs="Times New Roman"/>
          <w:sz w:val="24"/>
          <w:szCs w:val="24"/>
        </w:rPr>
        <w:t>ölçeğe göre azalan getiri durumunda tespit edilen özel sermaye</w:t>
      </w:r>
      <w:r w:rsidR="00B91957">
        <w:rPr>
          <w:rFonts w:ascii="Times New Roman" w:hAnsi="Times New Roman" w:cs="Times New Roman"/>
          <w:sz w:val="24"/>
          <w:szCs w:val="24"/>
        </w:rPr>
        <w:t>li bankalarımızdan biri</w:t>
      </w:r>
      <w:r w:rsidRPr="00FB68F8">
        <w:rPr>
          <w:rFonts w:ascii="Times New Roman" w:hAnsi="Times New Roman" w:cs="Times New Roman"/>
          <w:sz w:val="24"/>
          <w:szCs w:val="24"/>
        </w:rPr>
        <w:t xml:space="preserve"> de Garanti Bankası’dır. </w:t>
      </w:r>
      <w:r w:rsidR="000E4EC9">
        <w:rPr>
          <w:rFonts w:ascii="Times New Roman" w:hAnsi="Times New Roman" w:cs="Times New Roman"/>
          <w:sz w:val="24"/>
          <w:szCs w:val="24"/>
        </w:rPr>
        <w:t>Ayrıca Şekerbank 2008 yılı hariç diğer yıllarda ölçeğe göre genellikle azalan getiri ile ölçek etkinliğini sağlayamamıştır.</w:t>
      </w:r>
    </w:p>
    <w:p w:rsidR="009247B0" w:rsidRDefault="000E4EC9"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Yabancı bank</w:t>
      </w:r>
      <w:r w:rsidR="00172CFC">
        <w:rPr>
          <w:rFonts w:ascii="Times New Roman" w:hAnsi="Times New Roman" w:cs="Times New Roman"/>
          <w:sz w:val="24"/>
          <w:szCs w:val="24"/>
        </w:rPr>
        <w:t>a</w:t>
      </w:r>
      <w:r>
        <w:rPr>
          <w:rFonts w:ascii="Times New Roman" w:hAnsi="Times New Roman" w:cs="Times New Roman"/>
          <w:sz w:val="24"/>
          <w:szCs w:val="24"/>
        </w:rPr>
        <w:t xml:space="preserve">lardan 2002-2013 arasındaki yılların tamamında teknik etkin olarak bulunan Habib Bank, 2009 ve 2010 yıllarında artan, diğer yıllarda sabit getiri ile ölçek etkinliğini de sağlamıştır. </w:t>
      </w:r>
      <w:r w:rsidR="009247B0">
        <w:rPr>
          <w:rFonts w:ascii="Times New Roman" w:hAnsi="Times New Roman" w:cs="Times New Roman"/>
          <w:sz w:val="24"/>
          <w:szCs w:val="24"/>
        </w:rPr>
        <w:t xml:space="preserve">Buna karşın </w:t>
      </w:r>
      <w:r w:rsidR="00646F9C">
        <w:rPr>
          <w:rFonts w:ascii="Times New Roman" w:hAnsi="Times New Roman" w:cs="Times New Roman"/>
          <w:sz w:val="24"/>
          <w:szCs w:val="24"/>
        </w:rPr>
        <w:t>2005 yılı hariç</w:t>
      </w:r>
      <w:r w:rsidR="003D3375">
        <w:rPr>
          <w:rFonts w:ascii="Times New Roman" w:hAnsi="Times New Roman" w:cs="Times New Roman"/>
          <w:sz w:val="24"/>
          <w:szCs w:val="24"/>
        </w:rPr>
        <w:t>,</w:t>
      </w:r>
      <w:r w:rsidR="00646F9C">
        <w:rPr>
          <w:rFonts w:ascii="Times New Roman" w:hAnsi="Times New Roman" w:cs="Times New Roman"/>
          <w:sz w:val="24"/>
          <w:szCs w:val="24"/>
        </w:rPr>
        <w:t xml:space="preserve"> </w:t>
      </w:r>
      <w:r w:rsidR="009247B0">
        <w:rPr>
          <w:rFonts w:ascii="Times New Roman" w:hAnsi="Times New Roman" w:cs="Times New Roman"/>
          <w:sz w:val="24"/>
          <w:szCs w:val="24"/>
        </w:rPr>
        <w:t>yabancı bankalardan Denizbank</w:t>
      </w:r>
      <w:r w:rsidR="00646F9C">
        <w:rPr>
          <w:rFonts w:ascii="Times New Roman" w:hAnsi="Times New Roman" w:cs="Times New Roman"/>
          <w:sz w:val="24"/>
          <w:szCs w:val="24"/>
        </w:rPr>
        <w:t xml:space="preserve">  </w:t>
      </w:r>
      <w:r w:rsidR="00646F9C" w:rsidRPr="00FB68F8">
        <w:rPr>
          <w:rFonts w:ascii="Times New Roman" w:hAnsi="Times New Roman" w:cs="Times New Roman"/>
          <w:sz w:val="24"/>
          <w:szCs w:val="24"/>
        </w:rPr>
        <w:t>“ölçeğe göre azalan getiri durumunda “ölç</w:t>
      </w:r>
      <w:r w:rsidR="00646F9C">
        <w:rPr>
          <w:rFonts w:ascii="Times New Roman" w:hAnsi="Times New Roman" w:cs="Times New Roman"/>
          <w:sz w:val="24"/>
          <w:szCs w:val="24"/>
        </w:rPr>
        <w:t>ek etkinliği olmayan” bir yapı sergilemiştir.</w:t>
      </w:r>
    </w:p>
    <w:p w:rsidR="003A009A" w:rsidRDefault="000E4EC9"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Yıllar itibariyle bir değerlendirme yapıldığında</w:t>
      </w:r>
      <w:r w:rsidR="00D06B99">
        <w:rPr>
          <w:rFonts w:ascii="Times New Roman" w:hAnsi="Times New Roman" w:cs="Times New Roman"/>
          <w:sz w:val="24"/>
          <w:szCs w:val="24"/>
        </w:rPr>
        <w:t>;</w:t>
      </w:r>
      <w:r>
        <w:rPr>
          <w:rFonts w:ascii="Times New Roman" w:hAnsi="Times New Roman" w:cs="Times New Roman"/>
          <w:sz w:val="24"/>
          <w:szCs w:val="24"/>
        </w:rPr>
        <w:t xml:space="preserve"> </w:t>
      </w:r>
      <w:r w:rsidR="003A009A">
        <w:rPr>
          <w:rFonts w:ascii="Times New Roman" w:hAnsi="Times New Roman" w:cs="Times New Roman"/>
          <w:sz w:val="24"/>
          <w:szCs w:val="24"/>
        </w:rPr>
        <w:t>21 banka arasında ölçeğe göre sabit getiri yapısı ile ölçek etkinliğine sahip olan bankaların oranı 2002 yılında %</w:t>
      </w:r>
      <w:r w:rsidR="00172CFC">
        <w:rPr>
          <w:rFonts w:ascii="Times New Roman" w:hAnsi="Times New Roman" w:cs="Times New Roman"/>
          <w:sz w:val="24"/>
          <w:szCs w:val="24"/>
        </w:rPr>
        <w:t xml:space="preserve"> 38,</w:t>
      </w:r>
      <w:r w:rsidR="003A009A">
        <w:rPr>
          <w:rFonts w:ascii="Times New Roman" w:hAnsi="Times New Roman" w:cs="Times New Roman"/>
          <w:sz w:val="24"/>
          <w:szCs w:val="24"/>
        </w:rPr>
        <w:t>1 iken 2003 yılında %</w:t>
      </w:r>
      <w:r w:rsidR="00172CFC">
        <w:rPr>
          <w:rFonts w:ascii="Times New Roman" w:hAnsi="Times New Roman" w:cs="Times New Roman"/>
          <w:sz w:val="24"/>
          <w:szCs w:val="24"/>
        </w:rPr>
        <w:t xml:space="preserve"> 23,</w:t>
      </w:r>
      <w:r w:rsidR="003A009A">
        <w:rPr>
          <w:rFonts w:ascii="Times New Roman" w:hAnsi="Times New Roman" w:cs="Times New Roman"/>
          <w:sz w:val="24"/>
          <w:szCs w:val="24"/>
        </w:rPr>
        <w:t>8 ve 2004 yılında da %</w:t>
      </w:r>
      <w:r w:rsidR="00172CFC">
        <w:rPr>
          <w:rFonts w:ascii="Times New Roman" w:hAnsi="Times New Roman" w:cs="Times New Roman"/>
          <w:sz w:val="24"/>
          <w:szCs w:val="24"/>
        </w:rPr>
        <w:t xml:space="preserve"> 14,</w:t>
      </w:r>
      <w:r w:rsidR="003A009A">
        <w:rPr>
          <w:rFonts w:ascii="Times New Roman" w:hAnsi="Times New Roman" w:cs="Times New Roman"/>
          <w:sz w:val="24"/>
          <w:szCs w:val="24"/>
        </w:rPr>
        <w:t>3 seviyesine kadar gerilemiştir. 2005 ve 2006 yıllarında ölçek etkin olarak tespit edilen bankaların oranı sırasıyla %</w:t>
      </w:r>
      <w:r w:rsidR="00172CFC">
        <w:rPr>
          <w:rFonts w:ascii="Times New Roman" w:hAnsi="Times New Roman" w:cs="Times New Roman"/>
          <w:sz w:val="24"/>
          <w:szCs w:val="24"/>
        </w:rPr>
        <w:t xml:space="preserve"> 47,</w:t>
      </w:r>
      <w:r w:rsidR="003A009A">
        <w:rPr>
          <w:rFonts w:ascii="Times New Roman" w:hAnsi="Times New Roman" w:cs="Times New Roman"/>
          <w:sz w:val="24"/>
          <w:szCs w:val="24"/>
        </w:rPr>
        <w:t>6 ve %</w:t>
      </w:r>
      <w:r w:rsidR="00172CFC">
        <w:rPr>
          <w:rFonts w:ascii="Times New Roman" w:hAnsi="Times New Roman" w:cs="Times New Roman"/>
          <w:sz w:val="24"/>
          <w:szCs w:val="24"/>
        </w:rPr>
        <w:t xml:space="preserve"> 57,</w:t>
      </w:r>
      <w:r w:rsidR="003A009A">
        <w:rPr>
          <w:rFonts w:ascii="Times New Roman" w:hAnsi="Times New Roman" w:cs="Times New Roman"/>
          <w:sz w:val="24"/>
          <w:szCs w:val="24"/>
        </w:rPr>
        <w:t>1 seviyesine kadar çıkmış iken 2007 yılında %</w:t>
      </w:r>
      <w:r w:rsidR="00172CFC">
        <w:rPr>
          <w:rFonts w:ascii="Times New Roman" w:hAnsi="Times New Roman" w:cs="Times New Roman"/>
          <w:sz w:val="24"/>
          <w:szCs w:val="24"/>
        </w:rPr>
        <w:t xml:space="preserve"> 33,</w:t>
      </w:r>
      <w:r w:rsidR="003A009A">
        <w:rPr>
          <w:rFonts w:ascii="Times New Roman" w:hAnsi="Times New Roman" w:cs="Times New Roman"/>
          <w:sz w:val="24"/>
          <w:szCs w:val="24"/>
        </w:rPr>
        <w:t>3 seviyesine düşmüştür. Küresel finans krizinin yoğun hissedildiği 2008 yılında ölçek etkinliğine sahip bankaların oranı %</w:t>
      </w:r>
      <w:r w:rsidR="00172CFC">
        <w:rPr>
          <w:rFonts w:ascii="Times New Roman" w:hAnsi="Times New Roman" w:cs="Times New Roman"/>
          <w:sz w:val="24"/>
          <w:szCs w:val="24"/>
        </w:rPr>
        <w:t xml:space="preserve"> 61,</w:t>
      </w:r>
      <w:r w:rsidR="003A009A">
        <w:rPr>
          <w:rFonts w:ascii="Times New Roman" w:hAnsi="Times New Roman" w:cs="Times New Roman"/>
          <w:sz w:val="24"/>
          <w:szCs w:val="24"/>
        </w:rPr>
        <w:t>9 oranı ile en yüksek seviyede gözlenmiştir. Bu oran 2009, 2010, 2011 ve 2013 yıllarında %</w:t>
      </w:r>
      <w:r w:rsidR="00172CFC">
        <w:rPr>
          <w:rFonts w:ascii="Times New Roman" w:hAnsi="Times New Roman" w:cs="Times New Roman"/>
          <w:sz w:val="24"/>
          <w:szCs w:val="24"/>
        </w:rPr>
        <w:t xml:space="preserve"> 33,</w:t>
      </w:r>
      <w:r w:rsidR="003A009A">
        <w:rPr>
          <w:rFonts w:ascii="Times New Roman" w:hAnsi="Times New Roman" w:cs="Times New Roman"/>
          <w:sz w:val="24"/>
          <w:szCs w:val="24"/>
        </w:rPr>
        <w:t xml:space="preserve">3 seviyesinde kalmıştır. Bu </w:t>
      </w:r>
      <w:r w:rsidR="009C419A">
        <w:rPr>
          <w:rFonts w:ascii="Times New Roman" w:hAnsi="Times New Roman" w:cs="Times New Roman"/>
          <w:sz w:val="24"/>
          <w:szCs w:val="24"/>
        </w:rPr>
        <w:t>sonuçlar küresel ekonomik krizin yoğun hissedildiği</w:t>
      </w:r>
      <w:r w:rsidR="003A009A">
        <w:rPr>
          <w:rFonts w:ascii="Times New Roman" w:hAnsi="Times New Roman" w:cs="Times New Roman"/>
          <w:sz w:val="24"/>
          <w:szCs w:val="24"/>
        </w:rPr>
        <w:t xml:space="preserve"> </w:t>
      </w:r>
      <w:r w:rsidR="009C419A">
        <w:rPr>
          <w:rFonts w:ascii="Times New Roman" w:hAnsi="Times New Roman" w:cs="Times New Roman"/>
          <w:sz w:val="24"/>
          <w:szCs w:val="24"/>
        </w:rPr>
        <w:t xml:space="preserve">2008 yılında </w:t>
      </w:r>
      <w:r w:rsidR="003A009A">
        <w:rPr>
          <w:rFonts w:ascii="Times New Roman" w:hAnsi="Times New Roman" w:cs="Times New Roman"/>
          <w:sz w:val="24"/>
          <w:szCs w:val="24"/>
        </w:rPr>
        <w:t>bankaların ölçek etkinli</w:t>
      </w:r>
      <w:r w:rsidR="009C419A">
        <w:rPr>
          <w:rFonts w:ascii="Times New Roman" w:hAnsi="Times New Roman" w:cs="Times New Roman"/>
          <w:sz w:val="24"/>
          <w:szCs w:val="24"/>
        </w:rPr>
        <w:t>ğini sağlamaya dönük</w:t>
      </w:r>
      <w:r w:rsidR="003A009A">
        <w:rPr>
          <w:rFonts w:ascii="Times New Roman" w:hAnsi="Times New Roman" w:cs="Times New Roman"/>
          <w:sz w:val="24"/>
          <w:szCs w:val="24"/>
        </w:rPr>
        <w:t xml:space="preserve"> </w:t>
      </w:r>
      <w:r w:rsidR="009C419A">
        <w:rPr>
          <w:rFonts w:ascii="Times New Roman" w:hAnsi="Times New Roman" w:cs="Times New Roman"/>
          <w:sz w:val="24"/>
          <w:szCs w:val="24"/>
        </w:rPr>
        <w:t>önlemlere yöneldiğine</w:t>
      </w:r>
      <w:r w:rsidR="003A009A">
        <w:rPr>
          <w:rFonts w:ascii="Times New Roman" w:hAnsi="Times New Roman" w:cs="Times New Roman"/>
          <w:sz w:val="24"/>
          <w:szCs w:val="24"/>
        </w:rPr>
        <w:t xml:space="preserve"> işaret etmektedir.</w:t>
      </w:r>
    </w:p>
    <w:p w:rsidR="00374FE6" w:rsidRPr="00374FE6" w:rsidRDefault="00374FE6"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Bankaların teknik etkinlik skorlarından e</w:t>
      </w:r>
      <w:r w:rsidRPr="00374FE6">
        <w:rPr>
          <w:rFonts w:ascii="Times New Roman" w:hAnsi="Times New Roman" w:cs="Times New Roman"/>
          <w:sz w:val="24"/>
          <w:szCs w:val="24"/>
        </w:rPr>
        <w:t>lde edilen bu bulgular, Türk</w:t>
      </w:r>
      <w:r w:rsidR="003D46EE">
        <w:rPr>
          <w:rFonts w:ascii="Times New Roman" w:hAnsi="Times New Roman" w:cs="Times New Roman"/>
          <w:sz w:val="24"/>
          <w:szCs w:val="24"/>
        </w:rPr>
        <w:t xml:space="preserve"> bankacılık s</w:t>
      </w:r>
      <w:r w:rsidRPr="00374FE6">
        <w:rPr>
          <w:rFonts w:ascii="Times New Roman" w:hAnsi="Times New Roman" w:cs="Times New Roman"/>
          <w:sz w:val="24"/>
          <w:szCs w:val="24"/>
        </w:rPr>
        <w:t xml:space="preserve">ektörünün yıllar itibariyle </w:t>
      </w:r>
      <w:r>
        <w:rPr>
          <w:rFonts w:ascii="Times New Roman" w:hAnsi="Times New Roman" w:cs="Times New Roman"/>
          <w:sz w:val="24"/>
          <w:szCs w:val="24"/>
        </w:rPr>
        <w:t xml:space="preserve">etkinlik bakımından </w:t>
      </w:r>
      <w:r w:rsidRPr="00374FE6">
        <w:rPr>
          <w:rFonts w:ascii="Times New Roman" w:hAnsi="Times New Roman" w:cs="Times New Roman"/>
          <w:sz w:val="24"/>
          <w:szCs w:val="24"/>
        </w:rPr>
        <w:t>bir ilerleme kaydettiğine işaret etmektedir. Bu durum, yıllık etkinlik değişimlerinin belirlenmesinde kullanılan Malmqui</w:t>
      </w:r>
      <w:r w:rsidR="00664A20">
        <w:rPr>
          <w:rFonts w:ascii="Times New Roman" w:hAnsi="Times New Roman" w:cs="Times New Roman"/>
          <w:sz w:val="24"/>
          <w:szCs w:val="24"/>
        </w:rPr>
        <w:t xml:space="preserve">st </w:t>
      </w:r>
      <w:r w:rsidR="00120258">
        <w:rPr>
          <w:rFonts w:ascii="Times New Roman" w:hAnsi="Times New Roman" w:cs="Times New Roman"/>
          <w:sz w:val="24"/>
          <w:szCs w:val="24"/>
        </w:rPr>
        <w:t xml:space="preserve">Toplam Faktör Verimlilik </w:t>
      </w:r>
      <w:r w:rsidR="00664A20">
        <w:rPr>
          <w:rFonts w:ascii="Times New Roman" w:hAnsi="Times New Roman" w:cs="Times New Roman"/>
          <w:sz w:val="24"/>
          <w:szCs w:val="24"/>
        </w:rPr>
        <w:t>(TFV</w:t>
      </w:r>
      <w:r w:rsidRPr="00374FE6">
        <w:rPr>
          <w:rFonts w:ascii="Times New Roman" w:hAnsi="Times New Roman" w:cs="Times New Roman"/>
          <w:sz w:val="24"/>
          <w:szCs w:val="24"/>
        </w:rPr>
        <w:t>) endeksinin hesaplanması ile daha somut bir şe</w:t>
      </w:r>
      <w:r w:rsidR="00664A20">
        <w:rPr>
          <w:rFonts w:ascii="Times New Roman" w:hAnsi="Times New Roman" w:cs="Times New Roman"/>
          <w:sz w:val="24"/>
          <w:szCs w:val="24"/>
        </w:rPr>
        <w:t>kilde görülebilir. Malmquist TFV</w:t>
      </w:r>
      <w:r w:rsidRPr="00374FE6">
        <w:rPr>
          <w:rFonts w:ascii="Times New Roman" w:hAnsi="Times New Roman" w:cs="Times New Roman"/>
          <w:sz w:val="24"/>
          <w:szCs w:val="24"/>
        </w:rPr>
        <w:t xml:space="preserve"> endeksleri aşağıda verilen beş etkinlik göstergesine göre </w:t>
      </w:r>
      <w:r>
        <w:rPr>
          <w:rFonts w:ascii="Times New Roman" w:hAnsi="Times New Roman" w:cs="Times New Roman"/>
          <w:sz w:val="24"/>
          <w:szCs w:val="24"/>
        </w:rPr>
        <w:t>ele alınmıştır:</w:t>
      </w:r>
    </w:p>
    <w:p w:rsidR="00374FE6" w:rsidRDefault="003D46EE" w:rsidP="003D46EE">
      <w:pPr>
        <w:pStyle w:val="ListeParagraf"/>
        <w:numPr>
          <w:ilvl w:val="0"/>
          <w:numId w:val="7"/>
        </w:numPr>
        <w:spacing w:beforeLines="120" w:before="288" w:afterLines="120" w:after="288"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t>Teknik Etkinlik D</w:t>
      </w:r>
      <w:r w:rsidR="00374FE6" w:rsidRPr="00374FE6">
        <w:rPr>
          <w:rFonts w:ascii="Times New Roman" w:hAnsi="Times New Roman" w:cs="Times New Roman"/>
          <w:sz w:val="24"/>
          <w:szCs w:val="24"/>
        </w:rPr>
        <w:t>eğişimi</w:t>
      </w:r>
      <w:r w:rsidR="006C312C">
        <w:rPr>
          <w:rFonts w:ascii="Times New Roman" w:hAnsi="Times New Roman" w:cs="Times New Roman"/>
          <w:sz w:val="24"/>
          <w:szCs w:val="24"/>
        </w:rPr>
        <w:t>,</w:t>
      </w:r>
    </w:p>
    <w:p w:rsidR="00374FE6" w:rsidRDefault="003D46EE" w:rsidP="003D46EE">
      <w:pPr>
        <w:pStyle w:val="ListeParagraf"/>
        <w:numPr>
          <w:ilvl w:val="0"/>
          <w:numId w:val="7"/>
        </w:numPr>
        <w:spacing w:beforeLines="120" w:before="288" w:afterLines="120" w:after="288"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t>Teknolojik D</w:t>
      </w:r>
      <w:r w:rsidR="00374FE6" w:rsidRPr="00374FE6">
        <w:rPr>
          <w:rFonts w:ascii="Times New Roman" w:hAnsi="Times New Roman" w:cs="Times New Roman"/>
          <w:sz w:val="24"/>
          <w:szCs w:val="24"/>
        </w:rPr>
        <w:t>eğişim</w:t>
      </w:r>
      <w:r w:rsidR="006C312C">
        <w:rPr>
          <w:rFonts w:ascii="Times New Roman" w:hAnsi="Times New Roman" w:cs="Times New Roman"/>
          <w:sz w:val="24"/>
          <w:szCs w:val="24"/>
        </w:rPr>
        <w:t>,</w:t>
      </w:r>
    </w:p>
    <w:p w:rsidR="00374FE6" w:rsidRDefault="00374FE6" w:rsidP="003D46EE">
      <w:pPr>
        <w:pStyle w:val="ListeParagraf"/>
        <w:numPr>
          <w:ilvl w:val="0"/>
          <w:numId w:val="7"/>
        </w:numPr>
        <w:spacing w:beforeLines="120" w:before="288" w:afterLines="120" w:after="288" w:line="240" w:lineRule="auto"/>
        <w:ind w:left="782" w:hanging="357"/>
        <w:jc w:val="both"/>
        <w:rPr>
          <w:rFonts w:ascii="Times New Roman" w:hAnsi="Times New Roman" w:cs="Times New Roman"/>
          <w:sz w:val="24"/>
          <w:szCs w:val="24"/>
        </w:rPr>
      </w:pPr>
      <w:r w:rsidRPr="00374FE6">
        <w:rPr>
          <w:rFonts w:ascii="Times New Roman" w:hAnsi="Times New Roman" w:cs="Times New Roman"/>
          <w:sz w:val="24"/>
          <w:szCs w:val="24"/>
        </w:rPr>
        <w:t>Salt Teknik Etkinlik Değişimi</w:t>
      </w:r>
      <w:r w:rsidR="006C312C">
        <w:rPr>
          <w:rFonts w:ascii="Times New Roman" w:hAnsi="Times New Roman" w:cs="Times New Roman"/>
          <w:sz w:val="24"/>
          <w:szCs w:val="24"/>
        </w:rPr>
        <w:t>,</w:t>
      </w:r>
    </w:p>
    <w:p w:rsidR="00374FE6" w:rsidRDefault="00374FE6" w:rsidP="003D46EE">
      <w:pPr>
        <w:pStyle w:val="ListeParagraf"/>
        <w:numPr>
          <w:ilvl w:val="0"/>
          <w:numId w:val="7"/>
        </w:numPr>
        <w:spacing w:beforeLines="120" w:before="288" w:afterLines="120" w:after="288" w:line="240" w:lineRule="auto"/>
        <w:ind w:left="782" w:hanging="357"/>
        <w:jc w:val="both"/>
        <w:rPr>
          <w:rFonts w:ascii="Times New Roman" w:hAnsi="Times New Roman" w:cs="Times New Roman"/>
          <w:sz w:val="24"/>
          <w:szCs w:val="24"/>
        </w:rPr>
      </w:pPr>
      <w:r w:rsidRPr="00374FE6">
        <w:rPr>
          <w:rFonts w:ascii="Times New Roman" w:hAnsi="Times New Roman" w:cs="Times New Roman"/>
          <w:sz w:val="24"/>
          <w:szCs w:val="24"/>
        </w:rPr>
        <w:t>Ölçek Etkinlik Değişimi</w:t>
      </w:r>
      <w:r w:rsidR="006C312C">
        <w:rPr>
          <w:rFonts w:ascii="Times New Roman" w:hAnsi="Times New Roman" w:cs="Times New Roman"/>
          <w:sz w:val="24"/>
          <w:szCs w:val="24"/>
        </w:rPr>
        <w:t>,</w:t>
      </w:r>
    </w:p>
    <w:p w:rsidR="00374FE6" w:rsidRPr="00374FE6" w:rsidRDefault="00374FE6" w:rsidP="003D46EE">
      <w:pPr>
        <w:pStyle w:val="ListeParagraf"/>
        <w:numPr>
          <w:ilvl w:val="0"/>
          <w:numId w:val="7"/>
        </w:numPr>
        <w:spacing w:beforeLines="120" w:before="288" w:afterLines="120" w:after="288" w:line="240" w:lineRule="auto"/>
        <w:ind w:left="782" w:hanging="357"/>
        <w:jc w:val="both"/>
        <w:rPr>
          <w:rFonts w:ascii="Times New Roman" w:hAnsi="Times New Roman" w:cs="Times New Roman"/>
          <w:sz w:val="24"/>
          <w:szCs w:val="24"/>
        </w:rPr>
      </w:pPr>
      <w:r w:rsidRPr="00374FE6">
        <w:rPr>
          <w:rFonts w:ascii="Times New Roman" w:hAnsi="Times New Roman" w:cs="Times New Roman"/>
          <w:sz w:val="24"/>
          <w:szCs w:val="24"/>
        </w:rPr>
        <w:t>Toplam Faktör Verimlilik Değişimi</w:t>
      </w:r>
      <w:r w:rsidR="006C312C">
        <w:rPr>
          <w:rFonts w:ascii="Times New Roman" w:hAnsi="Times New Roman" w:cs="Times New Roman"/>
          <w:sz w:val="24"/>
          <w:szCs w:val="24"/>
        </w:rPr>
        <w:t>.</w:t>
      </w:r>
    </w:p>
    <w:p w:rsidR="00374FE6" w:rsidRDefault="003D3375" w:rsidP="00A265E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2002</w:t>
      </w:r>
      <w:r w:rsidR="00374FE6">
        <w:rPr>
          <w:rFonts w:ascii="Times New Roman" w:hAnsi="Times New Roman" w:cs="Times New Roman"/>
          <w:sz w:val="24"/>
          <w:szCs w:val="24"/>
        </w:rPr>
        <w:t>–2013</w:t>
      </w:r>
      <w:r w:rsidR="00374FE6" w:rsidRPr="00374FE6">
        <w:rPr>
          <w:rFonts w:ascii="Times New Roman" w:hAnsi="Times New Roman" w:cs="Times New Roman"/>
          <w:sz w:val="24"/>
          <w:szCs w:val="24"/>
        </w:rPr>
        <w:t xml:space="preserve"> dönemleri arasındaki yıllar için araştırma kapsamında yer alan toplam 21 banka içerisinde etkinlik göstergelerindeki değişimleri artış yönünde olan bankaların frekans dağılımı </w:t>
      </w:r>
      <w:r w:rsidR="00530B7C">
        <w:rPr>
          <w:rFonts w:ascii="Times New Roman" w:hAnsi="Times New Roman" w:cs="Times New Roman"/>
          <w:sz w:val="24"/>
          <w:szCs w:val="24"/>
        </w:rPr>
        <w:t xml:space="preserve">Çizelge </w:t>
      </w:r>
      <w:r w:rsidR="00374FE6" w:rsidRPr="00374FE6">
        <w:rPr>
          <w:rFonts w:ascii="Times New Roman" w:hAnsi="Times New Roman" w:cs="Times New Roman"/>
          <w:sz w:val="24"/>
          <w:szCs w:val="24"/>
        </w:rPr>
        <w:t>4’de rapor edilmiştir.</w:t>
      </w:r>
      <w:r w:rsidR="002C0B32">
        <w:rPr>
          <w:rFonts w:ascii="Times New Roman" w:hAnsi="Times New Roman" w:cs="Times New Roman"/>
          <w:sz w:val="24"/>
          <w:szCs w:val="24"/>
        </w:rPr>
        <w:t xml:space="preserve"> </w:t>
      </w:r>
      <w:r>
        <w:rPr>
          <w:rFonts w:ascii="Times New Roman" w:hAnsi="Times New Roman" w:cs="Times New Roman"/>
          <w:sz w:val="24"/>
          <w:szCs w:val="24"/>
        </w:rPr>
        <w:t>Çizelge 6’da ise TFV ve bileşenlerinin yıllık değişimleri verilmiştir.</w:t>
      </w:r>
      <w:r w:rsidR="002C0B32">
        <w:rPr>
          <w:rFonts w:ascii="Times New Roman" w:hAnsi="Times New Roman" w:cs="Times New Roman"/>
          <w:sz w:val="24"/>
          <w:szCs w:val="24"/>
        </w:rPr>
        <w:t xml:space="preserve"> </w:t>
      </w:r>
      <w:r w:rsidR="00374FE6" w:rsidRPr="00374FE6">
        <w:rPr>
          <w:rFonts w:ascii="Times New Roman" w:hAnsi="Times New Roman" w:cs="Times New Roman"/>
          <w:sz w:val="24"/>
          <w:szCs w:val="24"/>
        </w:rPr>
        <w:t xml:space="preserve"> </w:t>
      </w:r>
    </w:p>
    <w:tbl>
      <w:tblPr>
        <w:tblW w:w="5035" w:type="pct"/>
        <w:tblInd w:w="5" w:type="dxa"/>
        <w:tblCellMar>
          <w:left w:w="70" w:type="dxa"/>
          <w:right w:w="70" w:type="dxa"/>
        </w:tblCellMar>
        <w:tblLook w:val="04A0" w:firstRow="1" w:lastRow="0" w:firstColumn="1" w:lastColumn="0" w:noHBand="0" w:noVBand="1"/>
      </w:tblPr>
      <w:tblGrid>
        <w:gridCol w:w="673"/>
        <w:gridCol w:w="1025"/>
        <w:gridCol w:w="741"/>
        <w:gridCol w:w="1031"/>
        <w:gridCol w:w="739"/>
        <w:gridCol w:w="1034"/>
        <w:gridCol w:w="739"/>
        <w:gridCol w:w="1033"/>
        <w:gridCol w:w="738"/>
        <w:gridCol w:w="1033"/>
        <w:gridCol w:w="735"/>
      </w:tblGrid>
      <w:tr w:rsidR="00374FE6" w:rsidRPr="002E64EC" w:rsidTr="007509EF">
        <w:trPr>
          <w:trHeight w:val="315"/>
        </w:trPr>
        <w:tc>
          <w:tcPr>
            <w:tcW w:w="5000" w:type="pct"/>
            <w:gridSpan w:val="11"/>
            <w:tcBorders>
              <w:bottom w:val="single" w:sz="4" w:space="0" w:color="auto"/>
            </w:tcBorders>
            <w:shd w:val="clear" w:color="auto" w:fill="auto"/>
            <w:noWrap/>
            <w:vAlign w:val="center"/>
          </w:tcPr>
          <w:p w:rsidR="00374FE6" w:rsidRDefault="006C312C" w:rsidP="00EB5058">
            <w:pPr>
              <w:pStyle w:val="AralkYok"/>
              <w:rPr>
                <w:rFonts w:ascii="Times New Roman" w:hAnsi="Times New Roman" w:cs="Times New Roman"/>
                <w:b/>
                <w:sz w:val="24"/>
                <w:szCs w:val="24"/>
              </w:rPr>
            </w:pPr>
            <w:r w:rsidRPr="00177A9D">
              <w:rPr>
                <w:rFonts w:ascii="Times New Roman" w:hAnsi="Times New Roman" w:cs="Times New Roman"/>
                <w:b/>
                <w:sz w:val="24"/>
                <w:szCs w:val="24"/>
              </w:rPr>
              <w:t>Çizelge</w:t>
            </w:r>
            <w:r w:rsidR="00374FE6" w:rsidRPr="00177A9D">
              <w:rPr>
                <w:rFonts w:ascii="Times New Roman" w:hAnsi="Times New Roman" w:cs="Times New Roman"/>
                <w:b/>
                <w:sz w:val="24"/>
                <w:szCs w:val="24"/>
              </w:rPr>
              <w:t xml:space="preserve"> 4</w:t>
            </w:r>
            <w:r w:rsidR="00D827AF">
              <w:rPr>
                <w:rFonts w:ascii="Times New Roman" w:hAnsi="Times New Roman" w:cs="Times New Roman"/>
                <w:b/>
                <w:sz w:val="24"/>
                <w:szCs w:val="24"/>
              </w:rPr>
              <w:t>.</w:t>
            </w:r>
            <w:r w:rsidR="00374FE6" w:rsidRPr="00177A9D">
              <w:rPr>
                <w:rFonts w:ascii="Times New Roman" w:hAnsi="Times New Roman" w:cs="Times New Roman"/>
                <w:b/>
                <w:sz w:val="24"/>
                <w:szCs w:val="24"/>
              </w:rPr>
              <w:t xml:space="preserve"> Etkinlik Göstergelerindeki Yıllık Değişimleri Artış Yönünde Olan Banka Sayıları</w:t>
            </w:r>
          </w:p>
          <w:p w:rsidR="00177A9D" w:rsidRPr="00177A9D" w:rsidRDefault="00177A9D" w:rsidP="00EB5058">
            <w:pPr>
              <w:pStyle w:val="AralkYok"/>
              <w:rPr>
                <w:rFonts w:ascii="Times New Roman" w:hAnsi="Times New Roman" w:cs="Times New Roman"/>
                <w:color w:val="000000"/>
                <w:sz w:val="24"/>
                <w:szCs w:val="24"/>
                <w:lang w:eastAsia="tr-TR"/>
              </w:rPr>
            </w:pPr>
          </w:p>
        </w:tc>
      </w:tr>
      <w:tr w:rsidR="00374FE6" w:rsidRPr="002E64EC" w:rsidTr="00EB5058">
        <w:trPr>
          <w:trHeight w:val="315"/>
        </w:trPr>
        <w:tc>
          <w:tcPr>
            <w:tcW w:w="353" w:type="pct"/>
            <w:vMerge w:val="restart"/>
            <w:tcBorders>
              <w:top w:val="single" w:sz="4" w:space="0" w:color="auto"/>
              <w:left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Pr>
                <w:rFonts w:ascii="Times New Roman" w:hAnsi="Times New Roman" w:cs="Times New Roman"/>
                <w:color w:val="000000"/>
                <w:lang w:eastAsia="tr-TR"/>
              </w:rPr>
              <w:t>Yıllar</w:t>
            </w:r>
          </w:p>
        </w:tc>
        <w:tc>
          <w:tcPr>
            <w:tcW w:w="92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177A9D" w:rsidRDefault="00374FE6" w:rsidP="00EB5058">
            <w:pPr>
              <w:pStyle w:val="AralkYok"/>
              <w:jc w:val="center"/>
              <w:rPr>
                <w:rFonts w:ascii="Times New Roman" w:hAnsi="Times New Roman" w:cs="Times New Roman"/>
                <w:b/>
                <w:color w:val="000000"/>
                <w:lang w:eastAsia="tr-TR"/>
              </w:rPr>
            </w:pPr>
            <w:r w:rsidRPr="00177A9D">
              <w:rPr>
                <w:rFonts w:ascii="Times New Roman" w:hAnsi="Times New Roman" w:cs="Times New Roman"/>
                <w:b/>
                <w:color w:val="000000"/>
                <w:lang w:eastAsia="tr-TR"/>
              </w:rPr>
              <w:t>Teknik</w:t>
            </w:r>
          </w:p>
          <w:p w:rsidR="00374FE6" w:rsidRPr="00177A9D" w:rsidRDefault="00374FE6" w:rsidP="00EB5058">
            <w:pPr>
              <w:pStyle w:val="AralkYok"/>
              <w:jc w:val="center"/>
              <w:rPr>
                <w:rFonts w:ascii="Times New Roman" w:hAnsi="Times New Roman" w:cs="Times New Roman"/>
                <w:b/>
                <w:color w:val="000000"/>
                <w:lang w:eastAsia="tr-TR"/>
              </w:rPr>
            </w:pPr>
            <w:r w:rsidRPr="00177A9D">
              <w:rPr>
                <w:rFonts w:ascii="Times New Roman" w:hAnsi="Times New Roman" w:cs="Times New Roman"/>
                <w:b/>
                <w:color w:val="000000"/>
                <w:lang w:eastAsia="tr-TR"/>
              </w:rPr>
              <w:t>Etkinlik</w:t>
            </w:r>
          </w:p>
        </w:tc>
        <w:tc>
          <w:tcPr>
            <w:tcW w:w="92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177A9D" w:rsidRDefault="00374FE6" w:rsidP="00EB5058">
            <w:pPr>
              <w:pStyle w:val="AralkYok"/>
              <w:jc w:val="center"/>
              <w:rPr>
                <w:rFonts w:ascii="Times New Roman" w:hAnsi="Times New Roman" w:cs="Times New Roman"/>
                <w:b/>
                <w:color w:val="000000"/>
                <w:lang w:eastAsia="tr-TR"/>
              </w:rPr>
            </w:pPr>
            <w:r w:rsidRPr="00177A9D">
              <w:rPr>
                <w:rFonts w:ascii="Times New Roman" w:hAnsi="Times New Roman" w:cs="Times New Roman"/>
                <w:b/>
                <w:color w:val="000000"/>
                <w:lang w:eastAsia="tr-TR"/>
              </w:rPr>
              <w:t>Teknolojik</w:t>
            </w:r>
          </w:p>
          <w:p w:rsidR="00374FE6" w:rsidRPr="00177A9D" w:rsidRDefault="00374FE6" w:rsidP="00EB5058">
            <w:pPr>
              <w:pStyle w:val="AralkYok"/>
              <w:jc w:val="center"/>
              <w:rPr>
                <w:rFonts w:ascii="Times New Roman" w:hAnsi="Times New Roman" w:cs="Times New Roman"/>
                <w:b/>
                <w:color w:val="000000"/>
                <w:lang w:eastAsia="tr-TR"/>
              </w:rPr>
            </w:pPr>
            <w:r w:rsidRPr="00177A9D">
              <w:rPr>
                <w:rFonts w:ascii="Times New Roman" w:hAnsi="Times New Roman" w:cs="Times New Roman"/>
                <w:b/>
                <w:color w:val="000000"/>
                <w:lang w:eastAsia="tr-TR"/>
              </w:rPr>
              <w:t>Değişim</w:t>
            </w:r>
          </w:p>
        </w:tc>
        <w:tc>
          <w:tcPr>
            <w:tcW w:w="93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177A9D" w:rsidRDefault="00374FE6" w:rsidP="00EB5058">
            <w:pPr>
              <w:pStyle w:val="AralkYok"/>
              <w:jc w:val="center"/>
              <w:rPr>
                <w:rFonts w:ascii="Times New Roman" w:hAnsi="Times New Roman" w:cs="Times New Roman"/>
                <w:b/>
                <w:color w:val="000000"/>
                <w:lang w:eastAsia="tr-TR"/>
              </w:rPr>
            </w:pPr>
            <w:r w:rsidRPr="00177A9D">
              <w:rPr>
                <w:rFonts w:ascii="Times New Roman" w:hAnsi="Times New Roman" w:cs="Times New Roman"/>
                <w:b/>
                <w:color w:val="000000"/>
                <w:lang w:eastAsia="tr-TR"/>
              </w:rPr>
              <w:t>Salt Teknik</w:t>
            </w:r>
          </w:p>
          <w:p w:rsidR="00374FE6" w:rsidRPr="00177A9D" w:rsidRDefault="00374FE6" w:rsidP="00EB5058">
            <w:pPr>
              <w:pStyle w:val="AralkYok"/>
              <w:jc w:val="center"/>
              <w:rPr>
                <w:rFonts w:ascii="Times New Roman" w:hAnsi="Times New Roman" w:cs="Times New Roman"/>
                <w:b/>
                <w:color w:val="000000"/>
                <w:lang w:eastAsia="tr-TR"/>
              </w:rPr>
            </w:pPr>
            <w:r w:rsidRPr="00177A9D">
              <w:rPr>
                <w:rFonts w:ascii="Times New Roman" w:hAnsi="Times New Roman" w:cs="Times New Roman"/>
                <w:b/>
                <w:color w:val="000000"/>
                <w:lang w:eastAsia="tr-TR"/>
              </w:rPr>
              <w:t>Etkinlik</w:t>
            </w:r>
          </w:p>
        </w:tc>
        <w:tc>
          <w:tcPr>
            <w:tcW w:w="93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177A9D" w:rsidRDefault="00374FE6" w:rsidP="00EB5058">
            <w:pPr>
              <w:pStyle w:val="AralkYok"/>
              <w:jc w:val="center"/>
              <w:rPr>
                <w:rFonts w:ascii="Times New Roman" w:hAnsi="Times New Roman" w:cs="Times New Roman"/>
                <w:b/>
                <w:color w:val="000000"/>
                <w:lang w:eastAsia="tr-TR"/>
              </w:rPr>
            </w:pPr>
            <w:r w:rsidRPr="00177A9D">
              <w:rPr>
                <w:rFonts w:ascii="Times New Roman" w:hAnsi="Times New Roman" w:cs="Times New Roman"/>
                <w:b/>
                <w:color w:val="000000"/>
                <w:lang w:eastAsia="tr-TR"/>
              </w:rPr>
              <w:t>Ölçek</w:t>
            </w:r>
          </w:p>
          <w:p w:rsidR="00374FE6" w:rsidRPr="00177A9D" w:rsidRDefault="00374FE6" w:rsidP="00EB5058">
            <w:pPr>
              <w:pStyle w:val="AralkYok"/>
              <w:jc w:val="center"/>
              <w:rPr>
                <w:rFonts w:ascii="Times New Roman" w:hAnsi="Times New Roman" w:cs="Times New Roman"/>
                <w:b/>
                <w:color w:val="000000"/>
                <w:lang w:eastAsia="tr-TR"/>
              </w:rPr>
            </w:pPr>
            <w:r w:rsidRPr="00177A9D">
              <w:rPr>
                <w:rFonts w:ascii="Times New Roman" w:hAnsi="Times New Roman" w:cs="Times New Roman"/>
                <w:b/>
                <w:color w:val="000000"/>
                <w:lang w:eastAsia="tr-TR"/>
              </w:rPr>
              <w:t>Etkinliği</w:t>
            </w:r>
          </w:p>
        </w:tc>
        <w:tc>
          <w:tcPr>
            <w:tcW w:w="93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177A9D" w:rsidRDefault="00374FE6" w:rsidP="00EB5058">
            <w:pPr>
              <w:pStyle w:val="AralkYok"/>
              <w:jc w:val="center"/>
              <w:rPr>
                <w:rFonts w:ascii="Times New Roman" w:hAnsi="Times New Roman" w:cs="Times New Roman"/>
                <w:b/>
                <w:color w:val="000000"/>
                <w:lang w:eastAsia="tr-TR"/>
              </w:rPr>
            </w:pPr>
            <w:r w:rsidRPr="00177A9D">
              <w:rPr>
                <w:rFonts w:ascii="Times New Roman" w:hAnsi="Times New Roman" w:cs="Times New Roman"/>
                <w:b/>
                <w:color w:val="000000"/>
                <w:lang w:eastAsia="tr-TR"/>
              </w:rPr>
              <w:t>Toplam Faktör</w:t>
            </w:r>
          </w:p>
          <w:p w:rsidR="00374FE6" w:rsidRPr="00177A9D" w:rsidRDefault="00374FE6" w:rsidP="00EB5058">
            <w:pPr>
              <w:pStyle w:val="AralkYok"/>
              <w:jc w:val="center"/>
              <w:rPr>
                <w:rFonts w:ascii="Times New Roman" w:hAnsi="Times New Roman" w:cs="Times New Roman"/>
                <w:b/>
                <w:color w:val="000000"/>
                <w:lang w:eastAsia="tr-TR"/>
              </w:rPr>
            </w:pPr>
            <w:r w:rsidRPr="00177A9D">
              <w:rPr>
                <w:rFonts w:ascii="Times New Roman" w:hAnsi="Times New Roman" w:cs="Times New Roman"/>
                <w:b/>
                <w:color w:val="000000"/>
                <w:lang w:eastAsia="tr-TR"/>
              </w:rPr>
              <w:t>Verimliliği</w:t>
            </w:r>
          </w:p>
        </w:tc>
      </w:tr>
      <w:tr w:rsidR="00374FE6" w:rsidRPr="002E64EC" w:rsidTr="00EB5058">
        <w:trPr>
          <w:trHeight w:val="315"/>
        </w:trPr>
        <w:tc>
          <w:tcPr>
            <w:tcW w:w="353" w:type="pct"/>
            <w:vMerge/>
            <w:tcBorders>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Banka</w:t>
            </w:r>
          </w:p>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Sayısı</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Yüzde</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Banka</w:t>
            </w:r>
          </w:p>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Sayısı</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Yüzde</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Banka</w:t>
            </w:r>
          </w:p>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Sayısı</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Yüzde</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Banka</w:t>
            </w:r>
          </w:p>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Sayısı</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Yüzde</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Banka</w:t>
            </w:r>
          </w:p>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Sayısı</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Yüzde</w:t>
            </w:r>
          </w:p>
        </w:tc>
      </w:tr>
      <w:tr w:rsidR="00374FE6" w:rsidRPr="002E64EC" w:rsidTr="00EB5058">
        <w:trPr>
          <w:trHeight w:val="315"/>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2003</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16</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C90CDA"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76,</w:t>
            </w:r>
            <w:r w:rsidR="00374FE6" w:rsidRPr="002E64EC">
              <w:rPr>
                <w:rFonts w:ascii="Times New Roman" w:hAnsi="Times New Roman" w:cs="Times New Roman"/>
                <w:color w:val="000000"/>
                <w:lang w:eastAsia="tr-TR"/>
              </w:rPr>
              <w:t>19</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14</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66,</w:t>
            </w:r>
            <w:r w:rsidR="00374FE6" w:rsidRPr="002E64EC">
              <w:rPr>
                <w:rFonts w:ascii="Times New Roman" w:hAnsi="Times New Roman" w:cs="Times New Roman"/>
                <w:color w:val="000000"/>
                <w:lang w:eastAsia="tr-TR"/>
              </w:rPr>
              <w:t>67</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19</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90,</w:t>
            </w:r>
            <w:r w:rsidR="00374FE6" w:rsidRPr="002E64EC">
              <w:rPr>
                <w:rFonts w:ascii="Times New Roman" w:hAnsi="Times New Roman" w:cs="Times New Roman"/>
                <w:color w:val="000000"/>
                <w:lang w:eastAsia="tr-TR"/>
              </w:rPr>
              <w:t>48</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12</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57,</w:t>
            </w:r>
            <w:r w:rsidR="00374FE6" w:rsidRPr="002E64EC">
              <w:rPr>
                <w:rFonts w:ascii="Times New Roman" w:hAnsi="Times New Roman" w:cs="Times New Roman"/>
                <w:color w:val="000000"/>
                <w:lang w:eastAsia="tr-TR"/>
              </w:rPr>
              <w:t>14</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17</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80,</w:t>
            </w:r>
            <w:r w:rsidR="00374FE6" w:rsidRPr="002E64EC">
              <w:rPr>
                <w:rFonts w:ascii="Times New Roman" w:hAnsi="Times New Roman" w:cs="Times New Roman"/>
                <w:color w:val="000000"/>
                <w:lang w:eastAsia="tr-TR"/>
              </w:rPr>
              <w:t>95</w:t>
            </w:r>
          </w:p>
        </w:tc>
      </w:tr>
      <w:tr w:rsidR="00374FE6" w:rsidRPr="002E64EC" w:rsidTr="00EB5058">
        <w:trPr>
          <w:trHeight w:val="315"/>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2004</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9</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C90CDA"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42,</w:t>
            </w:r>
            <w:r w:rsidR="00374FE6" w:rsidRPr="002E64EC">
              <w:rPr>
                <w:rFonts w:ascii="Times New Roman" w:hAnsi="Times New Roman" w:cs="Times New Roman"/>
                <w:color w:val="000000"/>
                <w:lang w:eastAsia="tr-TR"/>
              </w:rPr>
              <w:t>86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20</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95,</w:t>
            </w:r>
            <w:r w:rsidR="00374FE6" w:rsidRPr="002E64EC">
              <w:rPr>
                <w:rFonts w:ascii="Times New Roman" w:hAnsi="Times New Roman" w:cs="Times New Roman"/>
                <w:color w:val="000000"/>
                <w:lang w:eastAsia="tr-TR"/>
              </w:rPr>
              <w:t>24</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12</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57,</w:t>
            </w:r>
            <w:r w:rsidR="00374FE6" w:rsidRPr="002E64EC">
              <w:rPr>
                <w:rFonts w:ascii="Times New Roman" w:hAnsi="Times New Roman" w:cs="Times New Roman"/>
                <w:color w:val="000000"/>
                <w:lang w:eastAsia="tr-TR"/>
              </w:rPr>
              <w:t>14</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11</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52,</w:t>
            </w:r>
            <w:r w:rsidR="00374FE6" w:rsidRPr="002E64EC">
              <w:rPr>
                <w:rFonts w:ascii="Times New Roman" w:hAnsi="Times New Roman" w:cs="Times New Roman"/>
                <w:color w:val="000000"/>
                <w:lang w:eastAsia="tr-TR"/>
              </w:rPr>
              <w:t>38</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17</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80,</w:t>
            </w:r>
            <w:r w:rsidR="00374FE6" w:rsidRPr="002E64EC">
              <w:rPr>
                <w:rFonts w:ascii="Times New Roman" w:hAnsi="Times New Roman" w:cs="Times New Roman"/>
                <w:color w:val="000000"/>
                <w:lang w:eastAsia="tr-TR"/>
              </w:rPr>
              <w:t>95</w:t>
            </w:r>
          </w:p>
        </w:tc>
      </w:tr>
      <w:tr w:rsidR="00374FE6" w:rsidRPr="002E64EC" w:rsidTr="00EB5058">
        <w:trPr>
          <w:trHeight w:val="315"/>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2005</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19</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C90CDA"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90,</w:t>
            </w:r>
            <w:r w:rsidR="00374FE6" w:rsidRPr="002E64EC">
              <w:rPr>
                <w:rFonts w:ascii="Times New Roman" w:hAnsi="Times New Roman" w:cs="Times New Roman"/>
                <w:color w:val="000000"/>
                <w:lang w:eastAsia="tr-TR"/>
              </w:rPr>
              <w:t>48</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2</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177A9D">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9</w:t>
            </w:r>
            <w:r w:rsidR="00177A9D">
              <w:rPr>
                <w:rFonts w:ascii="Times New Roman" w:hAnsi="Times New Roman" w:cs="Times New Roman"/>
                <w:color w:val="000000"/>
                <w:lang w:eastAsia="tr-TR"/>
              </w:rPr>
              <w:t>,</w:t>
            </w:r>
            <w:r w:rsidRPr="002E64EC">
              <w:rPr>
                <w:rFonts w:ascii="Times New Roman" w:hAnsi="Times New Roman" w:cs="Times New Roman"/>
                <w:color w:val="000000"/>
                <w:lang w:eastAsia="tr-TR"/>
              </w:rPr>
              <w:t>52</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20</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95,</w:t>
            </w:r>
            <w:r w:rsidR="00374FE6" w:rsidRPr="002E64EC">
              <w:rPr>
                <w:rFonts w:ascii="Times New Roman" w:hAnsi="Times New Roman" w:cs="Times New Roman"/>
                <w:color w:val="000000"/>
                <w:lang w:eastAsia="tr-TR"/>
              </w:rPr>
              <w:t>24</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19</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90,</w:t>
            </w:r>
            <w:r w:rsidR="00374FE6" w:rsidRPr="002E64EC">
              <w:rPr>
                <w:rFonts w:ascii="Times New Roman" w:hAnsi="Times New Roman" w:cs="Times New Roman"/>
                <w:color w:val="000000"/>
                <w:lang w:eastAsia="tr-TR"/>
              </w:rPr>
              <w:t>48</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14</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66,</w:t>
            </w:r>
            <w:r w:rsidR="00374FE6" w:rsidRPr="002E64EC">
              <w:rPr>
                <w:rFonts w:ascii="Times New Roman" w:hAnsi="Times New Roman" w:cs="Times New Roman"/>
                <w:color w:val="000000"/>
                <w:lang w:eastAsia="tr-TR"/>
              </w:rPr>
              <w:t>67</w:t>
            </w:r>
          </w:p>
        </w:tc>
      </w:tr>
      <w:tr w:rsidR="00374FE6" w:rsidRPr="002E64EC" w:rsidTr="00EB5058">
        <w:trPr>
          <w:trHeight w:val="315"/>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2006</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18</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C90CDA"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85,</w:t>
            </w:r>
            <w:r w:rsidR="00374FE6" w:rsidRPr="002E64EC">
              <w:rPr>
                <w:rFonts w:ascii="Times New Roman" w:hAnsi="Times New Roman" w:cs="Times New Roman"/>
                <w:color w:val="000000"/>
                <w:lang w:eastAsia="tr-TR"/>
              </w:rPr>
              <w:t>71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7</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33,</w:t>
            </w:r>
            <w:r w:rsidR="00374FE6" w:rsidRPr="002E64EC">
              <w:rPr>
                <w:rFonts w:ascii="Times New Roman" w:hAnsi="Times New Roman" w:cs="Times New Roman"/>
                <w:color w:val="000000"/>
                <w:lang w:eastAsia="tr-TR"/>
              </w:rPr>
              <w:t>33</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18</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85,</w:t>
            </w:r>
            <w:r w:rsidR="00374FE6" w:rsidRPr="002E64EC">
              <w:rPr>
                <w:rFonts w:ascii="Times New Roman" w:hAnsi="Times New Roman" w:cs="Times New Roman"/>
                <w:color w:val="000000"/>
                <w:lang w:eastAsia="tr-TR"/>
              </w:rPr>
              <w:t>71</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17</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80,</w:t>
            </w:r>
            <w:r w:rsidR="00374FE6" w:rsidRPr="002E64EC">
              <w:rPr>
                <w:rFonts w:ascii="Times New Roman" w:hAnsi="Times New Roman" w:cs="Times New Roman"/>
                <w:color w:val="000000"/>
                <w:lang w:eastAsia="tr-TR"/>
              </w:rPr>
              <w:t>95</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15</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71,</w:t>
            </w:r>
            <w:r w:rsidR="00374FE6" w:rsidRPr="002E64EC">
              <w:rPr>
                <w:rFonts w:ascii="Times New Roman" w:hAnsi="Times New Roman" w:cs="Times New Roman"/>
                <w:color w:val="000000"/>
                <w:lang w:eastAsia="tr-TR"/>
              </w:rPr>
              <w:t>43</w:t>
            </w:r>
          </w:p>
        </w:tc>
      </w:tr>
      <w:tr w:rsidR="00374FE6" w:rsidRPr="002E64EC" w:rsidTr="00EB5058">
        <w:trPr>
          <w:trHeight w:val="315"/>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2007</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10</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C90CDA"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47,</w:t>
            </w:r>
            <w:r w:rsidR="00374FE6" w:rsidRPr="002E64EC">
              <w:rPr>
                <w:rFonts w:ascii="Times New Roman" w:hAnsi="Times New Roman" w:cs="Times New Roman"/>
                <w:color w:val="000000"/>
                <w:lang w:eastAsia="tr-TR"/>
              </w:rPr>
              <w:t>62</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20</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95,</w:t>
            </w:r>
            <w:r w:rsidR="00374FE6" w:rsidRPr="002E64EC">
              <w:rPr>
                <w:rFonts w:ascii="Times New Roman" w:hAnsi="Times New Roman" w:cs="Times New Roman"/>
                <w:color w:val="000000"/>
                <w:lang w:eastAsia="tr-TR"/>
              </w:rPr>
              <w:t>24</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14</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66,</w:t>
            </w:r>
            <w:r w:rsidR="00374FE6" w:rsidRPr="002E64EC">
              <w:rPr>
                <w:rFonts w:ascii="Times New Roman" w:hAnsi="Times New Roman" w:cs="Times New Roman"/>
                <w:color w:val="000000"/>
                <w:lang w:eastAsia="tr-TR"/>
              </w:rPr>
              <w:t>67</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10</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47,</w:t>
            </w:r>
            <w:r w:rsidR="00374FE6" w:rsidRPr="002E64EC">
              <w:rPr>
                <w:rFonts w:ascii="Times New Roman" w:hAnsi="Times New Roman" w:cs="Times New Roman"/>
                <w:color w:val="000000"/>
                <w:lang w:eastAsia="tr-TR"/>
              </w:rPr>
              <w:t>62</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16</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76,</w:t>
            </w:r>
            <w:r w:rsidR="00374FE6" w:rsidRPr="002E64EC">
              <w:rPr>
                <w:rFonts w:ascii="Times New Roman" w:hAnsi="Times New Roman" w:cs="Times New Roman"/>
                <w:color w:val="000000"/>
                <w:lang w:eastAsia="tr-TR"/>
              </w:rPr>
              <w:t>19</w:t>
            </w:r>
          </w:p>
        </w:tc>
      </w:tr>
      <w:tr w:rsidR="00374FE6" w:rsidRPr="002E64EC" w:rsidTr="00EB5058">
        <w:trPr>
          <w:trHeight w:val="315"/>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2008</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17</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C90CDA"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80,</w:t>
            </w:r>
            <w:r w:rsidR="00374FE6" w:rsidRPr="002E64EC">
              <w:rPr>
                <w:rFonts w:ascii="Times New Roman" w:hAnsi="Times New Roman" w:cs="Times New Roman"/>
                <w:color w:val="000000"/>
                <w:lang w:eastAsia="tr-TR"/>
              </w:rPr>
              <w:t>95</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0</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177A9D">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0</w:t>
            </w:r>
            <w:r w:rsidR="00177A9D">
              <w:rPr>
                <w:rFonts w:ascii="Times New Roman" w:hAnsi="Times New Roman" w:cs="Times New Roman"/>
                <w:color w:val="000000"/>
                <w:lang w:eastAsia="tr-TR"/>
              </w:rPr>
              <w:t>,</w:t>
            </w:r>
            <w:r w:rsidRPr="002E64EC">
              <w:rPr>
                <w:rFonts w:ascii="Times New Roman" w:hAnsi="Times New Roman" w:cs="Times New Roman"/>
                <w:color w:val="000000"/>
                <w:lang w:eastAsia="tr-TR"/>
              </w:rPr>
              <w:t>00</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15</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71,</w:t>
            </w:r>
            <w:r w:rsidR="00374FE6" w:rsidRPr="002E64EC">
              <w:rPr>
                <w:rFonts w:ascii="Times New Roman" w:hAnsi="Times New Roman" w:cs="Times New Roman"/>
                <w:color w:val="000000"/>
                <w:lang w:eastAsia="tr-TR"/>
              </w:rPr>
              <w:t>43</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20</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95,</w:t>
            </w:r>
            <w:r w:rsidR="00374FE6" w:rsidRPr="002E64EC">
              <w:rPr>
                <w:rFonts w:ascii="Times New Roman" w:hAnsi="Times New Roman" w:cs="Times New Roman"/>
                <w:color w:val="000000"/>
                <w:lang w:eastAsia="tr-TR"/>
              </w:rPr>
              <w:t>24</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8</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38,</w:t>
            </w:r>
            <w:r w:rsidR="00374FE6" w:rsidRPr="002E64EC">
              <w:rPr>
                <w:rFonts w:ascii="Times New Roman" w:hAnsi="Times New Roman" w:cs="Times New Roman"/>
                <w:color w:val="000000"/>
                <w:lang w:eastAsia="tr-TR"/>
              </w:rPr>
              <w:t>10</w:t>
            </w:r>
          </w:p>
        </w:tc>
      </w:tr>
      <w:tr w:rsidR="00374FE6" w:rsidRPr="002E64EC" w:rsidTr="00EB5058">
        <w:trPr>
          <w:trHeight w:val="30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2009</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9</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C90CDA"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42,</w:t>
            </w:r>
            <w:r w:rsidR="00374FE6" w:rsidRPr="002E64EC">
              <w:rPr>
                <w:rFonts w:ascii="Times New Roman" w:hAnsi="Times New Roman" w:cs="Times New Roman"/>
                <w:color w:val="000000"/>
                <w:lang w:eastAsia="tr-TR"/>
              </w:rPr>
              <w:t>86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18</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85,</w:t>
            </w:r>
            <w:r w:rsidR="00374FE6" w:rsidRPr="002E64EC">
              <w:rPr>
                <w:rFonts w:ascii="Times New Roman" w:hAnsi="Times New Roman" w:cs="Times New Roman"/>
                <w:color w:val="000000"/>
                <w:lang w:eastAsia="tr-TR"/>
              </w:rPr>
              <w:t>71</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17</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80,</w:t>
            </w:r>
            <w:r w:rsidR="00374FE6" w:rsidRPr="002E64EC">
              <w:rPr>
                <w:rFonts w:ascii="Times New Roman" w:hAnsi="Times New Roman" w:cs="Times New Roman"/>
                <w:color w:val="000000"/>
                <w:lang w:eastAsia="tr-TR"/>
              </w:rPr>
              <w:t>95</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7</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33,</w:t>
            </w:r>
            <w:r w:rsidR="00374FE6" w:rsidRPr="002E64EC">
              <w:rPr>
                <w:rFonts w:ascii="Times New Roman" w:hAnsi="Times New Roman" w:cs="Times New Roman"/>
                <w:color w:val="000000"/>
                <w:lang w:eastAsia="tr-TR"/>
              </w:rPr>
              <w:t>33</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16</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76,</w:t>
            </w:r>
            <w:r w:rsidR="00374FE6" w:rsidRPr="002E64EC">
              <w:rPr>
                <w:rFonts w:ascii="Times New Roman" w:hAnsi="Times New Roman" w:cs="Times New Roman"/>
                <w:color w:val="000000"/>
                <w:lang w:eastAsia="tr-TR"/>
              </w:rPr>
              <w:t>19</w:t>
            </w:r>
          </w:p>
        </w:tc>
      </w:tr>
      <w:tr w:rsidR="00374FE6" w:rsidRPr="002E64EC" w:rsidTr="00EB5058">
        <w:trPr>
          <w:trHeight w:val="30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2010</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15</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C90CDA"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71,</w:t>
            </w:r>
            <w:r w:rsidR="00374FE6" w:rsidRPr="002E64EC">
              <w:rPr>
                <w:rFonts w:ascii="Times New Roman" w:hAnsi="Times New Roman" w:cs="Times New Roman"/>
                <w:color w:val="000000"/>
                <w:lang w:eastAsia="tr-TR"/>
              </w:rPr>
              <w:t>43</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10</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47,</w:t>
            </w:r>
            <w:r w:rsidR="00374FE6" w:rsidRPr="002E64EC">
              <w:rPr>
                <w:rFonts w:ascii="Times New Roman" w:hAnsi="Times New Roman" w:cs="Times New Roman"/>
                <w:color w:val="000000"/>
                <w:lang w:eastAsia="tr-TR"/>
              </w:rPr>
              <w:t>62</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17</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80,</w:t>
            </w:r>
            <w:r w:rsidR="00374FE6" w:rsidRPr="002E64EC">
              <w:rPr>
                <w:rFonts w:ascii="Times New Roman" w:hAnsi="Times New Roman" w:cs="Times New Roman"/>
                <w:color w:val="000000"/>
                <w:lang w:eastAsia="tr-TR"/>
              </w:rPr>
              <w:t>95</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15</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71,</w:t>
            </w:r>
            <w:r w:rsidR="00374FE6" w:rsidRPr="002E64EC">
              <w:rPr>
                <w:rFonts w:ascii="Times New Roman" w:hAnsi="Times New Roman" w:cs="Times New Roman"/>
                <w:color w:val="000000"/>
                <w:lang w:eastAsia="tr-TR"/>
              </w:rPr>
              <w:t>43</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12</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57,</w:t>
            </w:r>
            <w:r w:rsidR="00374FE6" w:rsidRPr="002E64EC">
              <w:rPr>
                <w:rFonts w:ascii="Times New Roman" w:hAnsi="Times New Roman" w:cs="Times New Roman"/>
                <w:color w:val="000000"/>
                <w:lang w:eastAsia="tr-TR"/>
              </w:rPr>
              <w:t>14</w:t>
            </w:r>
          </w:p>
        </w:tc>
      </w:tr>
      <w:tr w:rsidR="00374FE6" w:rsidRPr="002E64EC" w:rsidTr="00EB5058">
        <w:trPr>
          <w:trHeight w:val="30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2011</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14</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C90CDA"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66,</w:t>
            </w:r>
            <w:r w:rsidR="00374FE6" w:rsidRPr="002E64EC">
              <w:rPr>
                <w:rFonts w:ascii="Times New Roman" w:hAnsi="Times New Roman" w:cs="Times New Roman"/>
                <w:color w:val="000000"/>
                <w:lang w:eastAsia="tr-TR"/>
              </w:rPr>
              <w:t>67</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2</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9,</w:t>
            </w:r>
            <w:r w:rsidR="00374FE6" w:rsidRPr="002E64EC">
              <w:rPr>
                <w:rFonts w:ascii="Times New Roman" w:hAnsi="Times New Roman" w:cs="Times New Roman"/>
                <w:color w:val="000000"/>
                <w:lang w:eastAsia="tr-TR"/>
              </w:rPr>
              <w:t>52</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15</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71,</w:t>
            </w:r>
            <w:r w:rsidR="00374FE6" w:rsidRPr="002E64EC">
              <w:rPr>
                <w:rFonts w:ascii="Times New Roman" w:hAnsi="Times New Roman" w:cs="Times New Roman"/>
                <w:color w:val="000000"/>
                <w:lang w:eastAsia="tr-TR"/>
              </w:rPr>
              <w:t>43</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12</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57,</w:t>
            </w:r>
            <w:r w:rsidR="00374FE6" w:rsidRPr="002E64EC">
              <w:rPr>
                <w:rFonts w:ascii="Times New Roman" w:hAnsi="Times New Roman" w:cs="Times New Roman"/>
                <w:color w:val="000000"/>
                <w:lang w:eastAsia="tr-TR"/>
              </w:rPr>
              <w:t>14</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5</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23,</w:t>
            </w:r>
            <w:r w:rsidR="00374FE6" w:rsidRPr="002E64EC">
              <w:rPr>
                <w:rFonts w:ascii="Times New Roman" w:hAnsi="Times New Roman" w:cs="Times New Roman"/>
                <w:color w:val="000000"/>
                <w:lang w:eastAsia="tr-TR"/>
              </w:rPr>
              <w:t>81</w:t>
            </w:r>
          </w:p>
        </w:tc>
      </w:tr>
      <w:tr w:rsidR="00374FE6" w:rsidRPr="002E64EC" w:rsidTr="00EB5058">
        <w:trPr>
          <w:trHeight w:val="30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2012</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7</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C90CDA"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33,</w:t>
            </w:r>
            <w:r w:rsidR="00374FE6" w:rsidRPr="002E64EC">
              <w:rPr>
                <w:rFonts w:ascii="Times New Roman" w:hAnsi="Times New Roman" w:cs="Times New Roman"/>
                <w:color w:val="000000"/>
                <w:lang w:eastAsia="tr-TR"/>
              </w:rPr>
              <w:t>33</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20</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95,</w:t>
            </w:r>
            <w:r w:rsidR="00374FE6" w:rsidRPr="002E64EC">
              <w:rPr>
                <w:rFonts w:ascii="Times New Roman" w:hAnsi="Times New Roman" w:cs="Times New Roman"/>
                <w:color w:val="000000"/>
                <w:lang w:eastAsia="tr-TR"/>
              </w:rPr>
              <w:t>24</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16</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76,</w:t>
            </w:r>
            <w:r w:rsidR="00374FE6" w:rsidRPr="002E64EC">
              <w:rPr>
                <w:rFonts w:ascii="Times New Roman" w:hAnsi="Times New Roman" w:cs="Times New Roman"/>
                <w:color w:val="000000"/>
                <w:lang w:eastAsia="tr-TR"/>
              </w:rPr>
              <w:t>19</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6</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28,</w:t>
            </w:r>
            <w:r w:rsidR="00374FE6" w:rsidRPr="002E64EC">
              <w:rPr>
                <w:rFonts w:ascii="Times New Roman" w:hAnsi="Times New Roman" w:cs="Times New Roman"/>
                <w:color w:val="000000"/>
                <w:lang w:eastAsia="tr-TR"/>
              </w:rPr>
              <w:t>57</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15</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71,</w:t>
            </w:r>
            <w:r w:rsidR="00374FE6" w:rsidRPr="002E64EC">
              <w:rPr>
                <w:rFonts w:ascii="Times New Roman" w:hAnsi="Times New Roman" w:cs="Times New Roman"/>
                <w:color w:val="000000"/>
                <w:lang w:eastAsia="tr-TR"/>
              </w:rPr>
              <w:t>43</w:t>
            </w:r>
          </w:p>
        </w:tc>
      </w:tr>
      <w:tr w:rsidR="00374FE6" w:rsidRPr="002E64EC" w:rsidTr="00EB5058">
        <w:trPr>
          <w:trHeight w:val="30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FE6" w:rsidRPr="002E64EC" w:rsidRDefault="00374FE6" w:rsidP="00EB5058">
            <w:pPr>
              <w:pStyle w:val="AralkYok"/>
              <w:jc w:val="center"/>
              <w:rPr>
                <w:rFonts w:ascii="Times New Roman" w:hAnsi="Times New Roman" w:cs="Times New Roman"/>
                <w:color w:val="000000"/>
                <w:lang w:eastAsia="tr-TR"/>
              </w:rPr>
            </w:pPr>
            <w:r w:rsidRPr="002E64EC">
              <w:rPr>
                <w:rFonts w:ascii="Times New Roman" w:hAnsi="Times New Roman" w:cs="Times New Roman"/>
                <w:color w:val="000000"/>
                <w:lang w:eastAsia="tr-TR"/>
              </w:rPr>
              <w:t>2013</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13</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C90CDA"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61,</w:t>
            </w:r>
            <w:r w:rsidR="00374FE6" w:rsidRPr="002E64EC">
              <w:rPr>
                <w:rFonts w:ascii="Times New Roman" w:hAnsi="Times New Roman" w:cs="Times New Roman"/>
                <w:color w:val="000000"/>
                <w:lang w:eastAsia="tr-TR"/>
              </w:rPr>
              <w:t>90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4,</w:t>
            </w:r>
            <w:r w:rsidR="00374FE6" w:rsidRPr="002E64EC">
              <w:rPr>
                <w:rFonts w:ascii="Times New Roman" w:hAnsi="Times New Roman" w:cs="Times New Roman"/>
                <w:color w:val="000000"/>
                <w:lang w:eastAsia="tr-TR"/>
              </w:rPr>
              <w:t>76</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15</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71,</w:t>
            </w:r>
            <w:r w:rsidR="00374FE6" w:rsidRPr="002E64EC">
              <w:rPr>
                <w:rFonts w:ascii="Times New Roman" w:hAnsi="Times New Roman" w:cs="Times New Roman"/>
                <w:color w:val="000000"/>
                <w:lang w:eastAsia="tr-TR"/>
              </w:rPr>
              <w:t>43</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15</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71,</w:t>
            </w:r>
            <w:r w:rsidR="00374FE6" w:rsidRPr="002E64EC">
              <w:rPr>
                <w:rFonts w:ascii="Times New Roman" w:hAnsi="Times New Roman" w:cs="Times New Roman"/>
                <w:color w:val="000000"/>
                <w:lang w:eastAsia="tr-TR"/>
              </w:rPr>
              <w:t>43</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374FE6" w:rsidP="00EB5058">
            <w:pPr>
              <w:pStyle w:val="AralkYok"/>
              <w:jc w:val="right"/>
              <w:rPr>
                <w:rFonts w:ascii="Times New Roman" w:hAnsi="Times New Roman" w:cs="Times New Roman"/>
                <w:color w:val="000000"/>
                <w:lang w:eastAsia="tr-TR"/>
              </w:rPr>
            </w:pPr>
            <w:r w:rsidRPr="002E64EC">
              <w:rPr>
                <w:rFonts w:ascii="Times New Roman" w:hAnsi="Times New Roman" w:cs="Times New Roman"/>
                <w:color w:val="000000"/>
                <w:lang w:eastAsia="tr-TR"/>
              </w:rPr>
              <w:t>3</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E6" w:rsidRPr="002E64EC" w:rsidRDefault="00177A9D" w:rsidP="00EB5058">
            <w:pPr>
              <w:pStyle w:val="AralkYok"/>
              <w:jc w:val="right"/>
              <w:rPr>
                <w:rFonts w:ascii="Times New Roman" w:hAnsi="Times New Roman" w:cs="Times New Roman"/>
                <w:color w:val="000000"/>
                <w:lang w:eastAsia="tr-TR"/>
              </w:rPr>
            </w:pPr>
            <w:r>
              <w:rPr>
                <w:rFonts w:ascii="Times New Roman" w:hAnsi="Times New Roman" w:cs="Times New Roman"/>
                <w:color w:val="000000"/>
                <w:lang w:eastAsia="tr-TR"/>
              </w:rPr>
              <w:t>14,</w:t>
            </w:r>
            <w:r w:rsidR="00374FE6" w:rsidRPr="002E64EC">
              <w:rPr>
                <w:rFonts w:ascii="Times New Roman" w:hAnsi="Times New Roman" w:cs="Times New Roman"/>
                <w:color w:val="000000"/>
                <w:lang w:eastAsia="tr-TR"/>
              </w:rPr>
              <w:t>29</w:t>
            </w:r>
          </w:p>
        </w:tc>
      </w:tr>
    </w:tbl>
    <w:p w:rsidR="00EB5058" w:rsidRDefault="00EB5058" w:rsidP="00EB5058">
      <w:pPr>
        <w:spacing w:after="120" w:line="240" w:lineRule="auto"/>
        <w:jc w:val="both"/>
        <w:rPr>
          <w:rFonts w:ascii="Times New Roman" w:hAnsi="Times New Roman" w:cs="Times New Roman"/>
          <w:sz w:val="24"/>
          <w:szCs w:val="24"/>
        </w:rPr>
      </w:pPr>
    </w:p>
    <w:p w:rsidR="00413259" w:rsidRDefault="00413259" w:rsidP="00EB5058">
      <w:pPr>
        <w:spacing w:after="120" w:line="240" w:lineRule="auto"/>
        <w:jc w:val="both"/>
        <w:rPr>
          <w:rFonts w:ascii="Times New Roman" w:hAnsi="Times New Roman" w:cs="Times New Roman"/>
          <w:sz w:val="24"/>
          <w:szCs w:val="24"/>
        </w:rPr>
      </w:pPr>
      <w:r w:rsidRPr="00374FE6">
        <w:rPr>
          <w:rFonts w:ascii="Times New Roman" w:hAnsi="Times New Roman" w:cs="Times New Roman"/>
          <w:sz w:val="24"/>
          <w:szCs w:val="24"/>
        </w:rPr>
        <w:lastRenderedPageBreak/>
        <w:t xml:space="preserve">Teknik etkinlik değişimleri artış yönünde olan </w:t>
      </w:r>
      <w:r>
        <w:rPr>
          <w:rFonts w:ascii="Times New Roman" w:hAnsi="Times New Roman" w:cs="Times New Roman"/>
          <w:sz w:val="24"/>
          <w:szCs w:val="24"/>
        </w:rPr>
        <w:t>bankalar için en düşük oranlar 2004, 2007, 2009 ve 2012 yıllarında tespit edilmiştir.</w:t>
      </w:r>
      <w:r w:rsidRPr="00374FE6">
        <w:rPr>
          <w:rFonts w:ascii="Times New Roman" w:hAnsi="Times New Roman" w:cs="Times New Roman"/>
          <w:sz w:val="24"/>
          <w:szCs w:val="24"/>
        </w:rPr>
        <w:t xml:space="preserve"> </w:t>
      </w:r>
      <w:r>
        <w:rPr>
          <w:rFonts w:ascii="Times New Roman" w:hAnsi="Times New Roman" w:cs="Times New Roman"/>
          <w:sz w:val="24"/>
          <w:szCs w:val="24"/>
        </w:rPr>
        <w:t>Buna karşın söz konu oran 2005, 2006 ve 2008 yılında en yüksek seviyededir. Teknolojik değişim açısından bakıldığında, küresel krizin yoğun yaşandığı 2008 yılında teknolojik değişimi artış yönünde olan banka sayı</w:t>
      </w:r>
      <w:r w:rsidR="003D3375">
        <w:rPr>
          <w:rFonts w:ascii="Times New Roman" w:hAnsi="Times New Roman" w:cs="Times New Roman"/>
          <w:sz w:val="24"/>
          <w:szCs w:val="24"/>
        </w:rPr>
        <w:t>sı</w:t>
      </w:r>
      <w:r>
        <w:rPr>
          <w:rFonts w:ascii="Times New Roman" w:hAnsi="Times New Roman" w:cs="Times New Roman"/>
          <w:sz w:val="24"/>
          <w:szCs w:val="24"/>
        </w:rPr>
        <w:t xml:space="preserve">nın sıfır olması dikkati çekmektedir. </w:t>
      </w:r>
      <w:r w:rsidRPr="00374FE6">
        <w:rPr>
          <w:rFonts w:ascii="Times New Roman" w:hAnsi="Times New Roman" w:cs="Times New Roman"/>
          <w:sz w:val="24"/>
          <w:szCs w:val="24"/>
        </w:rPr>
        <w:t>Dikk</w:t>
      </w:r>
      <w:r>
        <w:rPr>
          <w:rFonts w:ascii="Times New Roman" w:hAnsi="Times New Roman" w:cs="Times New Roman"/>
          <w:sz w:val="24"/>
          <w:szCs w:val="24"/>
        </w:rPr>
        <w:t>at çeken bir diğer gelişme ise toplam f</w:t>
      </w:r>
      <w:r w:rsidRPr="00374FE6">
        <w:rPr>
          <w:rFonts w:ascii="Times New Roman" w:hAnsi="Times New Roman" w:cs="Times New Roman"/>
          <w:sz w:val="24"/>
          <w:szCs w:val="24"/>
        </w:rPr>
        <w:t xml:space="preserve">aktör </w:t>
      </w:r>
      <w:r>
        <w:rPr>
          <w:rFonts w:ascii="Times New Roman" w:hAnsi="Times New Roman" w:cs="Times New Roman"/>
          <w:sz w:val="24"/>
          <w:szCs w:val="24"/>
        </w:rPr>
        <w:t>v</w:t>
      </w:r>
      <w:r w:rsidRPr="00374FE6">
        <w:rPr>
          <w:rFonts w:ascii="Times New Roman" w:hAnsi="Times New Roman" w:cs="Times New Roman"/>
          <w:sz w:val="24"/>
          <w:szCs w:val="24"/>
        </w:rPr>
        <w:t>erimliliğindeki değişimi artış yönünde olan banka sayısının 2007 yılına kadar istikrarlı bir eğili</w:t>
      </w:r>
      <w:r>
        <w:rPr>
          <w:rFonts w:ascii="Times New Roman" w:hAnsi="Times New Roman" w:cs="Times New Roman"/>
          <w:sz w:val="24"/>
          <w:szCs w:val="24"/>
        </w:rPr>
        <w:t>m içerisinde iken 2008 yılında %</w:t>
      </w:r>
      <w:r w:rsidR="00103CB1">
        <w:rPr>
          <w:rFonts w:ascii="Times New Roman" w:hAnsi="Times New Roman" w:cs="Times New Roman"/>
          <w:sz w:val="24"/>
          <w:szCs w:val="24"/>
        </w:rPr>
        <w:t xml:space="preserve"> 38,1</w:t>
      </w:r>
      <w:r>
        <w:rPr>
          <w:rFonts w:ascii="Times New Roman" w:hAnsi="Times New Roman" w:cs="Times New Roman"/>
          <w:sz w:val="24"/>
          <w:szCs w:val="24"/>
        </w:rPr>
        <w:t xml:space="preserve"> seviyesine gerilemiş olmasıdır</w:t>
      </w:r>
      <w:r w:rsidRPr="00374FE6">
        <w:rPr>
          <w:rFonts w:ascii="Times New Roman" w:hAnsi="Times New Roman" w:cs="Times New Roman"/>
          <w:sz w:val="24"/>
          <w:szCs w:val="24"/>
        </w:rPr>
        <w:t>.</w:t>
      </w:r>
      <w:r>
        <w:rPr>
          <w:rFonts w:ascii="Times New Roman" w:hAnsi="Times New Roman" w:cs="Times New Roman"/>
          <w:sz w:val="24"/>
          <w:szCs w:val="24"/>
        </w:rPr>
        <w:t xml:space="preserve"> Buna karşın 2008 yılı ölçek etkinliğinde artış gösteren banka sayısında %</w:t>
      </w:r>
      <w:r w:rsidR="00103CB1">
        <w:rPr>
          <w:rFonts w:ascii="Times New Roman" w:hAnsi="Times New Roman" w:cs="Times New Roman"/>
          <w:sz w:val="24"/>
          <w:szCs w:val="24"/>
        </w:rPr>
        <w:t xml:space="preserve"> 95,</w:t>
      </w:r>
      <w:r>
        <w:rPr>
          <w:rFonts w:ascii="Times New Roman" w:hAnsi="Times New Roman" w:cs="Times New Roman"/>
          <w:sz w:val="24"/>
          <w:szCs w:val="24"/>
        </w:rPr>
        <w:t>24 oranı ile en yüksek seviyenin yaşandığı dönem olmuştur. Ayrıca 2013 yılı itibariyle bir değerlendirme yapıldığında teknolojik değişim ve toplam f</w:t>
      </w:r>
      <w:r w:rsidRPr="00374FE6">
        <w:rPr>
          <w:rFonts w:ascii="Times New Roman" w:hAnsi="Times New Roman" w:cs="Times New Roman"/>
          <w:sz w:val="24"/>
          <w:szCs w:val="24"/>
        </w:rPr>
        <w:t xml:space="preserve">aktör </w:t>
      </w:r>
      <w:r>
        <w:rPr>
          <w:rFonts w:ascii="Times New Roman" w:hAnsi="Times New Roman" w:cs="Times New Roman"/>
          <w:sz w:val="24"/>
          <w:szCs w:val="24"/>
        </w:rPr>
        <w:t>v</w:t>
      </w:r>
      <w:r w:rsidRPr="00374FE6">
        <w:rPr>
          <w:rFonts w:ascii="Times New Roman" w:hAnsi="Times New Roman" w:cs="Times New Roman"/>
          <w:sz w:val="24"/>
          <w:szCs w:val="24"/>
        </w:rPr>
        <w:t>erimliliğindeki değişimi artış yönünde</w:t>
      </w:r>
      <w:r>
        <w:rPr>
          <w:rFonts w:ascii="Times New Roman" w:hAnsi="Times New Roman" w:cs="Times New Roman"/>
          <w:sz w:val="24"/>
          <w:szCs w:val="24"/>
        </w:rPr>
        <w:t xml:space="preserve"> olan banka sayısının 1 ve 3 sayıları ile oldukça düşük seviyede kalması dikkati çekmektedir.</w:t>
      </w:r>
    </w:p>
    <w:p w:rsidR="001F734F" w:rsidRPr="008E230B" w:rsidRDefault="008D1059" w:rsidP="00EB5058">
      <w:pPr>
        <w:spacing w:after="120" w:line="240" w:lineRule="auto"/>
        <w:jc w:val="both"/>
        <w:rPr>
          <w:rFonts w:ascii="Times New Roman" w:hAnsi="Times New Roman" w:cs="Times New Roman"/>
          <w:sz w:val="24"/>
          <w:szCs w:val="24"/>
        </w:rPr>
      </w:pPr>
      <w:r w:rsidRPr="008E230B">
        <w:rPr>
          <w:rFonts w:ascii="Times New Roman" w:hAnsi="Times New Roman" w:cs="Times New Roman"/>
          <w:sz w:val="24"/>
          <w:szCs w:val="24"/>
        </w:rPr>
        <w:t>Araştırma kap</w:t>
      </w:r>
      <w:r w:rsidR="003D3375">
        <w:rPr>
          <w:rFonts w:ascii="Times New Roman" w:hAnsi="Times New Roman" w:cs="Times New Roman"/>
          <w:sz w:val="24"/>
          <w:szCs w:val="24"/>
        </w:rPr>
        <w:t>samında yer alan bankaların 2002</w:t>
      </w:r>
      <w:r w:rsidRPr="008E230B">
        <w:rPr>
          <w:rFonts w:ascii="Times New Roman" w:hAnsi="Times New Roman" w:cs="Times New Roman"/>
          <w:sz w:val="24"/>
          <w:szCs w:val="24"/>
        </w:rPr>
        <w:t>-2013 dönemlerini kapsayan toplam 1</w:t>
      </w:r>
      <w:r w:rsidR="003D3375">
        <w:rPr>
          <w:rFonts w:ascii="Times New Roman" w:hAnsi="Times New Roman" w:cs="Times New Roman"/>
          <w:sz w:val="24"/>
          <w:szCs w:val="24"/>
        </w:rPr>
        <w:t>2</w:t>
      </w:r>
      <w:r w:rsidRPr="008E230B">
        <w:rPr>
          <w:rFonts w:ascii="Times New Roman" w:hAnsi="Times New Roman" w:cs="Times New Roman"/>
          <w:sz w:val="24"/>
          <w:szCs w:val="24"/>
        </w:rPr>
        <w:t xml:space="preserve"> yıl içerisinde toplam faktör verimliliğinde artış olan yıl sayısına göre frekans dağılımı </w:t>
      </w:r>
      <w:r w:rsidR="00530B7C">
        <w:rPr>
          <w:rFonts w:ascii="Times New Roman" w:hAnsi="Times New Roman" w:cs="Times New Roman"/>
          <w:sz w:val="24"/>
          <w:szCs w:val="24"/>
        </w:rPr>
        <w:t>Çizelge</w:t>
      </w:r>
      <w:r w:rsidRPr="008E230B">
        <w:rPr>
          <w:rFonts w:ascii="Times New Roman" w:hAnsi="Times New Roman" w:cs="Times New Roman"/>
          <w:sz w:val="24"/>
          <w:szCs w:val="24"/>
        </w:rPr>
        <w:t xml:space="preserve"> 5’de verilmiştir. </w:t>
      </w:r>
      <w:r w:rsidR="008E230B" w:rsidRPr="008E230B">
        <w:rPr>
          <w:rFonts w:ascii="Times New Roman" w:hAnsi="Times New Roman" w:cs="Times New Roman"/>
          <w:sz w:val="24"/>
          <w:szCs w:val="24"/>
        </w:rPr>
        <w:t xml:space="preserve">Bu </w:t>
      </w:r>
      <w:r w:rsidR="00530B7C">
        <w:rPr>
          <w:rFonts w:ascii="Times New Roman" w:hAnsi="Times New Roman" w:cs="Times New Roman"/>
          <w:sz w:val="24"/>
          <w:szCs w:val="24"/>
        </w:rPr>
        <w:t>çizelge</w:t>
      </w:r>
      <w:r w:rsidR="008E230B" w:rsidRPr="008E230B">
        <w:rPr>
          <w:rFonts w:ascii="Times New Roman" w:hAnsi="Times New Roman" w:cs="Times New Roman"/>
          <w:sz w:val="24"/>
          <w:szCs w:val="24"/>
        </w:rPr>
        <w:t xml:space="preserve"> incelendiğinde; HSBC Bank’ın en düşük, Türk Ekonomi Bankası’nın ise en yüksek sayıda toplam faktör verimliliğinde artış sağladığı görülmektedir. Ayrıca Akbank, Arap Türk Bankası, Citibank ve Turkland Bankalarının aynı oranda en düşük, Anadolubank, Garanti, Vakıflar, Yapı ve Kredi Bankalarının ise aynı oranda en yüksek seviyede toplam faktör verimliliğinde artış sağladığı tespit edilmiştir.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07"/>
        <w:gridCol w:w="3082"/>
        <w:gridCol w:w="1423"/>
      </w:tblGrid>
      <w:tr w:rsidR="00BF48DD" w:rsidRPr="00BF48DD" w:rsidTr="00EB5058">
        <w:trPr>
          <w:trHeight w:val="315"/>
          <w:jc w:val="center"/>
        </w:trPr>
        <w:tc>
          <w:tcPr>
            <w:tcW w:w="5000" w:type="pct"/>
            <w:gridSpan w:val="3"/>
            <w:tcBorders>
              <w:top w:val="nil"/>
              <w:left w:val="nil"/>
              <w:bottom w:val="single" w:sz="4" w:space="0" w:color="auto"/>
              <w:right w:val="nil"/>
            </w:tcBorders>
            <w:shd w:val="clear" w:color="auto" w:fill="auto"/>
            <w:noWrap/>
            <w:vAlign w:val="bottom"/>
            <w:hideMark/>
          </w:tcPr>
          <w:p w:rsidR="00BF48DD" w:rsidRDefault="006C312C" w:rsidP="00EA3875">
            <w:pPr>
              <w:spacing w:after="0" w:line="240" w:lineRule="auto"/>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Çizelge</w:t>
            </w:r>
            <w:r w:rsidR="00BF48DD" w:rsidRPr="00BF48DD">
              <w:rPr>
                <w:rFonts w:ascii="Times New Roman" w:eastAsia="Times New Roman" w:hAnsi="Times New Roman" w:cs="Times New Roman"/>
                <w:b/>
                <w:bCs/>
                <w:color w:val="000000"/>
                <w:lang w:eastAsia="tr-TR"/>
              </w:rPr>
              <w:t xml:space="preserve"> </w:t>
            </w:r>
            <w:r w:rsidR="008E230B">
              <w:rPr>
                <w:rFonts w:ascii="Times New Roman" w:eastAsia="Times New Roman" w:hAnsi="Times New Roman" w:cs="Times New Roman"/>
                <w:b/>
                <w:bCs/>
                <w:color w:val="000000"/>
                <w:lang w:eastAsia="tr-TR"/>
              </w:rPr>
              <w:t>5</w:t>
            </w:r>
            <w:r w:rsidR="00E70BDB">
              <w:rPr>
                <w:rFonts w:ascii="Times New Roman" w:eastAsia="Times New Roman" w:hAnsi="Times New Roman" w:cs="Times New Roman"/>
                <w:b/>
                <w:bCs/>
                <w:color w:val="000000"/>
                <w:lang w:eastAsia="tr-TR"/>
              </w:rPr>
              <w:t>.</w:t>
            </w:r>
            <w:r w:rsidR="00BF48DD">
              <w:rPr>
                <w:rFonts w:ascii="Times New Roman" w:eastAsia="Times New Roman" w:hAnsi="Times New Roman" w:cs="Times New Roman"/>
                <w:b/>
                <w:bCs/>
                <w:color w:val="000000"/>
                <w:lang w:eastAsia="tr-TR"/>
              </w:rPr>
              <w:t xml:space="preserve"> 2003–2013</w:t>
            </w:r>
            <w:r w:rsidR="00BF48DD" w:rsidRPr="00BF48DD">
              <w:rPr>
                <w:rFonts w:ascii="Times New Roman" w:eastAsia="Times New Roman" w:hAnsi="Times New Roman" w:cs="Times New Roman"/>
                <w:b/>
                <w:bCs/>
                <w:color w:val="000000"/>
                <w:lang w:eastAsia="tr-TR"/>
              </w:rPr>
              <w:t xml:space="preserve"> Yılları Arasındaki </w:t>
            </w:r>
            <w:r w:rsidR="00BF48DD">
              <w:rPr>
                <w:rFonts w:ascii="Times New Roman" w:eastAsia="Times New Roman" w:hAnsi="Times New Roman" w:cs="Times New Roman"/>
                <w:b/>
                <w:bCs/>
                <w:color w:val="000000"/>
                <w:lang w:eastAsia="tr-TR"/>
              </w:rPr>
              <w:t xml:space="preserve">On Bir </w:t>
            </w:r>
            <w:r w:rsidR="00BF48DD" w:rsidRPr="00BF48DD">
              <w:rPr>
                <w:rFonts w:ascii="Times New Roman" w:eastAsia="Times New Roman" w:hAnsi="Times New Roman" w:cs="Times New Roman"/>
                <w:b/>
                <w:bCs/>
                <w:color w:val="000000"/>
                <w:lang w:eastAsia="tr-TR"/>
              </w:rPr>
              <w:t>Yıllık Dönem İçinde Toplam Faktör Verimliliğindeki Değişimi Artış Yönünde Olan Bankaların Yıl Sayısına Göre Dağılımı</w:t>
            </w:r>
          </w:p>
          <w:p w:rsidR="00E70BDB" w:rsidRPr="00BF48DD" w:rsidRDefault="00E70BDB" w:rsidP="00E70BDB">
            <w:pPr>
              <w:spacing w:after="0" w:line="240" w:lineRule="auto"/>
              <w:jc w:val="both"/>
              <w:rPr>
                <w:rFonts w:ascii="Times New Roman" w:eastAsia="Times New Roman" w:hAnsi="Times New Roman" w:cs="Times New Roman"/>
                <w:b/>
                <w:bCs/>
                <w:color w:val="000000"/>
                <w:lang w:eastAsia="tr-TR"/>
              </w:rPr>
            </w:pPr>
          </w:p>
        </w:tc>
      </w:tr>
      <w:tr w:rsidR="00BF48DD" w:rsidRPr="00BF48DD" w:rsidTr="00EB5058">
        <w:trPr>
          <w:trHeight w:val="300"/>
          <w:jc w:val="center"/>
        </w:trPr>
        <w:tc>
          <w:tcPr>
            <w:tcW w:w="2573" w:type="pct"/>
            <w:tcBorders>
              <w:top w:val="single" w:sz="4" w:space="0" w:color="auto"/>
              <w:bottom w:val="single" w:sz="4" w:space="0" w:color="auto"/>
            </w:tcBorders>
            <w:shd w:val="clear" w:color="auto" w:fill="auto"/>
            <w:noWrap/>
            <w:vAlign w:val="bottom"/>
            <w:hideMark/>
          </w:tcPr>
          <w:p w:rsidR="00BF48DD" w:rsidRPr="00E70BDB" w:rsidRDefault="00BF48DD" w:rsidP="00EB5058">
            <w:pPr>
              <w:spacing w:after="0" w:line="240" w:lineRule="auto"/>
              <w:rPr>
                <w:rFonts w:ascii="Times New Roman" w:eastAsia="Times New Roman" w:hAnsi="Times New Roman" w:cs="Times New Roman"/>
                <w:b/>
                <w:color w:val="000000"/>
                <w:lang w:eastAsia="tr-TR"/>
              </w:rPr>
            </w:pPr>
            <w:r w:rsidRPr="00E70BDB">
              <w:rPr>
                <w:rFonts w:ascii="Times New Roman" w:eastAsia="Times New Roman" w:hAnsi="Times New Roman" w:cs="Times New Roman"/>
                <w:b/>
                <w:color w:val="000000"/>
                <w:lang w:eastAsia="tr-TR"/>
              </w:rPr>
              <w:t>Banka Adı</w:t>
            </w:r>
          </w:p>
        </w:tc>
        <w:tc>
          <w:tcPr>
            <w:tcW w:w="1673" w:type="pct"/>
            <w:tcBorders>
              <w:top w:val="single" w:sz="4" w:space="0" w:color="auto"/>
              <w:bottom w:val="single" w:sz="4" w:space="0" w:color="auto"/>
            </w:tcBorders>
            <w:shd w:val="clear" w:color="auto" w:fill="auto"/>
            <w:noWrap/>
            <w:vAlign w:val="bottom"/>
            <w:hideMark/>
          </w:tcPr>
          <w:p w:rsidR="00BF48DD" w:rsidRPr="00E70BDB" w:rsidRDefault="00BF48DD" w:rsidP="00EB5058">
            <w:pPr>
              <w:spacing w:after="0" w:line="240" w:lineRule="auto"/>
              <w:jc w:val="center"/>
              <w:rPr>
                <w:rFonts w:ascii="Times New Roman" w:eastAsia="Times New Roman" w:hAnsi="Times New Roman" w:cs="Times New Roman"/>
                <w:b/>
                <w:color w:val="000000"/>
                <w:lang w:eastAsia="tr-TR"/>
              </w:rPr>
            </w:pPr>
            <w:r w:rsidRPr="00E70BDB">
              <w:rPr>
                <w:rFonts w:ascii="Times New Roman" w:eastAsia="Times New Roman" w:hAnsi="Times New Roman" w:cs="Times New Roman"/>
                <w:b/>
                <w:color w:val="000000"/>
                <w:lang w:eastAsia="tr-TR"/>
              </w:rPr>
              <w:t>Artış Olan Yıl Sayısı</w:t>
            </w:r>
          </w:p>
        </w:tc>
        <w:tc>
          <w:tcPr>
            <w:tcW w:w="754" w:type="pct"/>
            <w:tcBorders>
              <w:top w:val="single" w:sz="4" w:space="0" w:color="auto"/>
              <w:bottom w:val="single" w:sz="4" w:space="0" w:color="auto"/>
            </w:tcBorders>
            <w:shd w:val="clear" w:color="auto" w:fill="auto"/>
            <w:noWrap/>
            <w:vAlign w:val="bottom"/>
            <w:hideMark/>
          </w:tcPr>
          <w:p w:rsidR="00BF48DD" w:rsidRPr="00E70BDB" w:rsidRDefault="00BF48DD" w:rsidP="00EB5058">
            <w:pPr>
              <w:spacing w:after="0" w:line="240" w:lineRule="auto"/>
              <w:jc w:val="center"/>
              <w:rPr>
                <w:rFonts w:ascii="Times New Roman" w:eastAsia="Times New Roman" w:hAnsi="Times New Roman" w:cs="Times New Roman"/>
                <w:b/>
                <w:color w:val="000000"/>
                <w:lang w:eastAsia="tr-TR"/>
              </w:rPr>
            </w:pPr>
            <w:r w:rsidRPr="00E70BDB">
              <w:rPr>
                <w:rFonts w:ascii="Times New Roman" w:eastAsia="Times New Roman" w:hAnsi="Times New Roman" w:cs="Times New Roman"/>
                <w:b/>
                <w:color w:val="000000"/>
                <w:lang w:eastAsia="tr-TR"/>
              </w:rPr>
              <w:t>Yüzde</w:t>
            </w:r>
          </w:p>
        </w:tc>
      </w:tr>
      <w:tr w:rsidR="00BF48DD" w:rsidRPr="00BF48DD" w:rsidTr="00EB5058">
        <w:trPr>
          <w:trHeight w:val="300"/>
          <w:jc w:val="center"/>
        </w:trPr>
        <w:tc>
          <w:tcPr>
            <w:tcW w:w="2573" w:type="pct"/>
            <w:tcBorders>
              <w:top w:val="single" w:sz="4" w:space="0" w:color="auto"/>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Akbank T.A.Ş.</w:t>
            </w:r>
          </w:p>
        </w:tc>
        <w:tc>
          <w:tcPr>
            <w:tcW w:w="1673" w:type="pct"/>
            <w:tcBorders>
              <w:top w:val="single" w:sz="4" w:space="0" w:color="auto"/>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5</w:t>
            </w:r>
          </w:p>
        </w:tc>
        <w:tc>
          <w:tcPr>
            <w:tcW w:w="754" w:type="pct"/>
            <w:tcBorders>
              <w:top w:val="single" w:sz="4" w:space="0" w:color="auto"/>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45,</w:t>
            </w:r>
            <w:r w:rsidR="00BF48DD" w:rsidRPr="00BF48DD">
              <w:rPr>
                <w:rFonts w:ascii="Times New Roman" w:eastAsia="Times New Roman" w:hAnsi="Times New Roman" w:cs="Times New Roman"/>
                <w:color w:val="000000"/>
                <w:lang w:eastAsia="tr-TR"/>
              </w:rPr>
              <w:t>5</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Alternatifbank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7</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63,</w:t>
            </w:r>
            <w:r w:rsidR="00BF48DD" w:rsidRPr="00BF48DD">
              <w:rPr>
                <w:rFonts w:ascii="Times New Roman" w:eastAsia="Times New Roman" w:hAnsi="Times New Roman" w:cs="Times New Roman"/>
                <w:color w:val="000000"/>
                <w:lang w:eastAsia="tr-TR"/>
              </w:rPr>
              <w:t>6</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Anadolubank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8</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72,</w:t>
            </w:r>
            <w:r w:rsidR="00BF48DD" w:rsidRPr="00BF48DD">
              <w:rPr>
                <w:rFonts w:ascii="Times New Roman" w:eastAsia="Times New Roman" w:hAnsi="Times New Roman" w:cs="Times New Roman"/>
                <w:color w:val="000000"/>
                <w:lang w:eastAsia="tr-TR"/>
              </w:rPr>
              <w:t>7</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Arap Türk Bankası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5</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45,</w:t>
            </w:r>
            <w:r w:rsidR="00BF48DD" w:rsidRPr="00BF48DD">
              <w:rPr>
                <w:rFonts w:ascii="Times New Roman" w:eastAsia="Times New Roman" w:hAnsi="Times New Roman" w:cs="Times New Roman"/>
                <w:color w:val="000000"/>
                <w:lang w:eastAsia="tr-TR"/>
              </w:rPr>
              <w:t>5</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Citibank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5</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45,</w:t>
            </w:r>
            <w:r w:rsidR="00BF48DD" w:rsidRPr="00BF48DD">
              <w:rPr>
                <w:rFonts w:ascii="Times New Roman" w:eastAsia="Times New Roman" w:hAnsi="Times New Roman" w:cs="Times New Roman"/>
                <w:color w:val="000000"/>
                <w:lang w:eastAsia="tr-TR"/>
              </w:rPr>
              <w:t>5</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Denizbank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7</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63,</w:t>
            </w:r>
            <w:r w:rsidR="00BF48DD" w:rsidRPr="00BF48DD">
              <w:rPr>
                <w:rFonts w:ascii="Times New Roman" w:eastAsia="Times New Roman" w:hAnsi="Times New Roman" w:cs="Times New Roman"/>
                <w:color w:val="000000"/>
                <w:lang w:eastAsia="tr-TR"/>
              </w:rPr>
              <w:t>6</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Finans Bank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6</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54,</w:t>
            </w:r>
            <w:r w:rsidR="00BF48DD" w:rsidRPr="00BF48DD">
              <w:rPr>
                <w:rFonts w:ascii="Times New Roman" w:eastAsia="Times New Roman" w:hAnsi="Times New Roman" w:cs="Times New Roman"/>
                <w:color w:val="000000"/>
                <w:lang w:eastAsia="tr-TR"/>
              </w:rPr>
              <w:t>5</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Habib Bank Limited</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6</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54,</w:t>
            </w:r>
            <w:r w:rsidR="00BF48DD" w:rsidRPr="00BF48DD">
              <w:rPr>
                <w:rFonts w:ascii="Times New Roman" w:eastAsia="Times New Roman" w:hAnsi="Times New Roman" w:cs="Times New Roman"/>
                <w:color w:val="000000"/>
                <w:lang w:eastAsia="tr-TR"/>
              </w:rPr>
              <w:t>5</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HSBC Bank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4</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36,</w:t>
            </w:r>
            <w:r w:rsidR="00BF48DD" w:rsidRPr="00BF48DD">
              <w:rPr>
                <w:rFonts w:ascii="Times New Roman" w:eastAsia="Times New Roman" w:hAnsi="Times New Roman" w:cs="Times New Roman"/>
                <w:color w:val="000000"/>
                <w:lang w:eastAsia="tr-TR"/>
              </w:rPr>
              <w:t>4</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ING Bank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7</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63,</w:t>
            </w:r>
            <w:r w:rsidR="00BF48DD" w:rsidRPr="00BF48DD">
              <w:rPr>
                <w:rFonts w:ascii="Times New Roman" w:eastAsia="Times New Roman" w:hAnsi="Times New Roman" w:cs="Times New Roman"/>
                <w:color w:val="000000"/>
                <w:lang w:eastAsia="tr-TR"/>
              </w:rPr>
              <w:t>6</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Şekerbank T.A.Ş.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6</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54,</w:t>
            </w:r>
            <w:r w:rsidR="00BF48DD" w:rsidRPr="00BF48DD">
              <w:rPr>
                <w:rFonts w:ascii="Times New Roman" w:eastAsia="Times New Roman" w:hAnsi="Times New Roman" w:cs="Times New Roman"/>
                <w:color w:val="000000"/>
                <w:lang w:eastAsia="tr-TR"/>
              </w:rPr>
              <w:t>5</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Tekstil Bankası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6</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54,</w:t>
            </w:r>
            <w:r w:rsidR="00BF48DD" w:rsidRPr="00BF48DD">
              <w:rPr>
                <w:rFonts w:ascii="Times New Roman" w:eastAsia="Times New Roman" w:hAnsi="Times New Roman" w:cs="Times New Roman"/>
                <w:color w:val="000000"/>
                <w:lang w:eastAsia="tr-TR"/>
              </w:rPr>
              <w:t>5</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Turkish Bank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7</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63,</w:t>
            </w:r>
            <w:r w:rsidR="00BF48DD" w:rsidRPr="00BF48DD">
              <w:rPr>
                <w:rFonts w:ascii="Times New Roman" w:eastAsia="Times New Roman" w:hAnsi="Times New Roman" w:cs="Times New Roman"/>
                <w:color w:val="000000"/>
                <w:lang w:eastAsia="tr-TR"/>
              </w:rPr>
              <w:t>6</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Turkland Bank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5</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45,</w:t>
            </w:r>
            <w:r w:rsidR="00BF48DD" w:rsidRPr="00BF48DD">
              <w:rPr>
                <w:rFonts w:ascii="Times New Roman" w:eastAsia="Times New Roman" w:hAnsi="Times New Roman" w:cs="Times New Roman"/>
                <w:color w:val="000000"/>
                <w:lang w:eastAsia="tr-TR"/>
              </w:rPr>
              <w:t>5</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Türk Ekonomi Bankası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9</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81,</w:t>
            </w:r>
            <w:r w:rsidR="00BF48DD" w:rsidRPr="00BF48DD">
              <w:rPr>
                <w:rFonts w:ascii="Times New Roman" w:eastAsia="Times New Roman" w:hAnsi="Times New Roman" w:cs="Times New Roman"/>
                <w:color w:val="000000"/>
                <w:lang w:eastAsia="tr-TR"/>
              </w:rPr>
              <w:t>8</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Türkiye Cumhuriyeti Ziraat Bankası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7</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63,</w:t>
            </w:r>
            <w:r w:rsidR="00BF48DD" w:rsidRPr="00BF48DD">
              <w:rPr>
                <w:rFonts w:ascii="Times New Roman" w:eastAsia="Times New Roman" w:hAnsi="Times New Roman" w:cs="Times New Roman"/>
                <w:color w:val="000000"/>
                <w:lang w:eastAsia="tr-TR"/>
              </w:rPr>
              <w:t>6</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Türkiye Garanti Bankası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8</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72,</w:t>
            </w:r>
            <w:r w:rsidR="00BF48DD" w:rsidRPr="00BF48DD">
              <w:rPr>
                <w:rFonts w:ascii="Times New Roman" w:eastAsia="Times New Roman" w:hAnsi="Times New Roman" w:cs="Times New Roman"/>
                <w:color w:val="000000"/>
                <w:lang w:eastAsia="tr-TR"/>
              </w:rPr>
              <w:t>7</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Türkiye Halk Bankası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7</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63,</w:t>
            </w:r>
            <w:r w:rsidR="00BF48DD" w:rsidRPr="00BF48DD">
              <w:rPr>
                <w:rFonts w:ascii="Times New Roman" w:eastAsia="Times New Roman" w:hAnsi="Times New Roman" w:cs="Times New Roman"/>
                <w:color w:val="000000"/>
                <w:lang w:eastAsia="tr-TR"/>
              </w:rPr>
              <w:t>6</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Türkiye İş Bankası 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7</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63,</w:t>
            </w:r>
            <w:r w:rsidR="00BF48DD" w:rsidRPr="00BF48DD">
              <w:rPr>
                <w:rFonts w:ascii="Times New Roman" w:eastAsia="Times New Roman" w:hAnsi="Times New Roman" w:cs="Times New Roman"/>
                <w:color w:val="000000"/>
                <w:lang w:eastAsia="tr-TR"/>
              </w:rPr>
              <w:t>6</w:t>
            </w:r>
          </w:p>
        </w:tc>
      </w:tr>
      <w:tr w:rsidR="00BF48DD" w:rsidRPr="00BF48DD" w:rsidTr="00EB5058">
        <w:trPr>
          <w:trHeight w:val="300"/>
          <w:jc w:val="center"/>
        </w:trPr>
        <w:tc>
          <w:tcPr>
            <w:tcW w:w="25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Türkiye Vakıflar Bankası T.A.Ş.</w:t>
            </w:r>
          </w:p>
        </w:tc>
        <w:tc>
          <w:tcPr>
            <w:tcW w:w="1673" w:type="pct"/>
            <w:tcBorders>
              <w:top w:val="nil"/>
              <w:left w:val="single" w:sz="4" w:space="0" w:color="auto"/>
              <w:bottom w:val="nil"/>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8</w:t>
            </w:r>
          </w:p>
        </w:tc>
        <w:tc>
          <w:tcPr>
            <w:tcW w:w="754" w:type="pct"/>
            <w:tcBorders>
              <w:top w:val="nil"/>
              <w:left w:val="single" w:sz="4" w:space="0" w:color="auto"/>
              <w:bottom w:val="nil"/>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72,</w:t>
            </w:r>
            <w:r w:rsidR="00BF48DD" w:rsidRPr="00BF48DD">
              <w:rPr>
                <w:rFonts w:ascii="Times New Roman" w:eastAsia="Times New Roman" w:hAnsi="Times New Roman" w:cs="Times New Roman"/>
                <w:color w:val="000000"/>
                <w:lang w:eastAsia="tr-TR"/>
              </w:rPr>
              <w:t>7</w:t>
            </w:r>
          </w:p>
        </w:tc>
      </w:tr>
      <w:tr w:rsidR="00BF48DD" w:rsidRPr="00BF48DD" w:rsidTr="00EB5058">
        <w:trPr>
          <w:trHeight w:val="300"/>
          <w:jc w:val="center"/>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rsidR="00BF48DD" w:rsidRPr="00BF48DD" w:rsidRDefault="00BF48DD" w:rsidP="00EB5058">
            <w:pPr>
              <w:spacing w:after="0" w:line="240" w:lineRule="auto"/>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Yapı ve Kredi Bankası A.Ş.</w:t>
            </w:r>
          </w:p>
        </w:tc>
        <w:tc>
          <w:tcPr>
            <w:tcW w:w="1673" w:type="pct"/>
            <w:tcBorders>
              <w:top w:val="nil"/>
              <w:left w:val="single" w:sz="4" w:space="0" w:color="auto"/>
              <w:bottom w:val="single" w:sz="4" w:space="0" w:color="auto"/>
              <w:right w:val="single" w:sz="4" w:space="0" w:color="auto"/>
            </w:tcBorders>
            <w:shd w:val="clear" w:color="auto" w:fill="auto"/>
            <w:noWrap/>
            <w:vAlign w:val="bottom"/>
            <w:hideMark/>
          </w:tcPr>
          <w:p w:rsidR="00BF48DD" w:rsidRPr="00BF48DD" w:rsidRDefault="00BF48DD" w:rsidP="00EB5058">
            <w:pPr>
              <w:spacing w:after="0" w:line="240" w:lineRule="auto"/>
              <w:jc w:val="center"/>
              <w:rPr>
                <w:rFonts w:ascii="Times New Roman" w:eastAsia="Times New Roman" w:hAnsi="Times New Roman" w:cs="Times New Roman"/>
                <w:color w:val="000000"/>
                <w:lang w:eastAsia="tr-TR"/>
              </w:rPr>
            </w:pPr>
            <w:r w:rsidRPr="00BF48DD">
              <w:rPr>
                <w:rFonts w:ascii="Times New Roman" w:eastAsia="Times New Roman" w:hAnsi="Times New Roman" w:cs="Times New Roman"/>
                <w:color w:val="000000"/>
                <w:lang w:eastAsia="tr-TR"/>
              </w:rPr>
              <w:t>8</w:t>
            </w:r>
          </w:p>
        </w:tc>
        <w:tc>
          <w:tcPr>
            <w:tcW w:w="754" w:type="pct"/>
            <w:tcBorders>
              <w:top w:val="nil"/>
              <w:left w:val="single" w:sz="4" w:space="0" w:color="auto"/>
              <w:bottom w:val="single" w:sz="4" w:space="0" w:color="auto"/>
              <w:right w:val="single" w:sz="4" w:space="0" w:color="auto"/>
            </w:tcBorders>
            <w:shd w:val="clear" w:color="auto" w:fill="auto"/>
            <w:noWrap/>
            <w:vAlign w:val="bottom"/>
            <w:hideMark/>
          </w:tcPr>
          <w:p w:rsidR="00BF48DD" w:rsidRPr="00BF48DD" w:rsidRDefault="00E70BDB"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72,</w:t>
            </w:r>
            <w:r w:rsidR="00BF48DD" w:rsidRPr="00BF48DD">
              <w:rPr>
                <w:rFonts w:ascii="Times New Roman" w:eastAsia="Times New Roman" w:hAnsi="Times New Roman" w:cs="Times New Roman"/>
                <w:color w:val="000000"/>
                <w:lang w:eastAsia="tr-TR"/>
              </w:rPr>
              <w:t>7</w:t>
            </w:r>
          </w:p>
        </w:tc>
      </w:tr>
    </w:tbl>
    <w:p w:rsidR="002E64EC" w:rsidRDefault="002E64EC" w:rsidP="00A0688A">
      <w:pPr>
        <w:spacing w:after="120" w:line="240" w:lineRule="auto"/>
      </w:pPr>
    </w:p>
    <w:p w:rsidR="00BF48DD" w:rsidRPr="00A77703" w:rsidRDefault="00A77703" w:rsidP="00EB5058">
      <w:pPr>
        <w:spacing w:after="120" w:line="240" w:lineRule="auto"/>
        <w:jc w:val="both"/>
        <w:rPr>
          <w:rFonts w:ascii="Times New Roman" w:hAnsi="Times New Roman" w:cs="Times New Roman"/>
          <w:sz w:val="24"/>
          <w:szCs w:val="24"/>
        </w:rPr>
      </w:pPr>
      <w:r w:rsidRPr="00A77703">
        <w:rPr>
          <w:rFonts w:ascii="Times New Roman" w:hAnsi="Times New Roman" w:cs="Times New Roman"/>
          <w:sz w:val="24"/>
          <w:szCs w:val="24"/>
        </w:rPr>
        <w:t xml:space="preserve">Araştırma kapsamında yer alan 21 bankanın </w:t>
      </w:r>
      <w:r>
        <w:rPr>
          <w:rFonts w:ascii="Times New Roman" w:hAnsi="Times New Roman" w:cs="Times New Roman"/>
          <w:sz w:val="24"/>
          <w:szCs w:val="24"/>
        </w:rPr>
        <w:t>toplam faktör verimliliğindeki</w:t>
      </w:r>
      <w:r w:rsidRPr="00A77703">
        <w:rPr>
          <w:rFonts w:ascii="Times New Roman" w:hAnsi="Times New Roman" w:cs="Times New Roman"/>
          <w:sz w:val="24"/>
          <w:szCs w:val="24"/>
        </w:rPr>
        <w:t xml:space="preserve"> değişimlerinin ortalama değerlerinin yıllara göre eğilimi </w:t>
      </w:r>
      <w:r w:rsidR="00530B7C">
        <w:rPr>
          <w:rFonts w:ascii="Times New Roman" w:hAnsi="Times New Roman" w:cs="Times New Roman"/>
          <w:sz w:val="24"/>
          <w:szCs w:val="24"/>
        </w:rPr>
        <w:t xml:space="preserve">Çizelge </w:t>
      </w:r>
      <w:r w:rsidRPr="00A77703">
        <w:rPr>
          <w:rFonts w:ascii="Times New Roman" w:hAnsi="Times New Roman" w:cs="Times New Roman"/>
          <w:sz w:val="24"/>
          <w:szCs w:val="24"/>
        </w:rPr>
        <w:t>6’da, b</w:t>
      </w:r>
      <w:r>
        <w:rPr>
          <w:rFonts w:ascii="Times New Roman" w:hAnsi="Times New Roman" w:cs="Times New Roman"/>
          <w:sz w:val="24"/>
          <w:szCs w:val="24"/>
        </w:rPr>
        <w:t>ankaların 2003–2013</w:t>
      </w:r>
      <w:r w:rsidRPr="00A77703">
        <w:rPr>
          <w:rFonts w:ascii="Times New Roman" w:hAnsi="Times New Roman" w:cs="Times New Roman"/>
          <w:sz w:val="24"/>
          <w:szCs w:val="24"/>
        </w:rPr>
        <w:t xml:space="preserve"> yılları arasındaki değerlerinden hesaplanan ortalama deği</w:t>
      </w:r>
      <w:r w:rsidR="00EA3875">
        <w:rPr>
          <w:rFonts w:ascii="Times New Roman" w:hAnsi="Times New Roman" w:cs="Times New Roman"/>
          <w:sz w:val="24"/>
          <w:szCs w:val="24"/>
        </w:rPr>
        <w:t>şi</w:t>
      </w:r>
      <w:r w:rsidRPr="00A77703">
        <w:rPr>
          <w:rFonts w:ascii="Times New Roman" w:hAnsi="Times New Roman" w:cs="Times New Roman"/>
          <w:sz w:val="24"/>
          <w:szCs w:val="24"/>
        </w:rPr>
        <w:t xml:space="preserve">mleri ise </w:t>
      </w:r>
      <w:r w:rsidR="00530B7C">
        <w:rPr>
          <w:rFonts w:ascii="Times New Roman" w:hAnsi="Times New Roman" w:cs="Times New Roman"/>
          <w:sz w:val="24"/>
          <w:szCs w:val="24"/>
        </w:rPr>
        <w:t xml:space="preserve">Çizelge </w:t>
      </w:r>
      <w:r w:rsidRPr="00A77703">
        <w:rPr>
          <w:rFonts w:ascii="Times New Roman" w:hAnsi="Times New Roman" w:cs="Times New Roman"/>
          <w:sz w:val="24"/>
          <w:szCs w:val="24"/>
        </w:rPr>
        <w:t>7’de verilmiştir</w:t>
      </w:r>
      <w:r>
        <w:rPr>
          <w:rFonts w:ascii="Times New Roman" w:hAnsi="Times New Roman" w:cs="Times New Roman"/>
          <w:sz w:val="24"/>
          <w:szCs w:val="24"/>
        </w:rPr>
        <w:t xml:space="preserve">. Yıllık </w:t>
      </w:r>
      <w:r>
        <w:rPr>
          <w:rFonts w:ascii="Times New Roman" w:hAnsi="Times New Roman" w:cs="Times New Roman"/>
          <w:sz w:val="24"/>
          <w:szCs w:val="24"/>
        </w:rPr>
        <w:lastRenderedPageBreak/>
        <w:t xml:space="preserve">ortalama değerlere göre teknik etkinlik değişimlerinde azalma olan yıllar 2004, 2007 ve 2009-2012 arasındaki dört yıl olarak belirlenmiştir. Buna karşın ortalama teknolojik değişimin azalış yönünde olduğu yıllar ise 2005, 2006, </w:t>
      </w:r>
      <w:r w:rsidR="00374ECC">
        <w:rPr>
          <w:rFonts w:ascii="Times New Roman" w:hAnsi="Times New Roman" w:cs="Times New Roman"/>
          <w:sz w:val="24"/>
          <w:szCs w:val="24"/>
        </w:rPr>
        <w:t>2010, 2011 ve 2013 olarak tespit edilmiştir. Ortalama teknolojik değişimde azalmanın en yüksek seviyede olduğu dönemler ise 2008 ve 2013 yıllarıdır. Bu eğilim</w:t>
      </w:r>
      <w:r w:rsidR="00905656">
        <w:rPr>
          <w:rFonts w:ascii="Times New Roman" w:hAnsi="Times New Roman" w:cs="Times New Roman"/>
          <w:sz w:val="24"/>
          <w:szCs w:val="24"/>
        </w:rPr>
        <w:t>in toplam faktör verimlilik değişimi için de geçerli olduğu dikkati çekmektedir. Bu sonuçlar</w:t>
      </w:r>
      <w:r w:rsidR="00374ECC">
        <w:rPr>
          <w:rFonts w:ascii="Times New Roman" w:hAnsi="Times New Roman" w:cs="Times New Roman"/>
          <w:sz w:val="24"/>
          <w:szCs w:val="24"/>
        </w:rPr>
        <w:t xml:space="preserve"> ortalama toplam faktör verimliliğindeki azalışın temel nedeninin teknolojik değişimdeki azalma olduğuna</w:t>
      </w:r>
      <w:r w:rsidR="00905656">
        <w:rPr>
          <w:rFonts w:ascii="Times New Roman" w:hAnsi="Times New Roman" w:cs="Times New Roman"/>
          <w:sz w:val="24"/>
          <w:szCs w:val="24"/>
        </w:rPr>
        <w:t xml:space="preserve"> işaret etmektedir.</w:t>
      </w:r>
      <w:r w:rsidR="00374ECC">
        <w:rPr>
          <w:rFonts w:ascii="Times New Roman" w:hAnsi="Times New Roman" w:cs="Times New Roman"/>
          <w:sz w:val="24"/>
          <w:szCs w:val="24"/>
        </w:rPr>
        <w:t xml:space="preserve">    </w:t>
      </w:r>
      <w:r>
        <w:rPr>
          <w:rFonts w:ascii="Times New Roman" w:hAnsi="Times New Roman" w:cs="Times New Roman"/>
          <w:sz w:val="24"/>
          <w:szCs w:val="24"/>
        </w:rPr>
        <w:t xml:space="preserve">   </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9"/>
        <w:gridCol w:w="1638"/>
        <w:gridCol w:w="1186"/>
        <w:gridCol w:w="2060"/>
        <w:gridCol w:w="1516"/>
        <w:gridCol w:w="2015"/>
      </w:tblGrid>
      <w:tr w:rsidR="00BF48DD" w:rsidRPr="008E230B" w:rsidTr="000001E1">
        <w:trPr>
          <w:trHeight w:val="326"/>
        </w:trPr>
        <w:tc>
          <w:tcPr>
            <w:tcW w:w="5000" w:type="pct"/>
            <w:gridSpan w:val="6"/>
            <w:tcBorders>
              <w:top w:val="nil"/>
              <w:left w:val="nil"/>
              <w:bottom w:val="single" w:sz="4" w:space="0" w:color="auto"/>
              <w:right w:val="nil"/>
            </w:tcBorders>
            <w:shd w:val="clear" w:color="auto" w:fill="auto"/>
            <w:noWrap/>
            <w:vAlign w:val="bottom"/>
          </w:tcPr>
          <w:p w:rsidR="00BF48DD" w:rsidRDefault="006C312C" w:rsidP="003F4997">
            <w:pPr>
              <w:pStyle w:val="AralkYok"/>
              <w:jc w:val="center"/>
              <w:rPr>
                <w:rFonts w:ascii="Times New Roman" w:hAnsi="Times New Roman" w:cs="Times New Roman"/>
                <w:b/>
              </w:rPr>
            </w:pPr>
            <w:r>
              <w:rPr>
                <w:rFonts w:ascii="Times New Roman" w:hAnsi="Times New Roman" w:cs="Times New Roman"/>
                <w:b/>
              </w:rPr>
              <w:t>Çizelge</w:t>
            </w:r>
            <w:r w:rsidR="003F4997">
              <w:rPr>
                <w:rFonts w:ascii="Times New Roman" w:hAnsi="Times New Roman" w:cs="Times New Roman"/>
                <w:b/>
              </w:rPr>
              <w:t xml:space="preserve"> 6.</w:t>
            </w:r>
            <w:r w:rsidR="00BF48DD" w:rsidRPr="008E230B">
              <w:rPr>
                <w:rFonts w:ascii="Times New Roman" w:hAnsi="Times New Roman" w:cs="Times New Roman"/>
                <w:b/>
              </w:rPr>
              <w:t xml:space="preserve"> Yıllık Ortalama Değerlere Göre Bankaların Malmquist Endeksleri</w:t>
            </w:r>
          </w:p>
          <w:p w:rsidR="003F4997" w:rsidRPr="008E230B" w:rsidRDefault="003F4997" w:rsidP="003F4997">
            <w:pPr>
              <w:pStyle w:val="AralkYok"/>
              <w:jc w:val="center"/>
              <w:rPr>
                <w:rFonts w:ascii="Times New Roman" w:hAnsi="Times New Roman" w:cs="Times New Roman"/>
                <w:b/>
              </w:rPr>
            </w:pPr>
          </w:p>
        </w:tc>
      </w:tr>
      <w:tr w:rsidR="00BF48DD" w:rsidRPr="000001E1" w:rsidTr="000001E1">
        <w:trPr>
          <w:trHeight w:val="300"/>
        </w:trPr>
        <w:tc>
          <w:tcPr>
            <w:tcW w:w="448" w:type="pct"/>
            <w:tcBorders>
              <w:top w:val="single" w:sz="4" w:space="0" w:color="auto"/>
            </w:tcBorders>
            <w:shd w:val="clear" w:color="auto" w:fill="auto"/>
            <w:noWrap/>
            <w:vAlign w:val="bottom"/>
            <w:hideMark/>
          </w:tcPr>
          <w:p w:rsidR="00BF48DD" w:rsidRPr="00103CB1" w:rsidRDefault="00BF48DD" w:rsidP="00EB5058">
            <w:pPr>
              <w:pStyle w:val="AralkYok"/>
              <w:jc w:val="center"/>
              <w:rPr>
                <w:rFonts w:ascii="Times New Roman" w:eastAsia="Times New Roman" w:hAnsi="Times New Roman" w:cs="Times New Roman"/>
                <w:b/>
                <w:lang w:eastAsia="tr-TR"/>
              </w:rPr>
            </w:pPr>
            <w:r w:rsidRPr="00103CB1">
              <w:rPr>
                <w:rFonts w:ascii="Times New Roman" w:eastAsia="Times New Roman" w:hAnsi="Times New Roman" w:cs="Times New Roman"/>
                <w:b/>
                <w:lang w:eastAsia="tr-TR"/>
              </w:rPr>
              <w:t>Yıllar</w:t>
            </w:r>
          </w:p>
        </w:tc>
        <w:tc>
          <w:tcPr>
            <w:tcW w:w="860" w:type="pct"/>
            <w:tcBorders>
              <w:top w:val="single" w:sz="4" w:space="0" w:color="auto"/>
            </w:tcBorders>
            <w:shd w:val="clear" w:color="auto" w:fill="auto"/>
            <w:noWrap/>
            <w:vAlign w:val="bottom"/>
            <w:hideMark/>
          </w:tcPr>
          <w:p w:rsidR="00BF48DD" w:rsidRPr="00103CB1" w:rsidRDefault="00BF48DD" w:rsidP="00EB5058">
            <w:pPr>
              <w:pStyle w:val="AralkYok"/>
              <w:jc w:val="center"/>
              <w:rPr>
                <w:rFonts w:ascii="Times New Roman" w:hAnsi="Times New Roman" w:cs="Times New Roman"/>
                <w:b/>
              </w:rPr>
            </w:pPr>
            <w:r w:rsidRPr="00103CB1">
              <w:rPr>
                <w:rFonts w:ascii="Times New Roman" w:hAnsi="Times New Roman" w:cs="Times New Roman"/>
                <w:b/>
              </w:rPr>
              <w:t>Teknik Etkinlik</w:t>
            </w:r>
          </w:p>
          <w:p w:rsidR="00BF48DD" w:rsidRPr="00103CB1" w:rsidRDefault="00BF48DD" w:rsidP="00EB5058">
            <w:pPr>
              <w:pStyle w:val="AralkYok"/>
              <w:jc w:val="center"/>
              <w:rPr>
                <w:rFonts w:ascii="Times New Roman" w:hAnsi="Times New Roman" w:cs="Times New Roman"/>
                <w:b/>
              </w:rPr>
            </w:pPr>
            <w:r w:rsidRPr="00103CB1">
              <w:rPr>
                <w:rFonts w:ascii="Times New Roman" w:hAnsi="Times New Roman" w:cs="Times New Roman"/>
                <w:b/>
              </w:rPr>
              <w:t>Değişimi</w:t>
            </w:r>
          </w:p>
        </w:tc>
        <w:tc>
          <w:tcPr>
            <w:tcW w:w="692" w:type="pct"/>
            <w:tcBorders>
              <w:top w:val="single" w:sz="4" w:space="0" w:color="auto"/>
            </w:tcBorders>
            <w:shd w:val="clear" w:color="auto" w:fill="auto"/>
            <w:noWrap/>
            <w:vAlign w:val="bottom"/>
            <w:hideMark/>
          </w:tcPr>
          <w:p w:rsidR="00BF48DD" w:rsidRPr="00103CB1" w:rsidRDefault="00BF48DD" w:rsidP="00EB5058">
            <w:pPr>
              <w:pStyle w:val="AralkYok"/>
              <w:jc w:val="center"/>
              <w:rPr>
                <w:rFonts w:ascii="Times New Roman" w:hAnsi="Times New Roman" w:cs="Times New Roman"/>
                <w:b/>
              </w:rPr>
            </w:pPr>
            <w:r w:rsidRPr="00103CB1">
              <w:rPr>
                <w:rFonts w:ascii="Times New Roman" w:hAnsi="Times New Roman" w:cs="Times New Roman"/>
                <w:b/>
              </w:rPr>
              <w:t>Teknolojik</w:t>
            </w:r>
          </w:p>
          <w:p w:rsidR="00BF48DD" w:rsidRPr="00103CB1" w:rsidRDefault="00BF48DD" w:rsidP="00EB5058">
            <w:pPr>
              <w:pStyle w:val="AralkYok"/>
              <w:jc w:val="center"/>
              <w:rPr>
                <w:rFonts w:ascii="Times New Roman" w:hAnsi="Times New Roman" w:cs="Times New Roman"/>
                <w:b/>
              </w:rPr>
            </w:pPr>
            <w:r w:rsidRPr="00103CB1">
              <w:rPr>
                <w:rFonts w:ascii="Times New Roman" w:hAnsi="Times New Roman" w:cs="Times New Roman"/>
                <w:b/>
              </w:rPr>
              <w:t>Değişim</w:t>
            </w:r>
          </w:p>
        </w:tc>
        <w:tc>
          <w:tcPr>
            <w:tcW w:w="999" w:type="pct"/>
            <w:tcBorders>
              <w:top w:val="single" w:sz="4" w:space="0" w:color="auto"/>
            </w:tcBorders>
            <w:shd w:val="clear" w:color="auto" w:fill="auto"/>
            <w:noWrap/>
            <w:vAlign w:val="bottom"/>
            <w:hideMark/>
          </w:tcPr>
          <w:p w:rsidR="00BF48DD" w:rsidRPr="00103CB1" w:rsidRDefault="00BF48DD" w:rsidP="00EB5058">
            <w:pPr>
              <w:pStyle w:val="AralkYok"/>
              <w:jc w:val="center"/>
              <w:rPr>
                <w:rFonts w:ascii="Times New Roman" w:hAnsi="Times New Roman" w:cs="Times New Roman"/>
                <w:b/>
              </w:rPr>
            </w:pPr>
            <w:r w:rsidRPr="00103CB1">
              <w:rPr>
                <w:rFonts w:ascii="Times New Roman" w:hAnsi="Times New Roman" w:cs="Times New Roman"/>
                <w:b/>
              </w:rPr>
              <w:t>Salt Teknik Etkinlik</w:t>
            </w:r>
          </w:p>
          <w:p w:rsidR="00BF48DD" w:rsidRPr="00103CB1" w:rsidRDefault="00BF48DD" w:rsidP="00EB5058">
            <w:pPr>
              <w:pStyle w:val="AralkYok"/>
              <w:jc w:val="center"/>
              <w:rPr>
                <w:rFonts w:ascii="Times New Roman" w:hAnsi="Times New Roman" w:cs="Times New Roman"/>
                <w:b/>
              </w:rPr>
            </w:pPr>
            <w:r w:rsidRPr="00103CB1">
              <w:rPr>
                <w:rFonts w:ascii="Times New Roman" w:hAnsi="Times New Roman" w:cs="Times New Roman"/>
                <w:b/>
              </w:rPr>
              <w:t>Değişimi</w:t>
            </w:r>
          </w:p>
        </w:tc>
        <w:tc>
          <w:tcPr>
            <w:tcW w:w="826" w:type="pct"/>
            <w:tcBorders>
              <w:top w:val="single" w:sz="4" w:space="0" w:color="auto"/>
            </w:tcBorders>
            <w:shd w:val="clear" w:color="auto" w:fill="auto"/>
            <w:noWrap/>
            <w:vAlign w:val="bottom"/>
            <w:hideMark/>
          </w:tcPr>
          <w:p w:rsidR="00BF48DD" w:rsidRPr="00103CB1" w:rsidRDefault="00BF48DD" w:rsidP="00EB5058">
            <w:pPr>
              <w:pStyle w:val="AralkYok"/>
              <w:jc w:val="center"/>
              <w:rPr>
                <w:rFonts w:ascii="Times New Roman" w:hAnsi="Times New Roman" w:cs="Times New Roman"/>
                <w:b/>
              </w:rPr>
            </w:pPr>
            <w:r w:rsidRPr="00103CB1">
              <w:rPr>
                <w:rFonts w:ascii="Times New Roman" w:hAnsi="Times New Roman" w:cs="Times New Roman"/>
                <w:b/>
              </w:rPr>
              <w:t>Ölçek Etkinlik</w:t>
            </w:r>
          </w:p>
          <w:p w:rsidR="00BF48DD" w:rsidRPr="00103CB1" w:rsidRDefault="00BF48DD" w:rsidP="00EB5058">
            <w:pPr>
              <w:pStyle w:val="AralkYok"/>
              <w:jc w:val="center"/>
              <w:rPr>
                <w:rFonts w:ascii="Times New Roman" w:hAnsi="Times New Roman" w:cs="Times New Roman"/>
                <w:b/>
              </w:rPr>
            </w:pPr>
            <w:r w:rsidRPr="00103CB1">
              <w:rPr>
                <w:rFonts w:ascii="Times New Roman" w:hAnsi="Times New Roman" w:cs="Times New Roman"/>
                <w:b/>
              </w:rPr>
              <w:t>Değişimi</w:t>
            </w:r>
          </w:p>
        </w:tc>
        <w:tc>
          <w:tcPr>
            <w:tcW w:w="1174" w:type="pct"/>
            <w:tcBorders>
              <w:top w:val="single" w:sz="4" w:space="0" w:color="auto"/>
            </w:tcBorders>
            <w:shd w:val="clear" w:color="auto" w:fill="auto"/>
            <w:noWrap/>
            <w:vAlign w:val="bottom"/>
            <w:hideMark/>
          </w:tcPr>
          <w:p w:rsidR="00BF48DD" w:rsidRPr="00103CB1" w:rsidRDefault="00BF48DD" w:rsidP="00EB5058">
            <w:pPr>
              <w:pStyle w:val="AralkYok"/>
              <w:jc w:val="center"/>
              <w:rPr>
                <w:rFonts w:ascii="Times New Roman" w:hAnsi="Times New Roman" w:cs="Times New Roman"/>
                <w:b/>
              </w:rPr>
            </w:pPr>
            <w:r w:rsidRPr="00103CB1">
              <w:rPr>
                <w:rFonts w:ascii="Times New Roman" w:hAnsi="Times New Roman" w:cs="Times New Roman"/>
                <w:b/>
              </w:rPr>
              <w:t>Toplam Faktör</w:t>
            </w:r>
          </w:p>
          <w:p w:rsidR="00BF48DD" w:rsidRPr="00103CB1" w:rsidRDefault="00BF48DD" w:rsidP="00EB5058">
            <w:pPr>
              <w:pStyle w:val="AralkYok"/>
              <w:jc w:val="center"/>
              <w:rPr>
                <w:rFonts w:ascii="Times New Roman" w:hAnsi="Times New Roman" w:cs="Times New Roman"/>
                <w:b/>
              </w:rPr>
            </w:pPr>
            <w:r w:rsidRPr="00103CB1">
              <w:rPr>
                <w:rFonts w:ascii="Times New Roman" w:hAnsi="Times New Roman" w:cs="Times New Roman"/>
                <w:b/>
              </w:rPr>
              <w:t>Verimlilik Değişimi</w:t>
            </w:r>
          </w:p>
        </w:tc>
      </w:tr>
      <w:tr w:rsidR="00BF48DD" w:rsidRPr="000001E1" w:rsidTr="00BF48DD">
        <w:trPr>
          <w:trHeight w:val="300"/>
        </w:trPr>
        <w:tc>
          <w:tcPr>
            <w:tcW w:w="448" w:type="pct"/>
            <w:shd w:val="clear" w:color="auto" w:fill="auto"/>
            <w:noWrap/>
            <w:vAlign w:val="bottom"/>
            <w:hideMark/>
          </w:tcPr>
          <w:p w:rsidR="00BF48DD" w:rsidRPr="000001E1" w:rsidRDefault="00BF48DD" w:rsidP="00EB5058">
            <w:pPr>
              <w:pStyle w:val="AralkYok"/>
              <w:jc w:val="center"/>
              <w:rPr>
                <w:rFonts w:ascii="Times New Roman" w:eastAsia="Times New Roman" w:hAnsi="Times New Roman" w:cs="Times New Roman"/>
                <w:color w:val="000000"/>
                <w:lang w:eastAsia="tr-TR"/>
              </w:rPr>
            </w:pPr>
            <w:r w:rsidRPr="000001E1">
              <w:rPr>
                <w:rFonts w:ascii="Times New Roman" w:eastAsia="Times New Roman" w:hAnsi="Times New Roman" w:cs="Times New Roman"/>
                <w:color w:val="000000"/>
                <w:lang w:eastAsia="tr-TR"/>
              </w:rPr>
              <w:t>2003</w:t>
            </w:r>
          </w:p>
        </w:tc>
        <w:tc>
          <w:tcPr>
            <w:tcW w:w="860"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062</w:t>
            </w:r>
          </w:p>
        </w:tc>
        <w:tc>
          <w:tcPr>
            <w:tcW w:w="692"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086</w:t>
            </w:r>
          </w:p>
        </w:tc>
        <w:tc>
          <w:tcPr>
            <w:tcW w:w="999"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032</w:t>
            </w:r>
          </w:p>
        </w:tc>
        <w:tc>
          <w:tcPr>
            <w:tcW w:w="826"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029</w:t>
            </w:r>
          </w:p>
        </w:tc>
        <w:tc>
          <w:tcPr>
            <w:tcW w:w="1174"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153</w:t>
            </w:r>
          </w:p>
        </w:tc>
      </w:tr>
      <w:tr w:rsidR="00BF48DD" w:rsidRPr="000001E1" w:rsidTr="00BF48DD">
        <w:trPr>
          <w:trHeight w:val="300"/>
        </w:trPr>
        <w:tc>
          <w:tcPr>
            <w:tcW w:w="448" w:type="pct"/>
            <w:shd w:val="clear" w:color="auto" w:fill="auto"/>
            <w:noWrap/>
            <w:vAlign w:val="bottom"/>
            <w:hideMark/>
          </w:tcPr>
          <w:p w:rsidR="00BF48DD" w:rsidRPr="000001E1" w:rsidRDefault="00BF48DD" w:rsidP="00EB5058">
            <w:pPr>
              <w:pStyle w:val="AralkYok"/>
              <w:jc w:val="center"/>
              <w:rPr>
                <w:rFonts w:ascii="Times New Roman" w:eastAsia="Times New Roman" w:hAnsi="Times New Roman" w:cs="Times New Roman"/>
                <w:color w:val="000000"/>
                <w:lang w:eastAsia="tr-TR"/>
              </w:rPr>
            </w:pPr>
            <w:r w:rsidRPr="000001E1">
              <w:rPr>
                <w:rFonts w:ascii="Times New Roman" w:eastAsia="Times New Roman" w:hAnsi="Times New Roman" w:cs="Times New Roman"/>
                <w:color w:val="000000"/>
                <w:lang w:eastAsia="tr-TR"/>
              </w:rPr>
              <w:t>2004</w:t>
            </w:r>
          </w:p>
        </w:tc>
        <w:tc>
          <w:tcPr>
            <w:tcW w:w="860"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947</w:t>
            </w:r>
          </w:p>
        </w:tc>
        <w:tc>
          <w:tcPr>
            <w:tcW w:w="692"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138</w:t>
            </w:r>
          </w:p>
        </w:tc>
        <w:tc>
          <w:tcPr>
            <w:tcW w:w="999"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939</w:t>
            </w:r>
          </w:p>
        </w:tc>
        <w:tc>
          <w:tcPr>
            <w:tcW w:w="826"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008</w:t>
            </w:r>
          </w:p>
        </w:tc>
        <w:tc>
          <w:tcPr>
            <w:tcW w:w="1174"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078</w:t>
            </w:r>
          </w:p>
        </w:tc>
      </w:tr>
      <w:tr w:rsidR="00BF48DD" w:rsidRPr="000001E1" w:rsidTr="00BF48DD">
        <w:trPr>
          <w:trHeight w:val="300"/>
        </w:trPr>
        <w:tc>
          <w:tcPr>
            <w:tcW w:w="448" w:type="pct"/>
            <w:shd w:val="clear" w:color="auto" w:fill="auto"/>
            <w:noWrap/>
            <w:vAlign w:val="bottom"/>
            <w:hideMark/>
          </w:tcPr>
          <w:p w:rsidR="00BF48DD" w:rsidRPr="000001E1" w:rsidRDefault="00BF48DD" w:rsidP="00EB5058">
            <w:pPr>
              <w:pStyle w:val="AralkYok"/>
              <w:jc w:val="center"/>
              <w:rPr>
                <w:rFonts w:ascii="Times New Roman" w:eastAsia="Times New Roman" w:hAnsi="Times New Roman" w:cs="Times New Roman"/>
                <w:color w:val="000000"/>
                <w:lang w:eastAsia="tr-TR"/>
              </w:rPr>
            </w:pPr>
            <w:r w:rsidRPr="000001E1">
              <w:rPr>
                <w:rFonts w:ascii="Times New Roman" w:eastAsia="Times New Roman" w:hAnsi="Times New Roman" w:cs="Times New Roman"/>
                <w:color w:val="000000"/>
                <w:lang w:eastAsia="tr-TR"/>
              </w:rPr>
              <w:t>2005</w:t>
            </w:r>
          </w:p>
        </w:tc>
        <w:tc>
          <w:tcPr>
            <w:tcW w:w="860"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127</w:t>
            </w:r>
          </w:p>
        </w:tc>
        <w:tc>
          <w:tcPr>
            <w:tcW w:w="692"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926</w:t>
            </w:r>
          </w:p>
        </w:tc>
        <w:tc>
          <w:tcPr>
            <w:tcW w:w="999"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062</w:t>
            </w:r>
          </w:p>
        </w:tc>
        <w:tc>
          <w:tcPr>
            <w:tcW w:w="826"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061</w:t>
            </w:r>
          </w:p>
        </w:tc>
        <w:tc>
          <w:tcPr>
            <w:tcW w:w="1174"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044</w:t>
            </w:r>
          </w:p>
        </w:tc>
      </w:tr>
      <w:tr w:rsidR="00BF48DD" w:rsidRPr="000001E1" w:rsidTr="00BF48DD">
        <w:trPr>
          <w:trHeight w:val="300"/>
        </w:trPr>
        <w:tc>
          <w:tcPr>
            <w:tcW w:w="448" w:type="pct"/>
            <w:shd w:val="clear" w:color="auto" w:fill="auto"/>
            <w:noWrap/>
            <w:vAlign w:val="bottom"/>
            <w:hideMark/>
          </w:tcPr>
          <w:p w:rsidR="00BF48DD" w:rsidRPr="000001E1" w:rsidRDefault="00BF48DD" w:rsidP="00EB5058">
            <w:pPr>
              <w:pStyle w:val="AralkYok"/>
              <w:jc w:val="center"/>
              <w:rPr>
                <w:rFonts w:ascii="Times New Roman" w:eastAsia="Times New Roman" w:hAnsi="Times New Roman" w:cs="Times New Roman"/>
                <w:color w:val="000000"/>
                <w:lang w:eastAsia="tr-TR"/>
              </w:rPr>
            </w:pPr>
            <w:r w:rsidRPr="000001E1">
              <w:rPr>
                <w:rFonts w:ascii="Times New Roman" w:eastAsia="Times New Roman" w:hAnsi="Times New Roman" w:cs="Times New Roman"/>
                <w:color w:val="000000"/>
                <w:lang w:eastAsia="tr-TR"/>
              </w:rPr>
              <w:t>2006</w:t>
            </w:r>
          </w:p>
        </w:tc>
        <w:tc>
          <w:tcPr>
            <w:tcW w:w="860"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060</w:t>
            </w:r>
          </w:p>
        </w:tc>
        <w:tc>
          <w:tcPr>
            <w:tcW w:w="692"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969</w:t>
            </w:r>
          </w:p>
        </w:tc>
        <w:tc>
          <w:tcPr>
            <w:tcW w:w="999"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043</w:t>
            </w:r>
          </w:p>
        </w:tc>
        <w:tc>
          <w:tcPr>
            <w:tcW w:w="826"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017</w:t>
            </w:r>
          </w:p>
        </w:tc>
        <w:tc>
          <w:tcPr>
            <w:tcW w:w="1174"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027</w:t>
            </w:r>
          </w:p>
        </w:tc>
      </w:tr>
      <w:tr w:rsidR="00BF48DD" w:rsidRPr="000001E1" w:rsidTr="00BF48DD">
        <w:trPr>
          <w:trHeight w:val="300"/>
        </w:trPr>
        <w:tc>
          <w:tcPr>
            <w:tcW w:w="448" w:type="pct"/>
            <w:shd w:val="clear" w:color="auto" w:fill="auto"/>
            <w:noWrap/>
            <w:vAlign w:val="bottom"/>
            <w:hideMark/>
          </w:tcPr>
          <w:p w:rsidR="00BF48DD" w:rsidRPr="000001E1" w:rsidRDefault="00BF48DD" w:rsidP="00EB5058">
            <w:pPr>
              <w:pStyle w:val="AralkYok"/>
              <w:jc w:val="center"/>
              <w:rPr>
                <w:rFonts w:ascii="Times New Roman" w:eastAsia="Times New Roman" w:hAnsi="Times New Roman" w:cs="Times New Roman"/>
                <w:color w:val="000000"/>
                <w:lang w:eastAsia="tr-TR"/>
              </w:rPr>
            </w:pPr>
            <w:r w:rsidRPr="000001E1">
              <w:rPr>
                <w:rFonts w:ascii="Times New Roman" w:eastAsia="Times New Roman" w:hAnsi="Times New Roman" w:cs="Times New Roman"/>
                <w:color w:val="000000"/>
                <w:lang w:eastAsia="tr-TR"/>
              </w:rPr>
              <w:t>2007</w:t>
            </w:r>
          </w:p>
        </w:tc>
        <w:tc>
          <w:tcPr>
            <w:tcW w:w="860"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915</w:t>
            </w:r>
          </w:p>
        </w:tc>
        <w:tc>
          <w:tcPr>
            <w:tcW w:w="692"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265</w:t>
            </w:r>
          </w:p>
        </w:tc>
        <w:tc>
          <w:tcPr>
            <w:tcW w:w="999"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001</w:t>
            </w:r>
          </w:p>
        </w:tc>
        <w:tc>
          <w:tcPr>
            <w:tcW w:w="826"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914</w:t>
            </w:r>
          </w:p>
        </w:tc>
        <w:tc>
          <w:tcPr>
            <w:tcW w:w="1174"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157</w:t>
            </w:r>
          </w:p>
        </w:tc>
      </w:tr>
      <w:tr w:rsidR="00BF48DD" w:rsidRPr="000001E1" w:rsidTr="00BF48DD">
        <w:trPr>
          <w:trHeight w:val="300"/>
        </w:trPr>
        <w:tc>
          <w:tcPr>
            <w:tcW w:w="448" w:type="pct"/>
            <w:shd w:val="clear" w:color="auto" w:fill="auto"/>
            <w:noWrap/>
            <w:vAlign w:val="bottom"/>
            <w:hideMark/>
          </w:tcPr>
          <w:p w:rsidR="00BF48DD" w:rsidRPr="000001E1" w:rsidRDefault="00BF48DD" w:rsidP="00EB5058">
            <w:pPr>
              <w:pStyle w:val="AralkYok"/>
              <w:jc w:val="center"/>
              <w:rPr>
                <w:rFonts w:ascii="Times New Roman" w:eastAsia="Times New Roman" w:hAnsi="Times New Roman" w:cs="Times New Roman"/>
                <w:color w:val="000000"/>
                <w:lang w:eastAsia="tr-TR"/>
              </w:rPr>
            </w:pPr>
            <w:r w:rsidRPr="000001E1">
              <w:rPr>
                <w:rFonts w:ascii="Times New Roman" w:eastAsia="Times New Roman" w:hAnsi="Times New Roman" w:cs="Times New Roman"/>
                <w:color w:val="000000"/>
                <w:lang w:eastAsia="tr-TR"/>
              </w:rPr>
              <w:t>2008</w:t>
            </w:r>
          </w:p>
        </w:tc>
        <w:tc>
          <w:tcPr>
            <w:tcW w:w="860"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088</w:t>
            </w:r>
          </w:p>
        </w:tc>
        <w:tc>
          <w:tcPr>
            <w:tcW w:w="692"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845</w:t>
            </w:r>
          </w:p>
        </w:tc>
        <w:tc>
          <w:tcPr>
            <w:tcW w:w="999"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981</w:t>
            </w:r>
          </w:p>
        </w:tc>
        <w:tc>
          <w:tcPr>
            <w:tcW w:w="826"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109</w:t>
            </w:r>
          </w:p>
        </w:tc>
        <w:tc>
          <w:tcPr>
            <w:tcW w:w="1174"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919</w:t>
            </w:r>
          </w:p>
        </w:tc>
      </w:tr>
      <w:tr w:rsidR="00BF48DD" w:rsidRPr="000001E1" w:rsidTr="00BF48DD">
        <w:trPr>
          <w:trHeight w:val="300"/>
        </w:trPr>
        <w:tc>
          <w:tcPr>
            <w:tcW w:w="448" w:type="pct"/>
            <w:shd w:val="clear" w:color="auto" w:fill="auto"/>
            <w:noWrap/>
            <w:vAlign w:val="bottom"/>
            <w:hideMark/>
          </w:tcPr>
          <w:p w:rsidR="00BF48DD" w:rsidRPr="000001E1" w:rsidRDefault="00BF48DD" w:rsidP="00EB5058">
            <w:pPr>
              <w:pStyle w:val="AralkYok"/>
              <w:jc w:val="center"/>
              <w:rPr>
                <w:rFonts w:ascii="Times New Roman" w:eastAsia="Times New Roman" w:hAnsi="Times New Roman" w:cs="Times New Roman"/>
                <w:color w:val="000000"/>
                <w:lang w:eastAsia="tr-TR"/>
              </w:rPr>
            </w:pPr>
            <w:r w:rsidRPr="000001E1">
              <w:rPr>
                <w:rFonts w:ascii="Times New Roman" w:eastAsia="Times New Roman" w:hAnsi="Times New Roman" w:cs="Times New Roman"/>
                <w:color w:val="000000"/>
                <w:lang w:eastAsia="tr-TR"/>
              </w:rPr>
              <w:t>2009</w:t>
            </w:r>
          </w:p>
        </w:tc>
        <w:tc>
          <w:tcPr>
            <w:tcW w:w="860"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981</w:t>
            </w:r>
          </w:p>
        </w:tc>
        <w:tc>
          <w:tcPr>
            <w:tcW w:w="692"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041</w:t>
            </w:r>
          </w:p>
        </w:tc>
        <w:tc>
          <w:tcPr>
            <w:tcW w:w="999"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018</w:t>
            </w:r>
          </w:p>
        </w:tc>
        <w:tc>
          <w:tcPr>
            <w:tcW w:w="826"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964</w:t>
            </w:r>
          </w:p>
        </w:tc>
        <w:tc>
          <w:tcPr>
            <w:tcW w:w="1174"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021</w:t>
            </w:r>
          </w:p>
        </w:tc>
      </w:tr>
      <w:tr w:rsidR="00BF48DD" w:rsidRPr="000001E1" w:rsidTr="00BF48DD">
        <w:trPr>
          <w:trHeight w:val="300"/>
        </w:trPr>
        <w:tc>
          <w:tcPr>
            <w:tcW w:w="448" w:type="pct"/>
            <w:shd w:val="clear" w:color="auto" w:fill="auto"/>
            <w:noWrap/>
            <w:vAlign w:val="bottom"/>
            <w:hideMark/>
          </w:tcPr>
          <w:p w:rsidR="00BF48DD" w:rsidRPr="000001E1" w:rsidRDefault="00BF48DD" w:rsidP="00EB5058">
            <w:pPr>
              <w:pStyle w:val="AralkYok"/>
              <w:jc w:val="center"/>
              <w:rPr>
                <w:rFonts w:ascii="Times New Roman" w:eastAsia="Times New Roman" w:hAnsi="Times New Roman" w:cs="Times New Roman"/>
                <w:color w:val="000000"/>
                <w:lang w:eastAsia="tr-TR"/>
              </w:rPr>
            </w:pPr>
            <w:r w:rsidRPr="000001E1">
              <w:rPr>
                <w:rFonts w:ascii="Times New Roman" w:eastAsia="Times New Roman" w:hAnsi="Times New Roman" w:cs="Times New Roman"/>
                <w:color w:val="000000"/>
                <w:lang w:eastAsia="tr-TR"/>
              </w:rPr>
              <w:t>2010</w:t>
            </w:r>
          </w:p>
        </w:tc>
        <w:tc>
          <w:tcPr>
            <w:tcW w:w="860"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992</w:t>
            </w:r>
          </w:p>
        </w:tc>
        <w:tc>
          <w:tcPr>
            <w:tcW w:w="692"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971</w:t>
            </w:r>
          </w:p>
        </w:tc>
        <w:tc>
          <w:tcPr>
            <w:tcW w:w="999"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986</w:t>
            </w:r>
          </w:p>
        </w:tc>
        <w:tc>
          <w:tcPr>
            <w:tcW w:w="826"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006</w:t>
            </w:r>
          </w:p>
        </w:tc>
        <w:tc>
          <w:tcPr>
            <w:tcW w:w="1174"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963</w:t>
            </w:r>
          </w:p>
        </w:tc>
      </w:tr>
      <w:tr w:rsidR="00BF48DD" w:rsidRPr="000001E1" w:rsidTr="00BF48DD">
        <w:trPr>
          <w:trHeight w:val="300"/>
        </w:trPr>
        <w:tc>
          <w:tcPr>
            <w:tcW w:w="448" w:type="pct"/>
            <w:shd w:val="clear" w:color="auto" w:fill="auto"/>
            <w:noWrap/>
            <w:vAlign w:val="bottom"/>
            <w:hideMark/>
          </w:tcPr>
          <w:p w:rsidR="00BF48DD" w:rsidRPr="000001E1" w:rsidRDefault="00BF48DD" w:rsidP="00EB5058">
            <w:pPr>
              <w:pStyle w:val="AralkYok"/>
              <w:jc w:val="center"/>
              <w:rPr>
                <w:rFonts w:ascii="Times New Roman" w:eastAsia="Times New Roman" w:hAnsi="Times New Roman" w:cs="Times New Roman"/>
                <w:color w:val="000000"/>
                <w:lang w:eastAsia="tr-TR"/>
              </w:rPr>
            </w:pPr>
            <w:r w:rsidRPr="000001E1">
              <w:rPr>
                <w:rFonts w:ascii="Times New Roman" w:eastAsia="Times New Roman" w:hAnsi="Times New Roman" w:cs="Times New Roman"/>
                <w:color w:val="000000"/>
                <w:lang w:eastAsia="tr-TR"/>
              </w:rPr>
              <w:t>2011</w:t>
            </w:r>
          </w:p>
        </w:tc>
        <w:tc>
          <w:tcPr>
            <w:tcW w:w="860"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992</w:t>
            </w:r>
          </w:p>
        </w:tc>
        <w:tc>
          <w:tcPr>
            <w:tcW w:w="692"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911</w:t>
            </w:r>
          </w:p>
        </w:tc>
        <w:tc>
          <w:tcPr>
            <w:tcW w:w="999"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982</w:t>
            </w:r>
          </w:p>
        </w:tc>
        <w:tc>
          <w:tcPr>
            <w:tcW w:w="826"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010</w:t>
            </w:r>
          </w:p>
        </w:tc>
        <w:tc>
          <w:tcPr>
            <w:tcW w:w="1174"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903</w:t>
            </w:r>
          </w:p>
        </w:tc>
      </w:tr>
      <w:tr w:rsidR="00BF48DD" w:rsidRPr="000001E1" w:rsidTr="00BF48DD">
        <w:trPr>
          <w:trHeight w:val="300"/>
        </w:trPr>
        <w:tc>
          <w:tcPr>
            <w:tcW w:w="448" w:type="pct"/>
            <w:shd w:val="clear" w:color="auto" w:fill="auto"/>
            <w:noWrap/>
            <w:vAlign w:val="bottom"/>
            <w:hideMark/>
          </w:tcPr>
          <w:p w:rsidR="00BF48DD" w:rsidRPr="000001E1" w:rsidRDefault="00BF48DD" w:rsidP="00EB5058">
            <w:pPr>
              <w:pStyle w:val="AralkYok"/>
              <w:jc w:val="center"/>
              <w:rPr>
                <w:rFonts w:ascii="Times New Roman" w:eastAsia="Times New Roman" w:hAnsi="Times New Roman" w:cs="Times New Roman"/>
                <w:color w:val="000000"/>
                <w:lang w:eastAsia="tr-TR"/>
              </w:rPr>
            </w:pPr>
            <w:r w:rsidRPr="000001E1">
              <w:rPr>
                <w:rFonts w:ascii="Times New Roman" w:eastAsia="Times New Roman" w:hAnsi="Times New Roman" w:cs="Times New Roman"/>
                <w:color w:val="000000"/>
                <w:lang w:eastAsia="tr-TR"/>
              </w:rPr>
              <w:t>2012</w:t>
            </w:r>
          </w:p>
        </w:tc>
        <w:tc>
          <w:tcPr>
            <w:tcW w:w="860"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969</w:t>
            </w:r>
          </w:p>
        </w:tc>
        <w:tc>
          <w:tcPr>
            <w:tcW w:w="692"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076</w:t>
            </w:r>
          </w:p>
        </w:tc>
        <w:tc>
          <w:tcPr>
            <w:tcW w:w="999"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005</w:t>
            </w:r>
          </w:p>
        </w:tc>
        <w:tc>
          <w:tcPr>
            <w:tcW w:w="826"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965</w:t>
            </w:r>
          </w:p>
        </w:tc>
        <w:tc>
          <w:tcPr>
            <w:tcW w:w="1174"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043</w:t>
            </w:r>
          </w:p>
        </w:tc>
      </w:tr>
      <w:tr w:rsidR="00BF48DD" w:rsidRPr="000001E1" w:rsidTr="00BF48DD">
        <w:trPr>
          <w:trHeight w:val="300"/>
        </w:trPr>
        <w:tc>
          <w:tcPr>
            <w:tcW w:w="448" w:type="pct"/>
            <w:shd w:val="clear" w:color="auto" w:fill="auto"/>
            <w:noWrap/>
            <w:vAlign w:val="bottom"/>
            <w:hideMark/>
          </w:tcPr>
          <w:p w:rsidR="00BF48DD" w:rsidRPr="000001E1" w:rsidRDefault="00BF48DD" w:rsidP="00EB5058">
            <w:pPr>
              <w:pStyle w:val="AralkYok"/>
              <w:jc w:val="center"/>
              <w:rPr>
                <w:rFonts w:ascii="Times New Roman" w:eastAsia="Times New Roman" w:hAnsi="Times New Roman" w:cs="Times New Roman"/>
                <w:color w:val="000000"/>
                <w:lang w:eastAsia="tr-TR"/>
              </w:rPr>
            </w:pPr>
            <w:r w:rsidRPr="000001E1">
              <w:rPr>
                <w:rFonts w:ascii="Times New Roman" w:eastAsia="Times New Roman" w:hAnsi="Times New Roman" w:cs="Times New Roman"/>
                <w:color w:val="000000"/>
                <w:lang w:eastAsia="tr-TR"/>
              </w:rPr>
              <w:t>2013</w:t>
            </w:r>
          </w:p>
        </w:tc>
        <w:tc>
          <w:tcPr>
            <w:tcW w:w="860"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061</w:t>
            </w:r>
          </w:p>
        </w:tc>
        <w:tc>
          <w:tcPr>
            <w:tcW w:w="692"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868</w:t>
            </w:r>
          </w:p>
        </w:tc>
        <w:tc>
          <w:tcPr>
            <w:tcW w:w="999"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028</w:t>
            </w:r>
          </w:p>
        </w:tc>
        <w:tc>
          <w:tcPr>
            <w:tcW w:w="826"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032</w:t>
            </w:r>
          </w:p>
        </w:tc>
        <w:tc>
          <w:tcPr>
            <w:tcW w:w="1174"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BF48DD" w:rsidRPr="000001E1">
              <w:rPr>
                <w:rFonts w:ascii="Times New Roman" w:eastAsia="Times New Roman" w:hAnsi="Times New Roman" w:cs="Times New Roman"/>
                <w:color w:val="000000"/>
                <w:lang w:eastAsia="tr-TR"/>
              </w:rPr>
              <w:t>921</w:t>
            </w:r>
          </w:p>
        </w:tc>
      </w:tr>
      <w:tr w:rsidR="00BF48DD" w:rsidRPr="000001E1" w:rsidTr="00BF48DD">
        <w:trPr>
          <w:trHeight w:val="300"/>
        </w:trPr>
        <w:tc>
          <w:tcPr>
            <w:tcW w:w="448" w:type="pct"/>
            <w:shd w:val="clear" w:color="auto" w:fill="auto"/>
            <w:noWrap/>
            <w:vAlign w:val="bottom"/>
            <w:hideMark/>
          </w:tcPr>
          <w:p w:rsidR="00BF48DD" w:rsidRPr="000001E1" w:rsidRDefault="00BF48DD" w:rsidP="00EB5058">
            <w:pPr>
              <w:pStyle w:val="AralkYok"/>
              <w:jc w:val="center"/>
              <w:rPr>
                <w:rFonts w:ascii="Times New Roman" w:eastAsia="Times New Roman" w:hAnsi="Times New Roman" w:cs="Times New Roman"/>
                <w:color w:val="000000"/>
                <w:lang w:eastAsia="tr-TR"/>
              </w:rPr>
            </w:pPr>
            <w:r w:rsidRPr="000001E1">
              <w:rPr>
                <w:rFonts w:ascii="Times New Roman" w:eastAsia="Times New Roman" w:hAnsi="Times New Roman" w:cs="Times New Roman"/>
                <w:color w:val="000000"/>
                <w:lang w:eastAsia="tr-TR"/>
              </w:rPr>
              <w:t>Ortalama</w:t>
            </w:r>
          </w:p>
        </w:tc>
        <w:tc>
          <w:tcPr>
            <w:tcW w:w="860"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016</w:t>
            </w:r>
          </w:p>
        </w:tc>
        <w:tc>
          <w:tcPr>
            <w:tcW w:w="692"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002</w:t>
            </w:r>
          </w:p>
        </w:tc>
        <w:tc>
          <w:tcPr>
            <w:tcW w:w="999"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006</w:t>
            </w:r>
          </w:p>
        </w:tc>
        <w:tc>
          <w:tcPr>
            <w:tcW w:w="826"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009</w:t>
            </w:r>
          </w:p>
        </w:tc>
        <w:tc>
          <w:tcPr>
            <w:tcW w:w="1174" w:type="pct"/>
            <w:shd w:val="clear" w:color="auto" w:fill="auto"/>
            <w:noWrap/>
            <w:vAlign w:val="bottom"/>
            <w:hideMark/>
          </w:tcPr>
          <w:p w:rsidR="00BF48DD" w:rsidRPr="000001E1" w:rsidRDefault="00766BB7" w:rsidP="00EB5058">
            <w:pPr>
              <w:pStyle w:val="AralkYok"/>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BF48DD" w:rsidRPr="000001E1">
              <w:rPr>
                <w:rFonts w:ascii="Times New Roman" w:eastAsia="Times New Roman" w:hAnsi="Times New Roman" w:cs="Times New Roman"/>
                <w:color w:val="000000"/>
                <w:lang w:eastAsia="tr-TR"/>
              </w:rPr>
              <w:t>017</w:t>
            </w:r>
          </w:p>
        </w:tc>
      </w:tr>
    </w:tbl>
    <w:p w:rsidR="00BF48DD" w:rsidRDefault="00BF48DD" w:rsidP="00A0688A">
      <w:pPr>
        <w:spacing w:after="120" w:line="240" w:lineRule="auto"/>
      </w:pPr>
    </w:p>
    <w:p w:rsidR="009D69D6" w:rsidRDefault="009D69D6" w:rsidP="00EB5058">
      <w:pPr>
        <w:spacing w:after="120" w:line="240" w:lineRule="auto"/>
        <w:jc w:val="both"/>
        <w:rPr>
          <w:rFonts w:ascii="Times New Roman" w:hAnsi="Times New Roman" w:cs="Times New Roman"/>
          <w:sz w:val="24"/>
          <w:szCs w:val="24"/>
        </w:rPr>
      </w:pPr>
      <w:r w:rsidRPr="000679FC">
        <w:rPr>
          <w:rFonts w:ascii="Times New Roman" w:hAnsi="Times New Roman" w:cs="Times New Roman"/>
          <w:sz w:val="24"/>
          <w:szCs w:val="24"/>
        </w:rPr>
        <w:t xml:space="preserve">Bankaların ortalama toplam verimliliğindeki değişimleri incelendiğinde; Arap Türk </w:t>
      </w:r>
      <w:r w:rsidR="0089739C">
        <w:rPr>
          <w:rFonts w:ascii="Times New Roman" w:hAnsi="Times New Roman" w:cs="Times New Roman"/>
          <w:sz w:val="24"/>
          <w:szCs w:val="24"/>
        </w:rPr>
        <w:t>Bankası, Citibank, Turkish Bank,</w:t>
      </w:r>
      <w:r w:rsidRPr="000679FC">
        <w:rPr>
          <w:rFonts w:ascii="Times New Roman" w:hAnsi="Times New Roman" w:cs="Times New Roman"/>
          <w:sz w:val="24"/>
          <w:szCs w:val="24"/>
        </w:rPr>
        <w:t xml:space="preserve"> HSBC, Turkland, Ziraat ve Halkbank hariç</w:t>
      </w:r>
      <w:r w:rsidR="005D17C3">
        <w:rPr>
          <w:rFonts w:ascii="Times New Roman" w:hAnsi="Times New Roman" w:cs="Times New Roman"/>
          <w:sz w:val="24"/>
          <w:szCs w:val="24"/>
        </w:rPr>
        <w:t xml:space="preserve"> diğer bank</w:t>
      </w:r>
      <w:r w:rsidR="00803C1E">
        <w:rPr>
          <w:rFonts w:ascii="Times New Roman" w:hAnsi="Times New Roman" w:cs="Times New Roman"/>
          <w:sz w:val="24"/>
          <w:szCs w:val="24"/>
        </w:rPr>
        <w:t>a</w:t>
      </w:r>
      <w:r w:rsidR="005D17C3">
        <w:rPr>
          <w:rFonts w:ascii="Times New Roman" w:hAnsi="Times New Roman" w:cs="Times New Roman"/>
          <w:sz w:val="24"/>
          <w:szCs w:val="24"/>
        </w:rPr>
        <w:t>ların tamamında</w:t>
      </w:r>
      <w:r w:rsidRPr="000679FC">
        <w:rPr>
          <w:rFonts w:ascii="Times New Roman" w:hAnsi="Times New Roman" w:cs="Times New Roman"/>
          <w:sz w:val="24"/>
          <w:szCs w:val="24"/>
        </w:rPr>
        <w:t xml:space="preserve"> </w:t>
      </w:r>
      <w:r w:rsidR="005D17C3">
        <w:rPr>
          <w:rFonts w:ascii="Times New Roman" w:hAnsi="Times New Roman" w:cs="Times New Roman"/>
          <w:sz w:val="24"/>
          <w:szCs w:val="24"/>
        </w:rPr>
        <w:t xml:space="preserve">ortalama </w:t>
      </w:r>
      <w:r w:rsidR="005D17C3" w:rsidRPr="000679FC">
        <w:rPr>
          <w:rFonts w:ascii="Times New Roman" w:hAnsi="Times New Roman" w:cs="Times New Roman"/>
          <w:sz w:val="24"/>
          <w:szCs w:val="24"/>
        </w:rPr>
        <w:t>toplam verimliliğindeki</w:t>
      </w:r>
      <w:r w:rsidR="005D17C3">
        <w:rPr>
          <w:rFonts w:ascii="Times New Roman" w:hAnsi="Times New Roman" w:cs="Times New Roman"/>
          <w:sz w:val="24"/>
          <w:szCs w:val="24"/>
        </w:rPr>
        <w:t xml:space="preserve"> değişimin </w:t>
      </w:r>
      <w:r w:rsidRPr="000679FC">
        <w:rPr>
          <w:rFonts w:ascii="Times New Roman" w:hAnsi="Times New Roman" w:cs="Times New Roman"/>
          <w:sz w:val="24"/>
          <w:szCs w:val="24"/>
        </w:rPr>
        <w:t xml:space="preserve">artış yönünde olduğu gözlenmiştir. En yüksek artış Vakıflar Bankası tarafından gerçekleştirilmiş olup bu bankayı Denizbank ve Türk Ekonomi Bankası izlemektedir. Buna </w:t>
      </w:r>
      <w:r w:rsidR="00C97605" w:rsidRPr="000679FC">
        <w:rPr>
          <w:rFonts w:ascii="Times New Roman" w:hAnsi="Times New Roman" w:cs="Times New Roman"/>
          <w:sz w:val="24"/>
          <w:szCs w:val="24"/>
        </w:rPr>
        <w:t>ilaveten Arap Türk Bankası, Citibank, Turkish Bank ve HSBC için ortalama teknik etkinlik değişimleri en düşük seviyede iken Vakıflar Bankası, Denizbank ve Türk Ekonomi Bankası’nda ortalama teknik etkinlik değişimleri en yüksek seviyede belirlenmiştir. Bu sonuç, toplam faktör verimliliği</w:t>
      </w:r>
      <w:r w:rsidRPr="000679FC">
        <w:rPr>
          <w:rFonts w:ascii="Times New Roman" w:hAnsi="Times New Roman" w:cs="Times New Roman"/>
          <w:sz w:val="24"/>
          <w:szCs w:val="24"/>
        </w:rPr>
        <w:t xml:space="preserve"> bakımından yüksek artış gösteren bankaların diğer bankalara kıyasla zaman içerisinde üstün bir performans gö</w:t>
      </w:r>
      <w:r w:rsidR="004F6D87" w:rsidRPr="000679FC">
        <w:rPr>
          <w:rFonts w:ascii="Times New Roman" w:hAnsi="Times New Roman" w:cs="Times New Roman"/>
          <w:sz w:val="24"/>
          <w:szCs w:val="24"/>
        </w:rPr>
        <w:t xml:space="preserve">stererek teknik etkinlikte artışı yakalayan </w:t>
      </w:r>
      <w:r w:rsidRPr="000679FC">
        <w:rPr>
          <w:rFonts w:ascii="Times New Roman" w:hAnsi="Times New Roman" w:cs="Times New Roman"/>
          <w:sz w:val="24"/>
          <w:szCs w:val="24"/>
        </w:rPr>
        <w:t>bankalar olduğuna işaret etmektedir.</w:t>
      </w:r>
    </w:p>
    <w:p w:rsidR="00413259" w:rsidRDefault="00413259" w:rsidP="00A0688A">
      <w:pPr>
        <w:spacing w:after="120" w:line="240" w:lineRule="auto"/>
        <w:ind w:firstLine="360"/>
        <w:jc w:val="both"/>
        <w:rPr>
          <w:rFonts w:ascii="Times New Roman" w:hAnsi="Times New Roman" w:cs="Times New Roman"/>
          <w:sz w:val="24"/>
          <w:szCs w:val="24"/>
        </w:rPr>
      </w:pPr>
    </w:p>
    <w:p w:rsidR="00EB5058" w:rsidRDefault="00EB5058" w:rsidP="00A0688A">
      <w:pPr>
        <w:spacing w:after="120" w:line="240" w:lineRule="auto"/>
        <w:ind w:firstLine="360"/>
        <w:jc w:val="both"/>
        <w:rPr>
          <w:rFonts w:ascii="Times New Roman" w:hAnsi="Times New Roman" w:cs="Times New Roman"/>
          <w:sz w:val="24"/>
          <w:szCs w:val="24"/>
        </w:rPr>
      </w:pPr>
    </w:p>
    <w:p w:rsidR="00EB5058" w:rsidRDefault="00EB5058" w:rsidP="00A0688A">
      <w:pPr>
        <w:spacing w:after="120" w:line="240" w:lineRule="auto"/>
        <w:ind w:firstLine="360"/>
        <w:jc w:val="both"/>
        <w:rPr>
          <w:rFonts w:ascii="Times New Roman" w:hAnsi="Times New Roman" w:cs="Times New Roman"/>
          <w:sz w:val="24"/>
          <w:szCs w:val="24"/>
        </w:rPr>
      </w:pPr>
    </w:p>
    <w:p w:rsidR="00EB5058" w:rsidRDefault="00EB5058" w:rsidP="00A0688A">
      <w:pPr>
        <w:spacing w:after="120" w:line="240" w:lineRule="auto"/>
        <w:ind w:firstLine="360"/>
        <w:jc w:val="both"/>
        <w:rPr>
          <w:rFonts w:ascii="Times New Roman" w:hAnsi="Times New Roman" w:cs="Times New Roman"/>
          <w:sz w:val="24"/>
          <w:szCs w:val="24"/>
        </w:rPr>
      </w:pPr>
    </w:p>
    <w:p w:rsidR="00EB5058" w:rsidRDefault="00EB5058" w:rsidP="00A0688A">
      <w:pPr>
        <w:spacing w:after="120" w:line="240" w:lineRule="auto"/>
        <w:ind w:firstLine="360"/>
        <w:jc w:val="both"/>
        <w:rPr>
          <w:rFonts w:ascii="Times New Roman" w:hAnsi="Times New Roman" w:cs="Times New Roman"/>
          <w:sz w:val="24"/>
          <w:szCs w:val="24"/>
        </w:rPr>
      </w:pPr>
    </w:p>
    <w:p w:rsidR="00EB5058" w:rsidRDefault="00EB5058" w:rsidP="00A0688A">
      <w:pPr>
        <w:spacing w:after="120" w:line="240" w:lineRule="auto"/>
        <w:ind w:firstLine="360"/>
        <w:jc w:val="both"/>
        <w:rPr>
          <w:rFonts w:ascii="Times New Roman" w:hAnsi="Times New Roman" w:cs="Times New Roman"/>
          <w:sz w:val="24"/>
          <w:szCs w:val="24"/>
        </w:rPr>
      </w:pPr>
    </w:p>
    <w:p w:rsidR="00EB5058" w:rsidRDefault="00EB5058" w:rsidP="00A0688A">
      <w:pPr>
        <w:spacing w:after="120" w:line="240" w:lineRule="auto"/>
        <w:ind w:firstLine="360"/>
        <w:jc w:val="both"/>
        <w:rPr>
          <w:rFonts w:ascii="Times New Roman" w:hAnsi="Times New Roman" w:cs="Times New Roman"/>
          <w:sz w:val="24"/>
          <w:szCs w:val="24"/>
        </w:rPr>
      </w:pPr>
    </w:p>
    <w:p w:rsidR="00EB5058" w:rsidRDefault="00EB5058" w:rsidP="00A0688A">
      <w:pPr>
        <w:spacing w:after="120" w:line="240" w:lineRule="auto"/>
        <w:ind w:firstLine="360"/>
        <w:jc w:val="both"/>
        <w:rPr>
          <w:rFonts w:ascii="Times New Roman" w:hAnsi="Times New Roman" w:cs="Times New Roman"/>
          <w:sz w:val="24"/>
          <w:szCs w:val="24"/>
        </w:rPr>
      </w:pPr>
    </w:p>
    <w:p w:rsidR="00EB5058" w:rsidRDefault="00EB5058" w:rsidP="00A0688A">
      <w:pPr>
        <w:spacing w:after="120" w:line="240" w:lineRule="auto"/>
        <w:ind w:firstLine="360"/>
        <w:jc w:val="both"/>
        <w:rPr>
          <w:rFonts w:ascii="Times New Roman" w:hAnsi="Times New Roman" w:cs="Times New Roman"/>
          <w:sz w:val="24"/>
          <w:szCs w:val="24"/>
        </w:rPr>
      </w:pPr>
    </w:p>
    <w:p w:rsidR="00EB5058" w:rsidRDefault="00EB5058" w:rsidP="00A0688A">
      <w:pPr>
        <w:spacing w:after="120" w:line="240" w:lineRule="auto"/>
        <w:ind w:firstLine="360"/>
        <w:jc w:val="both"/>
        <w:rPr>
          <w:rFonts w:ascii="Times New Roman" w:hAnsi="Times New Roman" w:cs="Times New Roman"/>
          <w:sz w:val="24"/>
          <w:szCs w:val="24"/>
        </w:rPr>
      </w:pPr>
    </w:p>
    <w:p w:rsidR="00EB5058" w:rsidRDefault="00EB5058" w:rsidP="00A0688A">
      <w:pPr>
        <w:spacing w:after="120" w:line="240" w:lineRule="auto"/>
        <w:ind w:firstLine="360"/>
        <w:jc w:val="both"/>
        <w:rPr>
          <w:rFonts w:ascii="Times New Roman" w:hAnsi="Times New Roman" w:cs="Times New Roman"/>
          <w:sz w:val="24"/>
          <w:szCs w:val="24"/>
        </w:rPr>
      </w:pPr>
    </w:p>
    <w:p w:rsidR="00EB5058" w:rsidRDefault="00EB5058" w:rsidP="00A0688A">
      <w:pPr>
        <w:spacing w:after="120" w:line="240" w:lineRule="auto"/>
        <w:ind w:firstLine="360"/>
        <w:jc w:val="both"/>
        <w:rPr>
          <w:rFonts w:ascii="Times New Roman" w:hAnsi="Times New Roman" w:cs="Times New Roman"/>
          <w:sz w:val="24"/>
          <w:szCs w:val="24"/>
        </w:rPr>
      </w:pPr>
    </w:p>
    <w:p w:rsidR="00EB5058" w:rsidRPr="000679FC" w:rsidRDefault="00EB5058" w:rsidP="00A0688A">
      <w:pPr>
        <w:spacing w:after="120" w:line="240" w:lineRule="auto"/>
        <w:ind w:firstLine="360"/>
        <w:jc w:val="both"/>
        <w:rPr>
          <w:rFonts w:ascii="Times New Roman" w:hAnsi="Times New Roman" w:cs="Times New Roman"/>
          <w:sz w:val="24"/>
          <w:szCs w:val="24"/>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94"/>
        <w:gridCol w:w="1034"/>
        <w:gridCol w:w="1261"/>
        <w:gridCol w:w="1334"/>
        <w:gridCol w:w="1034"/>
        <w:gridCol w:w="1194"/>
      </w:tblGrid>
      <w:tr w:rsidR="00141476" w:rsidRPr="00141476" w:rsidTr="00141476">
        <w:trPr>
          <w:trHeight w:val="300"/>
        </w:trPr>
        <w:tc>
          <w:tcPr>
            <w:tcW w:w="5000" w:type="pct"/>
            <w:gridSpan w:val="6"/>
            <w:tcBorders>
              <w:top w:val="nil"/>
              <w:left w:val="nil"/>
              <w:bottom w:val="single" w:sz="4" w:space="0" w:color="auto"/>
              <w:right w:val="nil"/>
            </w:tcBorders>
            <w:shd w:val="clear" w:color="auto" w:fill="auto"/>
            <w:noWrap/>
            <w:vAlign w:val="bottom"/>
          </w:tcPr>
          <w:p w:rsidR="00141476" w:rsidRDefault="006C312C" w:rsidP="007B4502">
            <w:pPr>
              <w:spacing w:after="0" w:line="240" w:lineRule="auto"/>
              <w:jc w:val="center"/>
              <w:rPr>
                <w:rFonts w:ascii="Times New Roman" w:hAnsi="Times New Roman" w:cs="Times New Roman"/>
                <w:b/>
              </w:rPr>
            </w:pPr>
            <w:r>
              <w:rPr>
                <w:rFonts w:ascii="Times New Roman" w:hAnsi="Times New Roman" w:cs="Times New Roman"/>
                <w:b/>
              </w:rPr>
              <w:t>Çizelge</w:t>
            </w:r>
            <w:r w:rsidR="00A74F5D">
              <w:rPr>
                <w:rFonts w:ascii="Times New Roman" w:hAnsi="Times New Roman" w:cs="Times New Roman"/>
                <w:b/>
              </w:rPr>
              <w:t xml:space="preserve"> 7</w:t>
            </w:r>
            <w:r w:rsidR="007B4502">
              <w:rPr>
                <w:rFonts w:ascii="Times New Roman" w:hAnsi="Times New Roman" w:cs="Times New Roman"/>
                <w:b/>
              </w:rPr>
              <w:t>.</w:t>
            </w:r>
            <w:r w:rsidR="00141476" w:rsidRPr="00141476">
              <w:rPr>
                <w:rFonts w:ascii="Times New Roman" w:hAnsi="Times New Roman" w:cs="Times New Roman"/>
                <w:b/>
              </w:rPr>
              <w:t xml:space="preserve"> Bankaların Ortalama Değerlerine Göre Malmquist Endeksleri</w:t>
            </w:r>
          </w:p>
          <w:p w:rsidR="007B4502" w:rsidRPr="00141476" w:rsidRDefault="007B4502" w:rsidP="007B4502">
            <w:pPr>
              <w:spacing w:after="0" w:line="240" w:lineRule="auto"/>
              <w:jc w:val="center"/>
              <w:rPr>
                <w:rFonts w:ascii="Times New Roman" w:eastAsia="Times New Roman" w:hAnsi="Times New Roman" w:cs="Times New Roman"/>
                <w:color w:val="000000"/>
                <w:lang w:eastAsia="tr-TR"/>
              </w:rPr>
            </w:pPr>
          </w:p>
        </w:tc>
      </w:tr>
      <w:tr w:rsidR="00141476" w:rsidRPr="00141476" w:rsidTr="00141476">
        <w:trPr>
          <w:trHeight w:val="300"/>
        </w:trPr>
        <w:tc>
          <w:tcPr>
            <w:tcW w:w="2070" w:type="pct"/>
            <w:tcBorders>
              <w:top w:val="single" w:sz="4" w:space="0" w:color="auto"/>
            </w:tcBorders>
            <w:shd w:val="clear" w:color="auto" w:fill="auto"/>
            <w:noWrap/>
            <w:vAlign w:val="bottom"/>
            <w:hideMark/>
          </w:tcPr>
          <w:p w:rsidR="00141476" w:rsidRPr="007B4502" w:rsidRDefault="00141476" w:rsidP="00EB5058">
            <w:pPr>
              <w:spacing w:after="0" w:line="240" w:lineRule="auto"/>
              <w:rPr>
                <w:rFonts w:ascii="Times New Roman" w:eastAsia="Times New Roman" w:hAnsi="Times New Roman" w:cs="Times New Roman"/>
                <w:b/>
                <w:color w:val="000000"/>
                <w:sz w:val="24"/>
                <w:szCs w:val="24"/>
                <w:lang w:eastAsia="tr-TR"/>
              </w:rPr>
            </w:pPr>
            <w:r w:rsidRPr="007B4502">
              <w:rPr>
                <w:rFonts w:ascii="Times New Roman" w:eastAsia="Times New Roman" w:hAnsi="Times New Roman" w:cs="Times New Roman"/>
                <w:b/>
                <w:color w:val="000000"/>
                <w:sz w:val="24"/>
                <w:szCs w:val="24"/>
                <w:lang w:eastAsia="tr-TR"/>
              </w:rPr>
              <w:t>Bankalar</w:t>
            </w:r>
          </w:p>
        </w:tc>
        <w:tc>
          <w:tcPr>
            <w:tcW w:w="546" w:type="pct"/>
            <w:tcBorders>
              <w:top w:val="single" w:sz="4" w:space="0" w:color="auto"/>
            </w:tcBorders>
            <w:shd w:val="clear" w:color="auto" w:fill="auto"/>
            <w:noWrap/>
            <w:vAlign w:val="bottom"/>
            <w:hideMark/>
          </w:tcPr>
          <w:p w:rsidR="00141476" w:rsidRPr="007B4502" w:rsidRDefault="00141476" w:rsidP="00EB5058">
            <w:pPr>
              <w:spacing w:after="0" w:line="240" w:lineRule="auto"/>
              <w:jc w:val="center"/>
              <w:rPr>
                <w:rFonts w:ascii="Times New Roman" w:hAnsi="Times New Roman" w:cs="Times New Roman"/>
                <w:b/>
                <w:sz w:val="24"/>
                <w:szCs w:val="24"/>
              </w:rPr>
            </w:pPr>
            <w:r w:rsidRPr="007B4502">
              <w:rPr>
                <w:rFonts w:ascii="Times New Roman" w:hAnsi="Times New Roman" w:cs="Times New Roman"/>
                <w:b/>
                <w:sz w:val="24"/>
                <w:szCs w:val="24"/>
              </w:rPr>
              <w:t>Teknik</w:t>
            </w:r>
          </w:p>
          <w:p w:rsidR="00141476" w:rsidRPr="007B4502" w:rsidRDefault="00141476" w:rsidP="00EB5058">
            <w:pPr>
              <w:spacing w:after="0" w:line="240" w:lineRule="auto"/>
              <w:jc w:val="center"/>
              <w:rPr>
                <w:rFonts w:ascii="Times New Roman" w:hAnsi="Times New Roman" w:cs="Times New Roman"/>
                <w:b/>
                <w:sz w:val="24"/>
                <w:szCs w:val="24"/>
              </w:rPr>
            </w:pPr>
            <w:r w:rsidRPr="007B4502">
              <w:rPr>
                <w:rFonts w:ascii="Times New Roman" w:hAnsi="Times New Roman" w:cs="Times New Roman"/>
                <w:b/>
                <w:sz w:val="24"/>
                <w:szCs w:val="24"/>
              </w:rPr>
              <w:t>Etkinlik</w:t>
            </w:r>
          </w:p>
          <w:p w:rsidR="00141476" w:rsidRPr="007B4502" w:rsidRDefault="00141476" w:rsidP="00EB5058">
            <w:pPr>
              <w:spacing w:after="0" w:line="240" w:lineRule="auto"/>
              <w:jc w:val="center"/>
              <w:rPr>
                <w:rFonts w:ascii="Times New Roman" w:hAnsi="Times New Roman" w:cs="Times New Roman"/>
                <w:b/>
                <w:sz w:val="24"/>
                <w:szCs w:val="24"/>
              </w:rPr>
            </w:pPr>
            <w:r w:rsidRPr="007B4502">
              <w:rPr>
                <w:rFonts w:ascii="Times New Roman" w:hAnsi="Times New Roman" w:cs="Times New Roman"/>
                <w:b/>
                <w:sz w:val="24"/>
                <w:szCs w:val="24"/>
              </w:rPr>
              <w:t>Değişimi</w:t>
            </w:r>
          </w:p>
        </w:tc>
        <w:tc>
          <w:tcPr>
            <w:tcW w:w="658" w:type="pct"/>
            <w:tcBorders>
              <w:top w:val="single" w:sz="4" w:space="0" w:color="auto"/>
            </w:tcBorders>
            <w:shd w:val="clear" w:color="auto" w:fill="auto"/>
            <w:noWrap/>
            <w:vAlign w:val="bottom"/>
            <w:hideMark/>
          </w:tcPr>
          <w:p w:rsidR="00141476" w:rsidRPr="007B4502" w:rsidRDefault="00141476" w:rsidP="00EB5058">
            <w:pPr>
              <w:spacing w:after="0" w:line="240" w:lineRule="auto"/>
              <w:jc w:val="center"/>
              <w:rPr>
                <w:rFonts w:ascii="Times New Roman" w:hAnsi="Times New Roman" w:cs="Times New Roman"/>
                <w:b/>
                <w:sz w:val="24"/>
                <w:szCs w:val="24"/>
              </w:rPr>
            </w:pPr>
            <w:r w:rsidRPr="007B4502">
              <w:rPr>
                <w:rFonts w:ascii="Times New Roman" w:hAnsi="Times New Roman" w:cs="Times New Roman"/>
                <w:b/>
                <w:sz w:val="24"/>
                <w:szCs w:val="24"/>
              </w:rPr>
              <w:t>Teknolojik</w:t>
            </w:r>
          </w:p>
          <w:p w:rsidR="00141476" w:rsidRPr="007B4502" w:rsidRDefault="00141476" w:rsidP="00EB5058">
            <w:pPr>
              <w:spacing w:after="0" w:line="240" w:lineRule="auto"/>
              <w:jc w:val="center"/>
              <w:rPr>
                <w:rFonts w:ascii="Times New Roman" w:hAnsi="Times New Roman" w:cs="Times New Roman"/>
                <w:b/>
                <w:sz w:val="24"/>
                <w:szCs w:val="24"/>
              </w:rPr>
            </w:pPr>
            <w:r w:rsidRPr="007B4502">
              <w:rPr>
                <w:rFonts w:ascii="Times New Roman" w:hAnsi="Times New Roman" w:cs="Times New Roman"/>
                <w:b/>
                <w:sz w:val="24"/>
                <w:szCs w:val="24"/>
              </w:rPr>
              <w:t>Değişim</w:t>
            </w:r>
          </w:p>
          <w:p w:rsidR="003D3375" w:rsidRPr="007B4502" w:rsidRDefault="003D3375" w:rsidP="003D3375">
            <w:pPr>
              <w:spacing w:after="0" w:line="240" w:lineRule="auto"/>
              <w:rPr>
                <w:rFonts w:ascii="Times New Roman" w:hAnsi="Times New Roman" w:cs="Times New Roman"/>
                <w:b/>
                <w:sz w:val="24"/>
                <w:szCs w:val="24"/>
              </w:rPr>
            </w:pPr>
          </w:p>
        </w:tc>
        <w:tc>
          <w:tcPr>
            <w:tcW w:w="633" w:type="pct"/>
            <w:tcBorders>
              <w:top w:val="single" w:sz="4" w:space="0" w:color="auto"/>
            </w:tcBorders>
            <w:shd w:val="clear" w:color="auto" w:fill="auto"/>
            <w:noWrap/>
            <w:vAlign w:val="bottom"/>
            <w:hideMark/>
          </w:tcPr>
          <w:p w:rsidR="00141476" w:rsidRPr="007B4502" w:rsidRDefault="00141476" w:rsidP="00EB5058">
            <w:pPr>
              <w:spacing w:after="0" w:line="240" w:lineRule="auto"/>
              <w:jc w:val="center"/>
              <w:rPr>
                <w:rFonts w:ascii="Times New Roman" w:hAnsi="Times New Roman" w:cs="Times New Roman"/>
                <w:b/>
                <w:sz w:val="24"/>
                <w:szCs w:val="24"/>
              </w:rPr>
            </w:pPr>
            <w:r w:rsidRPr="007B4502">
              <w:rPr>
                <w:rFonts w:ascii="Times New Roman" w:hAnsi="Times New Roman" w:cs="Times New Roman"/>
                <w:b/>
                <w:sz w:val="24"/>
                <w:szCs w:val="24"/>
              </w:rPr>
              <w:t>Salt Teknik</w:t>
            </w:r>
          </w:p>
          <w:p w:rsidR="00141476" w:rsidRPr="007B4502" w:rsidRDefault="00141476" w:rsidP="00EB5058">
            <w:pPr>
              <w:spacing w:after="0" w:line="240" w:lineRule="auto"/>
              <w:jc w:val="center"/>
              <w:rPr>
                <w:rFonts w:ascii="Times New Roman" w:hAnsi="Times New Roman" w:cs="Times New Roman"/>
                <w:b/>
                <w:sz w:val="24"/>
                <w:szCs w:val="24"/>
              </w:rPr>
            </w:pPr>
            <w:r w:rsidRPr="007B4502">
              <w:rPr>
                <w:rFonts w:ascii="Times New Roman" w:hAnsi="Times New Roman" w:cs="Times New Roman"/>
                <w:b/>
                <w:sz w:val="24"/>
                <w:szCs w:val="24"/>
              </w:rPr>
              <w:t>Etkinlik</w:t>
            </w:r>
          </w:p>
          <w:p w:rsidR="00141476" w:rsidRPr="007B4502" w:rsidRDefault="00141476" w:rsidP="00EB5058">
            <w:pPr>
              <w:spacing w:after="0" w:line="240" w:lineRule="auto"/>
              <w:jc w:val="center"/>
              <w:rPr>
                <w:rFonts w:ascii="Times New Roman" w:hAnsi="Times New Roman" w:cs="Times New Roman"/>
                <w:b/>
                <w:sz w:val="24"/>
                <w:szCs w:val="24"/>
              </w:rPr>
            </w:pPr>
            <w:r w:rsidRPr="007B4502">
              <w:rPr>
                <w:rFonts w:ascii="Times New Roman" w:hAnsi="Times New Roman" w:cs="Times New Roman"/>
                <w:b/>
                <w:sz w:val="24"/>
                <w:szCs w:val="24"/>
              </w:rPr>
              <w:t>Değişimi</w:t>
            </w:r>
          </w:p>
        </w:tc>
        <w:tc>
          <w:tcPr>
            <w:tcW w:w="517" w:type="pct"/>
            <w:tcBorders>
              <w:top w:val="single" w:sz="4" w:space="0" w:color="auto"/>
            </w:tcBorders>
            <w:shd w:val="clear" w:color="auto" w:fill="auto"/>
            <w:noWrap/>
            <w:vAlign w:val="bottom"/>
            <w:hideMark/>
          </w:tcPr>
          <w:p w:rsidR="00141476" w:rsidRPr="007B4502" w:rsidRDefault="00141476" w:rsidP="00EB5058">
            <w:pPr>
              <w:spacing w:after="0" w:line="240" w:lineRule="auto"/>
              <w:jc w:val="center"/>
              <w:rPr>
                <w:rFonts w:ascii="Times New Roman" w:hAnsi="Times New Roman" w:cs="Times New Roman"/>
                <w:b/>
                <w:sz w:val="24"/>
                <w:szCs w:val="24"/>
              </w:rPr>
            </w:pPr>
            <w:r w:rsidRPr="007B4502">
              <w:rPr>
                <w:rFonts w:ascii="Times New Roman" w:hAnsi="Times New Roman" w:cs="Times New Roman"/>
                <w:b/>
                <w:sz w:val="24"/>
                <w:szCs w:val="24"/>
              </w:rPr>
              <w:t>Ölçek</w:t>
            </w:r>
          </w:p>
          <w:p w:rsidR="00141476" w:rsidRPr="007B4502" w:rsidRDefault="00141476" w:rsidP="00EB5058">
            <w:pPr>
              <w:spacing w:after="0" w:line="240" w:lineRule="auto"/>
              <w:jc w:val="center"/>
              <w:rPr>
                <w:rFonts w:ascii="Times New Roman" w:hAnsi="Times New Roman" w:cs="Times New Roman"/>
                <w:b/>
                <w:sz w:val="24"/>
                <w:szCs w:val="24"/>
              </w:rPr>
            </w:pPr>
            <w:r w:rsidRPr="007B4502">
              <w:rPr>
                <w:rFonts w:ascii="Times New Roman" w:hAnsi="Times New Roman" w:cs="Times New Roman"/>
                <w:b/>
                <w:sz w:val="24"/>
                <w:szCs w:val="24"/>
              </w:rPr>
              <w:t>Etkinlik</w:t>
            </w:r>
          </w:p>
          <w:p w:rsidR="00141476" w:rsidRPr="007B4502" w:rsidRDefault="00141476" w:rsidP="00EB5058">
            <w:pPr>
              <w:spacing w:after="0" w:line="240" w:lineRule="auto"/>
              <w:jc w:val="center"/>
              <w:rPr>
                <w:rFonts w:ascii="Times New Roman" w:hAnsi="Times New Roman" w:cs="Times New Roman"/>
                <w:b/>
                <w:sz w:val="24"/>
                <w:szCs w:val="24"/>
              </w:rPr>
            </w:pPr>
            <w:r w:rsidRPr="007B4502">
              <w:rPr>
                <w:rFonts w:ascii="Times New Roman" w:hAnsi="Times New Roman" w:cs="Times New Roman"/>
                <w:b/>
                <w:sz w:val="24"/>
                <w:szCs w:val="24"/>
              </w:rPr>
              <w:t>Değişimi</w:t>
            </w:r>
          </w:p>
        </w:tc>
        <w:tc>
          <w:tcPr>
            <w:tcW w:w="576" w:type="pct"/>
            <w:tcBorders>
              <w:top w:val="single" w:sz="4" w:space="0" w:color="auto"/>
            </w:tcBorders>
            <w:shd w:val="clear" w:color="auto" w:fill="auto"/>
            <w:noWrap/>
            <w:vAlign w:val="bottom"/>
            <w:hideMark/>
          </w:tcPr>
          <w:p w:rsidR="00141476" w:rsidRPr="007B4502" w:rsidRDefault="00141476" w:rsidP="00EB5058">
            <w:pPr>
              <w:spacing w:after="0" w:line="240" w:lineRule="auto"/>
              <w:jc w:val="center"/>
              <w:rPr>
                <w:rFonts w:ascii="Times New Roman" w:hAnsi="Times New Roman" w:cs="Times New Roman"/>
                <w:b/>
                <w:sz w:val="24"/>
                <w:szCs w:val="24"/>
              </w:rPr>
            </w:pPr>
            <w:r w:rsidRPr="007B4502">
              <w:rPr>
                <w:rFonts w:ascii="Times New Roman" w:hAnsi="Times New Roman" w:cs="Times New Roman"/>
                <w:b/>
                <w:sz w:val="24"/>
                <w:szCs w:val="24"/>
              </w:rPr>
              <w:t>Toplam</w:t>
            </w:r>
          </w:p>
          <w:p w:rsidR="00141476" w:rsidRPr="007B4502" w:rsidRDefault="00141476" w:rsidP="00EB5058">
            <w:pPr>
              <w:spacing w:after="0" w:line="240" w:lineRule="auto"/>
              <w:jc w:val="center"/>
              <w:rPr>
                <w:rFonts w:ascii="Times New Roman" w:hAnsi="Times New Roman" w:cs="Times New Roman"/>
                <w:b/>
                <w:sz w:val="24"/>
                <w:szCs w:val="24"/>
              </w:rPr>
            </w:pPr>
            <w:r w:rsidRPr="007B4502">
              <w:rPr>
                <w:rFonts w:ascii="Times New Roman" w:hAnsi="Times New Roman" w:cs="Times New Roman"/>
                <w:b/>
                <w:sz w:val="24"/>
                <w:szCs w:val="24"/>
              </w:rPr>
              <w:t>Faktör</w:t>
            </w:r>
          </w:p>
          <w:p w:rsidR="00141476" w:rsidRPr="007B4502" w:rsidRDefault="00141476" w:rsidP="00EB5058">
            <w:pPr>
              <w:spacing w:after="0" w:line="240" w:lineRule="auto"/>
              <w:jc w:val="center"/>
              <w:rPr>
                <w:rFonts w:ascii="Times New Roman" w:hAnsi="Times New Roman" w:cs="Times New Roman"/>
                <w:b/>
                <w:sz w:val="24"/>
                <w:szCs w:val="24"/>
              </w:rPr>
            </w:pPr>
            <w:r w:rsidRPr="007B4502">
              <w:rPr>
                <w:rFonts w:ascii="Times New Roman" w:hAnsi="Times New Roman" w:cs="Times New Roman"/>
                <w:b/>
                <w:sz w:val="24"/>
                <w:szCs w:val="24"/>
              </w:rPr>
              <w:t>Verimlilik</w:t>
            </w:r>
          </w:p>
          <w:p w:rsidR="00141476" w:rsidRPr="007B4502" w:rsidRDefault="00141476" w:rsidP="00EB5058">
            <w:pPr>
              <w:spacing w:after="0" w:line="240" w:lineRule="auto"/>
              <w:jc w:val="center"/>
              <w:rPr>
                <w:rFonts w:ascii="Times New Roman" w:hAnsi="Times New Roman" w:cs="Times New Roman"/>
                <w:b/>
                <w:sz w:val="24"/>
                <w:szCs w:val="24"/>
              </w:rPr>
            </w:pPr>
            <w:r w:rsidRPr="007B4502">
              <w:rPr>
                <w:rFonts w:ascii="Times New Roman" w:hAnsi="Times New Roman" w:cs="Times New Roman"/>
                <w:b/>
                <w:sz w:val="24"/>
                <w:szCs w:val="24"/>
              </w:rPr>
              <w:t>Değişimi</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Akbank T.A.Ş.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045</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987</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019</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026</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031</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Alternatifbank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035</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028</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041</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994</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063</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Anadolubank A.Ş.</w:t>
            </w:r>
          </w:p>
        </w:tc>
        <w:tc>
          <w:tcPr>
            <w:tcW w:w="546" w:type="pct"/>
            <w:shd w:val="clear" w:color="auto" w:fill="auto"/>
            <w:noWrap/>
            <w:vAlign w:val="bottom"/>
            <w:hideMark/>
          </w:tcPr>
          <w:p w:rsidR="00141476" w:rsidRPr="00141476" w:rsidRDefault="00141476" w:rsidP="00BD0C23">
            <w:pPr>
              <w:spacing w:after="0" w:line="240" w:lineRule="auto"/>
              <w:jc w:val="center"/>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0</w:t>
            </w:r>
            <w:r w:rsidR="00BD0C23">
              <w:rPr>
                <w:rFonts w:ascii="Times New Roman" w:eastAsia="Times New Roman" w:hAnsi="Times New Roman" w:cs="Times New Roman"/>
                <w:color w:val="000000"/>
                <w:lang w:eastAsia="tr-TR"/>
              </w:rPr>
              <w:t>,</w:t>
            </w:r>
            <w:r w:rsidRPr="00141476">
              <w:rPr>
                <w:rFonts w:ascii="Times New Roman" w:eastAsia="Times New Roman" w:hAnsi="Times New Roman" w:cs="Times New Roman"/>
                <w:color w:val="000000"/>
                <w:lang w:eastAsia="tr-TR"/>
              </w:rPr>
              <w:t>993</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019</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996</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997</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011</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Arap Türk Bankası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934</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934</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Citibank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993</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982</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993</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975</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Denizbank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049</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023</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041</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009</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073</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Finans Bank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022</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006</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022</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028</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Habib Bank Limited</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HSBC Bank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966</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006</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976</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989</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971</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ING Bank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028</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019</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010</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018</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048</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Şekerbank T.A.Ş.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003</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010</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007</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996</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013</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Tekstil Bankası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028</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007</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028</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035</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Turkish Bank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987</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048</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964</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024</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034</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Turkland Bank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010</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976</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010</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986</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Türk Ekonomi Bankası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040</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032</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034</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006</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073</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Türkiye Cumhuriyeti Ziraat Bankası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938</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938</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Türkiye Garanti Bankası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021</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006</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995</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026</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027</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Türkiye Halk Bankası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995</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r w:rsidR="00141476" w:rsidRPr="00141476">
              <w:rPr>
                <w:rFonts w:ascii="Times New Roman" w:eastAsia="Times New Roman" w:hAnsi="Times New Roman" w:cs="Times New Roman"/>
                <w:color w:val="000000"/>
                <w:lang w:eastAsia="tr-TR"/>
              </w:rPr>
              <w:t>995</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Türkiye İş Bankası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025</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002</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025</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027</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Türkiye Vakıflar Bankası T.A.Ş.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064</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010</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035</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028</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075</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Yapı ve Kredi Bankası A.Ş.</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024</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017</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000</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024</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041</w:t>
            </w:r>
          </w:p>
        </w:tc>
      </w:tr>
      <w:tr w:rsidR="00141476" w:rsidRPr="00141476" w:rsidTr="00141476">
        <w:trPr>
          <w:trHeight w:val="300"/>
        </w:trPr>
        <w:tc>
          <w:tcPr>
            <w:tcW w:w="2070" w:type="pct"/>
            <w:shd w:val="clear" w:color="auto" w:fill="auto"/>
            <w:noWrap/>
            <w:vAlign w:val="bottom"/>
            <w:hideMark/>
          </w:tcPr>
          <w:p w:rsidR="00141476" w:rsidRPr="00141476" w:rsidRDefault="00141476" w:rsidP="00EB5058">
            <w:pPr>
              <w:spacing w:after="0" w:line="240" w:lineRule="auto"/>
              <w:rPr>
                <w:rFonts w:ascii="Times New Roman" w:eastAsia="Times New Roman" w:hAnsi="Times New Roman" w:cs="Times New Roman"/>
                <w:color w:val="000000"/>
                <w:lang w:eastAsia="tr-TR"/>
              </w:rPr>
            </w:pPr>
            <w:r w:rsidRPr="00141476">
              <w:rPr>
                <w:rFonts w:ascii="Times New Roman" w:eastAsia="Times New Roman" w:hAnsi="Times New Roman" w:cs="Times New Roman"/>
                <w:color w:val="000000"/>
                <w:lang w:eastAsia="tr-TR"/>
              </w:rPr>
              <w:t>Ortalama</w:t>
            </w:r>
          </w:p>
        </w:tc>
        <w:tc>
          <w:tcPr>
            <w:tcW w:w="54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016</w:t>
            </w:r>
          </w:p>
        </w:tc>
        <w:tc>
          <w:tcPr>
            <w:tcW w:w="658"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002</w:t>
            </w:r>
          </w:p>
        </w:tc>
        <w:tc>
          <w:tcPr>
            <w:tcW w:w="633"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006</w:t>
            </w:r>
          </w:p>
        </w:tc>
        <w:tc>
          <w:tcPr>
            <w:tcW w:w="517"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009</w:t>
            </w:r>
          </w:p>
        </w:tc>
        <w:tc>
          <w:tcPr>
            <w:tcW w:w="576" w:type="pct"/>
            <w:shd w:val="clear" w:color="auto" w:fill="auto"/>
            <w:noWrap/>
            <w:vAlign w:val="bottom"/>
            <w:hideMark/>
          </w:tcPr>
          <w:p w:rsidR="00141476" w:rsidRPr="00141476" w:rsidRDefault="00BD0C23" w:rsidP="00EB505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r w:rsidR="00141476" w:rsidRPr="00141476">
              <w:rPr>
                <w:rFonts w:ascii="Times New Roman" w:eastAsia="Times New Roman" w:hAnsi="Times New Roman" w:cs="Times New Roman"/>
                <w:color w:val="000000"/>
                <w:lang w:eastAsia="tr-TR"/>
              </w:rPr>
              <w:t>017</w:t>
            </w:r>
          </w:p>
        </w:tc>
      </w:tr>
    </w:tbl>
    <w:p w:rsidR="00141476" w:rsidRDefault="00141476" w:rsidP="00A0688A">
      <w:pPr>
        <w:spacing w:after="120" w:line="240" w:lineRule="auto"/>
      </w:pPr>
    </w:p>
    <w:p w:rsidR="0033411A" w:rsidRPr="00AA45F1" w:rsidRDefault="007B4502" w:rsidP="00A0688A">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6. </w:t>
      </w:r>
      <w:r w:rsidRPr="00AA45F1">
        <w:rPr>
          <w:rFonts w:ascii="Times New Roman" w:hAnsi="Times New Roman" w:cs="Times New Roman"/>
          <w:b/>
          <w:sz w:val="24"/>
          <w:szCs w:val="24"/>
        </w:rPr>
        <w:t>SONUÇ</w:t>
      </w:r>
    </w:p>
    <w:p w:rsidR="0033411A" w:rsidRDefault="0033411A" w:rsidP="00EB5058">
      <w:pPr>
        <w:spacing w:after="120" w:line="240" w:lineRule="auto"/>
        <w:jc w:val="both"/>
        <w:rPr>
          <w:rFonts w:ascii="Times New Roman" w:hAnsi="Times New Roman" w:cs="Times New Roman"/>
          <w:sz w:val="24"/>
          <w:szCs w:val="24"/>
        </w:rPr>
      </w:pPr>
      <w:r w:rsidRPr="00807BA1">
        <w:rPr>
          <w:rFonts w:ascii="Times New Roman" w:hAnsi="Times New Roman" w:cs="Times New Roman"/>
          <w:sz w:val="24"/>
          <w:szCs w:val="24"/>
        </w:rPr>
        <w:t>Bu çalışmada, 2002–20</w:t>
      </w:r>
      <w:r>
        <w:rPr>
          <w:rFonts w:ascii="Times New Roman" w:hAnsi="Times New Roman" w:cs="Times New Roman"/>
          <w:sz w:val="24"/>
          <w:szCs w:val="24"/>
        </w:rPr>
        <w:t>13</w:t>
      </w:r>
      <w:r w:rsidRPr="00807BA1">
        <w:rPr>
          <w:rFonts w:ascii="Times New Roman" w:hAnsi="Times New Roman" w:cs="Times New Roman"/>
          <w:sz w:val="24"/>
          <w:szCs w:val="24"/>
        </w:rPr>
        <w:t xml:space="preserve"> dönem</w:t>
      </w:r>
      <w:r w:rsidR="002C7F14">
        <w:rPr>
          <w:rFonts w:ascii="Times New Roman" w:hAnsi="Times New Roman" w:cs="Times New Roman"/>
          <w:sz w:val="24"/>
          <w:szCs w:val="24"/>
        </w:rPr>
        <w:t>lerini kapsayan yıllık veriler</w:t>
      </w:r>
      <w:r>
        <w:rPr>
          <w:rFonts w:ascii="Times New Roman" w:hAnsi="Times New Roman" w:cs="Times New Roman"/>
          <w:sz w:val="24"/>
          <w:szCs w:val="24"/>
        </w:rPr>
        <w:t xml:space="preserve"> kullanılarak</w:t>
      </w:r>
      <w:r w:rsidRPr="00807BA1">
        <w:rPr>
          <w:rFonts w:ascii="Times New Roman" w:hAnsi="Times New Roman" w:cs="Times New Roman"/>
          <w:sz w:val="24"/>
          <w:szCs w:val="24"/>
        </w:rPr>
        <w:t xml:space="preserve"> </w:t>
      </w:r>
      <w:r w:rsidR="00086B94">
        <w:rPr>
          <w:rFonts w:ascii="Times New Roman" w:hAnsi="Times New Roman" w:cs="Times New Roman"/>
          <w:sz w:val="24"/>
          <w:szCs w:val="24"/>
        </w:rPr>
        <w:t>Türk bankacılık sektörü</w:t>
      </w:r>
      <w:r>
        <w:rPr>
          <w:rFonts w:ascii="Times New Roman" w:hAnsi="Times New Roman" w:cs="Times New Roman"/>
          <w:sz w:val="24"/>
          <w:szCs w:val="24"/>
        </w:rPr>
        <w:t>nün</w:t>
      </w:r>
      <w:r w:rsidRPr="00807BA1">
        <w:rPr>
          <w:rFonts w:ascii="Times New Roman" w:hAnsi="Times New Roman" w:cs="Times New Roman"/>
          <w:sz w:val="24"/>
          <w:szCs w:val="24"/>
        </w:rPr>
        <w:t xml:space="preserve"> teknik ve ölçek etkinlikleri Veri Zarflama Analiz</w:t>
      </w:r>
      <w:r w:rsidR="00664A20">
        <w:rPr>
          <w:rFonts w:ascii="Times New Roman" w:hAnsi="Times New Roman" w:cs="Times New Roman"/>
          <w:sz w:val="24"/>
          <w:szCs w:val="24"/>
        </w:rPr>
        <w:t>i</w:t>
      </w:r>
      <w:r w:rsidRPr="00807BA1">
        <w:rPr>
          <w:rFonts w:ascii="Times New Roman" w:hAnsi="Times New Roman" w:cs="Times New Roman"/>
          <w:sz w:val="24"/>
          <w:szCs w:val="24"/>
        </w:rPr>
        <w:t xml:space="preserve"> (</w:t>
      </w:r>
      <w:r w:rsidR="00664A20">
        <w:rPr>
          <w:rFonts w:ascii="Times New Roman" w:hAnsi="Times New Roman" w:cs="Times New Roman"/>
          <w:sz w:val="24"/>
          <w:szCs w:val="24"/>
        </w:rPr>
        <w:t>VZA</w:t>
      </w:r>
      <w:r w:rsidRPr="00807BA1">
        <w:rPr>
          <w:rFonts w:ascii="Times New Roman" w:hAnsi="Times New Roman" w:cs="Times New Roman"/>
          <w:sz w:val="24"/>
          <w:szCs w:val="24"/>
        </w:rPr>
        <w:t xml:space="preserve">) yaklaşımı çerçevesinde incelenmiştir. </w:t>
      </w:r>
      <w:r>
        <w:rPr>
          <w:rFonts w:ascii="Times New Roman" w:hAnsi="Times New Roman" w:cs="Times New Roman"/>
          <w:sz w:val="24"/>
          <w:szCs w:val="24"/>
        </w:rPr>
        <w:t>Ayrıca</w:t>
      </w:r>
      <w:r w:rsidR="00664A20">
        <w:rPr>
          <w:rFonts w:ascii="Times New Roman" w:hAnsi="Times New Roman" w:cs="Times New Roman"/>
          <w:sz w:val="24"/>
          <w:szCs w:val="24"/>
        </w:rPr>
        <w:t xml:space="preserve"> VZA’</w:t>
      </w:r>
      <w:r w:rsidR="004658A8">
        <w:rPr>
          <w:rFonts w:ascii="Times New Roman" w:hAnsi="Times New Roman" w:cs="Times New Roman"/>
          <w:sz w:val="24"/>
          <w:szCs w:val="24"/>
        </w:rPr>
        <w:t>ya</w:t>
      </w:r>
      <w:r w:rsidR="00664A20">
        <w:rPr>
          <w:rFonts w:ascii="Times New Roman" w:hAnsi="Times New Roman" w:cs="Times New Roman"/>
          <w:sz w:val="24"/>
          <w:szCs w:val="24"/>
        </w:rPr>
        <w:t xml:space="preserve"> </w:t>
      </w:r>
      <w:r w:rsidRPr="00807BA1">
        <w:rPr>
          <w:rFonts w:ascii="Times New Roman" w:hAnsi="Times New Roman" w:cs="Times New Roman"/>
          <w:sz w:val="24"/>
          <w:szCs w:val="24"/>
        </w:rPr>
        <w:t>dayalı bir yöntem olan Malmqui</w:t>
      </w:r>
      <w:r w:rsidR="00664A20">
        <w:rPr>
          <w:rFonts w:ascii="Times New Roman" w:hAnsi="Times New Roman" w:cs="Times New Roman"/>
          <w:sz w:val="24"/>
          <w:szCs w:val="24"/>
        </w:rPr>
        <w:t>st toplam faktör verimlilik (TFV</w:t>
      </w:r>
      <w:r w:rsidRPr="00807BA1">
        <w:rPr>
          <w:rFonts w:ascii="Times New Roman" w:hAnsi="Times New Roman" w:cs="Times New Roman"/>
          <w:sz w:val="24"/>
          <w:szCs w:val="24"/>
        </w:rPr>
        <w:t>) endeksi hesaplanarak etkinlik anali</w:t>
      </w:r>
      <w:r>
        <w:rPr>
          <w:rFonts w:ascii="Times New Roman" w:hAnsi="Times New Roman" w:cs="Times New Roman"/>
          <w:sz w:val="24"/>
          <w:szCs w:val="24"/>
        </w:rPr>
        <w:t>zlerine zaman boyutu kazandırılmıştır.</w:t>
      </w:r>
    </w:p>
    <w:p w:rsidR="002C7F14" w:rsidRDefault="005F6D81" w:rsidP="00EB505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2002-2013 arasındaki </w:t>
      </w:r>
      <w:r w:rsidR="002C7F14">
        <w:rPr>
          <w:rFonts w:ascii="Times New Roman" w:hAnsi="Times New Roman" w:cs="Times New Roman"/>
          <w:sz w:val="24"/>
          <w:szCs w:val="24"/>
        </w:rPr>
        <w:t>yıllık veriler kullanılarak</w:t>
      </w:r>
      <w:r w:rsidRPr="00FB68F8">
        <w:rPr>
          <w:rFonts w:ascii="Times New Roman" w:hAnsi="Times New Roman" w:cs="Times New Roman"/>
          <w:sz w:val="24"/>
          <w:szCs w:val="24"/>
        </w:rPr>
        <w:t xml:space="preserve"> </w:t>
      </w:r>
      <w:r>
        <w:rPr>
          <w:rFonts w:ascii="Times New Roman" w:hAnsi="Times New Roman" w:cs="Times New Roman"/>
          <w:sz w:val="24"/>
          <w:szCs w:val="24"/>
        </w:rPr>
        <w:t>araştırma kapsamında yer alan 21 mevduat bankasının</w:t>
      </w:r>
      <w:r w:rsidRPr="00FB68F8">
        <w:rPr>
          <w:rFonts w:ascii="Times New Roman" w:hAnsi="Times New Roman" w:cs="Times New Roman"/>
          <w:sz w:val="24"/>
          <w:szCs w:val="24"/>
        </w:rPr>
        <w:t xml:space="preserve"> teknik etkinlik </w:t>
      </w:r>
      <w:r>
        <w:rPr>
          <w:rFonts w:ascii="Times New Roman" w:hAnsi="Times New Roman" w:cs="Times New Roman"/>
          <w:sz w:val="24"/>
          <w:szCs w:val="24"/>
        </w:rPr>
        <w:t xml:space="preserve">skorları </w:t>
      </w:r>
      <w:r w:rsidRPr="00FB68F8">
        <w:rPr>
          <w:rFonts w:ascii="Times New Roman" w:hAnsi="Times New Roman" w:cs="Times New Roman"/>
          <w:sz w:val="24"/>
          <w:szCs w:val="24"/>
        </w:rPr>
        <w:t xml:space="preserve">incelendiğinde; </w:t>
      </w:r>
      <w:r>
        <w:rPr>
          <w:rFonts w:ascii="Times New Roman" w:hAnsi="Times New Roman" w:cs="Times New Roman"/>
          <w:sz w:val="24"/>
          <w:szCs w:val="24"/>
        </w:rPr>
        <w:t>Kamu sermayeli bankalar</w:t>
      </w:r>
      <w:r w:rsidRPr="00FB68F8">
        <w:rPr>
          <w:rFonts w:ascii="Times New Roman" w:hAnsi="Times New Roman" w:cs="Times New Roman"/>
          <w:sz w:val="24"/>
          <w:szCs w:val="24"/>
        </w:rPr>
        <w:t xml:space="preserve">dan Ziraat Bankası, </w:t>
      </w:r>
      <w:r>
        <w:rPr>
          <w:rFonts w:ascii="Times New Roman" w:hAnsi="Times New Roman" w:cs="Times New Roman"/>
          <w:sz w:val="24"/>
          <w:szCs w:val="24"/>
        </w:rPr>
        <w:t>özel sermayeli bankalar</w:t>
      </w:r>
      <w:r w:rsidRPr="00FB68F8">
        <w:rPr>
          <w:rFonts w:ascii="Times New Roman" w:hAnsi="Times New Roman" w:cs="Times New Roman"/>
          <w:sz w:val="24"/>
          <w:szCs w:val="24"/>
        </w:rPr>
        <w:t xml:space="preserve">dan </w:t>
      </w:r>
      <w:r>
        <w:rPr>
          <w:rFonts w:ascii="Times New Roman" w:hAnsi="Times New Roman" w:cs="Times New Roman"/>
          <w:sz w:val="24"/>
          <w:szCs w:val="24"/>
        </w:rPr>
        <w:t xml:space="preserve">İş Bankası </w:t>
      </w:r>
      <w:r w:rsidRPr="00FB68F8">
        <w:rPr>
          <w:rFonts w:ascii="Times New Roman" w:hAnsi="Times New Roman" w:cs="Times New Roman"/>
          <w:sz w:val="24"/>
          <w:szCs w:val="24"/>
        </w:rPr>
        <w:t xml:space="preserve">ve yabancı bankalardan da </w:t>
      </w:r>
      <w:r>
        <w:rPr>
          <w:rFonts w:ascii="Times New Roman" w:hAnsi="Times New Roman" w:cs="Times New Roman"/>
          <w:sz w:val="24"/>
          <w:szCs w:val="24"/>
        </w:rPr>
        <w:t xml:space="preserve">Habib </w:t>
      </w:r>
      <w:r w:rsidR="002C7F14" w:rsidRPr="00FB68F8">
        <w:rPr>
          <w:rFonts w:ascii="Times New Roman" w:hAnsi="Times New Roman" w:cs="Times New Roman"/>
          <w:sz w:val="24"/>
          <w:szCs w:val="24"/>
        </w:rPr>
        <w:t>Bank’ın</w:t>
      </w:r>
      <w:r w:rsidR="002C7F14">
        <w:rPr>
          <w:rFonts w:ascii="Times New Roman" w:hAnsi="Times New Roman" w:cs="Times New Roman"/>
          <w:sz w:val="24"/>
          <w:szCs w:val="24"/>
        </w:rPr>
        <w:t xml:space="preserve"> </w:t>
      </w:r>
      <w:r w:rsidR="002C7F14" w:rsidRPr="00FB68F8">
        <w:rPr>
          <w:rFonts w:ascii="Times New Roman" w:hAnsi="Times New Roman" w:cs="Times New Roman"/>
          <w:sz w:val="24"/>
          <w:szCs w:val="24"/>
        </w:rPr>
        <w:t>tüm</w:t>
      </w:r>
      <w:r w:rsidR="002C7F14">
        <w:rPr>
          <w:rFonts w:ascii="Times New Roman" w:hAnsi="Times New Roman" w:cs="Times New Roman"/>
          <w:sz w:val="24"/>
          <w:szCs w:val="24"/>
        </w:rPr>
        <w:t xml:space="preserve"> yıllar için teknik etkin olduğu belirlenmiştir. </w:t>
      </w:r>
      <w:r>
        <w:rPr>
          <w:rFonts w:ascii="Times New Roman" w:hAnsi="Times New Roman" w:cs="Times New Roman"/>
          <w:sz w:val="24"/>
          <w:szCs w:val="24"/>
        </w:rPr>
        <w:t xml:space="preserve">Ayrıca, kamu sermayeli bankalardan Halkbank 2009 yılı, özel sermayeli bankalardan Akbank 2002 yılı ve Yapı ve Kredi Bankası 2004 yılı, özel sermayeli bankalardan ise Finansbank 2008 yılı hariç diğer yılların tamamında teknik etkin olarak </w:t>
      </w:r>
      <w:r w:rsidR="002C7F14">
        <w:rPr>
          <w:rFonts w:ascii="Times New Roman" w:hAnsi="Times New Roman" w:cs="Times New Roman"/>
          <w:sz w:val="24"/>
          <w:szCs w:val="24"/>
        </w:rPr>
        <w:t>tespit edilmiştir</w:t>
      </w:r>
      <w:r>
        <w:rPr>
          <w:rFonts w:ascii="Times New Roman" w:hAnsi="Times New Roman" w:cs="Times New Roman"/>
          <w:sz w:val="24"/>
          <w:szCs w:val="24"/>
        </w:rPr>
        <w:t xml:space="preserve">. </w:t>
      </w:r>
    </w:p>
    <w:p w:rsidR="005F6D81" w:rsidRDefault="005F6D81" w:rsidP="00EB505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Yıllar itibariyle bir inceleme yapıldığında; 2002 yılında 21 bankadan 11’i (%</w:t>
      </w:r>
      <w:r w:rsidR="004658A8">
        <w:rPr>
          <w:rFonts w:ascii="Times New Roman" w:hAnsi="Times New Roman" w:cs="Times New Roman"/>
          <w:sz w:val="24"/>
          <w:szCs w:val="24"/>
        </w:rPr>
        <w:t xml:space="preserve"> 52,</w:t>
      </w:r>
      <w:r>
        <w:rPr>
          <w:rFonts w:ascii="Times New Roman" w:hAnsi="Times New Roman" w:cs="Times New Roman"/>
          <w:sz w:val="24"/>
          <w:szCs w:val="24"/>
        </w:rPr>
        <w:t xml:space="preserve">4) teknik etkin iken bu oran 2003 yılında </w:t>
      </w:r>
      <w:r w:rsidR="004658A8">
        <w:rPr>
          <w:rFonts w:ascii="Times New Roman" w:hAnsi="Times New Roman" w:cs="Times New Roman"/>
          <w:sz w:val="24"/>
          <w:szCs w:val="24"/>
        </w:rPr>
        <w:t>% 57,</w:t>
      </w:r>
      <w:r>
        <w:rPr>
          <w:rFonts w:ascii="Times New Roman" w:hAnsi="Times New Roman" w:cs="Times New Roman"/>
          <w:sz w:val="24"/>
          <w:szCs w:val="24"/>
        </w:rPr>
        <w:t>1 seviyesine çıkmıştır. Buna karşın 2004 yılında söz konusu oranın %</w:t>
      </w:r>
      <w:r w:rsidR="004658A8">
        <w:rPr>
          <w:rFonts w:ascii="Times New Roman" w:hAnsi="Times New Roman" w:cs="Times New Roman"/>
          <w:sz w:val="24"/>
          <w:szCs w:val="24"/>
        </w:rPr>
        <w:t xml:space="preserve"> 38,</w:t>
      </w:r>
      <w:r>
        <w:rPr>
          <w:rFonts w:ascii="Times New Roman" w:hAnsi="Times New Roman" w:cs="Times New Roman"/>
          <w:sz w:val="24"/>
          <w:szCs w:val="24"/>
        </w:rPr>
        <w:t xml:space="preserve">1 seviyesine gerilemesi dikkati çekmektedir. Takip eden dört yılda ise </w:t>
      </w:r>
      <w:r w:rsidR="002C7F14">
        <w:rPr>
          <w:rFonts w:ascii="Times New Roman" w:hAnsi="Times New Roman" w:cs="Times New Roman"/>
          <w:sz w:val="24"/>
          <w:szCs w:val="24"/>
        </w:rPr>
        <w:t xml:space="preserve">teknik </w:t>
      </w:r>
      <w:r>
        <w:rPr>
          <w:rFonts w:ascii="Times New Roman" w:hAnsi="Times New Roman" w:cs="Times New Roman"/>
          <w:sz w:val="24"/>
          <w:szCs w:val="24"/>
        </w:rPr>
        <w:t>etkin bankaların oranı %</w:t>
      </w:r>
      <w:r w:rsidR="004658A8">
        <w:rPr>
          <w:rFonts w:ascii="Times New Roman" w:hAnsi="Times New Roman" w:cs="Times New Roman"/>
          <w:sz w:val="24"/>
          <w:szCs w:val="24"/>
        </w:rPr>
        <w:t xml:space="preserve"> 61,</w:t>
      </w:r>
      <w:r>
        <w:rPr>
          <w:rFonts w:ascii="Times New Roman" w:hAnsi="Times New Roman" w:cs="Times New Roman"/>
          <w:sz w:val="24"/>
          <w:szCs w:val="24"/>
        </w:rPr>
        <w:t xml:space="preserve">9 seviyesinde sabit kalmış ve finansal küresel krizin Türkiye </w:t>
      </w:r>
      <w:r w:rsidR="004658A8">
        <w:rPr>
          <w:rFonts w:ascii="Times New Roman" w:hAnsi="Times New Roman" w:cs="Times New Roman"/>
          <w:sz w:val="24"/>
          <w:szCs w:val="24"/>
        </w:rPr>
        <w:t>e</w:t>
      </w:r>
      <w:r>
        <w:rPr>
          <w:rFonts w:ascii="Times New Roman" w:hAnsi="Times New Roman" w:cs="Times New Roman"/>
          <w:sz w:val="24"/>
          <w:szCs w:val="24"/>
        </w:rPr>
        <w:t>konomisini olumsuz etkilediği 2009 yılında %</w:t>
      </w:r>
      <w:r w:rsidR="004658A8">
        <w:rPr>
          <w:rFonts w:ascii="Times New Roman" w:hAnsi="Times New Roman" w:cs="Times New Roman"/>
          <w:sz w:val="24"/>
          <w:szCs w:val="24"/>
        </w:rPr>
        <w:t xml:space="preserve"> 71,</w:t>
      </w:r>
      <w:r>
        <w:rPr>
          <w:rFonts w:ascii="Times New Roman" w:hAnsi="Times New Roman" w:cs="Times New Roman"/>
          <w:sz w:val="24"/>
          <w:szCs w:val="24"/>
        </w:rPr>
        <w:t>4 oranı ile en yüksek seviyesine çıkmıştır. 2010 ve 2011 yıllarında teknik etkinliği sağlayan banka oranı yine %</w:t>
      </w:r>
      <w:r w:rsidR="004658A8">
        <w:rPr>
          <w:rFonts w:ascii="Times New Roman" w:hAnsi="Times New Roman" w:cs="Times New Roman"/>
          <w:sz w:val="24"/>
          <w:szCs w:val="24"/>
        </w:rPr>
        <w:t xml:space="preserve"> 61,</w:t>
      </w:r>
      <w:r>
        <w:rPr>
          <w:rFonts w:ascii="Times New Roman" w:hAnsi="Times New Roman" w:cs="Times New Roman"/>
          <w:sz w:val="24"/>
          <w:szCs w:val="24"/>
        </w:rPr>
        <w:t>9 iken 2012 yılında bu oran %</w:t>
      </w:r>
      <w:r w:rsidR="004658A8">
        <w:rPr>
          <w:rFonts w:ascii="Times New Roman" w:hAnsi="Times New Roman" w:cs="Times New Roman"/>
          <w:sz w:val="24"/>
          <w:szCs w:val="24"/>
        </w:rPr>
        <w:t xml:space="preserve"> 52,</w:t>
      </w:r>
      <w:r>
        <w:rPr>
          <w:rFonts w:ascii="Times New Roman" w:hAnsi="Times New Roman" w:cs="Times New Roman"/>
          <w:sz w:val="24"/>
          <w:szCs w:val="24"/>
        </w:rPr>
        <w:t>4 seviyesine gerilemiş ve 2013 yılında %</w:t>
      </w:r>
      <w:r w:rsidR="004658A8">
        <w:rPr>
          <w:rFonts w:ascii="Times New Roman" w:hAnsi="Times New Roman" w:cs="Times New Roman"/>
          <w:sz w:val="24"/>
          <w:szCs w:val="24"/>
        </w:rPr>
        <w:t xml:space="preserve"> 66,</w:t>
      </w:r>
      <w:r>
        <w:rPr>
          <w:rFonts w:ascii="Times New Roman" w:hAnsi="Times New Roman" w:cs="Times New Roman"/>
          <w:sz w:val="24"/>
          <w:szCs w:val="24"/>
        </w:rPr>
        <w:t xml:space="preserve">7 olarak gerçekleşmiştir. </w:t>
      </w:r>
      <w:r w:rsidR="00086B94">
        <w:rPr>
          <w:rFonts w:ascii="Times New Roman" w:hAnsi="Times New Roman" w:cs="Times New Roman"/>
          <w:sz w:val="24"/>
          <w:szCs w:val="24"/>
        </w:rPr>
        <w:t>Türk bankacılık sektörü</w:t>
      </w:r>
      <w:r w:rsidRPr="007D4FA4">
        <w:rPr>
          <w:rFonts w:ascii="Times New Roman" w:hAnsi="Times New Roman" w:cs="Times New Roman"/>
          <w:sz w:val="24"/>
          <w:szCs w:val="24"/>
        </w:rPr>
        <w:t xml:space="preserve"> için teknik etkinlik 2002 yı</w:t>
      </w:r>
      <w:r w:rsidR="004658A8">
        <w:rPr>
          <w:rFonts w:ascii="Times New Roman" w:hAnsi="Times New Roman" w:cs="Times New Roman"/>
          <w:sz w:val="24"/>
          <w:szCs w:val="24"/>
        </w:rPr>
        <w:t>lında ortalama olarak 0,</w:t>
      </w:r>
      <w:r>
        <w:rPr>
          <w:rFonts w:ascii="Times New Roman" w:hAnsi="Times New Roman" w:cs="Times New Roman"/>
          <w:sz w:val="24"/>
          <w:szCs w:val="24"/>
        </w:rPr>
        <w:t>884</w:t>
      </w:r>
      <w:r w:rsidRPr="007D4FA4">
        <w:rPr>
          <w:rFonts w:ascii="Times New Roman" w:hAnsi="Times New Roman" w:cs="Times New Roman"/>
          <w:sz w:val="24"/>
          <w:szCs w:val="24"/>
        </w:rPr>
        <w:t xml:space="preserve"> seviyesinde </w:t>
      </w:r>
      <w:r>
        <w:rPr>
          <w:rFonts w:ascii="Times New Roman" w:hAnsi="Times New Roman" w:cs="Times New Roman"/>
          <w:sz w:val="24"/>
          <w:szCs w:val="24"/>
        </w:rPr>
        <w:t>iken</w:t>
      </w:r>
      <w:r w:rsidRPr="007D4FA4">
        <w:rPr>
          <w:rFonts w:ascii="Times New Roman" w:hAnsi="Times New Roman" w:cs="Times New Roman"/>
          <w:sz w:val="24"/>
          <w:szCs w:val="24"/>
        </w:rPr>
        <w:t xml:space="preserve"> </w:t>
      </w:r>
      <w:r>
        <w:rPr>
          <w:rFonts w:ascii="Times New Roman" w:hAnsi="Times New Roman" w:cs="Times New Roman"/>
          <w:sz w:val="24"/>
          <w:szCs w:val="24"/>
        </w:rPr>
        <w:t xml:space="preserve">2004 yılı hariç </w:t>
      </w:r>
      <w:r w:rsidRPr="007D4FA4">
        <w:rPr>
          <w:rFonts w:ascii="Times New Roman" w:hAnsi="Times New Roman" w:cs="Times New Roman"/>
          <w:sz w:val="24"/>
          <w:szCs w:val="24"/>
        </w:rPr>
        <w:t xml:space="preserve">ilerleyen yıllarda </w:t>
      </w:r>
      <w:r w:rsidR="004658A8">
        <w:rPr>
          <w:rFonts w:ascii="Times New Roman" w:hAnsi="Times New Roman" w:cs="Times New Roman"/>
          <w:sz w:val="24"/>
          <w:szCs w:val="24"/>
        </w:rPr>
        <w:t>daima 0,</w:t>
      </w:r>
      <w:r>
        <w:rPr>
          <w:rFonts w:ascii="Times New Roman" w:hAnsi="Times New Roman" w:cs="Times New Roman"/>
          <w:sz w:val="24"/>
          <w:szCs w:val="24"/>
        </w:rPr>
        <w:t>90’ın üzerinde 1’e oldukça yakın bulunmuştur.</w:t>
      </w:r>
      <w:r w:rsidRPr="007D4FA4">
        <w:rPr>
          <w:rFonts w:ascii="Times New Roman" w:hAnsi="Times New Roman" w:cs="Times New Roman"/>
          <w:sz w:val="24"/>
          <w:szCs w:val="24"/>
        </w:rPr>
        <w:t xml:space="preserve"> Bu sonuç</w:t>
      </w:r>
      <w:r>
        <w:rPr>
          <w:rFonts w:ascii="Times New Roman" w:hAnsi="Times New Roman" w:cs="Times New Roman"/>
          <w:sz w:val="24"/>
          <w:szCs w:val="24"/>
        </w:rPr>
        <w:t>lar</w:t>
      </w:r>
      <w:r w:rsidRPr="007D4FA4">
        <w:rPr>
          <w:rFonts w:ascii="Times New Roman" w:hAnsi="Times New Roman" w:cs="Times New Roman"/>
          <w:sz w:val="24"/>
          <w:szCs w:val="24"/>
        </w:rPr>
        <w:t>, 2002–20</w:t>
      </w:r>
      <w:r>
        <w:rPr>
          <w:rFonts w:ascii="Times New Roman" w:hAnsi="Times New Roman" w:cs="Times New Roman"/>
          <w:sz w:val="24"/>
          <w:szCs w:val="24"/>
        </w:rPr>
        <w:t>13</w:t>
      </w:r>
      <w:r w:rsidRPr="007D4FA4">
        <w:rPr>
          <w:rFonts w:ascii="Times New Roman" w:hAnsi="Times New Roman" w:cs="Times New Roman"/>
          <w:sz w:val="24"/>
          <w:szCs w:val="24"/>
        </w:rPr>
        <w:t xml:space="preserve"> yılları arasında </w:t>
      </w:r>
      <w:r w:rsidR="00086B94">
        <w:rPr>
          <w:rFonts w:ascii="Times New Roman" w:hAnsi="Times New Roman" w:cs="Times New Roman"/>
          <w:sz w:val="24"/>
          <w:szCs w:val="24"/>
        </w:rPr>
        <w:t>Türk bankacılık sektörü</w:t>
      </w:r>
      <w:r w:rsidRPr="007D4FA4">
        <w:rPr>
          <w:rFonts w:ascii="Times New Roman" w:hAnsi="Times New Roman" w:cs="Times New Roman"/>
          <w:sz w:val="24"/>
          <w:szCs w:val="24"/>
        </w:rPr>
        <w:t xml:space="preserve">nün teknik etkinlik bakımından sürekli gelişerek iyi bir seviyeye geldiğini somut olarak göstermektedir. </w:t>
      </w:r>
      <w:r>
        <w:rPr>
          <w:rFonts w:ascii="Times New Roman" w:hAnsi="Times New Roman" w:cs="Times New Roman"/>
          <w:sz w:val="24"/>
          <w:szCs w:val="24"/>
        </w:rPr>
        <w:t xml:space="preserve"> </w:t>
      </w:r>
      <w:r w:rsidRPr="009C389A">
        <w:rPr>
          <w:rFonts w:ascii="Times New Roman" w:hAnsi="Times New Roman" w:cs="Times New Roman"/>
          <w:sz w:val="24"/>
          <w:szCs w:val="24"/>
        </w:rPr>
        <w:t xml:space="preserve">Bu </w:t>
      </w:r>
      <w:r>
        <w:rPr>
          <w:rFonts w:ascii="Times New Roman" w:hAnsi="Times New Roman" w:cs="Times New Roman"/>
          <w:sz w:val="24"/>
          <w:szCs w:val="24"/>
        </w:rPr>
        <w:t>sonuçlar</w:t>
      </w:r>
      <w:r w:rsidRPr="009C389A">
        <w:rPr>
          <w:rFonts w:ascii="Times New Roman" w:hAnsi="Times New Roman" w:cs="Times New Roman"/>
          <w:sz w:val="24"/>
          <w:szCs w:val="24"/>
        </w:rPr>
        <w:t>, dünyada yaşanan banka kaynaklı finansal krizin Türkiye’deki yansımasının reel sektör kaynaklı ekonomik bir kriz olduğuna işaret etmektedir. 1994 ve 2001 yılı ekonomik krizlerinden farklı olarak, 2008 küresel likidite krizinde ülkemiz bakımından riski azaltan en önemli faktörler; (i) Kamu maliyesinin eskiye göre daha iyi yönetilmesi, (ii) Bankacılık sisteminin çok daha sağlam olması, (iii) Mali sistemde denetimin güçlendirilmesi olarak sıralanabilir.</w:t>
      </w:r>
      <w:r>
        <w:rPr>
          <w:rFonts w:ascii="Times New Roman" w:hAnsi="Times New Roman" w:cs="Times New Roman"/>
          <w:sz w:val="24"/>
          <w:szCs w:val="24"/>
        </w:rPr>
        <w:t xml:space="preserve">    </w:t>
      </w:r>
    </w:p>
    <w:p w:rsidR="0033411A" w:rsidRDefault="0033411A" w:rsidP="00EB505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Araştırma kapsamında yer alan 21 </w:t>
      </w:r>
      <w:r w:rsidR="0017570E">
        <w:rPr>
          <w:rFonts w:ascii="Times New Roman" w:hAnsi="Times New Roman" w:cs="Times New Roman"/>
          <w:sz w:val="24"/>
          <w:szCs w:val="24"/>
        </w:rPr>
        <w:t xml:space="preserve">banka </w:t>
      </w:r>
      <w:r w:rsidR="000F519B">
        <w:rPr>
          <w:rFonts w:ascii="Times New Roman" w:hAnsi="Times New Roman" w:cs="Times New Roman"/>
          <w:sz w:val="24"/>
          <w:szCs w:val="24"/>
        </w:rPr>
        <w:t>içerisinde k</w:t>
      </w:r>
      <w:r>
        <w:rPr>
          <w:rFonts w:ascii="Times New Roman" w:hAnsi="Times New Roman" w:cs="Times New Roman"/>
          <w:sz w:val="24"/>
          <w:szCs w:val="24"/>
        </w:rPr>
        <w:t>üresel finans krizinin yoğun hissedildiği 2008 yılında ölçek etkinliğine sahip bankaların oranı %</w:t>
      </w:r>
      <w:r w:rsidR="004658A8">
        <w:rPr>
          <w:rFonts w:ascii="Times New Roman" w:hAnsi="Times New Roman" w:cs="Times New Roman"/>
          <w:sz w:val="24"/>
          <w:szCs w:val="24"/>
        </w:rPr>
        <w:t xml:space="preserve"> 61,</w:t>
      </w:r>
      <w:r>
        <w:rPr>
          <w:rFonts w:ascii="Times New Roman" w:hAnsi="Times New Roman" w:cs="Times New Roman"/>
          <w:sz w:val="24"/>
          <w:szCs w:val="24"/>
        </w:rPr>
        <w:t xml:space="preserve">9 ile en yüksek seviyede belirlenmiştir. Ayrıca </w:t>
      </w:r>
      <w:r w:rsidR="0017570E">
        <w:rPr>
          <w:rFonts w:ascii="Times New Roman" w:hAnsi="Times New Roman" w:cs="Times New Roman"/>
          <w:sz w:val="24"/>
          <w:szCs w:val="24"/>
        </w:rPr>
        <w:t xml:space="preserve">bir önceki yıla göre </w:t>
      </w:r>
      <w:r>
        <w:rPr>
          <w:rFonts w:ascii="Times New Roman" w:hAnsi="Times New Roman" w:cs="Times New Roman"/>
          <w:sz w:val="24"/>
          <w:szCs w:val="24"/>
        </w:rPr>
        <w:t>2008 yılı itibariyle ölçek etkinliğinde artış gösteren bankaların oranı %</w:t>
      </w:r>
      <w:r w:rsidR="004658A8">
        <w:rPr>
          <w:rFonts w:ascii="Times New Roman" w:hAnsi="Times New Roman" w:cs="Times New Roman"/>
          <w:sz w:val="24"/>
          <w:szCs w:val="24"/>
        </w:rPr>
        <w:t xml:space="preserve"> 95,</w:t>
      </w:r>
      <w:r>
        <w:rPr>
          <w:rFonts w:ascii="Times New Roman" w:hAnsi="Times New Roman" w:cs="Times New Roman"/>
          <w:sz w:val="24"/>
          <w:szCs w:val="24"/>
        </w:rPr>
        <w:t xml:space="preserve">24 ile en yüksek seviyede tespit edilmiştir. Bu sonuçlar küresel ekonomik krizin yoğun hissedildiği 2008 yılında bankaların ölçek etkinliğini sağlamaya dönük önlemlere yöneldiğini göstermektedir. </w:t>
      </w:r>
    </w:p>
    <w:p w:rsidR="006C312C" w:rsidRDefault="000F519B" w:rsidP="00EB505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Bir önceki yıla göre k</w:t>
      </w:r>
      <w:r w:rsidR="0033411A">
        <w:rPr>
          <w:rFonts w:ascii="Times New Roman" w:hAnsi="Times New Roman" w:cs="Times New Roman"/>
          <w:sz w:val="24"/>
          <w:szCs w:val="24"/>
        </w:rPr>
        <w:t xml:space="preserve">üresel krizin yoğun yaşandığı 2008 yılında hiçbir </w:t>
      </w:r>
      <w:r>
        <w:rPr>
          <w:rFonts w:ascii="Times New Roman" w:hAnsi="Times New Roman" w:cs="Times New Roman"/>
          <w:sz w:val="24"/>
          <w:szCs w:val="24"/>
        </w:rPr>
        <w:t>bankanın</w:t>
      </w:r>
      <w:r w:rsidR="0017570E">
        <w:rPr>
          <w:rFonts w:ascii="Times New Roman" w:hAnsi="Times New Roman" w:cs="Times New Roman"/>
          <w:sz w:val="24"/>
          <w:szCs w:val="24"/>
        </w:rPr>
        <w:t xml:space="preserve"> </w:t>
      </w:r>
      <w:r w:rsidR="0033411A">
        <w:rPr>
          <w:rFonts w:ascii="Times New Roman" w:hAnsi="Times New Roman" w:cs="Times New Roman"/>
          <w:sz w:val="24"/>
          <w:szCs w:val="24"/>
        </w:rPr>
        <w:t xml:space="preserve">teknolojik değişiminde artış </w:t>
      </w:r>
      <w:r w:rsidR="0017570E">
        <w:rPr>
          <w:rFonts w:ascii="Times New Roman" w:hAnsi="Times New Roman" w:cs="Times New Roman"/>
          <w:sz w:val="24"/>
          <w:szCs w:val="24"/>
        </w:rPr>
        <w:t>olmadığı görülmüştür. Buna</w:t>
      </w:r>
      <w:r w:rsidR="0033411A">
        <w:rPr>
          <w:rFonts w:ascii="Times New Roman" w:hAnsi="Times New Roman" w:cs="Times New Roman"/>
          <w:sz w:val="24"/>
          <w:szCs w:val="24"/>
        </w:rPr>
        <w:t xml:space="preserve"> ilaveten toplam f</w:t>
      </w:r>
      <w:r w:rsidR="0033411A" w:rsidRPr="00374FE6">
        <w:rPr>
          <w:rFonts w:ascii="Times New Roman" w:hAnsi="Times New Roman" w:cs="Times New Roman"/>
          <w:sz w:val="24"/>
          <w:szCs w:val="24"/>
        </w:rPr>
        <w:t>ak</w:t>
      </w:r>
      <w:r w:rsidR="0033411A">
        <w:rPr>
          <w:rFonts w:ascii="Times New Roman" w:hAnsi="Times New Roman" w:cs="Times New Roman"/>
          <w:sz w:val="24"/>
          <w:szCs w:val="24"/>
        </w:rPr>
        <w:t>tör v</w:t>
      </w:r>
      <w:r w:rsidR="0033411A" w:rsidRPr="00374FE6">
        <w:rPr>
          <w:rFonts w:ascii="Times New Roman" w:hAnsi="Times New Roman" w:cs="Times New Roman"/>
          <w:sz w:val="24"/>
          <w:szCs w:val="24"/>
        </w:rPr>
        <w:t>erimliliğindeki değişimi ar</w:t>
      </w:r>
      <w:r w:rsidR="0033411A">
        <w:rPr>
          <w:rFonts w:ascii="Times New Roman" w:hAnsi="Times New Roman" w:cs="Times New Roman"/>
          <w:sz w:val="24"/>
          <w:szCs w:val="24"/>
        </w:rPr>
        <w:t>tış yönünde olan banka sayısı</w:t>
      </w:r>
      <w:r w:rsidR="0033411A" w:rsidRPr="00374FE6">
        <w:rPr>
          <w:rFonts w:ascii="Times New Roman" w:hAnsi="Times New Roman" w:cs="Times New Roman"/>
          <w:sz w:val="24"/>
          <w:szCs w:val="24"/>
        </w:rPr>
        <w:t xml:space="preserve"> 2007 yılına kadar</w:t>
      </w:r>
      <w:r w:rsidR="0017570E">
        <w:rPr>
          <w:rFonts w:ascii="Times New Roman" w:hAnsi="Times New Roman" w:cs="Times New Roman"/>
          <w:sz w:val="24"/>
          <w:szCs w:val="24"/>
        </w:rPr>
        <w:t xml:space="preserve"> %</w:t>
      </w:r>
      <w:r w:rsidR="004658A8">
        <w:rPr>
          <w:rFonts w:ascii="Times New Roman" w:hAnsi="Times New Roman" w:cs="Times New Roman"/>
          <w:sz w:val="24"/>
          <w:szCs w:val="24"/>
        </w:rPr>
        <w:t xml:space="preserve"> </w:t>
      </w:r>
      <w:r w:rsidR="0017570E">
        <w:rPr>
          <w:rFonts w:ascii="Times New Roman" w:hAnsi="Times New Roman" w:cs="Times New Roman"/>
          <w:sz w:val="24"/>
          <w:szCs w:val="24"/>
        </w:rPr>
        <w:t>67-</w:t>
      </w:r>
      <w:r w:rsidR="004658A8">
        <w:rPr>
          <w:rFonts w:ascii="Times New Roman" w:hAnsi="Times New Roman" w:cs="Times New Roman"/>
          <w:sz w:val="24"/>
          <w:szCs w:val="24"/>
        </w:rPr>
        <w:t xml:space="preserve"> </w:t>
      </w:r>
      <w:r w:rsidR="0017570E">
        <w:rPr>
          <w:rFonts w:ascii="Times New Roman" w:hAnsi="Times New Roman" w:cs="Times New Roman"/>
          <w:sz w:val="24"/>
          <w:szCs w:val="24"/>
        </w:rPr>
        <w:t>%</w:t>
      </w:r>
      <w:r w:rsidR="004658A8">
        <w:rPr>
          <w:rFonts w:ascii="Times New Roman" w:hAnsi="Times New Roman" w:cs="Times New Roman"/>
          <w:sz w:val="24"/>
          <w:szCs w:val="24"/>
        </w:rPr>
        <w:t xml:space="preserve"> </w:t>
      </w:r>
      <w:r w:rsidR="0017570E">
        <w:rPr>
          <w:rFonts w:ascii="Times New Roman" w:hAnsi="Times New Roman" w:cs="Times New Roman"/>
          <w:sz w:val="24"/>
          <w:szCs w:val="24"/>
        </w:rPr>
        <w:t>81 aralığında</w:t>
      </w:r>
      <w:r w:rsidR="0033411A" w:rsidRPr="00374FE6">
        <w:rPr>
          <w:rFonts w:ascii="Times New Roman" w:hAnsi="Times New Roman" w:cs="Times New Roman"/>
          <w:sz w:val="24"/>
          <w:szCs w:val="24"/>
        </w:rPr>
        <w:t xml:space="preserve"> istikrarlı bir eğili</w:t>
      </w:r>
      <w:r w:rsidR="0033411A">
        <w:rPr>
          <w:rFonts w:ascii="Times New Roman" w:hAnsi="Times New Roman" w:cs="Times New Roman"/>
          <w:sz w:val="24"/>
          <w:szCs w:val="24"/>
        </w:rPr>
        <w:t>m içerisinde iken 2008 yılında</w:t>
      </w:r>
      <w:r w:rsidR="0017570E">
        <w:rPr>
          <w:rFonts w:ascii="Times New Roman" w:hAnsi="Times New Roman" w:cs="Times New Roman"/>
          <w:sz w:val="24"/>
          <w:szCs w:val="24"/>
        </w:rPr>
        <w:t xml:space="preserve"> bu oran</w:t>
      </w:r>
      <w:r w:rsidR="0033411A">
        <w:rPr>
          <w:rFonts w:ascii="Times New Roman" w:hAnsi="Times New Roman" w:cs="Times New Roman"/>
          <w:sz w:val="24"/>
          <w:szCs w:val="24"/>
        </w:rPr>
        <w:t xml:space="preserve"> %</w:t>
      </w:r>
      <w:r w:rsidR="004658A8">
        <w:rPr>
          <w:rFonts w:ascii="Times New Roman" w:hAnsi="Times New Roman" w:cs="Times New Roman"/>
          <w:sz w:val="24"/>
          <w:szCs w:val="24"/>
        </w:rPr>
        <w:t xml:space="preserve"> </w:t>
      </w:r>
      <w:r w:rsidR="0033411A">
        <w:rPr>
          <w:rFonts w:ascii="Times New Roman" w:hAnsi="Times New Roman" w:cs="Times New Roman"/>
          <w:sz w:val="24"/>
          <w:szCs w:val="24"/>
        </w:rPr>
        <w:t>38</w:t>
      </w:r>
      <w:r w:rsidR="004658A8">
        <w:rPr>
          <w:rFonts w:ascii="Times New Roman" w:hAnsi="Times New Roman" w:cs="Times New Roman"/>
          <w:sz w:val="24"/>
          <w:szCs w:val="24"/>
        </w:rPr>
        <w:t>,</w:t>
      </w:r>
      <w:r w:rsidR="0033411A">
        <w:rPr>
          <w:rFonts w:ascii="Times New Roman" w:hAnsi="Times New Roman" w:cs="Times New Roman"/>
          <w:sz w:val="24"/>
          <w:szCs w:val="24"/>
        </w:rPr>
        <w:t xml:space="preserve">1 seviyesine </w:t>
      </w:r>
      <w:r w:rsidR="0017570E">
        <w:rPr>
          <w:rFonts w:ascii="Times New Roman" w:hAnsi="Times New Roman" w:cs="Times New Roman"/>
          <w:sz w:val="24"/>
          <w:szCs w:val="24"/>
        </w:rPr>
        <w:t xml:space="preserve">kadar </w:t>
      </w:r>
      <w:r w:rsidR="0033411A">
        <w:rPr>
          <w:rFonts w:ascii="Times New Roman" w:hAnsi="Times New Roman" w:cs="Times New Roman"/>
          <w:sz w:val="24"/>
          <w:szCs w:val="24"/>
        </w:rPr>
        <w:t>gerilemiştir. Ayrıca 2013 yılı itibariyle bir değerlendirme yapıldığında</w:t>
      </w:r>
      <w:r w:rsidR="0017570E">
        <w:rPr>
          <w:rFonts w:ascii="Times New Roman" w:hAnsi="Times New Roman" w:cs="Times New Roman"/>
          <w:sz w:val="24"/>
          <w:szCs w:val="24"/>
        </w:rPr>
        <w:t>,</w:t>
      </w:r>
      <w:r w:rsidR="0033411A">
        <w:rPr>
          <w:rFonts w:ascii="Times New Roman" w:hAnsi="Times New Roman" w:cs="Times New Roman"/>
          <w:sz w:val="24"/>
          <w:szCs w:val="24"/>
        </w:rPr>
        <w:t xml:space="preserve"> teknolojik değişim ve toplam f</w:t>
      </w:r>
      <w:r w:rsidR="0033411A" w:rsidRPr="00374FE6">
        <w:rPr>
          <w:rFonts w:ascii="Times New Roman" w:hAnsi="Times New Roman" w:cs="Times New Roman"/>
          <w:sz w:val="24"/>
          <w:szCs w:val="24"/>
        </w:rPr>
        <w:t xml:space="preserve">aktör </w:t>
      </w:r>
      <w:r w:rsidR="0033411A">
        <w:rPr>
          <w:rFonts w:ascii="Times New Roman" w:hAnsi="Times New Roman" w:cs="Times New Roman"/>
          <w:sz w:val="24"/>
          <w:szCs w:val="24"/>
        </w:rPr>
        <w:t>v</w:t>
      </w:r>
      <w:r w:rsidR="0033411A" w:rsidRPr="00374FE6">
        <w:rPr>
          <w:rFonts w:ascii="Times New Roman" w:hAnsi="Times New Roman" w:cs="Times New Roman"/>
          <w:sz w:val="24"/>
          <w:szCs w:val="24"/>
        </w:rPr>
        <w:t>erimliliğindeki değişimi artış yönünde</w:t>
      </w:r>
      <w:r w:rsidR="0033411A">
        <w:rPr>
          <w:rFonts w:ascii="Times New Roman" w:hAnsi="Times New Roman" w:cs="Times New Roman"/>
          <w:sz w:val="24"/>
          <w:szCs w:val="24"/>
        </w:rPr>
        <w:t xml:space="preserve"> olan banka</w:t>
      </w:r>
      <w:r w:rsidR="003D3375">
        <w:rPr>
          <w:rFonts w:ascii="Times New Roman" w:hAnsi="Times New Roman" w:cs="Times New Roman"/>
          <w:sz w:val="24"/>
          <w:szCs w:val="24"/>
        </w:rPr>
        <w:t xml:space="preserve"> sayısının</w:t>
      </w:r>
      <w:r w:rsidR="0033411A">
        <w:rPr>
          <w:rFonts w:ascii="Times New Roman" w:hAnsi="Times New Roman" w:cs="Times New Roman"/>
          <w:sz w:val="24"/>
          <w:szCs w:val="24"/>
        </w:rPr>
        <w:t xml:space="preserve"> 1 ve 3 sayıları </w:t>
      </w:r>
      <w:r w:rsidR="004658A8">
        <w:rPr>
          <w:rFonts w:ascii="Times New Roman" w:hAnsi="Times New Roman" w:cs="Times New Roman"/>
          <w:sz w:val="24"/>
          <w:szCs w:val="24"/>
        </w:rPr>
        <w:t>ile</w:t>
      </w:r>
      <w:r w:rsidR="0033411A">
        <w:rPr>
          <w:rFonts w:ascii="Times New Roman" w:hAnsi="Times New Roman" w:cs="Times New Roman"/>
          <w:sz w:val="24"/>
          <w:szCs w:val="24"/>
        </w:rPr>
        <w:t xml:space="preserve"> oldukça düşük seviyede kaldığı da belirlenmiştir. Bu sonuçlar toplam faktör verimliliğindeki azalışın temel nedeninin teknolojik değişimdeki azalma olduğuna işaret etmektedir.  </w:t>
      </w:r>
    </w:p>
    <w:p w:rsidR="0033411A" w:rsidRPr="00374FE6" w:rsidRDefault="0033411A" w:rsidP="00A0688A">
      <w:pPr>
        <w:spacing w:after="12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374FE6">
        <w:rPr>
          <w:rFonts w:ascii="Times New Roman" w:hAnsi="Times New Roman" w:cs="Times New Roman"/>
          <w:sz w:val="24"/>
          <w:szCs w:val="24"/>
        </w:rPr>
        <w:t xml:space="preserve"> </w:t>
      </w:r>
    </w:p>
    <w:p w:rsidR="003D3375" w:rsidRDefault="003D3375" w:rsidP="00A0688A">
      <w:pPr>
        <w:spacing w:after="120" w:line="240" w:lineRule="auto"/>
        <w:jc w:val="both"/>
        <w:rPr>
          <w:rFonts w:ascii="Times New Roman" w:hAnsi="Times New Roman" w:cs="Times New Roman"/>
          <w:b/>
          <w:sz w:val="24"/>
          <w:szCs w:val="24"/>
        </w:rPr>
      </w:pPr>
    </w:p>
    <w:p w:rsidR="003D3375" w:rsidRDefault="003D3375" w:rsidP="00A0688A">
      <w:pPr>
        <w:spacing w:after="120" w:line="240" w:lineRule="auto"/>
        <w:jc w:val="both"/>
        <w:rPr>
          <w:rFonts w:ascii="Times New Roman" w:hAnsi="Times New Roman" w:cs="Times New Roman"/>
          <w:b/>
          <w:sz w:val="24"/>
          <w:szCs w:val="24"/>
        </w:rPr>
      </w:pPr>
    </w:p>
    <w:p w:rsidR="003D3375" w:rsidRDefault="003D3375" w:rsidP="00A0688A">
      <w:pPr>
        <w:spacing w:after="120" w:line="240" w:lineRule="auto"/>
        <w:jc w:val="both"/>
        <w:rPr>
          <w:rFonts w:ascii="Times New Roman" w:hAnsi="Times New Roman" w:cs="Times New Roman"/>
          <w:b/>
          <w:sz w:val="24"/>
          <w:szCs w:val="24"/>
        </w:rPr>
      </w:pPr>
    </w:p>
    <w:p w:rsidR="003D3375" w:rsidRDefault="003D3375" w:rsidP="00A0688A">
      <w:pPr>
        <w:spacing w:after="120" w:line="240" w:lineRule="auto"/>
        <w:jc w:val="both"/>
        <w:rPr>
          <w:rFonts w:ascii="Times New Roman" w:hAnsi="Times New Roman" w:cs="Times New Roman"/>
          <w:b/>
          <w:sz w:val="24"/>
          <w:szCs w:val="24"/>
        </w:rPr>
      </w:pPr>
    </w:p>
    <w:p w:rsidR="003D3375" w:rsidRDefault="003D3375" w:rsidP="00A0688A">
      <w:pPr>
        <w:spacing w:after="120" w:line="240" w:lineRule="auto"/>
        <w:jc w:val="both"/>
        <w:rPr>
          <w:rFonts w:ascii="Times New Roman" w:hAnsi="Times New Roman" w:cs="Times New Roman"/>
          <w:b/>
          <w:sz w:val="24"/>
          <w:szCs w:val="24"/>
        </w:rPr>
      </w:pPr>
    </w:p>
    <w:p w:rsidR="003D3375" w:rsidRDefault="003D3375" w:rsidP="00A0688A">
      <w:pPr>
        <w:spacing w:after="120" w:line="240" w:lineRule="auto"/>
        <w:jc w:val="both"/>
        <w:rPr>
          <w:rFonts w:ascii="Times New Roman" w:hAnsi="Times New Roman" w:cs="Times New Roman"/>
          <w:b/>
          <w:sz w:val="24"/>
          <w:szCs w:val="24"/>
        </w:rPr>
      </w:pPr>
    </w:p>
    <w:p w:rsidR="003D3375" w:rsidRDefault="003D3375" w:rsidP="00A0688A">
      <w:pPr>
        <w:spacing w:after="120" w:line="240" w:lineRule="auto"/>
        <w:jc w:val="both"/>
        <w:rPr>
          <w:rFonts w:ascii="Times New Roman" w:hAnsi="Times New Roman" w:cs="Times New Roman"/>
          <w:b/>
          <w:sz w:val="24"/>
          <w:szCs w:val="24"/>
        </w:rPr>
      </w:pPr>
    </w:p>
    <w:p w:rsidR="003D3375" w:rsidRDefault="003D3375" w:rsidP="00A0688A">
      <w:pPr>
        <w:spacing w:after="120" w:line="240" w:lineRule="auto"/>
        <w:jc w:val="both"/>
        <w:rPr>
          <w:rFonts w:ascii="Times New Roman" w:hAnsi="Times New Roman" w:cs="Times New Roman"/>
          <w:b/>
          <w:sz w:val="24"/>
          <w:szCs w:val="24"/>
        </w:rPr>
      </w:pPr>
    </w:p>
    <w:p w:rsidR="003D3375" w:rsidRDefault="003D3375" w:rsidP="00A0688A">
      <w:pPr>
        <w:spacing w:after="120" w:line="240" w:lineRule="auto"/>
        <w:jc w:val="both"/>
        <w:rPr>
          <w:rFonts w:ascii="Times New Roman" w:hAnsi="Times New Roman" w:cs="Times New Roman"/>
          <w:b/>
          <w:sz w:val="24"/>
          <w:szCs w:val="24"/>
        </w:rPr>
      </w:pPr>
    </w:p>
    <w:p w:rsidR="003D3375" w:rsidRDefault="003D3375" w:rsidP="00A0688A">
      <w:pPr>
        <w:spacing w:after="120" w:line="240" w:lineRule="auto"/>
        <w:jc w:val="both"/>
        <w:rPr>
          <w:rFonts w:ascii="Times New Roman" w:hAnsi="Times New Roman" w:cs="Times New Roman"/>
          <w:b/>
          <w:sz w:val="24"/>
          <w:szCs w:val="24"/>
        </w:rPr>
      </w:pPr>
    </w:p>
    <w:p w:rsidR="003D3375" w:rsidRDefault="003D3375" w:rsidP="00A0688A">
      <w:pPr>
        <w:spacing w:after="120" w:line="240" w:lineRule="auto"/>
        <w:jc w:val="both"/>
        <w:rPr>
          <w:rFonts w:ascii="Times New Roman" w:hAnsi="Times New Roman" w:cs="Times New Roman"/>
          <w:b/>
          <w:sz w:val="24"/>
          <w:szCs w:val="24"/>
        </w:rPr>
      </w:pPr>
    </w:p>
    <w:p w:rsidR="003D3375" w:rsidRDefault="003D3375" w:rsidP="00A0688A">
      <w:pPr>
        <w:spacing w:after="120" w:line="240" w:lineRule="auto"/>
        <w:jc w:val="both"/>
        <w:rPr>
          <w:rFonts w:ascii="Times New Roman" w:hAnsi="Times New Roman" w:cs="Times New Roman"/>
          <w:b/>
          <w:sz w:val="24"/>
          <w:szCs w:val="24"/>
        </w:rPr>
      </w:pPr>
    </w:p>
    <w:p w:rsidR="003D3375" w:rsidRDefault="003D3375" w:rsidP="00A0688A">
      <w:pPr>
        <w:spacing w:after="120" w:line="240" w:lineRule="auto"/>
        <w:jc w:val="both"/>
        <w:rPr>
          <w:rFonts w:ascii="Times New Roman" w:hAnsi="Times New Roman" w:cs="Times New Roman"/>
          <w:b/>
          <w:sz w:val="24"/>
          <w:szCs w:val="24"/>
        </w:rPr>
      </w:pPr>
    </w:p>
    <w:p w:rsidR="003D3375" w:rsidRDefault="003D3375" w:rsidP="00A0688A">
      <w:pPr>
        <w:spacing w:after="120" w:line="240" w:lineRule="auto"/>
        <w:jc w:val="both"/>
        <w:rPr>
          <w:rFonts w:ascii="Times New Roman" w:hAnsi="Times New Roman" w:cs="Times New Roman"/>
          <w:b/>
          <w:sz w:val="24"/>
          <w:szCs w:val="24"/>
        </w:rPr>
      </w:pPr>
    </w:p>
    <w:p w:rsidR="003D3375" w:rsidRDefault="003D3375" w:rsidP="00A0688A">
      <w:pPr>
        <w:spacing w:after="120" w:line="240" w:lineRule="auto"/>
        <w:jc w:val="both"/>
        <w:rPr>
          <w:rFonts w:ascii="Times New Roman" w:hAnsi="Times New Roman" w:cs="Times New Roman"/>
          <w:b/>
          <w:sz w:val="24"/>
          <w:szCs w:val="24"/>
        </w:rPr>
      </w:pPr>
    </w:p>
    <w:p w:rsidR="00141476" w:rsidRPr="000149B9" w:rsidRDefault="000149B9" w:rsidP="00A0688A">
      <w:pPr>
        <w:spacing w:after="120" w:line="240" w:lineRule="auto"/>
        <w:jc w:val="both"/>
        <w:rPr>
          <w:rFonts w:ascii="Times New Roman" w:hAnsi="Times New Roman" w:cs="Times New Roman"/>
          <w:b/>
          <w:sz w:val="24"/>
          <w:szCs w:val="24"/>
        </w:rPr>
      </w:pPr>
      <w:r w:rsidRPr="000149B9">
        <w:rPr>
          <w:rFonts w:ascii="Times New Roman" w:hAnsi="Times New Roman" w:cs="Times New Roman"/>
          <w:b/>
          <w:sz w:val="24"/>
          <w:szCs w:val="24"/>
        </w:rPr>
        <w:t>KAYNAKÇA</w:t>
      </w:r>
    </w:p>
    <w:p w:rsidR="000149B9" w:rsidRPr="001164FA" w:rsidRDefault="000149B9" w:rsidP="009D0EB4">
      <w:pPr>
        <w:pStyle w:val="Default"/>
        <w:numPr>
          <w:ilvl w:val="0"/>
          <w:numId w:val="9"/>
        </w:numPr>
        <w:spacing w:after="120"/>
        <w:jc w:val="both"/>
      </w:pPr>
      <w:r>
        <w:t xml:space="preserve">AKYÜZ, Y., F. YILDIZ, ve Z. KAYA, (2013), </w:t>
      </w:r>
      <w:r w:rsidR="00D35CD5">
        <w:rPr>
          <w:b/>
        </w:rPr>
        <w:t>Veri Zarflama Analizi (VZA) v</w:t>
      </w:r>
      <w:r w:rsidRPr="000149B9">
        <w:rPr>
          <w:b/>
        </w:rPr>
        <w:t>e Malmquist Endeksi İle Toplam Faktör Verimlilik Ölçümü: BİST’te İşlem Gören Mevduat Bankaları Üzerine Bir Uygulama</w:t>
      </w:r>
      <w:r w:rsidRPr="001164FA">
        <w:t>,  Atatürk Üniversitesi İktisadi ve İdari Bilimler Dergisi, Cilt: 27,Sayı:4, 110-130</w:t>
      </w:r>
      <w:r w:rsidR="004658A8">
        <w:t>.</w:t>
      </w:r>
    </w:p>
    <w:p w:rsidR="000149B9" w:rsidRDefault="000149B9" w:rsidP="009D0EB4">
      <w:pPr>
        <w:pStyle w:val="Default"/>
        <w:numPr>
          <w:ilvl w:val="0"/>
          <w:numId w:val="9"/>
        </w:numPr>
        <w:spacing w:after="120"/>
        <w:jc w:val="both"/>
      </w:pPr>
      <w:r>
        <w:t xml:space="preserve">BAL, H. ve A. GÖLCÜKCÜ, (2002), </w:t>
      </w:r>
      <w:r w:rsidRPr="000149B9">
        <w:rPr>
          <w:b/>
        </w:rPr>
        <w:t>Data Envelopment Analysis: An Application to Turkish Banking Industry</w:t>
      </w:r>
      <w:r>
        <w:t>, Mathematical and Computational Applications, 7, 65-72.</w:t>
      </w:r>
    </w:p>
    <w:p w:rsidR="00500F7C" w:rsidRPr="00043BF2" w:rsidRDefault="00500F7C" w:rsidP="009D0EB4">
      <w:pPr>
        <w:pStyle w:val="Default"/>
        <w:numPr>
          <w:ilvl w:val="0"/>
          <w:numId w:val="9"/>
        </w:numPr>
        <w:spacing w:after="120"/>
        <w:jc w:val="both"/>
      </w:pPr>
      <w:r w:rsidRPr="00043BF2">
        <w:t>BANKER</w:t>
      </w:r>
      <w:r>
        <w:t>, R.</w:t>
      </w:r>
      <w:r w:rsidR="004E0BB1">
        <w:t xml:space="preserve"> </w:t>
      </w:r>
      <w:r>
        <w:t>D.,</w:t>
      </w:r>
      <w:r w:rsidR="004E0BB1">
        <w:t xml:space="preserve"> </w:t>
      </w:r>
      <w:r>
        <w:t>A. Charnes ve W. W.</w:t>
      </w:r>
      <w:r w:rsidRPr="00043BF2">
        <w:t xml:space="preserve"> </w:t>
      </w:r>
      <w:r w:rsidR="004E0BB1" w:rsidRPr="00043BF2">
        <w:t>COOPER</w:t>
      </w:r>
      <w:r w:rsidRPr="00043BF2">
        <w:t>, (1984)</w:t>
      </w:r>
      <w:r>
        <w:t>,</w:t>
      </w:r>
      <w:r w:rsidRPr="00043BF2">
        <w:t xml:space="preserve"> </w:t>
      </w:r>
      <w:r w:rsidRPr="00500F7C">
        <w:rPr>
          <w:b/>
        </w:rPr>
        <w:t>Some Models for Estimating Technical and Scale Inefficiencies in Data Envelopment Analysis</w:t>
      </w:r>
      <w:r>
        <w:t>,</w:t>
      </w:r>
      <w:r w:rsidRPr="00043BF2">
        <w:t xml:space="preserve"> Management Science, vol. 30, 1078-1092.</w:t>
      </w:r>
    </w:p>
    <w:p w:rsidR="00500F7C" w:rsidRDefault="00500F7C" w:rsidP="009D0EB4">
      <w:pPr>
        <w:pStyle w:val="Default"/>
        <w:numPr>
          <w:ilvl w:val="0"/>
          <w:numId w:val="9"/>
        </w:numPr>
        <w:spacing w:after="120"/>
        <w:jc w:val="both"/>
      </w:pPr>
      <w:r>
        <w:t xml:space="preserve">BASTI, E., (2006), </w:t>
      </w:r>
      <w:r w:rsidRPr="00500F7C">
        <w:rPr>
          <w:b/>
        </w:rPr>
        <w:t>2001 Finansal Krizi</w:t>
      </w:r>
      <w:r w:rsidR="00D35CD5">
        <w:rPr>
          <w:b/>
        </w:rPr>
        <w:t>’</w:t>
      </w:r>
      <w:r w:rsidRPr="00500F7C">
        <w:rPr>
          <w:b/>
        </w:rPr>
        <w:t>nin Türkiye Ticari Bankacılık Sektörünün Toplam Faktör Verimliliğine Etkileri</w:t>
      </w:r>
      <w:r>
        <w:t>, İktisat, İşletme ve Finans, 63-80.</w:t>
      </w:r>
    </w:p>
    <w:p w:rsidR="000149B9" w:rsidRDefault="000149B9" w:rsidP="009D0EB4">
      <w:pPr>
        <w:pStyle w:val="ListeParagraf"/>
        <w:numPr>
          <w:ilvl w:val="0"/>
          <w:numId w:val="9"/>
        </w:numPr>
        <w:autoSpaceDE w:val="0"/>
        <w:autoSpaceDN w:val="0"/>
        <w:adjustRightInd w:val="0"/>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BEHDİOĞLU, S. ve G. ÖZCAN, (2009), </w:t>
      </w:r>
      <w:r w:rsidRPr="009D0EB4">
        <w:rPr>
          <w:rFonts w:ascii="Times New Roman" w:hAnsi="Times New Roman" w:cs="Times New Roman"/>
          <w:b/>
          <w:color w:val="000000"/>
          <w:sz w:val="24"/>
          <w:szCs w:val="24"/>
        </w:rPr>
        <w:t xml:space="preserve">Veri </w:t>
      </w:r>
      <w:r w:rsidR="00787C40" w:rsidRPr="009D0EB4">
        <w:rPr>
          <w:rFonts w:ascii="Times New Roman" w:hAnsi="Times New Roman" w:cs="Times New Roman"/>
          <w:b/>
          <w:color w:val="000000"/>
          <w:sz w:val="24"/>
          <w:szCs w:val="24"/>
        </w:rPr>
        <w:t>Zarflama Analizi ve Bankacılık Sektöründe Bir Uygulama</w:t>
      </w:r>
      <w:r w:rsidR="00787C40" w:rsidRPr="009D0EB4">
        <w:rPr>
          <w:rFonts w:ascii="Times New Roman" w:hAnsi="Times New Roman" w:cs="Times New Roman"/>
          <w:color w:val="000000"/>
          <w:sz w:val="24"/>
          <w:szCs w:val="24"/>
        </w:rPr>
        <w:t>,</w:t>
      </w:r>
      <w:r w:rsidRPr="009D0EB4">
        <w:rPr>
          <w:rFonts w:ascii="Times New Roman" w:hAnsi="Times New Roman" w:cs="Times New Roman"/>
          <w:color w:val="000000"/>
          <w:sz w:val="24"/>
          <w:szCs w:val="24"/>
        </w:rPr>
        <w:t xml:space="preserve"> Süleyman Demirel Üniversitesi, İktisadi ve İdari Bilimler Fakültesi Dergisi, 14, 301-326.</w:t>
      </w:r>
    </w:p>
    <w:p w:rsidR="009D0EB4" w:rsidRPr="009D0EB4" w:rsidRDefault="009D0EB4" w:rsidP="009D0EB4">
      <w:pPr>
        <w:pStyle w:val="ListeParagraf"/>
        <w:autoSpaceDE w:val="0"/>
        <w:autoSpaceDN w:val="0"/>
        <w:adjustRightInd w:val="0"/>
        <w:spacing w:after="120" w:line="240" w:lineRule="auto"/>
        <w:jc w:val="both"/>
        <w:rPr>
          <w:rFonts w:ascii="Times New Roman" w:hAnsi="Times New Roman" w:cs="Times New Roman"/>
          <w:color w:val="000000"/>
          <w:sz w:val="24"/>
          <w:szCs w:val="24"/>
        </w:rPr>
      </w:pPr>
    </w:p>
    <w:p w:rsidR="000149B9" w:rsidRDefault="00787C40" w:rsidP="009D0EB4">
      <w:pPr>
        <w:pStyle w:val="ListeParagraf"/>
        <w:numPr>
          <w:ilvl w:val="0"/>
          <w:numId w:val="9"/>
        </w:numPr>
        <w:autoSpaceDE w:val="0"/>
        <w:autoSpaceDN w:val="0"/>
        <w:adjustRightInd w:val="0"/>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BEKTAŞ</w:t>
      </w:r>
      <w:r w:rsidR="000149B9" w:rsidRPr="009D0EB4">
        <w:rPr>
          <w:rFonts w:ascii="Times New Roman" w:hAnsi="Times New Roman" w:cs="Times New Roman"/>
          <w:color w:val="000000"/>
          <w:sz w:val="24"/>
          <w:szCs w:val="24"/>
        </w:rPr>
        <w:t>, H.</w:t>
      </w:r>
      <w:r w:rsidRPr="009D0EB4">
        <w:rPr>
          <w:rFonts w:ascii="Times New Roman" w:hAnsi="Times New Roman" w:cs="Times New Roman"/>
          <w:color w:val="000000"/>
          <w:sz w:val="24"/>
          <w:szCs w:val="24"/>
        </w:rPr>
        <w:t>, (2013),</w:t>
      </w:r>
      <w:r w:rsidR="000149B9" w:rsidRPr="009D0EB4">
        <w:rPr>
          <w:rFonts w:ascii="Times New Roman" w:hAnsi="Times New Roman" w:cs="Times New Roman"/>
          <w:color w:val="000000"/>
          <w:sz w:val="24"/>
          <w:szCs w:val="24"/>
        </w:rPr>
        <w:t xml:space="preserve"> </w:t>
      </w:r>
      <w:r w:rsidR="00424419" w:rsidRPr="009D0EB4">
        <w:rPr>
          <w:rFonts w:ascii="Times New Roman" w:hAnsi="Times New Roman" w:cs="Times New Roman"/>
          <w:b/>
          <w:color w:val="000000"/>
          <w:sz w:val="24"/>
          <w:szCs w:val="24"/>
        </w:rPr>
        <w:t>Türk Bankacılık S</w:t>
      </w:r>
      <w:r w:rsidR="00086B94" w:rsidRPr="009D0EB4">
        <w:rPr>
          <w:rFonts w:ascii="Times New Roman" w:hAnsi="Times New Roman" w:cs="Times New Roman"/>
          <w:b/>
          <w:color w:val="000000"/>
          <w:sz w:val="24"/>
          <w:szCs w:val="24"/>
        </w:rPr>
        <w:t>ektörü</w:t>
      </w:r>
      <w:r w:rsidRPr="009D0EB4">
        <w:rPr>
          <w:rFonts w:ascii="Times New Roman" w:hAnsi="Times New Roman" w:cs="Times New Roman"/>
          <w:b/>
          <w:color w:val="000000"/>
          <w:sz w:val="24"/>
          <w:szCs w:val="24"/>
        </w:rPr>
        <w:t>nde Etkinlik Analizi</w:t>
      </w:r>
      <w:r w:rsidRPr="009D0EB4">
        <w:rPr>
          <w:rFonts w:ascii="Times New Roman" w:hAnsi="Times New Roman" w:cs="Times New Roman"/>
          <w:color w:val="000000"/>
          <w:sz w:val="24"/>
          <w:szCs w:val="24"/>
        </w:rPr>
        <w:t>,</w:t>
      </w:r>
      <w:r w:rsidR="000149B9" w:rsidRPr="009D0EB4">
        <w:rPr>
          <w:rFonts w:ascii="Times New Roman" w:hAnsi="Times New Roman" w:cs="Times New Roman"/>
          <w:color w:val="000000"/>
          <w:sz w:val="24"/>
          <w:szCs w:val="24"/>
        </w:rPr>
        <w:t xml:space="preserve"> Sosyoekonomi, 1, 278-294.</w:t>
      </w:r>
    </w:p>
    <w:p w:rsidR="009D0EB4" w:rsidRPr="009D0EB4" w:rsidRDefault="009D0EB4" w:rsidP="009D0EB4">
      <w:pPr>
        <w:pStyle w:val="ListeParagraf"/>
        <w:rPr>
          <w:rFonts w:ascii="Times New Roman" w:hAnsi="Times New Roman" w:cs="Times New Roman"/>
          <w:color w:val="000000"/>
          <w:sz w:val="24"/>
          <w:szCs w:val="24"/>
        </w:rPr>
      </w:pPr>
    </w:p>
    <w:p w:rsidR="00500F7C" w:rsidRDefault="00500F7C" w:rsidP="009D0EB4">
      <w:pPr>
        <w:pStyle w:val="ListeParagraf"/>
        <w:numPr>
          <w:ilvl w:val="0"/>
          <w:numId w:val="9"/>
        </w:numPr>
        <w:autoSpaceDE w:val="0"/>
        <w:autoSpaceDN w:val="0"/>
        <w:adjustRightInd w:val="0"/>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BERGER, A ve D. </w:t>
      </w:r>
      <w:r w:rsidR="008704E0" w:rsidRPr="009D0EB4">
        <w:rPr>
          <w:rFonts w:ascii="Times New Roman" w:hAnsi="Times New Roman" w:cs="Times New Roman"/>
          <w:color w:val="000000"/>
          <w:sz w:val="24"/>
          <w:szCs w:val="24"/>
        </w:rPr>
        <w:t>HUMPHREY</w:t>
      </w:r>
      <w:r w:rsidRPr="009D0EB4">
        <w:rPr>
          <w:rFonts w:ascii="Times New Roman" w:hAnsi="Times New Roman" w:cs="Times New Roman"/>
          <w:color w:val="000000"/>
          <w:sz w:val="24"/>
          <w:szCs w:val="24"/>
        </w:rPr>
        <w:t xml:space="preserve">, (1997), </w:t>
      </w:r>
      <w:r w:rsidRPr="009D0EB4">
        <w:rPr>
          <w:rFonts w:ascii="Times New Roman" w:hAnsi="Times New Roman" w:cs="Times New Roman"/>
          <w:b/>
          <w:color w:val="000000"/>
          <w:sz w:val="24"/>
          <w:szCs w:val="24"/>
        </w:rPr>
        <w:t>Efficiency of Financial Institutions: International Survey and Directions for Future Research</w:t>
      </w:r>
      <w:r w:rsidRPr="009D0EB4">
        <w:rPr>
          <w:rFonts w:ascii="Times New Roman" w:hAnsi="Times New Roman" w:cs="Times New Roman"/>
          <w:color w:val="000000"/>
          <w:sz w:val="24"/>
          <w:szCs w:val="24"/>
        </w:rPr>
        <w:t>, European Journal of Operational Research, Vol 98.</w:t>
      </w:r>
    </w:p>
    <w:p w:rsidR="009D0EB4" w:rsidRPr="009D0EB4" w:rsidRDefault="009D0EB4" w:rsidP="009D0EB4">
      <w:pPr>
        <w:pStyle w:val="ListeParagraf"/>
        <w:rPr>
          <w:rFonts w:ascii="Times New Roman" w:hAnsi="Times New Roman" w:cs="Times New Roman"/>
          <w:color w:val="000000"/>
          <w:sz w:val="24"/>
          <w:szCs w:val="24"/>
        </w:rPr>
      </w:pPr>
    </w:p>
    <w:p w:rsidR="00500F7C" w:rsidRDefault="00500F7C" w:rsidP="009D0EB4">
      <w:pPr>
        <w:pStyle w:val="ListeParagraf"/>
        <w:numPr>
          <w:ilvl w:val="0"/>
          <w:numId w:val="9"/>
        </w:numPr>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BUDAK, H., (2011), </w:t>
      </w:r>
      <w:r w:rsidR="00BB0C0E" w:rsidRPr="009D0EB4">
        <w:rPr>
          <w:rFonts w:ascii="Times New Roman" w:hAnsi="Times New Roman" w:cs="Times New Roman"/>
          <w:b/>
          <w:color w:val="000000"/>
          <w:sz w:val="24"/>
          <w:szCs w:val="24"/>
        </w:rPr>
        <w:t>Veri Zarflama Analizi v</w:t>
      </w:r>
      <w:r w:rsidRPr="009D0EB4">
        <w:rPr>
          <w:rFonts w:ascii="Times New Roman" w:hAnsi="Times New Roman" w:cs="Times New Roman"/>
          <w:b/>
          <w:color w:val="000000"/>
          <w:sz w:val="24"/>
          <w:szCs w:val="24"/>
        </w:rPr>
        <w:t xml:space="preserve">e </w:t>
      </w:r>
      <w:r w:rsidR="00BB0C0E" w:rsidRPr="009D0EB4">
        <w:rPr>
          <w:rFonts w:ascii="Times New Roman" w:hAnsi="Times New Roman" w:cs="Times New Roman"/>
          <w:b/>
          <w:color w:val="000000"/>
          <w:sz w:val="24"/>
          <w:szCs w:val="24"/>
        </w:rPr>
        <w:t>Türk Bankacılık S</w:t>
      </w:r>
      <w:r w:rsidR="00086B94" w:rsidRPr="009D0EB4">
        <w:rPr>
          <w:rFonts w:ascii="Times New Roman" w:hAnsi="Times New Roman" w:cs="Times New Roman"/>
          <w:b/>
          <w:color w:val="000000"/>
          <w:sz w:val="24"/>
          <w:szCs w:val="24"/>
        </w:rPr>
        <w:t>ektörü</w:t>
      </w:r>
      <w:r w:rsidRPr="009D0EB4">
        <w:rPr>
          <w:rFonts w:ascii="Times New Roman" w:hAnsi="Times New Roman" w:cs="Times New Roman"/>
          <w:b/>
          <w:color w:val="000000"/>
          <w:sz w:val="24"/>
          <w:szCs w:val="24"/>
        </w:rPr>
        <w:t>nde Uygulaması</w:t>
      </w:r>
      <w:r w:rsidRPr="009D0EB4">
        <w:rPr>
          <w:rFonts w:ascii="Times New Roman" w:hAnsi="Times New Roman" w:cs="Times New Roman"/>
          <w:color w:val="000000"/>
          <w:sz w:val="24"/>
          <w:szCs w:val="24"/>
        </w:rPr>
        <w:t>, Marmara Üniversitesi Fen Bilimleri Dergisi, 23, 95-110.</w:t>
      </w:r>
    </w:p>
    <w:p w:rsidR="009D0EB4" w:rsidRPr="009D0EB4" w:rsidRDefault="009D0EB4" w:rsidP="009D0EB4">
      <w:pPr>
        <w:pStyle w:val="ListeParagraf"/>
        <w:spacing w:after="120" w:line="240" w:lineRule="auto"/>
        <w:jc w:val="both"/>
        <w:rPr>
          <w:rFonts w:ascii="Times New Roman" w:hAnsi="Times New Roman" w:cs="Times New Roman"/>
          <w:color w:val="000000"/>
          <w:sz w:val="24"/>
          <w:szCs w:val="24"/>
        </w:rPr>
      </w:pPr>
    </w:p>
    <w:p w:rsidR="00500F7C" w:rsidRDefault="00500F7C" w:rsidP="009D0EB4">
      <w:pPr>
        <w:pStyle w:val="ListeParagraf"/>
        <w:numPr>
          <w:ilvl w:val="0"/>
          <w:numId w:val="9"/>
        </w:numPr>
        <w:autoSpaceDE w:val="0"/>
        <w:autoSpaceDN w:val="0"/>
        <w:adjustRightInd w:val="0"/>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BOUSSOFIANE, A., R. DYSON ve E. </w:t>
      </w:r>
      <w:r w:rsidR="004E0BB1">
        <w:rPr>
          <w:rFonts w:ascii="Times New Roman" w:hAnsi="Times New Roman" w:cs="Times New Roman"/>
          <w:color w:val="000000"/>
          <w:sz w:val="24"/>
          <w:szCs w:val="24"/>
        </w:rPr>
        <w:t>RHODES, (</w:t>
      </w:r>
      <w:r w:rsidRPr="009D0EB4">
        <w:rPr>
          <w:rFonts w:ascii="Times New Roman" w:hAnsi="Times New Roman" w:cs="Times New Roman"/>
          <w:color w:val="000000"/>
          <w:sz w:val="24"/>
          <w:szCs w:val="24"/>
        </w:rPr>
        <w:t xml:space="preserve">1991), </w:t>
      </w:r>
      <w:r w:rsidRPr="009D0EB4">
        <w:rPr>
          <w:rFonts w:ascii="Times New Roman" w:hAnsi="Times New Roman" w:cs="Times New Roman"/>
          <w:b/>
          <w:color w:val="000000"/>
          <w:sz w:val="24"/>
          <w:szCs w:val="24"/>
        </w:rPr>
        <w:t>Applied Data Envolopment Analysis</w:t>
      </w:r>
      <w:r w:rsidRPr="009D0EB4">
        <w:rPr>
          <w:rFonts w:ascii="Times New Roman" w:hAnsi="Times New Roman" w:cs="Times New Roman"/>
          <w:color w:val="000000"/>
          <w:sz w:val="24"/>
          <w:szCs w:val="24"/>
        </w:rPr>
        <w:t>, European Journal of Operational Research, Vol. 2, No. 6, 1–15.</w:t>
      </w:r>
    </w:p>
    <w:p w:rsidR="009D0EB4" w:rsidRPr="009D0EB4" w:rsidRDefault="009D0EB4" w:rsidP="009D0EB4">
      <w:pPr>
        <w:pStyle w:val="ListeParagraf"/>
        <w:autoSpaceDE w:val="0"/>
        <w:autoSpaceDN w:val="0"/>
        <w:adjustRightInd w:val="0"/>
        <w:spacing w:after="120" w:line="240" w:lineRule="auto"/>
        <w:jc w:val="both"/>
        <w:rPr>
          <w:rFonts w:ascii="Times New Roman" w:hAnsi="Times New Roman" w:cs="Times New Roman"/>
          <w:color w:val="000000"/>
          <w:sz w:val="24"/>
          <w:szCs w:val="24"/>
        </w:rPr>
      </w:pPr>
    </w:p>
    <w:p w:rsidR="000527F1" w:rsidRDefault="008704E0" w:rsidP="009D0EB4">
      <w:pPr>
        <w:pStyle w:val="ListeParagraf"/>
        <w:numPr>
          <w:ilvl w:val="0"/>
          <w:numId w:val="9"/>
        </w:numPr>
        <w:autoSpaceDE w:val="0"/>
        <w:autoSpaceDN w:val="0"/>
        <w:adjustRightInd w:val="0"/>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CHARNES</w:t>
      </w:r>
      <w:r w:rsidR="000527F1" w:rsidRPr="009D0EB4">
        <w:rPr>
          <w:rFonts w:ascii="Times New Roman" w:hAnsi="Times New Roman" w:cs="Times New Roman"/>
          <w:color w:val="000000"/>
          <w:sz w:val="24"/>
          <w:szCs w:val="24"/>
        </w:rPr>
        <w:t xml:space="preserve">, A., </w:t>
      </w:r>
      <w:r w:rsidRPr="009D0EB4">
        <w:rPr>
          <w:rFonts w:ascii="Times New Roman" w:hAnsi="Times New Roman" w:cs="Times New Roman"/>
          <w:color w:val="000000"/>
          <w:sz w:val="24"/>
          <w:szCs w:val="24"/>
        </w:rPr>
        <w:t>W. W. COOPER</w:t>
      </w:r>
      <w:r w:rsidR="000527F1" w:rsidRPr="009D0EB4">
        <w:rPr>
          <w:rFonts w:ascii="Times New Roman" w:hAnsi="Times New Roman" w:cs="Times New Roman"/>
          <w:color w:val="000000"/>
          <w:sz w:val="24"/>
          <w:szCs w:val="24"/>
        </w:rPr>
        <w:t xml:space="preserve"> </w:t>
      </w:r>
      <w:r w:rsidRPr="009D0EB4">
        <w:rPr>
          <w:rFonts w:ascii="Times New Roman" w:hAnsi="Times New Roman" w:cs="Times New Roman"/>
          <w:color w:val="000000"/>
          <w:sz w:val="24"/>
          <w:szCs w:val="24"/>
        </w:rPr>
        <w:t>ve E. RHODES</w:t>
      </w:r>
      <w:r w:rsidR="000527F1" w:rsidRPr="009D0EB4">
        <w:rPr>
          <w:rFonts w:ascii="Times New Roman" w:hAnsi="Times New Roman" w:cs="Times New Roman"/>
          <w:color w:val="000000"/>
          <w:sz w:val="24"/>
          <w:szCs w:val="24"/>
        </w:rPr>
        <w:t>, (1978)</w:t>
      </w:r>
      <w:r w:rsidRPr="009D0EB4">
        <w:rPr>
          <w:rFonts w:ascii="Times New Roman" w:hAnsi="Times New Roman" w:cs="Times New Roman"/>
          <w:color w:val="000000"/>
          <w:sz w:val="24"/>
          <w:szCs w:val="24"/>
        </w:rPr>
        <w:t>,</w:t>
      </w:r>
      <w:r w:rsidR="000527F1" w:rsidRPr="009D0EB4">
        <w:rPr>
          <w:rFonts w:ascii="Times New Roman" w:hAnsi="Times New Roman" w:cs="Times New Roman"/>
          <w:color w:val="000000"/>
          <w:sz w:val="24"/>
          <w:szCs w:val="24"/>
        </w:rPr>
        <w:t xml:space="preserve"> </w:t>
      </w:r>
      <w:r w:rsidR="000527F1" w:rsidRPr="009D0EB4">
        <w:rPr>
          <w:rFonts w:ascii="Times New Roman" w:hAnsi="Times New Roman" w:cs="Times New Roman"/>
          <w:b/>
          <w:color w:val="000000"/>
          <w:sz w:val="24"/>
          <w:szCs w:val="24"/>
        </w:rPr>
        <w:t>Measuring the Efficiency of Decision Making Units</w:t>
      </w:r>
      <w:r w:rsidR="000527F1" w:rsidRPr="009D0EB4">
        <w:rPr>
          <w:rFonts w:ascii="Times New Roman" w:hAnsi="Times New Roman" w:cs="Times New Roman"/>
          <w:color w:val="000000"/>
          <w:sz w:val="24"/>
          <w:szCs w:val="24"/>
        </w:rPr>
        <w:t>,  European Journal of Operational Research, vol. 2, 429-444.</w:t>
      </w:r>
    </w:p>
    <w:p w:rsidR="009D0EB4" w:rsidRPr="009D0EB4" w:rsidRDefault="009D0EB4" w:rsidP="009D0EB4">
      <w:pPr>
        <w:pStyle w:val="ListeParagraf"/>
        <w:rPr>
          <w:rFonts w:ascii="Times New Roman" w:hAnsi="Times New Roman" w:cs="Times New Roman"/>
          <w:color w:val="000000"/>
          <w:sz w:val="24"/>
          <w:szCs w:val="24"/>
        </w:rPr>
      </w:pPr>
    </w:p>
    <w:p w:rsidR="000527F1" w:rsidRDefault="008704E0" w:rsidP="009D0EB4">
      <w:pPr>
        <w:pStyle w:val="ListeParagraf"/>
        <w:numPr>
          <w:ilvl w:val="0"/>
          <w:numId w:val="9"/>
        </w:numPr>
        <w:autoSpaceDE w:val="0"/>
        <w:autoSpaceDN w:val="0"/>
        <w:adjustRightInd w:val="0"/>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CİNGİ</w:t>
      </w:r>
      <w:r w:rsidR="000527F1" w:rsidRPr="009D0EB4">
        <w:rPr>
          <w:rFonts w:ascii="Times New Roman" w:hAnsi="Times New Roman" w:cs="Times New Roman"/>
          <w:color w:val="000000"/>
          <w:sz w:val="24"/>
          <w:szCs w:val="24"/>
        </w:rPr>
        <w:t xml:space="preserve">, S. </w:t>
      </w:r>
      <w:r w:rsidR="00516F5F">
        <w:rPr>
          <w:rFonts w:ascii="Times New Roman" w:hAnsi="Times New Roman" w:cs="Times New Roman"/>
          <w:color w:val="000000"/>
          <w:sz w:val="24"/>
          <w:szCs w:val="24"/>
        </w:rPr>
        <w:t>v</w:t>
      </w:r>
      <w:r w:rsidR="000527F1" w:rsidRPr="009D0EB4">
        <w:rPr>
          <w:rFonts w:ascii="Times New Roman" w:hAnsi="Times New Roman" w:cs="Times New Roman"/>
          <w:color w:val="000000"/>
          <w:sz w:val="24"/>
          <w:szCs w:val="24"/>
        </w:rPr>
        <w:t>e</w:t>
      </w:r>
      <w:r w:rsidRPr="009D0EB4">
        <w:rPr>
          <w:rFonts w:ascii="Times New Roman" w:hAnsi="Times New Roman" w:cs="Times New Roman"/>
          <w:color w:val="000000"/>
          <w:sz w:val="24"/>
          <w:szCs w:val="24"/>
        </w:rPr>
        <w:t xml:space="preserve"> A.</w:t>
      </w:r>
      <w:r w:rsidR="000527F1" w:rsidRPr="009D0EB4">
        <w:rPr>
          <w:rFonts w:ascii="Times New Roman" w:hAnsi="Times New Roman" w:cs="Times New Roman"/>
          <w:color w:val="000000"/>
          <w:sz w:val="24"/>
          <w:szCs w:val="24"/>
        </w:rPr>
        <w:t xml:space="preserve"> </w:t>
      </w:r>
      <w:r w:rsidRPr="009D0EB4">
        <w:rPr>
          <w:rFonts w:ascii="Times New Roman" w:hAnsi="Times New Roman" w:cs="Times New Roman"/>
          <w:color w:val="000000"/>
          <w:sz w:val="24"/>
          <w:szCs w:val="24"/>
        </w:rPr>
        <w:t>TARIM</w:t>
      </w:r>
      <w:r w:rsidR="000527F1" w:rsidRPr="009D0EB4">
        <w:rPr>
          <w:rFonts w:ascii="Times New Roman" w:hAnsi="Times New Roman" w:cs="Times New Roman"/>
          <w:color w:val="000000"/>
          <w:sz w:val="24"/>
          <w:szCs w:val="24"/>
        </w:rPr>
        <w:t>, (2000)</w:t>
      </w:r>
      <w:r w:rsidRPr="009D0EB4">
        <w:rPr>
          <w:rFonts w:ascii="Times New Roman" w:hAnsi="Times New Roman" w:cs="Times New Roman"/>
          <w:color w:val="000000"/>
          <w:sz w:val="24"/>
          <w:szCs w:val="24"/>
        </w:rPr>
        <w:t>,</w:t>
      </w:r>
      <w:r w:rsidR="000527F1" w:rsidRPr="009D0EB4">
        <w:rPr>
          <w:rFonts w:ascii="Times New Roman" w:hAnsi="Times New Roman" w:cs="Times New Roman"/>
          <w:color w:val="000000"/>
          <w:sz w:val="24"/>
          <w:szCs w:val="24"/>
        </w:rPr>
        <w:t xml:space="preserve"> </w:t>
      </w:r>
      <w:r w:rsidR="000527F1" w:rsidRPr="009D0EB4">
        <w:rPr>
          <w:rFonts w:ascii="Times New Roman" w:hAnsi="Times New Roman" w:cs="Times New Roman"/>
          <w:b/>
          <w:color w:val="000000"/>
          <w:sz w:val="24"/>
          <w:szCs w:val="24"/>
        </w:rPr>
        <w:t>Türk Banka Sisteminde Performans Ölçümü DEA-Malmquist</w:t>
      </w:r>
      <w:r w:rsidRPr="009D0EB4">
        <w:rPr>
          <w:rFonts w:ascii="Times New Roman" w:hAnsi="Times New Roman" w:cs="Times New Roman"/>
          <w:b/>
          <w:color w:val="000000"/>
          <w:sz w:val="24"/>
          <w:szCs w:val="24"/>
        </w:rPr>
        <w:t xml:space="preserve"> </w:t>
      </w:r>
      <w:r w:rsidR="000527F1" w:rsidRPr="009D0EB4">
        <w:rPr>
          <w:rFonts w:ascii="Times New Roman" w:hAnsi="Times New Roman" w:cs="Times New Roman"/>
          <w:b/>
          <w:color w:val="000000"/>
          <w:sz w:val="24"/>
          <w:szCs w:val="24"/>
        </w:rPr>
        <w:t>TFP Endeksi Uygulaması</w:t>
      </w:r>
      <w:r w:rsidR="000527F1" w:rsidRPr="009D0EB4">
        <w:rPr>
          <w:rFonts w:ascii="Times New Roman" w:hAnsi="Times New Roman" w:cs="Times New Roman"/>
          <w:color w:val="000000"/>
          <w:sz w:val="24"/>
          <w:szCs w:val="24"/>
        </w:rPr>
        <w:t>, TBB, Araştırma Tebliğleri Dizisi, Sayı: 2000-01.</w:t>
      </w:r>
    </w:p>
    <w:p w:rsidR="009D0EB4" w:rsidRPr="009D0EB4" w:rsidRDefault="009D0EB4" w:rsidP="009D0EB4">
      <w:pPr>
        <w:pStyle w:val="ListeParagraf"/>
        <w:rPr>
          <w:rFonts w:ascii="Times New Roman" w:hAnsi="Times New Roman" w:cs="Times New Roman"/>
          <w:color w:val="000000"/>
          <w:sz w:val="24"/>
          <w:szCs w:val="24"/>
        </w:rPr>
      </w:pPr>
    </w:p>
    <w:p w:rsidR="000527F1" w:rsidRDefault="008704E0" w:rsidP="009D0EB4">
      <w:pPr>
        <w:pStyle w:val="ListeParagraf"/>
        <w:numPr>
          <w:ilvl w:val="0"/>
          <w:numId w:val="9"/>
        </w:numPr>
        <w:autoSpaceDE w:val="0"/>
        <w:autoSpaceDN w:val="0"/>
        <w:adjustRightInd w:val="0"/>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COELLİ</w:t>
      </w:r>
      <w:r w:rsidR="000527F1" w:rsidRPr="009D0EB4">
        <w:rPr>
          <w:rFonts w:ascii="Times New Roman" w:hAnsi="Times New Roman" w:cs="Times New Roman"/>
          <w:color w:val="000000"/>
          <w:sz w:val="24"/>
          <w:szCs w:val="24"/>
        </w:rPr>
        <w:t>, T. J.</w:t>
      </w:r>
      <w:r w:rsidRPr="009D0EB4">
        <w:rPr>
          <w:rFonts w:ascii="Times New Roman" w:hAnsi="Times New Roman" w:cs="Times New Roman"/>
          <w:color w:val="000000"/>
          <w:sz w:val="24"/>
          <w:szCs w:val="24"/>
        </w:rPr>
        <w:t>,</w:t>
      </w:r>
      <w:r w:rsidR="000527F1" w:rsidRPr="009D0EB4">
        <w:rPr>
          <w:rFonts w:ascii="Times New Roman" w:hAnsi="Times New Roman" w:cs="Times New Roman"/>
          <w:color w:val="000000"/>
          <w:sz w:val="24"/>
          <w:szCs w:val="24"/>
        </w:rPr>
        <w:t xml:space="preserve"> (1996), </w:t>
      </w:r>
      <w:r w:rsidR="000527F1" w:rsidRPr="009D0EB4">
        <w:rPr>
          <w:rFonts w:ascii="Times New Roman" w:hAnsi="Times New Roman" w:cs="Times New Roman"/>
          <w:b/>
          <w:color w:val="000000"/>
          <w:sz w:val="24"/>
          <w:szCs w:val="24"/>
        </w:rPr>
        <w:t>A Guide to DEAP Version 2.1.: A Data Envelopment Analysis (Computer) Program</w:t>
      </w:r>
      <w:r w:rsidR="000527F1" w:rsidRPr="009D0EB4">
        <w:rPr>
          <w:rFonts w:ascii="Times New Roman" w:hAnsi="Times New Roman" w:cs="Times New Roman"/>
          <w:color w:val="000000"/>
          <w:sz w:val="24"/>
          <w:szCs w:val="24"/>
        </w:rPr>
        <w:t>, CEPA Working Paper, No. 8/96</w:t>
      </w:r>
      <w:r w:rsidR="009D0EB4">
        <w:rPr>
          <w:rFonts w:ascii="Times New Roman" w:hAnsi="Times New Roman" w:cs="Times New Roman"/>
          <w:color w:val="000000"/>
          <w:sz w:val="24"/>
          <w:szCs w:val="24"/>
        </w:rPr>
        <w:t>.</w:t>
      </w:r>
    </w:p>
    <w:p w:rsidR="009D0EB4" w:rsidRPr="009D0EB4" w:rsidRDefault="009D0EB4" w:rsidP="009D0EB4">
      <w:pPr>
        <w:pStyle w:val="ListeParagraf"/>
        <w:rPr>
          <w:rFonts w:ascii="Times New Roman" w:hAnsi="Times New Roman" w:cs="Times New Roman"/>
          <w:color w:val="000000"/>
          <w:sz w:val="24"/>
          <w:szCs w:val="24"/>
        </w:rPr>
      </w:pPr>
    </w:p>
    <w:p w:rsidR="009D0EB4" w:rsidRPr="009D0EB4" w:rsidRDefault="009D0EB4" w:rsidP="009D0EB4">
      <w:pPr>
        <w:pStyle w:val="ListeParagraf"/>
        <w:autoSpaceDE w:val="0"/>
        <w:autoSpaceDN w:val="0"/>
        <w:adjustRightInd w:val="0"/>
        <w:spacing w:after="120" w:line="240" w:lineRule="auto"/>
        <w:jc w:val="both"/>
        <w:rPr>
          <w:rFonts w:ascii="Times New Roman" w:hAnsi="Times New Roman" w:cs="Times New Roman"/>
          <w:color w:val="000000"/>
          <w:sz w:val="24"/>
          <w:szCs w:val="24"/>
        </w:rPr>
      </w:pPr>
    </w:p>
    <w:p w:rsidR="008704E0" w:rsidRDefault="008704E0" w:rsidP="009D0EB4">
      <w:pPr>
        <w:pStyle w:val="ListeParagraf"/>
        <w:numPr>
          <w:ilvl w:val="0"/>
          <w:numId w:val="9"/>
        </w:numPr>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lastRenderedPageBreak/>
        <w:t xml:space="preserve">ÇOLAK, Ö., F. ve  Ş. ALTAN, (2002), </w:t>
      </w:r>
      <w:r w:rsidRPr="009D0EB4">
        <w:rPr>
          <w:rFonts w:ascii="Times New Roman" w:hAnsi="Times New Roman" w:cs="Times New Roman"/>
          <w:b/>
          <w:color w:val="000000"/>
          <w:sz w:val="24"/>
          <w:szCs w:val="24"/>
        </w:rPr>
        <w:t>Toplam Etkinlik Ölçümü : Türkiye’deki Özel ve Kamu Bankaları İçin Bir Uygulama</w:t>
      </w:r>
      <w:r w:rsidRPr="009D0EB4">
        <w:rPr>
          <w:rFonts w:ascii="Times New Roman" w:hAnsi="Times New Roman" w:cs="Times New Roman"/>
          <w:color w:val="000000"/>
          <w:sz w:val="24"/>
          <w:szCs w:val="24"/>
        </w:rPr>
        <w:t>, İşletme ve Finans, Sayı 196, 45-55.</w:t>
      </w:r>
    </w:p>
    <w:p w:rsidR="009D0EB4" w:rsidRPr="009D0EB4" w:rsidRDefault="009D0EB4" w:rsidP="009D0EB4">
      <w:pPr>
        <w:pStyle w:val="ListeParagraf"/>
        <w:spacing w:after="120" w:line="240" w:lineRule="auto"/>
        <w:jc w:val="both"/>
        <w:rPr>
          <w:rFonts w:ascii="Times New Roman" w:hAnsi="Times New Roman" w:cs="Times New Roman"/>
          <w:color w:val="000000"/>
          <w:sz w:val="24"/>
          <w:szCs w:val="24"/>
        </w:rPr>
      </w:pPr>
    </w:p>
    <w:p w:rsidR="008704E0" w:rsidRDefault="008704E0" w:rsidP="009D0EB4">
      <w:pPr>
        <w:pStyle w:val="ListeParagraf"/>
        <w:numPr>
          <w:ilvl w:val="0"/>
          <w:numId w:val="9"/>
        </w:numPr>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DEMİR, F., A. KARABIYIK, E. ERMİŞOĞLU ve A. KÜÇÜK, (2008), </w:t>
      </w:r>
      <w:r w:rsidRPr="009D0EB4">
        <w:rPr>
          <w:rFonts w:ascii="Times New Roman" w:hAnsi="Times New Roman" w:cs="Times New Roman"/>
          <w:b/>
          <w:color w:val="000000"/>
          <w:sz w:val="24"/>
          <w:szCs w:val="24"/>
        </w:rPr>
        <w:t>ABD Mortgage Krizi</w:t>
      </w:r>
      <w:r w:rsidRPr="009D0EB4">
        <w:rPr>
          <w:rFonts w:ascii="Times New Roman" w:hAnsi="Times New Roman" w:cs="Times New Roman"/>
          <w:color w:val="000000"/>
          <w:sz w:val="24"/>
          <w:szCs w:val="24"/>
        </w:rPr>
        <w:t>, Bankacılık Düzenleme ve Denetleme Kurumu, Strateji Geliştirme Daire Başkanlığı Çalışma Tebliği, Sayı 3.</w:t>
      </w:r>
    </w:p>
    <w:p w:rsidR="009D0EB4" w:rsidRPr="009D0EB4" w:rsidRDefault="009D0EB4" w:rsidP="009D0EB4">
      <w:pPr>
        <w:pStyle w:val="ListeParagraf"/>
        <w:rPr>
          <w:rFonts w:ascii="Times New Roman" w:hAnsi="Times New Roman" w:cs="Times New Roman"/>
          <w:color w:val="000000"/>
          <w:sz w:val="24"/>
          <w:szCs w:val="24"/>
        </w:rPr>
      </w:pPr>
    </w:p>
    <w:p w:rsidR="00832CEE" w:rsidRDefault="00832CEE" w:rsidP="009D0EB4">
      <w:pPr>
        <w:pStyle w:val="ListeParagraf"/>
        <w:numPr>
          <w:ilvl w:val="0"/>
          <w:numId w:val="9"/>
        </w:numPr>
        <w:autoSpaceDE w:val="0"/>
        <w:autoSpaceDN w:val="0"/>
        <w:adjustRightInd w:val="0"/>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DENİZER, C. A., M. </w:t>
      </w:r>
      <w:r w:rsidR="007A5298" w:rsidRPr="009D0EB4">
        <w:rPr>
          <w:rFonts w:ascii="Times New Roman" w:hAnsi="Times New Roman" w:cs="Times New Roman"/>
          <w:color w:val="000000"/>
          <w:sz w:val="24"/>
          <w:szCs w:val="24"/>
        </w:rPr>
        <w:t>DİNÇ</w:t>
      </w:r>
      <w:r w:rsidRPr="009D0EB4">
        <w:rPr>
          <w:rFonts w:ascii="Times New Roman" w:hAnsi="Times New Roman" w:cs="Times New Roman"/>
          <w:color w:val="000000"/>
          <w:sz w:val="24"/>
          <w:szCs w:val="24"/>
        </w:rPr>
        <w:t xml:space="preserve"> ve M. </w:t>
      </w:r>
      <w:r w:rsidR="007A5298" w:rsidRPr="009D0EB4">
        <w:rPr>
          <w:rFonts w:ascii="Times New Roman" w:hAnsi="Times New Roman" w:cs="Times New Roman"/>
          <w:color w:val="000000"/>
          <w:sz w:val="24"/>
          <w:szCs w:val="24"/>
        </w:rPr>
        <w:t>TARIMCILAR</w:t>
      </w:r>
      <w:r w:rsidRPr="009D0EB4">
        <w:rPr>
          <w:rFonts w:ascii="Times New Roman" w:hAnsi="Times New Roman" w:cs="Times New Roman"/>
          <w:color w:val="000000"/>
          <w:sz w:val="24"/>
          <w:szCs w:val="24"/>
        </w:rPr>
        <w:t xml:space="preserve">, (2007), </w:t>
      </w:r>
      <w:r w:rsidRPr="009D0EB4">
        <w:rPr>
          <w:rFonts w:ascii="Times New Roman" w:hAnsi="Times New Roman" w:cs="Times New Roman"/>
          <w:b/>
          <w:color w:val="000000"/>
          <w:sz w:val="24"/>
          <w:szCs w:val="24"/>
        </w:rPr>
        <w:t>Financial Liberalization and Banking Efficiency: Evidence from Turkey</w:t>
      </w:r>
      <w:r w:rsidRPr="009D0EB4">
        <w:rPr>
          <w:rFonts w:ascii="Times New Roman" w:hAnsi="Times New Roman" w:cs="Times New Roman"/>
          <w:color w:val="000000"/>
          <w:sz w:val="24"/>
          <w:szCs w:val="24"/>
        </w:rPr>
        <w:t>, Journal of Productivity Analysis, 27, 177-195.</w:t>
      </w:r>
    </w:p>
    <w:p w:rsidR="009D0EB4" w:rsidRPr="009D0EB4" w:rsidRDefault="009D0EB4" w:rsidP="009D0EB4">
      <w:pPr>
        <w:pStyle w:val="ListeParagraf"/>
        <w:rPr>
          <w:rFonts w:ascii="Times New Roman" w:hAnsi="Times New Roman" w:cs="Times New Roman"/>
          <w:color w:val="000000"/>
          <w:sz w:val="24"/>
          <w:szCs w:val="24"/>
        </w:rPr>
      </w:pPr>
    </w:p>
    <w:p w:rsidR="008704E0" w:rsidRDefault="008704E0" w:rsidP="009D0EB4">
      <w:pPr>
        <w:pStyle w:val="ListeParagraf"/>
        <w:numPr>
          <w:ilvl w:val="0"/>
          <w:numId w:val="9"/>
        </w:numPr>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DRAKE, L., M. HALL ve R. SİMPER, (2005), </w:t>
      </w:r>
      <w:r w:rsidRPr="009D0EB4">
        <w:rPr>
          <w:rFonts w:ascii="Times New Roman" w:hAnsi="Times New Roman" w:cs="Times New Roman"/>
          <w:b/>
          <w:color w:val="000000"/>
          <w:sz w:val="24"/>
          <w:szCs w:val="24"/>
        </w:rPr>
        <w:t>Bank Modelling Methodologies: A Comparative Non-Parametric Analysis of Efficiency in the Japanese Banking Sector</w:t>
      </w:r>
      <w:r w:rsidRPr="009D0EB4">
        <w:rPr>
          <w:rFonts w:ascii="Times New Roman" w:hAnsi="Times New Roman" w:cs="Times New Roman"/>
          <w:color w:val="000000"/>
          <w:sz w:val="24"/>
          <w:szCs w:val="24"/>
        </w:rPr>
        <w:t xml:space="preserve">, </w:t>
      </w:r>
      <w:hyperlink r:id="rId121" w:history="1">
        <w:r w:rsidRPr="009D0EB4">
          <w:rPr>
            <w:rFonts w:ascii="Times New Roman" w:hAnsi="Times New Roman" w:cs="Times New Roman"/>
            <w:color w:val="000000"/>
            <w:sz w:val="24"/>
            <w:szCs w:val="24"/>
          </w:rPr>
          <w:t>Journal of International Financial Markets, Institutions and Money</w:t>
        </w:r>
      </w:hyperlink>
      <w:r w:rsidRPr="009D0EB4">
        <w:rPr>
          <w:rFonts w:ascii="Times New Roman" w:hAnsi="Times New Roman" w:cs="Times New Roman"/>
          <w:color w:val="000000"/>
          <w:sz w:val="24"/>
          <w:szCs w:val="24"/>
        </w:rPr>
        <w:t>, Vol. 19, 1-15</w:t>
      </w:r>
      <w:r w:rsidR="009D0EB4">
        <w:rPr>
          <w:rFonts w:ascii="Times New Roman" w:hAnsi="Times New Roman" w:cs="Times New Roman"/>
          <w:color w:val="000000"/>
          <w:sz w:val="24"/>
          <w:szCs w:val="24"/>
        </w:rPr>
        <w:t>.</w:t>
      </w:r>
    </w:p>
    <w:p w:rsidR="009D0EB4" w:rsidRPr="009D0EB4" w:rsidRDefault="009D0EB4" w:rsidP="009D0EB4">
      <w:pPr>
        <w:pStyle w:val="ListeParagraf"/>
        <w:rPr>
          <w:rFonts w:ascii="Times New Roman" w:hAnsi="Times New Roman" w:cs="Times New Roman"/>
          <w:color w:val="000000"/>
          <w:sz w:val="24"/>
          <w:szCs w:val="24"/>
        </w:rPr>
      </w:pPr>
    </w:p>
    <w:p w:rsidR="00832CEE" w:rsidRDefault="00832CEE" w:rsidP="009D0EB4">
      <w:pPr>
        <w:pStyle w:val="ListeParagraf"/>
        <w:numPr>
          <w:ilvl w:val="0"/>
          <w:numId w:val="9"/>
        </w:numPr>
        <w:autoSpaceDE w:val="0"/>
        <w:autoSpaceDN w:val="0"/>
        <w:adjustRightInd w:val="0"/>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ELEREN, A., E. ÖZGÜR, (2006), </w:t>
      </w:r>
      <w:r w:rsidRPr="009D0EB4">
        <w:rPr>
          <w:rFonts w:ascii="Times New Roman" w:hAnsi="Times New Roman" w:cs="Times New Roman"/>
          <w:b/>
          <w:color w:val="000000"/>
          <w:sz w:val="24"/>
          <w:szCs w:val="24"/>
        </w:rPr>
        <w:t>Türkiye'de Yabancı Sermayeli Mevduat Bankalarının Veri Zarflama Yöntemi İle Etkinlik Analizlerinin Yapılması,</w:t>
      </w:r>
      <w:r w:rsidRPr="009D0EB4">
        <w:rPr>
          <w:rFonts w:ascii="Times New Roman" w:hAnsi="Times New Roman" w:cs="Times New Roman"/>
          <w:color w:val="000000"/>
          <w:sz w:val="24"/>
          <w:szCs w:val="24"/>
        </w:rPr>
        <w:t xml:space="preserve"> Afyon Kocatepe Üniversitesi, İktisadi ve İdari Bilimler Fakültesi Dergisi, 8, 53-76.</w:t>
      </w:r>
    </w:p>
    <w:p w:rsidR="009D0EB4" w:rsidRPr="009D0EB4" w:rsidRDefault="009D0EB4" w:rsidP="009D0EB4">
      <w:pPr>
        <w:pStyle w:val="ListeParagraf"/>
        <w:rPr>
          <w:rFonts w:ascii="Times New Roman" w:hAnsi="Times New Roman" w:cs="Times New Roman"/>
          <w:color w:val="000000"/>
          <w:sz w:val="24"/>
          <w:szCs w:val="24"/>
        </w:rPr>
      </w:pPr>
    </w:p>
    <w:p w:rsidR="00832CEE" w:rsidRDefault="00832CEE" w:rsidP="009D0EB4">
      <w:pPr>
        <w:pStyle w:val="ListeParagraf"/>
        <w:numPr>
          <w:ilvl w:val="0"/>
          <w:numId w:val="9"/>
        </w:numPr>
        <w:autoSpaceDE w:val="0"/>
        <w:autoSpaceDN w:val="0"/>
        <w:adjustRightInd w:val="0"/>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ERTUĞRUL, A. ve O. </w:t>
      </w:r>
      <w:r w:rsidR="00236834" w:rsidRPr="009D0EB4">
        <w:rPr>
          <w:rFonts w:ascii="Times New Roman" w:hAnsi="Times New Roman" w:cs="Times New Roman"/>
          <w:color w:val="000000"/>
          <w:sz w:val="24"/>
          <w:szCs w:val="24"/>
        </w:rPr>
        <w:t>ZAİM</w:t>
      </w:r>
      <w:r w:rsidRPr="009D0EB4">
        <w:rPr>
          <w:rFonts w:ascii="Times New Roman" w:hAnsi="Times New Roman" w:cs="Times New Roman"/>
          <w:color w:val="000000"/>
          <w:sz w:val="24"/>
          <w:szCs w:val="24"/>
        </w:rPr>
        <w:t xml:space="preserve">, (1996), </w:t>
      </w:r>
      <w:r w:rsidRPr="009D0EB4">
        <w:rPr>
          <w:rFonts w:ascii="Times New Roman" w:hAnsi="Times New Roman" w:cs="Times New Roman"/>
          <w:b/>
          <w:color w:val="000000"/>
          <w:sz w:val="24"/>
          <w:szCs w:val="24"/>
        </w:rPr>
        <w:t>Türk Bankacılığında Etkinlik: Tarihi Gelişim Kantitatif Analiz</w:t>
      </w:r>
      <w:r w:rsidRPr="009D0EB4">
        <w:rPr>
          <w:rFonts w:ascii="Times New Roman" w:hAnsi="Times New Roman" w:cs="Times New Roman"/>
          <w:color w:val="000000"/>
          <w:sz w:val="24"/>
          <w:szCs w:val="24"/>
        </w:rPr>
        <w:t>, Bilkamat İşletme ve Finans Yayınları No: 3, Ankara.</w:t>
      </w:r>
    </w:p>
    <w:p w:rsidR="009D0EB4" w:rsidRPr="009D0EB4" w:rsidRDefault="009D0EB4" w:rsidP="009D0EB4">
      <w:pPr>
        <w:pStyle w:val="ListeParagraf"/>
        <w:rPr>
          <w:rFonts w:ascii="Times New Roman" w:hAnsi="Times New Roman" w:cs="Times New Roman"/>
          <w:color w:val="000000"/>
          <w:sz w:val="24"/>
          <w:szCs w:val="24"/>
        </w:rPr>
      </w:pPr>
    </w:p>
    <w:p w:rsidR="008704E0" w:rsidRDefault="008704E0" w:rsidP="009D0EB4">
      <w:pPr>
        <w:pStyle w:val="ListeParagraf"/>
        <w:numPr>
          <w:ilvl w:val="0"/>
          <w:numId w:val="9"/>
        </w:numPr>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FARE, R. ve C. K. K. LOWELL, (1978), </w:t>
      </w:r>
      <w:r w:rsidRPr="009D0EB4">
        <w:rPr>
          <w:rFonts w:ascii="Times New Roman" w:hAnsi="Times New Roman" w:cs="Times New Roman"/>
          <w:b/>
          <w:color w:val="000000"/>
          <w:sz w:val="24"/>
          <w:szCs w:val="24"/>
        </w:rPr>
        <w:t>Measuring of Technical Efficiency of Production</w:t>
      </w:r>
      <w:r w:rsidRPr="009D0EB4">
        <w:rPr>
          <w:rFonts w:ascii="Times New Roman" w:hAnsi="Times New Roman" w:cs="Times New Roman"/>
          <w:color w:val="000000"/>
          <w:sz w:val="24"/>
          <w:szCs w:val="24"/>
        </w:rPr>
        <w:t>, Journal of Economic Theory, Vol. 19, 150-162.</w:t>
      </w:r>
    </w:p>
    <w:p w:rsidR="006D15FB" w:rsidRPr="006D15FB" w:rsidRDefault="006D15FB" w:rsidP="006D15FB">
      <w:pPr>
        <w:pStyle w:val="ListeParagraf"/>
        <w:rPr>
          <w:rFonts w:ascii="Times New Roman" w:hAnsi="Times New Roman" w:cs="Times New Roman"/>
          <w:color w:val="000000"/>
          <w:sz w:val="24"/>
          <w:szCs w:val="24"/>
        </w:rPr>
      </w:pPr>
    </w:p>
    <w:p w:rsidR="008704E0" w:rsidRDefault="008704E0" w:rsidP="009D0EB4">
      <w:pPr>
        <w:pStyle w:val="ListeParagraf"/>
        <w:numPr>
          <w:ilvl w:val="0"/>
          <w:numId w:val="9"/>
        </w:numPr>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FARE, R., S. GROSSKOPF, M. NORRIS ve Z. ZHANG, (1994), </w:t>
      </w:r>
      <w:r w:rsidRPr="009D0EB4">
        <w:rPr>
          <w:rFonts w:ascii="Times New Roman" w:hAnsi="Times New Roman" w:cs="Times New Roman"/>
          <w:b/>
          <w:color w:val="000000"/>
          <w:sz w:val="24"/>
          <w:szCs w:val="24"/>
        </w:rPr>
        <w:t>Productivity Growth, Technical Pr</w:t>
      </w:r>
      <w:r w:rsidR="006D15FB">
        <w:rPr>
          <w:rFonts w:ascii="Times New Roman" w:hAnsi="Times New Roman" w:cs="Times New Roman"/>
          <w:b/>
          <w:color w:val="000000"/>
          <w:sz w:val="24"/>
          <w:szCs w:val="24"/>
        </w:rPr>
        <w:t>ogress</w:t>
      </w:r>
      <w:r w:rsidRPr="009D0EB4">
        <w:rPr>
          <w:rFonts w:ascii="Times New Roman" w:hAnsi="Times New Roman" w:cs="Times New Roman"/>
          <w:b/>
          <w:color w:val="000000"/>
          <w:sz w:val="24"/>
          <w:szCs w:val="24"/>
        </w:rPr>
        <w:t xml:space="preserve"> and Efficiency Change in Industrialized Countries</w:t>
      </w:r>
      <w:r w:rsidRPr="009D0EB4">
        <w:rPr>
          <w:rFonts w:ascii="Times New Roman" w:hAnsi="Times New Roman" w:cs="Times New Roman"/>
          <w:color w:val="000000"/>
          <w:sz w:val="24"/>
          <w:szCs w:val="24"/>
        </w:rPr>
        <w:t>, American Economic Review 84, 66-83.</w:t>
      </w:r>
    </w:p>
    <w:p w:rsidR="006D15FB" w:rsidRPr="009D0EB4" w:rsidRDefault="006D15FB" w:rsidP="006D15FB">
      <w:pPr>
        <w:pStyle w:val="ListeParagraf"/>
        <w:spacing w:after="120" w:line="240" w:lineRule="auto"/>
        <w:jc w:val="both"/>
        <w:rPr>
          <w:rFonts w:ascii="Times New Roman" w:hAnsi="Times New Roman" w:cs="Times New Roman"/>
          <w:color w:val="000000"/>
          <w:sz w:val="24"/>
          <w:szCs w:val="24"/>
        </w:rPr>
      </w:pPr>
    </w:p>
    <w:p w:rsidR="008704E0" w:rsidRDefault="00832CEE" w:rsidP="009D0EB4">
      <w:pPr>
        <w:pStyle w:val="ListeParagraf"/>
        <w:numPr>
          <w:ilvl w:val="0"/>
          <w:numId w:val="9"/>
        </w:numPr>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FARRELL, M.</w:t>
      </w:r>
      <w:r w:rsidR="00236834" w:rsidRPr="009D0EB4">
        <w:rPr>
          <w:rFonts w:ascii="Times New Roman" w:hAnsi="Times New Roman" w:cs="Times New Roman"/>
          <w:color w:val="000000"/>
          <w:sz w:val="24"/>
          <w:szCs w:val="24"/>
        </w:rPr>
        <w:t xml:space="preserve"> </w:t>
      </w:r>
      <w:r w:rsidRPr="009D0EB4">
        <w:rPr>
          <w:rFonts w:ascii="Times New Roman" w:hAnsi="Times New Roman" w:cs="Times New Roman"/>
          <w:color w:val="000000"/>
          <w:sz w:val="24"/>
          <w:szCs w:val="24"/>
        </w:rPr>
        <w:t>J., (1957),</w:t>
      </w:r>
      <w:r w:rsidR="008704E0" w:rsidRPr="009D0EB4">
        <w:rPr>
          <w:rFonts w:ascii="Times New Roman" w:hAnsi="Times New Roman" w:cs="Times New Roman"/>
          <w:color w:val="000000"/>
          <w:sz w:val="24"/>
          <w:szCs w:val="24"/>
        </w:rPr>
        <w:t xml:space="preserve"> </w:t>
      </w:r>
      <w:r w:rsidR="008704E0" w:rsidRPr="009D0EB4">
        <w:rPr>
          <w:rFonts w:ascii="Times New Roman" w:hAnsi="Times New Roman" w:cs="Times New Roman"/>
          <w:b/>
          <w:color w:val="000000"/>
          <w:sz w:val="24"/>
          <w:szCs w:val="24"/>
        </w:rPr>
        <w:t>The Measurement of Productive Efficiency</w:t>
      </w:r>
      <w:r w:rsidRPr="009D0EB4">
        <w:rPr>
          <w:rFonts w:ascii="Times New Roman" w:hAnsi="Times New Roman" w:cs="Times New Roman"/>
          <w:color w:val="000000"/>
          <w:sz w:val="24"/>
          <w:szCs w:val="24"/>
        </w:rPr>
        <w:t>,</w:t>
      </w:r>
      <w:r w:rsidR="008704E0" w:rsidRPr="009D0EB4">
        <w:rPr>
          <w:rFonts w:ascii="Times New Roman" w:hAnsi="Times New Roman" w:cs="Times New Roman"/>
          <w:color w:val="000000"/>
          <w:sz w:val="24"/>
          <w:szCs w:val="24"/>
        </w:rPr>
        <w:t xml:space="preserve"> Journal of the Royal Statistical Society (Series A), vol. 120, 253–281</w:t>
      </w:r>
      <w:r w:rsidR="007A5298" w:rsidRPr="009D0EB4">
        <w:rPr>
          <w:rFonts w:ascii="Times New Roman" w:hAnsi="Times New Roman" w:cs="Times New Roman"/>
          <w:color w:val="000000"/>
          <w:sz w:val="24"/>
          <w:szCs w:val="24"/>
        </w:rPr>
        <w:t>.</w:t>
      </w:r>
    </w:p>
    <w:p w:rsidR="006D15FB" w:rsidRPr="006D15FB" w:rsidRDefault="006D15FB" w:rsidP="006D15FB">
      <w:pPr>
        <w:pStyle w:val="ListeParagraf"/>
        <w:rPr>
          <w:rFonts w:ascii="Times New Roman" w:hAnsi="Times New Roman" w:cs="Times New Roman"/>
          <w:color w:val="000000"/>
          <w:sz w:val="24"/>
          <w:szCs w:val="24"/>
        </w:rPr>
      </w:pPr>
    </w:p>
    <w:p w:rsidR="00326EB4" w:rsidRDefault="00326EB4" w:rsidP="009D0EB4">
      <w:pPr>
        <w:pStyle w:val="ListeParagraf"/>
        <w:numPr>
          <w:ilvl w:val="0"/>
          <w:numId w:val="9"/>
        </w:numPr>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GRIFELL-TATJE, E. ve C.</w:t>
      </w:r>
      <w:r w:rsidR="00236834" w:rsidRPr="009D0EB4">
        <w:rPr>
          <w:rFonts w:ascii="Times New Roman" w:hAnsi="Times New Roman" w:cs="Times New Roman"/>
          <w:color w:val="000000"/>
          <w:sz w:val="24"/>
          <w:szCs w:val="24"/>
        </w:rPr>
        <w:t xml:space="preserve"> </w:t>
      </w:r>
      <w:r w:rsidRPr="009D0EB4">
        <w:rPr>
          <w:rFonts w:ascii="Times New Roman" w:hAnsi="Times New Roman" w:cs="Times New Roman"/>
          <w:color w:val="000000"/>
          <w:sz w:val="24"/>
          <w:szCs w:val="24"/>
        </w:rPr>
        <w:t>A.</w:t>
      </w:r>
      <w:r w:rsidR="00236834" w:rsidRPr="009D0EB4">
        <w:rPr>
          <w:rFonts w:ascii="Times New Roman" w:hAnsi="Times New Roman" w:cs="Times New Roman"/>
          <w:color w:val="000000"/>
          <w:sz w:val="24"/>
          <w:szCs w:val="24"/>
        </w:rPr>
        <w:t xml:space="preserve"> </w:t>
      </w:r>
      <w:r w:rsidRPr="009D0EB4">
        <w:rPr>
          <w:rFonts w:ascii="Times New Roman" w:hAnsi="Times New Roman" w:cs="Times New Roman"/>
          <w:color w:val="000000"/>
          <w:sz w:val="24"/>
          <w:szCs w:val="24"/>
        </w:rPr>
        <w:t xml:space="preserve">K. LOVELL, (1997), </w:t>
      </w:r>
      <w:r w:rsidRPr="009D0EB4">
        <w:rPr>
          <w:rFonts w:ascii="Times New Roman" w:hAnsi="Times New Roman" w:cs="Times New Roman"/>
          <w:b/>
          <w:color w:val="000000"/>
          <w:sz w:val="24"/>
          <w:szCs w:val="24"/>
        </w:rPr>
        <w:t>Deregulation and Productivity Decline: The Case of Spanish Savings Banks</w:t>
      </w:r>
      <w:r w:rsidRPr="009D0EB4">
        <w:rPr>
          <w:rFonts w:ascii="Times New Roman" w:hAnsi="Times New Roman" w:cs="Times New Roman"/>
          <w:color w:val="000000"/>
          <w:sz w:val="24"/>
          <w:szCs w:val="24"/>
        </w:rPr>
        <w:t>, European Economic Review, Vol. 40, 1281–1303.</w:t>
      </w:r>
    </w:p>
    <w:p w:rsidR="006D15FB" w:rsidRPr="006D15FB" w:rsidRDefault="006D15FB" w:rsidP="006D15FB">
      <w:pPr>
        <w:pStyle w:val="ListeParagraf"/>
        <w:rPr>
          <w:rFonts w:ascii="Times New Roman" w:hAnsi="Times New Roman" w:cs="Times New Roman"/>
          <w:color w:val="000000"/>
          <w:sz w:val="24"/>
          <w:szCs w:val="24"/>
        </w:rPr>
      </w:pPr>
    </w:p>
    <w:p w:rsidR="00326EB4" w:rsidRDefault="00326EB4" w:rsidP="009D0EB4">
      <w:pPr>
        <w:pStyle w:val="ListeParagraf"/>
        <w:numPr>
          <w:ilvl w:val="0"/>
          <w:numId w:val="9"/>
        </w:numPr>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IŞIK, I. ve M. K. HASSAN, (2003), </w:t>
      </w:r>
      <w:r w:rsidRPr="009D0EB4">
        <w:rPr>
          <w:rFonts w:ascii="Times New Roman" w:hAnsi="Times New Roman" w:cs="Times New Roman"/>
          <w:b/>
          <w:color w:val="000000"/>
          <w:sz w:val="24"/>
          <w:szCs w:val="24"/>
        </w:rPr>
        <w:t>Financial Disruption and Bank Productivity: The 1994 Experience of Turkish Bank</w:t>
      </w:r>
      <w:r w:rsidRPr="009D0EB4">
        <w:rPr>
          <w:rFonts w:ascii="Times New Roman" w:hAnsi="Times New Roman" w:cs="Times New Roman"/>
          <w:color w:val="000000"/>
          <w:sz w:val="24"/>
          <w:szCs w:val="24"/>
        </w:rPr>
        <w:t>, The Quarterly Review of Economics and Finance, Vol. 43, 291-320.</w:t>
      </w:r>
    </w:p>
    <w:p w:rsidR="006D15FB" w:rsidRPr="006D15FB" w:rsidRDefault="006D15FB" w:rsidP="006D15FB">
      <w:pPr>
        <w:pStyle w:val="ListeParagraf"/>
        <w:rPr>
          <w:rFonts w:ascii="Times New Roman" w:hAnsi="Times New Roman" w:cs="Times New Roman"/>
          <w:color w:val="000000"/>
          <w:sz w:val="24"/>
          <w:szCs w:val="24"/>
        </w:rPr>
      </w:pPr>
    </w:p>
    <w:p w:rsidR="00326EB4" w:rsidRDefault="00326EB4" w:rsidP="009D0EB4">
      <w:pPr>
        <w:pStyle w:val="ListeParagraf"/>
        <w:numPr>
          <w:ilvl w:val="0"/>
          <w:numId w:val="9"/>
        </w:numPr>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KARSAK, E.E. ve F. İŞCAN, (2000), </w:t>
      </w:r>
      <w:r w:rsidRPr="009D0EB4">
        <w:rPr>
          <w:rFonts w:ascii="Times New Roman" w:hAnsi="Times New Roman" w:cs="Times New Roman"/>
          <w:b/>
          <w:color w:val="000000"/>
          <w:sz w:val="24"/>
          <w:szCs w:val="24"/>
        </w:rPr>
        <w:t>Çimento Sektöründe Göreli Faaliyet Performanslarının Ağırlık Kısıtlamaları ve Çapraz Etkinlik Kullanılarak Veri Zarflama Analizi İle Değerlendirilmesi</w:t>
      </w:r>
      <w:r w:rsidRPr="009D0EB4">
        <w:rPr>
          <w:rFonts w:ascii="Times New Roman" w:hAnsi="Times New Roman" w:cs="Times New Roman"/>
          <w:color w:val="000000"/>
          <w:sz w:val="24"/>
          <w:szCs w:val="24"/>
        </w:rPr>
        <w:t xml:space="preserve">, Endüstri Mühendisliği Dergisi, </w:t>
      </w:r>
      <w:r w:rsidR="00424419" w:rsidRPr="009D0EB4">
        <w:rPr>
          <w:rFonts w:ascii="Times New Roman" w:hAnsi="Times New Roman" w:cs="Times New Roman"/>
          <w:color w:val="000000"/>
          <w:sz w:val="24"/>
          <w:szCs w:val="24"/>
        </w:rPr>
        <w:t>Cilt: 11</w:t>
      </w:r>
      <w:r w:rsidRPr="009D0EB4">
        <w:rPr>
          <w:rFonts w:ascii="Times New Roman" w:hAnsi="Times New Roman" w:cs="Times New Roman"/>
          <w:color w:val="000000"/>
          <w:sz w:val="24"/>
          <w:szCs w:val="24"/>
        </w:rPr>
        <w:t xml:space="preserve">, </w:t>
      </w:r>
      <w:r w:rsidR="00424419" w:rsidRPr="009D0EB4">
        <w:rPr>
          <w:rFonts w:ascii="Times New Roman" w:hAnsi="Times New Roman" w:cs="Times New Roman"/>
          <w:color w:val="000000"/>
          <w:sz w:val="24"/>
          <w:szCs w:val="24"/>
        </w:rPr>
        <w:t>Sayı: 3</w:t>
      </w:r>
      <w:r w:rsidRPr="009D0EB4">
        <w:rPr>
          <w:rFonts w:ascii="Times New Roman" w:hAnsi="Times New Roman" w:cs="Times New Roman"/>
          <w:color w:val="000000"/>
          <w:sz w:val="24"/>
          <w:szCs w:val="24"/>
        </w:rPr>
        <w:t>, 2-10.</w:t>
      </w:r>
    </w:p>
    <w:p w:rsidR="008E3203" w:rsidRPr="008E3203" w:rsidRDefault="008E3203" w:rsidP="008E3203">
      <w:pPr>
        <w:pStyle w:val="ListeParagraf"/>
        <w:rPr>
          <w:rFonts w:ascii="Times New Roman" w:hAnsi="Times New Roman" w:cs="Times New Roman"/>
          <w:color w:val="000000"/>
          <w:sz w:val="24"/>
          <w:szCs w:val="24"/>
        </w:rPr>
      </w:pPr>
    </w:p>
    <w:p w:rsidR="00326EB4" w:rsidRDefault="00326EB4" w:rsidP="009D0EB4">
      <w:pPr>
        <w:pStyle w:val="ListeParagraf"/>
        <w:numPr>
          <w:ilvl w:val="0"/>
          <w:numId w:val="9"/>
        </w:numPr>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KAYA TÜRKER, Y. ve E. DOĞAN, (2005), </w:t>
      </w:r>
      <w:r w:rsidRPr="009D0EB4">
        <w:rPr>
          <w:rFonts w:ascii="Times New Roman" w:hAnsi="Times New Roman" w:cs="Times New Roman"/>
          <w:b/>
          <w:color w:val="000000"/>
          <w:sz w:val="24"/>
          <w:szCs w:val="24"/>
        </w:rPr>
        <w:t xml:space="preserve">Dezenflasyon Sürecinde </w:t>
      </w:r>
      <w:r w:rsidR="00424419" w:rsidRPr="009D0EB4">
        <w:rPr>
          <w:rFonts w:ascii="Times New Roman" w:hAnsi="Times New Roman" w:cs="Times New Roman"/>
          <w:b/>
          <w:color w:val="000000"/>
          <w:sz w:val="24"/>
          <w:szCs w:val="24"/>
        </w:rPr>
        <w:t>Türk Bankacılık S</w:t>
      </w:r>
      <w:r w:rsidR="00086B94" w:rsidRPr="009D0EB4">
        <w:rPr>
          <w:rFonts w:ascii="Times New Roman" w:hAnsi="Times New Roman" w:cs="Times New Roman"/>
          <w:b/>
          <w:color w:val="000000"/>
          <w:sz w:val="24"/>
          <w:szCs w:val="24"/>
        </w:rPr>
        <w:t>ektörü</w:t>
      </w:r>
      <w:r w:rsidRPr="009D0EB4">
        <w:rPr>
          <w:rFonts w:ascii="Times New Roman" w:hAnsi="Times New Roman" w:cs="Times New Roman"/>
          <w:b/>
          <w:color w:val="000000"/>
          <w:sz w:val="24"/>
          <w:szCs w:val="24"/>
        </w:rPr>
        <w:t>nde Etkinliğin Gelişimi</w:t>
      </w:r>
      <w:r w:rsidRPr="009D0EB4">
        <w:rPr>
          <w:rFonts w:ascii="Times New Roman" w:hAnsi="Times New Roman" w:cs="Times New Roman"/>
          <w:color w:val="000000"/>
          <w:sz w:val="24"/>
          <w:szCs w:val="24"/>
        </w:rPr>
        <w:t>, Bankacılık Düzenleme ve Denetleme Kurumu, ARD Çalışma Raporları 2005/10</w:t>
      </w:r>
      <w:r w:rsidR="00424419" w:rsidRPr="009D0EB4">
        <w:rPr>
          <w:rFonts w:ascii="Times New Roman" w:hAnsi="Times New Roman" w:cs="Times New Roman"/>
          <w:color w:val="000000"/>
          <w:sz w:val="24"/>
          <w:szCs w:val="24"/>
        </w:rPr>
        <w:t>.</w:t>
      </w:r>
    </w:p>
    <w:p w:rsidR="006D15FB" w:rsidRPr="009D0EB4" w:rsidRDefault="006D15FB" w:rsidP="006D15FB">
      <w:pPr>
        <w:pStyle w:val="ListeParagraf"/>
        <w:spacing w:after="120" w:line="240" w:lineRule="auto"/>
        <w:jc w:val="both"/>
        <w:rPr>
          <w:rFonts w:ascii="Times New Roman" w:hAnsi="Times New Roman" w:cs="Times New Roman"/>
          <w:color w:val="000000"/>
          <w:sz w:val="24"/>
          <w:szCs w:val="24"/>
        </w:rPr>
      </w:pPr>
    </w:p>
    <w:p w:rsidR="006D15FB" w:rsidRDefault="00326EB4" w:rsidP="009D0EB4">
      <w:pPr>
        <w:pStyle w:val="ListeParagraf"/>
        <w:numPr>
          <w:ilvl w:val="0"/>
          <w:numId w:val="9"/>
        </w:numPr>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KIRKIK, Ş. ve P. PEHLİVAN, (2009), </w:t>
      </w:r>
      <w:r w:rsidRPr="009D0EB4">
        <w:rPr>
          <w:rFonts w:ascii="Times New Roman" w:hAnsi="Times New Roman" w:cs="Times New Roman"/>
          <w:b/>
          <w:color w:val="000000"/>
          <w:sz w:val="24"/>
          <w:szCs w:val="24"/>
        </w:rPr>
        <w:t>Türkiye’de Faaliyet Gösteren Bankaların Veri Zarflama Analizi Yöntemi İle Etkinliklerinin Ölçümü</w:t>
      </w:r>
      <w:r w:rsidRPr="009D0EB4">
        <w:rPr>
          <w:rFonts w:ascii="Times New Roman" w:hAnsi="Times New Roman" w:cs="Times New Roman"/>
          <w:color w:val="000000"/>
          <w:sz w:val="24"/>
          <w:szCs w:val="24"/>
        </w:rPr>
        <w:t>, Milli Prodüktivite Merkezi Verimlilik Dergisi, No 2009/4, 23-36</w:t>
      </w:r>
      <w:r w:rsidR="006D15FB">
        <w:rPr>
          <w:rFonts w:ascii="Times New Roman" w:hAnsi="Times New Roman" w:cs="Times New Roman"/>
          <w:color w:val="000000"/>
          <w:sz w:val="24"/>
          <w:szCs w:val="24"/>
        </w:rPr>
        <w:t>.</w:t>
      </w:r>
    </w:p>
    <w:p w:rsidR="006D15FB" w:rsidRPr="006D15FB" w:rsidRDefault="006D15FB" w:rsidP="006D15FB">
      <w:pPr>
        <w:pStyle w:val="ListeParagraf"/>
        <w:rPr>
          <w:rFonts w:ascii="Times New Roman" w:hAnsi="Times New Roman" w:cs="Times New Roman"/>
          <w:color w:val="000000"/>
          <w:sz w:val="24"/>
          <w:szCs w:val="24"/>
        </w:rPr>
      </w:pPr>
    </w:p>
    <w:p w:rsidR="000149B9" w:rsidRDefault="00E94832" w:rsidP="009D0EB4">
      <w:pPr>
        <w:pStyle w:val="ListeParagraf"/>
        <w:numPr>
          <w:ilvl w:val="0"/>
          <w:numId w:val="9"/>
        </w:numPr>
        <w:autoSpaceDE w:val="0"/>
        <w:autoSpaceDN w:val="0"/>
        <w:adjustRightInd w:val="0"/>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KOÇYİĞİT, M. M., (2013),</w:t>
      </w:r>
      <w:r w:rsidR="000149B9" w:rsidRPr="009D0EB4">
        <w:rPr>
          <w:rFonts w:ascii="Times New Roman" w:hAnsi="Times New Roman" w:cs="Times New Roman"/>
          <w:color w:val="000000"/>
          <w:sz w:val="24"/>
          <w:szCs w:val="24"/>
        </w:rPr>
        <w:t xml:space="preserve"> </w:t>
      </w:r>
      <w:r w:rsidR="000149B9" w:rsidRPr="009D0EB4">
        <w:rPr>
          <w:rFonts w:ascii="Times New Roman" w:hAnsi="Times New Roman" w:cs="Times New Roman"/>
          <w:b/>
          <w:color w:val="000000"/>
          <w:sz w:val="24"/>
          <w:szCs w:val="24"/>
        </w:rPr>
        <w:t xml:space="preserve">Mevduat </w:t>
      </w:r>
      <w:r w:rsidR="007A5298" w:rsidRPr="009D0EB4">
        <w:rPr>
          <w:rFonts w:ascii="Times New Roman" w:hAnsi="Times New Roman" w:cs="Times New Roman"/>
          <w:b/>
          <w:color w:val="000000"/>
          <w:sz w:val="24"/>
          <w:szCs w:val="24"/>
        </w:rPr>
        <w:t>Bankalarının Etkinliği v</w:t>
      </w:r>
      <w:r w:rsidRPr="009D0EB4">
        <w:rPr>
          <w:rFonts w:ascii="Times New Roman" w:hAnsi="Times New Roman" w:cs="Times New Roman"/>
          <w:b/>
          <w:color w:val="000000"/>
          <w:sz w:val="24"/>
          <w:szCs w:val="24"/>
        </w:rPr>
        <w:t>e Hisse Senedi Getirileri Arasındaki İlişki</w:t>
      </w:r>
      <w:r w:rsidRPr="009D0EB4">
        <w:rPr>
          <w:rFonts w:ascii="Times New Roman" w:hAnsi="Times New Roman" w:cs="Times New Roman"/>
          <w:color w:val="000000"/>
          <w:sz w:val="24"/>
          <w:szCs w:val="24"/>
        </w:rPr>
        <w:t>,</w:t>
      </w:r>
      <w:r w:rsidR="000149B9" w:rsidRPr="009D0EB4">
        <w:rPr>
          <w:rFonts w:ascii="Times New Roman" w:hAnsi="Times New Roman" w:cs="Times New Roman"/>
          <w:color w:val="000000"/>
          <w:sz w:val="24"/>
          <w:szCs w:val="24"/>
        </w:rPr>
        <w:t xml:space="preserve"> Muhasebe ve Finansman Dergisi, 1, 73-88.</w:t>
      </w:r>
    </w:p>
    <w:p w:rsidR="006D15FB" w:rsidRPr="006D15FB" w:rsidRDefault="006D15FB" w:rsidP="006D15FB">
      <w:pPr>
        <w:pStyle w:val="ListeParagraf"/>
        <w:rPr>
          <w:rFonts w:ascii="Times New Roman" w:hAnsi="Times New Roman" w:cs="Times New Roman"/>
          <w:color w:val="000000"/>
          <w:sz w:val="24"/>
          <w:szCs w:val="24"/>
        </w:rPr>
      </w:pPr>
    </w:p>
    <w:p w:rsidR="000149B9" w:rsidRDefault="00E94832" w:rsidP="009D0EB4">
      <w:pPr>
        <w:pStyle w:val="ListeParagraf"/>
        <w:numPr>
          <w:ilvl w:val="0"/>
          <w:numId w:val="9"/>
        </w:numPr>
        <w:autoSpaceDE w:val="0"/>
        <w:autoSpaceDN w:val="0"/>
        <w:adjustRightInd w:val="0"/>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MERCAN</w:t>
      </w:r>
      <w:r w:rsidR="000149B9" w:rsidRPr="009D0EB4">
        <w:rPr>
          <w:rFonts w:ascii="Times New Roman" w:hAnsi="Times New Roman" w:cs="Times New Roman"/>
          <w:color w:val="000000"/>
          <w:sz w:val="24"/>
          <w:szCs w:val="24"/>
        </w:rPr>
        <w:t xml:space="preserve">, M., </w:t>
      </w:r>
      <w:r w:rsidRPr="009D0EB4">
        <w:rPr>
          <w:rFonts w:ascii="Times New Roman" w:hAnsi="Times New Roman" w:cs="Times New Roman"/>
          <w:color w:val="000000"/>
          <w:sz w:val="24"/>
          <w:szCs w:val="24"/>
        </w:rPr>
        <w:t>A. REISMAN</w:t>
      </w:r>
      <w:r w:rsidR="000149B9" w:rsidRPr="009D0EB4">
        <w:rPr>
          <w:rFonts w:ascii="Times New Roman" w:hAnsi="Times New Roman" w:cs="Times New Roman"/>
          <w:color w:val="000000"/>
          <w:sz w:val="24"/>
          <w:szCs w:val="24"/>
        </w:rPr>
        <w:t xml:space="preserve">, </w:t>
      </w:r>
      <w:r w:rsidRPr="009D0EB4">
        <w:rPr>
          <w:rFonts w:ascii="Times New Roman" w:hAnsi="Times New Roman" w:cs="Times New Roman"/>
          <w:color w:val="000000"/>
          <w:sz w:val="24"/>
          <w:szCs w:val="24"/>
        </w:rPr>
        <w:t>R. YOLALAN</w:t>
      </w:r>
      <w:r w:rsidR="000149B9" w:rsidRPr="009D0EB4">
        <w:rPr>
          <w:rFonts w:ascii="Times New Roman" w:hAnsi="Times New Roman" w:cs="Times New Roman"/>
          <w:color w:val="000000"/>
          <w:sz w:val="24"/>
          <w:szCs w:val="24"/>
        </w:rPr>
        <w:t xml:space="preserve"> ve</w:t>
      </w:r>
      <w:r w:rsidRPr="009D0EB4">
        <w:rPr>
          <w:rFonts w:ascii="Times New Roman" w:hAnsi="Times New Roman" w:cs="Times New Roman"/>
          <w:color w:val="000000"/>
          <w:sz w:val="24"/>
          <w:szCs w:val="24"/>
        </w:rPr>
        <w:t xml:space="preserve"> A. B. EMEL</w:t>
      </w:r>
      <w:r w:rsidR="000149B9" w:rsidRPr="009D0EB4">
        <w:rPr>
          <w:rFonts w:ascii="Times New Roman" w:hAnsi="Times New Roman" w:cs="Times New Roman"/>
          <w:color w:val="000000"/>
          <w:sz w:val="24"/>
          <w:szCs w:val="24"/>
        </w:rPr>
        <w:t xml:space="preserve">, (2003), </w:t>
      </w:r>
      <w:r w:rsidR="000149B9" w:rsidRPr="009D0EB4">
        <w:rPr>
          <w:rFonts w:ascii="Times New Roman" w:hAnsi="Times New Roman" w:cs="Times New Roman"/>
          <w:b/>
          <w:color w:val="000000"/>
          <w:sz w:val="24"/>
          <w:szCs w:val="24"/>
        </w:rPr>
        <w:t xml:space="preserve">The </w:t>
      </w:r>
      <w:r w:rsidR="00236834" w:rsidRPr="009D0EB4">
        <w:rPr>
          <w:rFonts w:ascii="Times New Roman" w:hAnsi="Times New Roman" w:cs="Times New Roman"/>
          <w:b/>
          <w:color w:val="000000"/>
          <w:sz w:val="24"/>
          <w:szCs w:val="24"/>
        </w:rPr>
        <w:t>Effect o</w:t>
      </w:r>
      <w:r w:rsidRPr="009D0EB4">
        <w:rPr>
          <w:rFonts w:ascii="Times New Roman" w:hAnsi="Times New Roman" w:cs="Times New Roman"/>
          <w:b/>
          <w:color w:val="000000"/>
          <w:sz w:val="24"/>
          <w:szCs w:val="24"/>
        </w:rPr>
        <w:t xml:space="preserve">f Scale and Mode of Ownership on the Financial Performance of the </w:t>
      </w:r>
      <w:r w:rsidR="000149B9" w:rsidRPr="009D0EB4">
        <w:rPr>
          <w:rFonts w:ascii="Times New Roman" w:hAnsi="Times New Roman" w:cs="Times New Roman"/>
          <w:b/>
          <w:color w:val="000000"/>
          <w:sz w:val="24"/>
          <w:szCs w:val="24"/>
        </w:rPr>
        <w:t xml:space="preserve">Turkish </w:t>
      </w:r>
      <w:r w:rsidRPr="009D0EB4">
        <w:rPr>
          <w:rFonts w:ascii="Times New Roman" w:hAnsi="Times New Roman" w:cs="Times New Roman"/>
          <w:b/>
          <w:color w:val="000000"/>
          <w:sz w:val="24"/>
          <w:szCs w:val="24"/>
        </w:rPr>
        <w:t xml:space="preserve">Banking Sector: Results of a </w:t>
      </w:r>
      <w:r w:rsidR="000149B9" w:rsidRPr="009D0EB4">
        <w:rPr>
          <w:rFonts w:ascii="Times New Roman" w:hAnsi="Times New Roman" w:cs="Times New Roman"/>
          <w:b/>
          <w:color w:val="000000"/>
          <w:sz w:val="24"/>
          <w:szCs w:val="24"/>
        </w:rPr>
        <w:t>DEA</w:t>
      </w:r>
      <w:r w:rsidRPr="009D0EB4">
        <w:rPr>
          <w:rFonts w:ascii="Times New Roman" w:hAnsi="Times New Roman" w:cs="Times New Roman"/>
          <w:b/>
          <w:color w:val="000000"/>
          <w:sz w:val="24"/>
          <w:szCs w:val="24"/>
        </w:rPr>
        <w:t>-Based Analysis</w:t>
      </w:r>
      <w:r w:rsidRPr="009D0EB4">
        <w:rPr>
          <w:rFonts w:ascii="Times New Roman" w:hAnsi="Times New Roman" w:cs="Times New Roman"/>
          <w:color w:val="000000"/>
          <w:sz w:val="24"/>
          <w:szCs w:val="24"/>
        </w:rPr>
        <w:t>,</w:t>
      </w:r>
      <w:r w:rsidR="000149B9" w:rsidRPr="009D0EB4">
        <w:rPr>
          <w:rFonts w:ascii="Times New Roman" w:hAnsi="Times New Roman" w:cs="Times New Roman"/>
          <w:color w:val="000000"/>
          <w:sz w:val="24"/>
          <w:szCs w:val="24"/>
        </w:rPr>
        <w:t xml:space="preserve"> Socio-Economic Planning Sciences, 37, 185- 202.</w:t>
      </w:r>
    </w:p>
    <w:p w:rsidR="006D15FB" w:rsidRPr="006D15FB" w:rsidRDefault="006D15FB" w:rsidP="006D15FB">
      <w:pPr>
        <w:pStyle w:val="ListeParagraf"/>
        <w:rPr>
          <w:rFonts w:ascii="Times New Roman" w:hAnsi="Times New Roman" w:cs="Times New Roman"/>
          <w:color w:val="000000"/>
          <w:sz w:val="24"/>
          <w:szCs w:val="24"/>
        </w:rPr>
      </w:pPr>
    </w:p>
    <w:p w:rsidR="00326EB4" w:rsidRPr="009D0EB4" w:rsidRDefault="00326EB4" w:rsidP="009D0EB4">
      <w:pPr>
        <w:pStyle w:val="ListeParagraf"/>
        <w:numPr>
          <w:ilvl w:val="0"/>
          <w:numId w:val="9"/>
        </w:numPr>
        <w:autoSpaceDE w:val="0"/>
        <w:autoSpaceDN w:val="0"/>
        <w:adjustRightInd w:val="0"/>
        <w:spacing w:after="120" w:line="240" w:lineRule="auto"/>
        <w:jc w:val="both"/>
        <w:rPr>
          <w:rFonts w:ascii="Times New Roman" w:hAnsi="Times New Roman" w:cs="Times New Roman"/>
          <w:color w:val="000000"/>
          <w:sz w:val="24"/>
          <w:szCs w:val="24"/>
        </w:rPr>
      </w:pPr>
      <w:r w:rsidRPr="009D0EB4">
        <w:rPr>
          <w:rFonts w:ascii="Times New Roman" w:hAnsi="Times New Roman" w:cs="Times New Roman"/>
          <w:color w:val="000000"/>
          <w:sz w:val="24"/>
          <w:szCs w:val="24"/>
        </w:rPr>
        <w:t xml:space="preserve">ÖNCÜ, S. ve R. AKTAŞ, (2007), </w:t>
      </w:r>
      <w:r w:rsidRPr="009D0EB4">
        <w:rPr>
          <w:rFonts w:ascii="Times New Roman" w:hAnsi="Times New Roman" w:cs="Times New Roman"/>
          <w:b/>
          <w:color w:val="000000"/>
          <w:sz w:val="24"/>
          <w:szCs w:val="24"/>
        </w:rPr>
        <w:t xml:space="preserve">Yeniden Yapılandırma Döneminde </w:t>
      </w:r>
      <w:r w:rsidR="007A5298" w:rsidRPr="009D0EB4">
        <w:rPr>
          <w:rFonts w:ascii="Times New Roman" w:hAnsi="Times New Roman" w:cs="Times New Roman"/>
          <w:b/>
          <w:color w:val="000000"/>
          <w:sz w:val="24"/>
          <w:szCs w:val="24"/>
        </w:rPr>
        <w:t>Türk Bankacılık S</w:t>
      </w:r>
      <w:r w:rsidR="00086B94" w:rsidRPr="009D0EB4">
        <w:rPr>
          <w:rFonts w:ascii="Times New Roman" w:hAnsi="Times New Roman" w:cs="Times New Roman"/>
          <w:b/>
          <w:color w:val="000000"/>
          <w:sz w:val="24"/>
          <w:szCs w:val="24"/>
        </w:rPr>
        <w:t>ektörü</w:t>
      </w:r>
      <w:r w:rsidRPr="009D0EB4">
        <w:rPr>
          <w:rFonts w:ascii="Times New Roman" w:hAnsi="Times New Roman" w:cs="Times New Roman"/>
          <w:b/>
          <w:color w:val="000000"/>
          <w:sz w:val="24"/>
          <w:szCs w:val="24"/>
        </w:rPr>
        <w:t>nde Verimlilik Değişimi</w:t>
      </w:r>
      <w:r w:rsidRPr="009D0EB4">
        <w:rPr>
          <w:rFonts w:ascii="Times New Roman" w:hAnsi="Times New Roman" w:cs="Times New Roman"/>
          <w:color w:val="000000"/>
          <w:sz w:val="24"/>
          <w:szCs w:val="24"/>
        </w:rPr>
        <w:t>, Yönetim ve Ekonomi, Cilt 14, Sayı 1, 247-266</w:t>
      </w:r>
      <w:r w:rsidR="006D15FB">
        <w:rPr>
          <w:rFonts w:ascii="Times New Roman" w:hAnsi="Times New Roman" w:cs="Times New Roman"/>
          <w:color w:val="000000"/>
          <w:sz w:val="24"/>
          <w:szCs w:val="24"/>
        </w:rPr>
        <w:t>.</w:t>
      </w:r>
    </w:p>
    <w:p w:rsidR="000149B9" w:rsidRPr="000149B9" w:rsidRDefault="00AC5A8A" w:rsidP="009D0EB4">
      <w:pPr>
        <w:pStyle w:val="Default"/>
        <w:numPr>
          <w:ilvl w:val="0"/>
          <w:numId w:val="9"/>
        </w:numPr>
        <w:spacing w:after="120"/>
        <w:jc w:val="both"/>
      </w:pPr>
      <w:r w:rsidRPr="000149B9">
        <w:t>ÖZDEMİR</w:t>
      </w:r>
      <w:r>
        <w:t>, A. ve</w:t>
      </w:r>
      <w:r w:rsidR="000149B9" w:rsidRPr="000149B9">
        <w:t xml:space="preserve"> </w:t>
      </w:r>
      <w:r>
        <w:t xml:space="preserve">E. </w:t>
      </w:r>
      <w:r w:rsidRPr="000149B9">
        <w:t>DEMİRELİ</w:t>
      </w:r>
      <w:r w:rsidR="000149B9" w:rsidRPr="000149B9">
        <w:t xml:space="preserve">, (2013),  </w:t>
      </w:r>
      <w:r w:rsidR="000149B9" w:rsidRPr="00AC5A8A">
        <w:rPr>
          <w:b/>
        </w:rPr>
        <w:t>Ağırlık Kısıtlı Veri Zarflama Analizi İle Mevduat Bankalarının Etkinlik Ölçümüne Yönelik Bir Uygulama</w:t>
      </w:r>
      <w:r w:rsidR="000149B9" w:rsidRPr="000149B9">
        <w:t>, Uluslararası Yönetim İktisat ve İşletme Dergisi, Cilt 9, Sayı 19, 215-238.</w:t>
      </w:r>
    </w:p>
    <w:p w:rsidR="000149B9" w:rsidRPr="000149B9" w:rsidRDefault="00AC5A8A" w:rsidP="009D0EB4">
      <w:pPr>
        <w:pStyle w:val="Default"/>
        <w:numPr>
          <w:ilvl w:val="0"/>
          <w:numId w:val="9"/>
        </w:numPr>
        <w:spacing w:after="120"/>
        <w:jc w:val="both"/>
      </w:pPr>
      <w:r w:rsidRPr="000149B9">
        <w:t>ŞAKAR</w:t>
      </w:r>
      <w:r w:rsidR="000149B9" w:rsidRPr="000149B9">
        <w:t>, B.</w:t>
      </w:r>
      <w:r>
        <w:t>,</w:t>
      </w:r>
      <w:r w:rsidR="000149B9" w:rsidRPr="000149B9">
        <w:t xml:space="preserve"> (2006), </w:t>
      </w:r>
      <w:r w:rsidR="000149B9" w:rsidRPr="00220F22">
        <w:rPr>
          <w:b/>
        </w:rPr>
        <w:t xml:space="preserve">A </w:t>
      </w:r>
      <w:r w:rsidRPr="00220F22">
        <w:rPr>
          <w:b/>
        </w:rPr>
        <w:t xml:space="preserve">Study on Efficiency and Productivity of </w:t>
      </w:r>
      <w:r w:rsidR="000149B9" w:rsidRPr="00220F22">
        <w:rPr>
          <w:b/>
        </w:rPr>
        <w:t xml:space="preserve">Turkish </w:t>
      </w:r>
      <w:r w:rsidRPr="00220F22">
        <w:rPr>
          <w:b/>
        </w:rPr>
        <w:t xml:space="preserve">Banks in </w:t>
      </w:r>
      <w:r w:rsidR="000149B9" w:rsidRPr="00220F22">
        <w:rPr>
          <w:b/>
        </w:rPr>
        <w:t xml:space="preserve">Istanbul </w:t>
      </w:r>
      <w:r w:rsidRPr="00220F22">
        <w:rPr>
          <w:b/>
        </w:rPr>
        <w:t xml:space="preserve">Stock Exchange Using </w:t>
      </w:r>
      <w:r w:rsidR="000149B9" w:rsidRPr="00220F22">
        <w:rPr>
          <w:b/>
        </w:rPr>
        <w:t>Malmquist DEA</w:t>
      </w:r>
      <w:r w:rsidR="000149B9" w:rsidRPr="000149B9">
        <w:t>, Journal of American Academy of Business, 8, 145-155.</w:t>
      </w:r>
    </w:p>
    <w:p w:rsidR="000149B9" w:rsidRPr="000149B9" w:rsidRDefault="00220F22" w:rsidP="009D0EB4">
      <w:pPr>
        <w:pStyle w:val="Default"/>
        <w:numPr>
          <w:ilvl w:val="0"/>
          <w:numId w:val="9"/>
        </w:numPr>
        <w:spacing w:after="120"/>
        <w:jc w:val="both"/>
      </w:pPr>
      <w:r w:rsidRPr="000149B9">
        <w:t>TARKOÇİN</w:t>
      </w:r>
      <w:r w:rsidR="00236834">
        <w:t>, C. v</w:t>
      </w:r>
      <w:r>
        <w:t>e M.</w:t>
      </w:r>
      <w:r w:rsidR="000149B9" w:rsidRPr="000149B9">
        <w:t xml:space="preserve"> </w:t>
      </w:r>
      <w:r w:rsidR="00236834">
        <w:t>GENC</w:t>
      </w:r>
      <w:r w:rsidRPr="000149B9">
        <w:t>ER</w:t>
      </w:r>
      <w:r w:rsidR="00236834">
        <w:t>, (2010),</w:t>
      </w:r>
      <w:r w:rsidR="000149B9" w:rsidRPr="000149B9">
        <w:t xml:space="preserve"> </w:t>
      </w:r>
      <w:r w:rsidR="000149B9" w:rsidRPr="00220F22">
        <w:rPr>
          <w:b/>
        </w:rPr>
        <w:t xml:space="preserve">Farklı </w:t>
      </w:r>
      <w:r w:rsidR="00A746FD">
        <w:rPr>
          <w:b/>
        </w:rPr>
        <w:t>Girdi v</w:t>
      </w:r>
      <w:r w:rsidRPr="00220F22">
        <w:rPr>
          <w:b/>
        </w:rPr>
        <w:t>e Çıktı Yaklaşımlarının Veri Zarflama Anali</w:t>
      </w:r>
      <w:r w:rsidR="00A746FD">
        <w:rPr>
          <w:b/>
        </w:rPr>
        <w:t>zi Etkinlik Sonuçlarına Etkisi v</w:t>
      </w:r>
      <w:r w:rsidRPr="00220F22">
        <w:rPr>
          <w:b/>
        </w:rPr>
        <w:t xml:space="preserve">e </w:t>
      </w:r>
      <w:r w:rsidR="000149B9" w:rsidRPr="00220F22">
        <w:rPr>
          <w:b/>
        </w:rPr>
        <w:t xml:space="preserve">Türk </w:t>
      </w:r>
      <w:r w:rsidRPr="00220F22">
        <w:rPr>
          <w:b/>
        </w:rPr>
        <w:t>Ticari Bankaları Uygulaması</w:t>
      </w:r>
      <w:r>
        <w:t>,</w:t>
      </w:r>
      <w:r w:rsidR="000149B9" w:rsidRPr="000149B9">
        <w:t xml:space="preserve"> Bankacılar Dergisi, 72, 19-32.</w:t>
      </w:r>
    </w:p>
    <w:p w:rsidR="000149B9" w:rsidRPr="000149B9" w:rsidRDefault="00220F22" w:rsidP="009D0EB4">
      <w:pPr>
        <w:pStyle w:val="Default"/>
        <w:numPr>
          <w:ilvl w:val="0"/>
          <w:numId w:val="9"/>
        </w:numPr>
        <w:spacing w:after="120"/>
        <w:jc w:val="both"/>
      </w:pPr>
      <w:r w:rsidRPr="000149B9">
        <w:t>TİMOR</w:t>
      </w:r>
      <w:r>
        <w:t xml:space="preserve">, M. ve H. </w:t>
      </w:r>
      <w:r w:rsidRPr="000149B9">
        <w:t>MİMARBAŞI</w:t>
      </w:r>
      <w:r w:rsidR="000149B9" w:rsidRPr="000149B9">
        <w:t>, (2013)</w:t>
      </w:r>
      <w:r>
        <w:t>,</w:t>
      </w:r>
      <w:r w:rsidR="000149B9" w:rsidRPr="000149B9">
        <w:t xml:space="preserve"> </w:t>
      </w:r>
      <w:r w:rsidR="000149B9" w:rsidRPr="00220F22">
        <w:rPr>
          <w:b/>
        </w:rPr>
        <w:t>Banka Şube Hizmet Etkinliklerinin Veri Zarflama Analizi ve TOPSIS Yöntemleri İle Karşılaştırılması</w:t>
      </w:r>
      <w:r w:rsidR="00424419">
        <w:t>, İ.</w:t>
      </w:r>
      <w:r w:rsidR="006D15FB">
        <w:t xml:space="preserve"> </w:t>
      </w:r>
      <w:r w:rsidR="000149B9" w:rsidRPr="000149B9">
        <w:t>Ü.</w:t>
      </w:r>
      <w:r>
        <w:t xml:space="preserve"> </w:t>
      </w:r>
      <w:r w:rsidR="000149B9" w:rsidRPr="000149B9">
        <w:t>İşletme Fakültesi İşletme İktisadı Enstitüsü Yönetim Dergisi, Yıl: 24, Sayı: 75, 13-35.</w:t>
      </w:r>
    </w:p>
    <w:sectPr w:rsidR="000149B9" w:rsidRPr="000149B9" w:rsidSect="00E70125">
      <w:footerReference w:type="default" r:id="rId1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B6" w:rsidRDefault="00C56CB6" w:rsidP="004340EA">
      <w:pPr>
        <w:spacing w:after="0" w:line="240" w:lineRule="auto"/>
      </w:pPr>
      <w:r>
        <w:separator/>
      </w:r>
    </w:p>
  </w:endnote>
  <w:endnote w:type="continuationSeparator" w:id="0">
    <w:p w:rsidR="00C56CB6" w:rsidRDefault="00C56CB6" w:rsidP="00434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367"/>
      <w:docPartObj>
        <w:docPartGallery w:val="Page Numbers (Bottom of Page)"/>
        <w:docPartUnique/>
      </w:docPartObj>
    </w:sdtPr>
    <w:sdtEndPr/>
    <w:sdtContent>
      <w:p w:rsidR="00CF3F6C" w:rsidRDefault="00CF3F6C">
        <w:pPr>
          <w:pStyle w:val="Altbilgi"/>
          <w:jc w:val="right"/>
        </w:pPr>
        <w:r>
          <w:fldChar w:fldCharType="begin"/>
        </w:r>
        <w:r>
          <w:instrText xml:space="preserve"> PAGE   \* MERGEFORMAT </w:instrText>
        </w:r>
        <w:r>
          <w:fldChar w:fldCharType="separate"/>
        </w:r>
        <w:r w:rsidR="00C3120E">
          <w:rPr>
            <w:noProof/>
          </w:rPr>
          <w:t>2</w:t>
        </w:r>
        <w:r>
          <w:rPr>
            <w:noProof/>
          </w:rPr>
          <w:fldChar w:fldCharType="end"/>
        </w:r>
      </w:p>
    </w:sdtContent>
  </w:sdt>
  <w:p w:rsidR="00CF3F6C" w:rsidRDefault="00CF3F6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B6" w:rsidRDefault="00C56CB6" w:rsidP="004340EA">
      <w:pPr>
        <w:spacing w:after="0" w:line="240" w:lineRule="auto"/>
      </w:pPr>
      <w:r>
        <w:separator/>
      </w:r>
    </w:p>
  </w:footnote>
  <w:footnote w:type="continuationSeparator" w:id="0">
    <w:p w:rsidR="00C56CB6" w:rsidRDefault="00C56CB6" w:rsidP="004340EA">
      <w:pPr>
        <w:spacing w:after="0" w:line="240" w:lineRule="auto"/>
      </w:pPr>
      <w:r>
        <w:continuationSeparator/>
      </w:r>
    </w:p>
  </w:footnote>
  <w:footnote w:id="1">
    <w:p w:rsidR="00CF3F6C" w:rsidRPr="00393036" w:rsidRDefault="00CF3F6C">
      <w:pPr>
        <w:pStyle w:val="DipnotMetni"/>
        <w:rPr>
          <w:rFonts w:ascii="Times New Roman" w:hAnsi="Times New Roman" w:cs="Times New Roman"/>
          <w:i/>
          <w:sz w:val="22"/>
          <w:szCs w:val="22"/>
        </w:rPr>
      </w:pPr>
      <w:r w:rsidRPr="00393036">
        <w:rPr>
          <w:rStyle w:val="DipnotBavurusu"/>
          <w:rFonts w:ascii="Times New Roman" w:hAnsi="Times New Roman" w:cs="Times New Roman"/>
          <w:sz w:val="22"/>
          <w:szCs w:val="22"/>
        </w:rPr>
        <w:footnoteRef/>
      </w:r>
      <w:r w:rsidRPr="00393036">
        <w:rPr>
          <w:rFonts w:ascii="Times New Roman" w:hAnsi="Times New Roman" w:cs="Times New Roman"/>
          <w:sz w:val="22"/>
          <w:szCs w:val="22"/>
        </w:rPr>
        <w:t xml:space="preserve"> </w:t>
      </w:r>
      <w:r w:rsidRPr="00393036">
        <w:rPr>
          <w:rFonts w:ascii="Times New Roman" w:hAnsi="Times New Roman" w:cs="Times New Roman"/>
          <w:b/>
          <w:i/>
          <w:sz w:val="22"/>
          <w:szCs w:val="22"/>
        </w:rPr>
        <w:t>Serdal ERGÜN,</w:t>
      </w:r>
      <w:r w:rsidRPr="00393036">
        <w:rPr>
          <w:rFonts w:ascii="Times New Roman" w:hAnsi="Times New Roman" w:cs="Times New Roman"/>
          <w:i/>
          <w:sz w:val="22"/>
          <w:szCs w:val="22"/>
        </w:rPr>
        <w:t xml:space="preserve"> Dr., T. C. Bilim, Sanayi ve Teknoloji Bakanlığı, Verimlilik Genel Müdürlüğü, Sanayi ve Teknoloji Uzmanı.</w:t>
      </w:r>
    </w:p>
    <w:p w:rsidR="00CF3F6C" w:rsidRPr="00393036" w:rsidRDefault="00CF3F6C">
      <w:pPr>
        <w:pStyle w:val="DipnotMetni"/>
        <w:rPr>
          <w:rFonts w:ascii="Times New Roman" w:hAnsi="Times New Roman" w:cs="Times New Roman"/>
          <w:i/>
          <w:sz w:val="22"/>
          <w:szCs w:val="22"/>
        </w:rPr>
      </w:pPr>
    </w:p>
  </w:footnote>
  <w:footnote w:id="2">
    <w:p w:rsidR="00CF3F6C" w:rsidRPr="00393036" w:rsidRDefault="00CF3F6C">
      <w:pPr>
        <w:pStyle w:val="DipnotMetni"/>
        <w:rPr>
          <w:rFonts w:ascii="Times New Roman" w:hAnsi="Times New Roman" w:cs="Times New Roman"/>
          <w:i/>
          <w:sz w:val="22"/>
          <w:szCs w:val="22"/>
        </w:rPr>
      </w:pPr>
      <w:r w:rsidRPr="00393036">
        <w:rPr>
          <w:rStyle w:val="DipnotBavurusu"/>
          <w:rFonts w:ascii="Times New Roman" w:hAnsi="Times New Roman" w:cs="Times New Roman"/>
          <w:i/>
          <w:sz w:val="22"/>
          <w:szCs w:val="22"/>
        </w:rPr>
        <w:footnoteRef/>
      </w:r>
      <w:r w:rsidRPr="00393036">
        <w:rPr>
          <w:rFonts w:ascii="Times New Roman" w:hAnsi="Times New Roman" w:cs="Times New Roman"/>
          <w:i/>
          <w:sz w:val="22"/>
          <w:szCs w:val="22"/>
        </w:rPr>
        <w:t xml:space="preserve"> </w:t>
      </w:r>
      <w:r w:rsidRPr="00393036">
        <w:rPr>
          <w:rFonts w:ascii="Times New Roman" w:hAnsi="Times New Roman" w:cs="Times New Roman"/>
          <w:b/>
          <w:i/>
          <w:sz w:val="22"/>
          <w:szCs w:val="22"/>
        </w:rPr>
        <w:t>Nezir KÖSE</w:t>
      </w:r>
      <w:r w:rsidRPr="00393036">
        <w:rPr>
          <w:rFonts w:ascii="Times New Roman" w:hAnsi="Times New Roman" w:cs="Times New Roman"/>
          <w:i/>
          <w:sz w:val="22"/>
          <w:szCs w:val="22"/>
        </w:rPr>
        <w:t>, Prof. Dr., Gazi Üniversitesi, İİBF,  Ekonometri Bölümü.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45747"/>
    <w:multiLevelType w:val="hybridMultilevel"/>
    <w:tmpl w:val="8154185E"/>
    <w:lvl w:ilvl="0" w:tplc="369C5F1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nsid w:val="30543FF2"/>
    <w:multiLevelType w:val="hybridMultilevel"/>
    <w:tmpl w:val="DDC43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7ED4782"/>
    <w:multiLevelType w:val="hybridMultilevel"/>
    <w:tmpl w:val="350ED0CA"/>
    <w:lvl w:ilvl="0" w:tplc="041F000F">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nsid w:val="3C105FC4"/>
    <w:multiLevelType w:val="hybridMultilevel"/>
    <w:tmpl w:val="25CC7D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9F03F91"/>
    <w:multiLevelType w:val="hybridMultilevel"/>
    <w:tmpl w:val="0E52E424"/>
    <w:lvl w:ilvl="0" w:tplc="97F4F7CC">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5">
    <w:nsid w:val="4B040EA3"/>
    <w:multiLevelType w:val="hybridMultilevel"/>
    <w:tmpl w:val="03DA44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3CF76A3"/>
    <w:multiLevelType w:val="hybridMultilevel"/>
    <w:tmpl w:val="95508686"/>
    <w:lvl w:ilvl="0" w:tplc="6B9EFF58">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7">
    <w:nsid w:val="5DEF60A9"/>
    <w:multiLevelType w:val="hybridMultilevel"/>
    <w:tmpl w:val="A9FE0D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A022856"/>
    <w:multiLevelType w:val="hybridMultilevel"/>
    <w:tmpl w:val="1D8A9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3"/>
  </w:num>
  <w:num w:numId="5">
    <w:abstractNumId w:val="8"/>
  </w:num>
  <w:num w:numId="6">
    <w:abstractNumId w:val="4"/>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F734F"/>
    <w:rsid w:val="000001E1"/>
    <w:rsid w:val="00004AC8"/>
    <w:rsid w:val="00013AE7"/>
    <w:rsid w:val="000149B9"/>
    <w:rsid w:val="00025CA5"/>
    <w:rsid w:val="000527F1"/>
    <w:rsid w:val="00060F4C"/>
    <w:rsid w:val="00066A5D"/>
    <w:rsid w:val="00066D35"/>
    <w:rsid w:val="000679FC"/>
    <w:rsid w:val="00086B94"/>
    <w:rsid w:val="00092D42"/>
    <w:rsid w:val="000C531B"/>
    <w:rsid w:val="000D64F3"/>
    <w:rsid w:val="000E1D99"/>
    <w:rsid w:val="000E4EC9"/>
    <w:rsid w:val="000E7AB1"/>
    <w:rsid w:val="000F519B"/>
    <w:rsid w:val="00103CB1"/>
    <w:rsid w:val="0012007D"/>
    <w:rsid w:val="00120258"/>
    <w:rsid w:val="00127A3C"/>
    <w:rsid w:val="00131050"/>
    <w:rsid w:val="00132BD8"/>
    <w:rsid w:val="00141476"/>
    <w:rsid w:val="00142BD9"/>
    <w:rsid w:val="00172CFC"/>
    <w:rsid w:val="00174C85"/>
    <w:rsid w:val="0017570E"/>
    <w:rsid w:val="00177A9D"/>
    <w:rsid w:val="001917C5"/>
    <w:rsid w:val="001A01F8"/>
    <w:rsid w:val="001A0CBB"/>
    <w:rsid w:val="001A2F5F"/>
    <w:rsid w:val="001A40BA"/>
    <w:rsid w:val="001B352B"/>
    <w:rsid w:val="001F2870"/>
    <w:rsid w:val="001F719D"/>
    <w:rsid w:val="001F734F"/>
    <w:rsid w:val="00220F22"/>
    <w:rsid w:val="0022244A"/>
    <w:rsid w:val="00232A53"/>
    <w:rsid w:val="00236834"/>
    <w:rsid w:val="00262DB3"/>
    <w:rsid w:val="002636A1"/>
    <w:rsid w:val="002754FA"/>
    <w:rsid w:val="002866B2"/>
    <w:rsid w:val="002C0B32"/>
    <w:rsid w:val="002C7F14"/>
    <w:rsid w:val="002E64EC"/>
    <w:rsid w:val="00300D7C"/>
    <w:rsid w:val="00301405"/>
    <w:rsid w:val="00321A43"/>
    <w:rsid w:val="00326EB4"/>
    <w:rsid w:val="0033411A"/>
    <w:rsid w:val="00374ECC"/>
    <w:rsid w:val="00374FE6"/>
    <w:rsid w:val="003761C0"/>
    <w:rsid w:val="00392AE9"/>
    <w:rsid w:val="00393036"/>
    <w:rsid w:val="003A009A"/>
    <w:rsid w:val="003D3375"/>
    <w:rsid w:val="003D46EE"/>
    <w:rsid w:val="003F4997"/>
    <w:rsid w:val="003F578A"/>
    <w:rsid w:val="00413259"/>
    <w:rsid w:val="00421ED9"/>
    <w:rsid w:val="00424419"/>
    <w:rsid w:val="004340EA"/>
    <w:rsid w:val="00443CD0"/>
    <w:rsid w:val="00457BCE"/>
    <w:rsid w:val="004658A8"/>
    <w:rsid w:val="00484001"/>
    <w:rsid w:val="004912AC"/>
    <w:rsid w:val="004D062F"/>
    <w:rsid w:val="004E0BB1"/>
    <w:rsid w:val="004F6D87"/>
    <w:rsid w:val="00500F7C"/>
    <w:rsid w:val="00516F5F"/>
    <w:rsid w:val="00530B7C"/>
    <w:rsid w:val="00546919"/>
    <w:rsid w:val="00560964"/>
    <w:rsid w:val="00565E8C"/>
    <w:rsid w:val="00585045"/>
    <w:rsid w:val="005947C9"/>
    <w:rsid w:val="005953EA"/>
    <w:rsid w:val="005B1E2C"/>
    <w:rsid w:val="005C5DB2"/>
    <w:rsid w:val="005D17C3"/>
    <w:rsid w:val="005F6D81"/>
    <w:rsid w:val="006101EF"/>
    <w:rsid w:val="00640302"/>
    <w:rsid w:val="00646F9C"/>
    <w:rsid w:val="0065266B"/>
    <w:rsid w:val="0065652B"/>
    <w:rsid w:val="00656641"/>
    <w:rsid w:val="00664A20"/>
    <w:rsid w:val="00670615"/>
    <w:rsid w:val="006868D2"/>
    <w:rsid w:val="006A5BDF"/>
    <w:rsid w:val="006C312C"/>
    <w:rsid w:val="006C52FE"/>
    <w:rsid w:val="006C641F"/>
    <w:rsid w:val="006D15FB"/>
    <w:rsid w:val="00724E9E"/>
    <w:rsid w:val="00730975"/>
    <w:rsid w:val="00745449"/>
    <w:rsid w:val="007509EF"/>
    <w:rsid w:val="00757A50"/>
    <w:rsid w:val="00766BB7"/>
    <w:rsid w:val="00767ADC"/>
    <w:rsid w:val="00782D31"/>
    <w:rsid w:val="00787C40"/>
    <w:rsid w:val="007A5298"/>
    <w:rsid w:val="007B220E"/>
    <w:rsid w:val="007B4502"/>
    <w:rsid w:val="007C4181"/>
    <w:rsid w:val="007D4FA4"/>
    <w:rsid w:val="007E2075"/>
    <w:rsid w:val="007F3043"/>
    <w:rsid w:val="007F4D2A"/>
    <w:rsid w:val="008011C2"/>
    <w:rsid w:val="00803C1E"/>
    <w:rsid w:val="00807BA1"/>
    <w:rsid w:val="0081188D"/>
    <w:rsid w:val="008129AA"/>
    <w:rsid w:val="00816B15"/>
    <w:rsid w:val="008300EC"/>
    <w:rsid w:val="00832CEE"/>
    <w:rsid w:val="00846AA3"/>
    <w:rsid w:val="008704E0"/>
    <w:rsid w:val="00893802"/>
    <w:rsid w:val="0089739C"/>
    <w:rsid w:val="008A28E8"/>
    <w:rsid w:val="008A3792"/>
    <w:rsid w:val="008B19B9"/>
    <w:rsid w:val="008C0875"/>
    <w:rsid w:val="008D1059"/>
    <w:rsid w:val="008E230B"/>
    <w:rsid w:val="008E3203"/>
    <w:rsid w:val="008F29DD"/>
    <w:rsid w:val="008F7BCF"/>
    <w:rsid w:val="00905656"/>
    <w:rsid w:val="00907E3E"/>
    <w:rsid w:val="00913F54"/>
    <w:rsid w:val="009247B0"/>
    <w:rsid w:val="00957481"/>
    <w:rsid w:val="00971986"/>
    <w:rsid w:val="0097238C"/>
    <w:rsid w:val="0097575F"/>
    <w:rsid w:val="00981F0D"/>
    <w:rsid w:val="00994D02"/>
    <w:rsid w:val="009A47BF"/>
    <w:rsid w:val="009B7043"/>
    <w:rsid w:val="009C389A"/>
    <w:rsid w:val="009C419A"/>
    <w:rsid w:val="009D0EB4"/>
    <w:rsid w:val="009D69D6"/>
    <w:rsid w:val="00A0688A"/>
    <w:rsid w:val="00A1364D"/>
    <w:rsid w:val="00A20DF6"/>
    <w:rsid w:val="00A22400"/>
    <w:rsid w:val="00A265E6"/>
    <w:rsid w:val="00A4692C"/>
    <w:rsid w:val="00A514F1"/>
    <w:rsid w:val="00A746FD"/>
    <w:rsid w:val="00A74F5D"/>
    <w:rsid w:val="00A77703"/>
    <w:rsid w:val="00A84689"/>
    <w:rsid w:val="00A96EAC"/>
    <w:rsid w:val="00AA45F1"/>
    <w:rsid w:val="00AC5A8A"/>
    <w:rsid w:val="00AD11B5"/>
    <w:rsid w:val="00AE1525"/>
    <w:rsid w:val="00AF73C7"/>
    <w:rsid w:val="00B04374"/>
    <w:rsid w:val="00B04F35"/>
    <w:rsid w:val="00B15DC5"/>
    <w:rsid w:val="00B23978"/>
    <w:rsid w:val="00B24485"/>
    <w:rsid w:val="00B814D2"/>
    <w:rsid w:val="00B91957"/>
    <w:rsid w:val="00BA0B6E"/>
    <w:rsid w:val="00BA21D7"/>
    <w:rsid w:val="00BA634D"/>
    <w:rsid w:val="00BB0C0E"/>
    <w:rsid w:val="00BB6847"/>
    <w:rsid w:val="00BD0C23"/>
    <w:rsid w:val="00BD4E02"/>
    <w:rsid w:val="00BF108D"/>
    <w:rsid w:val="00BF48DD"/>
    <w:rsid w:val="00BF696C"/>
    <w:rsid w:val="00C108A8"/>
    <w:rsid w:val="00C3120E"/>
    <w:rsid w:val="00C426A9"/>
    <w:rsid w:val="00C56CB6"/>
    <w:rsid w:val="00C66CAA"/>
    <w:rsid w:val="00C77DBE"/>
    <w:rsid w:val="00C90CDA"/>
    <w:rsid w:val="00C97605"/>
    <w:rsid w:val="00CB74AC"/>
    <w:rsid w:val="00CD448F"/>
    <w:rsid w:val="00CF3F6C"/>
    <w:rsid w:val="00D06B99"/>
    <w:rsid w:val="00D113E6"/>
    <w:rsid w:val="00D2047F"/>
    <w:rsid w:val="00D21649"/>
    <w:rsid w:val="00D32998"/>
    <w:rsid w:val="00D35CD5"/>
    <w:rsid w:val="00D56E97"/>
    <w:rsid w:val="00D74083"/>
    <w:rsid w:val="00D76719"/>
    <w:rsid w:val="00D827AF"/>
    <w:rsid w:val="00D95094"/>
    <w:rsid w:val="00DF72E0"/>
    <w:rsid w:val="00E23ED6"/>
    <w:rsid w:val="00E70125"/>
    <w:rsid w:val="00E70BDB"/>
    <w:rsid w:val="00E75BF6"/>
    <w:rsid w:val="00E94832"/>
    <w:rsid w:val="00E94C75"/>
    <w:rsid w:val="00E94D4C"/>
    <w:rsid w:val="00EA3875"/>
    <w:rsid w:val="00EB5058"/>
    <w:rsid w:val="00ED50B3"/>
    <w:rsid w:val="00EE60AC"/>
    <w:rsid w:val="00EF12DC"/>
    <w:rsid w:val="00EF321C"/>
    <w:rsid w:val="00EF356F"/>
    <w:rsid w:val="00F319A7"/>
    <w:rsid w:val="00F44318"/>
    <w:rsid w:val="00F642FD"/>
    <w:rsid w:val="00F86C10"/>
    <w:rsid w:val="00FA2174"/>
    <w:rsid w:val="00FB68F8"/>
    <w:rsid w:val="00FB735D"/>
    <w:rsid w:val="00FC03B9"/>
    <w:rsid w:val="00FE30E5"/>
    <w:rsid w:val="00FE3F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125"/>
  </w:style>
  <w:style w:type="paragraph" w:styleId="Balk1">
    <w:name w:val="heading 1"/>
    <w:basedOn w:val="Normal"/>
    <w:next w:val="Normal"/>
    <w:link w:val="Balk1Char"/>
    <w:qFormat/>
    <w:rsid w:val="00807BA1"/>
    <w:pPr>
      <w:keepNext/>
      <w:spacing w:before="240" w:after="60" w:line="240" w:lineRule="auto"/>
      <w:outlineLvl w:val="0"/>
    </w:pPr>
    <w:rPr>
      <w:rFonts w:ascii="Times New Roman" w:eastAsia="Times New Roman" w:hAnsi="Times New Roman" w:cs="Times New Roman"/>
      <w:b/>
      <w:bCs/>
      <w:kern w:val="32"/>
      <w:sz w:val="24"/>
      <w:szCs w:val="32"/>
      <w:lang w:eastAsia="tr-TR"/>
    </w:rPr>
  </w:style>
  <w:style w:type="paragraph" w:styleId="Balk2">
    <w:name w:val="heading 2"/>
    <w:basedOn w:val="Normal"/>
    <w:next w:val="Normal"/>
    <w:link w:val="Balk2Char"/>
    <w:uiPriority w:val="9"/>
    <w:semiHidden/>
    <w:unhideWhenUsed/>
    <w:qFormat/>
    <w:rsid w:val="006868D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semiHidden/>
    <w:unhideWhenUsed/>
    <w:qFormat/>
    <w:rsid w:val="006868D2"/>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00D7C"/>
    <w:pPr>
      <w:spacing w:after="0" w:line="240" w:lineRule="auto"/>
    </w:pPr>
  </w:style>
  <w:style w:type="character" w:styleId="YerTutucuMetni">
    <w:name w:val="Placeholder Text"/>
    <w:basedOn w:val="VarsaylanParagrafYazTipi"/>
    <w:uiPriority w:val="99"/>
    <w:semiHidden/>
    <w:rsid w:val="00421ED9"/>
    <w:rPr>
      <w:color w:val="808080"/>
    </w:rPr>
  </w:style>
  <w:style w:type="character" w:customStyle="1" w:styleId="Balk1Char">
    <w:name w:val="Başlık 1 Char"/>
    <w:basedOn w:val="VarsaylanParagrafYazTipi"/>
    <w:link w:val="Balk1"/>
    <w:rsid w:val="00807BA1"/>
    <w:rPr>
      <w:rFonts w:ascii="Times New Roman" w:eastAsia="Times New Roman" w:hAnsi="Times New Roman" w:cs="Times New Roman"/>
      <w:b/>
      <w:bCs/>
      <w:kern w:val="32"/>
      <w:sz w:val="24"/>
      <w:szCs w:val="32"/>
      <w:lang w:eastAsia="tr-TR"/>
    </w:rPr>
  </w:style>
  <w:style w:type="paragraph" w:styleId="AltKonuBal">
    <w:name w:val="Subtitle"/>
    <w:basedOn w:val="Normal"/>
    <w:next w:val="Normal"/>
    <w:link w:val="AltKonuBalChar"/>
    <w:qFormat/>
    <w:rsid w:val="00807BA1"/>
    <w:pPr>
      <w:spacing w:after="60" w:line="240" w:lineRule="auto"/>
      <w:jc w:val="center"/>
      <w:outlineLvl w:val="1"/>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rsid w:val="00807BA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868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68D2"/>
    <w:rPr>
      <w:rFonts w:ascii="Tahoma" w:hAnsi="Tahoma" w:cs="Tahoma"/>
      <w:sz w:val="16"/>
      <w:szCs w:val="16"/>
    </w:rPr>
  </w:style>
  <w:style w:type="character" w:customStyle="1" w:styleId="Balk2Char">
    <w:name w:val="Başlık 2 Char"/>
    <w:basedOn w:val="VarsaylanParagrafYazTipi"/>
    <w:link w:val="Balk2"/>
    <w:uiPriority w:val="9"/>
    <w:semiHidden/>
    <w:rsid w:val="006868D2"/>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uiPriority w:val="9"/>
    <w:semiHidden/>
    <w:rsid w:val="006868D2"/>
    <w:rPr>
      <w:rFonts w:asciiTheme="majorHAnsi" w:eastAsiaTheme="majorEastAsia" w:hAnsiTheme="majorHAnsi" w:cstheme="majorBidi"/>
      <w:b/>
      <w:bCs/>
      <w:color w:val="5B9BD5" w:themeColor="accent1"/>
    </w:rPr>
  </w:style>
  <w:style w:type="table" w:styleId="TabloKlavuzu">
    <w:name w:val="Table Grid"/>
    <w:basedOn w:val="NormalTablo"/>
    <w:uiPriority w:val="39"/>
    <w:rsid w:val="00B24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F321C"/>
    <w:pPr>
      <w:ind w:left="720"/>
      <w:contextualSpacing/>
    </w:pPr>
  </w:style>
  <w:style w:type="paragraph" w:customStyle="1" w:styleId="Default">
    <w:name w:val="Default"/>
    <w:rsid w:val="001A0CBB"/>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semiHidden/>
    <w:unhideWhenUsed/>
    <w:rsid w:val="004340E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340EA"/>
    <w:rPr>
      <w:sz w:val="20"/>
      <w:szCs w:val="20"/>
    </w:rPr>
  </w:style>
  <w:style w:type="character" w:styleId="DipnotBavurusu">
    <w:name w:val="footnote reference"/>
    <w:basedOn w:val="VarsaylanParagrafYazTipi"/>
    <w:uiPriority w:val="99"/>
    <w:semiHidden/>
    <w:unhideWhenUsed/>
    <w:rsid w:val="004340EA"/>
    <w:rPr>
      <w:vertAlign w:val="superscript"/>
    </w:rPr>
  </w:style>
  <w:style w:type="paragraph" w:styleId="stbilgi">
    <w:name w:val="header"/>
    <w:basedOn w:val="Normal"/>
    <w:link w:val="stbilgiChar"/>
    <w:uiPriority w:val="99"/>
    <w:unhideWhenUsed/>
    <w:rsid w:val="00A74F5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4F5D"/>
  </w:style>
  <w:style w:type="paragraph" w:styleId="Altbilgi">
    <w:name w:val="footer"/>
    <w:basedOn w:val="Normal"/>
    <w:link w:val="AltbilgiChar"/>
    <w:uiPriority w:val="99"/>
    <w:unhideWhenUsed/>
    <w:rsid w:val="00A74F5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4F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140512">
      <w:bodyDiv w:val="1"/>
      <w:marLeft w:val="0"/>
      <w:marRight w:val="0"/>
      <w:marTop w:val="0"/>
      <w:marBottom w:val="0"/>
      <w:divBdr>
        <w:top w:val="none" w:sz="0" w:space="0" w:color="auto"/>
        <w:left w:val="none" w:sz="0" w:space="0" w:color="auto"/>
        <w:bottom w:val="none" w:sz="0" w:space="0" w:color="auto"/>
        <w:right w:val="none" w:sz="0" w:space="0" w:color="auto"/>
      </w:divBdr>
    </w:div>
    <w:div w:id="570046548">
      <w:bodyDiv w:val="1"/>
      <w:marLeft w:val="0"/>
      <w:marRight w:val="0"/>
      <w:marTop w:val="0"/>
      <w:marBottom w:val="0"/>
      <w:divBdr>
        <w:top w:val="none" w:sz="0" w:space="0" w:color="auto"/>
        <w:left w:val="none" w:sz="0" w:space="0" w:color="auto"/>
        <w:bottom w:val="none" w:sz="0" w:space="0" w:color="auto"/>
        <w:right w:val="none" w:sz="0" w:space="0" w:color="auto"/>
      </w:divBdr>
    </w:div>
    <w:div w:id="623384515">
      <w:bodyDiv w:val="1"/>
      <w:marLeft w:val="0"/>
      <w:marRight w:val="0"/>
      <w:marTop w:val="0"/>
      <w:marBottom w:val="0"/>
      <w:divBdr>
        <w:top w:val="none" w:sz="0" w:space="0" w:color="auto"/>
        <w:left w:val="none" w:sz="0" w:space="0" w:color="auto"/>
        <w:bottom w:val="none" w:sz="0" w:space="0" w:color="auto"/>
        <w:right w:val="none" w:sz="0" w:space="0" w:color="auto"/>
      </w:divBdr>
    </w:div>
    <w:div w:id="678656855">
      <w:bodyDiv w:val="1"/>
      <w:marLeft w:val="0"/>
      <w:marRight w:val="0"/>
      <w:marTop w:val="0"/>
      <w:marBottom w:val="0"/>
      <w:divBdr>
        <w:top w:val="none" w:sz="0" w:space="0" w:color="auto"/>
        <w:left w:val="none" w:sz="0" w:space="0" w:color="auto"/>
        <w:bottom w:val="none" w:sz="0" w:space="0" w:color="auto"/>
        <w:right w:val="none" w:sz="0" w:space="0" w:color="auto"/>
      </w:divBdr>
    </w:div>
    <w:div w:id="1066416904">
      <w:bodyDiv w:val="1"/>
      <w:marLeft w:val="0"/>
      <w:marRight w:val="0"/>
      <w:marTop w:val="0"/>
      <w:marBottom w:val="0"/>
      <w:divBdr>
        <w:top w:val="none" w:sz="0" w:space="0" w:color="auto"/>
        <w:left w:val="none" w:sz="0" w:space="0" w:color="auto"/>
        <w:bottom w:val="none" w:sz="0" w:space="0" w:color="auto"/>
        <w:right w:val="none" w:sz="0" w:space="0" w:color="auto"/>
      </w:divBdr>
    </w:div>
    <w:div w:id="1255552490">
      <w:bodyDiv w:val="1"/>
      <w:marLeft w:val="0"/>
      <w:marRight w:val="0"/>
      <w:marTop w:val="0"/>
      <w:marBottom w:val="0"/>
      <w:divBdr>
        <w:top w:val="none" w:sz="0" w:space="0" w:color="auto"/>
        <w:left w:val="none" w:sz="0" w:space="0" w:color="auto"/>
        <w:bottom w:val="none" w:sz="0" w:space="0" w:color="auto"/>
        <w:right w:val="none" w:sz="0" w:space="0" w:color="auto"/>
      </w:divBdr>
    </w:div>
    <w:div w:id="1600865188">
      <w:bodyDiv w:val="1"/>
      <w:marLeft w:val="0"/>
      <w:marRight w:val="0"/>
      <w:marTop w:val="0"/>
      <w:marBottom w:val="0"/>
      <w:divBdr>
        <w:top w:val="none" w:sz="0" w:space="0" w:color="auto"/>
        <w:left w:val="none" w:sz="0" w:space="0" w:color="auto"/>
        <w:bottom w:val="none" w:sz="0" w:space="0" w:color="auto"/>
        <w:right w:val="none" w:sz="0" w:space="0" w:color="auto"/>
      </w:divBdr>
    </w:div>
    <w:div w:id="186647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1.wmf"/><Relationship Id="rId112" Type="http://schemas.openxmlformats.org/officeDocument/2006/relationships/oleObject" Target="embeddings/oleObject52.bin"/><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image" Target="media/image44.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13" Type="http://schemas.openxmlformats.org/officeDocument/2006/relationships/image" Target="media/image53.wmf"/><Relationship Id="rId118" Type="http://schemas.openxmlformats.org/officeDocument/2006/relationships/oleObject" Target="embeddings/oleObject55.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hyperlink" Target="http://www.sciencedirect.com/science/journal/10424431"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oleObject" Target="embeddings/oleObject50.bin"/><Relationship Id="rId116" Type="http://schemas.openxmlformats.org/officeDocument/2006/relationships/oleObject" Target="embeddings/oleObject54.bin"/><Relationship Id="rId124"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0.bin"/><Relationship Id="rId91" Type="http://schemas.openxmlformats.org/officeDocument/2006/relationships/image" Target="media/image42.wmf"/><Relationship Id="rId96" Type="http://schemas.openxmlformats.org/officeDocument/2006/relationships/oleObject" Target="embeddings/oleObject44.bin"/><Relationship Id="rId111" Type="http://schemas.openxmlformats.org/officeDocument/2006/relationships/image" Target="media/image5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image" Target="media/image56.gi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image" Target="media/image57.gif"/><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image" Target="media/image54.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F778D-0AF3-45C2-9CF7-ACDC3764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22</Pages>
  <Words>9159</Words>
  <Characters>52212</Characters>
  <Application>Microsoft Office Word</Application>
  <DocSecurity>0</DocSecurity>
  <Lines>435</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Sevgin Fettahoğlu</cp:lastModifiedBy>
  <cp:revision>100</cp:revision>
  <cp:lastPrinted>2015-02-23T15:26:00Z</cp:lastPrinted>
  <dcterms:created xsi:type="dcterms:W3CDTF">2015-02-23T15:26:00Z</dcterms:created>
  <dcterms:modified xsi:type="dcterms:W3CDTF">2015-05-08T09:23:00Z</dcterms:modified>
</cp:coreProperties>
</file>