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093"/>
        <w:gridCol w:w="3544"/>
        <w:gridCol w:w="1559"/>
        <w:gridCol w:w="2090"/>
      </w:tblGrid>
      <w:tr w:rsidR="00DD6F21" w:rsidRPr="00DD6F21" w:rsidTr="00324E89">
        <w:tc>
          <w:tcPr>
            <w:tcW w:w="2093" w:type="dxa"/>
            <w:tcBorders>
              <w:top w:val="single" w:sz="2" w:space="0" w:color="663300"/>
              <w:bottom w:val="single" w:sz="2" w:space="0" w:color="663300"/>
            </w:tcBorders>
            <w:vAlign w:val="center"/>
          </w:tcPr>
          <w:p w:rsidR="00DD6F21" w:rsidRPr="00DD6F21" w:rsidRDefault="00DD6F21" w:rsidP="000A2C7D">
            <w:pPr>
              <w:ind w:right="-108" w:firstLine="0"/>
              <w:jc w:val="center"/>
            </w:pPr>
          </w:p>
        </w:tc>
        <w:tc>
          <w:tcPr>
            <w:tcW w:w="5103" w:type="dxa"/>
            <w:gridSpan w:val="2"/>
            <w:tcBorders>
              <w:top w:val="single" w:sz="2" w:space="0" w:color="663300"/>
              <w:bottom w:val="single" w:sz="2" w:space="0" w:color="663300"/>
            </w:tcBorders>
            <w:vAlign w:val="center"/>
          </w:tcPr>
          <w:p w:rsidR="00E63EF5" w:rsidRDefault="00E63EF5" w:rsidP="00971A2A">
            <w:pPr>
              <w:spacing w:before="0" w:after="0"/>
              <w:ind w:firstLine="0"/>
              <w:jc w:val="center"/>
              <w:rPr>
                <w:b/>
                <w:sz w:val="44"/>
                <w:szCs w:val="48"/>
              </w:rPr>
            </w:pPr>
            <w:r>
              <w:rPr>
                <w:b/>
                <w:sz w:val="44"/>
                <w:szCs w:val="48"/>
              </w:rPr>
              <w:t xml:space="preserve">Yıldız </w:t>
            </w:r>
          </w:p>
          <w:p w:rsidR="00DD6F21" w:rsidRPr="00E63EF5" w:rsidRDefault="00E63EF5" w:rsidP="00971A2A">
            <w:pPr>
              <w:spacing w:before="0" w:after="0"/>
              <w:ind w:left="-108" w:right="-108" w:firstLine="0"/>
              <w:jc w:val="center"/>
              <w:rPr>
                <w:sz w:val="40"/>
                <w:szCs w:val="44"/>
              </w:rPr>
            </w:pPr>
            <w:r w:rsidRPr="00E63EF5">
              <w:rPr>
                <w:b/>
                <w:sz w:val="40"/>
                <w:szCs w:val="44"/>
              </w:rPr>
              <w:t xml:space="preserve">Sosyal Bilimler Enstitüsü Dergisi </w:t>
            </w:r>
          </w:p>
          <w:p w:rsidR="00DD6F21" w:rsidRPr="00DD6F21" w:rsidRDefault="00E63EF5" w:rsidP="00260F5A">
            <w:pPr>
              <w:jc w:val="center"/>
              <w:rPr>
                <w:b/>
                <w:sz w:val="44"/>
              </w:rPr>
            </w:pPr>
            <w:r>
              <w:rPr>
                <w:sz w:val="24"/>
                <w:szCs w:val="48"/>
              </w:rPr>
              <w:t>(2017</w:t>
            </w:r>
            <w:r w:rsidR="00260F5A" w:rsidRPr="006339DA">
              <w:rPr>
                <w:sz w:val="24"/>
                <w:szCs w:val="48"/>
              </w:rPr>
              <w:t xml:space="preserve">) </w:t>
            </w:r>
            <w:r w:rsidR="005C32FC" w:rsidRPr="006339DA">
              <w:rPr>
                <w:sz w:val="24"/>
                <w:szCs w:val="48"/>
              </w:rPr>
              <w:t>Cilt XX</w:t>
            </w:r>
            <w:r w:rsidR="00260F5A">
              <w:rPr>
                <w:sz w:val="24"/>
                <w:szCs w:val="48"/>
              </w:rPr>
              <w:t>,</w:t>
            </w:r>
            <w:r w:rsidR="005C32FC" w:rsidRPr="006339DA">
              <w:rPr>
                <w:sz w:val="24"/>
                <w:szCs w:val="48"/>
              </w:rPr>
              <w:t xml:space="preserve"> Sayı XX</w:t>
            </w:r>
            <w:r w:rsidR="00260F5A">
              <w:rPr>
                <w:sz w:val="24"/>
                <w:szCs w:val="48"/>
              </w:rPr>
              <w:t>,</w:t>
            </w:r>
            <w:r w:rsidR="005C32FC" w:rsidRPr="006339DA">
              <w:rPr>
                <w:sz w:val="24"/>
                <w:szCs w:val="48"/>
              </w:rPr>
              <w:t xml:space="preserve"> </w:t>
            </w:r>
            <w:r w:rsidR="00AC4D62">
              <w:rPr>
                <w:sz w:val="24"/>
                <w:szCs w:val="48"/>
              </w:rPr>
              <w:t>s</w:t>
            </w:r>
            <w:r w:rsidR="00E66ED6">
              <w:rPr>
                <w:sz w:val="24"/>
                <w:szCs w:val="48"/>
              </w:rPr>
              <w:t xml:space="preserve">. </w:t>
            </w:r>
            <w:r w:rsidR="00AC4D62">
              <w:rPr>
                <w:sz w:val="24"/>
                <w:szCs w:val="48"/>
              </w:rPr>
              <w:t>xx-xx</w:t>
            </w:r>
          </w:p>
        </w:tc>
        <w:tc>
          <w:tcPr>
            <w:tcW w:w="2090" w:type="dxa"/>
            <w:tcBorders>
              <w:top w:val="single" w:sz="2" w:space="0" w:color="663300"/>
              <w:bottom w:val="single" w:sz="2" w:space="0" w:color="663300"/>
            </w:tcBorders>
            <w:vAlign w:val="center"/>
          </w:tcPr>
          <w:p w:rsidR="00DD6F21" w:rsidRPr="00DD6F21" w:rsidRDefault="00DD6F21" w:rsidP="000A2C7D">
            <w:pPr>
              <w:ind w:left="-108" w:firstLine="0"/>
              <w:jc w:val="center"/>
              <w:rPr>
                <w:sz w:val="28"/>
              </w:rPr>
            </w:pPr>
          </w:p>
        </w:tc>
      </w:tr>
      <w:tr w:rsidR="00481933" w:rsidRPr="00DD6F21" w:rsidTr="00324E89">
        <w:tc>
          <w:tcPr>
            <w:tcW w:w="9286" w:type="dxa"/>
            <w:gridSpan w:val="4"/>
            <w:tcBorders>
              <w:top w:val="single" w:sz="2" w:space="0" w:color="663300"/>
            </w:tcBorders>
            <w:vAlign w:val="center"/>
          </w:tcPr>
          <w:p w:rsidR="00545275" w:rsidRPr="00545275" w:rsidRDefault="00545275" w:rsidP="00545275">
            <w:pPr>
              <w:ind w:left="567"/>
              <w:jc w:val="center"/>
              <w:rPr>
                <w:rFonts w:cs="Times New Roman"/>
                <w:b/>
                <w:sz w:val="24"/>
                <w:szCs w:val="24"/>
              </w:rPr>
            </w:pPr>
            <w:bookmarkStart w:id="0" w:name="_GoBack"/>
            <w:r w:rsidRPr="00545275">
              <w:rPr>
                <w:rFonts w:cs="Times New Roman"/>
                <w:b/>
                <w:sz w:val="24"/>
                <w:szCs w:val="24"/>
              </w:rPr>
              <w:t xml:space="preserve">JURNALLER ÜZERİNE BİR TARİHYAZIMI DENEMESİ: </w:t>
            </w:r>
          </w:p>
          <w:p w:rsidR="00545275" w:rsidRPr="00545275" w:rsidRDefault="00545275" w:rsidP="00545275">
            <w:pPr>
              <w:spacing w:line="360" w:lineRule="auto"/>
              <w:ind w:left="567"/>
              <w:jc w:val="center"/>
              <w:rPr>
                <w:rFonts w:cs="Times New Roman"/>
                <w:b/>
                <w:sz w:val="24"/>
                <w:szCs w:val="24"/>
              </w:rPr>
            </w:pPr>
            <w:r w:rsidRPr="00545275">
              <w:rPr>
                <w:rFonts w:cs="Times New Roman"/>
                <w:b/>
                <w:sz w:val="24"/>
                <w:szCs w:val="24"/>
              </w:rPr>
              <w:t>KIRIMÎ-ZÂDE NEŞET EFENDİ ÖRNEĞİ</w:t>
            </w:r>
          </w:p>
          <w:bookmarkEnd w:id="0"/>
          <w:p w:rsidR="00173870" w:rsidRPr="00545275" w:rsidRDefault="00545275" w:rsidP="00173870">
            <w:pPr>
              <w:jc w:val="center"/>
              <w:rPr>
                <w:b/>
                <w:bCs/>
                <w:sz w:val="24"/>
                <w:szCs w:val="24"/>
              </w:rPr>
            </w:pPr>
            <w:r w:rsidRPr="00545275">
              <w:rPr>
                <w:b/>
                <w:bCs/>
                <w:sz w:val="24"/>
                <w:szCs w:val="24"/>
              </w:rPr>
              <w:t>Emre Gör</w:t>
            </w:r>
            <w:r w:rsidRPr="00545275">
              <w:rPr>
                <w:rStyle w:val="DipnotBavurusu"/>
                <w:rFonts w:cs="Times New Roman"/>
                <w:sz w:val="24"/>
                <w:szCs w:val="24"/>
              </w:rPr>
              <w:footnoteReference w:customMarkFollows="1" w:id="1"/>
              <w:sym w:font="Symbol" w:char="F02A"/>
            </w:r>
          </w:p>
        </w:tc>
      </w:tr>
      <w:tr w:rsidR="00481933" w:rsidRPr="00DD6F21" w:rsidTr="00804360">
        <w:trPr>
          <w:trHeight w:val="524"/>
        </w:trPr>
        <w:tc>
          <w:tcPr>
            <w:tcW w:w="5637" w:type="dxa"/>
            <w:gridSpan w:val="2"/>
            <w:tcBorders>
              <w:top w:val="single" w:sz="2" w:space="0" w:color="663300"/>
              <w:bottom w:val="single" w:sz="2" w:space="0" w:color="663300"/>
            </w:tcBorders>
            <w:vAlign w:val="bottom"/>
          </w:tcPr>
          <w:p w:rsidR="00481933" w:rsidRPr="00DD6F21" w:rsidRDefault="00481933" w:rsidP="00804360">
            <w:pPr>
              <w:spacing w:after="0"/>
              <w:ind w:firstLine="0"/>
              <w:rPr>
                <w:b/>
              </w:rPr>
            </w:pPr>
            <w:r w:rsidRPr="00DD6F21">
              <w:rPr>
                <w:b/>
              </w:rPr>
              <w:t>Özet</w:t>
            </w:r>
          </w:p>
        </w:tc>
        <w:tc>
          <w:tcPr>
            <w:tcW w:w="3649" w:type="dxa"/>
            <w:gridSpan w:val="2"/>
            <w:tcBorders>
              <w:top w:val="single" w:sz="2" w:space="0" w:color="663300"/>
              <w:bottom w:val="single" w:sz="2" w:space="0" w:color="663300"/>
            </w:tcBorders>
            <w:vAlign w:val="bottom"/>
          </w:tcPr>
          <w:p w:rsidR="00481933" w:rsidRPr="00DD6F21" w:rsidRDefault="006A4455" w:rsidP="00804360">
            <w:pPr>
              <w:spacing w:after="0"/>
              <w:jc w:val="right"/>
              <w:rPr>
                <w:b/>
              </w:rPr>
            </w:pPr>
            <w:r w:rsidRPr="00DD6F21">
              <w:rPr>
                <w:b/>
              </w:rPr>
              <w:t>Anahtar Kelimeler</w:t>
            </w:r>
          </w:p>
        </w:tc>
      </w:tr>
      <w:tr w:rsidR="006A4455" w:rsidRPr="00DD6F21" w:rsidTr="00324E89">
        <w:tc>
          <w:tcPr>
            <w:tcW w:w="5637" w:type="dxa"/>
            <w:gridSpan w:val="2"/>
            <w:vMerge w:val="restart"/>
            <w:tcBorders>
              <w:top w:val="single" w:sz="2" w:space="0" w:color="663300"/>
              <w:bottom w:val="single" w:sz="2" w:space="0" w:color="663300"/>
            </w:tcBorders>
            <w:vAlign w:val="center"/>
          </w:tcPr>
          <w:p w:rsidR="00545275" w:rsidRPr="00545275" w:rsidRDefault="00545275" w:rsidP="00545275">
            <w:pPr>
              <w:autoSpaceDE w:val="0"/>
              <w:autoSpaceDN w:val="0"/>
              <w:adjustRightInd w:val="0"/>
              <w:spacing w:line="360" w:lineRule="auto"/>
              <w:ind w:left="567" w:right="566"/>
              <w:rPr>
                <w:rFonts w:eastAsia="TimesNewRoman" w:cs="Times New Roman"/>
              </w:rPr>
            </w:pPr>
            <w:r w:rsidRPr="00545275">
              <w:rPr>
                <w:rFonts w:eastAsia="TimesNewRoman" w:cs="Times New Roman"/>
              </w:rPr>
              <w:t>Osmanlı İmparatorluğu’nun parçalanma ve çöküş sürecinde başa geçmiş olan II. Abdülhamid, bu gidişatın önüne geçmek için iç ve dış politikada bir takım tedbirler almıştır. Bu tedbirlerden biri de, hiç şüphesiz, istihbarat ağıdır. Bu çalışma, dönemin istihbarat ağının bir parçası olan jurnallere, yani istihbarat raporlarına odaklanmaktadır. Çalışmada, 1891-1893 yılları arasında Yıldız Sarayı’na bağlı istihbarat elemanı olarak çalışan Kırımî-z</w:t>
            </w:r>
            <w:r w:rsidRPr="00545275">
              <w:rPr>
                <w:rFonts w:ascii="Times New Roman" w:eastAsia="TimesNewRoman" w:hAnsi="Times New Roman" w:cs="Times New Roman"/>
              </w:rPr>
              <w:t>ȃ</w:t>
            </w:r>
            <w:r w:rsidRPr="00545275">
              <w:rPr>
                <w:rFonts w:eastAsia="TimesNewRoman" w:cs="Times New Roman"/>
              </w:rPr>
              <w:t>de Neşet Efendi’nin tahkik ettiği jurnaller üzerinde durulacaktır.</w:t>
            </w:r>
          </w:p>
          <w:p w:rsidR="00E26D1A" w:rsidRPr="00DD6F21" w:rsidRDefault="00E26D1A" w:rsidP="00261DE7">
            <w:pPr>
              <w:pStyle w:val="AralkYok"/>
            </w:pPr>
          </w:p>
        </w:tc>
        <w:tc>
          <w:tcPr>
            <w:tcW w:w="3649" w:type="dxa"/>
            <w:gridSpan w:val="2"/>
            <w:tcBorders>
              <w:top w:val="single" w:sz="2" w:space="0" w:color="663300"/>
            </w:tcBorders>
            <w:vAlign w:val="center"/>
          </w:tcPr>
          <w:p w:rsidR="00E26D1A" w:rsidRDefault="00E26D1A" w:rsidP="00804360">
            <w:pPr>
              <w:spacing w:before="0" w:after="0"/>
              <w:jc w:val="right"/>
              <w:rPr>
                <w:sz w:val="20"/>
              </w:rPr>
            </w:pPr>
          </w:p>
          <w:p w:rsidR="006A4455" w:rsidRPr="00DD6F21" w:rsidRDefault="00545275" w:rsidP="00804360">
            <w:pPr>
              <w:spacing w:before="0" w:after="0"/>
              <w:jc w:val="right"/>
              <w:rPr>
                <w:sz w:val="20"/>
              </w:rPr>
            </w:pPr>
            <w:r>
              <w:rPr>
                <w:sz w:val="20"/>
              </w:rPr>
              <w:t>Jurnaller</w:t>
            </w:r>
          </w:p>
        </w:tc>
      </w:tr>
      <w:tr w:rsidR="006A4455" w:rsidRPr="00DD6F21" w:rsidTr="00324E89">
        <w:tc>
          <w:tcPr>
            <w:tcW w:w="5637" w:type="dxa"/>
            <w:gridSpan w:val="2"/>
            <w:vMerge/>
            <w:tcBorders>
              <w:top w:val="single" w:sz="18" w:space="0" w:color="663300"/>
              <w:bottom w:val="single" w:sz="2" w:space="0" w:color="663300"/>
            </w:tcBorders>
            <w:vAlign w:val="center"/>
          </w:tcPr>
          <w:p w:rsidR="006A4455" w:rsidRPr="00DD6F21" w:rsidRDefault="006A4455" w:rsidP="00481933">
            <w:pPr>
              <w:jc w:val="center"/>
            </w:pPr>
          </w:p>
        </w:tc>
        <w:tc>
          <w:tcPr>
            <w:tcW w:w="3649" w:type="dxa"/>
            <w:gridSpan w:val="2"/>
            <w:vAlign w:val="center"/>
          </w:tcPr>
          <w:p w:rsidR="006A4455" w:rsidRPr="00DD6F21" w:rsidRDefault="00545275" w:rsidP="00804360">
            <w:pPr>
              <w:spacing w:before="0" w:after="0"/>
              <w:jc w:val="right"/>
              <w:rPr>
                <w:sz w:val="20"/>
              </w:rPr>
            </w:pPr>
            <w:r>
              <w:rPr>
                <w:sz w:val="20"/>
              </w:rPr>
              <w:t>II. Abdülhamid</w:t>
            </w:r>
          </w:p>
        </w:tc>
      </w:tr>
      <w:tr w:rsidR="006A4455" w:rsidRPr="00DD6F21" w:rsidTr="00324E89">
        <w:tc>
          <w:tcPr>
            <w:tcW w:w="5637" w:type="dxa"/>
            <w:gridSpan w:val="2"/>
            <w:vMerge/>
            <w:tcBorders>
              <w:top w:val="single" w:sz="18" w:space="0" w:color="663300"/>
              <w:bottom w:val="single" w:sz="2" w:space="0" w:color="663300"/>
            </w:tcBorders>
            <w:vAlign w:val="center"/>
          </w:tcPr>
          <w:p w:rsidR="006A4455" w:rsidRPr="00DD6F21" w:rsidRDefault="006A4455" w:rsidP="00481933">
            <w:pPr>
              <w:jc w:val="center"/>
            </w:pPr>
          </w:p>
        </w:tc>
        <w:tc>
          <w:tcPr>
            <w:tcW w:w="3649" w:type="dxa"/>
            <w:gridSpan w:val="2"/>
            <w:vAlign w:val="center"/>
          </w:tcPr>
          <w:p w:rsidR="006A4455" w:rsidRPr="00DD6F21" w:rsidRDefault="00545275" w:rsidP="00804360">
            <w:pPr>
              <w:spacing w:before="0" w:after="0"/>
              <w:jc w:val="right"/>
              <w:rPr>
                <w:sz w:val="20"/>
              </w:rPr>
            </w:pPr>
            <w:r>
              <w:rPr>
                <w:sz w:val="20"/>
              </w:rPr>
              <w:t>Osmanlı İstihbaratı</w:t>
            </w:r>
          </w:p>
        </w:tc>
      </w:tr>
      <w:tr w:rsidR="006A4455" w:rsidRPr="00DD6F21" w:rsidTr="00324E89">
        <w:tc>
          <w:tcPr>
            <w:tcW w:w="5637" w:type="dxa"/>
            <w:gridSpan w:val="2"/>
            <w:vMerge/>
            <w:tcBorders>
              <w:top w:val="single" w:sz="18" w:space="0" w:color="663300"/>
              <w:bottom w:val="single" w:sz="2" w:space="0" w:color="663300"/>
            </w:tcBorders>
            <w:vAlign w:val="center"/>
          </w:tcPr>
          <w:p w:rsidR="006A4455" w:rsidRPr="00DD6F21" w:rsidRDefault="006A4455" w:rsidP="00481933">
            <w:pPr>
              <w:jc w:val="center"/>
            </w:pPr>
          </w:p>
        </w:tc>
        <w:tc>
          <w:tcPr>
            <w:tcW w:w="3649" w:type="dxa"/>
            <w:gridSpan w:val="2"/>
            <w:vAlign w:val="center"/>
          </w:tcPr>
          <w:p w:rsidR="006A4455" w:rsidRPr="00DD6F21" w:rsidRDefault="00545275" w:rsidP="00804360">
            <w:pPr>
              <w:spacing w:before="0" w:after="0"/>
              <w:jc w:val="right"/>
              <w:rPr>
                <w:sz w:val="20"/>
              </w:rPr>
            </w:pPr>
            <w:r>
              <w:rPr>
                <w:sz w:val="20"/>
              </w:rPr>
              <w:t>Kırımi-zade</w:t>
            </w:r>
          </w:p>
        </w:tc>
      </w:tr>
      <w:tr w:rsidR="006A4455" w:rsidRPr="00DD6F21" w:rsidTr="00324E89">
        <w:trPr>
          <w:trHeight w:val="58"/>
        </w:trPr>
        <w:tc>
          <w:tcPr>
            <w:tcW w:w="5637" w:type="dxa"/>
            <w:gridSpan w:val="2"/>
            <w:vMerge/>
            <w:tcBorders>
              <w:top w:val="single" w:sz="18" w:space="0" w:color="663300"/>
              <w:bottom w:val="single" w:sz="2" w:space="0" w:color="663300"/>
            </w:tcBorders>
            <w:vAlign w:val="center"/>
          </w:tcPr>
          <w:p w:rsidR="006A4455" w:rsidRPr="00DD6F21" w:rsidRDefault="006A4455" w:rsidP="00481933">
            <w:pPr>
              <w:jc w:val="center"/>
            </w:pPr>
          </w:p>
        </w:tc>
        <w:tc>
          <w:tcPr>
            <w:tcW w:w="3649" w:type="dxa"/>
            <w:gridSpan w:val="2"/>
            <w:vAlign w:val="center"/>
          </w:tcPr>
          <w:p w:rsidR="006A4455" w:rsidRPr="00DD6F21" w:rsidRDefault="006A4455" w:rsidP="00804360">
            <w:pPr>
              <w:spacing w:before="0" w:after="0"/>
              <w:jc w:val="right"/>
              <w:rPr>
                <w:sz w:val="20"/>
              </w:rPr>
            </w:pPr>
          </w:p>
        </w:tc>
      </w:tr>
      <w:tr w:rsidR="006A4455" w:rsidRPr="00DD6F21" w:rsidTr="00324E89">
        <w:trPr>
          <w:trHeight w:val="259"/>
        </w:trPr>
        <w:tc>
          <w:tcPr>
            <w:tcW w:w="5637" w:type="dxa"/>
            <w:gridSpan w:val="2"/>
            <w:vMerge/>
            <w:tcBorders>
              <w:top w:val="single" w:sz="18" w:space="0" w:color="663300"/>
              <w:bottom w:val="single" w:sz="2" w:space="0" w:color="663300"/>
            </w:tcBorders>
            <w:vAlign w:val="center"/>
          </w:tcPr>
          <w:p w:rsidR="006A4455" w:rsidRPr="00DD6F21" w:rsidRDefault="006A4455" w:rsidP="00481933">
            <w:pPr>
              <w:jc w:val="center"/>
            </w:pPr>
          </w:p>
        </w:tc>
        <w:tc>
          <w:tcPr>
            <w:tcW w:w="3649" w:type="dxa"/>
            <w:gridSpan w:val="2"/>
            <w:tcBorders>
              <w:bottom w:val="single" w:sz="2" w:space="0" w:color="663300"/>
            </w:tcBorders>
            <w:vAlign w:val="center"/>
          </w:tcPr>
          <w:p w:rsidR="00D52BA4" w:rsidRDefault="00D52BA4" w:rsidP="00804360">
            <w:pPr>
              <w:spacing w:before="0" w:after="0"/>
              <w:jc w:val="right"/>
              <w:rPr>
                <w:b/>
              </w:rPr>
            </w:pPr>
          </w:p>
          <w:p w:rsidR="006A4455" w:rsidRPr="00DD6F21" w:rsidRDefault="006A4455" w:rsidP="00804360">
            <w:pPr>
              <w:spacing w:before="0" w:after="0"/>
              <w:jc w:val="right"/>
              <w:rPr>
                <w:b/>
              </w:rPr>
            </w:pPr>
            <w:r w:rsidRPr="00DD6F21">
              <w:rPr>
                <w:b/>
              </w:rPr>
              <w:t>Makale Hakkında</w:t>
            </w:r>
          </w:p>
        </w:tc>
      </w:tr>
      <w:tr w:rsidR="006A4455" w:rsidRPr="00DD6F21" w:rsidTr="00324E89">
        <w:trPr>
          <w:trHeight w:val="58"/>
        </w:trPr>
        <w:tc>
          <w:tcPr>
            <w:tcW w:w="5637" w:type="dxa"/>
            <w:gridSpan w:val="2"/>
            <w:vMerge/>
            <w:tcBorders>
              <w:top w:val="single" w:sz="18" w:space="0" w:color="663300"/>
              <w:bottom w:val="single" w:sz="2" w:space="0" w:color="663300"/>
            </w:tcBorders>
            <w:vAlign w:val="center"/>
          </w:tcPr>
          <w:p w:rsidR="006A4455" w:rsidRPr="00DD6F21" w:rsidRDefault="006A4455" w:rsidP="00481933">
            <w:pPr>
              <w:jc w:val="center"/>
            </w:pPr>
          </w:p>
        </w:tc>
        <w:tc>
          <w:tcPr>
            <w:tcW w:w="3649" w:type="dxa"/>
            <w:gridSpan w:val="2"/>
            <w:tcBorders>
              <w:top w:val="single" w:sz="2" w:space="0" w:color="663300"/>
            </w:tcBorders>
            <w:vAlign w:val="center"/>
          </w:tcPr>
          <w:p w:rsidR="00E26D1A" w:rsidRDefault="00E26D1A" w:rsidP="00BC59F9">
            <w:pPr>
              <w:spacing w:before="0" w:after="0"/>
              <w:ind w:firstLine="0"/>
              <w:jc w:val="right"/>
              <w:rPr>
                <w:sz w:val="20"/>
              </w:rPr>
            </w:pPr>
          </w:p>
          <w:p w:rsidR="006A4455" w:rsidRPr="00DD6F21" w:rsidRDefault="00E63EF5" w:rsidP="00BC59F9">
            <w:pPr>
              <w:spacing w:before="0" w:after="0"/>
              <w:ind w:firstLine="0"/>
              <w:jc w:val="right"/>
              <w:rPr>
                <w:sz w:val="20"/>
              </w:rPr>
            </w:pPr>
            <w:r>
              <w:rPr>
                <w:sz w:val="20"/>
              </w:rPr>
              <w:t xml:space="preserve">Gönderim Tarihi: </w:t>
            </w:r>
            <w:proofErr w:type="gramStart"/>
            <w:r>
              <w:rPr>
                <w:sz w:val="20"/>
              </w:rPr>
              <w:t>XX.XX</w:t>
            </w:r>
            <w:proofErr w:type="gramEnd"/>
            <w:r>
              <w:rPr>
                <w:sz w:val="20"/>
              </w:rPr>
              <w:t>.2017</w:t>
            </w:r>
          </w:p>
        </w:tc>
      </w:tr>
      <w:tr w:rsidR="006A4455" w:rsidRPr="00DD6F21" w:rsidTr="00324E89">
        <w:trPr>
          <w:trHeight w:val="58"/>
        </w:trPr>
        <w:tc>
          <w:tcPr>
            <w:tcW w:w="5637" w:type="dxa"/>
            <w:gridSpan w:val="2"/>
            <w:vMerge/>
            <w:tcBorders>
              <w:top w:val="single" w:sz="18" w:space="0" w:color="663300"/>
              <w:bottom w:val="single" w:sz="2" w:space="0" w:color="663300"/>
            </w:tcBorders>
            <w:vAlign w:val="center"/>
          </w:tcPr>
          <w:p w:rsidR="006A4455" w:rsidRPr="00DD6F21" w:rsidRDefault="006A4455" w:rsidP="00481933">
            <w:pPr>
              <w:jc w:val="center"/>
            </w:pPr>
          </w:p>
        </w:tc>
        <w:tc>
          <w:tcPr>
            <w:tcW w:w="3649" w:type="dxa"/>
            <w:gridSpan w:val="2"/>
            <w:vAlign w:val="center"/>
          </w:tcPr>
          <w:p w:rsidR="006A4455" w:rsidRPr="00DD6F21" w:rsidRDefault="00E63EF5" w:rsidP="00804360">
            <w:pPr>
              <w:spacing w:before="0" w:after="0"/>
              <w:ind w:firstLine="0"/>
              <w:jc w:val="right"/>
              <w:rPr>
                <w:sz w:val="20"/>
              </w:rPr>
            </w:pPr>
            <w:r>
              <w:rPr>
                <w:sz w:val="20"/>
              </w:rPr>
              <w:t xml:space="preserve">Kabul Tarihi: </w:t>
            </w:r>
            <w:proofErr w:type="gramStart"/>
            <w:r>
              <w:rPr>
                <w:sz w:val="20"/>
              </w:rPr>
              <w:t>XX.XX</w:t>
            </w:r>
            <w:proofErr w:type="gramEnd"/>
            <w:r>
              <w:rPr>
                <w:sz w:val="20"/>
              </w:rPr>
              <w:t>.2017</w:t>
            </w:r>
          </w:p>
        </w:tc>
      </w:tr>
      <w:tr w:rsidR="006A4455" w:rsidRPr="00DD6F21" w:rsidTr="00324E89">
        <w:trPr>
          <w:trHeight w:val="102"/>
        </w:trPr>
        <w:tc>
          <w:tcPr>
            <w:tcW w:w="5637" w:type="dxa"/>
            <w:gridSpan w:val="2"/>
            <w:vMerge/>
            <w:tcBorders>
              <w:top w:val="single" w:sz="18" w:space="0" w:color="663300"/>
              <w:bottom w:val="single" w:sz="2" w:space="0" w:color="663300"/>
            </w:tcBorders>
            <w:vAlign w:val="center"/>
          </w:tcPr>
          <w:p w:rsidR="006A4455" w:rsidRPr="00DD6F21" w:rsidRDefault="006A4455" w:rsidP="00481933">
            <w:pPr>
              <w:jc w:val="center"/>
            </w:pPr>
          </w:p>
        </w:tc>
        <w:tc>
          <w:tcPr>
            <w:tcW w:w="3649" w:type="dxa"/>
            <w:gridSpan w:val="2"/>
            <w:vAlign w:val="center"/>
          </w:tcPr>
          <w:p w:rsidR="006A4455" w:rsidRPr="00DD6F21" w:rsidRDefault="006A4455" w:rsidP="00804360">
            <w:pPr>
              <w:spacing w:before="0" w:after="0"/>
              <w:ind w:firstLine="0"/>
              <w:jc w:val="right"/>
              <w:rPr>
                <w:sz w:val="20"/>
              </w:rPr>
            </w:pPr>
            <w:r w:rsidRPr="00DD6F21">
              <w:rPr>
                <w:sz w:val="20"/>
              </w:rPr>
              <w:t>Ele</w:t>
            </w:r>
            <w:r w:rsidR="00804360">
              <w:rPr>
                <w:sz w:val="20"/>
              </w:rPr>
              <w:t xml:space="preserve">ktronik Yayım Tarihi: </w:t>
            </w:r>
            <w:proofErr w:type="gramStart"/>
            <w:r w:rsidR="00E63EF5">
              <w:rPr>
                <w:sz w:val="20"/>
              </w:rPr>
              <w:t>XX.XX</w:t>
            </w:r>
            <w:proofErr w:type="gramEnd"/>
            <w:r w:rsidR="00E63EF5">
              <w:rPr>
                <w:sz w:val="20"/>
              </w:rPr>
              <w:t>.2017</w:t>
            </w:r>
          </w:p>
        </w:tc>
      </w:tr>
      <w:tr w:rsidR="006A4455" w:rsidRPr="00DD6F21" w:rsidTr="00324E89">
        <w:trPr>
          <w:trHeight w:val="58"/>
        </w:trPr>
        <w:tc>
          <w:tcPr>
            <w:tcW w:w="5637" w:type="dxa"/>
            <w:gridSpan w:val="2"/>
            <w:vMerge/>
            <w:tcBorders>
              <w:top w:val="single" w:sz="18" w:space="0" w:color="663300"/>
              <w:bottom w:val="single" w:sz="2" w:space="0" w:color="663300"/>
            </w:tcBorders>
            <w:vAlign w:val="center"/>
          </w:tcPr>
          <w:p w:rsidR="006A4455" w:rsidRPr="00DD6F21" w:rsidRDefault="006A4455" w:rsidP="00481933">
            <w:pPr>
              <w:jc w:val="center"/>
            </w:pPr>
          </w:p>
        </w:tc>
        <w:tc>
          <w:tcPr>
            <w:tcW w:w="3649" w:type="dxa"/>
            <w:gridSpan w:val="2"/>
            <w:vAlign w:val="center"/>
          </w:tcPr>
          <w:p w:rsidR="006A4455" w:rsidRPr="00DD6F21" w:rsidRDefault="006A4455" w:rsidP="00481933">
            <w:pPr>
              <w:jc w:val="center"/>
              <w:rPr>
                <w:b/>
              </w:rPr>
            </w:pPr>
          </w:p>
        </w:tc>
      </w:tr>
      <w:tr w:rsidR="006A4455" w:rsidRPr="00DD6F21" w:rsidTr="000A2C7D">
        <w:trPr>
          <w:trHeight w:val="280"/>
        </w:trPr>
        <w:tc>
          <w:tcPr>
            <w:tcW w:w="5637" w:type="dxa"/>
            <w:gridSpan w:val="2"/>
            <w:vMerge/>
            <w:tcBorders>
              <w:top w:val="single" w:sz="18" w:space="0" w:color="663300"/>
              <w:bottom w:val="single" w:sz="2" w:space="0" w:color="663300"/>
            </w:tcBorders>
            <w:vAlign w:val="center"/>
          </w:tcPr>
          <w:p w:rsidR="006A4455" w:rsidRPr="00DD6F21" w:rsidRDefault="006A4455" w:rsidP="00481933">
            <w:pPr>
              <w:jc w:val="center"/>
            </w:pPr>
          </w:p>
        </w:tc>
        <w:tc>
          <w:tcPr>
            <w:tcW w:w="3649" w:type="dxa"/>
            <w:gridSpan w:val="2"/>
            <w:tcBorders>
              <w:bottom w:val="single" w:sz="2" w:space="0" w:color="663300"/>
            </w:tcBorders>
            <w:vAlign w:val="bottom"/>
          </w:tcPr>
          <w:p w:rsidR="006A4455" w:rsidRPr="00DD6F21" w:rsidRDefault="006A4455" w:rsidP="007524F0">
            <w:pPr>
              <w:jc w:val="right"/>
            </w:pPr>
          </w:p>
        </w:tc>
      </w:tr>
    </w:tbl>
    <w:p w:rsidR="00E63EF5" w:rsidRDefault="00E63EF5">
      <w:r>
        <w:br w:type="page"/>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637"/>
        <w:gridCol w:w="3649"/>
      </w:tblGrid>
      <w:tr w:rsidR="00217F33" w:rsidRPr="00DD6F21" w:rsidTr="005140E3">
        <w:tc>
          <w:tcPr>
            <w:tcW w:w="9286" w:type="dxa"/>
            <w:gridSpan w:val="2"/>
            <w:tcBorders>
              <w:top w:val="single" w:sz="2" w:space="0" w:color="663300"/>
              <w:bottom w:val="single" w:sz="2" w:space="0" w:color="663300"/>
            </w:tcBorders>
            <w:vAlign w:val="center"/>
          </w:tcPr>
          <w:p w:rsidR="00545275" w:rsidRPr="00545275" w:rsidRDefault="00545275" w:rsidP="00545275">
            <w:pPr>
              <w:spacing w:after="360"/>
              <w:jc w:val="center"/>
              <w:rPr>
                <w:rFonts w:cs="Times New Roman"/>
                <w:b/>
                <w:sz w:val="24"/>
                <w:szCs w:val="24"/>
              </w:rPr>
            </w:pPr>
            <w:r w:rsidRPr="00545275">
              <w:rPr>
                <w:rFonts w:cs="Times New Roman"/>
                <w:b/>
                <w:sz w:val="24"/>
                <w:szCs w:val="24"/>
              </w:rPr>
              <w:lastRenderedPageBreak/>
              <w:t>A Historiography Essay on the Journals: Sample of Kırımi-zade Neşet Efendi</w:t>
            </w:r>
          </w:p>
          <w:p w:rsidR="00217F33" w:rsidRPr="00BC59F9" w:rsidRDefault="00217F33" w:rsidP="00545275">
            <w:pPr>
              <w:pStyle w:val="makalebal2"/>
              <w:jc w:val="both"/>
            </w:pPr>
          </w:p>
        </w:tc>
      </w:tr>
      <w:tr w:rsidR="00D52BA4" w:rsidRPr="00DD6F21" w:rsidTr="00804360">
        <w:trPr>
          <w:trHeight w:val="572"/>
        </w:trPr>
        <w:tc>
          <w:tcPr>
            <w:tcW w:w="5637" w:type="dxa"/>
            <w:tcBorders>
              <w:top w:val="single" w:sz="2" w:space="0" w:color="663300"/>
              <w:bottom w:val="single" w:sz="2" w:space="0" w:color="663300"/>
            </w:tcBorders>
            <w:vAlign w:val="center"/>
          </w:tcPr>
          <w:p w:rsidR="00D52BA4" w:rsidRPr="00DD6F21" w:rsidRDefault="00D52BA4" w:rsidP="00804360">
            <w:pPr>
              <w:spacing w:after="0"/>
              <w:ind w:firstLine="0"/>
              <w:jc w:val="left"/>
              <w:rPr>
                <w:b/>
              </w:rPr>
            </w:pPr>
            <w:r>
              <w:rPr>
                <w:b/>
              </w:rPr>
              <w:t>Abstract</w:t>
            </w:r>
          </w:p>
        </w:tc>
        <w:tc>
          <w:tcPr>
            <w:tcW w:w="3649" w:type="dxa"/>
            <w:tcBorders>
              <w:top w:val="single" w:sz="2" w:space="0" w:color="663300"/>
              <w:bottom w:val="single" w:sz="2" w:space="0" w:color="663300"/>
            </w:tcBorders>
            <w:vAlign w:val="center"/>
          </w:tcPr>
          <w:p w:rsidR="00D52BA4" w:rsidRPr="00DD6F21" w:rsidRDefault="00D52BA4" w:rsidP="00804360">
            <w:pPr>
              <w:spacing w:after="0"/>
              <w:jc w:val="right"/>
              <w:rPr>
                <w:b/>
              </w:rPr>
            </w:pPr>
            <w:r>
              <w:rPr>
                <w:b/>
              </w:rPr>
              <w:t>Keywords</w:t>
            </w:r>
          </w:p>
        </w:tc>
      </w:tr>
      <w:tr w:rsidR="00D52BA4" w:rsidRPr="00DD6F21" w:rsidTr="00D52BA4">
        <w:tc>
          <w:tcPr>
            <w:tcW w:w="5637" w:type="dxa"/>
            <w:vMerge w:val="restart"/>
            <w:tcBorders>
              <w:top w:val="single" w:sz="2" w:space="0" w:color="663300"/>
              <w:bottom w:val="single" w:sz="2" w:space="0" w:color="663300"/>
            </w:tcBorders>
            <w:vAlign w:val="center"/>
          </w:tcPr>
          <w:p w:rsidR="00545275" w:rsidRPr="00545275" w:rsidRDefault="00545275" w:rsidP="00545275">
            <w:pPr>
              <w:pStyle w:val="HTMLncedenBiimlendirilmi"/>
              <w:shd w:val="clear" w:color="auto" w:fill="FFFFFF"/>
              <w:tabs>
                <w:tab w:val="clear" w:pos="9160"/>
                <w:tab w:val="left" w:pos="8505"/>
              </w:tabs>
              <w:spacing w:before="120" w:after="120" w:line="360" w:lineRule="auto"/>
              <w:ind w:left="567" w:firstLine="567"/>
              <w:jc w:val="both"/>
              <w:rPr>
                <w:rFonts w:ascii="Palatino Linotype" w:hAnsi="Palatino Linotype" w:cs="Times New Roman"/>
                <w:color w:val="000000" w:themeColor="text1"/>
                <w:sz w:val="22"/>
                <w:szCs w:val="22"/>
              </w:rPr>
            </w:pPr>
            <w:r w:rsidRPr="00545275">
              <w:rPr>
                <w:rFonts w:ascii="Palatino Linotype" w:eastAsia="TimesNewRoman" w:hAnsi="Palatino Linotype" w:cs="Times New Roman"/>
                <w:color w:val="000000" w:themeColor="text1"/>
                <w:sz w:val="22"/>
                <w:szCs w:val="22"/>
                <w:lang w:eastAsia="en-US"/>
              </w:rPr>
              <w:t xml:space="preserve">Abdulhamid II succeded to the throne in a period of time when the Ottoman Empire was under stagnation and disintegrating; </w:t>
            </w:r>
            <w:r w:rsidRPr="00545275">
              <w:rPr>
                <w:rFonts w:ascii="Palatino Linotype" w:hAnsi="Palatino Linotype" w:cs="Times New Roman"/>
                <w:color w:val="000000" w:themeColor="text1"/>
                <w:sz w:val="22"/>
                <w:szCs w:val="22"/>
              </w:rPr>
              <w:t xml:space="preserve">Abdülhamid II has taken some measures in internal and external politics to prevent this course. </w:t>
            </w:r>
            <w:r w:rsidRPr="00545275">
              <w:rPr>
                <w:rFonts w:ascii="Palatino Linotype" w:eastAsia="TimesNewRoman" w:hAnsi="Palatino Linotype" w:cs="Times New Roman"/>
                <w:color w:val="000000" w:themeColor="text1"/>
                <w:sz w:val="22"/>
                <w:szCs w:val="22"/>
                <w:lang w:eastAsia="en-US"/>
              </w:rPr>
              <w:t xml:space="preserve">One of these measures is, undoubtedly, the intelligence network. This study, </w:t>
            </w:r>
            <w:r w:rsidRPr="00545275">
              <w:rPr>
                <w:rFonts w:ascii="Palatino Linotype" w:hAnsi="Palatino Linotype" w:cs="Times New Roman"/>
                <w:color w:val="000000" w:themeColor="text1"/>
                <w:sz w:val="22"/>
                <w:szCs w:val="22"/>
              </w:rPr>
              <w:t>focuses on journals, the intelligence reports that are part of the intelligence network. The study will focus on intelligence reports inspected by Kırımî-z</w:t>
            </w:r>
            <w:r w:rsidRPr="00545275">
              <w:rPr>
                <w:rFonts w:ascii="Times New Roman" w:hAnsi="Times New Roman" w:cs="Times New Roman"/>
                <w:color w:val="000000" w:themeColor="text1"/>
                <w:sz w:val="22"/>
                <w:szCs w:val="22"/>
              </w:rPr>
              <w:t>ȃ</w:t>
            </w:r>
            <w:r w:rsidRPr="00545275">
              <w:rPr>
                <w:rFonts w:ascii="Palatino Linotype" w:hAnsi="Palatino Linotype" w:cs="Times New Roman"/>
                <w:color w:val="000000" w:themeColor="text1"/>
                <w:sz w:val="22"/>
                <w:szCs w:val="22"/>
              </w:rPr>
              <w:t>de Neşet Efendi, who worked as an intelligence officer of Yıldız Palace between 1891 and 1893.</w:t>
            </w:r>
          </w:p>
          <w:p w:rsidR="00D52BA4" w:rsidRPr="00261DE7" w:rsidRDefault="00D52BA4" w:rsidP="00261DE7">
            <w:pPr>
              <w:pStyle w:val="AralkYok"/>
            </w:pPr>
          </w:p>
        </w:tc>
        <w:tc>
          <w:tcPr>
            <w:tcW w:w="3649" w:type="dxa"/>
            <w:tcBorders>
              <w:top w:val="single" w:sz="2" w:space="0" w:color="663300"/>
            </w:tcBorders>
            <w:vAlign w:val="center"/>
          </w:tcPr>
          <w:p w:rsidR="00E26D1A" w:rsidRPr="00545275" w:rsidRDefault="00E26D1A" w:rsidP="00545275">
            <w:pPr>
              <w:spacing w:before="0" w:after="0"/>
              <w:jc w:val="right"/>
              <w:rPr>
                <w:sz w:val="20"/>
                <w:szCs w:val="20"/>
              </w:rPr>
            </w:pPr>
          </w:p>
          <w:p w:rsidR="00D52BA4" w:rsidRPr="00545275" w:rsidRDefault="00545275" w:rsidP="00545275">
            <w:pPr>
              <w:spacing w:before="0" w:after="0"/>
              <w:jc w:val="right"/>
              <w:rPr>
                <w:sz w:val="20"/>
                <w:szCs w:val="20"/>
              </w:rPr>
            </w:pPr>
            <w:r w:rsidRPr="00545275">
              <w:rPr>
                <w:rFonts w:cs="Times New Roman"/>
                <w:color w:val="212121"/>
                <w:sz w:val="20"/>
                <w:szCs w:val="20"/>
              </w:rPr>
              <w:t>Journals</w:t>
            </w:r>
          </w:p>
        </w:tc>
      </w:tr>
      <w:tr w:rsidR="00D52BA4" w:rsidRPr="00DD6F21" w:rsidTr="00D52BA4">
        <w:tc>
          <w:tcPr>
            <w:tcW w:w="5637" w:type="dxa"/>
            <w:vMerge/>
            <w:tcBorders>
              <w:bottom w:val="single" w:sz="2" w:space="0" w:color="663300"/>
            </w:tcBorders>
            <w:vAlign w:val="center"/>
          </w:tcPr>
          <w:p w:rsidR="00D52BA4" w:rsidRPr="00DD6F21" w:rsidRDefault="00D52BA4" w:rsidP="00055E64">
            <w:pPr>
              <w:jc w:val="center"/>
            </w:pPr>
          </w:p>
        </w:tc>
        <w:tc>
          <w:tcPr>
            <w:tcW w:w="3649" w:type="dxa"/>
            <w:vAlign w:val="center"/>
          </w:tcPr>
          <w:p w:rsidR="00D52BA4" w:rsidRPr="00545275" w:rsidRDefault="00545275" w:rsidP="00545275">
            <w:pPr>
              <w:spacing w:before="0" w:after="0"/>
              <w:jc w:val="right"/>
              <w:rPr>
                <w:sz w:val="20"/>
                <w:szCs w:val="20"/>
              </w:rPr>
            </w:pPr>
            <w:r>
              <w:rPr>
                <w:rFonts w:cs="Times New Roman"/>
                <w:color w:val="212121"/>
                <w:sz w:val="20"/>
                <w:szCs w:val="20"/>
              </w:rPr>
              <w:t xml:space="preserve"> </w:t>
            </w:r>
            <w:r w:rsidRPr="00545275">
              <w:rPr>
                <w:rFonts w:cs="Times New Roman"/>
                <w:color w:val="212121"/>
                <w:sz w:val="20"/>
                <w:szCs w:val="20"/>
              </w:rPr>
              <w:t>Abdulhamid II</w:t>
            </w:r>
          </w:p>
        </w:tc>
      </w:tr>
      <w:tr w:rsidR="00D52BA4" w:rsidRPr="00DD6F21" w:rsidTr="00D52BA4">
        <w:tc>
          <w:tcPr>
            <w:tcW w:w="5637" w:type="dxa"/>
            <w:vMerge/>
            <w:tcBorders>
              <w:bottom w:val="single" w:sz="2" w:space="0" w:color="663300"/>
            </w:tcBorders>
            <w:vAlign w:val="center"/>
          </w:tcPr>
          <w:p w:rsidR="00D52BA4" w:rsidRPr="00DD6F21" w:rsidRDefault="00D52BA4" w:rsidP="00055E64">
            <w:pPr>
              <w:jc w:val="center"/>
            </w:pPr>
          </w:p>
        </w:tc>
        <w:tc>
          <w:tcPr>
            <w:tcW w:w="3649" w:type="dxa"/>
            <w:vAlign w:val="center"/>
          </w:tcPr>
          <w:p w:rsidR="00545275" w:rsidRPr="00545275" w:rsidRDefault="00545275" w:rsidP="00545275">
            <w:pPr>
              <w:pStyle w:val="HTMLncedenBiimlendirilmi"/>
              <w:shd w:val="clear" w:color="auto" w:fill="FFFFFF"/>
              <w:tabs>
                <w:tab w:val="clear" w:pos="9160"/>
                <w:tab w:val="left" w:pos="8505"/>
              </w:tabs>
              <w:ind w:left="567" w:firstLine="567"/>
              <w:jc w:val="both"/>
              <w:rPr>
                <w:rFonts w:ascii="Palatino Linotype" w:hAnsi="Palatino Linotype" w:cs="Times New Roman"/>
                <w:color w:val="212121"/>
              </w:rPr>
            </w:pPr>
            <w:r w:rsidRPr="00545275">
              <w:rPr>
                <w:rFonts w:ascii="Palatino Linotype" w:hAnsi="Palatino Linotype" w:cs="Times New Roman"/>
                <w:color w:val="212121"/>
              </w:rPr>
              <w:t xml:space="preserve">    </w:t>
            </w:r>
            <w:r>
              <w:rPr>
                <w:rFonts w:ascii="Palatino Linotype" w:hAnsi="Palatino Linotype" w:cs="Times New Roman"/>
                <w:color w:val="212121"/>
              </w:rPr>
              <w:t xml:space="preserve">    </w:t>
            </w:r>
            <w:r w:rsidRPr="00545275">
              <w:rPr>
                <w:rFonts w:ascii="Palatino Linotype" w:hAnsi="Palatino Linotype" w:cs="Times New Roman"/>
                <w:color w:val="212121"/>
              </w:rPr>
              <w:t>Ottoman Intelligence</w:t>
            </w:r>
          </w:p>
          <w:p w:rsidR="00545275" w:rsidRPr="00545275" w:rsidRDefault="00545275" w:rsidP="00545275">
            <w:pPr>
              <w:pStyle w:val="HTMLncedenBiimlendirilmi"/>
              <w:shd w:val="clear" w:color="auto" w:fill="FFFFFF"/>
              <w:tabs>
                <w:tab w:val="clear" w:pos="9160"/>
                <w:tab w:val="left" w:pos="8505"/>
              </w:tabs>
              <w:ind w:left="567" w:firstLine="567"/>
              <w:jc w:val="both"/>
              <w:rPr>
                <w:rFonts w:ascii="Palatino Linotype" w:hAnsi="Palatino Linotype" w:cs="Times New Roman"/>
                <w:color w:val="212121"/>
              </w:rPr>
            </w:pPr>
            <w:r w:rsidRPr="00545275">
              <w:rPr>
                <w:rFonts w:ascii="Palatino Linotype" w:hAnsi="Palatino Linotype" w:cs="Times New Roman"/>
                <w:color w:val="212121"/>
              </w:rPr>
              <w:t xml:space="preserve">                  </w:t>
            </w:r>
            <w:r>
              <w:rPr>
                <w:rFonts w:ascii="Palatino Linotype" w:hAnsi="Palatino Linotype" w:cs="Times New Roman"/>
                <w:color w:val="212121"/>
              </w:rPr>
              <w:t xml:space="preserve">     </w:t>
            </w:r>
            <w:r w:rsidRPr="00545275">
              <w:rPr>
                <w:rFonts w:ascii="Palatino Linotype" w:hAnsi="Palatino Linotype" w:cs="Times New Roman"/>
                <w:color w:val="212121"/>
              </w:rPr>
              <w:t>Kırımî-z</w:t>
            </w:r>
            <w:r w:rsidRPr="00545275">
              <w:rPr>
                <w:rFonts w:ascii="Times New Roman" w:hAnsi="Times New Roman" w:cs="Times New Roman"/>
                <w:color w:val="212121"/>
              </w:rPr>
              <w:t>ȃ</w:t>
            </w:r>
            <w:r w:rsidRPr="00545275">
              <w:rPr>
                <w:rFonts w:ascii="Palatino Linotype" w:hAnsi="Palatino Linotype" w:cs="Times New Roman"/>
                <w:color w:val="212121"/>
              </w:rPr>
              <w:t xml:space="preserve">de </w:t>
            </w:r>
          </w:p>
          <w:p w:rsidR="00D52BA4" w:rsidRPr="00545275" w:rsidRDefault="00D52BA4" w:rsidP="00545275">
            <w:pPr>
              <w:spacing w:before="0" w:after="0"/>
              <w:jc w:val="right"/>
              <w:rPr>
                <w:sz w:val="20"/>
                <w:szCs w:val="20"/>
              </w:rPr>
            </w:pPr>
          </w:p>
        </w:tc>
      </w:tr>
      <w:tr w:rsidR="00D52BA4" w:rsidRPr="00DD6F21" w:rsidTr="00D52BA4">
        <w:tc>
          <w:tcPr>
            <w:tcW w:w="5637" w:type="dxa"/>
            <w:vMerge/>
            <w:tcBorders>
              <w:bottom w:val="single" w:sz="2" w:space="0" w:color="663300"/>
            </w:tcBorders>
            <w:vAlign w:val="center"/>
          </w:tcPr>
          <w:p w:rsidR="00D52BA4" w:rsidRPr="00DD6F21" w:rsidRDefault="00D52BA4" w:rsidP="00055E64">
            <w:pPr>
              <w:jc w:val="center"/>
            </w:pPr>
          </w:p>
        </w:tc>
        <w:tc>
          <w:tcPr>
            <w:tcW w:w="3649" w:type="dxa"/>
            <w:vAlign w:val="center"/>
          </w:tcPr>
          <w:p w:rsidR="00D52BA4" w:rsidRPr="00DD6F21" w:rsidRDefault="00D52BA4" w:rsidP="00804360">
            <w:pPr>
              <w:spacing w:before="0" w:after="0"/>
              <w:jc w:val="right"/>
              <w:rPr>
                <w:sz w:val="20"/>
              </w:rPr>
            </w:pPr>
          </w:p>
        </w:tc>
      </w:tr>
      <w:tr w:rsidR="00D52BA4" w:rsidRPr="00DD6F21" w:rsidTr="00D52BA4">
        <w:trPr>
          <w:trHeight w:val="58"/>
        </w:trPr>
        <w:tc>
          <w:tcPr>
            <w:tcW w:w="5637" w:type="dxa"/>
            <w:vMerge/>
            <w:tcBorders>
              <w:bottom w:val="single" w:sz="2" w:space="0" w:color="663300"/>
            </w:tcBorders>
            <w:vAlign w:val="center"/>
          </w:tcPr>
          <w:p w:rsidR="00D52BA4" w:rsidRPr="00DD6F21" w:rsidRDefault="00D52BA4" w:rsidP="00055E64">
            <w:pPr>
              <w:jc w:val="center"/>
            </w:pPr>
          </w:p>
        </w:tc>
        <w:tc>
          <w:tcPr>
            <w:tcW w:w="3649" w:type="dxa"/>
            <w:vAlign w:val="center"/>
          </w:tcPr>
          <w:p w:rsidR="00D52BA4" w:rsidRPr="00DD6F21" w:rsidRDefault="00D52BA4" w:rsidP="00804360">
            <w:pPr>
              <w:spacing w:before="0" w:after="0"/>
              <w:jc w:val="right"/>
              <w:rPr>
                <w:sz w:val="20"/>
              </w:rPr>
            </w:pPr>
          </w:p>
        </w:tc>
      </w:tr>
      <w:tr w:rsidR="00D52BA4" w:rsidRPr="00DD6F21" w:rsidTr="00D52BA4">
        <w:trPr>
          <w:trHeight w:val="259"/>
        </w:trPr>
        <w:tc>
          <w:tcPr>
            <w:tcW w:w="5637" w:type="dxa"/>
            <w:vMerge/>
            <w:tcBorders>
              <w:bottom w:val="single" w:sz="2" w:space="0" w:color="663300"/>
            </w:tcBorders>
            <w:vAlign w:val="center"/>
          </w:tcPr>
          <w:p w:rsidR="00D52BA4" w:rsidRPr="00DD6F21" w:rsidRDefault="00D52BA4" w:rsidP="00055E64">
            <w:pPr>
              <w:jc w:val="center"/>
            </w:pPr>
          </w:p>
        </w:tc>
        <w:tc>
          <w:tcPr>
            <w:tcW w:w="3649" w:type="dxa"/>
            <w:tcBorders>
              <w:bottom w:val="single" w:sz="2" w:space="0" w:color="663300"/>
            </w:tcBorders>
            <w:vAlign w:val="center"/>
          </w:tcPr>
          <w:p w:rsidR="00D52BA4" w:rsidRDefault="00D52BA4" w:rsidP="00804360">
            <w:pPr>
              <w:spacing w:before="0" w:after="0"/>
              <w:jc w:val="right"/>
              <w:rPr>
                <w:b/>
              </w:rPr>
            </w:pPr>
          </w:p>
          <w:p w:rsidR="00D52BA4" w:rsidRPr="00DD6F21" w:rsidRDefault="00D52BA4" w:rsidP="00804360">
            <w:pPr>
              <w:spacing w:before="0" w:after="0"/>
              <w:jc w:val="right"/>
              <w:rPr>
                <w:b/>
              </w:rPr>
            </w:pPr>
            <w:r>
              <w:rPr>
                <w:b/>
              </w:rPr>
              <w:t>About Article</w:t>
            </w:r>
          </w:p>
        </w:tc>
      </w:tr>
      <w:tr w:rsidR="00D52BA4" w:rsidRPr="00DD6F21" w:rsidTr="00D52BA4">
        <w:trPr>
          <w:trHeight w:val="58"/>
        </w:trPr>
        <w:tc>
          <w:tcPr>
            <w:tcW w:w="5637" w:type="dxa"/>
            <w:vMerge/>
            <w:tcBorders>
              <w:bottom w:val="single" w:sz="2" w:space="0" w:color="663300"/>
            </w:tcBorders>
            <w:vAlign w:val="center"/>
          </w:tcPr>
          <w:p w:rsidR="00D52BA4" w:rsidRPr="00DD6F21" w:rsidRDefault="00D52BA4" w:rsidP="00055E64">
            <w:pPr>
              <w:jc w:val="center"/>
            </w:pPr>
          </w:p>
        </w:tc>
        <w:tc>
          <w:tcPr>
            <w:tcW w:w="3649" w:type="dxa"/>
            <w:tcBorders>
              <w:top w:val="single" w:sz="2" w:space="0" w:color="663300"/>
            </w:tcBorders>
            <w:vAlign w:val="center"/>
          </w:tcPr>
          <w:p w:rsidR="00E26D1A" w:rsidRDefault="00E26D1A" w:rsidP="00804360">
            <w:pPr>
              <w:spacing w:before="0" w:after="0"/>
              <w:ind w:firstLine="0"/>
              <w:jc w:val="right"/>
              <w:rPr>
                <w:sz w:val="20"/>
              </w:rPr>
            </w:pPr>
          </w:p>
          <w:p w:rsidR="00D52BA4" w:rsidRPr="00DD6F21" w:rsidRDefault="00D52BA4" w:rsidP="00804360">
            <w:pPr>
              <w:spacing w:before="0" w:after="0"/>
              <w:ind w:firstLine="0"/>
              <w:jc w:val="right"/>
              <w:rPr>
                <w:sz w:val="20"/>
              </w:rPr>
            </w:pPr>
            <w:r>
              <w:rPr>
                <w:sz w:val="20"/>
              </w:rPr>
              <w:t>Sending Date</w:t>
            </w:r>
            <w:r w:rsidR="00E63EF5">
              <w:rPr>
                <w:sz w:val="20"/>
              </w:rPr>
              <w:t xml:space="preserve">: </w:t>
            </w:r>
            <w:proofErr w:type="gramStart"/>
            <w:r w:rsidR="00E63EF5">
              <w:rPr>
                <w:sz w:val="20"/>
              </w:rPr>
              <w:t>XX.XX</w:t>
            </w:r>
            <w:proofErr w:type="gramEnd"/>
            <w:r w:rsidR="00E63EF5">
              <w:rPr>
                <w:sz w:val="20"/>
              </w:rPr>
              <w:t>.2017</w:t>
            </w:r>
          </w:p>
        </w:tc>
      </w:tr>
      <w:tr w:rsidR="00D52BA4" w:rsidRPr="00DD6F21" w:rsidTr="00D52BA4">
        <w:trPr>
          <w:trHeight w:val="58"/>
        </w:trPr>
        <w:tc>
          <w:tcPr>
            <w:tcW w:w="5637" w:type="dxa"/>
            <w:vMerge/>
            <w:tcBorders>
              <w:bottom w:val="single" w:sz="2" w:space="0" w:color="663300"/>
            </w:tcBorders>
            <w:vAlign w:val="center"/>
          </w:tcPr>
          <w:p w:rsidR="00D52BA4" w:rsidRPr="00DD6F21" w:rsidRDefault="00D52BA4" w:rsidP="00055E64">
            <w:pPr>
              <w:jc w:val="center"/>
            </w:pPr>
          </w:p>
        </w:tc>
        <w:tc>
          <w:tcPr>
            <w:tcW w:w="3649" w:type="dxa"/>
            <w:vAlign w:val="center"/>
          </w:tcPr>
          <w:p w:rsidR="00D52BA4" w:rsidRPr="00DD6F21" w:rsidRDefault="00D52BA4" w:rsidP="00804360">
            <w:pPr>
              <w:spacing w:before="0" w:after="0"/>
              <w:ind w:firstLine="0"/>
              <w:jc w:val="right"/>
              <w:rPr>
                <w:sz w:val="20"/>
              </w:rPr>
            </w:pPr>
            <w:r>
              <w:rPr>
                <w:sz w:val="20"/>
              </w:rPr>
              <w:t>Acceptance Date</w:t>
            </w:r>
            <w:r w:rsidR="00E63EF5">
              <w:rPr>
                <w:sz w:val="20"/>
              </w:rPr>
              <w:t xml:space="preserve">: </w:t>
            </w:r>
            <w:proofErr w:type="gramStart"/>
            <w:r w:rsidR="00E63EF5">
              <w:rPr>
                <w:sz w:val="20"/>
              </w:rPr>
              <w:t>XX.XX</w:t>
            </w:r>
            <w:proofErr w:type="gramEnd"/>
            <w:r w:rsidR="00E63EF5">
              <w:rPr>
                <w:sz w:val="20"/>
              </w:rPr>
              <w:t>.2017</w:t>
            </w:r>
          </w:p>
        </w:tc>
      </w:tr>
      <w:tr w:rsidR="00D52BA4" w:rsidRPr="00DD6F21" w:rsidTr="00D52BA4">
        <w:trPr>
          <w:trHeight w:val="102"/>
        </w:trPr>
        <w:tc>
          <w:tcPr>
            <w:tcW w:w="5637" w:type="dxa"/>
            <w:vMerge/>
            <w:tcBorders>
              <w:bottom w:val="single" w:sz="2" w:space="0" w:color="663300"/>
            </w:tcBorders>
            <w:vAlign w:val="center"/>
          </w:tcPr>
          <w:p w:rsidR="00D52BA4" w:rsidRPr="00DD6F21" w:rsidRDefault="00D52BA4" w:rsidP="00055E64">
            <w:pPr>
              <w:jc w:val="center"/>
            </w:pPr>
          </w:p>
        </w:tc>
        <w:tc>
          <w:tcPr>
            <w:tcW w:w="3649" w:type="dxa"/>
            <w:vAlign w:val="center"/>
          </w:tcPr>
          <w:p w:rsidR="00D52BA4" w:rsidRPr="00DD6F21" w:rsidRDefault="00D52BA4" w:rsidP="00804360">
            <w:pPr>
              <w:spacing w:before="0" w:after="0"/>
              <w:ind w:firstLine="0"/>
              <w:jc w:val="right"/>
              <w:rPr>
                <w:sz w:val="20"/>
              </w:rPr>
            </w:pPr>
            <w:r>
              <w:rPr>
                <w:sz w:val="20"/>
              </w:rPr>
              <w:t>Electronic Issue Date</w:t>
            </w:r>
            <w:r w:rsidR="00E63EF5">
              <w:rPr>
                <w:sz w:val="20"/>
              </w:rPr>
              <w:t xml:space="preserve">: </w:t>
            </w:r>
            <w:proofErr w:type="gramStart"/>
            <w:r w:rsidR="00E63EF5">
              <w:rPr>
                <w:sz w:val="20"/>
              </w:rPr>
              <w:t>XX.XX</w:t>
            </w:r>
            <w:proofErr w:type="gramEnd"/>
            <w:r w:rsidR="00E63EF5">
              <w:rPr>
                <w:sz w:val="20"/>
              </w:rPr>
              <w:t>.2017</w:t>
            </w:r>
          </w:p>
        </w:tc>
      </w:tr>
      <w:tr w:rsidR="00D52BA4" w:rsidRPr="00DD6F21" w:rsidTr="00D52BA4">
        <w:trPr>
          <w:trHeight w:val="58"/>
        </w:trPr>
        <w:tc>
          <w:tcPr>
            <w:tcW w:w="5637" w:type="dxa"/>
            <w:vMerge/>
            <w:tcBorders>
              <w:bottom w:val="single" w:sz="2" w:space="0" w:color="663300"/>
            </w:tcBorders>
            <w:vAlign w:val="center"/>
          </w:tcPr>
          <w:p w:rsidR="00D52BA4" w:rsidRPr="00DD6F21" w:rsidRDefault="00D52BA4" w:rsidP="00055E64">
            <w:pPr>
              <w:jc w:val="center"/>
            </w:pPr>
          </w:p>
        </w:tc>
        <w:tc>
          <w:tcPr>
            <w:tcW w:w="3649" w:type="dxa"/>
            <w:vAlign w:val="center"/>
          </w:tcPr>
          <w:p w:rsidR="00D52BA4" w:rsidRPr="00DD6F21" w:rsidRDefault="00D52BA4" w:rsidP="00D52BA4">
            <w:pPr>
              <w:rPr>
                <w:b/>
              </w:rPr>
            </w:pPr>
          </w:p>
        </w:tc>
      </w:tr>
      <w:tr w:rsidR="00D52BA4" w:rsidRPr="00DD6F21" w:rsidTr="00EC786B">
        <w:tc>
          <w:tcPr>
            <w:tcW w:w="5637" w:type="dxa"/>
            <w:vMerge/>
            <w:tcBorders>
              <w:bottom w:val="single" w:sz="2" w:space="0" w:color="663300"/>
            </w:tcBorders>
            <w:vAlign w:val="center"/>
          </w:tcPr>
          <w:p w:rsidR="00D52BA4" w:rsidRPr="00DD6F21" w:rsidRDefault="00D52BA4" w:rsidP="00055E64">
            <w:pPr>
              <w:jc w:val="center"/>
            </w:pPr>
          </w:p>
        </w:tc>
        <w:tc>
          <w:tcPr>
            <w:tcW w:w="3649" w:type="dxa"/>
            <w:tcBorders>
              <w:bottom w:val="single" w:sz="2" w:space="0" w:color="663300"/>
            </w:tcBorders>
            <w:vAlign w:val="bottom"/>
          </w:tcPr>
          <w:p w:rsidR="00D52BA4" w:rsidRPr="00DD6F21" w:rsidRDefault="00D52BA4" w:rsidP="007524F0">
            <w:pPr>
              <w:jc w:val="right"/>
            </w:pPr>
            <w:r w:rsidRPr="00DD6F21">
              <w:rPr>
                <w:sz w:val="20"/>
              </w:rPr>
              <w:t xml:space="preserve"> </w:t>
            </w:r>
          </w:p>
        </w:tc>
      </w:tr>
    </w:tbl>
    <w:p w:rsidR="00D52BA4" w:rsidRPr="00DD6F21" w:rsidRDefault="00D52BA4"/>
    <w:p w:rsidR="00545275" w:rsidRPr="00545275" w:rsidRDefault="00545275" w:rsidP="00545275">
      <w:pPr>
        <w:spacing w:after="360" w:line="360" w:lineRule="auto"/>
        <w:rPr>
          <w:rFonts w:cs="Times New Roman"/>
          <w:b/>
        </w:rPr>
      </w:pPr>
      <w:r w:rsidRPr="00545275">
        <w:rPr>
          <w:rFonts w:cs="Times New Roman"/>
          <w:b/>
        </w:rPr>
        <w:t>Giriş</w:t>
      </w:r>
    </w:p>
    <w:p w:rsidR="00545275" w:rsidRPr="00545275" w:rsidRDefault="00545275" w:rsidP="00545275">
      <w:pPr>
        <w:spacing w:line="360" w:lineRule="auto"/>
        <w:rPr>
          <w:rFonts w:eastAsia="Times New Roman" w:cs="Times New Roman"/>
        </w:rPr>
      </w:pPr>
      <w:proofErr w:type="gramStart"/>
      <w:r w:rsidRPr="00545275">
        <w:rPr>
          <w:rFonts w:eastAsia="Times New Roman" w:cs="Times New Roman"/>
        </w:rPr>
        <w:t>Osmanlı tarihinde jurnalcilik ve hafiyelik gibi kavramlarla özdeşleştirilen ve özellikle II. Meşrutiyet dönemi kaynaklarında “Hafiyelik Devri”</w:t>
      </w:r>
      <w:r w:rsidRPr="00545275">
        <w:rPr>
          <w:rStyle w:val="DipnotBavurusu"/>
          <w:rFonts w:eastAsia="Times New Roman" w:cs="Times New Roman"/>
        </w:rPr>
        <w:t xml:space="preserve"> </w:t>
      </w:r>
      <w:r w:rsidRPr="00545275">
        <w:rPr>
          <w:rStyle w:val="DipnotBavurusu"/>
          <w:rFonts w:eastAsia="Times New Roman" w:cs="Times New Roman"/>
        </w:rPr>
        <w:footnoteReference w:id="2"/>
      </w:r>
      <w:r w:rsidRPr="00545275">
        <w:rPr>
          <w:rStyle w:val="DipnotBavurusu"/>
          <w:rFonts w:eastAsia="Times New Roman" w:cs="Times New Roman"/>
        </w:rPr>
        <w:t xml:space="preserve"> </w:t>
      </w:r>
      <w:r w:rsidRPr="00545275">
        <w:rPr>
          <w:rFonts w:eastAsia="Times New Roman" w:cs="Times New Roman"/>
        </w:rPr>
        <w:t xml:space="preserve">olarak adlandırılan II. Abdülhamid dönemi (1876-1909), </w:t>
      </w:r>
      <w:r w:rsidRPr="00545275">
        <w:rPr>
          <w:rFonts w:cs="Times New Roman"/>
        </w:rPr>
        <w:t>“Osmanlı tarihinin en olaylı geçen dönemlerinden biri” olmakla birlikte “modern Türkiye’nin ortaya çıkışının temellerinin atıldığı bir dönem”</w:t>
      </w:r>
      <w:r w:rsidRPr="00545275">
        <w:rPr>
          <w:rStyle w:val="DipnotBavurusu"/>
          <w:rFonts w:cs="Times New Roman"/>
        </w:rPr>
        <w:t xml:space="preserve"> </w:t>
      </w:r>
      <w:r w:rsidRPr="00545275">
        <w:rPr>
          <w:rStyle w:val="DipnotBavurusu"/>
          <w:rFonts w:cs="Times New Roman"/>
        </w:rPr>
        <w:footnoteReference w:id="3"/>
      </w:r>
      <w:r w:rsidRPr="00545275">
        <w:rPr>
          <w:rFonts w:cs="Times New Roman"/>
        </w:rPr>
        <w:t xml:space="preserve"> olarak her yönüyle </w:t>
      </w:r>
      <w:r w:rsidRPr="00545275">
        <w:rPr>
          <w:rFonts w:cs="Times New Roman"/>
        </w:rPr>
        <w:lastRenderedPageBreak/>
        <w:t>araştırmacıların ilgisini çekmeye devam etmektedir (Karpat 2012: 116-117; Yazıcı 2011: 61).</w:t>
      </w:r>
      <w:proofErr w:type="gramEnd"/>
      <w:r w:rsidRPr="00545275">
        <w:rPr>
          <w:rStyle w:val="DipnotBavurusu"/>
          <w:rFonts w:cs="Times New Roman"/>
        </w:rPr>
        <w:t xml:space="preserve"> </w:t>
      </w:r>
      <w:r w:rsidRPr="00545275">
        <w:rPr>
          <w:rFonts w:cs="Times New Roman"/>
        </w:rPr>
        <w:t xml:space="preserve">Üstelik II. Abdülhamid dönemine dair bu iki tez son yıllarda </w:t>
      </w:r>
      <w:proofErr w:type="gramStart"/>
      <w:r w:rsidRPr="00545275">
        <w:rPr>
          <w:rFonts w:cs="Times New Roman"/>
        </w:rPr>
        <w:t>literatürde</w:t>
      </w:r>
      <w:proofErr w:type="gramEnd"/>
      <w:r w:rsidRPr="00545275">
        <w:rPr>
          <w:rFonts w:cs="Times New Roman"/>
        </w:rPr>
        <w:t xml:space="preserve"> oldukça yer edinmiş gibi görünmektedir.</w:t>
      </w:r>
      <w:r w:rsidRPr="00545275">
        <w:rPr>
          <w:rStyle w:val="DipnotBavurusu"/>
          <w:rFonts w:cs="Times New Roman"/>
        </w:rPr>
        <w:t xml:space="preserve"> </w:t>
      </w:r>
      <w:r w:rsidRPr="00545275">
        <w:rPr>
          <w:rStyle w:val="DipnotBavurusu"/>
          <w:rFonts w:cs="Times New Roman"/>
        </w:rPr>
        <w:footnoteReference w:id="4"/>
      </w:r>
      <w:r w:rsidRPr="00545275">
        <w:rPr>
          <w:rFonts w:cs="Times New Roman"/>
        </w:rPr>
        <w:t xml:space="preserve"> </w:t>
      </w:r>
      <w:r w:rsidRPr="00545275">
        <w:rPr>
          <w:rFonts w:eastAsia="Times New Roman" w:cs="Times New Roman"/>
        </w:rPr>
        <w:t xml:space="preserve">II. Abdülhamid’in saltanatı bir bütün olarak incelendiğinde bu iki teze sıklıkla atıfta bulunan tarihçilerin haklılık payının olduğu gözlemlenebilir. Gerçekten de II. Abdülhamid Osmanlı İmparatorluğu’nun çok sıkıntılı bir döneminde tahta geçmiş ve saltanatı boyunca önemli olaylarla karşılaşmış bir hükümdardır. </w:t>
      </w:r>
      <w:proofErr w:type="gramStart"/>
      <w:r w:rsidRPr="00545275">
        <w:rPr>
          <w:rFonts w:eastAsia="Times New Roman" w:cs="Times New Roman"/>
        </w:rPr>
        <w:t xml:space="preserve">1875 yazında başlayan Bosna-Hersek ve 1876 Nisan’ından itibaren etkili olan Bulgaristan isyanlarının sıkıntılarıyla devleti devralan Sultan’ın, büyük Osmanlı-Rus Savaşı ve Berlin Antlaşması 1878 sonuna, Berlin Antlaşması’nın tasfiye edilmesi ve Tunus meselesi 1881 sonuna kadar tüm vaktini almıştır (Findley 2011: 42-43; Odams 1996: 56; Yasamee 1996: 13-18). </w:t>
      </w:r>
      <w:proofErr w:type="gramEnd"/>
      <w:r w:rsidRPr="00545275">
        <w:rPr>
          <w:rFonts w:eastAsia="Times New Roman" w:cs="Times New Roman"/>
        </w:rPr>
        <w:t>Her ne kadar birçok problemli uygulamaya sebep olan Düyun-ı Umumiye İdaresi’yle birlikte devletin maliyesine bir çekidüzen verilebilse de, dış politikada yeni zorluklar baş göstermekte gecikmemiştir: 1882’de Mısır krizi, 1883’de Sudan meselesi (Mehdi isyanı), sonra da Doğu Rumeli olayı (1885). 1885’den sonra Büyük Güçlerin uyguladığı dış baskılar biraz gevşese de, bu kez de Balkan devletlerinin sınır düzeltim (tashih) talepleri, komitacılık faaliyetleri ve 1890’lardan itibaren Ermeni meselesi gündeme gelecektir (Fortna 2011: 75-77).</w:t>
      </w:r>
      <w:r w:rsidRPr="00545275">
        <w:rPr>
          <w:rStyle w:val="DipnotBavurusu"/>
          <w:rFonts w:eastAsia="Times New Roman" w:cs="Times New Roman"/>
        </w:rPr>
        <w:t xml:space="preserve"> </w:t>
      </w:r>
      <w:r w:rsidRPr="00545275">
        <w:rPr>
          <w:rFonts w:eastAsia="Times New Roman" w:cs="Times New Roman"/>
        </w:rPr>
        <w:t xml:space="preserve">Sultan, başının üstünde “Demokles’in kılıcı” olarak gördüğü Jön Türk hareketini de “kendisinin rahat bırakılmaması” amacına hizmet eden ve büyük devletlerce yönlendirilen bir hareket addedecektir. </w:t>
      </w:r>
      <w:proofErr w:type="gramStart"/>
      <w:r w:rsidRPr="00545275">
        <w:rPr>
          <w:rFonts w:eastAsia="Times New Roman" w:cs="Times New Roman"/>
        </w:rPr>
        <w:t xml:space="preserve">Serhafiye Ahmed Celaleddin Paşa’nın ikna girişimleri ve -Birinci Dünya Savaşı’nda elde edilen bazı başarıları saymazsak- Osmanlı İmparatorluğu’nun son zaferi olan 1897 Yunan zaferiyle, daha doğrusu bu zaferin ortaya çıkardığı olumlu imajla bir müddet tökezleyen Jön Türk hareketi, 1899’da II. Abdülhamid’in kız kardeşi Seniha Sultan’ın eşi Mahmud Celaleddin Paşa ve oğullarının (Sabahaddin ve Lütfullah); 1905 </w:t>
      </w:r>
      <w:r w:rsidRPr="00545275">
        <w:rPr>
          <w:rFonts w:eastAsia="Times New Roman" w:cs="Times New Roman"/>
        </w:rPr>
        <w:lastRenderedPageBreak/>
        <w:t xml:space="preserve">yılından sonraysa Türkiye’deki genç subayların iştirak etmeye başlamasıyla tekrar güçlenecektir. </w:t>
      </w:r>
      <w:proofErr w:type="gramEnd"/>
      <w:r w:rsidRPr="00545275">
        <w:rPr>
          <w:rFonts w:eastAsia="Times New Roman" w:cs="Times New Roman"/>
        </w:rPr>
        <w:t xml:space="preserve">Özellikle ikincisi, Abdülhamid açısından “sonun başlangıcı” olarak gösterilebilir. Çünkü artık II. Abdülhamid’in muhatabı </w:t>
      </w:r>
      <w:proofErr w:type="gramStart"/>
      <w:r w:rsidRPr="00545275">
        <w:rPr>
          <w:rFonts w:eastAsia="Times New Roman" w:cs="Times New Roman"/>
        </w:rPr>
        <w:t>ütopik</w:t>
      </w:r>
      <w:proofErr w:type="gramEnd"/>
      <w:r w:rsidRPr="00545275">
        <w:rPr>
          <w:rFonts w:eastAsia="Times New Roman" w:cs="Times New Roman"/>
        </w:rPr>
        <w:t xml:space="preserve"> düşüncelerle Avrupa’ya firar edip burada yayınlarla mücadelelerini sürdüren siviller değil, askerler -bilhassa Rumeli’de konuşlu III. Ordu’nun subayları- olmuştur. II. Abdülhamid’in saltanatını her zaman çekindiği ve bu subayların başlattığı Jön Türk hareketi sona erdirecektir. Bu noktada Feroz Ahmad’in (2013: 23) tespiti oldukça yerindedir: Jön Türk devrimi sadece II. Abdülhamid’in değil “Abdülhamid sistemi”nin de (buna istihbarat sistemi de dâhildir) sonudur ve devrimle başlayan yeni dönem, siyasî partilerin kurulması ve parlamenter siyasetle birlikte Bâb-ı Âlî’nin eski şanına geçici olarak yeniden kavuşmasının işaretidir. </w:t>
      </w:r>
    </w:p>
    <w:p w:rsidR="00545275" w:rsidRPr="00545275" w:rsidRDefault="00545275" w:rsidP="00545275">
      <w:pPr>
        <w:spacing w:line="360" w:lineRule="auto"/>
        <w:rPr>
          <w:rFonts w:eastAsia="Times New Roman" w:cs="Arial"/>
        </w:rPr>
      </w:pPr>
      <w:r w:rsidRPr="00545275">
        <w:rPr>
          <w:rFonts w:eastAsia="Times New Roman" w:cs="Times New Roman"/>
        </w:rPr>
        <w:t>II. Abdülhamid’in Osmanlı İmparatorluğu’nun yönetiminde kullandığı temel pratiklerden biri, dönemin istihbarat sistemi olacaktır. Bu sistemin bir ürünü olan istihbarat raporu mahiyetindeki jurnaller hakkında bildiklerimiz ise h</w:t>
      </w:r>
      <w:r w:rsidRPr="00545275">
        <w:rPr>
          <w:rFonts w:ascii="Times New Roman" w:eastAsia="Times New Roman" w:hAnsi="Times New Roman" w:cs="Times New Roman"/>
        </w:rPr>
        <w:t>ȃ</w:t>
      </w:r>
      <w:r w:rsidRPr="00545275">
        <w:rPr>
          <w:rFonts w:eastAsia="Times New Roman" w:cs="Times New Roman"/>
        </w:rPr>
        <w:t>l</w:t>
      </w:r>
      <w:r w:rsidRPr="00545275">
        <w:rPr>
          <w:rFonts w:ascii="Times New Roman" w:eastAsia="Times New Roman" w:hAnsi="Times New Roman" w:cs="Times New Roman"/>
        </w:rPr>
        <w:t>ȃ</w:t>
      </w:r>
      <w:r w:rsidRPr="00545275">
        <w:rPr>
          <w:rFonts w:eastAsia="Times New Roman" w:cs="Times New Roman"/>
        </w:rPr>
        <w:t xml:space="preserve"> büyük oranda sınırlıdır.</w:t>
      </w:r>
      <w:r w:rsidRPr="00545275">
        <w:rPr>
          <w:rFonts w:eastAsia="Times New Roman" w:cs="Arial"/>
        </w:rPr>
        <w:t xml:space="preserve"> </w:t>
      </w:r>
      <w:r w:rsidRPr="00545275">
        <w:rPr>
          <w:rFonts w:cs="Times New Roman"/>
        </w:rPr>
        <w:t>II. Meşrutiyet döneminde sandıklar dolusu jurnalin Harbiye Nezareti bahçesinde yakıldığını belirterek bu konuya başlamak, sanırım artık aşılması gereken bir klişe haline gelmiştir.</w:t>
      </w:r>
      <w:r w:rsidRPr="00545275">
        <w:rPr>
          <w:rStyle w:val="DipnotBavurusu"/>
          <w:rFonts w:cs="Times New Roman"/>
        </w:rPr>
        <w:footnoteReference w:id="5"/>
      </w:r>
      <w:r w:rsidRPr="00545275">
        <w:rPr>
          <w:rFonts w:cs="Times New Roman"/>
        </w:rPr>
        <w:t xml:space="preserve"> Kaldı ki jurnaller ortadan kaldırılmamış olsaydı, bugün bunların büyük kısmının kaderi, arşivin tozlu raflarında yerlerini almak olacaktı. Zira eldeki mevcut jurnaller dahi doğru dürüst değerlendirilmeye tâbi tutulmamıştır. İstihbarî veri bakımından jurnallerin ancak belirli bir kısmı değerlidir. Çünkü aralarında çok kritik konuları olanlar bulunmakla birlikte, raporların büyük kısmı işlenmemiş bilgi yığınlarından ibarettir ve eğer jurnalde yer verilen konunun önü ve ardı bilinmiyorsa pek bir anlam ifade etmezler. Bununla birlikte jurnaller sadece istihbarat ya da ihbar raporları değildir. Konularına göre tasnif edilip bir bütün olarak incelendiğinde jurnallerin büyük kısmının gerçekleşmiş olayları konu edindiği gözlemlenmektedir.</w:t>
      </w:r>
      <w:r w:rsidRPr="00545275">
        <w:rPr>
          <w:rStyle w:val="DipnotBavurusu"/>
          <w:rFonts w:cs="Times New Roman"/>
        </w:rPr>
        <w:footnoteReference w:id="6"/>
      </w:r>
      <w:r w:rsidRPr="00545275">
        <w:rPr>
          <w:rFonts w:cs="Times New Roman"/>
        </w:rPr>
        <w:t xml:space="preserve"> Bu yönüyle jurnallerin, istihbarat raporlarının temel </w:t>
      </w:r>
      <w:proofErr w:type="gramStart"/>
      <w:r w:rsidRPr="00545275">
        <w:rPr>
          <w:rFonts w:cs="Times New Roman"/>
        </w:rPr>
        <w:t>nosyonu</w:t>
      </w:r>
      <w:proofErr w:type="gramEnd"/>
      <w:r w:rsidRPr="00545275">
        <w:rPr>
          <w:rFonts w:cs="Times New Roman"/>
        </w:rPr>
        <w:t xml:space="preserve"> olan henüz gerçekleşmemiş olayların önceden haber alınıp bildirilmesinden ziyade, gerçekleşmiş </w:t>
      </w:r>
      <w:r w:rsidRPr="00545275">
        <w:rPr>
          <w:rFonts w:cs="Times New Roman"/>
        </w:rPr>
        <w:lastRenderedPageBreak/>
        <w:t>olaylar üzerine hazırlanan ve karar alma makamını tedbir amaçlı uyaran raporlar olarak düşünülmesi daha doğru olur. Bu tür jurnaller “vakıa</w:t>
      </w:r>
      <w:r w:rsidRPr="00545275">
        <w:rPr>
          <w:rStyle w:val="DipnotBavurusu"/>
          <w:rFonts w:cs="Times New Roman"/>
        </w:rPr>
        <w:footnoteReference w:id="7"/>
      </w:r>
      <w:r w:rsidRPr="00545275">
        <w:rPr>
          <w:rFonts w:cs="Times New Roman"/>
        </w:rPr>
        <w:t xml:space="preserve"> jurnalleri” olarak isimlendirilebilir.    </w:t>
      </w:r>
    </w:p>
    <w:p w:rsidR="00545275" w:rsidRPr="00545275" w:rsidRDefault="00545275" w:rsidP="00545275">
      <w:pPr>
        <w:spacing w:line="360" w:lineRule="auto"/>
        <w:rPr>
          <w:rFonts w:cs="Times New Roman"/>
        </w:rPr>
      </w:pPr>
      <w:r w:rsidRPr="00545275">
        <w:rPr>
          <w:rFonts w:cs="Times New Roman"/>
        </w:rPr>
        <w:t>Jurnaller konusunda elimizde iki önemli kaynak bulunmaktadır. Bunlardan ilki, Yıldız Sarayı’ndan alınan jurnalleri tetkik etmekle görevli Evrak Tetkik Komisyonu’nda “Merkez Kumandanı Muavini” sıfatıyla yer alan Asaf Tuğay’a ait “İbret-Abdülhamid’e Verilen Jurnaller ve Jurnalciler”</w:t>
      </w:r>
      <w:r w:rsidRPr="00545275">
        <w:rPr>
          <w:rStyle w:val="DipnotBavurusu"/>
          <w:rFonts w:cs="Times New Roman"/>
        </w:rPr>
        <w:footnoteReference w:id="8"/>
      </w:r>
      <w:r w:rsidRPr="00545275">
        <w:rPr>
          <w:rFonts w:cs="Times New Roman"/>
        </w:rPr>
        <w:t xml:space="preserve"> adlı eserdir. Çok sayıda jurnal örneğine yer veren Asaf Tuğay’ın 1935 tarihli bu eseri, jurnaller konusunda bir fikir verebilir. Fakat Tuğay’ın eserinde bazı jurnallerin tarihlerinin belirtilmemesi, raporların orijinallerine yer verilmemesi ve daha çok istihbarat raporu mahiyetinde olan şifreli telgraf yazışmalarının jurnaller kategorisinde değerlendirilmesi, eserin akademik anlamda kullanımını sınırlamaktadır. </w:t>
      </w:r>
      <w:proofErr w:type="gramStart"/>
      <w:r w:rsidRPr="00545275">
        <w:rPr>
          <w:rFonts w:cs="Times New Roman"/>
        </w:rPr>
        <w:t>Bununla birlikte Tuğay’ın eserinde yer alan ve Diran Kelekyan</w:t>
      </w:r>
      <w:r w:rsidRPr="00545275">
        <w:rPr>
          <w:rStyle w:val="DipnotBavurusu"/>
          <w:rFonts w:cs="Times New Roman"/>
        </w:rPr>
        <w:footnoteReference w:id="9"/>
      </w:r>
      <w:r w:rsidRPr="00545275">
        <w:rPr>
          <w:rFonts w:cs="Times New Roman"/>
        </w:rPr>
        <w:t>, Başkâtip Tahsin Paşa</w:t>
      </w:r>
      <w:r w:rsidRPr="00545275">
        <w:rPr>
          <w:rStyle w:val="DipnotBavurusu"/>
          <w:rFonts w:cs="Times New Roman"/>
        </w:rPr>
        <w:footnoteReference w:id="10"/>
      </w:r>
      <w:r w:rsidRPr="00545275">
        <w:rPr>
          <w:rFonts w:cs="Times New Roman"/>
        </w:rPr>
        <w:t xml:space="preserve"> (Bahriye Mektupçusu iken), Sadrazam Ferid Paşa</w:t>
      </w:r>
      <w:r w:rsidRPr="00545275">
        <w:rPr>
          <w:rStyle w:val="DipnotBavurusu"/>
          <w:rFonts w:cs="Times New Roman"/>
        </w:rPr>
        <w:footnoteReference w:id="11"/>
      </w:r>
      <w:r w:rsidRPr="00545275">
        <w:rPr>
          <w:rFonts w:cs="Times New Roman"/>
        </w:rPr>
        <w:t xml:space="preserve"> (Konya Valisi iken), Damat Mahmud Paşa</w:t>
      </w:r>
      <w:r w:rsidRPr="00545275">
        <w:rPr>
          <w:rStyle w:val="DipnotBavurusu"/>
          <w:rFonts w:cs="Times New Roman"/>
        </w:rPr>
        <w:footnoteReference w:id="12"/>
      </w:r>
      <w:r w:rsidRPr="00545275">
        <w:rPr>
          <w:rFonts w:cs="Times New Roman"/>
        </w:rPr>
        <w:t>, Şehzade Yusuf İzzeddin Efendi</w:t>
      </w:r>
      <w:r w:rsidRPr="00545275">
        <w:rPr>
          <w:rStyle w:val="DipnotBavurusu"/>
          <w:rFonts w:cs="Times New Roman"/>
        </w:rPr>
        <w:footnoteReference w:id="13"/>
      </w:r>
      <w:r w:rsidRPr="00545275">
        <w:rPr>
          <w:rFonts w:cs="Times New Roman"/>
        </w:rPr>
        <w:t>, Abdülhak Hamit</w:t>
      </w:r>
      <w:r w:rsidRPr="00545275">
        <w:rPr>
          <w:rStyle w:val="DipnotBavurusu"/>
          <w:rFonts w:cs="Times New Roman"/>
        </w:rPr>
        <w:footnoteReference w:id="14"/>
      </w:r>
      <w:r w:rsidRPr="00545275">
        <w:rPr>
          <w:rFonts w:cs="Times New Roman"/>
        </w:rPr>
        <w:t xml:space="preserve"> (Londra Sefareti Müsteşarı iken), Abdullah Cevdet</w:t>
      </w:r>
      <w:r w:rsidRPr="00545275">
        <w:rPr>
          <w:rStyle w:val="DipnotBavurusu"/>
          <w:rFonts w:cs="Times New Roman"/>
        </w:rPr>
        <w:footnoteReference w:id="15"/>
      </w:r>
      <w:r w:rsidRPr="00545275">
        <w:rPr>
          <w:rFonts w:cs="Times New Roman"/>
        </w:rPr>
        <w:t xml:space="preserve"> </w:t>
      </w:r>
      <w:r w:rsidRPr="00545275">
        <w:rPr>
          <w:rFonts w:cs="Times New Roman"/>
        </w:rPr>
        <w:lastRenderedPageBreak/>
        <w:t>(Viyana Sefareti Tabibi iken) ve Selanik Mebusu Emanuel Karasso</w:t>
      </w:r>
      <w:r w:rsidRPr="00545275">
        <w:rPr>
          <w:rStyle w:val="DipnotBavurusu"/>
          <w:rFonts w:cs="Times New Roman"/>
        </w:rPr>
        <w:footnoteReference w:id="16"/>
      </w:r>
      <w:r w:rsidRPr="00545275">
        <w:rPr>
          <w:rFonts w:cs="Times New Roman"/>
        </w:rPr>
        <w:t xml:space="preserve"> gibi Abdülhamid döneminin önemli isimlerine ait -her ne kadar orijinallerine yer verilmese de- jurnaller bulunduğunu görmek, şaşırtıcıdır. </w:t>
      </w:r>
      <w:proofErr w:type="gramEnd"/>
      <w:r w:rsidRPr="00545275">
        <w:rPr>
          <w:rFonts w:cs="Times New Roman"/>
        </w:rPr>
        <w:t>Asaf Tuğay’ın eserinin dışında diğer bir kaynak, dava vekilliği (avukatlık) ve kadılık gibi görevlerde bulunmuş bir hukukçuya, 1891-1893 yıllarında Yıldız Sarayı’na bağlı jurnal tahkik görevlisi olarak çalışmış olan Kırımî-zâde Mehmed Neşet Efendi’ye</w:t>
      </w:r>
      <w:r w:rsidRPr="00545275">
        <w:rPr>
          <w:rStyle w:val="DipnotBavurusu"/>
          <w:rFonts w:cs="Times New Roman"/>
        </w:rPr>
        <w:footnoteReference w:id="17"/>
      </w:r>
      <w:r w:rsidRPr="00545275">
        <w:rPr>
          <w:rFonts w:cs="Times New Roman"/>
        </w:rPr>
        <w:t xml:space="preserve">  aittir. Çalışmamızın ana dayanağı olan bu kaynak, Âtıf Efendi Kütüphanesi’nde Mehmet Zeki Pakalın kitapları arasında 18 numarada bulunan jurnal raporları dosyasından oluşmaktadır ve 1891-1893 yılları arasında Saray’a gönderilen jurnallerin tahkik raporlarını içermektedir. Yakın tarihte hazırlanan ve bu dosyanın hem orijinallerini, hem de transkripsiyonlarını içeren “II. Abdülhamid’e Takdim Edilen Jurnallerin Tahkik Raporları (1891-1893)”</w:t>
      </w:r>
      <w:r w:rsidRPr="00545275">
        <w:rPr>
          <w:rStyle w:val="DipnotBavurusu"/>
          <w:rFonts w:cs="Times New Roman"/>
        </w:rPr>
        <w:footnoteReference w:id="18"/>
      </w:r>
      <w:r w:rsidRPr="00545275">
        <w:rPr>
          <w:rFonts w:cs="Times New Roman"/>
        </w:rPr>
        <w:t xml:space="preserve"> adlı eser, jurnaller konusunda temel kaynaklardan biri olarak sayılabilir. Bu eser 1891-1893 yılları arasını, yani Abdülhamid </w:t>
      </w:r>
      <w:r w:rsidRPr="00545275">
        <w:rPr>
          <w:rFonts w:cs="Times New Roman"/>
        </w:rPr>
        <w:lastRenderedPageBreak/>
        <w:t xml:space="preserve">döneminin çok küçük bir bölümünü kapsamaktadır. Fakat eserde raporların orijinallerine yer verilmesi, jurnallere ilk elden ulaşmaya, jurnalleri karşılaştırmalı olarak değerlendirmeye ve küçük bir bölümüne bakarak, resmin tamamını görmeye imkân tanımaktadır. </w:t>
      </w:r>
    </w:p>
    <w:p w:rsidR="00545275" w:rsidRPr="00545275" w:rsidRDefault="00545275" w:rsidP="00545275">
      <w:pPr>
        <w:tabs>
          <w:tab w:val="left" w:pos="0"/>
        </w:tabs>
        <w:spacing w:line="360" w:lineRule="auto"/>
        <w:rPr>
          <w:rFonts w:cs="Times New Roman"/>
        </w:rPr>
      </w:pPr>
      <w:r w:rsidRPr="00545275">
        <w:rPr>
          <w:rFonts w:cs="Times New Roman"/>
        </w:rPr>
        <w:t>Kaynakların sınırlılığı bir yana, devrin jurnal sistemini dış dünyaya kapatan ve bu sistemi karmaşıklaştıran başlıca konu, jurnallerin Yıldız Sarayı’na nasıl ulaştırıldıkları ve hangi aşamalardan geçtikten sonra padişaha sunulduğu sorusudur. Bu konuda resmî evraklar ya da jurnallerde herhangi bir bilgi verilmemekle birlikte, incelediğimiz jurnal tahkik raporlarında yer verilen istihbarat kaynakları</w:t>
      </w:r>
      <w:r w:rsidRPr="00545275">
        <w:rPr>
          <w:rStyle w:val="DipnotBavurusu"/>
          <w:rFonts w:cs="Times New Roman"/>
        </w:rPr>
        <w:footnoteReference w:id="19"/>
      </w:r>
      <w:r w:rsidRPr="00545275">
        <w:rPr>
          <w:rFonts w:cs="Times New Roman"/>
        </w:rPr>
        <w:t>, istihbaratın toplanma</w:t>
      </w:r>
      <w:r w:rsidRPr="00545275">
        <w:rPr>
          <w:rStyle w:val="DipnotBavurusu"/>
          <w:rFonts w:cs="Times New Roman"/>
        </w:rPr>
        <w:footnoteReference w:id="20"/>
      </w:r>
      <w:r w:rsidRPr="00545275">
        <w:rPr>
          <w:rFonts w:cs="Times New Roman"/>
        </w:rPr>
        <w:t xml:space="preserve"> ve Saray’a </w:t>
      </w:r>
      <w:r w:rsidRPr="00545275">
        <w:rPr>
          <w:rFonts w:cs="Times New Roman"/>
        </w:rPr>
        <w:lastRenderedPageBreak/>
        <w:t>ulaştırılma biçimleri</w:t>
      </w:r>
      <w:r w:rsidRPr="00545275">
        <w:rPr>
          <w:rStyle w:val="DipnotBavurusu"/>
          <w:rFonts w:cs="Times New Roman"/>
        </w:rPr>
        <w:footnoteReference w:id="21"/>
      </w:r>
      <w:r w:rsidRPr="00545275">
        <w:rPr>
          <w:rFonts w:cs="Times New Roman"/>
        </w:rPr>
        <w:t xml:space="preserve"> hakkındaki veriler, özellikle Başkâtip Tahsin Paşa’nın hatıratında konuyla ilgili verdiği bilgilerle örtüşmektedir. Bu nedenle devrin güvenilir kaynaklarından Tahsin Paşa’nın verdiği bilgiler, jurnallerin Saray’a ulaştırılma süreci konusunda dikkate alınabilir. Paşa’ya göre bu dönemde Saray’a gönderilen evraklarla ilgili resmî muamele şu şekilde işler: Başta Bâb-ı Âlî olmak üzere devlet dairelerinden gelen arîza, tezkire, vukuat raporu gibi resmî evraklar ağızları mühürlü torbalarla Yıldız Sarayı’nın Başkitâbet makamına ulaşır. Mülki işler Sadrazam, ilmiyeye ait evrak Şeyhülislam, denizcilik işleri Bahriye Nazırı, askerî işler Serasker, genel asayişle ilgili olanlar Zaptiye Nazırı ve malî işler de Hazine-i Hassa Nazırı tarafından Yıldız Sarayı’na iletilir.  Bu, resmî evraklar için izlenen </w:t>
      </w:r>
      <w:proofErr w:type="gramStart"/>
      <w:r w:rsidRPr="00545275">
        <w:rPr>
          <w:rFonts w:cs="Times New Roman"/>
        </w:rPr>
        <w:t>prosedürdür</w:t>
      </w:r>
      <w:proofErr w:type="gramEnd"/>
      <w:r w:rsidRPr="00545275">
        <w:rPr>
          <w:rFonts w:cs="Times New Roman"/>
        </w:rPr>
        <w:t xml:space="preserve">. Jurnaller ise, diğer resmî evraklardan farklı olarak, Başkitâbet Dairesi’nde toplanmayıp Mabeyncilere direkt ulaştırılır. Mabeyncilere ulaşan jurnaller, jurnali hazırlayan kişinin “önemine” göre ya bizzat padişah tarafından, ya da onun görevlendirdiği bendegân tarafından açılır (Tahsin Paşa 1999: 8-9, 111). Bu bendegân arasında, Mabeyncilerden Başmabeynci Hacı Ali Paşa, Seribrikdar Kamil Ağa, Seccadecibaşı İzzet Efendi, Tüfenkçi Halil Bey ile Musahiplerden Cafer ve Lütfi Ağalar gibi isimler bulunduğunu biliyoruz (Karakışla 2003: 27). Örneğin, tahkik raporlarından anlaşıldığına göre, jurnalleri tahkik etmekle görevli Kırımî-zâde Neşet Efendi bu isimlerden Lütfi Ağa’ya bağlıdır ve tahkik ettiği raporları Lütfi Ağa aracılığıyla padişaha ulaştırır. Saray’a verilen jurnallerin çoğu resmî olarak “arz kaydı” adıyla takdim edilir. Hükümdarın gerekli görmesi halinde, değerlendirmeye alınan jurnal hakkında, jurnalde yer verilen istihbaratın gereğine göre irade-i seniyye çıkarak, jurnalin işlemi tamamlanmış olur. Bu irade-i seniyye de, örneğin, </w:t>
      </w:r>
      <w:r w:rsidRPr="00545275">
        <w:rPr>
          <w:rFonts w:cs="Times New Roman"/>
        </w:rPr>
        <w:lastRenderedPageBreak/>
        <w:t>eşkıyalık olaylarıyla ilgili verilen bir jurnal üzerine “eşkıyaların takibini”</w:t>
      </w:r>
      <w:r w:rsidRPr="00545275">
        <w:rPr>
          <w:rStyle w:val="DipnotBavurusu"/>
          <w:rFonts w:cs="Times New Roman"/>
        </w:rPr>
        <w:footnoteReference w:id="22"/>
      </w:r>
      <w:r w:rsidRPr="00545275">
        <w:rPr>
          <w:rFonts w:cs="Times New Roman"/>
        </w:rPr>
        <w:t xml:space="preserve"> ya da İstanbul’un herhangi bir semtinde gizli ev toplantısı yapıldığıyla ilgili bir jurnal verilmesi üzerine “konunun tahkikini”</w:t>
      </w:r>
      <w:r w:rsidRPr="00545275">
        <w:rPr>
          <w:rStyle w:val="DipnotBavurusu"/>
          <w:rFonts w:cs="Times New Roman"/>
        </w:rPr>
        <w:footnoteReference w:id="23"/>
      </w:r>
      <w:r w:rsidRPr="00545275">
        <w:rPr>
          <w:rFonts w:cs="Times New Roman"/>
        </w:rPr>
        <w:t xml:space="preserve"> emreden bir irade-i seniyye olabilir.</w:t>
      </w:r>
    </w:p>
    <w:p w:rsidR="00545275" w:rsidRPr="00545275" w:rsidRDefault="00545275" w:rsidP="00545275">
      <w:pPr>
        <w:tabs>
          <w:tab w:val="left" w:pos="0"/>
        </w:tabs>
        <w:spacing w:line="360" w:lineRule="auto"/>
        <w:rPr>
          <w:rFonts w:cs="Times New Roman"/>
        </w:rPr>
      </w:pPr>
    </w:p>
    <w:p w:rsidR="00545275" w:rsidRPr="00545275" w:rsidRDefault="00545275" w:rsidP="00545275">
      <w:pPr>
        <w:tabs>
          <w:tab w:val="left" w:pos="0"/>
        </w:tabs>
        <w:spacing w:after="360" w:line="360" w:lineRule="auto"/>
        <w:rPr>
          <w:rFonts w:cs="Times New Roman"/>
          <w:b/>
        </w:rPr>
      </w:pPr>
      <w:r w:rsidRPr="00545275">
        <w:rPr>
          <w:rFonts w:cs="Times New Roman"/>
          <w:b/>
        </w:rPr>
        <w:t>Jurnallerin Konuları ve Jurnal Sisteminin Özellikleri</w:t>
      </w:r>
    </w:p>
    <w:p w:rsidR="00545275" w:rsidRPr="00545275" w:rsidRDefault="00545275" w:rsidP="00545275">
      <w:pPr>
        <w:tabs>
          <w:tab w:val="left" w:pos="0"/>
        </w:tabs>
        <w:spacing w:line="360" w:lineRule="auto"/>
        <w:rPr>
          <w:rFonts w:cs="Times New Roman"/>
        </w:rPr>
      </w:pPr>
      <w:r w:rsidRPr="00545275">
        <w:rPr>
          <w:rFonts w:cs="Times New Roman"/>
        </w:rPr>
        <w:t xml:space="preserve">Mabeyn’e verilen jurnallerin birbirinden farklı konuları bulunmaktadır. </w:t>
      </w:r>
      <w:proofErr w:type="gramStart"/>
      <w:r w:rsidRPr="00545275">
        <w:rPr>
          <w:rFonts w:cs="Times New Roman"/>
        </w:rPr>
        <w:t>Padişahın Hırka-i Şerif ziyareti öncesinde alınan tedbirler</w:t>
      </w:r>
      <w:r w:rsidRPr="00545275">
        <w:rPr>
          <w:rStyle w:val="DipnotBavurusu"/>
          <w:rFonts w:cs="Times New Roman"/>
        </w:rPr>
        <w:footnoteReference w:id="24"/>
      </w:r>
      <w:r w:rsidRPr="00545275">
        <w:rPr>
          <w:rFonts w:cs="Times New Roman"/>
        </w:rPr>
        <w:t>, Boğaz’da bekleyen İngiliz gemilerinin gözaltında tutulması</w:t>
      </w:r>
      <w:r w:rsidRPr="00545275">
        <w:rPr>
          <w:rStyle w:val="DipnotBavurusu"/>
          <w:rFonts w:cs="Times New Roman"/>
        </w:rPr>
        <w:footnoteReference w:id="25"/>
      </w:r>
      <w:r w:rsidRPr="00545275">
        <w:rPr>
          <w:rFonts w:cs="Times New Roman"/>
        </w:rPr>
        <w:t>, Terkos Su Kumpanyası’nda çalışan yabancı mühendislerin İstanbul suyollarını bozmaya çalıştıkları</w:t>
      </w:r>
      <w:r w:rsidRPr="00545275">
        <w:rPr>
          <w:rStyle w:val="DipnotBavurusu"/>
          <w:rFonts w:cs="Times New Roman"/>
        </w:rPr>
        <w:footnoteReference w:id="26"/>
      </w:r>
      <w:r w:rsidRPr="00545275">
        <w:rPr>
          <w:rFonts w:cs="Times New Roman"/>
        </w:rPr>
        <w:t>, Beykoz’da belirli bir yerde define bulunduğu</w:t>
      </w:r>
      <w:r w:rsidRPr="00545275">
        <w:rPr>
          <w:rStyle w:val="DipnotBavurusu"/>
          <w:rFonts w:cs="Times New Roman"/>
        </w:rPr>
        <w:footnoteReference w:id="27"/>
      </w:r>
      <w:r w:rsidRPr="00545275">
        <w:rPr>
          <w:rFonts w:cs="Times New Roman"/>
        </w:rPr>
        <w:t>, Bakırköy ve Adalar’daki Müslüman kadınların İslamî adaba uymayan hal ve hareketleri</w:t>
      </w:r>
      <w:r w:rsidRPr="00545275">
        <w:rPr>
          <w:rStyle w:val="DipnotBavurusu"/>
          <w:rFonts w:cs="Times New Roman"/>
        </w:rPr>
        <w:footnoteReference w:id="28"/>
      </w:r>
      <w:r w:rsidRPr="00545275">
        <w:rPr>
          <w:rFonts w:cs="Times New Roman"/>
        </w:rPr>
        <w:t>, Mısır Hidivi Abbas Hilmi Paşa’nın İstanbul ziyareti sırasında halk arasında cereyan eden olaylar</w:t>
      </w:r>
      <w:r w:rsidRPr="00545275">
        <w:rPr>
          <w:rStyle w:val="DipnotBavurusu"/>
          <w:rFonts w:cs="Times New Roman"/>
        </w:rPr>
        <w:footnoteReference w:id="29"/>
      </w:r>
      <w:r w:rsidRPr="00545275">
        <w:rPr>
          <w:rFonts w:cs="Times New Roman"/>
        </w:rPr>
        <w:t xml:space="preserve"> ya da Mekke’de çıkan kolera salgını</w:t>
      </w:r>
      <w:r w:rsidRPr="00545275">
        <w:rPr>
          <w:rStyle w:val="DipnotBavurusu"/>
          <w:rFonts w:cs="Times New Roman"/>
        </w:rPr>
        <w:footnoteReference w:id="30"/>
      </w:r>
      <w:r w:rsidRPr="00545275">
        <w:rPr>
          <w:rFonts w:cs="Times New Roman"/>
        </w:rPr>
        <w:t xml:space="preserve"> gibi konuları bulunan jurnaller, bu çeşitliliğin sadece küçük bir bölümünü yansıtmaktadır. </w:t>
      </w:r>
      <w:proofErr w:type="gramEnd"/>
      <w:r w:rsidRPr="00545275">
        <w:rPr>
          <w:rFonts w:cs="Times New Roman"/>
        </w:rPr>
        <w:t xml:space="preserve">Tıpkı diğer iktidar aygıtları olan sansür uygulamaları, sürgün politikaları ve kontrol mekanizmalarında olduğu gibi, jurnal sisteminin temelinde de güvenlik kaygısı yatmaktadır. Burada anlaşılması gereken genel olarak devletin güvenliği, </w:t>
      </w:r>
      <w:r w:rsidRPr="00545275">
        <w:rPr>
          <w:rFonts w:cs="Times New Roman"/>
        </w:rPr>
        <w:lastRenderedPageBreak/>
        <w:t>özelde de saltanatın -ve dolayısıyla padişahın- güvenliğidir. Nitekim raporların büyük çoğunluğu padişah, saltanat ya da devletin güvenliğine gönderme yaparken, doğrudan doğruya toplumun ya da bireylerin güvenliğini ilgilendiren raporların sayısı oldukça azdır. Toplumun güvenliğini ilgilendiren az sayıdaki raporda da güvenlik algısı bir şekilde devletin ya da saltanatın güvenliğiyle ilişkilendirilir.</w:t>
      </w:r>
      <w:r w:rsidRPr="00545275">
        <w:rPr>
          <w:rStyle w:val="DipnotBavurusu"/>
          <w:rFonts w:cs="Times New Roman"/>
        </w:rPr>
        <w:footnoteReference w:id="31"/>
      </w:r>
      <w:r w:rsidRPr="00545275">
        <w:rPr>
          <w:rFonts w:cs="Times New Roman"/>
        </w:rPr>
        <w:t xml:space="preserve"> Osmanlı elitlerinin, “hikmet-i hükümet” kavramını büyük ölçüde devletin bekası olarak algılamaları, Osmanlı siyasal düşüncesinin temelini oluşturan “daire-i adalet” anlayışının ise devletin güvenliğinin tesis edilmesiyle işleyeceğinin farkında olmaları, başta jurnal sistemi olmak üzere tüm gözetleme mekanizmalarına meşruluk kazandırmaktadır. Jurnal sistemi de dâhil söz konusu mekanizmalar, bir yandan milliyetçi hareketlerin yayıldığı, bir yandan da toprak kaybı tehdidinin fazlasıyla hissedildiği bir dönemde yönetimin vazgeçemeyeceği temel güvenlik aygıtlarından biri haline gelmiştir.     </w:t>
      </w:r>
    </w:p>
    <w:p w:rsidR="00545275" w:rsidRPr="00545275" w:rsidRDefault="00545275" w:rsidP="00545275">
      <w:pPr>
        <w:spacing w:line="360" w:lineRule="auto"/>
        <w:rPr>
          <w:rFonts w:cs="Times New Roman"/>
        </w:rPr>
      </w:pPr>
      <w:r w:rsidRPr="00545275">
        <w:rPr>
          <w:rFonts w:cs="Times New Roman"/>
        </w:rPr>
        <w:t>II. Abdülhamid döneminde jurnal ve ihbar sisteminin dayandığı meşru zemin, devletin güvenliği ve bekasının korunmasıyla ilgiliydi. Devletin güvenliği ve bekasının, hükümdar ve saltanata mutlak bağlılıkla</w:t>
      </w:r>
      <w:r w:rsidRPr="00545275">
        <w:rPr>
          <w:rStyle w:val="DipnotBavurusu"/>
          <w:rFonts w:cs="Times New Roman"/>
        </w:rPr>
        <w:footnoteReference w:id="32"/>
      </w:r>
      <w:r w:rsidRPr="00545275">
        <w:rPr>
          <w:rFonts w:cs="Times New Roman"/>
        </w:rPr>
        <w:t xml:space="preserve"> ilişkilendirildiği ve her iki olgunun birbirini tamamlayıcı unsurlar olarak görüldüğü bu dönemde, padişahın -1890 tarihli bir eserde</w:t>
      </w:r>
      <w:r w:rsidRPr="00545275">
        <w:rPr>
          <w:rStyle w:val="DipnotBavurusu"/>
          <w:rFonts w:cs="Times New Roman"/>
        </w:rPr>
        <w:footnoteReference w:id="33"/>
      </w:r>
      <w:r w:rsidRPr="00545275">
        <w:rPr>
          <w:rFonts w:cs="Times New Roman"/>
        </w:rPr>
        <w:t xml:space="preserve"> belirtildiği gibi- tüm tebaanın “müşfik, merhametli, âlicenap bir pederi” olarak gösterilmek istenmesi, söz konusu tamamlayıcı unsurların sembolik pratikleri olarak algılanabilir. Bu noktada, jurnal sistemi ve gözetleme mekanizmaları, aslında dönemin kendine has güvenlik politikalarının bir parçası olarak düşünülmelidir. Bu sistemin, imparatorlukta güvenliğe tehdit oluşturduğu düşünülen her şeyi ve herkesi kapsayacak kadar geniş bir yelpazesinin olması, Weber’in modern devleti tanımlarken kullandığı “düzenin ihlaline karşı meşru şiddet tekeli” </w:t>
      </w:r>
      <w:r w:rsidRPr="00545275">
        <w:rPr>
          <w:rFonts w:cs="Times New Roman"/>
        </w:rPr>
        <w:lastRenderedPageBreak/>
        <w:t>öngörüsünü akla getirmektedir.</w:t>
      </w:r>
      <w:r w:rsidRPr="00545275">
        <w:rPr>
          <w:rStyle w:val="DipnotBavurusu"/>
          <w:rFonts w:cs="Times New Roman"/>
        </w:rPr>
        <w:footnoteReference w:id="34"/>
      </w:r>
      <w:r w:rsidRPr="00545275">
        <w:rPr>
          <w:rFonts w:cs="Times New Roman"/>
        </w:rPr>
        <w:t xml:space="preserve"> Weber burada, şüphesiz, meşruluğun sosyolojik boyutuna vurgu yapmak istemiştir. İlkay Yılmaz’ın da (2014: 83) belirttiği gibi, burada Weber’in tartışmadığı nokta, devlet tahakkümünü mümkün kılan koşullar ve bunların tahakküm pratikleriyle ilişkileridir. Bununla birlikte tahakküm ve gözetleme mekanizmalarının, esas olarak yöneticilerin tasarladıkları toplumsal mekanizmalar ve stratejiler oldukları düşünülürse, bunların topluma pek de olumlu yansıdığı söylenemez. II. Abdülhamid’in jurnal sistemi de, toplumun tamamı için değilse bile, en azından devlet görevlileri ya da devletle ilişkisi olanlar üzerinde bir baskı oluşturduğu için çoğu kez memnunlukla karşılanmamıştır. Nitekim bu memnuniyetsizlik, II. Meşrutiyet döneminde dışa vuracaktır.      </w:t>
      </w:r>
    </w:p>
    <w:p w:rsidR="00545275" w:rsidRPr="00545275" w:rsidRDefault="00545275" w:rsidP="00545275">
      <w:pPr>
        <w:spacing w:line="360" w:lineRule="auto"/>
        <w:rPr>
          <w:rFonts w:cs="Times New Roman"/>
        </w:rPr>
      </w:pPr>
      <w:r w:rsidRPr="00545275">
        <w:rPr>
          <w:rFonts w:cs="Times New Roman"/>
        </w:rPr>
        <w:t xml:space="preserve">II. Abdülhamid dönemi boyunca izlenen gözetleme (observation) ve zapt etme (policing) politikaları, sansür uygulamaları, sıkı pasaport rejimi, özellikle İstanbul’a giriş çıkışların kontrolü ve şüpheli şahısların izlenmesi gibi güvenlik önlemleri, Avrupa’da bilhassa anarşist eylemlerin neden olduğu korkunun Osmanlı İmparatorluğu’na olan etkilerinin bir sonucu olarak da görülebilir (Yılmaz 2014: 83). Gerçekten de II. Abdülhamid dönemi, modern anlamda “iç düşman” kategorisinin inşa edildiği ve jurnal sistemi gibi gözetleme mekanizmalarının bu temel üzerine şekillendiği bir dönem olmuştur. Jurnallerde kullanılan üsluba bakarak, Abdülhamid devrinde devletin tehlike ve tehdit algısının üst kademelerdeki yöneticilerden, alt kademedeki memurlara kadar toplumun çok geniş bir bölümünü kapsadığı söylenebilir. Her ne kadar oldukça etkin kontrol mekanizmaları kullanılsa da, bu tehdit algısı hiçbir zaman azalmamıştır. Dönem dönem konuları değişse de, devleti, hilafeti, saltanatı ya da padişahı tehdit eden unsurların varlığıyla ilgili raporların sürekliliği bu durumu yansıtmaktadır. Tehdit unsurlarının çeşitliliği bir yana, dikkati çeken bir başka nokta, tehlike söyleminin ifade ediliş tarzlarıdır. Jurnaller ve jurnal tahkik raporlarında bilhassa “fesad”, “cemiyet-i fesadiye”, “hafî maksat”, “suiistimal” ve “ahval-i muzırra” gibi tehlike çağrışımlı ifadelerin sıklıkla kullanılması, bu sistemin esas olarak tehlike/tehdit algısı ve bunlardan korunma arzusu üzerine inşa edildiğini göstermektedir. Tabii bu değerlendirmeleri yaparken, jurnal sisteminin kurulduğu tarihsel ve mekânsal ortamı unutmamak gerekir. Devrin kendine has özelliklerini (hilafete mutlak bağlılık, </w:t>
      </w:r>
      <w:r w:rsidRPr="00545275">
        <w:rPr>
          <w:rFonts w:cs="Times New Roman"/>
        </w:rPr>
        <w:lastRenderedPageBreak/>
        <w:t xml:space="preserve">padişaha hizmet, devletin içinde bulunduğu durum gibi) göz önünde tutmak, bu sisteme katılan aktörleri anlamayı ve sistemin ortaya çıkardığı güvenlik politikalarının hangi düşünce yapısıyla oluşturulduğunu idrak etmemizi kolaylaştıracaktır.  </w:t>
      </w:r>
    </w:p>
    <w:p w:rsidR="00545275" w:rsidRDefault="00545275" w:rsidP="00545275">
      <w:pPr>
        <w:spacing w:line="360" w:lineRule="auto"/>
        <w:rPr>
          <w:rFonts w:cs="Times New Roman"/>
        </w:rPr>
      </w:pPr>
      <w:proofErr w:type="gramStart"/>
      <w:r w:rsidRPr="00545275">
        <w:rPr>
          <w:rFonts w:cs="Times New Roman"/>
        </w:rPr>
        <w:t xml:space="preserve">Raporların genellikle sonunda yer alan “hazret-i veliyy-i nimet”, “hasbe’l-ubûdiyye”, “cenâb-ı hilafet-penâhî” ve “mukaddes hazret-i zıllullâhî” gibi sadakat ve mutlak bağlılığı ön plana çıkaran dinî motifli ifadeler, en ufak ayrıntılara varıncaya değin her türlü gelişmeden padişahın haberdar edilmesi üzerine kurulu bu sisteme siyasî bir meşruiyet kazandırma çabasıyla ilişkilendirilebilir. </w:t>
      </w:r>
      <w:proofErr w:type="gramEnd"/>
      <w:r w:rsidRPr="00545275">
        <w:rPr>
          <w:rFonts w:cs="Times New Roman"/>
        </w:rPr>
        <w:t xml:space="preserve">Nitekim raporlarda kutsal kişiliğine sıklıkla vurgu yapılan padişah/halifeye ve onun sahibi olduğu mülke herhangi bir yerden gelecek herhangi bir zararı önleme gayreti, jurnal ve jurnal tahkik raporlarının önemli bir kısmında açıkça görülebilmektedir. </w:t>
      </w:r>
      <w:proofErr w:type="gramStart"/>
      <w:r w:rsidRPr="00545275">
        <w:rPr>
          <w:rFonts w:cs="Times New Roman"/>
        </w:rPr>
        <w:t>Rotschild Bankası mensuplarının Suriye ve Lübnan’da arazi satın almaya muvaffak olurlarsa, “işin başka bir renk alacağı”nın padişaha arz edilmesi</w:t>
      </w:r>
      <w:r w:rsidRPr="00545275">
        <w:rPr>
          <w:rStyle w:val="DipnotBavurusu"/>
          <w:rFonts w:cs="Times New Roman"/>
        </w:rPr>
        <w:footnoteReference w:id="35"/>
      </w:r>
      <w:r w:rsidRPr="00545275">
        <w:rPr>
          <w:rFonts w:cs="Times New Roman"/>
        </w:rPr>
        <w:t>, Rum Patrikliği “bir takım fesedenin” elinden kurtarılmazsa, İstanbul’da birçok karışıklığın baş göstereceğinin belirtilmesi</w:t>
      </w:r>
      <w:r w:rsidRPr="00545275">
        <w:rPr>
          <w:rStyle w:val="DipnotBavurusu"/>
          <w:rFonts w:cs="Times New Roman"/>
        </w:rPr>
        <w:footnoteReference w:id="36"/>
      </w:r>
      <w:r w:rsidRPr="00545275">
        <w:rPr>
          <w:rFonts w:cs="Times New Roman"/>
        </w:rPr>
        <w:t xml:space="preserve"> ya da dönemin meşhur simalarından Ebuzziya Tevfik Bey’in İngiliz Sezar Rafael adlı bir şahıs ile görüşerek, İngiltere Sefareti’ne bazı haberler gönderdiğinin bildirilmesi</w:t>
      </w:r>
      <w:r w:rsidRPr="00545275">
        <w:rPr>
          <w:rStyle w:val="DipnotBavurusu"/>
          <w:rFonts w:cs="Times New Roman"/>
        </w:rPr>
        <w:footnoteReference w:id="37"/>
      </w:r>
      <w:r w:rsidRPr="00545275">
        <w:rPr>
          <w:rFonts w:cs="Times New Roman"/>
        </w:rPr>
        <w:t xml:space="preserve"> gibi örneklerde hep bu koruma arzusu ön plandadır. </w:t>
      </w:r>
      <w:proofErr w:type="gramEnd"/>
      <w:r w:rsidRPr="00545275">
        <w:rPr>
          <w:rFonts w:cs="Times New Roman"/>
        </w:rPr>
        <w:t xml:space="preserve">Gerçekten de, aşağıda görüleceği gibi yalnızca devlet işlerini ilgilendiren konuların değil, hemen her biri birbirinden farklı meseleleri içeren raporların “malumat olarak” hükümdara sunulması, dönemin istihbarat ağını genişleten ayırt edici özelliklerden biridir.        </w:t>
      </w:r>
    </w:p>
    <w:p w:rsidR="00545275" w:rsidRPr="00545275" w:rsidRDefault="00545275" w:rsidP="00545275">
      <w:pPr>
        <w:spacing w:line="360" w:lineRule="auto"/>
        <w:rPr>
          <w:rFonts w:cs="Times New Roman"/>
        </w:rPr>
      </w:pPr>
    </w:p>
    <w:p w:rsidR="00545275" w:rsidRPr="00545275" w:rsidRDefault="00545275" w:rsidP="00545275">
      <w:pPr>
        <w:spacing w:after="360" w:line="360" w:lineRule="auto"/>
        <w:rPr>
          <w:rFonts w:cs="Times New Roman"/>
          <w:b/>
        </w:rPr>
      </w:pPr>
      <w:r w:rsidRPr="00545275">
        <w:rPr>
          <w:rFonts w:cs="Times New Roman"/>
          <w:b/>
        </w:rPr>
        <w:t>Kırımî-z</w:t>
      </w:r>
      <w:r w:rsidRPr="00545275">
        <w:rPr>
          <w:rFonts w:hAnsi="Times New Roman" w:cs="Times New Roman"/>
          <w:b/>
        </w:rPr>
        <w:t>ȃ</w:t>
      </w:r>
      <w:r w:rsidRPr="00545275">
        <w:rPr>
          <w:rFonts w:cs="Times New Roman"/>
          <w:b/>
        </w:rPr>
        <w:t>de’nin Tahkik Ettiği Jurnal Raporlarının İçerikleri</w:t>
      </w:r>
    </w:p>
    <w:p w:rsidR="00545275" w:rsidRPr="00545275" w:rsidRDefault="00545275" w:rsidP="00545275">
      <w:pPr>
        <w:spacing w:line="360" w:lineRule="auto"/>
        <w:rPr>
          <w:rFonts w:cs="Times New Roman"/>
        </w:rPr>
      </w:pPr>
      <w:r w:rsidRPr="00545275">
        <w:rPr>
          <w:rFonts w:cs="Times New Roman"/>
        </w:rPr>
        <w:lastRenderedPageBreak/>
        <w:t>Kırımî-z</w:t>
      </w:r>
      <w:r w:rsidRPr="00545275">
        <w:rPr>
          <w:rFonts w:hAnsi="Times New Roman" w:cs="Times New Roman"/>
        </w:rPr>
        <w:t>ȃ</w:t>
      </w:r>
      <w:r w:rsidRPr="00545275">
        <w:rPr>
          <w:rFonts w:cs="Times New Roman"/>
        </w:rPr>
        <w:t>de’nin tahkik ettiği jurnallerin en öne çıkan yönü, günün “siyasî gündemi”ne yoğunlaşmalarıdır. Bu siyasî gündem, örneğin Ermenilerin faaliyetleri</w:t>
      </w:r>
      <w:r w:rsidRPr="00545275">
        <w:rPr>
          <w:rStyle w:val="DipnotBavurusu"/>
          <w:rFonts w:cs="Times New Roman"/>
        </w:rPr>
        <w:footnoteReference w:id="38"/>
      </w:r>
      <w:r w:rsidRPr="00545275">
        <w:rPr>
          <w:rFonts w:cs="Times New Roman"/>
        </w:rPr>
        <w:t>, yabancı devletlerin girişimleri</w:t>
      </w:r>
      <w:r w:rsidRPr="00545275">
        <w:rPr>
          <w:rStyle w:val="DipnotBavurusu"/>
          <w:rFonts w:cs="Times New Roman"/>
        </w:rPr>
        <w:footnoteReference w:id="39"/>
      </w:r>
      <w:r w:rsidRPr="00545275">
        <w:rPr>
          <w:rFonts w:cs="Times New Roman"/>
        </w:rPr>
        <w:t>, eşkıyalık olayları</w:t>
      </w:r>
      <w:r w:rsidRPr="00545275">
        <w:rPr>
          <w:rStyle w:val="DipnotBavurusu"/>
          <w:rFonts w:cs="Times New Roman"/>
        </w:rPr>
        <w:footnoteReference w:id="40"/>
      </w:r>
      <w:r w:rsidRPr="00545275">
        <w:rPr>
          <w:rFonts w:cs="Times New Roman"/>
        </w:rPr>
        <w:t xml:space="preserve"> ya da gizli ev toplantıları</w:t>
      </w:r>
      <w:r w:rsidRPr="00545275">
        <w:rPr>
          <w:rStyle w:val="DipnotBavurusu"/>
          <w:rFonts w:cs="Times New Roman"/>
        </w:rPr>
        <w:footnoteReference w:id="41"/>
      </w:r>
      <w:r w:rsidRPr="00545275">
        <w:rPr>
          <w:rFonts w:cs="Times New Roman"/>
        </w:rPr>
        <w:t xml:space="preserve"> olabilir. Mesela 1890-91 dönemindeki istihbarat raporlarının büyük çoğunluğu Ermenilerin faaliyetlerini konu edinmektedir. Bilindiği gibi, 27 Temmuz 1890 günü İstanbul Kumkapı’da Hınçak Partisi üyelerinin Ermeni halkı kışkırtması sonucu başlayan olaylar İstanbul’da yüzyıllardır barış içinde yaşayan Türk ve Ermeni topluluğu karşı karşıya getirdi (Akgül ve Güler 2003: 132; Halaçoğlu 2012: 34). Ermenilerin kendi aralarında ve polisle çatışması sonucu on iki kişinin öldüğü (Şaşmaz 2004: 107) Kumkapı olayları</w:t>
      </w:r>
      <w:r w:rsidRPr="00545275">
        <w:rPr>
          <w:rStyle w:val="DipnotBavurusu"/>
          <w:rFonts w:cs="Times New Roman"/>
        </w:rPr>
        <w:footnoteReference w:id="42"/>
      </w:r>
      <w:r w:rsidRPr="00545275">
        <w:rPr>
          <w:rFonts w:cs="Times New Roman"/>
        </w:rPr>
        <w:t xml:space="preserve"> sonrasında, Osmanlı istihbarat raporlarından anlaşıldığına göre, -özellikle jurnallerde geçtiği şekliyle “ayak takımı”ndan</w:t>
      </w:r>
      <w:r w:rsidRPr="00545275">
        <w:rPr>
          <w:rStyle w:val="DipnotBavurusu"/>
          <w:rFonts w:cs="Times New Roman"/>
        </w:rPr>
        <w:footnoteReference w:id="43"/>
      </w:r>
      <w:r w:rsidRPr="00545275">
        <w:rPr>
          <w:rFonts w:cs="Times New Roman"/>
        </w:rPr>
        <w:t xml:space="preserve"> olan- Ermeniler sıkı bir takibat altına alındılar.</w:t>
      </w:r>
      <w:r w:rsidRPr="00545275">
        <w:rPr>
          <w:rStyle w:val="DipnotBavurusu"/>
          <w:rFonts w:cs="Times New Roman"/>
        </w:rPr>
        <w:footnoteReference w:id="44"/>
      </w:r>
      <w:r w:rsidRPr="00545275">
        <w:rPr>
          <w:rFonts w:cs="Times New Roman"/>
        </w:rPr>
        <w:t xml:space="preserve"> 13 Temmuz 1891 tarihinde II. Abdülhamid’in yakın adamlarından Mabeynci Lütfi Ağa’ya iletilen bir jurnal tahkik raporu da Ermenilerin Kumkapı olayları sonrasında yakından takip edildiğini göstermektedir. Bu raporun dayandığı jurnal Defter-i Hâkânî Muhâsebe Kalemi mensuplarından Âtıf Bey tarafından hazırlanıp Kırımî-zâde Mehmed Neşet Efendi’ye takdim edilmiştir. </w:t>
      </w:r>
      <w:proofErr w:type="gramStart"/>
      <w:r w:rsidRPr="00545275">
        <w:rPr>
          <w:rFonts w:cs="Times New Roman"/>
        </w:rPr>
        <w:t xml:space="preserve">Jurnalde, Âtıf Bey tarafından ayaklanma çıkarması muhtemel olan Ermeniler arasına derinlemesine araştırma yapmak için sokulan Dava Vekili (Avukat) Pandikyan’ın, “ayak takımı” tabir edilen Ermenilerin bir bölümünün, diğer Ermenileri ayaklanma konusunda sıkıştırdığı; sıkıştırılan </w:t>
      </w:r>
      <w:r w:rsidRPr="00545275">
        <w:rPr>
          <w:rFonts w:cs="Times New Roman"/>
        </w:rPr>
        <w:lastRenderedPageBreak/>
        <w:t>Ermenilerin ise “geçen seneki iş (Kumkapı hadisesi), bir semereyi intâc edemediği için şimdi size yeniden muâvenette mazûruz” diyerek her türlü teklifi reddettikleri bilgisine ulaştığı bildirilmekteydi.</w:t>
      </w:r>
      <w:proofErr w:type="gramEnd"/>
      <w:r w:rsidRPr="00545275">
        <w:rPr>
          <w:rStyle w:val="DipnotBavurusu"/>
          <w:rFonts w:cs="Times New Roman"/>
        </w:rPr>
        <w:footnoteReference w:id="45"/>
      </w:r>
      <w:r w:rsidRPr="00545275">
        <w:rPr>
          <w:rFonts w:cs="Times New Roman"/>
        </w:rPr>
        <w:t xml:space="preserve">  </w:t>
      </w:r>
    </w:p>
    <w:p w:rsidR="00545275" w:rsidRPr="00545275" w:rsidRDefault="00545275" w:rsidP="00545275">
      <w:pPr>
        <w:spacing w:line="360" w:lineRule="auto"/>
        <w:rPr>
          <w:rFonts w:cs="Times New Roman"/>
        </w:rPr>
      </w:pPr>
      <w:r w:rsidRPr="00545275">
        <w:rPr>
          <w:rFonts w:cs="Times New Roman"/>
        </w:rPr>
        <w:t>Mabeyn’e gönderilen jurnallerin Ermeni olaylarına yoğunlaştığı bir sırada, jurnal tahkik raporlarının birinde yer alan Ermeni Patriği Horen Aşıkyan’ın Yıldız Sarayı’na sunduğu bir teklif, Osmanlı istihbarat raporlarında ve belki de tüm Osmanlı arşivinde eşine az rastlanır niteliktedir. Kumkapı Ermeni Kilisesi’nde başlayan olayların (27 Temmuz 1890) yıldönümü yaklaşırken Mabeyn’e gönderilen bu jurnal tahkik raporuna göre, Surniyan adında bir Ermeni muhbir Ermenilerin olay çıkarmak istediklerini Zaptiye Nazırı’na ihbar ediyordu. Zaptiye Nazırı’nın durumu Saray’a bildirmesi üzerine Ermeni Patrikhanesi’nde icra edilecek tüm toplantıların irade-i seniyyeyle tatil edildiği Başkâtip Süreyya Paşa ve ayrıca Sadaret makamı vasıtasıyla Patrik’e bildirildi. Kararın tebliğinden sonra Patrik Ermeni milletinin sadakatine dair teminat verip milletine kefil olduğunu belirttikten sonra, önemli bir ihbarda bulundu. Patrik ihbarında Zaptiye Nazırı’na Ermenilerin faaliyetleri hakkında istihbarat veren Surniyan Efendi’nin Galata’daki Losavoriç Kilisesi’nde gammazlıkla suçlanarak darp edilip kovulduğunu ve aslında tüm bu Ermeni hareketlerini Paris’te bulunan Portakalyan</w:t>
      </w:r>
      <w:r w:rsidRPr="00545275">
        <w:rPr>
          <w:rStyle w:val="DipnotBavurusu"/>
          <w:rFonts w:cs="Times New Roman"/>
        </w:rPr>
        <w:footnoteReference w:id="46"/>
      </w:r>
      <w:r w:rsidRPr="00545275">
        <w:rPr>
          <w:rFonts w:cs="Times New Roman"/>
        </w:rPr>
        <w:t xml:space="preserve"> ile Londra’daki başka bir Ermeni’nin yönettiğini bildiriyordu. Patrik’in az önce sözünü ettiğimiz teklifiyse oldukça ilginçti: Patrik’e göre eğer “şu iki hâinin (Portakalyan ve Londra’daki Ermeni) cüz’î bir fedâkârlıkla izâle-i vücûdları esbâbına teşebbüs olunur ise…”, yani bu iki şahıs ortadan kaldırılırsa, “mezkûr gâile” de ortadan kalkacaktı.</w:t>
      </w:r>
      <w:r w:rsidRPr="00545275">
        <w:rPr>
          <w:rStyle w:val="DipnotBavurusu"/>
          <w:rFonts w:cs="Times New Roman"/>
        </w:rPr>
        <w:footnoteReference w:id="47"/>
      </w:r>
    </w:p>
    <w:p w:rsidR="00545275" w:rsidRPr="00545275" w:rsidRDefault="00545275" w:rsidP="00545275">
      <w:pPr>
        <w:spacing w:line="360" w:lineRule="auto"/>
        <w:rPr>
          <w:rFonts w:cs="Times New Roman"/>
        </w:rPr>
      </w:pPr>
      <w:r w:rsidRPr="00545275">
        <w:rPr>
          <w:rFonts w:cs="Times New Roman"/>
        </w:rPr>
        <w:lastRenderedPageBreak/>
        <w:t>Jurnal sisteminin devletin her kademesini kapsayacak şekilde geniş bir tabana yayılması, bu sistemin nasıl işlediği, nasıl kontrol edildiği ya da başka bir ifadeyle doğru haberin yanlış haberden nasıl ayırt edildiği sorusunu önümüze getiriyor. Bu noktada, raporlarda sıklıkla geçen “icra-yı tahtikat”</w:t>
      </w:r>
      <w:r w:rsidRPr="00545275">
        <w:rPr>
          <w:rStyle w:val="DipnotBavurusu"/>
          <w:rFonts w:cs="Times New Roman"/>
        </w:rPr>
        <w:footnoteReference w:id="48"/>
      </w:r>
      <w:r w:rsidRPr="00545275">
        <w:rPr>
          <w:rFonts w:cs="Times New Roman"/>
        </w:rPr>
        <w:t xml:space="preserve"> ifadesi önemli görünmektedir. Jurnalin Mabeyn’e ulaşmasından sonraki süreç genellikle şu şekilde işler: Jurnaldeki istihbarat Sarayca önemli görülürse, konu hakkında tahkikat icra edilmesi ve neticesinin arzını emreden bir irade-i seniyye çıkar.</w:t>
      </w:r>
      <w:r w:rsidRPr="00545275">
        <w:rPr>
          <w:rStyle w:val="DipnotBavurusu"/>
          <w:rFonts w:cs="Times New Roman"/>
        </w:rPr>
        <w:footnoteReference w:id="49"/>
      </w:r>
      <w:r w:rsidRPr="00545275">
        <w:rPr>
          <w:rFonts w:cs="Times New Roman"/>
        </w:rPr>
        <w:t xml:space="preserve"> Jurnallerin Sarayca ciddiye alınması için ise, istihbaratın “mevsûkan istihbâr olunması”</w:t>
      </w:r>
      <w:r w:rsidRPr="00545275">
        <w:rPr>
          <w:rStyle w:val="DipnotBavurusu"/>
          <w:rFonts w:cs="Times New Roman"/>
        </w:rPr>
        <w:footnoteReference w:id="50"/>
      </w:r>
      <w:r w:rsidRPr="00545275">
        <w:rPr>
          <w:rFonts w:cs="Times New Roman"/>
        </w:rPr>
        <w:t xml:space="preserve"> veya “sahih delâil”e</w:t>
      </w:r>
      <w:r w:rsidRPr="00545275">
        <w:rPr>
          <w:rStyle w:val="DipnotBavurusu"/>
          <w:rFonts w:cs="Times New Roman"/>
        </w:rPr>
        <w:footnoteReference w:id="51"/>
      </w:r>
      <w:r w:rsidRPr="00545275">
        <w:rPr>
          <w:rFonts w:cs="Times New Roman"/>
        </w:rPr>
        <w:t xml:space="preserve"> dayanması gerekir. Özellikle Sarayca pek tanınmayan kişilerin verdikleri jurnallerin doğruluğunun tespitinde çeşitli yöntemlerin uygulandığını tarihler kaydederler. Mesela devrin tanıklarından Kazım Karabekir anılarında, 1905 yılındaki Bomba Olayı sonrasında Saray’a bir jurnal veren Harbiye Mektebi kütüphane memuru Binbaşı Mustafa Bey’i II. Abdülhamid’in bizzat çağırtıp görüştüğünü ve jurnaldeki ifadelerin doğruluğunu kanıtlamak için Mustafa Bey’e abdest aldırıp Kur’an’a el bastırdığını kaydeder (Karabekir 2000: 76-77).</w:t>
      </w:r>
      <w:r w:rsidRPr="00545275">
        <w:rPr>
          <w:rStyle w:val="DipnotBavurusu"/>
          <w:rFonts w:cs="Times New Roman"/>
        </w:rPr>
        <w:footnoteReference w:id="52"/>
      </w:r>
      <w:r w:rsidRPr="00545275">
        <w:rPr>
          <w:rFonts w:cs="Times New Roman"/>
        </w:rPr>
        <w:t xml:space="preserve"> Bu tür örnekler istisnaidir ve jurnallerin doğruluğunun tespitinde çoğunlukla tahkikat icrası tercih edilir. Tahkikat görevi, genellikle -Kırımî-zâde gibi- tahkikat uzmanı</w:t>
      </w:r>
      <w:r w:rsidRPr="00545275">
        <w:rPr>
          <w:rStyle w:val="DipnotBavurusu"/>
          <w:rFonts w:cs="Times New Roman"/>
        </w:rPr>
        <w:footnoteReference w:id="53"/>
      </w:r>
      <w:r w:rsidRPr="00545275">
        <w:rPr>
          <w:rFonts w:cs="Times New Roman"/>
        </w:rPr>
        <w:t xml:space="preserve"> Mabeyn elemanlarına verilse de, bazen direkt raporu </w:t>
      </w:r>
      <w:r w:rsidRPr="00545275">
        <w:rPr>
          <w:rFonts w:cs="Times New Roman"/>
        </w:rPr>
        <w:lastRenderedPageBreak/>
        <w:t>hazırlayan kişiler de bu görevle görevlendirilebilir.</w:t>
      </w:r>
      <w:r w:rsidRPr="00545275">
        <w:rPr>
          <w:rStyle w:val="DipnotBavurusu"/>
          <w:rFonts w:cs="Times New Roman"/>
        </w:rPr>
        <w:footnoteReference w:id="54"/>
      </w:r>
      <w:r w:rsidRPr="00545275">
        <w:rPr>
          <w:rFonts w:cs="Times New Roman"/>
        </w:rPr>
        <w:t xml:space="preserve"> Jurnalde bir isme yer veriliyorsa, gerekli görülmesi halinde, ilgili isim Mabeyn-i Hümayun’a “davet”</w:t>
      </w:r>
      <w:r w:rsidRPr="00545275">
        <w:rPr>
          <w:rStyle w:val="DipnotBavurusu"/>
          <w:rFonts w:cs="Times New Roman"/>
        </w:rPr>
        <w:footnoteReference w:id="55"/>
      </w:r>
      <w:r w:rsidRPr="00545275">
        <w:rPr>
          <w:rFonts w:cs="Times New Roman"/>
        </w:rPr>
        <w:t xml:space="preserve"> ya da “celp”</w:t>
      </w:r>
      <w:r w:rsidRPr="00545275">
        <w:rPr>
          <w:rStyle w:val="DipnotBavurusu"/>
          <w:rFonts w:cs="Times New Roman"/>
        </w:rPr>
        <w:footnoteReference w:id="56"/>
      </w:r>
      <w:r w:rsidRPr="00545275">
        <w:rPr>
          <w:rFonts w:cs="Times New Roman"/>
        </w:rPr>
        <w:t xml:space="preserve"> edilerek, hakkında soruşturma yürütülür. Bu soruşturma bazen birkaç saat sürdüğü gibi, bazen de günlerce devam edebilir.</w:t>
      </w:r>
      <w:r w:rsidRPr="00545275">
        <w:rPr>
          <w:rStyle w:val="DipnotBavurusu"/>
          <w:rFonts w:cs="Times New Roman"/>
        </w:rPr>
        <w:footnoteReference w:id="57"/>
      </w:r>
      <w:r w:rsidRPr="00545275">
        <w:rPr>
          <w:rFonts w:cs="Times New Roman"/>
        </w:rPr>
        <w:t xml:space="preserve"> Neticede, yeni tahkikat icrası emrolunmazsa, padişahın konuyla ilgili irade-i seniyyesi beklenerek jurnal amacına (yani padişahın haberdar edilmesine</w:t>
      </w:r>
      <w:r w:rsidRPr="00545275">
        <w:rPr>
          <w:rStyle w:val="DipnotBavurusu"/>
          <w:rFonts w:cs="Times New Roman"/>
        </w:rPr>
        <w:footnoteReference w:id="58"/>
      </w:r>
      <w:r w:rsidRPr="00545275">
        <w:rPr>
          <w:rFonts w:cs="Times New Roman"/>
        </w:rPr>
        <w:t xml:space="preserve">) ulaşmış olur.  </w:t>
      </w:r>
    </w:p>
    <w:p w:rsidR="00545275" w:rsidRPr="00545275" w:rsidRDefault="00545275" w:rsidP="00545275">
      <w:pPr>
        <w:spacing w:line="360" w:lineRule="auto"/>
        <w:rPr>
          <w:rFonts w:cs="Times New Roman"/>
        </w:rPr>
      </w:pPr>
      <w:r w:rsidRPr="00545275">
        <w:rPr>
          <w:rFonts w:cs="Times New Roman"/>
        </w:rPr>
        <w:t>12 Eylül 1891 tarihinde Mabeyn’e sunulan bir arîza, bir konuda bilgi edinilmek istendiğinde, ilgili kişilerin nasıl “davet” veya “celp” edildikleri</w:t>
      </w:r>
      <w:r w:rsidRPr="00545275">
        <w:rPr>
          <w:rStyle w:val="DipnotBavurusu"/>
          <w:rFonts w:cs="Times New Roman"/>
        </w:rPr>
        <w:footnoteReference w:id="59"/>
      </w:r>
      <w:r w:rsidRPr="00545275">
        <w:rPr>
          <w:rFonts w:cs="Times New Roman"/>
        </w:rPr>
        <w:t xml:space="preserve"> ve soruşturma (isticvâb) süreci boyunca ne tür yöntemlerin kullanıldığına dair bilgiler içermektedir. Arîza, Tahtakale’deki Papazoğlu Hanı’nda bazı odaların değerinin çok üstünde satılmasından </w:t>
      </w:r>
      <w:r w:rsidRPr="00545275">
        <w:rPr>
          <w:rFonts w:cs="Times New Roman"/>
        </w:rPr>
        <w:lastRenderedPageBreak/>
        <w:t>dolayı Şeyhülislam huzurunda görülen davanın tahkikini konu edinmektedir. İrade-i seniyye ile davanın takibiyle görevlendirilen Kırımî-zâde, davanın şahitlerini araştırır ve şahitlerin kaç kişi oldukları, isimleri, meslekleri ve nerede oturdukları gibi bilgilere ulaşarak ilgili kişilerden bazılarını evine davet eder. Bâb-ı Fetva’da yirmi senelik memur olan Postabaşısı Selim Efendi, Muhzırbaşısı Hasan Efendi, Artin Efendi, Mesud Efendi ve Ârif Efendi bu şahitler arasında bulunmaktadır. Kırımî-zâde söz konusu kişileri evine tek tek kabul ederek, “terbiye” ve “sıfatlarına” göre kimini “atiyye-i seniyyeyle taltif kılınacaklarını” söyleyerek, bazısına “iltifat” göstererek ve kiminiyse “tehdit” ederek bilgi almıştır.</w:t>
      </w:r>
      <w:r w:rsidRPr="00545275">
        <w:rPr>
          <w:rStyle w:val="DipnotBavurusu"/>
          <w:rFonts w:cs="Times New Roman"/>
        </w:rPr>
        <w:footnoteReference w:id="60"/>
      </w:r>
      <w:r w:rsidRPr="00545275">
        <w:rPr>
          <w:rFonts w:cs="Times New Roman"/>
        </w:rPr>
        <w:t xml:space="preserve"> Bu tür bilgi edinme ve soruşturma görevleri için Kırımî-zâde’ye irade-i seniyyeyle geniş yetkiler tanınmıştı. Nitekim Mabeynci Lütfi Ağa tarafından Kırımî-zâde’ye “bilgi sunabilmek için her bir daire ve makama girip çıkmaya ve herkesle görüşebilmeye müsaade eden irade-i seniyye” daha önce tebliğ edilmesine rağmen</w:t>
      </w:r>
      <w:r w:rsidRPr="00545275">
        <w:rPr>
          <w:rStyle w:val="DipnotBavurusu"/>
          <w:rFonts w:cs="Times New Roman"/>
        </w:rPr>
        <w:footnoteReference w:id="61"/>
      </w:r>
      <w:r w:rsidRPr="00545275">
        <w:rPr>
          <w:rFonts w:cs="Times New Roman"/>
        </w:rPr>
        <w:t>, Kırımî-zâde bu müsaadenin yeni Şeyhülislam Cemaleddin Efendi’yle görüşmek için geçerli olup olmadığını Mabeyn’e sorarak yetkisinin sınırlarını öğrenmek istemiştir.</w:t>
      </w:r>
      <w:r w:rsidRPr="00545275">
        <w:rPr>
          <w:rStyle w:val="DipnotBavurusu"/>
          <w:rFonts w:cs="Times New Roman"/>
        </w:rPr>
        <w:footnoteReference w:id="62"/>
      </w:r>
      <w:r w:rsidRPr="00545275">
        <w:rPr>
          <w:rFonts w:cs="Times New Roman"/>
        </w:rPr>
        <w:t xml:space="preserve">      </w:t>
      </w:r>
    </w:p>
    <w:p w:rsidR="00545275" w:rsidRPr="00545275" w:rsidRDefault="00545275" w:rsidP="00545275">
      <w:pPr>
        <w:spacing w:line="360" w:lineRule="auto"/>
        <w:rPr>
          <w:rFonts w:cs="Times New Roman"/>
        </w:rPr>
      </w:pPr>
      <w:r w:rsidRPr="00545275">
        <w:rPr>
          <w:rFonts w:cs="Times New Roman"/>
        </w:rPr>
        <w:t xml:space="preserve">Bu noktada, Mabeyn’in haber kaynaklarının neler olduğu ya da diğer bir ifadeyle hangi kaynaklar aracılığıyla haber toplandığı değinilmesi gereken bir başka konudur. Bu konuda Kırımî-zâde’nin raporları ölçü alınabilir. Mevcut jurnal tahkik raporlarından anlaşıldığına göre Kırımî-zâde Neşet Efendi’nin İstanbul’daki çeşitli devlet dairelerinde kendisine bağlı çalışan muhbirleri bulunmaktadır. </w:t>
      </w:r>
      <w:proofErr w:type="gramStart"/>
      <w:r w:rsidRPr="00545275">
        <w:rPr>
          <w:rFonts w:cs="Times New Roman"/>
        </w:rPr>
        <w:t>Raporlarda “mensûbîn-i ubeydâne”</w:t>
      </w:r>
      <w:r w:rsidRPr="00545275">
        <w:rPr>
          <w:rStyle w:val="DipnotBavurusu"/>
          <w:rFonts w:cs="Times New Roman"/>
        </w:rPr>
        <w:footnoteReference w:id="63"/>
      </w:r>
      <w:r w:rsidRPr="00545275">
        <w:rPr>
          <w:rFonts w:cs="Times New Roman"/>
        </w:rPr>
        <w:t xml:space="preserve"> ifadesiyle belirtilen bu muhbirler arasında Defter-i Hâkânî Muhasebe Kalemi’nden Âtıf </w:t>
      </w:r>
      <w:r w:rsidRPr="00545275">
        <w:rPr>
          <w:rFonts w:cs="Times New Roman"/>
        </w:rPr>
        <w:lastRenderedPageBreak/>
        <w:t>Bey</w:t>
      </w:r>
      <w:r w:rsidRPr="00545275">
        <w:rPr>
          <w:rStyle w:val="DipnotBavurusu"/>
          <w:rFonts w:cs="Times New Roman"/>
        </w:rPr>
        <w:footnoteReference w:id="64"/>
      </w:r>
      <w:r w:rsidRPr="00545275">
        <w:rPr>
          <w:rFonts w:cs="Times New Roman"/>
        </w:rPr>
        <w:t>, Meclis-i Tedkîkât-ı Şeriyye Başkâtibi Cemil Bey</w:t>
      </w:r>
      <w:r w:rsidRPr="00545275">
        <w:rPr>
          <w:rStyle w:val="DipnotBavurusu"/>
          <w:rFonts w:cs="Times New Roman"/>
        </w:rPr>
        <w:footnoteReference w:id="65"/>
      </w:r>
      <w:r w:rsidRPr="00545275">
        <w:rPr>
          <w:rFonts w:cs="Times New Roman"/>
        </w:rPr>
        <w:t>, mevâlîden Mekkî Efendi</w:t>
      </w:r>
      <w:r w:rsidRPr="00545275">
        <w:rPr>
          <w:rStyle w:val="DipnotBavurusu"/>
          <w:rFonts w:cs="Times New Roman"/>
        </w:rPr>
        <w:footnoteReference w:id="66"/>
      </w:r>
      <w:r w:rsidRPr="00545275">
        <w:rPr>
          <w:rFonts w:cs="Times New Roman"/>
        </w:rPr>
        <w:t>, Ermeni tebaasından Kerupe Ağa</w:t>
      </w:r>
      <w:r w:rsidRPr="00545275">
        <w:rPr>
          <w:rStyle w:val="DipnotBavurusu"/>
          <w:rFonts w:cs="Times New Roman"/>
        </w:rPr>
        <w:footnoteReference w:id="67"/>
      </w:r>
      <w:r w:rsidRPr="00545275">
        <w:rPr>
          <w:rFonts w:cs="Times New Roman"/>
        </w:rPr>
        <w:t>, Su Nezareti Kâtibi Rıfat Efendi</w:t>
      </w:r>
      <w:r w:rsidRPr="00545275">
        <w:rPr>
          <w:rStyle w:val="DipnotBavurusu"/>
          <w:rFonts w:cs="Times New Roman"/>
        </w:rPr>
        <w:footnoteReference w:id="68"/>
      </w:r>
      <w:r w:rsidRPr="00545275">
        <w:rPr>
          <w:rFonts w:cs="Times New Roman"/>
        </w:rPr>
        <w:t>, Liman Dairesi Başkâtibi Abdüllatif Bey</w:t>
      </w:r>
      <w:r w:rsidRPr="00545275">
        <w:rPr>
          <w:rStyle w:val="DipnotBavurusu"/>
          <w:rFonts w:cs="Times New Roman"/>
        </w:rPr>
        <w:footnoteReference w:id="69"/>
      </w:r>
      <w:r w:rsidRPr="00545275">
        <w:rPr>
          <w:rFonts w:cs="Times New Roman"/>
        </w:rPr>
        <w:t xml:space="preserve"> ve görevleri belirtilmeyen Şükrü Efendi</w:t>
      </w:r>
      <w:r w:rsidRPr="00545275">
        <w:rPr>
          <w:rStyle w:val="DipnotBavurusu"/>
          <w:rFonts w:cs="Times New Roman"/>
        </w:rPr>
        <w:footnoteReference w:id="70"/>
      </w:r>
      <w:r w:rsidRPr="00545275">
        <w:rPr>
          <w:rFonts w:cs="Times New Roman"/>
        </w:rPr>
        <w:t xml:space="preserve"> ile Celal Bey</w:t>
      </w:r>
      <w:r w:rsidRPr="00545275">
        <w:rPr>
          <w:rStyle w:val="DipnotBavurusu"/>
          <w:rFonts w:cs="Times New Roman"/>
        </w:rPr>
        <w:footnoteReference w:id="71"/>
      </w:r>
      <w:r w:rsidRPr="00545275">
        <w:rPr>
          <w:rFonts w:cs="Times New Roman"/>
        </w:rPr>
        <w:t xml:space="preserve"> bulunmaktadır. </w:t>
      </w:r>
      <w:proofErr w:type="gramEnd"/>
      <w:r w:rsidRPr="00545275">
        <w:rPr>
          <w:rFonts w:cs="Times New Roman"/>
        </w:rPr>
        <w:t>Bu muhbirlerden, örneğin Âtıf Bey Kırımî-zâde’nin nezaret dairelerindeki haber kaynağıdır ve çoğunlukla tahkikat görevlerinde kullanılır.</w:t>
      </w:r>
      <w:r w:rsidRPr="00545275">
        <w:rPr>
          <w:rStyle w:val="DipnotBavurusu"/>
          <w:rFonts w:cs="Times New Roman"/>
        </w:rPr>
        <w:footnoteReference w:id="72"/>
      </w:r>
      <w:r w:rsidRPr="00545275">
        <w:rPr>
          <w:rFonts w:cs="Times New Roman"/>
        </w:rPr>
        <w:t xml:space="preserve"> Cemil Bey, Meclis-i Tedkîkât-ı Şeriyye Başkâtipliği görevi dolayısıyla daha çok Şeyhülislamlık Dairesi’ndeki haberlerle Kırımî-zâde’ye başvurur.</w:t>
      </w:r>
      <w:r w:rsidRPr="00545275">
        <w:rPr>
          <w:rStyle w:val="DipnotBavurusu"/>
          <w:rFonts w:cs="Times New Roman"/>
        </w:rPr>
        <w:footnoteReference w:id="73"/>
      </w:r>
      <w:r w:rsidRPr="00545275">
        <w:rPr>
          <w:rFonts w:cs="Times New Roman"/>
        </w:rPr>
        <w:t xml:space="preserve"> Liman Dairesi Başkâtibi Abdüllatif Bey ise Bahriye Nezareti ve İstanbul limanlarıyla ilgili bilgileri Kırımî-zâde’yle paylaşır.</w:t>
      </w:r>
      <w:r w:rsidRPr="00545275">
        <w:rPr>
          <w:rStyle w:val="DipnotBavurusu"/>
          <w:rFonts w:cs="Times New Roman"/>
        </w:rPr>
        <w:footnoteReference w:id="74"/>
      </w:r>
      <w:r w:rsidRPr="00545275">
        <w:rPr>
          <w:rFonts w:cs="Times New Roman"/>
        </w:rPr>
        <w:t xml:space="preserve"> Raporlardan anlaşıldığı kadarıyla bu kişilerin ortak özellikleri Kırımî-zâde’nin “emniyet ve itimadını”</w:t>
      </w:r>
      <w:r w:rsidRPr="00545275">
        <w:rPr>
          <w:rStyle w:val="DipnotBavurusu"/>
          <w:rFonts w:cs="Times New Roman"/>
        </w:rPr>
        <w:t xml:space="preserve"> </w:t>
      </w:r>
      <w:r w:rsidRPr="00545275">
        <w:rPr>
          <w:rStyle w:val="DipnotBavurusu"/>
          <w:rFonts w:cs="Times New Roman"/>
        </w:rPr>
        <w:footnoteReference w:id="75"/>
      </w:r>
      <w:r w:rsidRPr="00545275">
        <w:rPr>
          <w:rFonts w:cs="Times New Roman"/>
        </w:rPr>
        <w:t xml:space="preserve"> kazanmış ve “saltanata sadık”</w:t>
      </w:r>
      <w:r w:rsidRPr="00545275">
        <w:rPr>
          <w:rStyle w:val="DipnotBavurusu"/>
          <w:rFonts w:cs="Times New Roman"/>
        </w:rPr>
        <w:footnoteReference w:id="76"/>
      </w:r>
      <w:r w:rsidRPr="00545275">
        <w:rPr>
          <w:rFonts w:cs="Times New Roman"/>
        </w:rPr>
        <w:t xml:space="preserve"> olmalarıdır. Bununla birlikte raporlara yansıyan bir örnek, alınan haberin hangi aşamalardan geçtikten sonra padişaha sunulduğunu oldukça net bir şekilde izleyebilmemize olanak tanımaktadır: Ermenilerin İstanbul’da ayaklanma başlatacaklarıyla ilgili Temmuz 1891’de Âtıf Bey tarafından Kırımî-zâde’ye bir jurnal verilmiştir. Âtıf Bey jurnalde yer </w:t>
      </w:r>
      <w:r w:rsidRPr="00545275">
        <w:rPr>
          <w:rFonts w:cs="Times New Roman"/>
        </w:rPr>
        <w:lastRenderedPageBreak/>
        <w:t>verdiği istihbaratı Ermeni tebaasından Dava Vekili (Avukat) Pandikyan Efendi’den almış ve Kırımî-zâde’ye sunmuştur. Kırımî-zâde de Mabeyn’den Lütfi Ağa’ya bu raporu ileterek, raporun padişaha sunulmasını arz etmiştir. Dolayısıyla, istihbarat padişaha jurnal olarak sunulmadan önce dört kişinin elinden geçmiştir: İstihbaratı alan Pandikyan Efendi, jurnali hazırlayan Âtıf Bey, jurnali tahkik eden Kırımî-zâde Neşet Efendi ve nihayet jurnali padişaha sunan Mabeyn’den Lütfi Efendi’dir. 13 Temmuz 1891 tarihli rapordan takip edebildiğimiz bu örnek, haber akışının nasıl gerçekleştiğine dair somut bir veri olması bakımından önemlidir.</w:t>
      </w:r>
      <w:r w:rsidRPr="00545275">
        <w:rPr>
          <w:rStyle w:val="DipnotBavurusu"/>
          <w:rFonts w:cs="Times New Roman"/>
        </w:rPr>
        <w:footnoteReference w:id="77"/>
      </w:r>
      <w:r w:rsidRPr="00545275">
        <w:rPr>
          <w:rFonts w:cs="Times New Roman"/>
        </w:rPr>
        <w:t xml:space="preserve">    </w:t>
      </w:r>
    </w:p>
    <w:p w:rsidR="00545275" w:rsidRPr="00545275" w:rsidRDefault="00545275" w:rsidP="00545275">
      <w:pPr>
        <w:spacing w:line="360" w:lineRule="auto"/>
        <w:rPr>
          <w:rFonts w:cs="Times New Roman"/>
        </w:rPr>
      </w:pPr>
      <w:r w:rsidRPr="00545275">
        <w:rPr>
          <w:rFonts w:cs="Times New Roman"/>
        </w:rPr>
        <w:t xml:space="preserve">Jurnallerin tahkikinde ve istihbaratın toplanmasında “mensûbîn-i ubeydâne” ifadesiyle belirtilen muhbirlerin yanı sıra, “memuriyet-i mahsusa” </w:t>
      </w:r>
      <w:proofErr w:type="gramStart"/>
      <w:r w:rsidRPr="00545275">
        <w:rPr>
          <w:rFonts w:cs="Times New Roman"/>
        </w:rPr>
        <w:t>ile,</w:t>
      </w:r>
      <w:proofErr w:type="gramEnd"/>
      <w:r w:rsidRPr="00545275">
        <w:rPr>
          <w:rFonts w:cs="Times New Roman"/>
        </w:rPr>
        <w:t xml:space="preserve"> yani özel görevle bir vazifede istihdam edilen memurlar da kullanılmaktadır. Mesela Ermeniceye vâkıf olan Jandarma yüzbaşılarından Osman Nüzhet Efendi, Ermenilerin takibinde görevlendirilmek üzere Maraş’tan İstanbul’a getirilerek bir müddet “hafiye memurluğunda” istihdam edilir.</w:t>
      </w:r>
      <w:r w:rsidRPr="00545275">
        <w:rPr>
          <w:rStyle w:val="DipnotBavurusu"/>
          <w:rFonts w:cs="Times New Roman"/>
        </w:rPr>
        <w:footnoteReference w:id="78"/>
      </w:r>
      <w:r w:rsidRPr="00545275">
        <w:rPr>
          <w:rFonts w:cs="Times New Roman"/>
        </w:rPr>
        <w:t xml:space="preserve"> Benzer bir vazife Jandarma Miralayı Tevfik Bey’e verilmiştir: Edirne Vilayeti’ne atanan Tevfik Bey, burada “eşkıyanın takibi memuriyeti”ne tayin edilir.</w:t>
      </w:r>
      <w:r w:rsidRPr="00545275">
        <w:rPr>
          <w:rStyle w:val="DipnotBavurusu"/>
          <w:rFonts w:cs="Times New Roman"/>
        </w:rPr>
        <w:footnoteReference w:id="79"/>
      </w:r>
      <w:r w:rsidRPr="00545275">
        <w:rPr>
          <w:rFonts w:cs="Times New Roman"/>
        </w:rPr>
        <w:t xml:space="preserve"> Rum Patrikliği seçimlerini izlemek için ise, bu işe uygun kişiler seçilmiştir: Ticaret Mahkemesi Reisi Kostaki Efendi ve maliye müfettişlerinden Savaromi Efendi. Söz konusu kişiler Rum Patrikliği seçimlerini izleyerek, Ereğli Metropolidi Jerasimos Efendi’nin yirmi bir vekilin seçimine müdahale ettiğini ve kendi taraftarlarını vekil olarak seçtirmek istediğini Mabeyn’e bildirmişlerdir.</w:t>
      </w:r>
      <w:r w:rsidRPr="00545275">
        <w:rPr>
          <w:rStyle w:val="DipnotBavurusu"/>
          <w:rFonts w:cs="Times New Roman"/>
        </w:rPr>
        <w:footnoteReference w:id="80"/>
      </w:r>
      <w:r w:rsidRPr="00545275">
        <w:rPr>
          <w:rFonts w:cs="Times New Roman"/>
        </w:rPr>
        <w:t xml:space="preserve"> </w:t>
      </w:r>
      <w:r w:rsidRPr="00545275">
        <w:rPr>
          <w:rFonts w:cs="Times New Roman"/>
        </w:rPr>
        <w:lastRenderedPageBreak/>
        <w:t>Jurnallere aracılık eden Kırımî-zâde’nin konuyla ilgili tahkik raporundaki yorumu ise Saray için çok daha endişe vericidir: “Rum Patrikliği (…) bir takım fesedenin elinden kurtulmazsa İtalya Devleti’nin Papalık yüzünden çektiği müşkilat, bundan sonra İstanbul’da da baş gösterecektir.”</w:t>
      </w:r>
      <w:r w:rsidRPr="00545275">
        <w:rPr>
          <w:rStyle w:val="DipnotBavurusu"/>
          <w:rFonts w:cs="Times New Roman"/>
        </w:rPr>
        <w:footnoteReference w:id="81"/>
      </w:r>
    </w:p>
    <w:p w:rsidR="00545275" w:rsidRPr="00545275" w:rsidRDefault="00545275" w:rsidP="00545275">
      <w:pPr>
        <w:spacing w:line="360" w:lineRule="auto"/>
        <w:rPr>
          <w:rFonts w:cs="Times New Roman"/>
        </w:rPr>
      </w:pPr>
      <w:r w:rsidRPr="00545275">
        <w:rPr>
          <w:rFonts w:cs="Times New Roman"/>
        </w:rPr>
        <w:t xml:space="preserve">Dönemin istihbarat sistemi, bilhassa yüksek dereceli devlet görevlilerinin Sultan’dan habersiz yaptıkları her türlü ikili görüşmeyi ihbar etme esası üzerine kurulmuştu. Ne kadar önemsiz görünürse görünsün, ikili görüşmelerin ihbarı, istihbarat sisteminin işlerliğinin bir göstergesi kabul ediliyordu. Bu işlerlik sayesinde devlet adamlarına her hareketlerinin takip edildiği hissi hâkimdi. Bu konuda hassasiyet göstermeyen devlet adamlarının ise özellikle de yabancılarla yaptıkları görüşmeler nedeniyle istihbarat raporlarında sıklıkla adları geçiyordu. Örneğin, 1891 Eylül’ünde Fransa’nın Umum Fenerler Müdürü Gavril Kolas’ın, yanına Beyrut rıhtımı imtiyaz sahibi </w:t>
      </w:r>
      <w:proofErr w:type="gramStart"/>
      <w:r w:rsidRPr="00545275">
        <w:rPr>
          <w:rFonts w:cs="Times New Roman"/>
        </w:rPr>
        <w:t>Maruni</w:t>
      </w:r>
      <w:proofErr w:type="gramEnd"/>
      <w:r w:rsidRPr="00545275">
        <w:rPr>
          <w:rFonts w:cs="Times New Roman"/>
        </w:rPr>
        <w:t xml:space="preserve"> Yusuf Matran Efendi’yi de alarak Nafia Muhasebecisi Sadi Bey’in Bostancı’daki köşküne yaptığı gece ziyareti, vakit kaybedilmeksizin Saray’a ihbar edilmiştir.</w:t>
      </w:r>
      <w:r w:rsidRPr="00545275">
        <w:rPr>
          <w:rStyle w:val="DipnotBavurusu"/>
          <w:rFonts w:cs="Times New Roman"/>
        </w:rPr>
        <w:footnoteReference w:id="82"/>
      </w:r>
      <w:r w:rsidRPr="00545275">
        <w:rPr>
          <w:rFonts w:cs="Times New Roman"/>
        </w:rPr>
        <w:t xml:space="preserve"> Benzer şekilde, Rumeli Kazaskeri Süleyman Sırrı Efendi’nin büyük oğlu olan ve Şehremaneti Meclis üyeliği görevini yürüten Ziya Efendi’nin “sabahın çok erken saatlerinde” Mabeyn-i Hümâyun Dairesi’ne gelerek Sertabip Mavroyeni Paşa’yla yaptığı görüşme, şüpheli bulunarak padişaha bildirilmiştir.</w:t>
      </w:r>
      <w:r w:rsidRPr="00545275">
        <w:rPr>
          <w:rStyle w:val="DipnotBavurusu"/>
          <w:rFonts w:cs="Times New Roman"/>
        </w:rPr>
        <w:footnoteReference w:id="83"/>
      </w:r>
      <w:r w:rsidRPr="00545275">
        <w:rPr>
          <w:rFonts w:cs="Times New Roman"/>
        </w:rPr>
        <w:t xml:space="preserve"> II. Abdülhamid’in bu tür konulardaki hassasiyetini çok iyi bilen Kırımî-zâde Neşet Efendi de, Serasker Rıza Paşa ve Başkilerci Osman Bey’den iftar davetleri aldığında, bu davetlere katılıp katılmama konusunda Saray’ın iznine başvuracaktır.</w:t>
      </w:r>
      <w:r w:rsidRPr="00545275">
        <w:rPr>
          <w:rStyle w:val="DipnotBavurusu"/>
          <w:rFonts w:cs="Times New Roman"/>
        </w:rPr>
        <w:footnoteReference w:id="84"/>
      </w:r>
      <w:r w:rsidRPr="00545275">
        <w:rPr>
          <w:rFonts w:cs="Times New Roman"/>
        </w:rPr>
        <w:t xml:space="preserve">     </w:t>
      </w:r>
    </w:p>
    <w:p w:rsidR="00545275" w:rsidRPr="00545275" w:rsidRDefault="00545275" w:rsidP="00545275">
      <w:pPr>
        <w:spacing w:line="360" w:lineRule="auto"/>
        <w:rPr>
          <w:rFonts w:cs="Times New Roman"/>
        </w:rPr>
      </w:pPr>
      <w:r w:rsidRPr="00545275">
        <w:rPr>
          <w:rFonts w:cs="Times New Roman"/>
        </w:rPr>
        <w:lastRenderedPageBreak/>
        <w:t>Kırımî-zâde’nin, kendisine yapılan iftar davetlerini kabul edip etmemek konusunda Saray’dan izin istemesi, dönemin teamülleri göz önüne alındığında pek de abartılı bir hareket sayılmaz. Bu tür başvurular, aynı zamanda Saray’a sadakatin bir göstergesidir ve benzer örnekler çoktur. Bilindiği gibi, Abdülmecid (1839-1861) ve Abdülaziz (1861-1876) dönemlerine göre, Abdülhamid döneminde devlet üzerinde Saray’ın ve padişahın siyasî ağırlığı daha belirgin şekilde hissedilmeye başlanmıştır. Genel olarak, Gülhane Hatt-ı Hümâyunu’yla (1839) başladığı ve II. Abdülhamid’in tahta çıkışıyla (1876) sona erdiği kabul edilen Tanzimat dönemi, siyasî iktidarın merkezini büyük oranda Bâb-ı Âlî’nin teşkil ettiği bir dönem olmuştur (Fortna 2011: 72; Georgeon 2012: 94). Bu dönemde devlet aygıtının merkezîleşmesi, rasyonelleşmesi ve bürokratikleşmesi sürecine paralel olarak yeni oluşan nezaretlerin ve nezaret bürokrasisinin iktidar üzerindeki denetimi artmıştır. II. Abdülhamid döneminde ise Tanzimat dönemindekinin tam tersi olan bir gelişme yaşanmış, siyaset üzerinde padişahın ağırlığı artarak Yıldız Sarayı bir bakıma Osmanlı hükümet sisteminin yürütme organı haline gelmiştir. Tabii bu dönemde Saray’ın devlet yönetimindeki ağırlığı farklı uygulamalarla hissedilir hale getirilmeye çalışılmıştır. Mesela dağıtılan atiyyeler, nişan ve madalyalar, cömertçe yapılan hayır işleri, cülus ve doğum yıldönümü vesileleriyle yapılan kutlamalar ve benzerleri Abdülhamid rejiminde iktidarın meşruiyetini güçlendirmek amacıyla devreye sokulan araç ve teknikler arasında yer almıştır (Özbek 2013: 122-123).</w:t>
      </w:r>
      <w:r w:rsidRPr="00545275">
        <w:rPr>
          <w:rStyle w:val="DipnotBavurusu"/>
          <w:rFonts w:cs="Times New Roman"/>
        </w:rPr>
        <w:t xml:space="preserve"> </w:t>
      </w:r>
      <w:r w:rsidRPr="00545275">
        <w:rPr>
          <w:rFonts w:cs="Times New Roman"/>
        </w:rPr>
        <w:t xml:space="preserve">Başka bir ifadeyle bu tür uygulamalar, iktidarın meşruiyetini ve gücünü tazeleme vasıtası olarak görülmüştür. Bu durumun bir tezahürü olarak yönetim, kamusal törenleri ve törenler sonrasında icra edilen şenlikleri yakından izleme gereksinimi de duymuştur. Mesela, padişahın tahta çıkışının on beşinci yıldönümü vesilesiyle yapılan cülus şenliklerinde, hangi yüksek dereceli devlet görevlisinin nasıl eğlendiği, cülus şenliklerini ne şekilde kutladığı ya da konağının fenerlerle ne kadar aydınlatıldığının raporlar halinde II. Abdülhamid’e bildirilmesi, bu gereksinimin en dikkat çekici örneklerinden biridir. Cülus şenliklerinin Osmanlı İmparatorluğu’nun ve padişah/halifenin kudretine yaraşır bir şekilde yapılmasını emreden irade-i seniyyenin yerine getirilip getirilmediğinin kontrol edildiği ve bu husustaki sonuçların Saray’a bildirildiği bu örnek, Kırımî-zâde’nin hazırladığı bir raporda yer almaktadır. Rapora göre, Kırımî-zâde cülus şenliklerinin yapıldığı 31 Ağustos 1891’i 1 Eylül 1891’e bağlayan gece Boğaz’da bir istimbota binerek güzergâhı üzerindeki devlet adamlarının yalılarını, konaklarını uzaktan izlemiş ve edindiği izlenimi rapor halinde </w:t>
      </w:r>
      <w:r w:rsidRPr="00545275">
        <w:rPr>
          <w:rFonts w:cs="Times New Roman"/>
        </w:rPr>
        <w:lastRenderedPageBreak/>
        <w:t>Saray’a iletmiştir. Örneğin, Ortaköy’de Bahriye Nazırı Hasan Paşa’nın, Kuruçeşme’de Telgraf Nazırı Ali Efendi’nin, Bebek’te Dâhiliye Nezareti Müsteşarı Reşid Bey’in, Emirgan’da eski Mısır Hidivi İsmail Paşa’nın, Anadolu Hisarı’nda Mizancı Murad Bey’in yalılarını izleyen Kırımî-zâde, adı geçen kişilerin cülus şenliklerini “şân-ı ubûdiyyete bi-hakkın yaraşacak sûrette” kutladıklarını belirtmektedir. Buna karşın İstinye’de İstinaf Mahkemesi üyelerinden Tevfik ve Dâhiliye Evrak Müdürü Ali Haydar Beylerin sahil evlerinde bir fener bile yakılmadığı bilgisi jurnal tahkik raporuna iliştirilmiştir.</w:t>
      </w:r>
      <w:r w:rsidRPr="00545275">
        <w:rPr>
          <w:rStyle w:val="DipnotBavurusu"/>
          <w:rFonts w:cs="Times New Roman"/>
        </w:rPr>
        <w:footnoteReference w:id="85"/>
      </w:r>
      <w:r w:rsidRPr="00545275">
        <w:rPr>
          <w:rFonts w:cs="Times New Roman"/>
        </w:rPr>
        <w:t xml:space="preserve"> Bir sene sonra, 31 Ağustos 1892’de yapılan cülus şenliklerinde de Anadolu ve Rumeli yakasında oturan sefirlerden müsteşarlara, Saray çalışanlarından gayrimüslim tüccarlara kadar yüzü aşkın kişinin yalı, köşk ve konakları takip edilerek izlenimler II. Abdülhamid’e arz edilmiştir.</w:t>
      </w:r>
      <w:r w:rsidRPr="00545275">
        <w:rPr>
          <w:rStyle w:val="DipnotBavurusu"/>
          <w:rFonts w:cs="Times New Roman"/>
        </w:rPr>
        <w:footnoteReference w:id="86"/>
      </w:r>
      <w:r w:rsidRPr="00545275">
        <w:rPr>
          <w:rFonts w:cs="Times New Roman"/>
        </w:rPr>
        <w:t xml:space="preserve"> Benzer bir rapor da padişahın doğum yıldönümü vesilesiyle yapılan şenlikleri konu edinmektedir. Devlet adamlarının yalı ve konaklarındaki kutlamaların ne şekilde icra edildiğinin anlatıldığı bu raporda, konakların ne şekilde süslendiği,  kimin konağının önünde ne kadar kalabalık bulunduğu, davetlilerin nasıl eğlendikleri gibi hususlar muhtemelen biraz da II. Abdülhamid’in bu konudaki merakını gidermek amacıyla ayrıntılarıyla tasvir edilmiştir.</w:t>
      </w:r>
      <w:r w:rsidRPr="00545275">
        <w:rPr>
          <w:rStyle w:val="DipnotBavurusu"/>
          <w:rFonts w:cs="Times New Roman"/>
        </w:rPr>
        <w:footnoteReference w:id="87"/>
      </w:r>
      <w:r w:rsidRPr="00545275">
        <w:rPr>
          <w:rFonts w:cs="Times New Roman"/>
        </w:rPr>
        <w:t xml:space="preserve">   </w:t>
      </w:r>
    </w:p>
    <w:p w:rsidR="00545275" w:rsidRPr="00545275" w:rsidRDefault="00545275" w:rsidP="00545275">
      <w:pPr>
        <w:spacing w:line="360" w:lineRule="auto"/>
        <w:rPr>
          <w:rFonts w:cs="Times New Roman"/>
        </w:rPr>
      </w:pPr>
      <w:r w:rsidRPr="00545275">
        <w:rPr>
          <w:rFonts w:cs="Times New Roman"/>
        </w:rPr>
        <w:lastRenderedPageBreak/>
        <w:t>Tabii bu takip ve arz hizmetlerinin hiçbiri karşılıksız değildir. Deringil’in “hükümdarlığın simgesel tezahürleri” adı altında ortaya koyduğu gibi, Abdülhamid rejimi aynı zamanda bir “ihsân-ı hümayun” ve “nişanlar” rejimidir. Bu dönemde devlet, denetim altına almakta zorlandığı ya da önemli hizmetlerde bulunduğu değerlendirilen kişilere</w:t>
      </w:r>
      <w:r w:rsidRPr="00545275">
        <w:rPr>
          <w:rStyle w:val="DipnotBavurusu"/>
          <w:rFonts w:cs="Times New Roman"/>
        </w:rPr>
        <w:footnoteReference w:id="88"/>
      </w:r>
      <w:r w:rsidRPr="00545275">
        <w:rPr>
          <w:rFonts w:cs="Times New Roman"/>
        </w:rPr>
        <w:t xml:space="preserve"> “ihsân-ı hümayun” adıyla verilen çeşitli ödülleri -nişan, taltif, para gibi (en sık verileni paradır)- siyasal bir araç haline getirmiştir.</w:t>
      </w:r>
      <w:r w:rsidRPr="00545275">
        <w:rPr>
          <w:rStyle w:val="DipnotBavurusu"/>
          <w:rFonts w:cs="Times New Roman"/>
        </w:rPr>
        <w:footnoteReference w:id="89"/>
      </w:r>
      <w:r w:rsidRPr="00545275">
        <w:rPr>
          <w:rFonts w:cs="Times New Roman"/>
        </w:rPr>
        <w:t xml:space="preserve"> Bu ihsân-ı hümayun ve nişan dağıtma sistemi de, yaygın olarak atıf yapıldığı gibi, en çok dönemin istihbarat ve jurnal sistemiyle </w:t>
      </w:r>
      <w:proofErr w:type="gramStart"/>
      <w:r w:rsidRPr="00545275">
        <w:rPr>
          <w:rFonts w:cs="Times New Roman"/>
        </w:rPr>
        <w:t>ilişkilendirilir,</w:t>
      </w:r>
      <w:proofErr w:type="gramEnd"/>
      <w:r w:rsidRPr="00545275">
        <w:rPr>
          <w:rFonts w:cs="Times New Roman"/>
        </w:rPr>
        <w:t xml:space="preserve"> ki Mabeyn’e gönderilen arz kayıtları ve jurnal tahkik raporlarında Deringil’in tespitleriyle aynı yönde çok sayıda örnekle karşılaşmak mümkündür. Bu konudaki en açık örnekleri Kırımî-zâde’nin talepleri oluşturmaktadır. 1891-1893 yılları arasındaki arz kayıtlarından anlaşıldığı kadarıyla Kırımî-zâde taltif, maaş, odun-kömür akçesi ve atiyye-i seniyye arzı gibi adlarla -teşekkür arzları hariç- tam yirmi dört kez</w:t>
      </w:r>
      <w:r w:rsidRPr="00545275">
        <w:rPr>
          <w:rStyle w:val="DipnotBavurusu"/>
          <w:rFonts w:cs="Times New Roman"/>
        </w:rPr>
        <w:footnoteReference w:id="90"/>
      </w:r>
      <w:r w:rsidRPr="00545275">
        <w:rPr>
          <w:rFonts w:cs="Times New Roman"/>
        </w:rPr>
        <w:t xml:space="preserve"> Mabeyn-i Hümayun’a başvurmuş ve çeşitli taleplerde bulunmuştur. Bunlar arasında eşinin alacağına karşılık olmak üzere bir dükkân</w:t>
      </w:r>
      <w:r w:rsidRPr="00545275">
        <w:rPr>
          <w:rStyle w:val="DipnotBavurusu"/>
          <w:rFonts w:cs="Times New Roman"/>
        </w:rPr>
        <w:footnoteReference w:id="91"/>
      </w:r>
      <w:r w:rsidRPr="00545275">
        <w:rPr>
          <w:rFonts w:cs="Times New Roman"/>
        </w:rPr>
        <w:t>, eşinin tedavisi için ihsan</w:t>
      </w:r>
      <w:r w:rsidRPr="00545275">
        <w:rPr>
          <w:rStyle w:val="DipnotBavurusu"/>
          <w:rFonts w:cs="Times New Roman"/>
        </w:rPr>
        <w:footnoteReference w:id="92"/>
      </w:r>
      <w:r w:rsidRPr="00545275">
        <w:rPr>
          <w:rFonts w:cs="Times New Roman"/>
        </w:rPr>
        <w:t xml:space="preserve">, borçlarını ödeyebilmek için atiyye-i </w:t>
      </w:r>
      <w:r w:rsidRPr="00545275">
        <w:rPr>
          <w:rFonts w:cs="Times New Roman"/>
        </w:rPr>
        <w:lastRenderedPageBreak/>
        <w:t>seniyye</w:t>
      </w:r>
      <w:r w:rsidRPr="00545275">
        <w:rPr>
          <w:rStyle w:val="DipnotBavurusu"/>
          <w:rFonts w:cs="Times New Roman"/>
        </w:rPr>
        <w:footnoteReference w:id="93"/>
      </w:r>
      <w:r w:rsidRPr="00545275">
        <w:rPr>
          <w:rFonts w:cs="Times New Roman"/>
        </w:rPr>
        <w:t>, görevde yükselme</w:t>
      </w:r>
      <w:r w:rsidRPr="00545275">
        <w:rPr>
          <w:rStyle w:val="DipnotBavurusu"/>
          <w:rFonts w:cs="Times New Roman"/>
        </w:rPr>
        <w:footnoteReference w:id="94"/>
      </w:r>
      <w:r w:rsidRPr="00545275">
        <w:rPr>
          <w:rFonts w:cs="Times New Roman"/>
        </w:rPr>
        <w:t>, kendine bağlı çalışanlar için rütbe</w:t>
      </w:r>
      <w:r w:rsidRPr="00545275">
        <w:rPr>
          <w:rStyle w:val="DipnotBavurusu"/>
          <w:rFonts w:cs="Times New Roman"/>
        </w:rPr>
        <w:footnoteReference w:id="95"/>
      </w:r>
      <w:r w:rsidRPr="00545275">
        <w:rPr>
          <w:rFonts w:cs="Times New Roman"/>
        </w:rPr>
        <w:t>, eksik maaşın tamamlanması</w:t>
      </w:r>
      <w:r w:rsidRPr="00545275">
        <w:rPr>
          <w:rStyle w:val="DipnotBavurusu"/>
          <w:rFonts w:cs="Times New Roman"/>
        </w:rPr>
        <w:footnoteReference w:id="96"/>
      </w:r>
      <w:r w:rsidRPr="00545275">
        <w:rPr>
          <w:rFonts w:cs="Times New Roman"/>
        </w:rPr>
        <w:t>, odun-kömür akçesi</w:t>
      </w:r>
      <w:r w:rsidRPr="00545275">
        <w:rPr>
          <w:rStyle w:val="DipnotBavurusu"/>
          <w:rFonts w:cs="Times New Roman"/>
        </w:rPr>
        <w:footnoteReference w:id="97"/>
      </w:r>
      <w:r w:rsidRPr="00545275">
        <w:rPr>
          <w:rFonts w:cs="Times New Roman"/>
        </w:rPr>
        <w:t xml:space="preserve"> ve evini tamir ettirmek için maddi yardım talebi</w:t>
      </w:r>
      <w:r w:rsidRPr="00545275">
        <w:rPr>
          <w:rStyle w:val="DipnotBavurusu"/>
          <w:rFonts w:cs="Times New Roman"/>
        </w:rPr>
        <w:footnoteReference w:id="98"/>
      </w:r>
      <w:r w:rsidRPr="00545275">
        <w:rPr>
          <w:rFonts w:cs="Times New Roman"/>
        </w:rPr>
        <w:t xml:space="preserve"> gibi talepler bulunmaktadır. Hatta Şubat 1893’te Lütfi Ağa’ya gönderdiği bir tezkiresinde</w:t>
      </w:r>
      <w:r w:rsidRPr="00545275">
        <w:rPr>
          <w:rStyle w:val="DipnotBavurusu"/>
          <w:rFonts w:cs="Times New Roman"/>
        </w:rPr>
        <w:footnoteReference w:id="99"/>
      </w:r>
      <w:r w:rsidRPr="00545275">
        <w:rPr>
          <w:rFonts w:cs="Times New Roman"/>
        </w:rPr>
        <w:t xml:space="preserve"> dört </w:t>
      </w:r>
      <w:r w:rsidRPr="00545275">
        <w:rPr>
          <w:rFonts w:cs="Times New Roman"/>
        </w:rPr>
        <w:lastRenderedPageBreak/>
        <w:t>aydır maaş alamadığından bahisle ailesini geçindiremediğini, ihsanda bulunulmazsa, eski mesleği olan dava vekilliğine (avukatlık) dönmek zorunda kalacağını acıklı bir dille beyan ederek, geçiminin temin edilmesini arz etmiştir. Kırımî-zâde Neşet Efendi’nin bu arzından sonra Saray’a yeni raporlar verdiği dikkate alınırsa, iaşesinin Mabeyn tarafından temin edildiği ve jurnalleri “tahkik” etmek olan görevine devam ettiği anlaşılmaktadır. Bunun haricinde Kırımî-zâde’nin talep raporlarında yer alan “Ceyb-i Hümayun Dairesi’ne verilen senet kayıtları”ndan anlaşıldığına göre, “suret-i sadıkada ifa-yı hizmet eden” muhbirlerin çoğunlukla atiyye-i seniyye adıyla aldıkları ücretler Ceyb-i Hümayun Dairesi’nce karşılanmaktadır.</w:t>
      </w:r>
      <w:r w:rsidRPr="00545275">
        <w:rPr>
          <w:rStyle w:val="DipnotBavurusu"/>
          <w:rFonts w:cs="Times New Roman"/>
        </w:rPr>
        <w:footnoteReference w:id="100"/>
      </w:r>
      <w:r w:rsidRPr="00545275">
        <w:rPr>
          <w:rFonts w:cs="Times New Roman"/>
        </w:rPr>
        <w:t xml:space="preserve"> Ceyb-i Hümayun Dairesi, Nadir Özbek’in (2013: 127) ifadesiyle “hediye ilişkisi üzerine kurulu iktidar stratejisinin malî kaynağı” olan Hazine-i Hassa Nezareti’ne bağlı bir birim olarak, padişahın kişisel harcamaları için ayrılmış bir dairedir. Saray’a istihbarat hizmetlerinde bulunanlara da ücretlerin bu daireden verildiği anlaşılmaktadır.        </w:t>
      </w:r>
    </w:p>
    <w:p w:rsidR="00545275" w:rsidRPr="00545275" w:rsidRDefault="00545275" w:rsidP="00545275">
      <w:pPr>
        <w:spacing w:line="360" w:lineRule="auto"/>
        <w:rPr>
          <w:rFonts w:cs="Times New Roman"/>
        </w:rPr>
      </w:pPr>
      <w:r w:rsidRPr="00545275">
        <w:rPr>
          <w:rFonts w:cs="Times New Roman"/>
        </w:rPr>
        <w:t xml:space="preserve">Kırımî-zâde’nin bugün bize garip gelen yukarıdaki talepleri, aslında dönemin sisteminin bir parçasıdır. Öyle ki II. Abdülhamid döneminde devlet toplumun her kesimine, bilhassa muhtaçlara yönelik bilinçli bir yardım politikası yürütmüş, bu politikanın en belirgin özelliği ise Sultan’ın isminin özenle ön plana çıkarılma çabası olmuştur. Açıkçası bu sayede devlet “saltanat ve devlete sadakate” sık sık vurgu yapılan bir devirde sadık bir toplum ve devlet erkânı </w:t>
      </w:r>
      <w:proofErr w:type="gramStart"/>
      <w:r w:rsidRPr="00545275">
        <w:rPr>
          <w:rFonts w:cs="Times New Roman"/>
        </w:rPr>
        <w:t>profili</w:t>
      </w:r>
      <w:proofErr w:type="gramEnd"/>
      <w:r w:rsidRPr="00545275">
        <w:rPr>
          <w:rFonts w:cs="Times New Roman"/>
        </w:rPr>
        <w:t xml:space="preserve"> oluşturmak istemiştir. Özellikle iktidarının ilerleyen yıllarında güvenlik gerekçesiyle Yıldız Sarayı’ndan sadece Cuma Selamlığı ve Bayram Muayedesi gibi törenler için ayrılan II. Abdülhamid, “görünürlüğünü” bu tür sembolik araçlarla güçlendirmeye çalışacaktır. Bu çerçevede II. Abdülhamid’in devreye soktuğu ve gerektiğinde toplumun her kesimini kapsayan politikaları özel bir anlam kazanmaktadır. Padişah hediyesi olarak tercüme edebileceğimiz atiyye-i seniyye ya da ihsan-ı şahane, padişahın yoksullara yardımı olarak sadaka-i seniyye, asker ve memurlara verilen ikramiye ve tayînât gibi farklı hediye, ihsan ve yardımlar Yıldız Sarayı için aynı zamanda bir </w:t>
      </w:r>
      <w:r w:rsidRPr="00545275">
        <w:rPr>
          <w:rFonts w:cs="Times New Roman"/>
        </w:rPr>
        <w:lastRenderedPageBreak/>
        <w:t>“merkezîleşme” ve “meşruiyetinin güçlenmesi” anlamı taşımaktadır (Özbek 2012: 586). Tabii buna rağmen II. Abdülhamid bu konuda şunu oldukça iyi biliyordu: “Osmanlı İmparatorluğu’nun topluma nüfuz etme gücü günün standartlarına göre çok yüksek olsa da, bütün toplumsal ilişkileri düzenlemesine olanak vermeyecek ölçüde sınırlıydı.” (Özbudun 2010: 192). Dönemin anlayışı gereği aynı zamanda güvenlik zafiyeti olarak da algılanan bu sınırlılık nedeniyle, sözü edilen politikalar uygulanırken gereken hassasiyeti göstermeyen ya da ihmalde bulunanların Saray’a ihbar edilmesi teşvik edilmiştir. Örneğin 12 Ağustos 1891 tarihli bir jurnalde, Yapak tüccarından Şükrü Efendi’nin, İstanbul’daki bazı kışlalarda askerlerin et tayînâtının yüklenici kişi (müteahhid) tarafından istismar edildiğini ihbar ettiği bilgisine yer veriliyordu.</w:t>
      </w:r>
      <w:r w:rsidRPr="00545275">
        <w:rPr>
          <w:rStyle w:val="DipnotBavurusu"/>
          <w:rFonts w:cs="Times New Roman"/>
        </w:rPr>
        <w:footnoteReference w:id="101"/>
      </w:r>
      <w:r w:rsidRPr="00545275">
        <w:rPr>
          <w:rFonts w:cs="Times New Roman"/>
        </w:rPr>
        <w:t xml:space="preserve"> Yine bunun gibi, Yenibahçe’deki Gurebâ-i Müslimîn Hastanesi’nde</w:t>
      </w:r>
      <w:r w:rsidRPr="00545275">
        <w:rPr>
          <w:rStyle w:val="DipnotBavurusu"/>
          <w:rFonts w:cs="Times New Roman"/>
        </w:rPr>
        <w:footnoteReference w:id="102"/>
      </w:r>
      <w:r w:rsidRPr="00545275">
        <w:rPr>
          <w:rFonts w:cs="Times New Roman"/>
        </w:rPr>
        <w:t xml:space="preserve"> bir müddetten beri çeşitli yolsuzlukların yaşanması, hastane çalışanlarının tedavilere gereken önemi vermemesi ve ilaçların temin edilememesinden dolayı birçok hastanın öldüğü istihbaratı, hastalara yedirilmekte olan bir adet sakız kabağı örneğiyle birlikte padişaha iletiliyordu.</w:t>
      </w:r>
      <w:r w:rsidRPr="00545275">
        <w:rPr>
          <w:rStyle w:val="DipnotBavurusu"/>
          <w:rFonts w:cs="Times New Roman"/>
        </w:rPr>
        <w:footnoteReference w:id="103"/>
      </w:r>
      <w:r w:rsidRPr="00545275">
        <w:rPr>
          <w:rFonts w:cs="Times New Roman"/>
        </w:rPr>
        <w:t xml:space="preserve"> Hastanedeki yolsuzluklar Evkaf Nazırı Galib Paşa tarafından haber alınınca, Evkaf Meclisi Reisi Âtıf Bey ve Masraflar Müdürü Sıdkı Efendi tarafından hastane teftiş edilmiş ve ayrıca hastanenin </w:t>
      </w:r>
      <w:proofErr w:type="gramStart"/>
      <w:r w:rsidRPr="00545275">
        <w:rPr>
          <w:rFonts w:cs="Times New Roman"/>
        </w:rPr>
        <w:t>hijyen</w:t>
      </w:r>
      <w:proofErr w:type="gramEnd"/>
      <w:r w:rsidRPr="00545275">
        <w:rPr>
          <w:rFonts w:cs="Times New Roman"/>
        </w:rPr>
        <w:t xml:space="preserve"> durumu Mekteb-i Tıbbiye muallimlerinden Nafiz Paşa ve askerî tıp doktorlarından Miralay Halim Bey tarafından da incelenmişti. Raporları inceleyen Kırımî-zâde’nin jurnal tahkik raporunda vardığı sonuca göre, “hakikaten bir hayır misali olan” Gurebâ Hastanesi’nin idare usulü ve tedavi tarzındaki suiistimaller, “müfettişleri bir ziyafet tertip ederek oyalamak isteyen” Sertabip (Başhekim) Ahmed </w:t>
      </w:r>
      <w:r w:rsidRPr="00545275">
        <w:rPr>
          <w:rFonts w:cs="Times New Roman"/>
        </w:rPr>
        <w:lastRenderedPageBreak/>
        <w:t>Paşa’nın sorumsuzluğundan ötürü meydana gelmişti.</w:t>
      </w:r>
      <w:r w:rsidRPr="00545275">
        <w:rPr>
          <w:rStyle w:val="DipnotBavurusu"/>
          <w:rFonts w:cs="Times New Roman"/>
        </w:rPr>
        <w:footnoteReference w:id="104"/>
      </w:r>
      <w:r w:rsidRPr="00545275">
        <w:rPr>
          <w:rFonts w:cs="Times New Roman"/>
        </w:rPr>
        <w:t xml:space="preserve">  Konuyla ilgili Kırımî-zâde tarafından yaklaşık iki ay sonra verilen yeni bir jurnalde, Gurebâ Hastanesi’nin seri bir şekilde ıslah edilmesini öngören meclis-i idare kararına rağmen, Evkaf Nazırı Galib Paşa’nın bu konuda üzerine düşeni yerine getirmemekle suçlandığı görülmektedir.</w:t>
      </w:r>
      <w:r w:rsidRPr="00545275">
        <w:rPr>
          <w:rStyle w:val="DipnotBavurusu"/>
          <w:rFonts w:cs="Times New Roman"/>
        </w:rPr>
        <w:footnoteReference w:id="105"/>
      </w:r>
      <w:r w:rsidRPr="00545275">
        <w:rPr>
          <w:rFonts w:cs="Times New Roman"/>
        </w:rPr>
        <w:t xml:space="preserve">    </w:t>
      </w:r>
    </w:p>
    <w:p w:rsidR="00545275" w:rsidRPr="00545275" w:rsidRDefault="00545275" w:rsidP="00545275">
      <w:pPr>
        <w:spacing w:line="360" w:lineRule="auto"/>
        <w:rPr>
          <w:rFonts w:cs="Times New Roman"/>
        </w:rPr>
      </w:pPr>
      <w:r w:rsidRPr="00545275">
        <w:rPr>
          <w:rFonts w:cs="Times New Roman"/>
        </w:rPr>
        <w:t>Jurnal tahkik raporları dikkate alındığında II. Abdülhamid’in devlet kurumları arasında en çok çekindiği dairenin Şeyhülislamlık Dairesi (Şeyhülislamlığa bağlı Fetva Emaneti’nin fetva gücünden dolayı) olduğu anlaşılıyor. Nitekim Şeyhülislamlık Dairesi’yle ilgili sadece 1891-1893 yılları arasında Kırımî-zâde’nin tahkik ettiği jurnal raporu sayısı on altıyı bulmaktadır.</w:t>
      </w:r>
      <w:r w:rsidRPr="00545275">
        <w:rPr>
          <w:rStyle w:val="DipnotBavurusu"/>
          <w:rFonts w:cs="Times New Roman"/>
        </w:rPr>
        <w:footnoteReference w:id="106"/>
      </w:r>
      <w:r w:rsidRPr="00545275">
        <w:rPr>
          <w:rFonts w:cs="Times New Roman"/>
        </w:rPr>
        <w:t xml:space="preserve"> Bu raporların, Şeyhülislam’ın icraatlarının neler olduğu</w:t>
      </w:r>
      <w:r w:rsidRPr="00545275">
        <w:rPr>
          <w:rStyle w:val="DipnotBavurusu"/>
          <w:rFonts w:cs="Times New Roman"/>
        </w:rPr>
        <w:footnoteReference w:id="107"/>
      </w:r>
      <w:r w:rsidRPr="00545275">
        <w:rPr>
          <w:rFonts w:cs="Times New Roman"/>
        </w:rPr>
        <w:t>, Şeyhülislamlık Dairesi’ne kimlerin gelip gitmekte olduğu</w:t>
      </w:r>
      <w:r w:rsidRPr="00545275">
        <w:rPr>
          <w:rStyle w:val="DipnotBavurusu"/>
          <w:rFonts w:cs="Times New Roman"/>
        </w:rPr>
        <w:footnoteReference w:id="108"/>
      </w:r>
      <w:r w:rsidRPr="00545275">
        <w:rPr>
          <w:rFonts w:cs="Times New Roman"/>
        </w:rPr>
        <w:t xml:space="preserve"> ve Şeyhülislam huzurunda yapılan hususi görüşmelerde neler konuşulduğu</w:t>
      </w:r>
      <w:r w:rsidRPr="00545275">
        <w:rPr>
          <w:rStyle w:val="DipnotBavurusu"/>
          <w:rFonts w:cs="Times New Roman"/>
        </w:rPr>
        <w:footnoteReference w:id="109"/>
      </w:r>
      <w:r w:rsidRPr="00545275">
        <w:rPr>
          <w:rFonts w:cs="Times New Roman"/>
        </w:rPr>
        <w:t xml:space="preserve"> gibi konuları bulunmaktadır. Bundan başka, Meclis-i Vükela toplantılarında neler konuşulduğu da Abdülhamid’in bilmek istediği konular arasındadır. Nitekim 1 Ocak 1892 tarihli bir raporda bir gün önce toplanan Vükela Meclisi’nde neler konuşulduğu, Serasker Rıza Paşa ile Adliye Nazırı Rıza Paşa arasında yaşanan tartışmalara ve Adliye Nazırı’nın toplantıyı terk ettiği bilgisine varıncaya değin </w:t>
      </w:r>
      <w:r w:rsidRPr="00545275">
        <w:rPr>
          <w:rFonts w:cs="Times New Roman"/>
        </w:rPr>
        <w:lastRenderedPageBreak/>
        <w:t>Mabeyn’e raporlanmıştır.</w:t>
      </w:r>
      <w:r w:rsidRPr="00545275">
        <w:rPr>
          <w:rStyle w:val="DipnotBavurusu"/>
          <w:rFonts w:cs="Times New Roman"/>
        </w:rPr>
        <w:footnoteReference w:id="110"/>
      </w:r>
      <w:r w:rsidRPr="00545275">
        <w:rPr>
          <w:rFonts w:cs="Times New Roman"/>
        </w:rPr>
        <w:t xml:space="preserve"> Bu örnek, Vakanüvis Abdurrahman Şeref Efendi’nin II. Meşrutiyet Dönemi’yle ilgili bir eserinde</w:t>
      </w:r>
      <w:r w:rsidRPr="00545275">
        <w:rPr>
          <w:rStyle w:val="DipnotBavurusu"/>
          <w:rFonts w:cs="Times New Roman"/>
        </w:rPr>
        <w:footnoteReference w:id="111"/>
      </w:r>
      <w:r w:rsidRPr="00545275">
        <w:rPr>
          <w:rFonts w:cs="Times New Roman"/>
        </w:rPr>
        <w:t xml:space="preserve"> verdiği bilgileri, özellikle de “Meclis-i Vükela’nın müzâkerât ve mukarrerâtı usûl-i resmiyyesi dâiresinde arz olunmadan evvel sûret-i husûsiyyede bâzı vükelâ cânibinden yazılıyordu” cümlesini teyit etmektedir.</w:t>
      </w:r>
    </w:p>
    <w:p w:rsidR="00545275" w:rsidRPr="00545275" w:rsidRDefault="00545275" w:rsidP="00545275">
      <w:pPr>
        <w:spacing w:line="360" w:lineRule="auto"/>
        <w:rPr>
          <w:rFonts w:cs="Times New Roman"/>
        </w:rPr>
      </w:pPr>
      <w:r w:rsidRPr="00545275">
        <w:rPr>
          <w:rFonts w:cs="Times New Roman"/>
        </w:rPr>
        <w:t xml:space="preserve">Devlet kurumları dışında, başta Veliahd Şehzade Reşad’ın dairesi olmak üzere şehzadelerin daireleri de sıkı sıkıya takip edilmektedir. Bilindiği gibi, II. Abdülhamid’e daha saltanatının ilk yıllarından itibaren Veliahd Şehzade Reşad’ı konu edinen jurnaller verilmeye başlanmış ve tüm saltanatı boyunca Şehzade Reşad konulu jurnaller verilmeye devam edilmiştir. Hatta Georgeon (2012: 124), II. Abdülhamid’in beşinci sadrazamı olan Ahmed Vefik Paşa’nın, hakkında verilen ve “Muhacirlerin yardımıyla Sultan’ı devirip, Veliahd Şehzade Reşad’ı tahta çıkarmak üzere bir darbe hazırlandığı” iddia edilen bir jurnal sonrasında görevinden azledildiğini ifade eder. Böyle bir jurnal kayıtlarda yer almasa da, mevcut jurnaller ve jurnal tahkik raporları Şehzade Reşad ve diğer bazı şehzadeler hakkında jurnaller hazırlandığını ortaya koymaktadır. 13 Kasım 1891 tarihinde Mabeyn’e verilen bir jurnal, Şehzade Reşad konulu jurnal örneklerinden birini oluşturmaktadır. </w:t>
      </w:r>
      <w:proofErr w:type="gramStart"/>
      <w:r w:rsidRPr="00545275">
        <w:rPr>
          <w:rFonts w:cs="Times New Roman"/>
        </w:rPr>
        <w:t>Jurnale göre, Şehzade Reşad kendisine ait bir hane davasını tevdi etmek üzere Muhacirin Komisyonu Reisi Yusuf Rıza Paşa’nın adamlarından Mardirosyan Kigork Efendi aracılığıyla Dava Vekili İrfan Bey’i dairesine davet etmiş, İrfan Bey de bu daveti Kırımî-zâde Neşet Efendi’ye bildirerek “esna-yı mülakatta ne yolda muamelede bulunmak lüzumunu” Mabeyn’e sormasını istemiştir.</w:t>
      </w:r>
      <w:proofErr w:type="gramEnd"/>
      <w:r w:rsidRPr="00545275">
        <w:rPr>
          <w:rStyle w:val="DipnotBavurusu"/>
          <w:rFonts w:cs="Times New Roman"/>
        </w:rPr>
        <w:footnoteReference w:id="112"/>
      </w:r>
      <w:r w:rsidRPr="00545275">
        <w:rPr>
          <w:rFonts w:cs="Times New Roman"/>
        </w:rPr>
        <w:t xml:space="preserve"> İrfan Bey’in bu başvurusunu Mabeyn’e sunan Kırımî-zâde de, bu bilgiden yola çıkarak Muhacirin Komisyonu Reisi Yusuf Rıza Paşa ve adamlarından Mardirosyan Kigork Efendi’nin Şehzade Reşad ile muhaberede bulundukları ve söz konusu kişilerin “Reşad Efendi Hazretleri’nin menâfiine (menfaatlerine) hizmet ettikleri” sonucuna </w:t>
      </w:r>
      <w:r w:rsidRPr="00545275">
        <w:rPr>
          <w:rFonts w:cs="Times New Roman"/>
        </w:rPr>
        <w:lastRenderedPageBreak/>
        <w:t>varmıştır.</w:t>
      </w:r>
      <w:r w:rsidRPr="00545275">
        <w:rPr>
          <w:rStyle w:val="DipnotBavurusu"/>
          <w:rFonts w:cs="Times New Roman"/>
        </w:rPr>
        <w:footnoteReference w:id="113"/>
      </w:r>
      <w:r w:rsidRPr="00545275">
        <w:rPr>
          <w:rFonts w:cs="Times New Roman"/>
        </w:rPr>
        <w:t xml:space="preserve"> Konunun tahkiki ve “İrfan Bey’in her kimle mülakat ederse (görüşürse) suret-i mahremanede (gizlice) hazret-i hilâfet penâhîlerine (padişaha) arz edilmesi” hakkında irade-i seniyye verilmesi üzerine araştırmayı derinleştiren Kırımî-zâde, İrfan Bey’le görüşmek isteyen şehzadenin Şehzade Reşad olmayıp, Şehzade Süleyman olduğunu bildiren İrfan Bey’in ayrıntılı ihbarnamesini Mabeyn’e sunmuştur. Daha önce konuyu açıklaması için kendisine irade-i seniyye ulaşmış olan Dava Vekili İrfan Bey, ihbarnamesinde kendisine görüşme tebliği yapılmasından Şehzade’yle nasıl görüştüğüne kadar tüm yaşadıklarından ve davanın tüm ayrıntılarından Mabeyn’i haberdar etmiştir.</w:t>
      </w:r>
      <w:r w:rsidRPr="00545275">
        <w:rPr>
          <w:rStyle w:val="DipnotBavurusu"/>
          <w:rFonts w:cs="Times New Roman"/>
        </w:rPr>
        <w:footnoteReference w:id="114"/>
      </w:r>
      <w:r w:rsidRPr="00545275">
        <w:rPr>
          <w:rFonts w:cs="Times New Roman"/>
        </w:rPr>
        <w:t xml:space="preserve"> </w:t>
      </w:r>
      <w:proofErr w:type="gramStart"/>
      <w:r w:rsidRPr="00545275">
        <w:rPr>
          <w:rFonts w:cs="Times New Roman"/>
        </w:rPr>
        <w:t>İhbarnamesinin sonuna “Adliye Ticaret İcra Muavini Vâsıf Bey ile Abdullah Efendi ve Dava Vekili Kigork Mardirosyan’dan başka bu işe karışıp benimle müzakere eden yoktur” notunu düşen İrfan Bey, hükümdara arz etmeksizin böyle bir görüşmeyi gerçekleştirse, bunun “sadakat ve ubediyyete (bağlılık, kulluk) muhalefet” olacağını beyan ederek Saray’ın oldukça önem verdiği bir konuda (şehzadelerle görüşme konusunda) içini rahatlatmıştır.</w:t>
      </w:r>
      <w:proofErr w:type="gramEnd"/>
      <w:r w:rsidRPr="00545275">
        <w:rPr>
          <w:rStyle w:val="DipnotBavurusu"/>
          <w:rFonts w:cs="Times New Roman"/>
        </w:rPr>
        <w:footnoteReference w:id="115"/>
      </w:r>
      <w:r w:rsidRPr="00545275">
        <w:rPr>
          <w:rFonts w:cs="Times New Roman"/>
        </w:rPr>
        <w:t xml:space="preserve">  </w:t>
      </w:r>
    </w:p>
    <w:p w:rsidR="00545275" w:rsidRPr="00545275" w:rsidRDefault="00545275" w:rsidP="00545275">
      <w:pPr>
        <w:spacing w:line="360" w:lineRule="auto"/>
        <w:rPr>
          <w:rFonts w:cs="Times New Roman"/>
        </w:rPr>
      </w:pPr>
      <w:r w:rsidRPr="00545275">
        <w:rPr>
          <w:rFonts w:cs="Times New Roman"/>
        </w:rPr>
        <w:t xml:space="preserve">Mabeyn-i Hümayun bu dönemde, jurnallerde adının sıklıkla geçmesinden de anlaşıldığı gibi bilhassa Mısır ve Suriye vilayetleriyle ilgili haberlere büyük önem veriyordu. Esasında, resmen Osmanlı İmparatorluğu’nun bir parçası olmasına karşın XIX. yüzyılın ortasından itibaren “de facto” bağımsız bir devlet haline gelen Mısır’da, vilayetin özerkliğine son veren İngiliz işgali (1882) Bâb-ı Âlî tarafından hiçbir zaman resmî olarak tanınmamıştır. Bununla birlikte Osmanlı hükümeti, kendisini alternatif bir halife ve kutsal kentlerin koruyucusu olarak göstermeye başlayan Hidiv Abbas Hilmi Paşa’nın çıkarlarını savunmaya yönelik İngiliz etkinliğinden giderek artan bir şekilde kaygılanmaya başlamıştı (Deringil 2014: 72). Bu kaygı, haliyle jurnal raporlarına da yansıyacak ve Mısır’dan gelecek her türlü haber önemli görülmeye başlanacaktır. Nitekim İngiliz işgaline düşmesinden yaklaşık on yıl </w:t>
      </w:r>
      <w:r w:rsidRPr="00545275">
        <w:rPr>
          <w:rFonts w:cs="Times New Roman"/>
        </w:rPr>
        <w:lastRenderedPageBreak/>
        <w:t xml:space="preserve">sonra, 1892-1893 yıllarına ait jurnallerde Mısır’ın adı sıklıkla geçmeye başlamıştır. Hidivin faaliyetleri, İngilizlerin etkinliği ve “muzır neşriyat” Mısır’la ilgili Saray’a verilen jurnallerdeki başlıca konuları oluşturmaktaydı. </w:t>
      </w:r>
      <w:proofErr w:type="gramStart"/>
      <w:r w:rsidRPr="00545275">
        <w:rPr>
          <w:rFonts w:cs="Times New Roman"/>
        </w:rPr>
        <w:t>Abdülhamid örneğin, Mısır Hidivi Abbas Hilmi Paşa ile Osmanlı Yüksek Komiseri Ahmed Muhtar Paşa’nın pek anlaşamadıklarını</w:t>
      </w:r>
      <w:r w:rsidRPr="00545275">
        <w:rPr>
          <w:rStyle w:val="DipnotBavurusu"/>
          <w:rFonts w:cs="Times New Roman"/>
        </w:rPr>
        <w:footnoteReference w:id="116"/>
      </w:r>
      <w:r w:rsidRPr="00545275">
        <w:rPr>
          <w:rFonts w:cs="Times New Roman"/>
        </w:rPr>
        <w:t>, Mısır’daki Nakibüleşraf seçimlerine İngilizlerin müdahale ettiklerini</w:t>
      </w:r>
      <w:r w:rsidRPr="00545275">
        <w:rPr>
          <w:rStyle w:val="DipnotBavurusu"/>
          <w:rFonts w:cs="Times New Roman"/>
        </w:rPr>
        <w:footnoteReference w:id="117"/>
      </w:r>
      <w:r w:rsidRPr="00545275">
        <w:rPr>
          <w:rFonts w:cs="Times New Roman"/>
        </w:rPr>
        <w:t>, İngiliz Konsolos General Barenbug’un iltimasıyla on sekiz yaşındaki Seyyid Tevfik’in Nakibüleşraf olduğunu</w:t>
      </w:r>
      <w:r w:rsidRPr="00545275">
        <w:rPr>
          <w:rStyle w:val="DipnotBavurusu"/>
          <w:rFonts w:cs="Times New Roman"/>
        </w:rPr>
        <w:footnoteReference w:id="118"/>
      </w:r>
      <w:r w:rsidRPr="00545275">
        <w:rPr>
          <w:rFonts w:cs="Times New Roman"/>
        </w:rPr>
        <w:t xml:space="preserve"> ve Kahire’de Rumca neşredilen “Ermis” adlı gazetenin 14 Nisan 1893 tarihli nüshasında “gayet muzır” bir bent kaleme alındığını</w:t>
      </w:r>
      <w:r w:rsidRPr="00545275">
        <w:rPr>
          <w:rStyle w:val="DipnotBavurusu"/>
          <w:rFonts w:cs="Times New Roman"/>
        </w:rPr>
        <w:footnoteReference w:id="119"/>
      </w:r>
      <w:r w:rsidRPr="00545275">
        <w:rPr>
          <w:rFonts w:cs="Times New Roman"/>
        </w:rPr>
        <w:t xml:space="preserve"> Kırımî-zâde aracılığıyla verilen jurnallerden haber alabiliyordu. </w:t>
      </w:r>
      <w:proofErr w:type="gramEnd"/>
      <w:r w:rsidRPr="00545275">
        <w:rPr>
          <w:rFonts w:cs="Times New Roman"/>
        </w:rPr>
        <w:t>Bunlardan bilhassa İngilizlerin faaliyetleri, Deringil’in (2014: 72) “Abdülhamid’in karabasanı” olarak nitelendirdiği beşinci kol türü etkinlikten başka bir şey değildi.</w:t>
      </w:r>
    </w:p>
    <w:p w:rsidR="00545275" w:rsidRPr="00545275" w:rsidRDefault="00545275" w:rsidP="00545275">
      <w:pPr>
        <w:spacing w:line="360" w:lineRule="auto"/>
        <w:rPr>
          <w:rFonts w:cs="Times New Roman"/>
        </w:rPr>
      </w:pPr>
      <w:r w:rsidRPr="00545275">
        <w:rPr>
          <w:rFonts w:cs="Times New Roman"/>
        </w:rPr>
        <w:t xml:space="preserve">Tıpkı Mısır gibi Suriye vilayetini konu edinen jurnaller de vilayetlerle ilgili istihbarat raporları arasında Mabeyn’in en değer verdiği raporları oluşturmaktaydı. Irak ve Yemen gibi uzak vilayetlere nazaran Suriye vilayeti, merkezin diğer Arap vilayetlerine göre daha sıkı ilişkiler kurmaya çalıştığı; dolayısıyla merkezle daha etkili haberleşme ağı bulunan bir vilayetti. Nitekim istihbarat ağı anlamında “Suriye vilayetinin önceliği” dönemin jurnallerinde de kendini gösterir. </w:t>
      </w:r>
      <w:proofErr w:type="gramStart"/>
      <w:r w:rsidRPr="00545275">
        <w:rPr>
          <w:rFonts w:cs="Times New Roman"/>
        </w:rPr>
        <w:t xml:space="preserve">Bu jurnallerden biri, Suriye’yle ilgili çok sayıda rapor arasında önemiyle dikkati çeker: 26 Temmuz 1892’de Şam Bidayet Mahkemesi Reisi </w:t>
      </w:r>
      <w:r w:rsidRPr="00545275">
        <w:rPr>
          <w:rFonts w:cs="Times New Roman"/>
        </w:rPr>
        <w:lastRenderedPageBreak/>
        <w:t>Mehmed Feyzullah Efendi tarafından Kırımî-zâde’ye gönderilen, Kırımî-zâde’nin de padişaha ulaştırılması için Mabeyn’e sunduğu “gizli (mahrem)” kayıtlı bir mektup, Mabeyn’in en hassas olduğu konulardan birine, Rusya’dan Osmanlı topraklarına göç etmiş olan Yahudilerin Suriye/Filistin bölgesinde</w:t>
      </w:r>
      <w:r w:rsidRPr="00545275">
        <w:rPr>
          <w:rStyle w:val="DipnotBavurusu"/>
          <w:rFonts w:cs="Times New Roman"/>
        </w:rPr>
        <w:footnoteReference w:id="120"/>
      </w:r>
      <w:r w:rsidRPr="00545275">
        <w:rPr>
          <w:rFonts w:cs="Times New Roman"/>
        </w:rPr>
        <w:t xml:space="preserve"> iskânlarını yasaklayan irade-i seniyyeye gönderme yapıyordu.</w:t>
      </w:r>
      <w:proofErr w:type="gramEnd"/>
      <w:r w:rsidRPr="00545275">
        <w:rPr>
          <w:rStyle w:val="DipnotBavurusu"/>
          <w:rFonts w:cs="Times New Roman"/>
        </w:rPr>
        <w:footnoteReference w:id="121"/>
      </w:r>
      <w:r w:rsidRPr="00545275">
        <w:rPr>
          <w:rFonts w:cs="Times New Roman"/>
        </w:rPr>
        <w:t xml:space="preserve"> Mektupta, irade-i seniyyeyle yasaklanmasına rağmen, Rotschild Bankası tarafından dindaşları olan Yahudilerin iskânları için Suriye’ye arazi araştırmakla görevli adamlar gönderilmeye devam edildiği ve bunların Havran Sancağı’nda büyükçe bir araziyi on bin lira bedelle satın aldıkları bildiriliyordu. </w:t>
      </w:r>
      <w:proofErr w:type="gramStart"/>
      <w:r w:rsidRPr="00545275">
        <w:rPr>
          <w:rFonts w:cs="Times New Roman"/>
        </w:rPr>
        <w:t>Bu satın alma işinin Beyrut Valisi İsmail Kemal Bey’in Şam vilayetine vekâleti sırasında meydana geldiği; eğer bankanın faaliyetlerinin önüne geçilmezse “ileride hatıra gelmeyen daha nice hiyel ve desâis imâliyle ve husûsuyla me’mûrîn-i mahalliyenin dahi takayyütsüzlüklerinden istifâde ile asıl maksatlarını gizleyecekleri” ve “işbu Rotschild Bankası tarafından Suriye ve Beyrut vilayetlerinde maksad-ı mezkûra binâen daha birçok arâzînin pazarlık olunduğu” belirtilip, duruma bir an önce müdahale edilmesi tavsiye ediliyordu.</w:t>
      </w:r>
      <w:proofErr w:type="gramEnd"/>
      <w:r w:rsidRPr="00545275">
        <w:rPr>
          <w:rStyle w:val="DipnotBavurusu"/>
          <w:rFonts w:cs="Times New Roman"/>
        </w:rPr>
        <w:footnoteReference w:id="122"/>
      </w:r>
      <w:r w:rsidRPr="00545275">
        <w:rPr>
          <w:rFonts w:cs="Times New Roman"/>
        </w:rPr>
        <w:t xml:space="preserve">  </w:t>
      </w:r>
    </w:p>
    <w:p w:rsidR="00545275" w:rsidRPr="00545275" w:rsidRDefault="00545275" w:rsidP="00545275">
      <w:pPr>
        <w:spacing w:line="360" w:lineRule="auto"/>
        <w:rPr>
          <w:rFonts w:cs="Times New Roman"/>
        </w:rPr>
      </w:pPr>
      <w:r w:rsidRPr="00545275">
        <w:rPr>
          <w:rFonts w:cs="Times New Roman"/>
        </w:rPr>
        <w:t>Sadece vilayet merkezleri değil, imparatorluğun limanları da jurnal ağının sıkı gözetimi altındadır. Nitekim 19 Mayıs 1892 tarihli bir jurnal tahkik raporundan anlaşıldığına göre, Liman Riyaseti dışında kalan taşra limanlarının görevlilerine telgraf yazışmaları için şifre verilmesini ve ilgili görevlilerin “mühim hususları” Liman Riyaseti’ne bildirmelerini emreden bir irade-i seniyye çıkarılmıştır.</w:t>
      </w:r>
      <w:r w:rsidRPr="00545275">
        <w:rPr>
          <w:rStyle w:val="DipnotBavurusu"/>
          <w:rFonts w:cs="Times New Roman"/>
        </w:rPr>
        <w:footnoteReference w:id="123"/>
      </w:r>
      <w:r w:rsidRPr="00545275">
        <w:rPr>
          <w:rFonts w:cs="Times New Roman"/>
        </w:rPr>
        <w:t xml:space="preserve"> Bu irade-i seniyye gereğince, Bahriye Nezareti ve İstanbul merkezli Liman Riyaseti dışında, İzmir, Çanakkale, İskenderun, Beyrut ve Akka gibi </w:t>
      </w:r>
      <w:r w:rsidRPr="00545275">
        <w:rPr>
          <w:rFonts w:cs="Times New Roman"/>
        </w:rPr>
        <w:lastRenderedPageBreak/>
        <w:t xml:space="preserve">limanlar elde ettikleri haberleri ve özellikle de Osmanlı topraklarına sokulmak isterken yakalanan “muzır neşriyatı” düzenli olarak imparatorluk merkezine göndermek gibi istihbarî </w:t>
      </w:r>
      <w:proofErr w:type="gramStart"/>
      <w:r w:rsidRPr="00545275">
        <w:rPr>
          <w:rFonts w:cs="Times New Roman"/>
        </w:rPr>
        <w:t>misyonlar</w:t>
      </w:r>
      <w:proofErr w:type="gramEnd"/>
      <w:r w:rsidRPr="00545275">
        <w:rPr>
          <w:rFonts w:cs="Times New Roman"/>
        </w:rPr>
        <w:t xml:space="preserve"> üstlenmişlerdir. Bu merkezlerden örneğin İzmir Limanı’nın en önemli </w:t>
      </w:r>
      <w:proofErr w:type="gramStart"/>
      <w:r w:rsidRPr="00545275">
        <w:rPr>
          <w:rFonts w:cs="Times New Roman"/>
        </w:rPr>
        <w:t>misyonu</w:t>
      </w:r>
      <w:proofErr w:type="gramEnd"/>
      <w:r w:rsidRPr="00545275">
        <w:rPr>
          <w:rFonts w:cs="Times New Roman"/>
        </w:rPr>
        <w:t xml:space="preserve"> Avrupa’dan gönderilen neşriyatı tahkik etmek ve ele geçirilen “muzır neşriyatı” merkeze ulaştırmaktır.</w:t>
      </w:r>
      <w:r w:rsidRPr="00545275">
        <w:rPr>
          <w:rStyle w:val="DipnotBavurusu"/>
          <w:rFonts w:cs="Times New Roman"/>
        </w:rPr>
        <w:t xml:space="preserve"> </w:t>
      </w:r>
      <w:r w:rsidRPr="00545275">
        <w:rPr>
          <w:rStyle w:val="DipnotBavurusu"/>
          <w:rFonts w:cs="Times New Roman"/>
        </w:rPr>
        <w:footnoteReference w:id="124"/>
      </w:r>
      <w:r w:rsidRPr="00545275">
        <w:rPr>
          <w:rFonts w:cs="Times New Roman"/>
        </w:rPr>
        <w:t xml:space="preserve"> Mesela, Paris’te yayımlanan “La Grandre Vo” adlı aylık dergide padişah aleyhine birçok iftiranın yer aldığı</w:t>
      </w:r>
      <w:r w:rsidRPr="00545275">
        <w:rPr>
          <w:rStyle w:val="DipnotBavurusu"/>
          <w:rFonts w:cs="Times New Roman"/>
        </w:rPr>
        <w:footnoteReference w:id="125"/>
      </w:r>
      <w:r w:rsidRPr="00545275">
        <w:rPr>
          <w:rFonts w:cs="Times New Roman"/>
        </w:rPr>
        <w:t xml:space="preserve">, Marsilya’dan İzmir Jandarma Kumandanı Hıfzı Bey adına gelen “La </w:t>
      </w:r>
      <w:proofErr w:type="gramStart"/>
      <w:r w:rsidRPr="00545275">
        <w:rPr>
          <w:rFonts w:cs="Times New Roman"/>
        </w:rPr>
        <w:t>Türki</w:t>
      </w:r>
      <w:proofErr w:type="gramEnd"/>
      <w:r w:rsidRPr="00545275">
        <w:rPr>
          <w:rFonts w:cs="Times New Roman"/>
        </w:rPr>
        <w:t xml:space="preserve"> Libre” Gazetesi’nin on dördüncü sayısında padişah hakkında kötü neşriyatta bulunulduğu</w:t>
      </w:r>
      <w:r w:rsidRPr="00545275">
        <w:rPr>
          <w:rStyle w:val="DipnotBavurusu"/>
          <w:rFonts w:cs="Times New Roman"/>
        </w:rPr>
        <w:footnoteReference w:id="126"/>
      </w:r>
      <w:r w:rsidRPr="00545275">
        <w:rPr>
          <w:rFonts w:cs="Times New Roman"/>
        </w:rPr>
        <w:t xml:space="preserve"> ve “Farmason Esrarı” adıyla Atina’da yayımlanan bir derginin onuncu nüshasında Hz. Muhammed hakkında yakışıksız ifadelerin bulunduğu</w:t>
      </w:r>
      <w:r w:rsidRPr="00545275">
        <w:rPr>
          <w:rStyle w:val="DipnotBavurusu"/>
          <w:rFonts w:cs="Times New Roman"/>
        </w:rPr>
        <w:footnoteReference w:id="127"/>
      </w:r>
      <w:r w:rsidRPr="00545275">
        <w:rPr>
          <w:rFonts w:cs="Times New Roman"/>
        </w:rPr>
        <w:t xml:space="preserve"> gibi bilgiler İzmir Telgraf ve Posta Müdürlüğü’nce Saray’a iletilmiştir. Bununla birlikte Saray’a istihbarat sağlamak konusunda Bahriye Nezareti ile Liman Riyaseti arasında kıyasıya bir rekabetin olduğu, Bahriye Nazırı Hasan Paşa’nın</w:t>
      </w:r>
      <w:r w:rsidRPr="00545275">
        <w:rPr>
          <w:rStyle w:val="DipnotBavurusu"/>
          <w:rFonts w:cs="Times New Roman"/>
        </w:rPr>
        <w:footnoteReference w:id="128"/>
      </w:r>
      <w:r w:rsidRPr="00545275">
        <w:rPr>
          <w:rFonts w:cs="Times New Roman"/>
        </w:rPr>
        <w:t xml:space="preserve"> taşradaki limanların memurlarına şifre verilmesini geciktirmeye çalıştığını bildiren bir jurnal raporundan </w:t>
      </w:r>
      <w:r w:rsidRPr="00545275">
        <w:rPr>
          <w:rFonts w:cs="Times New Roman"/>
        </w:rPr>
        <w:lastRenderedPageBreak/>
        <w:t>anlaşılmaktadır.</w:t>
      </w:r>
      <w:r w:rsidRPr="00545275">
        <w:rPr>
          <w:rStyle w:val="DipnotBavurusu"/>
          <w:rFonts w:cs="Times New Roman"/>
        </w:rPr>
        <w:footnoteReference w:id="129"/>
      </w:r>
      <w:r w:rsidRPr="00545275">
        <w:rPr>
          <w:rFonts w:cs="Times New Roman"/>
        </w:rPr>
        <w:t xml:space="preserve"> Rapora göre ilgili irade Bahriye Nezareti tarafından Liman Riyaseti’ne tebliğ edilmediği için Çanakkale Boğazı’ndan geçen vapurlar hakkında İstanbul’a herhangi bir bilgi verilmemiş ve bu nedenle söz konusu vapurların tahkikatında zorluklar yaşanmıştır.</w:t>
      </w:r>
      <w:r w:rsidRPr="00545275">
        <w:rPr>
          <w:rStyle w:val="DipnotBavurusu"/>
          <w:rFonts w:cs="Times New Roman"/>
        </w:rPr>
        <w:footnoteReference w:id="130"/>
      </w:r>
      <w:r w:rsidRPr="00545275">
        <w:rPr>
          <w:rFonts w:cs="Times New Roman"/>
        </w:rPr>
        <w:t xml:space="preserve"> Devam eden yazışmalardan anlaşıldığına göre, Bahriye Nezareti’nin ilgili irade-i seniyyeyi Liman Riyaseti’ne tebliğ etmesi sağlanmış</w:t>
      </w:r>
      <w:r w:rsidRPr="00545275">
        <w:rPr>
          <w:rStyle w:val="DipnotBavurusu"/>
          <w:rFonts w:cs="Times New Roman"/>
        </w:rPr>
        <w:footnoteReference w:id="131"/>
      </w:r>
      <w:r w:rsidRPr="00545275">
        <w:rPr>
          <w:rFonts w:cs="Times New Roman"/>
        </w:rPr>
        <w:t xml:space="preserve"> ve taşra limanlarına da telgraf çekilerek önemli bilgilerin İstanbul’la paylaşılması emredilmiştir.</w:t>
      </w:r>
      <w:r w:rsidRPr="00545275">
        <w:rPr>
          <w:rStyle w:val="DipnotBavurusu"/>
          <w:rFonts w:cs="Times New Roman"/>
        </w:rPr>
        <w:footnoteReference w:id="132"/>
      </w:r>
      <w:r w:rsidRPr="00545275">
        <w:rPr>
          <w:rFonts w:cs="Times New Roman"/>
        </w:rPr>
        <w:t xml:space="preserve"> </w:t>
      </w:r>
    </w:p>
    <w:p w:rsidR="00545275" w:rsidRPr="00545275" w:rsidRDefault="00545275" w:rsidP="00545275">
      <w:pPr>
        <w:spacing w:line="360" w:lineRule="auto"/>
        <w:rPr>
          <w:rFonts w:cs="Times New Roman"/>
        </w:rPr>
      </w:pPr>
    </w:p>
    <w:p w:rsidR="00545275" w:rsidRPr="00545275" w:rsidRDefault="00545275" w:rsidP="00545275">
      <w:pPr>
        <w:spacing w:after="360" w:line="360" w:lineRule="auto"/>
        <w:rPr>
          <w:rFonts w:cs="Times New Roman"/>
          <w:b/>
        </w:rPr>
      </w:pPr>
      <w:r w:rsidRPr="00545275">
        <w:rPr>
          <w:rFonts w:cs="Times New Roman"/>
          <w:b/>
        </w:rPr>
        <w:t xml:space="preserve">Sonuç  </w:t>
      </w:r>
    </w:p>
    <w:p w:rsidR="00545275" w:rsidRPr="00545275" w:rsidRDefault="00545275" w:rsidP="00545275">
      <w:pPr>
        <w:spacing w:line="360" w:lineRule="auto"/>
        <w:rPr>
          <w:rFonts w:cs="Times New Roman"/>
        </w:rPr>
      </w:pPr>
      <w:r w:rsidRPr="00545275">
        <w:rPr>
          <w:rFonts w:cs="Times New Roman"/>
        </w:rPr>
        <w:t>1891-1893 yılları arasında Yıldız Sarayı’na ulaştırılan ve Kırımî-z</w:t>
      </w:r>
      <w:r w:rsidRPr="00545275">
        <w:rPr>
          <w:rFonts w:hAnsi="Times New Roman" w:cs="Times New Roman"/>
        </w:rPr>
        <w:t>ȃ</w:t>
      </w:r>
      <w:r w:rsidRPr="00545275">
        <w:rPr>
          <w:rFonts w:cs="Times New Roman"/>
        </w:rPr>
        <w:t xml:space="preserve">de’nin tahkik ettiği jurnal örneklerinden de anlaşıldığı gibi, jurnal sistemi ağırlıklı olarak İstanbul merkezli bir görünüm arz etse de, imparatorluğun dört bir yanından çeşitli araçlarla (mektup, telgraf v.b.) devlet merkezine jurnal raporları gönderilmiştir. Osmanlı İmparatorluğu bu dönemde çok büyük bir toprak parçası üzerine yayılmıştır; fakat imparatorluk ne kadar büyük olursa olsun, çeşitli vilayetlerden imparatorluk merkezine gönderilen jurnallerde çok küçük ayrıntılara varıncaya değin istihbarî bilgiler paylaşılmıştır. Aslına bakılırsa jurnal sistemi, Saray’ın değer vereceği düşünülen siyasî ve siyasî olmayan her türlü gelişmenin en küçük ayrıntılarına varıncaya kadar Saray’a bildirilmesi esası üzerine kurulmuştur. Nadir Özbek’in padişah adına yapılan hayır işleri ekseninde belirttiği gibi, bu aslında bir “görünürlük” meselesidir ve bu bağlamda değerlendirildiğinde jurnal sisteminin temel işlevi, şahsı kutsal kabul edilen padişah/halifenin her şeyden haberdar olmasını sağlamak ve böylelikle her yeri kontrol edebildiğini göstermektir. Hükümdarı görünür kılmak için yapılan hayırlar, padişahın olumlu imajını toplumun geneline yaymaya çalışan çeşitli politikalar (ihsan-ı şahane, atiyye-i seniyye, bahşiş, sadaka temini gibi), sansür ve kontrol mekanizmaları ve </w:t>
      </w:r>
      <w:r w:rsidRPr="00545275">
        <w:rPr>
          <w:rFonts w:cs="Times New Roman"/>
        </w:rPr>
        <w:lastRenderedPageBreak/>
        <w:t xml:space="preserve">padişahın imparatorluktaki her ayrıntıdan haberdar olmasını amaçlayan jurnal sistemi; aslında bunların hepsi birbirleriyle bağlantılı iktidar stratejisi olarak görülebilir. </w:t>
      </w:r>
    </w:p>
    <w:p w:rsidR="00545275" w:rsidRDefault="00545275" w:rsidP="00545275">
      <w:pPr>
        <w:spacing w:line="360" w:lineRule="auto"/>
        <w:rPr>
          <w:rFonts w:cs="Times New Roman"/>
        </w:rPr>
      </w:pPr>
      <w:r w:rsidRPr="00545275">
        <w:rPr>
          <w:rFonts w:cs="Times New Roman"/>
        </w:rPr>
        <w:t xml:space="preserve">II. Abdülhamid dönemi, her ne kadar birbirine zıt gibi görünse de devletin -jurnal ve sansür sistemi gibi- baskı politikalarıyla, -atiyye-i seniyye ve ihsan-ı şahane temini gibi- rıza politikalarını birlikte yürütmeye çalıştığı, fakat güvenlik kaygısı ön planda olduğu için baskı politikalarının daha ağır bastığı bir dönem niteliğindedir. Özellikle güvenlik politikaları ekseninde değerlendirildiğinde, başta jurnal sistemi olmak üzere tüm gözetleme ve kontrol mekanizmaları, devletin nüfuz alanını genişleten araçlar haline gelmiştir. Bu, belirli bir tarihsel sürecin sonucudur. </w:t>
      </w:r>
      <w:proofErr w:type="gramStart"/>
      <w:r w:rsidRPr="00545275">
        <w:rPr>
          <w:rFonts w:cs="Times New Roman"/>
        </w:rPr>
        <w:t xml:space="preserve">Jurnal sistemi de dâhil olmak üzere tüm bu gözetleme ve kontrol sistemini değerlendirirken, hükümdarın bu sisteme imkân tanıyan kişilik yapısını, hükümdarın çevresindeki Osmanlı elitlerinin bu sisteme yön veren teşviklerini, yükselen milliyetçilik hareketlerinin ve artan dış tehditlerin Osmanlılar üzerindeki etkilerini ve hatta dönemin din ve dünya görüşünü göz önünde tutmak gerekmektedir. </w:t>
      </w:r>
      <w:proofErr w:type="gramEnd"/>
      <w:r w:rsidRPr="00545275">
        <w:rPr>
          <w:rFonts w:cs="Times New Roman"/>
        </w:rPr>
        <w:t xml:space="preserve">Bununla birlikte devlet elitlerinin neyi ya da kimi tehdit olarak gördükleri ve bu unsurları nasıl tasnif ve tahlil ettikleri de önemlidir. Bu dönemde tehdit algısının her şeyi ve herkesi kapsayacak kadar genişlemesi nedeniyle devlet, toplum ve devlet yöneticilerine dair standardize ettiği bir bilgi havuzu yaratmaya çalışmış ve tasniflenen istihbarat bilgileri ile bir takip ağı oluşturmak istemiştir. Sansür ve hafiyelik gibi diğer kontrol mekanizmalarıyla birlikte jurnal sistemi, gelişen yeni kayıt sistemi (pasaportlar, ikametgâh belgeleri v.b.), sosyal kontrol, sosyal hizmetler ve hayır işleri gibi uygulamaların tümü, altyapısal iktidar aygıtlarına sahip, fakat kontrolü tam sağlanmamış ve tam olarak oturmamış bir modern devlet aygıtına geçişi ifade etmektedir. Bu açıdan bakıldığında jurnal sistemini iktidar aygıtlarının bir parçası olarak görmek ve Abdülhamid dönemi devletinin diğer uygulamalarıyla birlikte değerlendirmek yanıltıcı olmayacaktır.  </w:t>
      </w:r>
    </w:p>
    <w:p w:rsidR="00545275" w:rsidRPr="00545275" w:rsidRDefault="00545275" w:rsidP="00545275">
      <w:pPr>
        <w:spacing w:line="360" w:lineRule="auto"/>
        <w:rPr>
          <w:rFonts w:cs="Times New Roman"/>
        </w:rPr>
      </w:pPr>
    </w:p>
    <w:p w:rsidR="00545275" w:rsidRPr="00545275" w:rsidRDefault="00545275" w:rsidP="00545275">
      <w:pPr>
        <w:spacing w:after="360" w:line="360" w:lineRule="auto"/>
        <w:ind w:firstLine="0"/>
        <w:rPr>
          <w:rFonts w:cs="Times New Roman"/>
          <w:b/>
        </w:rPr>
      </w:pPr>
      <w:r w:rsidRPr="00545275">
        <w:rPr>
          <w:rFonts w:cs="Times New Roman"/>
          <w:b/>
        </w:rPr>
        <w:t>KAYNAKÇA</w:t>
      </w:r>
    </w:p>
    <w:p w:rsidR="00545275" w:rsidRPr="00545275" w:rsidRDefault="00545275" w:rsidP="00545275">
      <w:pPr>
        <w:rPr>
          <w:rFonts w:cs="Times New Roman"/>
          <w:b/>
        </w:rPr>
      </w:pPr>
      <w:r w:rsidRPr="00545275">
        <w:rPr>
          <w:rFonts w:cs="Times New Roman"/>
        </w:rPr>
        <w:t xml:space="preserve">Abdurrahman Şeref Efendi (1996). </w:t>
      </w:r>
      <w:r w:rsidRPr="00545275">
        <w:rPr>
          <w:rFonts w:cs="Times New Roman"/>
          <w:i/>
        </w:rPr>
        <w:t>Abdurrahman Şeref Efendi Tarihi- II. Meşrutiyet Olayları (1908-1909)</w:t>
      </w:r>
      <w:r w:rsidRPr="00545275">
        <w:rPr>
          <w:rFonts w:cs="Times New Roman"/>
        </w:rPr>
        <w:t xml:space="preserve">. </w:t>
      </w:r>
      <w:proofErr w:type="gramStart"/>
      <w:r w:rsidRPr="00545275">
        <w:rPr>
          <w:rFonts w:cs="Times New Roman"/>
        </w:rPr>
        <w:t>Bayram Kodaman-Mehmet Ali Ünal (Haz.). Ankara: Türk Tarih Kurumu Yayınları.</w:t>
      </w:r>
      <w:proofErr w:type="gramEnd"/>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lastRenderedPageBreak/>
        <w:t xml:space="preserve">Ahmad, Feroz (2013). “Osmanlı İmparatorluğu’nun Sonu”. </w:t>
      </w:r>
      <w:r w:rsidRPr="00545275">
        <w:rPr>
          <w:rFonts w:ascii="Palatino Linotype" w:hAnsi="Palatino Linotype" w:cs="Times New Roman"/>
          <w:i/>
          <w:sz w:val="22"/>
          <w:szCs w:val="22"/>
        </w:rPr>
        <w:t>Osmanlı İmparatorluğu’nun Sonu ve Büyük Güçler</w:t>
      </w:r>
      <w:r w:rsidRPr="00545275">
        <w:rPr>
          <w:rFonts w:ascii="Palatino Linotype" w:hAnsi="Palatino Linotype" w:cs="Times New Roman"/>
          <w:sz w:val="22"/>
          <w:szCs w:val="22"/>
        </w:rPr>
        <w:t xml:space="preserve">. Marian Kent (Edi.), Ahmet Fethi (Çev.). İstanbul: Alfa Yayınları. </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Akarlı, Engin Deniz (1976). “The Problems of External Pressures, Power Struggles and Solutions”. </w:t>
      </w:r>
      <w:r w:rsidRPr="00545275">
        <w:rPr>
          <w:rFonts w:ascii="Palatino Linotype" w:hAnsi="Palatino Linotype" w:cs="Times New Roman"/>
          <w:i/>
          <w:sz w:val="22"/>
          <w:szCs w:val="22"/>
        </w:rPr>
        <w:t>Princeton Üniversitesi Yayımlanmamış Doktora Tezi</w:t>
      </w:r>
      <w:r w:rsidRPr="00545275">
        <w:rPr>
          <w:rFonts w:ascii="Palatino Linotype" w:hAnsi="Palatino Linotype" w:cs="Times New Roman"/>
          <w:sz w:val="22"/>
          <w:szCs w:val="22"/>
        </w:rPr>
        <w:t>. New Jersey.</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Akgül, Suat-Güler, Ali (2003). </w:t>
      </w:r>
      <w:r w:rsidRPr="00545275">
        <w:rPr>
          <w:rFonts w:ascii="Palatino Linotype" w:hAnsi="Palatino Linotype" w:cs="Times New Roman"/>
          <w:i/>
          <w:sz w:val="22"/>
          <w:szCs w:val="22"/>
        </w:rPr>
        <w:t>Sorun Olan Ermeniler</w:t>
      </w:r>
      <w:r w:rsidRPr="00545275">
        <w:rPr>
          <w:rFonts w:ascii="Palatino Linotype" w:hAnsi="Palatino Linotype" w:cs="Times New Roman"/>
          <w:sz w:val="22"/>
          <w:szCs w:val="22"/>
        </w:rPr>
        <w:t xml:space="preserve">. Ramazan Tosun (Edi.). Ankara: Türk Metal Sendikası Araştırma Bürosu Yayınları. </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Alkan, Necmettin, “Emanuel Karasu ve II. Abdülhamid”, </w:t>
      </w:r>
      <w:r w:rsidRPr="00545275">
        <w:rPr>
          <w:rFonts w:ascii="Palatino Linotype" w:hAnsi="Palatino Linotype" w:cs="Times New Roman"/>
          <w:i/>
          <w:sz w:val="22"/>
          <w:szCs w:val="22"/>
        </w:rPr>
        <w:t>Atatürk Üniversitesi Sosyal Bilimler Enstitüsü Dergisi</w:t>
      </w:r>
      <w:r w:rsidRPr="00545275">
        <w:rPr>
          <w:rFonts w:ascii="Palatino Linotype" w:hAnsi="Palatino Linotype" w:cs="Times New Roman"/>
          <w:sz w:val="22"/>
          <w:szCs w:val="22"/>
        </w:rPr>
        <w:t xml:space="preserve">, C. II, S. 1, 2008, s. 179-195. </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Çetinsaya, Gökhan (1998). “Abdülhamid’i Anlamak: 19. Yüzyıl Tarihçiliğine Bir Bakış”. </w:t>
      </w:r>
      <w:proofErr w:type="gramStart"/>
      <w:r w:rsidRPr="00545275">
        <w:rPr>
          <w:rFonts w:ascii="Palatino Linotype" w:hAnsi="Palatino Linotype" w:cs="Times New Roman"/>
          <w:i/>
          <w:sz w:val="22"/>
          <w:szCs w:val="22"/>
        </w:rPr>
        <w:t>Sosyal Bilimleri Yeniden Düşünmek: Sempozyum Bildirileri</w:t>
      </w:r>
      <w:r w:rsidRPr="00545275">
        <w:rPr>
          <w:rFonts w:ascii="Palatino Linotype" w:hAnsi="Palatino Linotype" w:cs="Times New Roman"/>
          <w:sz w:val="22"/>
          <w:szCs w:val="22"/>
        </w:rPr>
        <w:t xml:space="preserve">. İstanbul: Metis Yayınları. </w:t>
      </w:r>
      <w:proofErr w:type="gramEnd"/>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sym w:font="Symbol" w:char="F0BE"/>
      </w:r>
      <w:r w:rsidRPr="00545275">
        <w:rPr>
          <w:rFonts w:ascii="Palatino Linotype" w:hAnsi="Palatino Linotype" w:cs="Times New Roman"/>
          <w:sz w:val="22"/>
          <w:szCs w:val="22"/>
        </w:rPr>
        <w:t xml:space="preserve"> (1999). “Çıban Başı Koparmamak: II. Abdülhamid Rejimine Yeniden Bakış”. (58/2) </w:t>
      </w:r>
      <w:r w:rsidRPr="00545275">
        <w:rPr>
          <w:rFonts w:ascii="Palatino Linotype" w:hAnsi="Palatino Linotype" w:cs="Times New Roman"/>
          <w:i/>
          <w:sz w:val="22"/>
          <w:szCs w:val="22"/>
        </w:rPr>
        <w:t>Türkiye Günlüğü</w:t>
      </w:r>
      <w:r w:rsidRPr="00545275">
        <w:rPr>
          <w:rFonts w:ascii="Palatino Linotype" w:hAnsi="Palatino Linotype" w:cs="Times New Roman"/>
          <w:sz w:val="22"/>
          <w:szCs w:val="22"/>
        </w:rPr>
        <w:t xml:space="preserve">.  </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Deringil, Selim (2014). </w:t>
      </w:r>
      <w:r w:rsidRPr="00545275">
        <w:rPr>
          <w:rFonts w:ascii="Palatino Linotype" w:hAnsi="Palatino Linotype" w:cs="Times New Roman"/>
          <w:i/>
          <w:sz w:val="22"/>
          <w:szCs w:val="22"/>
        </w:rPr>
        <w:t>İktidarın Sembolleri ve İdeoloji, II. Abdülhamid Dönemi (1876-1909)</w:t>
      </w:r>
      <w:r w:rsidRPr="00545275">
        <w:rPr>
          <w:rFonts w:ascii="Palatino Linotype" w:hAnsi="Palatino Linotype" w:cs="Times New Roman"/>
          <w:sz w:val="22"/>
          <w:szCs w:val="22"/>
        </w:rPr>
        <w:t xml:space="preserve">. Gül Çağalı Güven (Çev.). İstanbul: Doğan Kitap. </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sym w:font="Symbol" w:char="F0BE"/>
      </w:r>
      <w:r w:rsidRPr="00545275">
        <w:rPr>
          <w:rFonts w:ascii="Palatino Linotype" w:hAnsi="Palatino Linotype" w:cs="Times New Roman"/>
          <w:sz w:val="22"/>
          <w:szCs w:val="22"/>
        </w:rPr>
        <w:t xml:space="preserve"> (1999). “New Approaches to the Study of the Ottoman Nineteenth Century”. </w:t>
      </w:r>
      <w:r w:rsidRPr="00545275">
        <w:rPr>
          <w:rFonts w:ascii="Palatino Linotype" w:hAnsi="Palatino Linotype" w:cs="Times New Roman"/>
          <w:i/>
          <w:sz w:val="22"/>
          <w:szCs w:val="22"/>
        </w:rPr>
        <w:t xml:space="preserve">Abdullah Kuran İçin Yazılar. </w:t>
      </w:r>
      <w:r w:rsidRPr="00545275">
        <w:rPr>
          <w:rFonts w:ascii="Palatino Linotype" w:hAnsi="Palatino Linotype" w:cs="Times New Roman"/>
          <w:sz w:val="22"/>
          <w:szCs w:val="22"/>
        </w:rPr>
        <w:t>Çiğdem Kafesçioğlu ve Luciene Thys-Şenocak (Der.). İstanbul: Yapı Kredi Yayınları.</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Findley, Carter Vaughn (2011). “Tanzimat”, </w:t>
      </w:r>
      <w:r w:rsidRPr="00545275">
        <w:rPr>
          <w:rFonts w:ascii="Palatino Linotype" w:hAnsi="Palatino Linotype" w:cs="Times New Roman"/>
          <w:i/>
          <w:sz w:val="22"/>
          <w:szCs w:val="22"/>
        </w:rPr>
        <w:t>Türkiye Tarihi 1839-2010</w:t>
      </w:r>
      <w:r w:rsidRPr="00545275">
        <w:rPr>
          <w:rFonts w:ascii="Palatino Linotype" w:hAnsi="Palatino Linotype" w:cs="Times New Roman"/>
          <w:sz w:val="22"/>
          <w:szCs w:val="22"/>
        </w:rPr>
        <w:t>. C. 4, Reşat Kasaba (Edi.). Zuhal Bilgin (Çev.). İstanbul: Kitap Yayınevi.</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Fortna, Benjamin C. (2011). “Abdülhamid’in Saltanatı”. </w:t>
      </w:r>
      <w:r w:rsidRPr="00545275">
        <w:rPr>
          <w:rFonts w:ascii="Palatino Linotype" w:hAnsi="Palatino Linotype" w:cs="Times New Roman"/>
          <w:i/>
          <w:sz w:val="22"/>
          <w:szCs w:val="22"/>
        </w:rPr>
        <w:t>Türkiye Tarihi 1839-2010</w:t>
      </w:r>
      <w:r w:rsidRPr="00545275">
        <w:rPr>
          <w:rFonts w:ascii="Palatino Linotype" w:hAnsi="Palatino Linotype" w:cs="Times New Roman"/>
          <w:sz w:val="22"/>
          <w:szCs w:val="22"/>
        </w:rPr>
        <w:t>. C. 4, Reşat Kasaba (Edi.). Zuhal Bilgin (Çev.). İstanbul: Kitap Yayınevi.</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Georgeon, François (2007). “Son Canlanış (1878-1908)”. </w:t>
      </w:r>
      <w:r w:rsidRPr="00545275">
        <w:rPr>
          <w:rFonts w:ascii="Palatino Linotype" w:hAnsi="Palatino Linotype" w:cs="Times New Roman"/>
          <w:i/>
          <w:sz w:val="22"/>
          <w:szCs w:val="22"/>
        </w:rPr>
        <w:t>Osmanlı İmparatorluğu Tarihi II-Duraklamadan Yıkılışa</w:t>
      </w:r>
      <w:r w:rsidRPr="00545275">
        <w:rPr>
          <w:rFonts w:ascii="Palatino Linotype" w:hAnsi="Palatino Linotype" w:cs="Times New Roman"/>
          <w:sz w:val="22"/>
          <w:szCs w:val="22"/>
        </w:rPr>
        <w:t xml:space="preserve">. Robert Mantran (Haz.). Server Tanilli (Çev.) </w:t>
      </w:r>
      <w:proofErr w:type="gramStart"/>
      <w:r w:rsidRPr="00545275">
        <w:rPr>
          <w:rFonts w:ascii="Palatino Linotype" w:hAnsi="Palatino Linotype" w:cs="Times New Roman"/>
          <w:sz w:val="22"/>
          <w:szCs w:val="22"/>
        </w:rPr>
        <w:t>İstanbul: Alkım Yayınevi.</w:t>
      </w:r>
      <w:proofErr w:type="gramEnd"/>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sym w:font="Symbol" w:char="F0BE"/>
      </w:r>
      <w:r w:rsidRPr="00545275">
        <w:rPr>
          <w:rFonts w:ascii="Palatino Linotype" w:hAnsi="Palatino Linotype" w:cs="Times New Roman"/>
          <w:sz w:val="22"/>
          <w:szCs w:val="22"/>
        </w:rPr>
        <w:t xml:space="preserve">  (2012). </w:t>
      </w:r>
      <w:r w:rsidRPr="00545275">
        <w:rPr>
          <w:rFonts w:ascii="Palatino Linotype" w:hAnsi="Palatino Linotype" w:cs="Times New Roman"/>
          <w:i/>
          <w:sz w:val="22"/>
          <w:szCs w:val="22"/>
        </w:rPr>
        <w:t>Sultan Abdülhamid</w:t>
      </w:r>
      <w:r w:rsidRPr="00545275">
        <w:rPr>
          <w:rFonts w:ascii="Palatino Linotype" w:hAnsi="Palatino Linotype" w:cs="Times New Roman"/>
          <w:sz w:val="22"/>
          <w:szCs w:val="22"/>
        </w:rPr>
        <w:t>. Ali Berktay (Çev.). İstanbul: İletişim Yayınları.</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Halaçoğlu, Yusuf (2012). </w:t>
      </w:r>
      <w:r w:rsidRPr="00545275">
        <w:rPr>
          <w:rFonts w:ascii="Palatino Linotype" w:hAnsi="Palatino Linotype" w:cs="Times New Roman"/>
          <w:i/>
          <w:sz w:val="22"/>
          <w:szCs w:val="22"/>
        </w:rPr>
        <w:t>Ermeni Tehciri</w:t>
      </w:r>
      <w:r w:rsidRPr="00545275">
        <w:rPr>
          <w:rFonts w:ascii="Palatino Linotype" w:hAnsi="Palatino Linotype" w:cs="Times New Roman"/>
          <w:sz w:val="22"/>
          <w:szCs w:val="22"/>
        </w:rPr>
        <w:t xml:space="preserve">. İstanbul: </w:t>
      </w:r>
      <w:proofErr w:type="gramStart"/>
      <w:r w:rsidRPr="00545275">
        <w:rPr>
          <w:rFonts w:ascii="Palatino Linotype" w:hAnsi="Palatino Linotype" w:cs="Times New Roman"/>
          <w:sz w:val="22"/>
          <w:szCs w:val="22"/>
        </w:rPr>
        <w:t>Babıali</w:t>
      </w:r>
      <w:proofErr w:type="gramEnd"/>
      <w:r w:rsidRPr="00545275">
        <w:rPr>
          <w:rFonts w:ascii="Palatino Linotype" w:hAnsi="Palatino Linotype" w:cs="Times New Roman"/>
          <w:sz w:val="22"/>
          <w:szCs w:val="22"/>
        </w:rPr>
        <w:t xml:space="preserve"> Kültür Yayıncılığı.</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Hüseyin Nazım Paşa (2007). </w:t>
      </w:r>
      <w:r w:rsidRPr="00545275">
        <w:rPr>
          <w:rFonts w:ascii="Palatino Linotype" w:hAnsi="Palatino Linotype" w:cs="Times New Roman"/>
          <w:i/>
          <w:sz w:val="22"/>
          <w:szCs w:val="22"/>
        </w:rPr>
        <w:t>Hatıralarım</w:t>
      </w:r>
      <w:r w:rsidRPr="00545275">
        <w:rPr>
          <w:rFonts w:ascii="Palatino Linotype" w:hAnsi="Palatino Linotype" w:cs="Times New Roman"/>
          <w:sz w:val="22"/>
          <w:szCs w:val="22"/>
        </w:rPr>
        <w:t>. Tahsin Yıldırım (Haz.). İstanbul: Selis Kitaplar.</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İbrahim Hakkı Paşa (1890). </w:t>
      </w:r>
      <w:proofErr w:type="gramStart"/>
      <w:r w:rsidRPr="00545275">
        <w:rPr>
          <w:rFonts w:ascii="Palatino Linotype" w:hAnsi="Palatino Linotype" w:cs="Times New Roman"/>
          <w:i/>
          <w:sz w:val="22"/>
          <w:szCs w:val="22"/>
        </w:rPr>
        <w:t>Küçük Osmanlı Tarihi</w:t>
      </w:r>
      <w:r w:rsidRPr="00545275">
        <w:rPr>
          <w:rFonts w:ascii="Palatino Linotype" w:hAnsi="Palatino Linotype" w:cs="Times New Roman"/>
          <w:sz w:val="22"/>
          <w:szCs w:val="22"/>
        </w:rPr>
        <w:t>. İstanbul: Karabet Matbaası.</w:t>
      </w:r>
      <w:proofErr w:type="gramEnd"/>
    </w:p>
    <w:p w:rsidR="00545275" w:rsidRPr="00545275" w:rsidRDefault="00545275" w:rsidP="00545275">
      <w:pPr>
        <w:rPr>
          <w:rFonts w:cs="Times New Roman"/>
          <w:color w:val="000000" w:themeColor="text1"/>
        </w:rPr>
      </w:pPr>
      <w:r w:rsidRPr="00545275">
        <w:rPr>
          <w:rFonts w:cs="Times New Roman"/>
          <w:color w:val="000000" w:themeColor="text1"/>
        </w:rPr>
        <w:t xml:space="preserve">İrtem, Süleyman Kâni (1999). </w:t>
      </w:r>
      <w:r w:rsidRPr="00545275">
        <w:rPr>
          <w:rFonts w:cs="Times New Roman"/>
          <w:i/>
          <w:color w:val="000000" w:themeColor="text1"/>
        </w:rPr>
        <w:t>Abdülhamid Devrinde Hafiyelik ve Sansür</w:t>
      </w:r>
      <w:r w:rsidRPr="00545275">
        <w:rPr>
          <w:rFonts w:cs="Times New Roman"/>
          <w:color w:val="000000" w:themeColor="text1"/>
        </w:rPr>
        <w:t>. Osman Selim Kocahanoğlu (Haz.). İstanbul: Temel Yayınları.</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Karakışla, Yavuz Selim (2003). “Sultan II. Abdülhamid’in İstibdat Dönemi’nde (1876-1909) Hafiyelik ve Jurnalcilik-II”. </w:t>
      </w:r>
      <w:r w:rsidRPr="00545275">
        <w:rPr>
          <w:rFonts w:ascii="Palatino Linotype" w:hAnsi="Palatino Linotype" w:cs="Times New Roman"/>
          <w:i/>
          <w:sz w:val="22"/>
          <w:szCs w:val="22"/>
        </w:rPr>
        <w:t>Toplumsal Tarih</w:t>
      </w:r>
      <w:r w:rsidRPr="00545275">
        <w:rPr>
          <w:rFonts w:ascii="Palatino Linotype" w:hAnsi="Palatino Linotype" w:cs="Times New Roman"/>
          <w:sz w:val="22"/>
          <w:szCs w:val="22"/>
        </w:rPr>
        <w:t>. C. XIX. No. 120/12.</w:t>
      </w:r>
    </w:p>
    <w:p w:rsidR="00545275" w:rsidRPr="00545275" w:rsidRDefault="00545275" w:rsidP="00545275">
      <w:pPr>
        <w:rPr>
          <w:rFonts w:cs="Times New Roman"/>
        </w:rPr>
      </w:pPr>
      <w:r w:rsidRPr="00545275">
        <w:rPr>
          <w:rFonts w:cs="Times New Roman"/>
        </w:rPr>
        <w:t xml:space="preserve">Karpat, Kemal H. (2012). </w:t>
      </w:r>
      <w:proofErr w:type="gramStart"/>
      <w:r w:rsidRPr="00545275">
        <w:rPr>
          <w:rFonts w:cs="Times New Roman"/>
          <w:i/>
        </w:rPr>
        <w:t>Türk Dış Politikası Tarihi</w:t>
      </w:r>
      <w:r w:rsidRPr="00545275">
        <w:rPr>
          <w:rFonts w:cs="Times New Roman"/>
        </w:rPr>
        <w:t xml:space="preserve">. </w:t>
      </w:r>
      <w:proofErr w:type="gramEnd"/>
      <w:r w:rsidRPr="00545275">
        <w:rPr>
          <w:rFonts w:cs="Times New Roman"/>
        </w:rPr>
        <w:t>İstanbul: Timaş Yayınları.</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Kırımî-zâde Mehmed Neşet Efendi (2008). </w:t>
      </w:r>
      <w:proofErr w:type="gramStart"/>
      <w:r w:rsidRPr="00545275">
        <w:rPr>
          <w:rFonts w:ascii="Palatino Linotype" w:hAnsi="Palatino Linotype" w:cs="Times New Roman"/>
          <w:i/>
          <w:sz w:val="22"/>
          <w:szCs w:val="22"/>
        </w:rPr>
        <w:t>Jurnallerin Tahkik Raporları</w:t>
      </w:r>
      <w:r w:rsidRPr="00545275">
        <w:rPr>
          <w:rFonts w:ascii="Palatino Linotype" w:hAnsi="Palatino Linotype" w:cs="Times New Roman"/>
          <w:sz w:val="22"/>
          <w:szCs w:val="22"/>
        </w:rPr>
        <w:t xml:space="preserve">. </w:t>
      </w:r>
      <w:proofErr w:type="gramEnd"/>
      <w:r w:rsidRPr="00545275">
        <w:rPr>
          <w:rFonts w:ascii="Palatino Linotype" w:hAnsi="Palatino Linotype" w:cs="Times New Roman"/>
          <w:sz w:val="22"/>
          <w:szCs w:val="22"/>
        </w:rPr>
        <w:t xml:space="preserve">Raşit Gündoğdu-Kemal Erkan-Ahmet Temiz </w:t>
      </w:r>
      <w:proofErr w:type="gramStart"/>
      <w:r w:rsidRPr="00545275">
        <w:rPr>
          <w:rFonts w:ascii="Palatino Linotype" w:hAnsi="Palatino Linotype" w:cs="Times New Roman"/>
          <w:sz w:val="22"/>
          <w:szCs w:val="22"/>
        </w:rPr>
        <w:t>(</w:t>
      </w:r>
      <w:proofErr w:type="gramEnd"/>
      <w:r w:rsidRPr="00545275">
        <w:rPr>
          <w:rFonts w:ascii="Palatino Linotype" w:hAnsi="Palatino Linotype" w:cs="Times New Roman"/>
          <w:sz w:val="22"/>
          <w:szCs w:val="22"/>
        </w:rPr>
        <w:t>Yay. Haz.). İstanbul: Çamlıca Basın-Yayın.</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Kırmızı, Abdülhamit (2012). “Sultan II. Abdülhamid’in Kişiliğinde Süreklilik ve Kopuş”. </w:t>
      </w:r>
      <w:r w:rsidRPr="00545275">
        <w:rPr>
          <w:rFonts w:ascii="Palatino Linotype" w:hAnsi="Palatino Linotype" w:cs="Times New Roman"/>
          <w:i/>
          <w:sz w:val="22"/>
          <w:szCs w:val="22"/>
        </w:rPr>
        <w:t>Sultan II. Abdülhamid ve Dönemi</w:t>
      </w:r>
      <w:r w:rsidRPr="00545275">
        <w:rPr>
          <w:rFonts w:ascii="Palatino Linotype" w:hAnsi="Palatino Linotype" w:cs="Times New Roman"/>
          <w:sz w:val="22"/>
          <w:szCs w:val="22"/>
        </w:rPr>
        <w:t>. Coşkun Çakır (Edi.), İstanbul: Sultanbeyli Belediyesi Yayınları.</w:t>
      </w:r>
    </w:p>
    <w:p w:rsidR="00545275" w:rsidRPr="00545275" w:rsidRDefault="00545275" w:rsidP="00545275">
      <w:pPr>
        <w:rPr>
          <w:rFonts w:cs="Times New Roman"/>
        </w:rPr>
      </w:pPr>
      <w:r w:rsidRPr="00545275">
        <w:rPr>
          <w:rFonts w:cs="Times New Roman"/>
        </w:rPr>
        <w:lastRenderedPageBreak/>
        <w:t xml:space="preserve">Odams, H.J. Rachel (1996). “British Perceptions of the Ottoman Empire (1876-1908)”. </w:t>
      </w:r>
      <w:r w:rsidRPr="00545275">
        <w:rPr>
          <w:rFonts w:cs="Times New Roman"/>
          <w:i/>
        </w:rPr>
        <w:t>Oxford Üniversitesi Yayımlanmamış Doktora Tezi</w:t>
      </w:r>
      <w:r w:rsidRPr="00545275">
        <w:rPr>
          <w:rFonts w:cs="Times New Roman"/>
        </w:rPr>
        <w:t>. Oxford.</w:t>
      </w:r>
    </w:p>
    <w:p w:rsidR="00545275" w:rsidRPr="00545275" w:rsidRDefault="00545275" w:rsidP="00545275">
      <w:pPr>
        <w:rPr>
          <w:rFonts w:cs="Times New Roman"/>
        </w:rPr>
      </w:pPr>
      <w:r w:rsidRPr="00545275">
        <w:rPr>
          <w:rFonts w:cs="Times New Roman"/>
        </w:rPr>
        <w:t xml:space="preserve">Osman Nuri (1911). </w:t>
      </w:r>
      <w:r w:rsidRPr="00545275">
        <w:rPr>
          <w:rFonts w:cs="Times New Roman"/>
          <w:i/>
        </w:rPr>
        <w:t>Abdülhamid-i Sânî ve Devr-i Saltanatı, Hayat-ı Siyâsîye ve Husûsîyesi</w:t>
      </w:r>
      <w:r w:rsidRPr="00545275">
        <w:rPr>
          <w:rFonts w:cs="Times New Roman"/>
        </w:rPr>
        <w:t>. Cilt II. İstanbul: Kitabhâne-i İslâm ve Askerî.</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Özbek, Nadir (2012). “Osmanlı İmparatorluğu’nda Sosyal Yardım Uygulamaları”. </w:t>
      </w:r>
      <w:r w:rsidRPr="00545275">
        <w:rPr>
          <w:rFonts w:ascii="Palatino Linotype" w:hAnsi="Palatino Linotype" w:cs="Times New Roman"/>
          <w:i/>
          <w:sz w:val="22"/>
          <w:szCs w:val="22"/>
        </w:rPr>
        <w:t>Tanzimat, Değişim Sürecinde Osmanlı İmparatorluğu</w:t>
      </w:r>
      <w:r w:rsidRPr="00545275">
        <w:rPr>
          <w:rFonts w:ascii="Palatino Linotype" w:hAnsi="Palatino Linotype" w:cs="Times New Roman"/>
          <w:sz w:val="22"/>
          <w:szCs w:val="22"/>
        </w:rPr>
        <w:t xml:space="preserve">. Halil İnalcık ve Mehmet Seyitdanlıoğlu (Editörler). </w:t>
      </w:r>
      <w:proofErr w:type="gramStart"/>
      <w:r w:rsidRPr="00545275">
        <w:rPr>
          <w:rFonts w:ascii="Palatino Linotype" w:hAnsi="Palatino Linotype" w:cs="Times New Roman"/>
          <w:sz w:val="22"/>
          <w:szCs w:val="22"/>
        </w:rPr>
        <w:t>İstanbul: Türkiye İş Bankası Yayınları.</w:t>
      </w:r>
      <w:proofErr w:type="gramEnd"/>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sym w:font="Symbol" w:char="F0BE"/>
      </w:r>
      <w:r w:rsidRPr="00545275">
        <w:rPr>
          <w:rFonts w:ascii="Palatino Linotype" w:hAnsi="Palatino Linotype" w:cs="Times New Roman"/>
          <w:sz w:val="22"/>
          <w:szCs w:val="22"/>
        </w:rPr>
        <w:t xml:space="preserve"> (2013). </w:t>
      </w:r>
      <w:r w:rsidRPr="00545275">
        <w:rPr>
          <w:rFonts w:ascii="Palatino Linotype" w:hAnsi="Palatino Linotype" w:cs="Times New Roman"/>
          <w:i/>
          <w:sz w:val="22"/>
          <w:szCs w:val="22"/>
        </w:rPr>
        <w:t>Osmanlı İmparatorluğu’nda Sosyal Devlet, Siyaset, İktidar ve Meşruiyet (1876-1914)</w:t>
      </w:r>
      <w:r w:rsidRPr="00545275">
        <w:rPr>
          <w:rFonts w:ascii="Palatino Linotype" w:hAnsi="Palatino Linotype" w:cs="Times New Roman"/>
          <w:sz w:val="22"/>
          <w:szCs w:val="22"/>
        </w:rPr>
        <w:t>. İstanbul: İletişim Yayınları.</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sym w:font="Symbol" w:char="F0BE"/>
      </w:r>
      <w:r w:rsidRPr="00545275">
        <w:rPr>
          <w:rFonts w:ascii="Palatino Linotype" w:hAnsi="Palatino Linotype" w:cs="Times New Roman"/>
          <w:sz w:val="22"/>
          <w:szCs w:val="22"/>
        </w:rPr>
        <w:t xml:space="preserve"> (2004). “Modernite, Tarih ve İdeoloji: II. Abdülhamid Dönemi Tarihçiliği Üzerine Bir Değerlendirme”. </w:t>
      </w:r>
      <w:proofErr w:type="gramStart"/>
      <w:r w:rsidRPr="00545275">
        <w:rPr>
          <w:rFonts w:ascii="Palatino Linotype" w:hAnsi="Palatino Linotype" w:cs="Times New Roman"/>
          <w:i/>
          <w:sz w:val="22"/>
          <w:szCs w:val="22"/>
        </w:rPr>
        <w:t>Türkiye Araştırmaları Literatür Dergisi</w:t>
      </w:r>
      <w:r w:rsidRPr="00545275">
        <w:rPr>
          <w:rFonts w:ascii="Palatino Linotype" w:hAnsi="Palatino Linotype" w:cs="Times New Roman"/>
          <w:sz w:val="22"/>
          <w:szCs w:val="22"/>
        </w:rPr>
        <w:t xml:space="preserve">. </w:t>
      </w:r>
      <w:proofErr w:type="gramEnd"/>
      <w:r w:rsidRPr="00545275">
        <w:rPr>
          <w:rFonts w:ascii="Palatino Linotype" w:hAnsi="Palatino Linotype" w:cs="Times New Roman"/>
          <w:sz w:val="22"/>
          <w:szCs w:val="22"/>
        </w:rPr>
        <w:t>C. 2, S. 1, 2004.</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Özbudun, Ergun (2010). “Etkisi Bugüne Uzanan Osmanlı Mirası ve Ortadoğu’da Devlet Geleneği”. </w:t>
      </w:r>
      <w:proofErr w:type="gramStart"/>
      <w:r w:rsidRPr="00545275">
        <w:rPr>
          <w:rFonts w:ascii="Palatino Linotype" w:hAnsi="Palatino Linotype" w:cs="Times New Roman"/>
          <w:i/>
          <w:sz w:val="22"/>
          <w:szCs w:val="22"/>
        </w:rPr>
        <w:t>İmparatorluk Mirası, Balkanlar’da ve Ortadoğu’da Osmanlı Damgası</w:t>
      </w:r>
      <w:r w:rsidRPr="00545275">
        <w:rPr>
          <w:rFonts w:ascii="Palatino Linotype" w:hAnsi="Palatino Linotype" w:cs="Times New Roman"/>
          <w:sz w:val="22"/>
          <w:szCs w:val="22"/>
        </w:rPr>
        <w:t xml:space="preserve">. Derleyen: L. Carl Brown. </w:t>
      </w:r>
      <w:proofErr w:type="gramEnd"/>
      <w:r w:rsidRPr="00545275">
        <w:rPr>
          <w:rFonts w:ascii="Palatino Linotype" w:hAnsi="Palatino Linotype" w:cs="Times New Roman"/>
          <w:sz w:val="22"/>
          <w:szCs w:val="22"/>
        </w:rPr>
        <w:t>Çev: Gül Çağalı Güven. İstanbul: İletişim Yayınları.</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Süslü, Azmi (1990). </w:t>
      </w:r>
      <w:r w:rsidRPr="00545275">
        <w:rPr>
          <w:rFonts w:ascii="Palatino Linotype" w:hAnsi="Palatino Linotype" w:cs="Times New Roman"/>
          <w:i/>
          <w:sz w:val="22"/>
          <w:szCs w:val="22"/>
        </w:rPr>
        <w:t>Ermeniler ve 1915 Tehcir Olayı</w:t>
      </w:r>
      <w:r w:rsidRPr="00545275">
        <w:rPr>
          <w:rFonts w:ascii="Palatino Linotype" w:hAnsi="Palatino Linotype" w:cs="Times New Roman"/>
          <w:sz w:val="22"/>
          <w:szCs w:val="22"/>
        </w:rPr>
        <w:t>. Ankara: Yüzüncü Yıl Üniversitesi Yayınları.</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Şaşmaz, Musa (2004). “Kumkapı Ermeni Olayı (1890)”. </w:t>
      </w:r>
      <w:proofErr w:type="gramStart"/>
      <w:r w:rsidRPr="00545275">
        <w:rPr>
          <w:rFonts w:ascii="Palatino Linotype" w:hAnsi="Palatino Linotype" w:cs="Times New Roman"/>
          <w:i/>
          <w:sz w:val="22"/>
          <w:szCs w:val="22"/>
        </w:rPr>
        <w:t>Tarih İncelemeleri Dergisi</w:t>
      </w:r>
      <w:r w:rsidRPr="00545275">
        <w:rPr>
          <w:rFonts w:ascii="Palatino Linotype" w:hAnsi="Palatino Linotype" w:cs="Times New Roman"/>
          <w:sz w:val="22"/>
          <w:szCs w:val="22"/>
        </w:rPr>
        <w:t xml:space="preserve">. </w:t>
      </w:r>
      <w:proofErr w:type="gramEnd"/>
      <w:r w:rsidRPr="00545275">
        <w:rPr>
          <w:rFonts w:ascii="Palatino Linotype" w:hAnsi="Palatino Linotype" w:cs="Times New Roman"/>
          <w:sz w:val="22"/>
          <w:szCs w:val="22"/>
        </w:rPr>
        <w:t>C. XIX. S. 1.</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Tahsin Paşa (1999). </w:t>
      </w:r>
      <w:r w:rsidRPr="00545275">
        <w:rPr>
          <w:rFonts w:ascii="Palatino Linotype" w:hAnsi="Palatino Linotype" w:cs="Times New Roman"/>
          <w:i/>
          <w:sz w:val="22"/>
          <w:szCs w:val="22"/>
        </w:rPr>
        <w:t>Sultan Abdülhamid ve Yıldız Hatıraları</w:t>
      </w:r>
      <w:r w:rsidRPr="00545275">
        <w:rPr>
          <w:rFonts w:ascii="Palatino Linotype" w:hAnsi="Palatino Linotype" w:cs="Times New Roman"/>
          <w:sz w:val="22"/>
          <w:szCs w:val="22"/>
        </w:rPr>
        <w:t xml:space="preserve">. </w:t>
      </w:r>
      <w:proofErr w:type="gramStart"/>
      <w:r w:rsidRPr="00545275">
        <w:rPr>
          <w:rFonts w:ascii="Palatino Linotype" w:hAnsi="Palatino Linotype" w:cs="Times New Roman"/>
          <w:sz w:val="22"/>
          <w:szCs w:val="22"/>
        </w:rPr>
        <w:t>İstanbul: Boğaziçi Yayınları.</w:t>
      </w:r>
      <w:proofErr w:type="gramEnd"/>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Tuğay, Asaf (1935).</w:t>
      </w:r>
      <w:r w:rsidRPr="00545275">
        <w:rPr>
          <w:rFonts w:ascii="Palatino Linotype" w:hAnsi="Palatino Linotype" w:cs="Times New Roman"/>
          <w:b/>
          <w:sz w:val="22"/>
          <w:szCs w:val="22"/>
        </w:rPr>
        <w:t xml:space="preserve"> </w:t>
      </w:r>
      <w:r w:rsidRPr="00545275">
        <w:rPr>
          <w:rFonts w:ascii="Palatino Linotype" w:hAnsi="Palatino Linotype" w:cs="Times New Roman"/>
          <w:i/>
          <w:sz w:val="22"/>
          <w:szCs w:val="22"/>
        </w:rPr>
        <w:t>İbret-Abdülhamid’e Verilen Jurnaller ve Jurnalciler</w:t>
      </w:r>
      <w:r w:rsidRPr="00545275">
        <w:rPr>
          <w:rFonts w:ascii="Palatino Linotype" w:hAnsi="Palatino Linotype" w:cs="Times New Roman"/>
          <w:sz w:val="22"/>
          <w:szCs w:val="22"/>
        </w:rPr>
        <w:t>. İstanbul: Okat Yayınevi.</w:t>
      </w:r>
    </w:p>
    <w:p w:rsidR="00545275" w:rsidRPr="00545275" w:rsidRDefault="00545275" w:rsidP="00545275">
      <w:pPr>
        <w:pStyle w:val="DipnotMetni"/>
        <w:spacing w:before="120" w:after="120"/>
        <w:jc w:val="both"/>
        <w:rPr>
          <w:rFonts w:ascii="Palatino Linotype" w:hAnsi="Palatino Linotype" w:cs="Times New Roman"/>
          <w:sz w:val="22"/>
          <w:szCs w:val="22"/>
        </w:rPr>
      </w:pPr>
      <w:r w:rsidRPr="00545275">
        <w:rPr>
          <w:rFonts w:ascii="Palatino Linotype" w:hAnsi="Palatino Linotype" w:cs="Times New Roman"/>
          <w:sz w:val="22"/>
          <w:szCs w:val="22"/>
        </w:rPr>
        <w:t xml:space="preserve">Uras, Esat (1987). </w:t>
      </w:r>
      <w:proofErr w:type="gramStart"/>
      <w:r w:rsidRPr="00545275">
        <w:rPr>
          <w:rFonts w:ascii="Palatino Linotype" w:hAnsi="Palatino Linotype" w:cs="Times New Roman"/>
          <w:i/>
          <w:sz w:val="22"/>
          <w:szCs w:val="22"/>
        </w:rPr>
        <w:t>Tarihte Ermeniler ve Ermeni Meselesi</w:t>
      </w:r>
      <w:r w:rsidRPr="00545275">
        <w:rPr>
          <w:rFonts w:ascii="Palatino Linotype" w:hAnsi="Palatino Linotype" w:cs="Times New Roman"/>
          <w:sz w:val="22"/>
          <w:szCs w:val="22"/>
        </w:rPr>
        <w:t xml:space="preserve">. </w:t>
      </w:r>
      <w:proofErr w:type="gramEnd"/>
      <w:r w:rsidRPr="00545275">
        <w:rPr>
          <w:rFonts w:ascii="Palatino Linotype" w:hAnsi="Palatino Linotype" w:cs="Times New Roman"/>
          <w:sz w:val="22"/>
          <w:szCs w:val="22"/>
        </w:rPr>
        <w:t>İstanbul.</w:t>
      </w:r>
    </w:p>
    <w:p w:rsidR="00545275" w:rsidRPr="00545275" w:rsidRDefault="00545275" w:rsidP="00545275">
      <w:pPr>
        <w:rPr>
          <w:rFonts w:cs="Times New Roman"/>
        </w:rPr>
      </w:pPr>
      <w:r w:rsidRPr="00545275">
        <w:rPr>
          <w:rFonts w:cs="Times New Roman"/>
        </w:rPr>
        <w:t xml:space="preserve">Yasamee, Feroze Abdullah Khan (1993). “Abdülhamid II and the Ottoman Defence Problem”. </w:t>
      </w:r>
      <w:r w:rsidRPr="00545275">
        <w:rPr>
          <w:rFonts w:cs="Times New Roman"/>
          <w:i/>
        </w:rPr>
        <w:t>Diplomacy &amp; Statecraft</w:t>
      </w:r>
      <w:r w:rsidRPr="00545275">
        <w:rPr>
          <w:rFonts w:cs="Times New Roman"/>
        </w:rPr>
        <w:t>. Vo. 4, Nr. 1, Londra.</w:t>
      </w:r>
    </w:p>
    <w:p w:rsidR="00545275" w:rsidRPr="00545275" w:rsidRDefault="00545275" w:rsidP="00545275">
      <w:pPr>
        <w:rPr>
          <w:rFonts w:cs="Times New Roman"/>
        </w:rPr>
      </w:pPr>
      <w:r w:rsidRPr="00545275">
        <w:rPr>
          <w:rFonts w:cs="Times New Roman"/>
        </w:rPr>
        <w:sym w:font="Symbol" w:char="F0BE"/>
      </w:r>
      <w:r w:rsidRPr="00545275">
        <w:rPr>
          <w:rFonts w:cs="Times New Roman"/>
        </w:rPr>
        <w:t xml:space="preserve"> (1996). </w:t>
      </w:r>
      <w:r w:rsidRPr="00545275">
        <w:rPr>
          <w:rFonts w:cs="Times New Roman"/>
          <w:i/>
        </w:rPr>
        <w:t>Ottoman Diplomacy-Abdülhamid II and the Great Powers (1878-1888)</w:t>
      </w:r>
      <w:r w:rsidRPr="00545275">
        <w:rPr>
          <w:rFonts w:cs="Times New Roman"/>
        </w:rPr>
        <w:t>. İstanbul: The ISIS Press.</w:t>
      </w:r>
    </w:p>
    <w:p w:rsidR="00545275" w:rsidRPr="00545275" w:rsidRDefault="00545275" w:rsidP="00545275">
      <w:pPr>
        <w:rPr>
          <w:rFonts w:cs="Times New Roman"/>
        </w:rPr>
      </w:pPr>
      <w:r w:rsidRPr="00545275">
        <w:rPr>
          <w:rFonts w:cs="Times New Roman"/>
        </w:rPr>
        <w:t xml:space="preserve">Yazıcı, Serkan (2011). “Osmanlı’da Siyasi Muhalefetin Kurumsallaşma Süreci (1902-1909)”. </w:t>
      </w:r>
      <w:r w:rsidRPr="00545275">
        <w:rPr>
          <w:rFonts w:cs="Times New Roman"/>
          <w:i/>
        </w:rPr>
        <w:t>Sakarya Üniversitesi Sosyal Bilimler Enstitüsü Yayımlanmamış Doktora Tezi</w:t>
      </w:r>
      <w:r w:rsidRPr="00545275">
        <w:rPr>
          <w:rFonts w:cs="Times New Roman"/>
        </w:rPr>
        <w:t>. Sakarya.</w:t>
      </w:r>
    </w:p>
    <w:p w:rsidR="00545275" w:rsidRPr="00545275" w:rsidRDefault="00545275" w:rsidP="00545275">
      <w:pPr>
        <w:pStyle w:val="DipnotMetni"/>
        <w:spacing w:before="120" w:after="120" w:line="360" w:lineRule="auto"/>
        <w:jc w:val="both"/>
        <w:rPr>
          <w:rFonts w:ascii="Palatino Linotype" w:hAnsi="Palatino Linotype" w:cs="Times New Roman"/>
          <w:sz w:val="22"/>
          <w:szCs w:val="22"/>
        </w:rPr>
      </w:pPr>
    </w:p>
    <w:p w:rsidR="007F306F" w:rsidRPr="00545275" w:rsidRDefault="007F306F" w:rsidP="007F306F">
      <w:pPr>
        <w:spacing w:before="240"/>
        <w:rPr>
          <w:b/>
        </w:rPr>
      </w:pPr>
    </w:p>
    <w:p w:rsidR="008D39EF" w:rsidRPr="00545275" w:rsidRDefault="008D39EF" w:rsidP="008D39EF">
      <w:pPr>
        <w:spacing w:before="240"/>
      </w:pPr>
    </w:p>
    <w:p w:rsidR="008D39EF" w:rsidRPr="00545275" w:rsidRDefault="008D39EF" w:rsidP="008D39EF"/>
    <w:sectPr w:rsidR="008D39EF" w:rsidRPr="00545275" w:rsidSect="005C32FC">
      <w:headerReference w:type="default" r:id="rId7"/>
      <w:pgSz w:w="11906" w:h="16838"/>
      <w:pgMar w:top="1418" w:right="1418" w:bottom="1418" w:left="1418" w:header="850"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0D8A" w:rsidRDefault="00B10D8A" w:rsidP="005C32FC">
      <w:pPr>
        <w:spacing w:after="0"/>
      </w:pPr>
      <w:r>
        <w:separator/>
      </w:r>
    </w:p>
  </w:endnote>
  <w:endnote w:type="continuationSeparator" w:id="0">
    <w:p w:rsidR="00B10D8A" w:rsidRDefault="00B10D8A" w:rsidP="005C32F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0D8A" w:rsidRDefault="00B10D8A" w:rsidP="005C32FC">
      <w:pPr>
        <w:spacing w:after="0"/>
      </w:pPr>
      <w:r>
        <w:separator/>
      </w:r>
    </w:p>
  </w:footnote>
  <w:footnote w:type="continuationSeparator" w:id="0">
    <w:p w:rsidR="00B10D8A" w:rsidRDefault="00B10D8A" w:rsidP="005C32FC">
      <w:pPr>
        <w:spacing w:after="0"/>
      </w:pPr>
      <w:r>
        <w:continuationSeparator/>
      </w:r>
    </w:p>
  </w:footnote>
  <w:footnote w:id="1">
    <w:p w:rsidR="00545275" w:rsidRPr="00545275" w:rsidRDefault="00545275" w:rsidP="00545275">
      <w:pPr>
        <w:pStyle w:val="DipnotMetni"/>
        <w:jc w:val="both"/>
        <w:rPr>
          <w:rFonts w:ascii="Palatino Linotype" w:hAnsi="Palatino Linotype" w:cs="Times New Roman"/>
        </w:rPr>
      </w:pPr>
      <w:r w:rsidRPr="00545275">
        <w:rPr>
          <w:rStyle w:val="DipnotBavurusu"/>
          <w:rFonts w:ascii="Palatino Linotype" w:hAnsi="Palatino Linotype" w:cs="Times New Roman"/>
        </w:rPr>
        <w:sym w:font="Symbol" w:char="F02A"/>
      </w:r>
      <w:r w:rsidRPr="00545275">
        <w:rPr>
          <w:rFonts w:ascii="Palatino Linotype" w:hAnsi="Palatino Linotype" w:cs="Times New Roman"/>
        </w:rPr>
        <w:t xml:space="preserve"> Hacettepe Üniversitesi Sosyal Bilimler Enstitüsü Tarih Anabilim Dalı Doktora Öğrencisi. emregor1987@gmail.com</w:t>
      </w:r>
    </w:p>
  </w:footnote>
  <w:footnote w:id="2">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Bu ifadeye yer veren kaynaklar için bkz. </w:t>
      </w:r>
      <w:r w:rsidRPr="00545275">
        <w:rPr>
          <w:rFonts w:ascii="Palatino Linotype" w:hAnsi="Palatino Linotype" w:cs="Times New Roman"/>
          <w:i/>
          <w:sz w:val="18"/>
          <w:szCs w:val="18"/>
        </w:rPr>
        <w:t>Hafiyelerin Listesi</w:t>
      </w:r>
      <w:r w:rsidRPr="00545275">
        <w:rPr>
          <w:rFonts w:ascii="Palatino Linotype" w:hAnsi="Palatino Linotype" w:cs="Times New Roman"/>
          <w:sz w:val="18"/>
          <w:szCs w:val="18"/>
        </w:rPr>
        <w:t xml:space="preserve">, İstanbul, 1324 (1909), s. 4; Osman Nuri, </w:t>
      </w:r>
      <w:r w:rsidRPr="00545275">
        <w:rPr>
          <w:rFonts w:ascii="Palatino Linotype" w:hAnsi="Palatino Linotype" w:cs="Times New Roman"/>
          <w:i/>
          <w:sz w:val="18"/>
          <w:szCs w:val="18"/>
        </w:rPr>
        <w:t>Abdülhamid-i Sânî ve Devr-i Saltanatı, Hayat-ı Siyâsîye ve Husûsîyesi</w:t>
      </w:r>
      <w:r w:rsidRPr="00545275">
        <w:rPr>
          <w:rFonts w:ascii="Palatino Linotype" w:hAnsi="Palatino Linotype" w:cs="Times New Roman"/>
          <w:sz w:val="18"/>
          <w:szCs w:val="18"/>
        </w:rPr>
        <w:t xml:space="preserve">, Cilt II, Kitabhâne-i İslâm ve Askerî, İstanbul, 1327 (1911), s. 559-560; </w:t>
      </w:r>
      <w:r w:rsidRPr="00545275">
        <w:rPr>
          <w:rFonts w:ascii="Palatino Linotype" w:hAnsi="Palatino Linotype" w:cs="Times New Roman"/>
          <w:color w:val="000000" w:themeColor="text1"/>
          <w:sz w:val="18"/>
          <w:szCs w:val="18"/>
        </w:rPr>
        <w:t xml:space="preserve">Süleyman Kâni İrtem, </w:t>
      </w:r>
      <w:r w:rsidRPr="00545275">
        <w:rPr>
          <w:rFonts w:ascii="Palatino Linotype" w:hAnsi="Palatino Linotype" w:cs="Times New Roman"/>
          <w:i/>
          <w:color w:val="000000" w:themeColor="text1"/>
          <w:sz w:val="18"/>
          <w:szCs w:val="18"/>
        </w:rPr>
        <w:t>Abdülhamid Devrinde Hafiyelik ve Sansür</w:t>
      </w:r>
      <w:r w:rsidRPr="00545275">
        <w:rPr>
          <w:rFonts w:ascii="Palatino Linotype" w:hAnsi="Palatino Linotype" w:cs="Times New Roman"/>
          <w:color w:val="000000" w:themeColor="text1"/>
          <w:sz w:val="18"/>
          <w:szCs w:val="18"/>
        </w:rPr>
        <w:t>, Osman Selim Kocahanoğlu (Haz.), Temel Yayınları, İstanbul, 1999.</w:t>
      </w:r>
      <w:proofErr w:type="gramEnd"/>
    </w:p>
  </w:footnote>
  <w:footnote w:id="3">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Dönemle ilgili olarak modernleşme </w:t>
      </w:r>
      <w:proofErr w:type="gramStart"/>
      <w:r w:rsidRPr="00545275">
        <w:rPr>
          <w:rFonts w:ascii="Palatino Linotype" w:hAnsi="Palatino Linotype" w:cs="Times New Roman"/>
          <w:sz w:val="18"/>
          <w:szCs w:val="18"/>
        </w:rPr>
        <w:t>paradigmasını</w:t>
      </w:r>
      <w:proofErr w:type="gramEnd"/>
      <w:r w:rsidRPr="00545275">
        <w:rPr>
          <w:rFonts w:ascii="Palatino Linotype" w:hAnsi="Palatino Linotype" w:cs="Times New Roman"/>
          <w:sz w:val="18"/>
          <w:szCs w:val="18"/>
        </w:rPr>
        <w:t xml:space="preserve"> değerlendiren bir çalışma için bkz. Nadir Özbek, “Modernite, Tarih ve İdeoloji: II. Abdülhamid Dönemi Tarihçiliği Üzerine Bir Değerlendirme”, </w:t>
      </w:r>
      <w:r w:rsidRPr="00545275">
        <w:rPr>
          <w:rFonts w:ascii="Palatino Linotype" w:hAnsi="Palatino Linotype" w:cs="Times New Roman"/>
          <w:i/>
          <w:sz w:val="18"/>
          <w:szCs w:val="18"/>
        </w:rPr>
        <w:t>Türkiye Araştırmaları Literatür Dergisi</w:t>
      </w:r>
      <w:r w:rsidRPr="00545275">
        <w:rPr>
          <w:rFonts w:ascii="Palatino Linotype" w:hAnsi="Palatino Linotype" w:cs="Times New Roman"/>
          <w:sz w:val="18"/>
          <w:szCs w:val="18"/>
        </w:rPr>
        <w:t xml:space="preserve">, C. 2, S. 1, 2004, s. 71-90.  </w:t>
      </w:r>
    </w:p>
  </w:footnote>
  <w:footnote w:id="4">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Örneğin bkz. Gökhan Çetinsaya, “Abdülhamid’i Anlamak: 19. Yüzyıl Tarihçiliğine Bir Bakış”, </w:t>
      </w:r>
      <w:r w:rsidRPr="00545275">
        <w:rPr>
          <w:rFonts w:ascii="Palatino Linotype" w:hAnsi="Palatino Linotype" w:cs="Times New Roman"/>
          <w:i/>
          <w:sz w:val="18"/>
          <w:szCs w:val="18"/>
        </w:rPr>
        <w:t>Sosyal Bilimleri Yeniden Düşünmek: Sempozyum Bildirileri</w:t>
      </w:r>
      <w:r w:rsidRPr="00545275">
        <w:rPr>
          <w:rFonts w:ascii="Palatino Linotype" w:hAnsi="Palatino Linotype" w:cs="Times New Roman"/>
          <w:sz w:val="18"/>
          <w:szCs w:val="18"/>
        </w:rPr>
        <w:t xml:space="preserve">, Metis Yayınları, İstanbul, 1998; Gökhan Çetinsaya, “Çıban Başı Koparmamak: II. Abdülhamid Rejimine Yeniden Bakış”, </w:t>
      </w:r>
      <w:r w:rsidRPr="00545275">
        <w:rPr>
          <w:rFonts w:ascii="Palatino Linotype" w:hAnsi="Palatino Linotype" w:cs="Times New Roman"/>
          <w:i/>
          <w:sz w:val="18"/>
          <w:szCs w:val="18"/>
        </w:rPr>
        <w:t>Türkiye Günlüğü</w:t>
      </w:r>
      <w:r w:rsidRPr="00545275">
        <w:rPr>
          <w:rFonts w:ascii="Palatino Linotype" w:hAnsi="Palatino Linotype" w:cs="Times New Roman"/>
          <w:sz w:val="18"/>
          <w:szCs w:val="18"/>
        </w:rPr>
        <w:t xml:space="preserve">, S. 58, 1999; Engin Deniz Akarlı, “The Problems of External Pressures, Power Struggles and Solutions”, Princeton University Yayımlanmamış Doktora Tezi, New Jersey, 1976; Selim Deringil, “New Approaches to the Study of the Ottoman Nineteenth Century”, </w:t>
      </w:r>
      <w:r w:rsidRPr="00545275">
        <w:rPr>
          <w:rFonts w:ascii="Palatino Linotype" w:hAnsi="Palatino Linotype" w:cs="Times New Roman"/>
          <w:i/>
          <w:sz w:val="18"/>
          <w:szCs w:val="18"/>
        </w:rPr>
        <w:t xml:space="preserve">Abdullah Kuran İçin Yazılar, </w:t>
      </w:r>
      <w:r w:rsidRPr="00545275">
        <w:rPr>
          <w:rFonts w:ascii="Palatino Linotype" w:hAnsi="Palatino Linotype" w:cs="Times New Roman"/>
          <w:sz w:val="18"/>
          <w:szCs w:val="18"/>
        </w:rPr>
        <w:t xml:space="preserve">Çiğdem Kafesçioğlu ve Luciene Thys-Şenocak (Der.), Yapı Kredi Yayınları, İstanbul, 1999; Feroze Abdullah Khan Yasamee, </w:t>
      </w:r>
      <w:r w:rsidRPr="00545275">
        <w:rPr>
          <w:rFonts w:ascii="Palatino Linotype" w:hAnsi="Palatino Linotype" w:cs="Times New Roman"/>
          <w:i/>
          <w:sz w:val="18"/>
          <w:szCs w:val="18"/>
        </w:rPr>
        <w:t>Ottoman Diplomacy, Abdulhamid II and the Great Powers (1878-1888)</w:t>
      </w:r>
      <w:r w:rsidRPr="00545275">
        <w:rPr>
          <w:rFonts w:ascii="Palatino Linotype" w:hAnsi="Palatino Linotype" w:cs="Times New Roman"/>
          <w:sz w:val="18"/>
          <w:szCs w:val="18"/>
        </w:rPr>
        <w:t xml:space="preserve">, Isis Press, İstanbul, 1996; Feroze Abdullah Khan Yasamee, “Abdülhamid II and the Ottoman Defence Problem”, </w:t>
      </w:r>
      <w:r w:rsidRPr="00545275">
        <w:rPr>
          <w:rFonts w:ascii="Palatino Linotype" w:hAnsi="Palatino Linotype" w:cs="Times New Roman"/>
          <w:i/>
          <w:sz w:val="18"/>
          <w:szCs w:val="18"/>
        </w:rPr>
        <w:t>Diplomacy &amp; Statecraft</w:t>
      </w:r>
      <w:r w:rsidRPr="00545275">
        <w:rPr>
          <w:rFonts w:ascii="Palatino Linotype" w:hAnsi="Palatino Linotype" w:cs="Times New Roman"/>
          <w:sz w:val="18"/>
          <w:szCs w:val="18"/>
        </w:rPr>
        <w:t xml:space="preserve">, Vo. </w:t>
      </w:r>
      <w:proofErr w:type="gramEnd"/>
      <w:r w:rsidRPr="00545275">
        <w:rPr>
          <w:rFonts w:ascii="Palatino Linotype" w:hAnsi="Palatino Linotype" w:cs="Times New Roman"/>
          <w:sz w:val="18"/>
          <w:szCs w:val="18"/>
        </w:rPr>
        <w:t xml:space="preserve">4, Nr. </w:t>
      </w:r>
      <w:proofErr w:type="gramStart"/>
      <w:r w:rsidRPr="00545275">
        <w:rPr>
          <w:rFonts w:ascii="Palatino Linotype" w:hAnsi="Palatino Linotype" w:cs="Times New Roman"/>
          <w:sz w:val="18"/>
          <w:szCs w:val="18"/>
        </w:rPr>
        <w:t xml:space="preserve">1, Londra,1993; Abdülhamit Kırmızı, “Sultan II. Abdülhamid’in Kişiliğinde Süreklilik ve Kopuş”, </w:t>
      </w:r>
      <w:r w:rsidRPr="00545275">
        <w:rPr>
          <w:rFonts w:ascii="Palatino Linotype" w:hAnsi="Palatino Linotype" w:cs="Times New Roman"/>
          <w:i/>
          <w:sz w:val="18"/>
          <w:szCs w:val="18"/>
        </w:rPr>
        <w:t>Sultan II. Abdülhamid ve Dönemi</w:t>
      </w:r>
      <w:r w:rsidRPr="00545275">
        <w:rPr>
          <w:rFonts w:ascii="Palatino Linotype" w:hAnsi="Palatino Linotype" w:cs="Times New Roman"/>
          <w:sz w:val="18"/>
          <w:szCs w:val="18"/>
        </w:rPr>
        <w:t xml:space="preserve">, Coşkun Çakır (Edi.), Sultanbeyli Belediyesi Yayınları, İstanbul, 2012; Nadir Özbek, </w:t>
      </w:r>
      <w:r w:rsidRPr="00545275">
        <w:rPr>
          <w:rFonts w:ascii="Palatino Linotype" w:hAnsi="Palatino Linotype" w:cs="Times New Roman"/>
          <w:i/>
          <w:sz w:val="18"/>
          <w:szCs w:val="18"/>
        </w:rPr>
        <w:t>Osmanlı İmparatorluğu’nda Sosyal Devlet, Siyaset, İktidar ve Meşruiyet (1876-1914)</w:t>
      </w:r>
      <w:r w:rsidRPr="00545275">
        <w:rPr>
          <w:rFonts w:ascii="Palatino Linotype" w:hAnsi="Palatino Linotype" w:cs="Times New Roman"/>
          <w:sz w:val="18"/>
          <w:szCs w:val="18"/>
        </w:rPr>
        <w:t xml:space="preserve">, İletişim Yayınları, İstanbul, 2013; François Georgeon, </w:t>
      </w:r>
      <w:r w:rsidRPr="00545275">
        <w:rPr>
          <w:rFonts w:ascii="Palatino Linotype" w:hAnsi="Palatino Linotype" w:cs="Times New Roman"/>
          <w:i/>
          <w:sz w:val="18"/>
          <w:szCs w:val="18"/>
        </w:rPr>
        <w:t>Sultan Abdülhamid</w:t>
      </w:r>
      <w:r w:rsidRPr="00545275">
        <w:rPr>
          <w:rFonts w:ascii="Palatino Linotype" w:hAnsi="Palatino Linotype" w:cs="Times New Roman"/>
          <w:sz w:val="18"/>
          <w:szCs w:val="18"/>
        </w:rPr>
        <w:t>, Ali Berktay (Çev.), İletişim Yayınları, İstanbul, 2012.</w:t>
      </w:r>
      <w:proofErr w:type="gramEnd"/>
    </w:p>
  </w:footnote>
  <w:footnote w:id="5">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Jurnallerin yakılmasıyla ilgili en dikkat çekici yorum, raporların tasnifi amacıyla oluşturulan Evrak Tetkik Komisyonu’nda görevli Asaf Tuğay’dan gelmiştir: “Yıldız’dan alınan arabalar dolusu evrakın tasnifi işinin, o zaman bir heyete nasıl bir itina ve kayıtlarla tevdî edildiği düşünülürse, netice ile aradaki tezatın, yani jurnallerin yakılmasının elbette bir sebebi olacağına hükmetmek lazımdır. </w:t>
      </w:r>
      <w:proofErr w:type="gramEnd"/>
      <w:r w:rsidRPr="00545275">
        <w:rPr>
          <w:rFonts w:ascii="Palatino Linotype" w:hAnsi="Palatino Linotype" w:cs="Times New Roman"/>
          <w:sz w:val="18"/>
          <w:szCs w:val="18"/>
        </w:rPr>
        <w:t xml:space="preserve">Tetkik ve tasnifine bu kadar ehemmiyet verilen evrakın, nihayet Harbiye Nezareti meydanında bir kibrit alevine kurban edilivermesi çok kişiyi sevindirdiği gibi, çok kişiyi de hayrete düşürmüş, öfkelendirmiştir.”; bkz. Asaf Tuğay, </w:t>
      </w:r>
      <w:r w:rsidRPr="00545275">
        <w:rPr>
          <w:rFonts w:ascii="Palatino Linotype" w:hAnsi="Palatino Linotype" w:cs="Times New Roman"/>
          <w:i/>
          <w:sz w:val="18"/>
          <w:szCs w:val="18"/>
        </w:rPr>
        <w:t>İbret-Abdülhamid’e Verilen Jurnaller ve Jurnalciler</w:t>
      </w:r>
      <w:r w:rsidRPr="00545275">
        <w:rPr>
          <w:rFonts w:ascii="Palatino Linotype" w:hAnsi="Palatino Linotype" w:cs="Times New Roman"/>
          <w:sz w:val="18"/>
          <w:szCs w:val="18"/>
        </w:rPr>
        <w:t>, Okat Yayınevi, İstanbul, 1935, s. 17.</w:t>
      </w:r>
    </w:p>
  </w:footnote>
  <w:footnote w:id="6">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Kabaca bir hesapla mevcut jurnallerin %90’ına yakınının bu türden jurnaller olduğu söylenebilir. </w:t>
      </w:r>
    </w:p>
  </w:footnote>
  <w:footnote w:id="7">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Gerçekleşmiş, meydana gelmiş olay anlamında. </w:t>
      </w:r>
    </w:p>
  </w:footnote>
  <w:footnote w:id="8">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Asaf Tuğay, </w:t>
      </w:r>
      <w:r w:rsidRPr="00545275">
        <w:rPr>
          <w:rFonts w:ascii="Palatino Linotype" w:hAnsi="Palatino Linotype" w:cs="Times New Roman"/>
          <w:i/>
          <w:sz w:val="18"/>
          <w:szCs w:val="18"/>
        </w:rPr>
        <w:t>İbret-Abdülhamid’e Verilen Jurnaller ve Jurnalciler</w:t>
      </w:r>
      <w:r w:rsidRPr="00545275">
        <w:rPr>
          <w:rFonts w:ascii="Palatino Linotype" w:hAnsi="Palatino Linotype" w:cs="Times New Roman"/>
          <w:sz w:val="18"/>
          <w:szCs w:val="18"/>
        </w:rPr>
        <w:t>, Okat Yayınevi, İstanbul, 1935.</w:t>
      </w:r>
    </w:p>
  </w:footnote>
  <w:footnote w:id="9">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“Paris’te Rıza’nın neşr ettiği Meşveret nâm varaka-i fesâdın Fransızcasını yazması için Agakyan’ı telgrafla çağırdığı, yakında her ikisinin Lahey’e gidip nutuklar söyleyeceklerini, konferanslar vereceklerini arz…”; Tuğay,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 26.</w:t>
      </w:r>
    </w:p>
  </w:footnote>
  <w:footnote w:id="10">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“Hasan, Ahmed, Mehmed Paşaların Şükrü Paşa’nın odasında ictimâ ettikleri, fakat esbâbı anlaşılamadığını arz…”; Tuğay, </w:t>
      </w:r>
      <w:r w:rsidRPr="00545275">
        <w:rPr>
          <w:rFonts w:ascii="Palatino Linotype" w:hAnsi="Palatino Linotype" w:cs="Times New Roman"/>
          <w:i/>
          <w:sz w:val="18"/>
          <w:szCs w:val="18"/>
        </w:rPr>
        <w:t xml:space="preserve">a.g.e. </w:t>
      </w:r>
      <w:r w:rsidRPr="00545275">
        <w:rPr>
          <w:rFonts w:ascii="Palatino Linotype" w:hAnsi="Palatino Linotype" w:cs="Times New Roman"/>
          <w:sz w:val="18"/>
          <w:szCs w:val="18"/>
        </w:rPr>
        <w:t xml:space="preserve">, s. 27. </w:t>
      </w:r>
    </w:p>
  </w:footnote>
  <w:footnote w:id="11">
    <w:p w:rsidR="00545275" w:rsidRPr="00545275" w:rsidRDefault="00545275" w:rsidP="00545275">
      <w:pPr>
        <w:pStyle w:val="DipnotMetni"/>
        <w:jc w:val="both"/>
        <w:rPr>
          <w:rFonts w:ascii="Palatino Linotype" w:hAnsi="Palatino Linotype" w:cs="Times New Roman"/>
          <w:b/>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“Gayet mevsûk bir menba’dan teraşşuh eden ma’lûmâta nazaran Avrupa’ya savuşmuş olan Mahmud Paşa ile İsmail Kemal Bey ve sâir hazelenin cümlesi hiçbir yerde fesadlarını yürütmeye muvaffak olamayacaklarını anlamış ve ne yapacaklarını ve ne ile idâre olacaklarını bilemeyerek şaşırmış olup hatta çend gün akdem Ebuzziya Tevfik Bey’in Konya Reji Nazırı’nı görüp İngiltere’nin Çin ve Transıval meseleleri ile meşgûl olduğu sırada kimseye muâvenet etmek ihtimâli olmadığını tezâhür eylediğini hikâye eylemiştir (…) </w:t>
      </w:r>
      <w:proofErr w:type="gramEnd"/>
      <w:r w:rsidRPr="00545275">
        <w:rPr>
          <w:rFonts w:ascii="Palatino Linotype" w:hAnsi="Palatino Linotype" w:cs="Times New Roman"/>
          <w:sz w:val="18"/>
          <w:szCs w:val="18"/>
        </w:rPr>
        <w:t xml:space="preserve">Bununla beraber İstanbul’da buhrândan istifâde ile izhâr-ı husûmete sai bazı adamlar mevcûd olduğundan eşhâs-ı rezîley-i merkûmenin tâkîbâtı harakât ve ma’neviyât-ı fârizeye-i zimmet-i sadâkâtdandır. Konya Vilayeti’nde mefâsid-i ecnebiyeye kulak asacak kimse olmadığı ve bir müddettir Çelebi Efendi dahi hânesine çekilerek bir nev’ ihtirâz âsârı gösterdiği hâlde yine hakkında tarassuddan geri durulduğu yoktur (…) arzı ile te’min-i lâzımeyi sadâkât ederim. Herhalde emru fermân hazret-i menlekü’l-emrindir. Konya Valisi kulları Mehmed Ferid- 19 Haziran 1316”; Tuğay,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 77-78.        </w:t>
      </w:r>
    </w:p>
  </w:footnote>
  <w:footnote w:id="12">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“Mektep muallimliklerine genç zâbitlerin tayin edildiklerini, tevzi-i mükâfatlar dolayısıyla ictimâlar vukû’ bulduğunu arz…”; Tuğay,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 29.</w:t>
      </w:r>
    </w:p>
  </w:footnote>
  <w:footnote w:id="13">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 ‘Reşad ve Kemal Efendiler, her ikisi müştereken benim teşebbüs edeceğim harekâtı tasvip edeceklerine dair müştereken bana bir senet verirlerse derhal İngiltere’ye kaçar ve bu mülkü zât-ı şâhânenin zulmünden tahlis için her ne yapılmak lâzım gelirse yaparım’ diye Mecid Efendi’nin söylediği her sûrette ispat olunur (…) Mecid Efendi’nin zât-ı şâhâne hakkında ‘bu mülkü tahrip ediyor, devlet mahvoluyor. Hânedân-ı Osmânî ise bu hâle karşı sükût ediyor. Ah ben büyüklerimden muavenet görsem devleti zât-ı şâhânenin zulmünden tahlis için canımı feda ederim (…)’ diye söylediği her sûrette ispat olunur (…) Yazdığım şeylerin cümlesini hin-i iktizâda Mecid Efendi’nin muvacehesinde ispata muktedir olduğumu beyan ederim, 9 Mart 1316 Yusuf İzzeddin.”; Tuğay,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 34.  </w:t>
      </w:r>
    </w:p>
  </w:footnote>
  <w:footnote w:id="14">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“Devlet-i Aliyye’nin Manchester Şehbenderi’nin bu kerre infisâli vukû’ bulmuş ve şehr-i mezkûrdaki Ermeni komitelerinin hâl ve hareketlerine nezâret edilmesi lüzumu derkâr bulunmuş olmasına mebnî (…) mikdâr-ı mezkûrda maaş ile Manchester Şehbenderliği’nin ilâve-i me’mûriyet-i çâkeri buyrulması istirhamında bulunduğumun hak-pây-i şevket ihtivây-ı hazret-i şehriyârîye arzı hususuna (…) her hâlde emr-ü fermân…”; Tuğay,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 35.  </w:t>
      </w:r>
      <w:proofErr w:type="gramEnd"/>
    </w:p>
  </w:footnote>
  <w:footnote w:id="15">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“Ahvâl-i vücûdiyem ilcâsıyla ve afv-ı ihlâs âşinây-ı devletlerine istinâden muvakkaten Fransa’da bulunduğum mâ’lûm-ı devletleridir. Dünkü gün Selanik’te dehşet-endâz olan hâdisenin vukû’bulacağını takriben bundan bir buçuk ay evvel hasbe’l-ihlâs huzûr-ı devletlerine arzettiğim muhârrerât-ı kem-terânemde tehmid ve ihbâr eylemiştim. Aynı ihlâs-ı ubûdiyyetin ve makâm-ı celil-i hilâfete olan merbûdiyetimin ilcâsıyla Selanik’te vâki’ olan hâilenin aynen Dersaadet’te de vâki olacağını ve şahs-ı hazret-i padişâhın tehlikeye düşürüleceğini kemâl-i safvet ve teessüfle arz ederim. Ol bâda emr- fermân hazret-i menlekü’l-emrindir. Kulları Dr. Abdullah Cevdet, 2 Mayıs 1903.”; Tuğay,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 189. Abdullah Cevdet’e ait arzların asıllarını tetkik eden Asaf Tuğay, Abdullah Cevdet’le ilgili şu yorumu yapmaktan kendini alamaz: “(…) Dinsizliği ile maruf olan bu zatın, padişaha yazdığı istirhamnamede kullandığı tabirlerdeki riyakârlığa, hilafetten bahsetmesine ne demeli? Bunlar Avrupa’ya ne diye kaçmışlar, sonra bu derece riyakârlığa neden lüzum görmüşler? Ellerinde doktorluk gibi bir sanatları olduğu halde, hastabakıcılığı gibi bir işe dahi katlanamayarak dilenmişler, durmuşlar. Sonra vatanperver, hamiyetperver, fedakâr kahraman olarak ortaya çıkmışlar. Ne madrabazlıktır bu (…)”; bkz. Tuğay,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 188.         </w:t>
      </w:r>
    </w:p>
  </w:footnote>
  <w:footnote w:id="16">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“Sergiye gitmek bahanesiyle bu hafta Tabip Rıfat, Mehmed ve Aziz Efendilerin azîmet ettiklerini, maksad temâşâ olmayıp Avrupa’daki erbâb-ı fesâda iltihâk olduğunu…”; “Avrupa’da neşr olunan ve ahâlînin fikrini ifsâd edecek makâlâtı hâvî gazeteler Selanik’te umumî kahvehânelerde serbestçe kıraat edilmekte bulunduğu hâlde Polis Dairesince katiyen men’ine teşebbüs edilmemekte olduğu reyel-ayn müşâhede olunmaktadır. </w:t>
      </w:r>
      <w:proofErr w:type="gramEnd"/>
      <w:r w:rsidRPr="00545275">
        <w:rPr>
          <w:rFonts w:ascii="Palatino Linotype" w:hAnsi="Palatino Linotype" w:cs="Times New Roman"/>
          <w:sz w:val="18"/>
          <w:szCs w:val="18"/>
        </w:rPr>
        <w:t xml:space="preserve">Ezcümle dünkü gün Paris’te neşr olunan Maten Gazetesi’nde Fransevü’l-ibâre Sultan Mecid hafîdleri tarafından ahâlî-i Osmâniyye’ye bir davet serlevhâsı altında ahâlîyi ihtilâle davet ve kaal alınamayacak hilâf-ı ubûdiyyet birçok hezeyânı hâvî bir makale Selanik’in Orfeon kıraathânesinde hayli eşhâs tarafından kıraat edilmekte olduğu görülmüştür. Ahvâl-i mezkûrenin devamı mahzurdan sâlim olmadığı mülâhazasıyla hasbe’l-sadâka arz-ı keyfiyete ictisâr kılındı…”; Tuğay,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 39-40. Emanuel Karasso’nun jurnalleriyle ilgili ayrıca bkz. Necmettin Alkan, “Emanuel Karasu ve II. Abdülhamid”, </w:t>
      </w:r>
      <w:r w:rsidRPr="00545275">
        <w:rPr>
          <w:rFonts w:ascii="Palatino Linotype" w:hAnsi="Palatino Linotype" w:cs="Times New Roman"/>
          <w:i/>
          <w:sz w:val="18"/>
          <w:szCs w:val="18"/>
        </w:rPr>
        <w:t>Atatürk Üniversitesi Sosyal Bilimler Enstitüsü Dergisi</w:t>
      </w:r>
      <w:r w:rsidRPr="00545275">
        <w:rPr>
          <w:rFonts w:ascii="Palatino Linotype" w:hAnsi="Palatino Linotype" w:cs="Times New Roman"/>
          <w:sz w:val="18"/>
          <w:szCs w:val="18"/>
        </w:rPr>
        <w:t xml:space="preserve">, C. II, S. 1, 2008, s. 179-195.     </w:t>
      </w:r>
    </w:p>
  </w:footnote>
  <w:footnote w:id="17">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Mehmed Neşet Efendi Anadolu Kazaskerlerinden Ahmed Reşid Efendi’nin oğludur. 1845 yılında İstanbul’da doğan Neşet Efendi dava vekilliği (avukatlık) ve çeşitli mahkemelerde kadılık görevlerinde bulunmuş, 1891-1893 yılları arasında Yıldız Sarayı’na bağlı istihbarat elemanı olarak çalışmıştır. Jurnal tahkik raporlarında unvanı “Musâhib-i Şehriyârîden Lütfi Ağa’nın mensûbîni” olarak geçer. Ayrıca ilk Türk avukat olarak bilinir.</w:t>
      </w:r>
    </w:p>
  </w:footnote>
  <w:footnote w:id="18">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Mehmed Neşet Efendi, </w:t>
      </w:r>
      <w:r w:rsidRPr="00545275">
        <w:rPr>
          <w:rFonts w:ascii="Palatino Linotype" w:hAnsi="Palatino Linotype" w:cs="Times New Roman"/>
          <w:i/>
          <w:sz w:val="18"/>
          <w:szCs w:val="18"/>
        </w:rPr>
        <w:t>Jurnallerin Tahkik Raporları</w:t>
      </w:r>
      <w:r w:rsidRPr="00545275">
        <w:rPr>
          <w:rFonts w:ascii="Palatino Linotype" w:hAnsi="Palatino Linotype" w:cs="Times New Roman"/>
          <w:sz w:val="18"/>
          <w:szCs w:val="18"/>
        </w:rPr>
        <w:t xml:space="preserve">, Raşit Gündoğdu-Kemal Erkan-Ahmet Temiz </w:t>
      </w:r>
      <w:proofErr w:type="gramStart"/>
      <w:r w:rsidRPr="00545275">
        <w:rPr>
          <w:rFonts w:ascii="Palatino Linotype" w:hAnsi="Palatino Linotype" w:cs="Times New Roman"/>
          <w:sz w:val="18"/>
          <w:szCs w:val="18"/>
        </w:rPr>
        <w:t>(</w:t>
      </w:r>
      <w:proofErr w:type="gramEnd"/>
      <w:r w:rsidRPr="00545275">
        <w:rPr>
          <w:rFonts w:ascii="Palatino Linotype" w:hAnsi="Palatino Linotype" w:cs="Times New Roman"/>
          <w:sz w:val="18"/>
          <w:szCs w:val="18"/>
        </w:rPr>
        <w:t>Yay. Haz.), Çamlıca Basın-Yayın, İstanbul, 2008.</w:t>
      </w:r>
    </w:p>
  </w:footnote>
  <w:footnote w:id="19">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Örneğin bkz. “Ermeni ifsâdâtı hakkında icrâ-yı tahkîkât husûsunu taraf-ı ubeydâneme dahi emr ü havâle buyurmaları üzerine bu bâbda icrâ-yı tahkîkât olunmasını emniyet-i kem-terânemi celb etmiş olan Dava Vekîli Pandikyan Efendi’ye tevdî’ etmiş idim (…)”;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“Ermeni ifsâdâtı hakkında tahkîkât-ı vâkı’anın ve Âtıf Bey’in bu iş hakkındaki jurnalinin kaydı”, 221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 Temmuz 1307 (13 Temmuz 1891); “Mensûbîn-i ubeydânemden Celal Efendi kulları tarafından savb-ı kem-terâneme irsâl kılınan bir kıt’a tezkire ile diğer bir kıt’a Sabah Gazetesi nüshasının mütâlaasından karîn-i ilm-i âlî-i hazret-i hilâfet-penâhîleri buyrulacağı vechile mezkûr gazete tarafından isti’mâl edilen terkîbin nezd-i diyânet-vefd-i hazret-i zıllulâhîlerinde kat’iyyen kabûl ve tecvîz buyrulmayacağı bedîhî ve âşikâr idiğinden mücerred manzûr-ı dakâyık-neşûr-ı hazret-i zillullâhîleri buyrulmak üzere (…) aynen arz ve takdîmine hasbe’l-ubûdiyye cür’et eylerim, fermân…”;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“Sabah Gazetesi’nin zât-ı akdes-i hilâfet-penâhî hakkında olan i’lânâtının bazı terkîbâtına hocalar tarafından itirâz edildiğine dâir arz kaydı”, 437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4 Ağustos 1308 (16 Ağustos 1892); “Asâkir-i şâhâneleri alay müftülerinden biri Fatih Câmi-i Şerîfi’nde ikindi namazından sonra îfâ-yı vaaz zımnında mihrâb önünde rahle başına geçerek ifsâd-ı efkâr-ı ahâlîye müteallik birtakım tefevvühâtta bulunmayı i’tiyâd etmiş (…) ve mensûbîn-i ubeydânemden Celaleddin Bey kulları tarafından dahi i’tâ kılınan bir kıt’a jurnal meâli bunu müeyyid bulunmuş olduğundan berây-ı ma’lûmât keyfiyetin arzına ve manzûr-ı dakâyık-neşûr-ı hazret-i hilâfet-penâhîleri buyrulmak üzere mezkûr jurnalin aynen ve leffen takdîmine hasbe’l-ubûdiyye cür’et eylerim, fermân…”;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“Fatih Câmi-i Şerîfi’nde vaaz eden Alay Müftüsü Mehmed Efendi’nin sadet hâricinde ve esnâ-yı vaazda idâre-i kelâm etmekte olduğuna dâir arz kaydı”, 360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24 Mart 1308 (5 Nisan 1892).    </w:t>
      </w:r>
    </w:p>
  </w:footnote>
  <w:footnote w:id="20">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Örneğin bkz. “Şeref-sâdır olup Lütfi Ağa kulları vâsıtasıyla teblîğ buyrulan irâde-i seniyye-i cenâb-ı zillullâhîleri hükm-i münîfine imtisâlen dünkü Salı günü mensûbîn-i ubeydânemin kâffesini Köprübaşı’ndan Topkapı Saray-ı hümâyûnları kapısına kadar mevâki-i münâsibeye ikâme eyledim. </w:t>
      </w:r>
      <w:proofErr w:type="gramStart"/>
      <w:r w:rsidRPr="00545275">
        <w:rPr>
          <w:rFonts w:ascii="Palatino Linotype" w:hAnsi="Palatino Linotype" w:cs="Times New Roman"/>
          <w:sz w:val="18"/>
          <w:szCs w:val="18"/>
        </w:rPr>
        <w:t xml:space="preserve">Hamden sümme-hamden güzergâh-ı füyûzât-iktinâh-ı cenâb-ı hilâfet-penâhîlerinin her iki cânibini lebâ-leb ihâta etmiş olan ahâlî ve teb’a-i sâdıka kulları arasında şân-ı ubûdiyyet ve hüsn-i musâdakata nakîsa getirir zerre kadar bir tavr ve hareket vukû’a gelmemiş ve lisân-ı havass u avâm duâ-yı efzûnî-i ömr ü ikbâl ve tevâfür-i âfiyet ü iclâl-i gîtî-sitânîleriyle tezyîn olunduktan başka her ferd-i âferîde müşâhede-i likâ-yı kudsiyyet-ihtivâ-yı mülûkânelerinden mütehassıl-ı şevk-i câvîd ve ma’nevî te’sîrâtıyla civârında îstâde-i mevki’-i ta’zîm bulunan birçok ecnebî seyyâhlar umûm Osmanlıların hükümdâr-ı zîşân ve metbû’-ı müfahham-ı ma’alî-unvânları hakkında ibrâz eyledikleri âsâr-ı hürmet ve ubûdiyyeti nazar-ı ibretle gördükleri müşâhede kılınmış olduğundan berây-ı ma’lûmât hasbe’l-ubûdiyye arz-ı keyfiyete cür’et eylerim, fermân…”; Kırımî-zâde… </w:t>
      </w:r>
      <w:proofErr w:type="gramEnd"/>
      <w:r w:rsidRPr="00545275">
        <w:rPr>
          <w:rFonts w:ascii="Palatino Linotype" w:hAnsi="Palatino Linotype" w:cs="Times New Roman"/>
          <w:sz w:val="18"/>
          <w:szCs w:val="18"/>
        </w:rPr>
        <w:t xml:space="preserve">,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“Hırka-i Şerîf ziyâreti için İstanbul’a teşrîf-i hümâyûn olacağından İstanbul cihetinin nazar-ı teftîşte bulundurulması için sâdır olan irâde-i hümâyûn üzerine vukû’ bulan arz kaydı”, 365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 Nisan 1308 (13 Nisan 1892); “Maiyyet-i ubeydâneme iki kimse alarak Fâtih Câmi-i Şerîfi ve civârında meskûn talebe-i ulûmun mikdâr-ı sahîhinin tahkîk ve geçen seneye nisbeten bu sene ne mikdâr fazla olduğunun tedkîkiyle jurnalinin bu akşam hâk-pây-ı merâhim ihtivâ-yı hazret-i hilâfet penâhîlerine arz olunması hakkında şeref-sâdır olan irâde-i seniyye-i hazret-i zıllullâhîlerini dün gece Lütfi Ağa kulları teblîğ etmesiyle hükm-i celîl-i irâde-i seniyye-i hilâfet-penâhîlerine imtisâlen gece saat üç raddelerinde hâne-i ubeydânem civârında hânesi olan ve her sûretle asdâk-ı bendegân-ı hazret-i hilâfet-penâhîlerinden olduğuna emniyetim bulunan Mekteb-i Nüvvâb İnşâ Muallimi Ali Vasfi ve merhûm Hoca Nasuh Efendi’nin küçük mahdûmu Mustafa Asım Efendileri celb ve tefhîm-i keyfiyet eyledim. Mûmâ-ileyhimâ kullarının bugün saat on raddelerine kadar icrâ eyledikleri tedkîkât hulâsası olarak tanzîm eyledikleri bir kıt’a tahkîkât varakası manzûr-ı dakâyık-ı neşûr-ı hazret-i hilâfet-penâhîleri buyrulmak üzere leffen arz ve takdîm kılındı.”;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“Talebenin ale’t-tahmîn tahkîk-i mikdârına dâir arz kaydı”, 460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5 Eylül 1308 (17 Eylül 1892).                 </w:t>
      </w:r>
    </w:p>
  </w:footnote>
  <w:footnote w:id="21">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Örneğin bkz. “Rum Patriği intihâbına müteallik olarak esbak Mâliye müfettişlerinden Savaromi Efendi kulları cânibinden bi’t-tahrîr taraf-ı ubeydâneme irsâl kılınan bir kıt’a tezkire mündericâtı mühim ve şâyân-ı nazar-ı dikkat bulunmakla manzûr-ı dakâyık-neşûr-ı hilâfet-penâhîleri buyrulmak üzere tezkire-i ma’rûzanın leffen ve aynen atebe-i felek-mertebe-i hazret-i zillullâhîlerine arz ve takdîmine cür’et eylerim, fermân…”; Kırımî-zâde… </w:t>
      </w:r>
      <w:proofErr w:type="gramEnd"/>
      <w:r w:rsidRPr="00545275">
        <w:rPr>
          <w:rFonts w:ascii="Palatino Linotype" w:hAnsi="Palatino Linotype" w:cs="Times New Roman"/>
          <w:sz w:val="18"/>
          <w:szCs w:val="18"/>
        </w:rPr>
        <w:t xml:space="preserve">,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“Rum Patriği intihâbına müteallik esbak Mâliye müfettişlerinden Savaromi Efendi’nin gönderdiği tezkiresinin Lütfi Ağa’ya verilen arz kaydı”, 287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17 Teşrînievvel 1307 (29 Ekim 1891); “Liman İdâresi Başkâtibi Abdüllatif ve Reis Muâvini Binbaşı Tahsin Efendiler kullarından bu sabah almış olduğum bir kıt’a varaka-i ihbâriyye manzûr-ı dakâyık-neşûr-ı hazret-i zillullâhîleri buyrulmak üzere atebe-i felek-mertebe-i hazret-i hilâfet-penâhîlerine aynen arz ve takdîmine hasbe’ı-ubûdiyye cür’et eylerim, fermân…”;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“Liman Dâiresi Başkâtibi Abdüllatif ve Reis Muâvini Tahsin Kapudan taraflarından gönderilen tezkirenin Lütfi Ağa’ya verilen arz kaydı”, 439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4 Ağustos 1308 (16 Ağustos 1892).        </w:t>
      </w:r>
    </w:p>
  </w:footnote>
  <w:footnote w:id="22">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Mesela bkz. “(…) Edirne Vilâyeti’nde bulunan eşkıyânın ta’kîbi me’mûriyetine ta’yîn ve i’zâmı için üç defa irâde-i seniyye-i hazret-i hilâfet-penâhîleri şeref-sudûr ve sünûh buyrulmuş ise de (…)”;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“Jandarma Miralaylığına memur olan Tevfik Bey tarafından verilen ihbânâmenin arzına dair”, 276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30 Eylül 1307 (12 Ekim 1891)</w:t>
      </w:r>
    </w:p>
  </w:footnote>
  <w:footnote w:id="23">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Mesela bkz.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“Beykoz’da ehemmiyetli bir ictimâ’ vukû’una dâir tahkik-i keyfiyyet olunmasına mütedâir sâdır olan irâde-i seniyyeye cevâben arz kaydı”, 563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5 Temmuz 1309 (17 Temmuz 1893).      </w:t>
      </w:r>
    </w:p>
  </w:footnote>
  <w:footnote w:id="24">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“Hırka-i Şerîf ziyâreti için İstanbul’a teşrîf-i hümâyûn olacağından İstanbul cihetinin nazar-ı teftîşte bulundurulması için sâdır olan irâde-i hümâyûn üzerine vukû’ bulan arz kaydı”, 365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1 Nisan 1308 (13 Nisan 1892).</w:t>
      </w:r>
    </w:p>
  </w:footnote>
  <w:footnote w:id="25">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“Üsküdar’da İhsaniye ve Salacak iskeleleri açıklarında İngiliz vapurlarının müddet-i ârâmlarında tarassut altında bulundurulması hakkında arz kaydı”, 458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4 Eylül 1308 (16 Eylül 1892).</w:t>
      </w:r>
    </w:p>
  </w:footnote>
  <w:footnote w:id="26">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“Su Nezâreti Kâtibi Rıfat Efendi’nin varaka-i ihbâriyyesi[nin] leffen erz olunduğuna dâir kayıt”, 410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29 Haziran 1308 (11 Temmuz 1892);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“Su Kumpanyasının yolları harâb etmek fikrinde olduğu ve me’mûrîn-i mevcûdeyi dahi bu fikr-i mezmûma meylettirdiği hakkında arz kaydı”, 540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15 Nisan 1309 (27 Nisan 1893).</w:t>
      </w:r>
    </w:p>
  </w:footnote>
  <w:footnote w:id="27">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“Beykoz’da mahall-i muayyende define olduğu hakkında ihbârnâme arzı”, 575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22 Temmuz 1309 (3 Ağustos 1893).</w:t>
      </w:r>
    </w:p>
  </w:footnote>
  <w:footnote w:id="28">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“Bakır Karyesi ile Adalar’da tâife-i nisvân-ı İslâmiyye’nin âdâb-ı İslâmiyye hâricinde vukû’ bulan ahvâl ve harekâtına dâir arz kaydı”, 394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2 Haziran 1308 (14 Haziran 1892).</w:t>
      </w:r>
    </w:p>
  </w:footnote>
  <w:footnote w:id="29">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“Hidiv-i Mısır Abbas Hilmi Paşa’nın İstanbul’a azîmetinde beyne’l-halk cereyân-ı havâdise dâir arz kaydı”, 558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30 Haziran 1309 (12 Temmuz 1893).</w:t>
      </w:r>
    </w:p>
  </w:footnote>
  <w:footnote w:id="30">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“Yemen’de çıkan kolera hastalığının hacca giden Yemenli hacılardan Mekke-i Mükerreme’ye sirâyet ettiğine ve bu hastalığı Mekke Valisi’nin saklayıp haber vermediğine dâir arz kaydı”, 553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29 Mayıs 1309 (10 Haziran 1893).</w:t>
      </w:r>
    </w:p>
  </w:footnote>
  <w:footnote w:id="31">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Örneğin İstanbul medreselerine Anadolu ve Rumeli’den gelen talebelerin, medreselerdeki doluluk sebebiyle kalacak yer bulamadıkları kaydedilen bir jurnal raporunda, talebelerin bu durumu, Bâb-ı Fetva’nın üzerine düşeni yapmamasıyla ilişkilendirilerek, “sadakate münâfî (saltanata bağlılığa zıt)” bir hareket olarak algılanmıştır; bkz.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“Talebenin odaları ellerinden alınarak gayr-ı müstahik olanlara i’tâ edilmesi usûl ittihâz kılındığı hakkında arz kaydı”, 578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13 Ağustos 1309 (25 Ağustos 1893). </w:t>
      </w:r>
    </w:p>
  </w:footnote>
  <w:footnote w:id="32">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Bu bağlılığın çeşitli boyutlarını arz kayıtlarında görmek mümkündür. </w:t>
      </w:r>
      <w:proofErr w:type="gramStart"/>
      <w:r w:rsidRPr="00545275">
        <w:rPr>
          <w:rFonts w:ascii="Palatino Linotype" w:hAnsi="Palatino Linotype" w:cs="Times New Roman"/>
          <w:sz w:val="18"/>
          <w:szCs w:val="18"/>
        </w:rPr>
        <w:t xml:space="preserve">Örneğin Yunan Hudut Kumandanlığı Vekili Muhlis Paşa’nın 19 Temmuz 1908 tarihli bir telgrafı, bu “bağlılığın” son noktası olsa gerek: “Kafkasya’dan kimsesiz ve yalın ayak gelerek, sâye-i hilâfet-penâhî-i âzamîde bu rütbeye i’tilâ ve bu me’mûriyete tâyin buyrulmakla beraber selâmet-i encâm hazret-i hilâfet-penâhîleriyle de taltîf ve tesrir buyrulmaklığım üzerine şevketli, merhametli velî ni’met-i minnetimiz efendimiz hazretlerinin uğur-ı meyâmen mevfûr cenâb-ı akdes-i âzamîde son damla kanımın isâlesini ağlayarak Hazret-i Hak’tan temenni eylediğim ma’rûzdur, fermân… </w:t>
      </w:r>
      <w:proofErr w:type="gramEnd"/>
      <w:r w:rsidRPr="00545275">
        <w:rPr>
          <w:rFonts w:ascii="Palatino Linotype" w:hAnsi="Palatino Linotype" w:cs="Times New Roman"/>
          <w:sz w:val="18"/>
          <w:szCs w:val="18"/>
        </w:rPr>
        <w:t xml:space="preserve">(Hudûd-ı Yunaniye Kumandanlığı Vekîli Ferik Muhlis Paşa, Şifre 3144, 6 Temmuz 1324)”; Tuğay,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 28. </w:t>
      </w:r>
    </w:p>
  </w:footnote>
  <w:footnote w:id="33">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Bkz. İbrahim Hakkı Paşa, </w:t>
      </w:r>
      <w:r w:rsidRPr="00545275">
        <w:rPr>
          <w:rFonts w:ascii="Palatino Linotype" w:hAnsi="Palatino Linotype" w:cs="Times New Roman"/>
          <w:i/>
          <w:sz w:val="18"/>
          <w:szCs w:val="18"/>
        </w:rPr>
        <w:t>Küçük Osmanlı Tarihi</w:t>
      </w:r>
      <w:r w:rsidRPr="00545275">
        <w:rPr>
          <w:rFonts w:ascii="Palatino Linotype" w:hAnsi="Palatino Linotype" w:cs="Times New Roman"/>
          <w:sz w:val="18"/>
          <w:szCs w:val="18"/>
        </w:rPr>
        <w:t>, Karabet Matbaası, İstanbul, 1308 (1890), s. 79.</w:t>
      </w:r>
    </w:p>
  </w:footnote>
  <w:footnote w:id="34">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Bkz. Max Weber, </w:t>
      </w:r>
      <w:r w:rsidRPr="00545275">
        <w:rPr>
          <w:rFonts w:ascii="Palatino Linotype" w:hAnsi="Palatino Linotype" w:cs="Times New Roman"/>
          <w:i/>
          <w:sz w:val="18"/>
          <w:szCs w:val="18"/>
        </w:rPr>
        <w:t>Sosyolojinin Temel Kavramları</w:t>
      </w:r>
      <w:r w:rsidRPr="00545275">
        <w:rPr>
          <w:rFonts w:ascii="Palatino Linotype" w:hAnsi="Palatino Linotype" w:cs="Times New Roman"/>
          <w:sz w:val="18"/>
          <w:szCs w:val="18"/>
        </w:rPr>
        <w:t xml:space="preserve">, Medeni Beyaztaş (Çev.), Yarın Yayınları, 3. Baskı, İstanbul, 2012, s. 57-60. </w:t>
      </w:r>
    </w:p>
  </w:footnote>
  <w:footnote w:id="35">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“Suriye ve Beyrut vilayetlerinde Rusya’dan matrûd Yahudilerin arâzî mübâyaa ve iskânları hakkında Şam Bidâyet Reisi’nin mektubunun arz kaydı ve mezkûr mektubun sûreti”, 432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fî Gurre-i Muharrem 1310 (Temmuz 1892).</w:t>
      </w:r>
    </w:p>
  </w:footnote>
  <w:footnote w:id="36">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“Rum Patriği intihâbında Ereğli Metropolidinin tezvîrâtına binâen düvel-i ecnebiyye efrâdının dahi intihâbâta teşrîk edilmesinin sâ’î olduğuna dâir arz kaydı”, 288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25 Teşrînievvel 1307 (6 Kasım 1891).   </w:t>
      </w:r>
    </w:p>
  </w:footnote>
  <w:footnote w:id="37">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“Ebuzziya Tevfik Bey hakkında olan tahkîkât ile sâirenin ahvâlini mübeyyin arz kaydı”, 455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26 Ağustos 1308 (7 Eylül 1892).</w:t>
      </w:r>
    </w:p>
  </w:footnote>
  <w:footnote w:id="38">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Örneğin bkz.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“Ermeni ifsâdâtı hakkında tahkîkât-ı vâkı’anın ve Âtıf Bey’in bu iş hakkındaki jurnalinin kaydı”, 221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1 Temmuz 1307 (13 Temmuz 1891).</w:t>
      </w:r>
    </w:p>
  </w:footnote>
  <w:footnote w:id="39">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Örneğin bkz.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“Üsküdar’da İhsaniye ve Salacak iskeleleri açıklarında İngiliz vapurlarının müddet-i ârâmlarında tarassud altında bulundurulması hakkında arz kaydı”, 458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4 Eylül 1308 (16 Eylül 1892);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“İranlıların icrâ-yı âyîn-i mâtemde bir arbede izhâr eyleyecekleri istihbârına dâir arz kaydı”, 428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22 Temmuz 1308 (3 Ağustos 1892).</w:t>
      </w:r>
    </w:p>
  </w:footnote>
  <w:footnote w:id="40">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“Edirne Vilâyeti ve mülhakâtında vukû’ bulan şekâvet tekessür eylediğinden bunun indifâ’ı hakkında bir tedbîr-i ma’kûlenin arz ve ifâdesini mübeyyindir”,  238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4 Ağustos 1307 (16 Ağustos 1891).</w:t>
      </w:r>
    </w:p>
  </w:footnote>
  <w:footnote w:id="41">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“İkinci Hukûk Reisi Kadri Molla’nın yalısında ictimâ’ vukû’una dâir arz kaydı”, 560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3 Temmuz 1309 (15 Temmuz 1893).   </w:t>
      </w:r>
    </w:p>
  </w:footnote>
  <w:footnote w:id="42">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Kumkapı Ermeni Kilisesi’nde başlayan ve daha sonra semte yayılan olaylarla ilgili bkz. Hüseyin Nazım Paşa, </w:t>
      </w:r>
      <w:r w:rsidRPr="00545275">
        <w:rPr>
          <w:rFonts w:ascii="Palatino Linotype" w:hAnsi="Palatino Linotype" w:cs="Times New Roman"/>
          <w:i/>
          <w:sz w:val="18"/>
          <w:szCs w:val="18"/>
        </w:rPr>
        <w:t>Hatıralarım</w:t>
      </w:r>
      <w:r w:rsidRPr="00545275">
        <w:rPr>
          <w:rFonts w:ascii="Palatino Linotype" w:hAnsi="Palatino Linotype" w:cs="Times New Roman"/>
          <w:sz w:val="18"/>
          <w:szCs w:val="18"/>
        </w:rPr>
        <w:t xml:space="preserve">, Tahsin Yıldırım (Haz.), Selis Kitaplar, İstanbul, 2007, s. 14-16; Esat Uras, </w:t>
      </w:r>
      <w:r w:rsidRPr="00545275">
        <w:rPr>
          <w:rFonts w:ascii="Palatino Linotype" w:hAnsi="Palatino Linotype" w:cs="Times New Roman"/>
          <w:i/>
          <w:sz w:val="18"/>
          <w:szCs w:val="18"/>
        </w:rPr>
        <w:t>Tarihte Ermeniler ve Ermeni Meselesi</w:t>
      </w:r>
      <w:r w:rsidRPr="00545275">
        <w:rPr>
          <w:rFonts w:ascii="Palatino Linotype" w:hAnsi="Palatino Linotype" w:cs="Times New Roman"/>
          <w:sz w:val="18"/>
          <w:szCs w:val="18"/>
        </w:rPr>
        <w:t xml:space="preserve">, İstanbul, 1987, s. 140-144; Musa Şaşmaz, “Kumkapı Ermeni Olayı (1890)”, </w:t>
      </w:r>
      <w:r w:rsidRPr="00545275">
        <w:rPr>
          <w:rFonts w:ascii="Palatino Linotype" w:hAnsi="Palatino Linotype" w:cs="Times New Roman"/>
          <w:i/>
          <w:sz w:val="18"/>
          <w:szCs w:val="18"/>
        </w:rPr>
        <w:t>Tarih İncelemeleri Dergisi</w:t>
      </w:r>
      <w:r w:rsidRPr="00545275">
        <w:rPr>
          <w:rFonts w:ascii="Palatino Linotype" w:hAnsi="Palatino Linotype" w:cs="Times New Roman"/>
          <w:sz w:val="18"/>
          <w:szCs w:val="18"/>
        </w:rPr>
        <w:t>, C. XIX, S. 1, Temmuz 2004, s. 101-118.</w:t>
      </w:r>
      <w:proofErr w:type="gramEnd"/>
    </w:p>
  </w:footnote>
  <w:footnote w:id="43">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Bu ifadeyi içeren bir jurnal örneği için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“Ermeni ifsâdâtı hakkında tahkîkât-ı vâkı’anın ve Âtıf Bey’in bu iş hakkındaki jurnalinin kaydı”, 221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1 Temmuz 1307 (13 Temmuz 1891).</w:t>
      </w:r>
    </w:p>
  </w:footnote>
  <w:footnote w:id="44">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Dönemin Zaptiye Nazırı Hüseyin Nazım Paşa da hatıralarında Zaptiye Nezareti’nin özellikle Ermeni komitecileri yakından takip ettiğini belirtmektedir: “Ermeni ihtilâl komitelerinin hallerini, hareketlerini her gün ve her vesileden istifade ederek takip ediyor ve tasarruf altında bulunduruyordum. İhtilâl komitesinin günden güne kuvvet kesbettiği, cemiyetlerinin mütemadiyen büyüdüğü, inkişâf ettiği, Ermenilerin yeni bir harekete hazırlandıkları görülüyordu…”, Hüseyin Nazım Paşa, </w:t>
      </w:r>
      <w:r w:rsidRPr="00545275">
        <w:rPr>
          <w:rFonts w:ascii="Palatino Linotype" w:hAnsi="Palatino Linotype" w:cs="Times New Roman"/>
          <w:i/>
          <w:sz w:val="18"/>
          <w:szCs w:val="18"/>
        </w:rPr>
        <w:t>Hatıralarım</w:t>
      </w:r>
      <w:r w:rsidRPr="00545275">
        <w:rPr>
          <w:rFonts w:ascii="Palatino Linotype" w:hAnsi="Palatino Linotype" w:cs="Times New Roman"/>
          <w:sz w:val="18"/>
          <w:szCs w:val="18"/>
        </w:rPr>
        <w:t xml:space="preserve">, s. 16.    </w:t>
      </w:r>
    </w:p>
  </w:footnote>
  <w:footnote w:id="45">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“Ermeni ifsâdâtı hakkında tahkîkât-ı vâkı’anın ve Âtıf Bey’in bu iş hakkındaki jurnalinin kaydı”, 221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 Temmuz 1307 (13 Temmuz 1891). </w:t>
      </w:r>
    </w:p>
  </w:footnote>
  <w:footnote w:id="46">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İstanbul’da doğup burada bir müddet öğretmenlik yapan Portakalyan, Van’da kendi açtığı okulunda birçok Ermeni militan yetiştirmiş ve olaylara karıştığı hükümetçe tespit edilince Van’dan uzaklaştırılmıştır. Fransa’ya giden Portakalyan bu ülkede “Armenia” adlı bir gazete çıkararak gazetesi vasıtasıyla “kan dökmeden hürriyetin elde edilemeyeceği” propagandasını yapmaya başlamıştır. Bu gazetenin 1885’de Osmanlı İmparatorluğu’na, 1886’da da Rusya’ya girmesi yasaklanmışsa da, gizli yollarla gazetenin dağıtımına devam edilmiştir. Portakalyan, 1885’de kurulan Armenakan Komitesi’nin Mıgırdiç Terlemezyan, Grigor Terlemezyan, Ruben Şatavaryan, Grigor Adian, Grigor Acemyan, Bartutciyan, Gevord Hancıyan, Grigor Beozikyan ve Garegin Manukyan adlı kurucularını yetiştirerek komitenin kurulmasını sağlamıştır; bkz. Azmi Süslü, </w:t>
      </w:r>
      <w:r w:rsidRPr="00545275">
        <w:rPr>
          <w:rFonts w:ascii="Palatino Linotype" w:hAnsi="Palatino Linotype" w:cs="Times New Roman"/>
          <w:i/>
          <w:sz w:val="18"/>
          <w:szCs w:val="18"/>
        </w:rPr>
        <w:t>Ermeniler ve 1915 Tehcir Olayı</w:t>
      </w:r>
      <w:r w:rsidRPr="00545275">
        <w:rPr>
          <w:rFonts w:ascii="Palatino Linotype" w:hAnsi="Palatino Linotype" w:cs="Times New Roman"/>
          <w:sz w:val="18"/>
          <w:szCs w:val="18"/>
        </w:rPr>
        <w:t xml:space="preserve">, Yüzüncü Yıl Üniversitesi Yayınları, Yay. No: 5, Ankara, 1990, s. 52. </w:t>
      </w:r>
    </w:p>
  </w:footnote>
  <w:footnote w:id="47">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“Ermeni ifsâdâtı hakkında şâyi’ olan söz bî-esâs olup millet-i merkûmenin ol gûnâ bir vukû’âtı olmayacağına dâir Ermeni Patriğinin Mâbeyn Başkitâbeti’ne hitâben i’tâ-yı te’mînât eylemesine dâir”, 222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3 Temmuz 1307 (15 Temmuz 1891).</w:t>
      </w:r>
    </w:p>
  </w:footnote>
  <w:footnote w:id="48">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Örneğin, “Ermeni ifsâdâtı hakkında icrâ-yı tahkîkâta me’mûr etmiş olduğum Defter-i Hâkânî Muhâsebe Kalemi hulefâsından Âtıf Bey kulları tarafından savb-ı ubeydâneme irsâl kılınmış olan varakanın aynen arz ve takdîmi (…)” kaydı;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221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 Temmuz 1307 (13 Temmuz 1891). </w:t>
      </w:r>
    </w:p>
  </w:footnote>
  <w:footnote w:id="49">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Örneğin, “Bazı mesâlihin arz ve istîzânı zımnında Rumeli ve Anadolu Kazaskerlikleri vekâyî’ kâtiplerinin huzûr-ı Şeyhülislâmîye dühûl eyledikleri zaman usûl-i kadîme hâricinde olarak oda kapısının kapatıldığı vâsıl-ı sem’-i hümâyûnları olduğundan bu husûsta tahkîkât icrâsıyla netîcesinin arzı hakkındaki irâde-i seniyye-i cenâb-ı cihân-bânîleri Lütfi Ağa kulları tarafından teblîğ edilmekle bugün Bâb-ı Fetvâ’ya azîmetle icrâ-yı tahkîkâta ibtidâr ettim (…)” kaydı; Kırımî-zâde… </w:t>
      </w:r>
      <w:proofErr w:type="gramEnd"/>
      <w:r w:rsidRPr="00545275">
        <w:rPr>
          <w:rFonts w:ascii="Palatino Linotype" w:hAnsi="Palatino Linotype" w:cs="Times New Roman"/>
          <w:sz w:val="18"/>
          <w:szCs w:val="18"/>
        </w:rPr>
        <w:t xml:space="preserve">,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“Bâb-ı Fetvâ’da Şeyhülislâm’a mahsûs odanın kapısının me’mûrîn geldiği vakitlerde kapalı olmasının tahkîki için sâdır olan irâde-i seniyyeye imtisâlen tahkîkât icrâ edildiğine dâir arz kaydı”, 331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19 Kânûnısânî 1307 (31 Ocak 1892).     </w:t>
      </w:r>
    </w:p>
  </w:footnote>
  <w:footnote w:id="50">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Örneğin, “Bir zamandan beri Mahkeme-i Temyîz Hukûk azâsından ve ricâl-i ilmiyyeden Mazhar ve ricâl-i mülkiyyeden Hilmi ve Hikmet Beyler ve Başmümeyyiz Ârif Bey’den mürekkeb bir hey’et-i husûsiyye teşkîl olunarak hey’et-i mezkûrenin erbâb-ı mesâlihden para ahzı için gûnâ gûn desâis icrâ ve vesâite mürâcaat ettiklerini (…) sûret-i mevsûkada istihbâr etmekte idim (…)” kaydı; Kırımî-zâde… </w:t>
      </w:r>
      <w:proofErr w:type="gramEnd"/>
      <w:r w:rsidRPr="00545275">
        <w:rPr>
          <w:rFonts w:ascii="Palatino Linotype" w:hAnsi="Palatino Linotype" w:cs="Times New Roman"/>
          <w:sz w:val="18"/>
          <w:szCs w:val="18"/>
        </w:rPr>
        <w:t xml:space="preserve">,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339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10 Şubat 1307 (22 Şubat 1892). </w:t>
      </w:r>
    </w:p>
  </w:footnote>
  <w:footnote w:id="51">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Örneğin, “Muhâcirîn Komisyonu Reisi Yusuf Rıza Paşa kullarıyla mezkûr komisyon Reisi Behçet Bey dünkü Pazar günü saat sekiz raddelerinde her biri başka başka Nakîbüleşrâf Tevfîk Efendi kullarının Çarşambapazarı’nda kâin hânesine gelerek müşârün-ileyh Nakîb Efendi kullarıyla görüşüp avdet eyledikleri sahîh delâille istihbâr kılınmış (…)” kaydı;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“Muhâcirîn Komisyonu Reis-i Evveli Rıza Paşa ve Reis-i sânîsi Behçet Bey’in Nakîbüleşrâf Tevfîk Efendi hânesine geldiklerine dâir arz kaydı”, 342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17 Şubat 1307 (29 Şubat 1892).     </w:t>
      </w:r>
    </w:p>
  </w:footnote>
  <w:footnote w:id="52">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Benzer bir örnek Said Paşa’nın anılarında da (s. 89) yer aldığı için bu örnek dikkate değer görülmüştür.</w:t>
      </w:r>
    </w:p>
  </w:footnote>
  <w:footnote w:id="53">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Kırımî-zâde’nin dava vekilliği ve kadılık gibi görevlerde bulunduğu dikkate alınırsa, bu konuda daha çok hukukçuların tercih edildiği söylenebilir.</w:t>
      </w:r>
    </w:p>
  </w:footnote>
  <w:footnote w:id="54">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Örneğin,  “(…) Bu işin tahkîkâtına me’mûr olan Bahr-i Siyah Boğazı Muhafızı Mazhar Paşa’ya mürâcaat ve vapurla hemen Paşa-yı mûmâ-ileyh nezdine azîmet olunmasını âmir bulunan irâde-i seniyye-i cenâb-ı cihân-bânîleri Ser-kilârî-i şehriyârîleri Osman Bey kulları tarafından teblîğ olunmakla (…)” kaydı;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“Beykoz’da ehemmiyetli bir ictimâ’ vukû’una dâir tahkîk-i keyfiyyet olunmasına mütedâir sâdır olan irâde-i seniyyeye cevâben arz kaydı”, 563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5 Temmuz 1309 (17 Temmuz 1893). Ayrıca, “Ermeni ifsâdâtı hakkında icrâ-yı tahkîkât husûsunu taraf-ı ubeydâneme dahi emr ü havâle buyurmaları üzerine bu bâbda icrâ-yı tahkîkât olunmasını emniyet-i kem-terânemi celb etmiş olan Dava Vekîli Pandikyan Efendi’ye tevdî etmiş idim (…)” kaydı;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“Ermeni ifsâdâtı hakkında tahkîkât-ı vâkı’anın ve Âtıf Bey’in bu iş hakkındaki jurnalinin kaydı”, 221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 Temmuz 1307 (13 Temmuz 1891).     </w:t>
      </w:r>
    </w:p>
  </w:footnote>
  <w:footnote w:id="55">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Örneğin, “Rumeli Kazaskeri Süleyman Sırrı Efendi şu aralık mülâkât ettiği bazı zevâta kendisinin Mâbeyn-i Hümâyûn-ı cenâb-ı mülûkânelerine davet olunmasının sebep ve hikmeti Şeyhülislâm-ı lâhıkın nezdine gelip gitmekte olan pek çok züvvârın sebeb-i vürûdları hakkında isticvâb edildiğini ve bu sırada iki yüz elli lira atiyye-i seniyye-i hilâfet-penâhîleriyle taltîf buyrulduğunu beyân eylediği (…)” kaydı; Kırımî-zâde… </w:t>
      </w:r>
      <w:proofErr w:type="gramEnd"/>
      <w:r w:rsidRPr="00545275">
        <w:rPr>
          <w:rFonts w:ascii="Palatino Linotype" w:hAnsi="Palatino Linotype" w:cs="Times New Roman"/>
          <w:sz w:val="18"/>
          <w:szCs w:val="18"/>
        </w:rPr>
        <w:t xml:space="preserve">,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274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23 Eylül 1307 (5 Ekim 1891).       </w:t>
      </w:r>
    </w:p>
  </w:footnote>
  <w:footnote w:id="56">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Örneğin, “Bugün saat altıda Lütfi Ağa kullarının keşîde eylediği bir telgrafnâme üzerine derhal Mâbeyn-i Hümâyûn-ı mülûkânelerine azîmet ve dâhil-i iktisâb-ı şeref eylediğim anda Çit Kasr-ı Hümâyûnu Bekçisi Hasan Ağa kulları vesâtatıyla Şâle Kasrı’na îsâl ve (…) odaya idhâl edildim (…)” kaydı;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“Davâ-yı ma’lûmeden dolayı Mâbeyn’e celb ve Şâle Köşkü’nde isticvâb edildiğime dâir arz kaydı”, 265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5 Eylül 1307 (17 Eylül 1891).       </w:t>
      </w:r>
    </w:p>
  </w:footnote>
  <w:footnote w:id="57">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Örneğin, “Bâlâda muharrer davâ-yı ma’lûmeden dolayı Mâbeyn-i Hümâyûn-ı cenâb-ı mülûkâneye celb ve Zü’l-vecheyn Dâiresi’nde Şâle Kasrı’na karîb bir dâire-i mahsûsada musâhib-i şeyriyârîden Harem Ağası Said Ağa’nın odasında iki gece misâfir kalınıp evvelki gece tahrîr ve arz eylediğim arîza” kaydı;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260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31 Ağustos 1307 (12 Eylül 1891).       </w:t>
      </w:r>
    </w:p>
  </w:footnote>
  <w:footnote w:id="58">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Raporlarda, elde edilen bilgi ya da istihbarattan padişahın haberdar edilmesi isteği “berây-ı ma’lûmât” ifadesiyle geçer. “Malumat için” anlamındadır. </w:t>
      </w:r>
    </w:p>
  </w:footnote>
  <w:footnote w:id="59">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Asaf Tuğay “mühim maruzatta” bulunmak isteyen, fakat Mabeyn’de tanıdığı olmayanların Bakırköy Telgrafhanesi’nden Yıldız Sarayı’na telgraf çekerek “Mabeyn’e celp edilmeyi” talep ettiklerini belirtir ve şu örneği verir: “</w:t>
      </w:r>
      <w:proofErr w:type="gramStart"/>
      <w:r w:rsidRPr="00545275">
        <w:rPr>
          <w:rFonts w:ascii="Palatino Linotype" w:hAnsi="Palatino Linotype" w:cs="Times New Roman"/>
          <w:sz w:val="18"/>
          <w:szCs w:val="18"/>
        </w:rPr>
        <w:t>(</w:t>
      </w:r>
      <w:proofErr w:type="gramEnd"/>
      <w:r w:rsidRPr="00545275">
        <w:rPr>
          <w:rFonts w:ascii="Palatino Linotype" w:hAnsi="Palatino Linotype" w:cs="Times New Roman"/>
          <w:sz w:val="18"/>
          <w:szCs w:val="18"/>
        </w:rPr>
        <w:t>Kurenâ-yı hazret-i şehriyârîden atufetlü Emin Beyefendi’ye. Mâruzât-ı mühimme-i ubeydânemin hasbe’l-ubûdiyye arzı zımnında Mâbeyn-i Hümâyûn-ı Cenâb-ı Cihânî’ye celb olunmaklığımı istirhâm eylerim.  21 Teşrînievvel 1311, Mekteb-i Hukûk-ı Şâhâne talebesinden Sirkeci’de Trabzon Oteli’nde dokuz numaralı odada mûkim Rahmi</w:t>
      </w:r>
      <w:proofErr w:type="gramStart"/>
      <w:r w:rsidRPr="00545275">
        <w:rPr>
          <w:rFonts w:ascii="Palatino Linotype" w:hAnsi="Palatino Linotype" w:cs="Times New Roman"/>
          <w:sz w:val="18"/>
          <w:szCs w:val="18"/>
        </w:rPr>
        <w:t>)</w:t>
      </w:r>
      <w:proofErr w:type="gramEnd"/>
      <w:r w:rsidRPr="00545275">
        <w:rPr>
          <w:rFonts w:ascii="Palatino Linotype" w:hAnsi="Palatino Linotype" w:cs="Times New Roman"/>
          <w:sz w:val="18"/>
          <w:szCs w:val="18"/>
        </w:rPr>
        <w:t>.</w:t>
      </w:r>
    </w:p>
    <w:p w:rsidR="00545275" w:rsidRPr="00545275" w:rsidRDefault="00545275" w:rsidP="00545275">
      <w:pPr>
        <w:pStyle w:val="DipnotMetni"/>
        <w:jc w:val="both"/>
        <w:rPr>
          <w:rFonts w:ascii="Palatino Linotype" w:hAnsi="Palatino Linotype" w:cs="Times New Roman"/>
          <w:sz w:val="18"/>
          <w:szCs w:val="18"/>
        </w:rPr>
      </w:pPr>
      <w:r w:rsidRPr="00545275">
        <w:rPr>
          <w:rFonts w:ascii="Palatino Linotype" w:hAnsi="Palatino Linotype" w:cs="Times New Roman"/>
          <w:sz w:val="18"/>
          <w:szCs w:val="18"/>
        </w:rPr>
        <w:t xml:space="preserve">O zamanlar âdet olduğu vechile isteyen Bakırköy Telgrafhanesi’nden Yıldız’a telgraf çekerdi. Yukarıda yazılı telgraf sureti de oradan çekilmiştir. [Bu telgraf sureti] Yıldız evrakı arasında çıkmıştır. İmza sahibinin kendi yazısı olmadığı için evvelemirde hakkında bir hüküm vermek mümkü değilse de, bu telgrafın ehemmiyeti, bilahare Yıldız’la münasebetini arttıran zatın daha tahsil çağında iken bu işe başladığını göstermesidir.”; Tuğay,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 194.</w:t>
      </w:r>
    </w:p>
  </w:footnote>
  <w:footnote w:id="60">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 </w:t>
      </w:r>
      <w:proofErr w:type="gramStart"/>
      <w:r w:rsidRPr="00545275">
        <w:rPr>
          <w:rFonts w:ascii="Palatino Linotype" w:hAnsi="Palatino Linotype" w:cs="Times New Roman"/>
          <w:sz w:val="18"/>
          <w:szCs w:val="18"/>
        </w:rPr>
        <w:t xml:space="preserve">Yirmi seneden beri Bâb-ı Fetva’da me’mûr bulunan Postabaşısı Selim ve Muhzırbaşısı Hasan ve Artin ve Mesud ve sâbıkı Ârif Efendileri münferiden hâne-i ubeydâneme davet ve mûmâ-ileyhimden muttasıf oldukları ahlâk ve terbiye ve sıfatlarına göre kimini atiyye-i seniyye-i hazret-i hilâfet-penâhîleriyle taltîf kılınacaklarını te’mîn ve bazısını tehdîd ve kimini rûy-ı iltifat göstererek taltîf eyledikten sonra isticvâb eyledim (…)”; Kırımî-zâde… </w:t>
      </w:r>
      <w:proofErr w:type="gramEnd"/>
      <w:r w:rsidRPr="00545275">
        <w:rPr>
          <w:rFonts w:ascii="Palatino Linotype" w:hAnsi="Palatino Linotype" w:cs="Times New Roman"/>
          <w:sz w:val="18"/>
          <w:szCs w:val="18"/>
        </w:rPr>
        <w:t xml:space="preserve">,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260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31 Ağustos 1307 (12 Eylül 1891).    </w:t>
      </w:r>
    </w:p>
  </w:footnote>
  <w:footnote w:id="61">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 Arz-ı ma’lûmât-ı nâfia edebilmek için her bir dâire ve makâma girip çıkmak ve herkesle ihtilâtta bulunmaklığımı âmir bulunan irâde-i seniyye-i cenâb-ı zıllullâhîlerini Lütfi Ağa kulları teblîğ etmiş ise de (…)”;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“Şeyhülislâm-ı cedîd ile mülâkât edilip edilmemesi hakkında istîzân arzı”, 281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8 Teşrînievvel 1307 (20 Ekim 1891).    </w:t>
      </w:r>
    </w:p>
  </w:footnote>
  <w:footnote w:id="62">
    <w:p w:rsidR="00545275" w:rsidRPr="00545275" w:rsidRDefault="00545275" w:rsidP="00545275">
      <w:pPr>
        <w:pStyle w:val="DipnotMetni"/>
        <w:jc w:val="both"/>
        <w:rPr>
          <w:rFonts w:ascii="Palatino Linotype" w:hAnsi="Palatino Linotype" w:cs="Times New Roman"/>
          <w:i/>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 İşbu irâde-i hilâfet-penâhîlerindeki me’zûniyetin Şeyhülislâm-ı cedîd Cemal Efendi kullarıyla mülâkât ve ihtilât-ı kem-terâneme dahi şâmil olup olmadığını takdîrde âciz bulunduğum cihetle hasbe’l-ubûdiyye arz ve istîzânına cür’et eylerim, fermân…”;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“Şeyhülislâm-ı cedîd ile mülâkât edilip edilmemesi hakkında istîzân arzı”, 281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8 Teşrînievvel 1307 (20 Ekim 1891).    </w:t>
      </w:r>
    </w:p>
  </w:footnote>
  <w:footnote w:id="63">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Örneğin, “Mensûbîn-i ubeydânemden Celâleddin Efendi kullarının bayramın birinci günü Kumkapı’da bazı Ermeni ifsâdâtı izhâr olunacağına dair arîzasını fî 26 Haziran sene 1307 [8 Temmuz 1891] târihinde arz ve takdîme cesâret etmekliğim üzerine (…)” kaydı;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“Ermeni ifsâdâtı hakkında şâyi’ olan söz bî-esâs olup millet-i merkûmenin ol gûnâ bir vukû’âtı olmayacağına dâir Ermeni Patriğinin Mâbeyn Başkitâbeti’ne hitâben i’tâ-yı te’mînât eylemesine dâir”, 222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3 Temmuz 1307 (15 Temmuz 1891). </w:t>
      </w:r>
    </w:p>
  </w:footnote>
  <w:footnote w:id="64">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“Ermeni ifsâdâtı hakkında tahkîkât-ı vâkı’anın ve Âtıf Bey’in bu iş hakkındaki jurnalinin kaydı”, 221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 Temmuz 1307 (13 Temmuz 1891).   </w:t>
      </w:r>
    </w:p>
  </w:footnote>
  <w:footnote w:id="65">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497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23 Teşrînisânî 1308 (5 Aralık 1892).   </w:t>
      </w:r>
    </w:p>
  </w:footnote>
  <w:footnote w:id="66">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“Mensûbîn-i ubeydânem ve mevâlîden Mekkî Efendi’nin tebrîk-i sâl-i cedîd zımnında tanzîm eylediği kasîdesinin arz ve takdîmine dair”, 233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25 Temmuz 1307 (6 Ağustos 1891).   </w:t>
      </w:r>
    </w:p>
  </w:footnote>
  <w:footnote w:id="67">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“Ermenilerin icrâ-yı fesâdâtı mutasavver olduğuna dair fî 29 Haziran sene 1307 [11 Temmuz 1891] târihinde arz edilen mes’elenin ikinci derecede olan tahkîkâtını hâvî vukû’ bulan arz kaydı”, 220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 Temmuz 1307 (13 Temmuz 1891).   </w:t>
      </w:r>
    </w:p>
  </w:footnote>
  <w:footnote w:id="68">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“Su Nezâreti Kâtibi Rıfat Efendi’nin varaka-i ihbâriyyesi leffen arz olunduğuna dair arz kaydı”, 410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29 Haziran 1308 (11 Temmuz 1892).   </w:t>
      </w:r>
    </w:p>
  </w:footnote>
  <w:footnote w:id="69">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“Liman Dâiresi Başkâtibi Latîf Bey tarafından vârid olan varaka-i ihbâriyyenin aynen takdîmine dair arz kaydı”, 411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30 Haziran 1308 (12 Temmuz 1892).   </w:t>
      </w:r>
    </w:p>
  </w:footnote>
  <w:footnote w:id="70">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“Mensûbîn-i ubeydânemden Şükrü Efendi kulları cânibinden taraf-ı kem-terâneme irsâl kılınan jurnalin leffen arz olunduğuna dair kayıt”, 244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17 Ağustos 1307 (27 Ağustos 1891).   </w:t>
      </w:r>
    </w:p>
  </w:footnote>
  <w:footnote w:id="71">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“Çarşambapazarı’nda Murad Molla Tekkesi’ndeki bazı hocaların geceleri husûsî ictimâ’ına dair Celal Bey’in gönderdiği ihbârnâmenin arzı hakkında”, 346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21 Şubat 1307 (4 Mart 1892).   </w:t>
      </w:r>
    </w:p>
  </w:footnote>
  <w:footnote w:id="72">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“Bâlâda tafsîlâtı muharrer davâ-yı ma’lûme [Papazoğlu Hanı Davası] tahkîkâtına me’mûr edilen Âtıf ve Celal Beylerin taltîfine dair Musâhib Lütfi Ağa’ya tezkire kaydı”, 24 Ağustos 1307 (5 Eylül 1891).   </w:t>
      </w:r>
    </w:p>
  </w:footnote>
  <w:footnote w:id="73">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“Şeyhülislâm Cemâleddin Efendi huzûrunda akd-i meşveret edildiğine dair arz kaydı”, 313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24 Kânûnıevvel 1307 (5 Ocak 1892).   </w:t>
      </w:r>
    </w:p>
  </w:footnote>
  <w:footnote w:id="74">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“Liman Dâiresi Başkâtibi Abdüllatîf Efendi’nin icrâ eylediği tahkîkâtı hâvî Musâhib-i şehriyârîden Lütfi Ağa’ya gönderilen tezkire”, 6 Ağustos 1307 (18 Ağustos 1891).   </w:t>
      </w:r>
    </w:p>
  </w:footnote>
  <w:footnote w:id="75">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Örneğin, “(…) Emniyet ve i’timâd-ı ubeydânemi celb etmiş ve geçen seneki mes’ele esnâsında istihdâm eylemiş olduğum eşhâsdan Kerupe Ağa’yı akdemce nezd-i ubeydâneme celb ile ta’lîmât ve tenbîhât-ı muktaziyyeyi i’tâ ve icrâ-yı tahkîkâta sevk etmiş idim (…)” kaydı;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“Ermenilerin icrâ-yı fesâdâtı mutasavver olduğuna dair fî 29 Haziran sene 1307 [11 Temmuz 1891] târihinde arz edilen mes’elenin ikinci derecede olan tahkîkâtını hâvî vukû’ bulan arz kaydı”, 220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 Temmuz 1307 (13 Temmuz 1891).   </w:t>
      </w:r>
    </w:p>
  </w:footnote>
  <w:footnote w:id="76">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“Asdikâ-yı ricâl-i saltanat-ı seniyye-i hazret-i hilâfet-penâhîlerinden merhum Uryânî-zâde Esad Efendi’nin hafîdi Cemil Efendi kullarının (…)” kaydı, 26 Kânûnıevvel 1307 (7 Ocak 1892).   </w:t>
      </w:r>
    </w:p>
  </w:footnote>
  <w:footnote w:id="77">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“Ermeni ifsâdâtı hakkında icrâ-yı tahkîkât husûsunu taraf-ı ubeydâneme dahi emr ü havâle buyurmaları üzerine bu bâbda icrâ-yı tahkîkât olunmasını emniyet-i kem-terânemi celb etmiş olan Dava Vekîli Pandikyan Efendi’ye tevdî’ etmiş idim (…)”;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“Ermeni ifsâdâtı hakkında tahkîkât-ı vâkı’anın ve Âtıf Bey’in bu iş hakkındaki jurnalinin kaydı”, 221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 Temmuz 1307 (13 Temmuz 1891).   </w:t>
      </w:r>
    </w:p>
  </w:footnote>
  <w:footnote w:id="78">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“Ermeni mes’ele-i ma’lûmesinin gerek mazîsi ve gerek hâzırı hakkındaki bazı ledünniyât-ı mühimmeye vâkıf olup me’mûriyet-i mahsûsa ile Maraş’tan Dersaadet’e gelen ve Ermeni lisânına dahi âşinâ bulunan Maraş Jandarma yüzbaşılarından Osman Nüzhet Efendi (…) Zabtiye Nâzırı Nâzım Paşa tarafından kendisi lisân-ı Ermenîye vâkıf olduğu beyânıyla burada bir me’mûriyet-i münâsibe ile muvakkaten alıkonulacağı beyân ve tefhîm edildikten sonra bir müddet hafiyye me’mûrluğunda istihdâm kılınmış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“Maraş Jandarma Yüzbaşısı Osman Nüzhet Efendi’nin taht-ı tevkîfe alındığına dair Nâzım Bey aleyhinde şikâyetleri hâvi arz kaydı”, 278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3 Teşrînievvel 1307 (15 Ekim 1891).    </w:t>
      </w:r>
    </w:p>
  </w:footnote>
  <w:footnote w:id="79">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 </w:t>
      </w:r>
      <w:proofErr w:type="gramStart"/>
      <w:r w:rsidRPr="00545275">
        <w:rPr>
          <w:rFonts w:ascii="Palatino Linotype" w:hAnsi="Palatino Linotype" w:cs="Times New Roman"/>
          <w:sz w:val="18"/>
          <w:szCs w:val="18"/>
        </w:rPr>
        <w:t xml:space="preserve">Edirne Vilâyeti’nde bulunan eşkıyânın ta’kîbi me’mûriyetine ta’yîn ve i’zâmı için üç defa irâde-i seniyye-i hazret-i hilâfet-penâhîleri şeref-sudûr ve sünûh buyrulmuş ise de el-yevm harcırâhını alamaması hasebiyle Dersaadet’te kalmaya mecbûr olduğunu ifâde eden Tevfik Bey kulları tarafından i’tâ kılınan bir kıt’a varaka-i ihbâriyye (…)”;Kırımî-zâde… </w:t>
      </w:r>
      <w:proofErr w:type="gramEnd"/>
      <w:r w:rsidRPr="00545275">
        <w:rPr>
          <w:rFonts w:ascii="Palatino Linotype" w:hAnsi="Palatino Linotype" w:cs="Times New Roman"/>
          <w:sz w:val="18"/>
          <w:szCs w:val="18"/>
        </w:rPr>
        <w:t xml:space="preserve">,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“Jandarma Miralaylığına memur olan Tevfik Bey tarafından verilen ihbânâmenin arzına dair”, 276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30 Eylül 1307 (12 Ekim 1891).   </w:t>
      </w:r>
    </w:p>
  </w:footnote>
  <w:footnote w:id="80">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“Geçen gün Fener’de Rum Patrikhânesi’nde Ereğli Metropolidi Jerasimos Efendi’nin riyâseti altında patrik intihâbı için tüccâr ve banker ve rüteb-i mülkiyye ve askeriyyeyi hâiz bendegân-ı saltanat-ı seniyyeleri taraflarından nizâmnâme-i mahsûsunca intihâb ve ta’yîni muktazî olan yirmi bir kadar vekillerin sûret-i intihâbında ve metropolid-i mûmâ-ileyhin nizamnâme ahkâmını ihlâl ederek kendi taraf-gîrânını istediği gibi intihâbında ekseriyet teşkil ettirdiğini (…) </w:t>
      </w:r>
      <w:proofErr w:type="gramEnd"/>
      <w:r w:rsidRPr="00545275">
        <w:rPr>
          <w:rFonts w:ascii="Palatino Linotype" w:hAnsi="Palatino Linotype" w:cs="Times New Roman"/>
          <w:sz w:val="18"/>
          <w:szCs w:val="18"/>
        </w:rPr>
        <w:t xml:space="preserve">Ticâret Mahkemesi Reisi Kostaki Efendi ve Savaromi Efendi ile o yolda bulunan bazı mu’teberânın ifâde eylediklerini ma’lûmât olarak hasbe’l-ubûdiyye arzına cür’et eylerim, fermân…”;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“Rum Patrikliği intihâbında kavânîn-i mevcûde hilâfına olarak Ereğli Metropolidi’nin bî-muhâbâ evzâ’ ve harekâtından bâhis ve ifsâdât-ı ahvâline dâir arz kaydı”, 285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14 Teşrînievvel 1307 (24 Ekim 1891).       </w:t>
      </w:r>
    </w:p>
  </w:footnote>
  <w:footnote w:id="81">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“Rum Patriği intihâbında Ereğli Metropolidinin tezvîrâtına binâen düvel-i ecnebiyye efrâdının dahi intihâbâta teşrîk edilmesinin sâ’î olduğuna dâir arz kaydı”, 288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25 Teşrînievvel 1307 (6 Kasım 1891).   </w:t>
      </w:r>
    </w:p>
  </w:footnote>
  <w:footnote w:id="82">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“Fransız Kolas nâm şahsın Nâfia Muhâsebecisi Sadi Bey’e vapurla ve familyalarla misâfir geldiğine dâir arz kaydı”, 272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13 Eylül 1307 (25 Eylül 1891).</w:t>
      </w:r>
    </w:p>
  </w:footnote>
  <w:footnote w:id="83">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“Kasîdeci-zâde hafîdi Ziya Efendi’nin Mavroyeni Paşa’ya ale’s-seher geldiğine dâir arz kaydı”, 254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24 Ağustos 1307 (5 Eylül 1891)</w:t>
      </w:r>
    </w:p>
  </w:footnote>
  <w:footnote w:id="84">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“Serasker Paşa ile Serkilârî’ye iftara azîmet edip etmemekliğim hakkında istîzân arzı”, 362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30 Mart 1308 (11 Nisan 1892).</w:t>
      </w:r>
    </w:p>
  </w:footnote>
  <w:footnote w:id="85">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“Cülûs-ı hümâyûn gecesi icrâ kılınan şenlik hakkında tahkîkâtı hâvî arznâme kaydı”, 248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20 Ağustos 1307 (1 Eylül 1891).</w:t>
      </w:r>
    </w:p>
  </w:footnote>
  <w:footnote w:id="86">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“Cülûs gecesi şenlik icrâsının tahkîki hakkında arz kaydı”, 448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20 Ağustos 1308 (1 Eylül 1892).</w:t>
      </w:r>
    </w:p>
  </w:footnote>
  <w:footnote w:id="87">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II. Abdülhamid’in doğum yıldönümü vesilesiyle yapılan kutlamaların anlatıldığı jurnal tahkik raporunun bir bölümünde, kutlamalar şöyle tasvir edilmektedir:  “(…) </w:t>
      </w:r>
      <w:proofErr w:type="gramStart"/>
      <w:r w:rsidRPr="00545275">
        <w:rPr>
          <w:rFonts w:ascii="Palatino Linotype" w:hAnsi="Palatino Linotype" w:cs="Times New Roman"/>
          <w:sz w:val="18"/>
          <w:szCs w:val="18"/>
        </w:rPr>
        <w:t xml:space="preserve">Üsküdar cihetinde Liman Dâiresi ve Birinci Dâire-i Belediye ma’a Tahrîr Vergi İdâresi ketebesinden Gâlib ve Şûrâ-yı Devlet mu’âvinlerinden Avni Paşa-zâde Fuâd Beylerin sâhilhâneleri evsat derecede donatılmış ve Nakkaş’da merhûm Uryânî-zâde hafîdi Cemil Bey’in köşkü ve Beylerbeyi’nde Adliye Müsteşârı Hâşim Bey kullarının sâhilhânesi ve Mısırlı Fatma Hanım’ın köşkü fevkalâde tezyîn edilmiş ve hiçbirinde kalabalık müşâhede edilmemişdir. </w:t>
      </w:r>
      <w:proofErr w:type="gramEnd"/>
    </w:p>
    <w:p w:rsidR="00545275" w:rsidRPr="00545275" w:rsidRDefault="00545275" w:rsidP="00545275">
      <w:pPr>
        <w:pStyle w:val="DipnotMetni"/>
        <w:jc w:val="both"/>
        <w:rPr>
          <w:rFonts w:ascii="Palatino Linotype" w:hAnsi="Palatino Linotype" w:cs="Times New Roman"/>
          <w:sz w:val="18"/>
          <w:szCs w:val="18"/>
        </w:rPr>
      </w:pPr>
      <w:r w:rsidRPr="00545275">
        <w:rPr>
          <w:rFonts w:ascii="Palatino Linotype" w:hAnsi="Palatino Linotype" w:cs="Times New Roman"/>
          <w:sz w:val="18"/>
          <w:szCs w:val="18"/>
        </w:rPr>
        <w:t xml:space="preserve">Çengelköyü’nde Kuleli kışla-i hümâyûnu ve Kandilli’de Cemile Sultân Hazretlerinin sarayı ve Anadolu Hisarı’nda Düyûn-ı Umûmîyye Komiseri Murad Bey’in sâhilhânesi ve Kanlıca’da Subhi Paşa-zâde Sâmi Bey’in sâhilhânesi ve Üsküdar Belediye Reîsi merhûm Âsım Paşa haremi Hanım’ın sâhilhâneleri fevkalâde tezyîn edilmişdir. Paşabahçe’sinde Müşîr Tahir Paşa’nın sâhilhânesi ve arka tarafındaki dağ mahalli fevkalâde tezyîn ve Sahip Bey’in yalısında ancak bir sıra fener talîk edilmesiyle iktifâ kılınmış olduğu görülmüşdür. Beykoz’da Beyoğlu Bidâyet Mahkemesi Reisi Şevket Bey’in ve Debbâğhâne-i Hümâyûn Binbaşısı Tevfîk Bey’in ve mahal-i mezkûrda kâin Debbâğhâne-i Hümâyûn’un fevkalâde donatılmış olduğu görülmüşdür.  </w:t>
      </w:r>
    </w:p>
    <w:p w:rsidR="00545275" w:rsidRPr="00545275" w:rsidRDefault="00545275" w:rsidP="00545275">
      <w:pPr>
        <w:pStyle w:val="DipnotMetni"/>
        <w:jc w:val="both"/>
        <w:rPr>
          <w:rFonts w:ascii="Palatino Linotype" w:hAnsi="Palatino Linotype" w:cs="Times New Roman"/>
          <w:sz w:val="18"/>
          <w:szCs w:val="18"/>
        </w:rPr>
      </w:pPr>
      <w:proofErr w:type="gramStart"/>
      <w:r w:rsidRPr="00545275">
        <w:rPr>
          <w:rFonts w:ascii="Palatino Linotype" w:hAnsi="Palatino Linotype" w:cs="Times New Roman"/>
          <w:sz w:val="18"/>
          <w:szCs w:val="18"/>
        </w:rPr>
        <w:t xml:space="preserve">Rumeli cihetinde Yeniköy’de tüccârândan Paris’de mukîm Hristaki Efendi’nin ve tüccârândan Baltacı’nın yalıları fevkalâde tezyîn edilmiş ve ara sıra fişekler endâhtıyla icrâ-yı şâdmânî eylemekde bulunmuşlardır ve Nâfia Nâzırı sâbık Râif Paşa’nın köşkü ve yâverân-ı cenâb-ı cihân-bânîlerinden Celal Paşa’nın köşkü ve Dâhiliye Evrâk Müdürü Ali Haydar Bey’in ve İstinye’de Ekrem Bey’in sâhilhâneleri şân-ı sadâkat ve ubûdiyyete lâyık sûretde donatılmış idi. İstinye’de Giritli-zâde Ferîk Hilmi Paşa’nın sâhilhânesi evsat derecede donatılmış ve hiç birinde kalabalık müşâhede edilememişdir. </w:t>
      </w:r>
      <w:proofErr w:type="gramEnd"/>
      <w:r w:rsidRPr="00545275">
        <w:rPr>
          <w:rFonts w:ascii="Palatino Linotype" w:hAnsi="Palatino Linotype" w:cs="Times New Roman"/>
          <w:sz w:val="18"/>
          <w:szCs w:val="18"/>
        </w:rPr>
        <w:t xml:space="preserve">Emîrgân’da Hidiv-i esbak İsmâil Paşa’nın sâhilhânesi cülûs-ı meyâmin-me’nûs-ı hazret-i zıllullâhîleri leyle-i müteyemminesinin nısfı derecesinde tezyîn edilmiş ve iki mahâlde ince saz terennüm etmekde bulunmuş ise de kalabalık olmayıp tahmînen on kadar kayık ve sandal görülmüşdür. Ve karada geşt ü güzâr eden seyircilerin her biri müşârün-ileyhin etbâ’ ve huddâmı tarafından fevkalâde teftîş edilmekde bulunmuş idi (…)”;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“Vilâdet şehr-âyînini görmek üzere bâ-irâde Boğaziçi’ne azîmet edilerek meşhûdâtı mübeyyin arz kaydı”, 358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4 Mart 1308 (16 Mart 1892).</w:t>
      </w:r>
    </w:p>
  </w:footnote>
  <w:footnote w:id="88">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Fetva Emini Nuri Efendi bu konuda örnek olarak gösterilebilir. Nuri Efendi  “hukûk-ı kadîme”ye hizmetleri karşılığında verilen liyakat madalyasına teşekkür için padişaha gönderdiği arzında “hayatını hazret-i zillullâhîlerine (padişaha) feda etmeye hazır olduğunu” vurgulayacaktır. Fetva Emini Nuri Efendi’ye verilen altın liyakat madalyasını konu edinen rapor örneği için bkz.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“Fetvâ Emîni Nuri Efendi’ye verilen altın liyâkat madalyasına vukû’ bulan teşekkürât ve daavât-ı hayriyyesine dâir arz kaydı”, 493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12 Teşrînisânî 1308 (24 Kasım 1892). </w:t>
      </w:r>
    </w:p>
  </w:footnote>
  <w:footnote w:id="89">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Selim Deringil bu konuda Profesör Strauss örneğini verir: “Profesör Adolphe Strauss Yıldız’a yazdığı mektupta, Macar basınında çıkan makalelerinin padişaha karşı son derece olumlu bir duygu yarattığını, öyle ki, Macar parlamentosunda yüksek sesle okunduğu zaman, parlamenterlerin derhal ayağa fırlayarak, “eljen a sultan!” (Padişahım çok yaşa!) diye bağırmalarını sağladığını ileri sürüyordu. Profesör işi, çeşitli meslektaşlarının belirli nişanlarla ödüllendirilmesini tavsiye edecek kadar ileri götürmüştü.”; Selim Deringil, </w:t>
      </w:r>
      <w:r w:rsidRPr="00545275">
        <w:rPr>
          <w:rFonts w:ascii="Palatino Linotype" w:hAnsi="Palatino Linotype" w:cs="Times New Roman"/>
          <w:i/>
          <w:sz w:val="18"/>
          <w:szCs w:val="18"/>
        </w:rPr>
        <w:t>İktidarın Sembolleri ve İdeoloji, II. Abdülhamid Dönemi (1876-1909)</w:t>
      </w:r>
      <w:r w:rsidRPr="00545275">
        <w:rPr>
          <w:rFonts w:ascii="Palatino Linotype" w:hAnsi="Palatino Linotype" w:cs="Times New Roman"/>
          <w:sz w:val="18"/>
          <w:szCs w:val="18"/>
        </w:rPr>
        <w:t>, Gül Çağalı Güven (Çev.), Doğan Kitap, İstanbul, 2014, s. 49.</w:t>
      </w:r>
    </w:p>
  </w:footnote>
  <w:footnote w:id="90">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Bu demektir ki 1891-1893 yılları arasındaki iki yıllık dönemde ortalama ayda bir kez Saray’a başvurmuştur.  </w:t>
      </w:r>
    </w:p>
  </w:footnote>
  <w:footnote w:id="91">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“Dünyâda şudur diyecek ve mukâbilinde ricâ-yı mükâfât edecek hiçbir değerim olmayıp (…) ma’rûzât-ı âtiyeye cür’et eyledim. </w:t>
      </w:r>
      <w:proofErr w:type="gramStart"/>
      <w:r w:rsidRPr="00545275">
        <w:rPr>
          <w:rFonts w:ascii="Palatino Linotype" w:hAnsi="Palatino Linotype" w:cs="Times New Roman"/>
          <w:sz w:val="18"/>
          <w:szCs w:val="18"/>
        </w:rPr>
        <w:t xml:space="preserve">Refîkam câriyelerine yüz elli lira medyûn iken bilâ-veled fevt olan Apostol nâm şahsın uhdesinde bulunan Ortakapusu hâricinde Emîr Buhârî Mahallesi’nde kâin bir bâb kahve ve berber dükkânı mahlûle âid kalmasından dolayı istîfâ-yı matlûb kâbil olamadığından mezkûr dükkânın refîkam câriyeleri nâmına olarak inâyet ve ihsân buyrulmasını iki def’adır niyâz ve istirhâm etmiş (…) isem de (…) istirhâm-ı mesbûk-ı ubeydânemi tekrâra cür’et eylerim, fermân…”; Kırımî-zâde… </w:t>
      </w:r>
      <w:proofErr w:type="gramEnd"/>
      <w:r w:rsidRPr="00545275">
        <w:rPr>
          <w:rFonts w:ascii="Palatino Linotype" w:hAnsi="Palatino Linotype" w:cs="Times New Roman"/>
          <w:sz w:val="18"/>
          <w:szCs w:val="18"/>
        </w:rPr>
        <w:t xml:space="preserve">,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“Refîkamın teferruğ etmek üzere mutasarrıfına bedelini peşînen îfâdan sonra bilâ-veled vukû’-ı vefâtına binâen bir bâb dükkân mahlûl olmağın mahlûlünden ihsânı hakkında arz kaydı”, 226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14 Temmuz 1307 (26 Temmuz 1891).</w:t>
      </w:r>
    </w:p>
  </w:footnote>
  <w:footnote w:id="92">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“Üç aydan beri firâş-ı bî-mârîden kalkamamış olan refîka-i ubeydânem câriyelerinin tedâvîsiyle meşgûl bulunan Doktor Horasancıyan Efendi ve Bahriye Binbaşısı Doktor Şükrü Bey kulları hastanın muhâfaza-i hayâtı itidâl-i havası der-kâr olan Beykoz’da tebdîl-i hava ile hâsıl olabileceğini ve şu tavsiyeye tatbîk-i hareket ve riâyet olunmadığı takdîrde müşâhede-i vehâmet muhakkak bulunduğunu beyân eylemiş iseler de nezd-i merâhim-vefd-i hazret-i zillullâhîlerinden ma’lûm olan ahvâl-i ubeydânem sâlifü’l-arz Beykoz seyâhatini bile îfâya mâni’ olduğundan bu husûsta dahi her-bâr hayret-bahşâ-yı ayn-ı ibtihâc ve iftihâr-ı memlûkânem olan ihsân-ı bî-imtinân-ı cenâb-ı cihân-bânîlerine (Mart ve işbu Nisan maâşâtının ihsânına) şiddetle muhtâc bulunduğumun arzına mücâseret eylerim, fermân…”; Kırımî-zâde… </w:t>
      </w:r>
      <w:proofErr w:type="gramEnd"/>
      <w:r w:rsidRPr="00545275">
        <w:rPr>
          <w:rFonts w:ascii="Palatino Linotype" w:hAnsi="Palatino Linotype" w:cs="Times New Roman"/>
          <w:sz w:val="18"/>
          <w:szCs w:val="18"/>
        </w:rPr>
        <w:t xml:space="preserve">,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“Refîkamın keyifsizlenmesinden dolayı etıbbânın berâ-yı tebdîl-i âb ü hava Beykoz’a nakli hakkında arz kaydı”, 542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20 Nisan 1309 (2 Mayıs 1893). Ayrıca bkz.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“Tebdîl-i âb ü hava istîzânı ve ruhsat ihsânı”, 544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24 Nisan 1309 (6 Mayıs 1893);  </w:t>
      </w:r>
    </w:p>
  </w:footnote>
  <w:footnote w:id="93">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“Bâb-ı inâyet-meâb-ı hazret-i hilâfet-penâhîye izhâr-ı ubûdiyyet ve intisâb eylemek şerefine nâil olduğum gün gerek Ebü’l-hüda Efendi Hazretleriyle kurenâ-yı şehriyârî Ârif Beyefendi ve gerekse zât-ı âlîleri sâye-i inâyet-vâye-i cenâb-ı cihân-bânîlerinde düyûn-ı ma’lûme-i ubeydânemin tesviye buyrulacağını ve her sûretle nâil-i feyz ü terakkî olacağımı tebşîr ve beyân buyurmuş idiniz. </w:t>
      </w:r>
      <w:proofErr w:type="gramEnd"/>
      <w:r w:rsidRPr="00545275">
        <w:rPr>
          <w:rFonts w:ascii="Palatino Linotype" w:hAnsi="Palatino Linotype" w:cs="Times New Roman"/>
          <w:sz w:val="18"/>
          <w:szCs w:val="18"/>
        </w:rPr>
        <w:t xml:space="preserve">(…) Zât-ı hazret-i hilâfet-penâhîden gayrı hâlimi arz edecek merhametini celbe çalışacak diğer veliyy-i ni’metim olmadığından (…) son dereceyi bulmuş olan ye’s-i ubeydânem ilcâsını istirhâma cür’et eylerim.”;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“Musâhib-i Şehriyârîden Lütfi Ağa Hazretlerine tezkire âtıfet-i seniyyeye nâiliyet için istirhâmı hâvî arz kaydı”, 16 Ağustos 1307 (28 Ağustos 1891).  </w:t>
      </w:r>
    </w:p>
  </w:footnote>
  <w:footnote w:id="94">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 </w:t>
      </w:r>
      <w:proofErr w:type="gramStart"/>
      <w:r w:rsidRPr="00545275">
        <w:rPr>
          <w:rFonts w:ascii="Palatino Linotype" w:hAnsi="Palatino Linotype" w:cs="Times New Roman"/>
          <w:sz w:val="18"/>
          <w:szCs w:val="18"/>
        </w:rPr>
        <w:t xml:space="preserve">Şeref-i cihân-kıymet-i bendegî ile teşerrüf ettiğim târihten itibâren yalnız zât-ı simât-ı hazret-i veliyy-i ni’met-i a’zama kesb-i nisbet ve ubûdiyyet ederek revâbıt-ı sâire-i tarîkiyyeden bi’t-tabi tecerrüd eylediğim cihetle usûlen müstahik olduğum merâtib-i tarîka irtikâ içün makâm-ı Meşîhat’e mürâcaat teşebbüsünde bulunamayacağım emr-i tabiidir. </w:t>
      </w:r>
      <w:proofErr w:type="gramEnd"/>
      <w:r w:rsidRPr="00545275">
        <w:rPr>
          <w:rFonts w:ascii="Palatino Linotype" w:hAnsi="Palatino Linotype" w:cs="Times New Roman"/>
          <w:sz w:val="18"/>
          <w:szCs w:val="18"/>
        </w:rPr>
        <w:t xml:space="preserve">Bununla berâber tarîk-i ilmiye dühûlleri sinîn-i ahîrede vuku’ bulmuş olan bazı zevâtın çabuk çabuk tayy-i merâtib eylemekte bulunduklarını gördükçe hasbe’l-beşeriyye giriftâr-ı ye’s olmaktan kendimi alamamaktayım (…) Cenâb-ı hilâfet-penâhîye mürâcaat ve istirhâmdan başka çâre ve tedbîr-i âcizânem bulunmadığından (…) bi’l-hâssa lutf ve mürüvvet-i aliyyelerini ricâ ve istirhâm eylerim, fermân…”;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“Musâhib Lütfi Ağa’ya hitâben tahrîr eylenen tezkire kaydı”, 8 Teşrînievvel 1307 (20 Ekim 1891).  </w:t>
      </w:r>
    </w:p>
  </w:footnote>
  <w:footnote w:id="95">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“Tevdî’ buyrulan tahkîkât-ı ma’lûmenin icrâsı zımnında bazı kimselerin celbi için mensûbîn-i ubeydânemin öteye beriye i’zâmına ve âcizlerinin de iktizâ eden mahallere azîmetime lüzûm-ı sahîh görülmekte olup bu yolda birtakım masârıfât ihtiyârı lâ-büdd idiğinden ve nezd-i kem-terîde akçe bulunmadığından masârıf-ı mezkûre kapatılmak üzere bir miktâr akçe inâyet ve öteden beri emîn ve mu’temed-i âcizânem olan ve sâbık Tevkî’î Hüseyin Efendi tahkîkâtında fedâkârâne yararlılıkları görülen Hüsrev Bey-zâde Celâleddin ve Defter-i Hâkânî Muhâsebe kalemi hulefâsından Âtıf Beyleri bu kerre tevdî’ olunan tahkîkât husûsunda dahî istihdâm eylediğimden (…) </w:t>
      </w:r>
      <w:proofErr w:type="gramEnd"/>
      <w:r w:rsidRPr="00545275">
        <w:rPr>
          <w:rFonts w:ascii="Palatino Linotype" w:hAnsi="Palatino Linotype" w:cs="Times New Roman"/>
          <w:sz w:val="18"/>
          <w:szCs w:val="18"/>
        </w:rPr>
        <w:t xml:space="preserve">Celâleddin ve Âtıf kullarının birer rütbe-i sâlise ile taltîf ve ihyâ buyrulmaları husûsunu (…) tekrâren arz ve istirhâma cür’et eylerim, fermân…”;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“Da’vâ-yı ma’lûmenin tahkîkâtına me’mûr edilen Âtıf ve Celâl Beylerin taltîfine dâir Müsâhib Lütfi Ağa’ya tezkire kaydı”, 24 Ağustos 1307 (5 Eylül 1891);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“İrâde-i seniyyeye imtisâlen hakk-ı âcizânemde vukû’ bulacak ihsân-ı şâhânenin istirhâmına dâir arz kaydı”, 10 Eylül 1307 (22 Eylül 1891).    </w:t>
      </w:r>
    </w:p>
  </w:footnote>
  <w:footnote w:id="96">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 </w:t>
      </w:r>
      <w:proofErr w:type="gramStart"/>
      <w:r w:rsidRPr="00545275">
        <w:rPr>
          <w:rFonts w:ascii="Palatino Linotype" w:hAnsi="Palatino Linotype" w:cs="Times New Roman"/>
          <w:sz w:val="18"/>
          <w:szCs w:val="18"/>
        </w:rPr>
        <w:t xml:space="preserve">Efrâd-ı âile-i ubeydânemin iâşesi içün şehrî inâyet ve ihsân buyrulmakta olan kırk beş adet lira-yı Osmânî’ye mukâbil dokuz adet banka kâimesi şimdiye kadar mazrûfen ihsân buyrulmakta idi. (…) dünkü gün ber-mutâd ihsân buyrulan maaş zarfını Lütfi Ağa kulları vâsıtasıyla aldıktan ve üzerindeki ‘45’ ve ma’lûm işâret-i celîlelerini rü’yet ettikten sonra avdet ve esnâfın hesâbâtına kat’ ve tesviye eylemek üzere feth ve küşâdına dest-zen-i ibtidâr oldum. </w:t>
      </w:r>
      <w:proofErr w:type="gramEnd"/>
      <w:r w:rsidRPr="00545275">
        <w:rPr>
          <w:rFonts w:ascii="Palatino Linotype" w:hAnsi="Palatino Linotype" w:cs="Times New Roman"/>
          <w:sz w:val="18"/>
          <w:szCs w:val="18"/>
        </w:rPr>
        <w:t xml:space="preserve">Derûn-ı zarfta yalnız ‘35’ adet liraya mukâbil yedi adet banka kâimesi mevcûd olduğunu görmekliğim üzerine (…)”;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“Kânûnıevvel maaşının noksan zuhûr eylediğine dâir arz kaydı”, 5 Kânûnısânî 1307 (17 Ocak 1892).     </w:t>
      </w:r>
    </w:p>
  </w:footnote>
  <w:footnote w:id="97">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“Dünyâda şudur diyecek ve mukâbilinde ricâ-yı mükâfât edecek hiçbir değerim olmayıp (…) inâyet ve ihsân buyrulan muhassasâttan başka te’mîn-i ma’işet-i ubeydâneme yardım edecek hiçbir nesneye mâlik olmadığım bedîdâr ve kişi sıkıldıkça veliyy-i ni’met-i bî-minnetini tacîz edeceği âşikâr bulunduğundan bu sene mütekarribü’l-hulûl olan sermâ için hatab ve kömür tedâriki(ni) (…) arza hasbe’l ubûdiyye mücâseret eylerim, fermân…”; Kırımî-zâde… </w:t>
      </w:r>
      <w:proofErr w:type="gramEnd"/>
      <w:r w:rsidRPr="00545275">
        <w:rPr>
          <w:rFonts w:ascii="Palatino Linotype" w:hAnsi="Palatino Linotype" w:cs="Times New Roman"/>
          <w:sz w:val="18"/>
          <w:szCs w:val="18"/>
        </w:rPr>
        <w:t xml:space="preserve">,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“Taleb-i hatab ve kömür akçesi arzı”, 10 Teşrînievvel 1308 (22 Ekim 1892).     </w:t>
      </w:r>
    </w:p>
  </w:footnote>
  <w:footnote w:id="98">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 Sâkin bulunduğum köhne ve müşrif-i harâb hânenin kısmen ebniyesiyle muhâfaza duvarları münhedim oldu (…) Şu sâatte iki elimi yüzüme tutarak her hâlimi küstâhâne teşrîhe cür’et eyleyerek şu leyle-i mübârekede şâmiletü’l-âfâk olan merhamet ve âtıfet-i seniyye-i mülûkânelerine sığınıp arza mücâseret eylerim, fermân…”;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“İstirhâmnâme arzı”, 7 Kânûnısânî 1308 (19 Ocak 1893).      </w:t>
      </w:r>
    </w:p>
  </w:footnote>
  <w:footnote w:id="99">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 3 Haziran 1306 (15 Haziran 1890) târihinden beri nâil buyrulduğum maaş geçinmekliğimize te’mîn kılınmış idi. (Fakat) dört mâha kâribdir maaş alamadığımdan bi’t-tabi idâre ve maîşet-i bende-gânem muhtel ve zihnim de perîşân oldu (…) </w:t>
      </w:r>
      <w:proofErr w:type="gramStart"/>
      <w:r w:rsidRPr="00545275">
        <w:rPr>
          <w:rFonts w:ascii="Palatino Linotype" w:hAnsi="Palatino Linotype" w:cs="Times New Roman"/>
          <w:sz w:val="18"/>
          <w:szCs w:val="18"/>
        </w:rPr>
        <w:t xml:space="preserve">Şimdiye kadar atebe-i felek-mertebe-i hazret-i veliyy-i ni’met-i a’zamîden vukû’ bulan istirhâmât-ı bende-gânemin semeresiz kaldığı dahî ve bâ-husûs fî 4 Şubat 1308 (16 Şubat 1893) târihli zât-ı sâmîlerine olan ârîza-i mufassala-i âcizînin dahî cevâbsız bırakıldığı ma’lûm-ı âlî-i atûfîleridir. </w:t>
      </w:r>
      <w:proofErr w:type="gramEnd"/>
      <w:r w:rsidRPr="00545275">
        <w:rPr>
          <w:rFonts w:ascii="Palatino Linotype" w:hAnsi="Palatino Linotype" w:cs="Times New Roman"/>
          <w:sz w:val="18"/>
          <w:szCs w:val="18"/>
        </w:rPr>
        <w:t xml:space="preserve">İşte bendeniz için bundan sonra ittihâz ve icrâ olunacak bir tedbîr kalmış ise o da meslek-i sâbıka-i âcizânem olan dava vekilliğine yeniden teşebbüs ile evlâd ü ıyâlimi infâk ve iâşe etmekdir (…)”;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“Lütfi Ağa’ya gönderilen tezkirenin sûreti”, 16 Şubat 1308 (28 Şubat 1893).    </w:t>
      </w:r>
    </w:p>
  </w:footnote>
  <w:footnote w:id="100">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Örneğin, Ermenilerin takibinde kullanılan ve “ihbarat-ı sahiha”da bulunan bir muhbire Ceyb-i Hümayun’dan bin seksen kuruş verilmiştir; bkz.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“Ceyb-i Hümâyûn Dâiresi’ne verilen senet kaydı”, 3 Temmuz 1307 (15 Temmuz 1891).      </w:t>
      </w:r>
    </w:p>
  </w:footnote>
  <w:footnote w:id="101">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“Hazîne-i Hâssa-i Şâhâne ile asâkir ta’yînât-ı lahmiyyesine fesâd karıştırılmakta olduğuna dâir arz kaydı”, 237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31 Temmuz 1307 (12 Ağustos 1891).</w:t>
      </w:r>
    </w:p>
  </w:footnote>
  <w:footnote w:id="102">
    <w:p w:rsidR="00545275" w:rsidRPr="00545275" w:rsidRDefault="00545275" w:rsidP="00545275">
      <w:pPr>
        <w:spacing w:after="0"/>
        <w:rPr>
          <w:rFonts w:cs="Times New Roman"/>
          <w:color w:val="000000"/>
          <w:sz w:val="18"/>
          <w:szCs w:val="18"/>
        </w:rPr>
      </w:pPr>
      <w:r w:rsidRPr="00545275">
        <w:rPr>
          <w:rStyle w:val="DipnotBavurusu"/>
          <w:rFonts w:cs="Times New Roman"/>
          <w:sz w:val="18"/>
          <w:szCs w:val="18"/>
        </w:rPr>
        <w:footnoteRef/>
      </w:r>
      <w:r w:rsidRPr="00545275">
        <w:rPr>
          <w:rFonts w:cs="Times New Roman"/>
          <w:sz w:val="18"/>
          <w:szCs w:val="18"/>
        </w:rPr>
        <w:t xml:space="preserve"> </w:t>
      </w:r>
      <w:r w:rsidRPr="00545275">
        <w:rPr>
          <w:rFonts w:cs="Times New Roman"/>
          <w:color w:val="000000"/>
          <w:sz w:val="18"/>
          <w:szCs w:val="18"/>
        </w:rPr>
        <w:t>İstanbul’da o zamanki Şehremini semtinde (günümüzde Fatih) Yenibahçe’de inşa edilmeye başlanan ve 4 Nisan 1845’te tamamlanan hastanenin resmî adı “Yenibahçe’de kâin Bezm-i âlem Gurebâ-i Müslimîn Hastanesi”dir. Halk kısa isimleri tercihle “Bezm-i âlem Hastanesi”, “Valide Sultan Hastanesi”, “Gurebâ-i Müslimîn Hastanesi” gibi adları kullanmıştır.</w:t>
      </w:r>
    </w:p>
  </w:footnote>
  <w:footnote w:id="103">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“Yenibahçe’de kâin Gurebâ-yı Müslimîn Hastahânesi’nce su-i isti’mâlât vukû’una dâir alınan bir kıt’a varaka-i ihbâriyyenin arz olunduğuna dâir kayıt”, 418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9 Temmuz 1308 (21 Temmuz 1892). Hastanede yolsuzluk yapıldığına dair istihbarat, Gurebâ Hastanesi doktorlarından Hüseyin İhsan, Muhyiddin İhsan ve Ahmed Cemaleddin Beylerin imzalarını taşıyan bir ihbarnameye dayanıyordu. İhbarname sureti için bkz.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486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25 Teşrînievvel 1308 (6 Kasım 1892); ayrıca bkz.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“Yenibahçe’de Gurebâ-yı Müslimîn Hastahanesi’nin sû-i istimâlâtına dâir vürûd eden ihbârnâmenin leffiyle arz kaydı”, 508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17 Kânûnıevvel 1308 (29 Aralık 1892).</w:t>
      </w:r>
    </w:p>
  </w:footnote>
  <w:footnote w:id="104">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“Gurebâ-yı Müslîmin Hastahânesi’nce vukû’ bulan sû-i isti’mâlâtın teftîş ve tahkîki[ne] yolsuz icrâ ve tesâhub ve garaz karıştığına dâir istihbârât-ı mevsûkayı hâvî arz kaydı”, 433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23 Temmuz 1308 (9 Ağustos 1892).</w:t>
      </w:r>
    </w:p>
  </w:footnote>
  <w:footnote w:id="105">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w:t>
      </w:r>
      <w:proofErr w:type="gramStart"/>
      <w:r w:rsidRPr="00545275">
        <w:rPr>
          <w:rFonts w:ascii="Palatino Linotype" w:hAnsi="Palatino Linotype" w:cs="Times New Roman"/>
          <w:sz w:val="18"/>
          <w:szCs w:val="18"/>
        </w:rPr>
        <w:t xml:space="preserve">Jurnalde Galib Paşa’nın suçlandığı bölüm şöyledir: “Cedde-i mâcide-i hazreti hilâfet-penâhîlerinin âsâr-ı celîle-i hayriyyesinden bulunan Gurebâ-i Müslimîn Hastahânesi’nin usûl-i tedâvîye yolsuz mu’âmele edilmesinden ve etıbbâ-yı mevcûdenin tedâbîr-i vâkı’asına ehemmiyet verilmemesinden ve muâcelâtın reçetelere tevfîkan yapılmamasından ve daha sâir bir hayli yolsuzluklardan dolayı merzâdan bir haylisinin vefât ettikleri hakkında fî 9 Temmuz 1308 (21 Temmuz 1892) ve 20 Temmuz 1308 (1 Ağustos 1892) ve 28 Temmuz 1308 (9 Ağustos 1892) tarîhlerinde atebe-i felek-mertebe-i hazret-i zıllullâhîlerine üç kıt’a jurnal takdîmine mücâseret eylemiş idim. (…) mezkûr hastahânenin serî’an ıslâhı vücûbu meclis-i mezkûrdan bâ-mazbata Nâzır-ı müşârün-ileyhe (Galib Paşa’ya) bildirilmiş ise de ara yere bir takım tesâhub ve iltimâs girmesinden nâşî evrâk-ı tahkîkiye ve mezkûr mazbata mündericâtı mevki-i icrâya konulmayarak…” </w:t>
      </w:r>
      <w:proofErr w:type="gramEnd"/>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“Evkâf Nâzırı Galib Paşa’nın aleyhine olarak Gurebâ Hastahânesi ıslâhı hakkında arz kaydı”, 479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12 Teşrînievvel 1308 (24 Ekim 1892).     </w:t>
      </w:r>
    </w:p>
  </w:footnote>
  <w:footnote w:id="106">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Bkz.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235, 250, 264, 311, 313, 316, 319, 331, 348, 351, 399, 402, 442, 470, 472 ve 548 numaralı jurnal tahkik raporları.   </w:t>
      </w:r>
    </w:p>
  </w:footnote>
  <w:footnote w:id="107">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“Şeyhülislâm-ı lâhık Cemâleddin Efendi’nin icrâât-ı seyyiesi hakkında arz kaydı”, 442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14 Ağustos 1308 (26 Ağustos 1892).</w:t>
      </w:r>
    </w:p>
  </w:footnote>
  <w:footnote w:id="108">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“Şeyhülislâm Efendi’nin mahrem ittihaz eylediği zâtın ve hânesine geldiği vukû’âtının arz kaydı”, 348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27 Şubat 1307 (10 Mart 1892);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“Şeyhülislâm Efendi’nin İlyas Bey ile muhâberâtta bulunduğuna dair karîne ve delâili hâvi arz kaydı”, 351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25 Şubat 1307 (8 Mart 1892).</w:t>
      </w:r>
    </w:p>
  </w:footnote>
  <w:footnote w:id="109">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“Şeyhülislâm Cemâleddin Efendi huzûrunda akd-i meşveret edildiğine dair arz kaydı”, 313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24 Kânûnıevvel 1307 (5 Ocak 1892);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316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26 Kânûnıevvel 1307 (7 Ocak 1892).</w:t>
      </w:r>
    </w:p>
  </w:footnote>
  <w:footnote w:id="110">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“Meclis-i Hâss-ı Vükelâ’da Adliye Nâzırı Rıza Paşa’nın Serasker Rıza Paşa’ya ve Şeyhülislâm Cemâl Efendi’ye ve Sadrazam Cevad Paşa’ya sadet hâricinde olarak itâle-i kelâm eylediği hakkında arz kaydı”, 312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20 Kânûnıevvel 1307 (1 Ocak 1892).</w:t>
      </w:r>
    </w:p>
  </w:footnote>
  <w:footnote w:id="111">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Bkz. Abdurrahman Şeref Efendi, </w:t>
      </w:r>
      <w:r w:rsidRPr="00545275">
        <w:rPr>
          <w:rFonts w:ascii="Palatino Linotype" w:hAnsi="Palatino Linotype" w:cs="Times New Roman"/>
          <w:i/>
          <w:sz w:val="18"/>
          <w:szCs w:val="18"/>
        </w:rPr>
        <w:t>Abdurrahman Şeref Efendi Tarihi- II. Meşrutiyet Olayları (1908-1909)</w:t>
      </w:r>
      <w:r w:rsidRPr="00545275">
        <w:rPr>
          <w:rFonts w:ascii="Palatino Linotype" w:hAnsi="Palatino Linotype" w:cs="Times New Roman"/>
          <w:sz w:val="18"/>
          <w:szCs w:val="18"/>
        </w:rPr>
        <w:t>, Bayram Kodaman-Mehmet Ali Ünal (Haz.), Türk Tarih Kurumu Yayınları, Ankara, 1996, s. 5.</w:t>
      </w:r>
    </w:p>
  </w:footnote>
  <w:footnote w:id="112">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 Mûmâ-ileyh İrfan Bey kulları[nın] davet-i vâkı’aya icâbeti tabiî olup ancak esnâ-yı mülâkâtta ne yolda mu’âmelede bulunmak lüzûmunun atebe-i felek-mertebe-i hazret-i zillullâhîlerinden istizânı için bu gece vesâtat-ı ubeydâneme mürâcaat eylemiştir (…)”;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“Dava Vekili mevâlîden İrfan Bey’i Şehzâde Reşâd Efendi[nin] huzûruna celb eylediği hakkında arz kaydı”, 297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 Teşrînisânî 1307 (13 Kasım 1891). </w:t>
      </w:r>
    </w:p>
  </w:footnote>
  <w:footnote w:id="113">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 </w:t>
      </w:r>
      <w:proofErr w:type="gramStart"/>
      <w:r w:rsidRPr="00545275">
        <w:rPr>
          <w:rFonts w:ascii="Palatino Linotype" w:hAnsi="Palatino Linotype" w:cs="Times New Roman"/>
          <w:sz w:val="18"/>
          <w:szCs w:val="18"/>
        </w:rPr>
        <w:t xml:space="preserve">Mârru’l-arz Mardirosyan Kigork Efendi’nin Muhâcîrîn Komisyonu Reisi Yusuf Rıza Paşa’ya fevkalâde mensûbiyetle berâber dava vekâleti dolayısıyla müşârün-ileyh Reşâd Efendi Hazretlerine dahi kesb-i intisâb etmiş olması be-gâyet nazar-ı dikkati câlib ve müşârün-ileyh Reşâd Efendi Hazretleriyle Yusuf Rıza Paşa arasındaki vâsıta-i muhâbere bulunması dahi esbâb-ı âtiyeye binâen muhakkak denilecek sûrette melhûzdur (…) bunların el-yevm Reşâd Efendi Hazretlerinin menâfiine hizmet eyledikleri istidlâl kılınıyor (…)”; Kırımî-zâde… </w:t>
      </w:r>
      <w:proofErr w:type="gramEnd"/>
      <w:r w:rsidRPr="00545275">
        <w:rPr>
          <w:rFonts w:ascii="Palatino Linotype" w:hAnsi="Palatino Linotype" w:cs="Times New Roman"/>
          <w:sz w:val="18"/>
          <w:szCs w:val="18"/>
        </w:rPr>
        <w:t xml:space="preserve">,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“Dava Vekili mevâlîden İrfan Bey’i Şehzâde Reşâd Efendi[nin] huzûruna celb eylediği hakkında arz kaydı”, 297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 Teşrînisânî 1307 (13 Kasım 1891).   </w:t>
      </w:r>
    </w:p>
  </w:footnote>
  <w:footnote w:id="114">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“Dava Vekili İrfan Bey’in mülâkât ettiği[nin] Şehzâde Reşâd Efendi Hazretleri olmayıp Şehzâde Süleyman Efendi Hazretleri olduğuna dair arz kaydı ve İrfan Bey’in takdîm ettiği varaka”, 299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 Teşrînisânî 1307 (14 Kasım 1891).   </w:t>
      </w:r>
    </w:p>
  </w:footnote>
  <w:footnote w:id="115">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 xml:space="preserve">a.g.e </w:t>
      </w:r>
      <w:r w:rsidRPr="00545275">
        <w:rPr>
          <w:rFonts w:ascii="Palatino Linotype" w:hAnsi="Palatino Linotype" w:cs="Times New Roman"/>
          <w:sz w:val="18"/>
          <w:szCs w:val="18"/>
        </w:rPr>
        <w:t xml:space="preserve">, “İrfan Bey tarafından verilen mezkûr varaka”, 299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 Teşrînisânî 1307 (14 Kasım 1891).   </w:t>
      </w:r>
    </w:p>
  </w:footnote>
  <w:footnote w:id="116">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“Bayram mülâbesesiyle dünkü gün Uryânî-zâde hafîdi Nâîb-i Mısır Cemil Bey kullarının Nakkaş’ta kâin hânesine azîmet etmiş idim. Bâzı züvvâr ile ma’an otururken kendisine postacı ma’rifetiyle birkaç mektûb geldi. Ba’de’l-kırâe kemâl-i teessürle iki tanesini ‘oku’ diye verdi. Okudum, biri Mısır Kadısı’ndan diğeri Ahmed mührüyle memhûr olarak yine Mısır’dan gelmiş idi. Sâhib-i mührün kim olduğunu sordum, ‘ahbâbımdır’ dedi. Meâlleri Mısır Meselesi ve Hidiv ile Gazi Muhtar Paşa beyninde tahaddüs etmiş ihtilâftan bâhis idi (…);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“Mısır havâdisine dâir Nâib-i Mısır ve ahâlî-i mu’tebereden Cemil Bey’in ahz eylediği mekâtib meâleri şâyân-ı i’tinâ olduğu görülmekle arz kaydıdır”, 372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19 Nisan 1308 (1 Mayıs 1892).</w:t>
      </w:r>
    </w:p>
  </w:footnote>
  <w:footnote w:id="117">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“Mısır havâdisine dâir Nâib-i Mısır Cemil Efendi’den vürûd eden mektûb meâlini hâvî arz kaydı”, 336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6 Şubat 1307 (18 Şubat 1892).</w:t>
      </w:r>
    </w:p>
  </w:footnote>
  <w:footnote w:id="118">
    <w:p w:rsidR="00545275" w:rsidRPr="00545275" w:rsidRDefault="00545275" w:rsidP="00545275">
      <w:pPr>
        <w:pStyle w:val="DipnotMetni"/>
        <w:jc w:val="both"/>
        <w:rPr>
          <w:rFonts w:ascii="Palatino Linotype" w:hAnsi="Palatino Linotype" w:cs="Times New Roman"/>
          <w:i/>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“Şeyhülislâm-ı esbak merhûm Uryânî-zâde hafîdi Cemil Bey kullarıyla esnâ-yı mülâkâtımızda hasbe’l-hukûk Mısır Kadısı olan Bereket-zâde Cemâleddîn Efendi kullarıyla her vakit muhâbere etmekte olduğunu bildiğimden Mısır’ca şâyân-ı ehemmiyet bir havâdis olup olmadığını istisfâr ettim. Kâdı-i müşârün-ileyhten bu hafta almış olduğu mektûbda ‘Mısır Nakîbi sâdât-ı bekriyeden Abdülbâki Efendi’nin vukû’-ı vefâtı üzerine müteveffânın birâderi on sekiz yaşındaki Seyyid Tevfîk’in İngiliz Konsolosu General Sir Ovalin Barenbug’un iltimâsıyla Nakîbüleşrâf olduğunu’ (…) arza cür’et eylerim, fermân…”;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“Mısır havâdisine dâir Nâib-i Mısır Cemil Efendi’den vürûd eden mektûb meâlini hâvî arz kaydı”, 336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6 Şubat 1307 (18 Şubat 1892).</w:t>
      </w:r>
    </w:p>
  </w:footnote>
  <w:footnote w:id="119">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“Kâhire’de Rumca neşr olunan ‘Ermis’ nâm gazetenin 2 Nisan 1309 [14 Nisan 1893] târîh ve 715 numaralı nüshasında gâyetle muzır bir bend görülerek tercümesiyle berâber Musâhib-i hazret-i şehriyârî saâdetlü Lütfî Beyefendi Hazretlerine gönderildiği berâ-yı ma’lûmât arz olundu, ol bâbda…”;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“İzmir Telgraf Müdürü Mehmed Reşâd Bey’den gelen mektûbun leffiyle arz kaydı”, 543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20 Nisan 1309 (2 Mayıs 1893).</w:t>
      </w:r>
    </w:p>
  </w:footnote>
  <w:footnote w:id="120">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Rapor ve jurnallerde bu iki bölge bazen “Memâlik-i Mahrûse-i Şâhâne” olarak geçer.</w:t>
      </w:r>
    </w:p>
  </w:footnote>
  <w:footnote w:id="121">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Bilindiği gibi, 1890’lı yılların başlarında Avrupa ülkeleri ve Rusya’dan göç etmek zorunda kalan Yahudiler için yerleşim yeri arayışları devam ederken, Yahudi Hahambaşısı Haziran 1891’de Osmanlı hükümetine başvurarak dindaşlarının Filistin’e yerleşmelerine izin verilmesini talep etmişti. </w:t>
      </w:r>
      <w:proofErr w:type="gramStart"/>
      <w:r w:rsidRPr="00545275">
        <w:rPr>
          <w:rFonts w:ascii="Palatino Linotype" w:hAnsi="Palatino Linotype" w:cs="Times New Roman"/>
          <w:sz w:val="18"/>
          <w:szCs w:val="18"/>
        </w:rPr>
        <w:t xml:space="preserve">Önde gelen çok sayıda Yahudiden de benzer talepler gelince II. Abdülhamid 2 Temmuz 1891 tarihinde bir irade yayımlamış ve Avrupa ülkelerinden göç eden Yahudilerin Filistin’e yerleşmeleri durumunda bölge halkının zor durumda kalacağını belirterek, Yahudilerin Osmanlı topraklarına yerleşmelerine izin verilmemesi ve Amerika’ya göç etmelerinin teşvik edilmesi gerektiğini bildirmişti; irade-i seniyyeler için bkz. BOA, </w:t>
      </w:r>
      <w:r w:rsidRPr="00545275">
        <w:rPr>
          <w:rFonts w:ascii="Palatino Linotype" w:hAnsi="Palatino Linotype" w:cs="Times New Roman"/>
          <w:i/>
          <w:sz w:val="18"/>
          <w:szCs w:val="18"/>
        </w:rPr>
        <w:t xml:space="preserve">İ.DH. </w:t>
      </w:r>
      <w:proofErr w:type="gramEnd"/>
      <w:r w:rsidRPr="00545275">
        <w:rPr>
          <w:rFonts w:ascii="Palatino Linotype" w:hAnsi="Palatino Linotype" w:cs="Times New Roman"/>
          <w:sz w:val="18"/>
          <w:szCs w:val="18"/>
        </w:rPr>
        <w:t xml:space="preserve">, 96607, H. 23.11.1308 (M. 30.06.1891) ve </w:t>
      </w:r>
      <w:r w:rsidRPr="00545275">
        <w:rPr>
          <w:rFonts w:ascii="Palatino Linotype" w:hAnsi="Palatino Linotype" w:cs="Times New Roman"/>
          <w:i/>
          <w:sz w:val="18"/>
          <w:szCs w:val="18"/>
        </w:rPr>
        <w:t xml:space="preserve">İ.DH. </w:t>
      </w:r>
      <w:r w:rsidRPr="00545275">
        <w:rPr>
          <w:rFonts w:ascii="Palatino Linotype" w:hAnsi="Palatino Linotype" w:cs="Times New Roman"/>
          <w:sz w:val="18"/>
          <w:szCs w:val="18"/>
        </w:rPr>
        <w:t xml:space="preserve">, 96609, H. 25.11.1308 (M. 02.07.1891).  </w:t>
      </w:r>
    </w:p>
  </w:footnote>
  <w:footnote w:id="122">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“Suriye ve Beyrut vilayetlerinde Rusya’dan matrûd Yahudilerin arâzî mübâyaa ve iskânları hakkında Şam Bidâyet Reisi’nin mektubunun arz kaydı ve mezkûr mektubun sûreti”, 432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fî Gurre-i Muharrem 1310 (Temmuz 1892).</w:t>
      </w:r>
    </w:p>
  </w:footnote>
  <w:footnote w:id="123">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“En mühim husûsâtın muhâberesinde Liman Reisiyle taşra Liman me’mûrlarının şifre isti’mâl etmelerine dâir şeref-sudûr ve sünûh buyrulan irâde-i seniyye-i cenâb-ı cihân-bânîlerini müteâkib (…)”;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“Sevâhil Liman me’mûrlarının husûsât-ı rûz-merrenin telgrafla Liman Riyâseti’ne bildirmesi hakkında irâde-i seniyye şeref-sâdır olmuş iken Bahriye Nezâreti[nin] işbu irâde hükmünü men’eylediğine dâir arz kaydı”,  379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7 Mayıs 1308 (19 Mayıs 1892).   </w:t>
      </w:r>
    </w:p>
  </w:footnote>
  <w:footnote w:id="124">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13 Aralık 1892 tarihinde Saray’a takdim edilen bir raporda, 9 Temmuz 1892’den 12 Aralık 1893’e kadar geçen beş aylık sürede İzmir Telgraf ve Posta Müdürlüğü’nden Telgraf ve Posta Nezareti’ne toplam 6309 muzır evrak gönderildiği kaydedilmiştir; bkz.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“İzmir Telgraf ve Posta Başmüdürü Reşad Bey’in mektubunun sâreti”, 503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3 Kânûnıevvel 1308 (15 Aralık 1892).  </w:t>
      </w:r>
    </w:p>
  </w:footnote>
  <w:footnote w:id="125">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“Paris’de çıkan ‘La Grandre Vo’ nâm risâle-i mevkûtede şevket-meâb efendimiz hazretleri aleyhinde birçok azviyât-ı mel’anet-kârâne münderic olmakla manzûr-ı âlî buyrulmak üzere mezkûr risâle bu kerre aynen musâhib-i hazret-i şehriyârî saâdetlû Lütfi Beyefendi Hazretlerine takdîm kılındığı berây-ı ma’lûmât arz olunur.”;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“İzmir Telgraf ve Posta Başmüdürü Reşad Bey tarafından alınan iki kıt’a mektûbun leffiyle arz kaydı”, 525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9 Şubat 1308 (21 Şubat 1893).               </w:t>
      </w:r>
    </w:p>
  </w:footnote>
  <w:footnote w:id="126">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“Bu kerre vâsıl olan Marsilya postasında İzmir Jandarma Kumandanı Hıfzı Bey nâmına zuhûr eden on dört numaralı ‘La </w:t>
      </w:r>
      <w:proofErr w:type="gramStart"/>
      <w:r w:rsidRPr="00545275">
        <w:rPr>
          <w:rFonts w:ascii="Palatino Linotype" w:hAnsi="Palatino Linotype" w:cs="Times New Roman"/>
          <w:sz w:val="18"/>
          <w:szCs w:val="18"/>
        </w:rPr>
        <w:t>Türki</w:t>
      </w:r>
      <w:proofErr w:type="gramEnd"/>
      <w:r w:rsidRPr="00545275">
        <w:rPr>
          <w:rFonts w:ascii="Palatino Linotype" w:hAnsi="Palatino Linotype" w:cs="Times New Roman"/>
          <w:sz w:val="18"/>
          <w:szCs w:val="18"/>
        </w:rPr>
        <w:t xml:space="preserve"> Libre’ gazetesiyle iki numaralı ‘Yıldız’ nâm gazete ve bir de ilâvesi mündericâtı veliyy-i ni’met-i bî-minnetimiz şevket-meâb efendimiz hazretleri hakkında bir takım neşriyât-ı melûnâne ile mâlî olmakla mezkûr gazeteler bi’t-tevkîf manzûr-ı âlî buyrulmak üzere Musâhib-i Şehriyârî saâdetlû Lütfi Beyefendi Hazretlerine takdîm kılındığı berâ-yı ma’lûmât marûzdur, ol bâbda…”;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“İzmir Telgraf ve Posta Başmüdürü Reşad Bey tarafından alınan iki kıt’a mektûbun leffiyle arz kaydı”, 525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9 Şubat 1308 (21 Şubat 1893).                 </w:t>
      </w:r>
    </w:p>
  </w:footnote>
  <w:footnote w:id="127">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“Farmason Esrârı nâmıyla Rumca Atina’da neşr olunmakta bulunan risâlenin onuncu nüshasının 153. Sahîfesinde Fahr-i Âlem ve Nebiyy-i Muhterem Efendimiz Hazretleri hakkında bazı tefevvühât-ı nâ-becâ münderic olduğu (…)”;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“İzmir Telgraf ve Posta Başmüdürü Reşad Efendi’nin gönderdiği iki kıt’a mektûbun leffiyle arz kaydı”, 512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30 Kânûnıevvel 1308 (11 Ocak 1893).                  </w:t>
      </w:r>
    </w:p>
  </w:footnote>
  <w:footnote w:id="128">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Limanlara müdahale ettiği gerekçesiyle Bahriye Nazırı Hasan Paşa’nın jurnallerde sıklıkla adı geçiyordu. Örneğin 10 Haziran 1892 tarihli bir raporda, “ehemmiyet-i mevkiiyesi” bulunan Akka Liman Reisi’nin Bahriye Nazırı Hasan Paşa tarafından irade-i seniyye olmaksızın görevinden alındığı ve bu konuda Saray’a bilgi verilmediği kaydedilmiştir;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“Bilâ-irâde Akka Liman Reisi’nin tebdîline ve ümerâ-yı bahriyenin taşraya i’zâm kılındıklarına dâir arz kaydı”, 391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29 Mayıs 1308 (10 Haziran 1892). Bahriye Nazırı’nı konu edinen diğer bir rapora göre, idaresi Liman Riyaseti’ne devredilen Kayıkçılar Kalemi’nin Bahriye Nazırı tarafından yeniden düzenlenmesinin “devlet işlerinde kötü neticeler hâsıl edeceği” Saray’a bildirilmiştir;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“Liman Riyâseti İdâresi’ne muhavvel Kayıkçılar Kalemi’nin tensîk ve kısmen lağvı hakkında Bahriye Nâzırı’nın kıyâm eylemesi umûr-ı idâre-i devletce sû-i netîce hâsıl eyleyeceğine dâir arz kaydı”, 398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10 Haziran 1308 (22 Haziran 1892).                  </w:t>
      </w:r>
    </w:p>
  </w:footnote>
  <w:footnote w:id="129">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“Sevâhil Liman me’mûrlarının husûsât-ı rûz-merrenin telgrafla Liman Riyâseti’ne bildirmesi hakkında irâde-i seniyye şeref-sâdır olmuş iken Bahriye Nezâreti[nin] işbu irâde hükmünü men’eylediğine dâir arz kaydı”, 379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7 Mayıs 1308 (19 Mayıs 1892).   </w:t>
      </w:r>
    </w:p>
  </w:footnote>
  <w:footnote w:id="130">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“Sûret-i tahrîrâtı fî 21 Şaban 1309 ve 8 Mart 1308 târih ve 4 numaralı olarak Kal’a-i Sultâniye Limanı Reisi’nden mevrûd tahrîrât”, 379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7 Mayıs 1308 (19 Mayıs 1892).   </w:t>
      </w:r>
    </w:p>
  </w:footnote>
  <w:footnote w:id="131">
    <w:p w:rsidR="00545275" w:rsidRPr="00545275" w:rsidRDefault="00545275" w:rsidP="00545275">
      <w:pPr>
        <w:pStyle w:val="DipnotMetni"/>
        <w:jc w:val="both"/>
        <w:rPr>
          <w:rFonts w:ascii="Palatino Linotype" w:hAnsi="Palatino Linotype" w:cs="Times New Roman"/>
          <w:sz w:val="18"/>
          <w:szCs w:val="18"/>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“Liman umûru hakkında Bahriye Nezâreti’ne hitâben şeref-sünûh buyrulan irâde-i seniyye-i hilâfet-penâhînin nezâret tarafından Liman Riyâseti’ne teblîğ edildiğine dâir arz kaydı”  382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 xml:space="preserve">.t.r. 10 Mayıs 1308 (22 Mayıs 1892).   </w:t>
      </w:r>
    </w:p>
  </w:footnote>
  <w:footnote w:id="132">
    <w:p w:rsidR="00545275" w:rsidRPr="00E15E9F" w:rsidRDefault="00545275" w:rsidP="00545275">
      <w:pPr>
        <w:pStyle w:val="DipnotMetni"/>
        <w:jc w:val="both"/>
        <w:rPr>
          <w:rFonts w:ascii="Times New Roman" w:hAnsi="Times New Roman" w:cs="Times New Roman"/>
        </w:rPr>
      </w:pPr>
      <w:r w:rsidRPr="00545275">
        <w:rPr>
          <w:rStyle w:val="DipnotBavurusu"/>
          <w:rFonts w:ascii="Palatino Linotype" w:hAnsi="Palatino Linotype" w:cs="Times New Roman"/>
          <w:sz w:val="18"/>
          <w:szCs w:val="18"/>
        </w:rPr>
        <w:footnoteRef/>
      </w:r>
      <w:r w:rsidRPr="00545275">
        <w:rPr>
          <w:rFonts w:ascii="Palatino Linotype" w:hAnsi="Palatino Linotype" w:cs="Times New Roman"/>
          <w:sz w:val="18"/>
          <w:szCs w:val="18"/>
        </w:rPr>
        <w:t xml:space="preserve"> Kırımî-zâde… , </w:t>
      </w:r>
      <w:r w:rsidRPr="00545275">
        <w:rPr>
          <w:rFonts w:ascii="Palatino Linotype" w:hAnsi="Palatino Linotype" w:cs="Times New Roman"/>
          <w:i/>
          <w:sz w:val="18"/>
          <w:szCs w:val="18"/>
        </w:rPr>
        <w:t>a.g.e.</w:t>
      </w:r>
      <w:r w:rsidRPr="00545275">
        <w:rPr>
          <w:rFonts w:ascii="Palatino Linotype" w:hAnsi="Palatino Linotype" w:cs="Times New Roman"/>
          <w:sz w:val="18"/>
          <w:szCs w:val="18"/>
        </w:rPr>
        <w:t xml:space="preserve"> , “Sûret-i tahrîrâtı fî 21 Şaban 1309 ve 8 Mart 1308 târih ve 4 numaralı olarak Kal’a-i Sultâniye Limanı Reisi’nden mevrûd tahrîrât”, 379 nr. </w:t>
      </w:r>
      <w:proofErr w:type="gramStart"/>
      <w:r w:rsidRPr="00545275">
        <w:rPr>
          <w:rFonts w:ascii="Palatino Linotype" w:hAnsi="Palatino Linotype" w:cs="Times New Roman"/>
          <w:sz w:val="18"/>
          <w:szCs w:val="18"/>
        </w:rPr>
        <w:t>j</w:t>
      </w:r>
      <w:proofErr w:type="gramEnd"/>
      <w:r w:rsidRPr="00545275">
        <w:rPr>
          <w:rFonts w:ascii="Palatino Linotype" w:hAnsi="Palatino Linotype" w:cs="Times New Roman"/>
          <w:sz w:val="18"/>
          <w:szCs w:val="18"/>
        </w:rPr>
        <w:t>.t.r. 7 Mayıs 1308 (19 Mayıs 1892).</w:t>
      </w:r>
      <w:r w:rsidRPr="00E15E9F">
        <w:rPr>
          <w:rFonts w:ascii="Times New Roman" w:hAnsi="Times New Roman" w:cs="Times New Roman"/>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oKlavuzu"/>
      <w:tblW w:w="0" w:type="auto"/>
      <w:tblInd w:w="108" w:type="dxa"/>
      <w:tblBorders>
        <w:top w:val="none" w:sz="0" w:space="0" w:color="auto"/>
        <w:left w:val="none" w:sz="0" w:space="0" w:color="auto"/>
        <w:bottom w:val="single" w:sz="18" w:space="0" w:color="663300"/>
        <w:right w:val="none" w:sz="0" w:space="0" w:color="auto"/>
        <w:insideH w:val="none" w:sz="0" w:space="0" w:color="auto"/>
        <w:insideV w:val="none" w:sz="0" w:space="0" w:color="auto"/>
      </w:tblBorders>
      <w:tblLook w:val="04A0"/>
    </w:tblPr>
    <w:tblGrid>
      <w:gridCol w:w="9072"/>
    </w:tblGrid>
    <w:tr w:rsidR="007F306F" w:rsidRPr="005C32FC" w:rsidTr="005C32FC">
      <w:tc>
        <w:tcPr>
          <w:tcW w:w="9072" w:type="dxa"/>
        </w:tcPr>
        <w:p w:rsidR="007F306F" w:rsidRPr="005C32FC" w:rsidRDefault="00E63EF5" w:rsidP="000A2C7D">
          <w:pPr>
            <w:pStyle w:val="stbilgi"/>
            <w:tabs>
              <w:tab w:val="clear" w:pos="4536"/>
              <w:tab w:val="clear" w:pos="9072"/>
            </w:tabs>
            <w:ind w:left="-108" w:right="-108" w:firstLine="0"/>
            <w:rPr>
              <w:sz w:val="20"/>
            </w:rPr>
          </w:pPr>
          <w:r>
            <w:rPr>
              <w:sz w:val="20"/>
            </w:rPr>
            <w:t>Yıldız Sosyal Bilimler Enstitüsü Dergisi 2017</w:t>
          </w:r>
          <w:r w:rsidR="008757E3">
            <w:rPr>
              <w:sz w:val="20"/>
            </w:rPr>
            <w:t>, Cilt XX, Sayı XX, s. xx-xx</w:t>
          </w:r>
          <w:r>
            <w:rPr>
              <w:sz w:val="20"/>
            </w:rPr>
            <w:t xml:space="preserve">                 </w:t>
          </w:r>
          <w:r w:rsidR="007F306F">
            <w:rPr>
              <w:sz w:val="20"/>
            </w:rPr>
            <w:t xml:space="preserve">                  </w:t>
          </w:r>
          <w:r w:rsidR="00AC4D62">
            <w:rPr>
              <w:sz w:val="20"/>
            </w:rPr>
            <w:t xml:space="preserve">    </w:t>
          </w:r>
          <w:r w:rsidR="00545275">
            <w:rPr>
              <w:sz w:val="20"/>
            </w:rPr>
            <w:t>Emre Gör</w:t>
          </w:r>
        </w:p>
      </w:tc>
    </w:tr>
  </w:tbl>
  <w:p w:rsidR="007F306F" w:rsidRPr="005C32FC" w:rsidRDefault="007F306F" w:rsidP="005C32FC">
    <w:pPr>
      <w:pStyle w:val="stbilgi"/>
      <w:rPr>
        <w:sz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proofState w:grammar="clean"/>
  <w:documentProtection w:formatting="1" w:enforcement="0"/>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D1317B"/>
    <w:rsid w:val="00045CAA"/>
    <w:rsid w:val="000470CD"/>
    <w:rsid w:val="00050382"/>
    <w:rsid w:val="00057C51"/>
    <w:rsid w:val="000A2C7D"/>
    <w:rsid w:val="000F4C1E"/>
    <w:rsid w:val="00144372"/>
    <w:rsid w:val="00173870"/>
    <w:rsid w:val="001F4C96"/>
    <w:rsid w:val="0020168A"/>
    <w:rsid w:val="002118E1"/>
    <w:rsid w:val="00217F33"/>
    <w:rsid w:val="00240C2F"/>
    <w:rsid w:val="00260F5A"/>
    <w:rsid w:val="00261DE7"/>
    <w:rsid w:val="002D2499"/>
    <w:rsid w:val="0030645B"/>
    <w:rsid w:val="00324E89"/>
    <w:rsid w:val="0037679B"/>
    <w:rsid w:val="0043154D"/>
    <w:rsid w:val="00481933"/>
    <w:rsid w:val="005350CF"/>
    <w:rsid w:val="00545275"/>
    <w:rsid w:val="005712FA"/>
    <w:rsid w:val="005C32FC"/>
    <w:rsid w:val="006006E7"/>
    <w:rsid w:val="006339DA"/>
    <w:rsid w:val="006463EC"/>
    <w:rsid w:val="00650250"/>
    <w:rsid w:val="00662CC7"/>
    <w:rsid w:val="006671BF"/>
    <w:rsid w:val="00671CBE"/>
    <w:rsid w:val="006A4455"/>
    <w:rsid w:val="00741481"/>
    <w:rsid w:val="007524F0"/>
    <w:rsid w:val="00753953"/>
    <w:rsid w:val="007F306F"/>
    <w:rsid w:val="00804360"/>
    <w:rsid w:val="00805418"/>
    <w:rsid w:val="00807557"/>
    <w:rsid w:val="00810F9A"/>
    <w:rsid w:val="00850E5D"/>
    <w:rsid w:val="008757E3"/>
    <w:rsid w:val="008B6E5E"/>
    <w:rsid w:val="008D39EF"/>
    <w:rsid w:val="00962581"/>
    <w:rsid w:val="00971A2A"/>
    <w:rsid w:val="009C03AD"/>
    <w:rsid w:val="00AC4D62"/>
    <w:rsid w:val="00B10D8A"/>
    <w:rsid w:val="00BA6095"/>
    <w:rsid w:val="00BC59F9"/>
    <w:rsid w:val="00C55A5F"/>
    <w:rsid w:val="00CA301A"/>
    <w:rsid w:val="00CE1C30"/>
    <w:rsid w:val="00CF5A4A"/>
    <w:rsid w:val="00D048A8"/>
    <w:rsid w:val="00D1317B"/>
    <w:rsid w:val="00D52BA4"/>
    <w:rsid w:val="00DD6F21"/>
    <w:rsid w:val="00E26D1A"/>
    <w:rsid w:val="00E63EF5"/>
    <w:rsid w:val="00E66ED6"/>
    <w:rsid w:val="00EB2BAE"/>
    <w:rsid w:val="00EC786B"/>
    <w:rsid w:val="00ED68C1"/>
    <w:rsid w:val="00F13EDB"/>
    <w:rsid w:val="00F3245C"/>
    <w:rsid w:val="00F42627"/>
    <w:rsid w:val="00F74DC6"/>
    <w:rsid w:val="00FD1C3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C7D"/>
    <w:pPr>
      <w:spacing w:before="120" w:after="120" w:line="240" w:lineRule="auto"/>
      <w:ind w:firstLine="567"/>
      <w:jc w:val="both"/>
    </w:pPr>
    <w:rPr>
      <w:rFonts w:ascii="Palatino Linotype" w:hAnsi="Palatino Linotype"/>
    </w:rPr>
  </w:style>
  <w:style w:type="paragraph" w:styleId="Balk1">
    <w:name w:val="heading 1"/>
    <w:basedOn w:val="Normal"/>
    <w:next w:val="Normal"/>
    <w:link w:val="Balk1Char"/>
    <w:uiPriority w:val="9"/>
    <w:qFormat/>
    <w:rsid w:val="00240C2F"/>
    <w:pPr>
      <w:keepNext/>
      <w:keepLines/>
      <w:spacing w:before="240"/>
      <w:ind w:firstLine="0"/>
      <w:jc w:val="left"/>
      <w:outlineLvl w:val="0"/>
    </w:pPr>
    <w:rPr>
      <w:rFonts w:eastAsiaTheme="majorEastAsia" w:cstheme="majorBidi"/>
      <w:b/>
      <w:szCs w:val="32"/>
    </w:rPr>
  </w:style>
  <w:style w:type="paragraph" w:styleId="Balk2">
    <w:name w:val="heading 2"/>
    <w:basedOn w:val="Normal"/>
    <w:next w:val="Normal"/>
    <w:link w:val="Balk2Char"/>
    <w:uiPriority w:val="9"/>
    <w:unhideWhenUsed/>
    <w:qFormat/>
    <w:rsid w:val="00BC59F9"/>
    <w:pPr>
      <w:keepNext/>
      <w:keepLines/>
      <w:spacing w:before="240"/>
      <w:ind w:firstLine="0"/>
      <w:outlineLvl w:val="1"/>
    </w:pPr>
    <w:rPr>
      <w:rFonts w:eastAsiaTheme="majorEastAsia" w:cstheme="majorBidi"/>
      <w:b/>
      <w:szCs w:val="26"/>
    </w:rPr>
  </w:style>
  <w:style w:type="paragraph" w:styleId="Balk3">
    <w:name w:val="heading 3"/>
    <w:basedOn w:val="Normal"/>
    <w:next w:val="Normal"/>
    <w:link w:val="Balk3Char"/>
    <w:uiPriority w:val="9"/>
    <w:unhideWhenUsed/>
    <w:qFormat/>
    <w:rsid w:val="00BC59F9"/>
    <w:pPr>
      <w:keepNext/>
      <w:keepLines/>
      <w:spacing w:before="240"/>
      <w:outlineLvl w:val="2"/>
    </w:pPr>
    <w:rPr>
      <w:rFonts w:eastAsiaTheme="majorEastAsia" w:cstheme="majorBidi"/>
      <w:b/>
      <w:szCs w:val="24"/>
    </w:rPr>
  </w:style>
  <w:style w:type="paragraph" w:styleId="Balk4">
    <w:name w:val="heading 4"/>
    <w:basedOn w:val="Normal"/>
    <w:next w:val="Normal"/>
    <w:link w:val="Balk4Char"/>
    <w:uiPriority w:val="9"/>
    <w:unhideWhenUsed/>
    <w:qFormat/>
    <w:rsid w:val="00BC59F9"/>
    <w:pPr>
      <w:keepNext/>
      <w:keepLines/>
      <w:spacing w:before="240"/>
      <w:jc w:val="left"/>
      <w:outlineLvl w:val="3"/>
    </w:pPr>
    <w:rPr>
      <w:rFonts w:eastAsiaTheme="majorEastAsia" w:cstheme="majorBidi"/>
      <w:b/>
      <w:i/>
      <w:iCs/>
    </w:rPr>
  </w:style>
  <w:style w:type="paragraph" w:styleId="Balk5">
    <w:name w:val="heading 5"/>
    <w:aliases w:val="tablo"/>
    <w:basedOn w:val="Normal"/>
    <w:next w:val="Normal"/>
    <w:link w:val="Balk5Char"/>
    <w:uiPriority w:val="9"/>
    <w:unhideWhenUsed/>
    <w:qFormat/>
    <w:rsid w:val="00BC59F9"/>
    <w:pPr>
      <w:keepNext/>
      <w:keepLines/>
      <w:spacing w:before="0" w:after="0"/>
      <w:ind w:firstLine="0"/>
      <w:outlineLvl w:val="4"/>
    </w:pPr>
    <w:rPr>
      <w:rFonts w:eastAsiaTheme="majorEastAsia" w:cstheme="majorBidi"/>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4819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6A4455"/>
    <w:rPr>
      <w:color w:val="0000FF" w:themeColor="hyperlink"/>
      <w:u w:val="single"/>
    </w:rPr>
  </w:style>
  <w:style w:type="paragraph" w:styleId="BalonMetni">
    <w:name w:val="Balloon Text"/>
    <w:basedOn w:val="Normal"/>
    <w:link w:val="BalonMetniChar"/>
    <w:uiPriority w:val="99"/>
    <w:semiHidden/>
    <w:unhideWhenUsed/>
    <w:rsid w:val="00DD6F21"/>
    <w:pPr>
      <w:spacing w:after="0"/>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D6F21"/>
    <w:rPr>
      <w:rFonts w:ascii="Tahoma" w:hAnsi="Tahoma" w:cs="Tahoma"/>
      <w:sz w:val="16"/>
      <w:szCs w:val="16"/>
    </w:rPr>
  </w:style>
  <w:style w:type="paragraph" w:styleId="stbilgi">
    <w:name w:val="header"/>
    <w:basedOn w:val="Normal"/>
    <w:link w:val="stbilgiChar"/>
    <w:uiPriority w:val="99"/>
    <w:unhideWhenUsed/>
    <w:rsid w:val="005C32FC"/>
    <w:pPr>
      <w:tabs>
        <w:tab w:val="center" w:pos="4536"/>
        <w:tab w:val="right" w:pos="9072"/>
      </w:tabs>
      <w:spacing w:after="0"/>
    </w:pPr>
  </w:style>
  <w:style w:type="character" w:customStyle="1" w:styleId="stbilgiChar">
    <w:name w:val="Üstbilgi Char"/>
    <w:basedOn w:val="VarsaylanParagrafYazTipi"/>
    <w:link w:val="stbilgi"/>
    <w:uiPriority w:val="99"/>
    <w:rsid w:val="005C32FC"/>
  </w:style>
  <w:style w:type="paragraph" w:styleId="Altbilgi">
    <w:name w:val="footer"/>
    <w:basedOn w:val="Normal"/>
    <w:link w:val="AltbilgiChar"/>
    <w:uiPriority w:val="99"/>
    <w:unhideWhenUsed/>
    <w:rsid w:val="005C32FC"/>
    <w:pPr>
      <w:tabs>
        <w:tab w:val="center" w:pos="4536"/>
        <w:tab w:val="right" w:pos="9072"/>
      </w:tabs>
      <w:spacing w:after="0"/>
    </w:pPr>
  </w:style>
  <w:style w:type="character" w:customStyle="1" w:styleId="AltbilgiChar">
    <w:name w:val="Altbilgi Char"/>
    <w:basedOn w:val="VarsaylanParagrafYazTipi"/>
    <w:link w:val="Altbilgi"/>
    <w:uiPriority w:val="99"/>
    <w:rsid w:val="005C32FC"/>
  </w:style>
  <w:style w:type="paragraph" w:styleId="NormalWeb">
    <w:name w:val="Normal (Web)"/>
    <w:basedOn w:val="Normal"/>
    <w:uiPriority w:val="99"/>
    <w:unhideWhenUsed/>
    <w:rsid w:val="00962581"/>
    <w:pPr>
      <w:spacing w:before="100" w:beforeAutospacing="1" w:after="100" w:afterAutospacing="1"/>
    </w:pPr>
    <w:rPr>
      <w:rFonts w:ascii="Times New Roman" w:eastAsia="Times New Roman" w:hAnsi="Times New Roman" w:cs="Times New Roman"/>
      <w:sz w:val="24"/>
      <w:szCs w:val="24"/>
      <w:lang w:eastAsia="tr-TR"/>
    </w:rPr>
  </w:style>
  <w:style w:type="paragraph" w:styleId="KonuBal">
    <w:name w:val="Title"/>
    <w:aliases w:val="makale başlığı"/>
    <w:basedOn w:val="Normal"/>
    <w:next w:val="Normal"/>
    <w:link w:val="KonuBalChar"/>
    <w:uiPriority w:val="10"/>
    <w:rsid w:val="005350CF"/>
    <w:pPr>
      <w:spacing w:before="360" w:after="360"/>
      <w:contextualSpacing/>
      <w:jc w:val="center"/>
    </w:pPr>
    <w:rPr>
      <w:rFonts w:eastAsiaTheme="majorEastAsia" w:cstheme="majorBidi"/>
      <w:b/>
      <w:spacing w:val="-10"/>
      <w:kern w:val="28"/>
      <w:sz w:val="28"/>
      <w:szCs w:val="56"/>
    </w:rPr>
  </w:style>
  <w:style w:type="character" w:customStyle="1" w:styleId="KonuBalChar">
    <w:name w:val="Konu Başlığı Char"/>
    <w:aliases w:val="makale başlığı Char"/>
    <w:basedOn w:val="VarsaylanParagrafYazTipi"/>
    <w:link w:val="KonuBal"/>
    <w:uiPriority w:val="10"/>
    <w:rsid w:val="005350CF"/>
    <w:rPr>
      <w:rFonts w:ascii="Palatino Linotype" w:eastAsiaTheme="majorEastAsia" w:hAnsi="Palatino Linotype" w:cstheme="majorBidi"/>
      <w:b/>
      <w:spacing w:val="-10"/>
      <w:kern w:val="28"/>
      <w:sz w:val="28"/>
      <w:szCs w:val="56"/>
    </w:rPr>
  </w:style>
  <w:style w:type="paragraph" w:styleId="AralkYok">
    <w:name w:val="No Spacing"/>
    <w:aliases w:val="özet/abstract"/>
    <w:uiPriority w:val="1"/>
    <w:qFormat/>
    <w:rsid w:val="005350CF"/>
    <w:pPr>
      <w:spacing w:before="240" w:after="120" w:line="240" w:lineRule="auto"/>
      <w:jc w:val="both"/>
    </w:pPr>
    <w:rPr>
      <w:rFonts w:ascii="Palatino Linotype" w:hAnsi="Palatino Linotype"/>
      <w:sz w:val="20"/>
    </w:rPr>
  </w:style>
  <w:style w:type="character" w:styleId="AklamaBavurusu">
    <w:name w:val="annotation reference"/>
    <w:basedOn w:val="VarsaylanParagrafYazTipi"/>
    <w:uiPriority w:val="99"/>
    <w:semiHidden/>
    <w:unhideWhenUsed/>
    <w:rsid w:val="000A2C7D"/>
    <w:rPr>
      <w:sz w:val="16"/>
      <w:szCs w:val="16"/>
    </w:rPr>
  </w:style>
  <w:style w:type="paragraph" w:styleId="AklamaMetni">
    <w:name w:val="annotation text"/>
    <w:basedOn w:val="Normal"/>
    <w:link w:val="AklamaMetniChar"/>
    <w:uiPriority w:val="99"/>
    <w:semiHidden/>
    <w:unhideWhenUsed/>
    <w:rsid w:val="000A2C7D"/>
    <w:rPr>
      <w:sz w:val="20"/>
      <w:szCs w:val="20"/>
    </w:rPr>
  </w:style>
  <w:style w:type="character" w:customStyle="1" w:styleId="AklamaMetniChar">
    <w:name w:val="Açıklama Metni Char"/>
    <w:basedOn w:val="VarsaylanParagrafYazTipi"/>
    <w:link w:val="AklamaMetni"/>
    <w:uiPriority w:val="99"/>
    <w:semiHidden/>
    <w:rsid w:val="000A2C7D"/>
    <w:rPr>
      <w:rFonts w:ascii="Palatino Linotype" w:hAnsi="Palatino Linotype"/>
      <w:sz w:val="20"/>
      <w:szCs w:val="20"/>
    </w:rPr>
  </w:style>
  <w:style w:type="paragraph" w:styleId="AklamaKonusu">
    <w:name w:val="annotation subject"/>
    <w:basedOn w:val="AklamaMetni"/>
    <w:next w:val="AklamaMetni"/>
    <w:link w:val="AklamaKonusuChar"/>
    <w:uiPriority w:val="99"/>
    <w:semiHidden/>
    <w:unhideWhenUsed/>
    <w:rsid w:val="000A2C7D"/>
    <w:rPr>
      <w:b/>
      <w:bCs/>
    </w:rPr>
  </w:style>
  <w:style w:type="character" w:customStyle="1" w:styleId="AklamaKonusuChar">
    <w:name w:val="Açıklama Konusu Char"/>
    <w:basedOn w:val="AklamaMetniChar"/>
    <w:link w:val="AklamaKonusu"/>
    <w:uiPriority w:val="99"/>
    <w:semiHidden/>
    <w:rsid w:val="000A2C7D"/>
    <w:rPr>
      <w:rFonts w:ascii="Palatino Linotype" w:hAnsi="Palatino Linotype"/>
      <w:b/>
      <w:bCs/>
      <w:sz w:val="20"/>
      <w:szCs w:val="20"/>
    </w:rPr>
  </w:style>
  <w:style w:type="character" w:customStyle="1" w:styleId="Balk1Char">
    <w:name w:val="Başlık 1 Char"/>
    <w:basedOn w:val="VarsaylanParagrafYazTipi"/>
    <w:link w:val="Balk1"/>
    <w:uiPriority w:val="9"/>
    <w:rsid w:val="00240C2F"/>
    <w:rPr>
      <w:rFonts w:ascii="Palatino Linotype" w:eastAsiaTheme="majorEastAsia" w:hAnsi="Palatino Linotype" w:cstheme="majorBidi"/>
      <w:b/>
      <w:szCs w:val="32"/>
    </w:rPr>
  </w:style>
  <w:style w:type="character" w:styleId="HafifVurgulama">
    <w:name w:val="Subtle Emphasis"/>
    <w:aliases w:val="makale başlığı2"/>
    <w:basedOn w:val="KonuBalChar"/>
    <w:uiPriority w:val="19"/>
    <w:qFormat/>
    <w:rsid w:val="00240C2F"/>
    <w:rPr>
      <w:rFonts w:ascii="Palatino Linotype" w:eastAsiaTheme="majorEastAsia" w:hAnsi="Palatino Linotype" w:cstheme="majorBidi"/>
      <w:b w:val="0"/>
      <w:i w:val="0"/>
      <w:iCs/>
      <w:color w:val="404040" w:themeColor="text1" w:themeTint="BF"/>
      <w:spacing w:val="-10"/>
      <w:kern w:val="28"/>
      <w:sz w:val="28"/>
      <w:szCs w:val="56"/>
    </w:rPr>
  </w:style>
  <w:style w:type="paragraph" w:customStyle="1" w:styleId="makalebal2">
    <w:name w:val="makale başlığı 2"/>
    <w:basedOn w:val="Balk1"/>
    <w:next w:val="Normal"/>
    <w:link w:val="makalebal2Char"/>
    <w:qFormat/>
    <w:rsid w:val="00240C2F"/>
    <w:pPr>
      <w:spacing w:before="360" w:after="360"/>
      <w:jc w:val="center"/>
    </w:pPr>
    <w:rPr>
      <w:sz w:val="28"/>
    </w:rPr>
  </w:style>
  <w:style w:type="character" w:customStyle="1" w:styleId="Balk2Char">
    <w:name w:val="Başlık 2 Char"/>
    <w:basedOn w:val="VarsaylanParagrafYazTipi"/>
    <w:link w:val="Balk2"/>
    <w:uiPriority w:val="9"/>
    <w:rsid w:val="00BC59F9"/>
    <w:rPr>
      <w:rFonts w:ascii="Palatino Linotype" w:eastAsiaTheme="majorEastAsia" w:hAnsi="Palatino Linotype" w:cstheme="majorBidi"/>
      <w:b/>
      <w:szCs w:val="26"/>
    </w:rPr>
  </w:style>
  <w:style w:type="character" w:customStyle="1" w:styleId="makalebal2Char">
    <w:name w:val="makale başlığı 2 Char"/>
    <w:basedOn w:val="Balk1Char"/>
    <w:link w:val="makalebal2"/>
    <w:rsid w:val="00240C2F"/>
    <w:rPr>
      <w:rFonts w:ascii="Palatino Linotype" w:eastAsiaTheme="majorEastAsia" w:hAnsi="Palatino Linotype" w:cstheme="majorBidi"/>
      <w:b/>
      <w:sz w:val="28"/>
      <w:szCs w:val="32"/>
    </w:rPr>
  </w:style>
  <w:style w:type="character" w:customStyle="1" w:styleId="Balk3Char">
    <w:name w:val="Başlık 3 Char"/>
    <w:basedOn w:val="VarsaylanParagrafYazTipi"/>
    <w:link w:val="Balk3"/>
    <w:uiPriority w:val="9"/>
    <w:rsid w:val="00BC59F9"/>
    <w:rPr>
      <w:rFonts w:ascii="Palatino Linotype" w:eastAsiaTheme="majorEastAsia" w:hAnsi="Palatino Linotype" w:cstheme="majorBidi"/>
      <w:b/>
      <w:szCs w:val="24"/>
    </w:rPr>
  </w:style>
  <w:style w:type="character" w:customStyle="1" w:styleId="Balk4Char">
    <w:name w:val="Başlık 4 Char"/>
    <w:basedOn w:val="VarsaylanParagrafYazTipi"/>
    <w:link w:val="Balk4"/>
    <w:uiPriority w:val="9"/>
    <w:rsid w:val="00BC59F9"/>
    <w:rPr>
      <w:rFonts w:ascii="Palatino Linotype" w:eastAsiaTheme="majorEastAsia" w:hAnsi="Palatino Linotype" w:cstheme="majorBidi"/>
      <w:b/>
      <w:i/>
      <w:iCs/>
    </w:rPr>
  </w:style>
  <w:style w:type="character" w:customStyle="1" w:styleId="Balk5Char">
    <w:name w:val="Başlık 5 Char"/>
    <w:aliases w:val="tablo Char"/>
    <w:basedOn w:val="VarsaylanParagrafYazTipi"/>
    <w:link w:val="Balk5"/>
    <w:uiPriority w:val="9"/>
    <w:rsid w:val="00BC59F9"/>
    <w:rPr>
      <w:rFonts w:ascii="Palatino Linotype" w:eastAsiaTheme="majorEastAsia" w:hAnsi="Palatino Linotype" w:cstheme="majorBidi"/>
      <w:sz w:val="20"/>
    </w:rPr>
  </w:style>
  <w:style w:type="paragraph" w:styleId="Dzeltme">
    <w:name w:val="Revision"/>
    <w:hidden/>
    <w:uiPriority w:val="99"/>
    <w:semiHidden/>
    <w:rsid w:val="002D2499"/>
    <w:pPr>
      <w:spacing w:after="0" w:line="240" w:lineRule="auto"/>
    </w:pPr>
    <w:rPr>
      <w:rFonts w:ascii="Palatino Linotype" w:hAnsi="Palatino Linotype"/>
    </w:rPr>
  </w:style>
  <w:style w:type="paragraph" w:styleId="DipnotMetni">
    <w:name w:val="footnote text"/>
    <w:basedOn w:val="Normal"/>
    <w:link w:val="DipnotMetniChar"/>
    <w:uiPriority w:val="99"/>
    <w:unhideWhenUsed/>
    <w:rsid w:val="00545275"/>
    <w:pPr>
      <w:spacing w:before="0" w:after="0"/>
      <w:ind w:firstLine="0"/>
      <w:jc w:val="left"/>
    </w:pPr>
    <w:rPr>
      <w:rFonts w:asciiTheme="minorHAnsi" w:eastAsiaTheme="minorEastAsia" w:hAnsiTheme="minorHAnsi"/>
      <w:sz w:val="20"/>
      <w:szCs w:val="20"/>
      <w:lang w:eastAsia="tr-TR"/>
    </w:rPr>
  </w:style>
  <w:style w:type="character" w:customStyle="1" w:styleId="DipnotMetniChar">
    <w:name w:val="Dipnot Metni Char"/>
    <w:basedOn w:val="VarsaylanParagrafYazTipi"/>
    <w:link w:val="DipnotMetni"/>
    <w:uiPriority w:val="99"/>
    <w:rsid w:val="00545275"/>
    <w:rPr>
      <w:rFonts w:eastAsiaTheme="minorEastAsia"/>
      <w:sz w:val="20"/>
      <w:szCs w:val="20"/>
      <w:lang w:eastAsia="tr-TR"/>
    </w:rPr>
  </w:style>
  <w:style w:type="character" w:styleId="DipnotBavurusu">
    <w:name w:val="footnote reference"/>
    <w:basedOn w:val="VarsaylanParagrafYazTipi"/>
    <w:uiPriority w:val="99"/>
    <w:semiHidden/>
    <w:unhideWhenUsed/>
    <w:rsid w:val="00545275"/>
    <w:rPr>
      <w:vertAlign w:val="superscript"/>
    </w:rPr>
  </w:style>
  <w:style w:type="paragraph" w:styleId="HTMLncedenBiimlendirilmi">
    <w:name w:val="HTML Preformatted"/>
    <w:basedOn w:val="Normal"/>
    <w:link w:val="HTMLncedenBiimlendirilmiChar"/>
    <w:uiPriority w:val="99"/>
    <w:unhideWhenUsed/>
    <w:rsid w:val="00545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left"/>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545275"/>
    <w:rPr>
      <w:rFonts w:ascii="Courier New" w:eastAsia="Times New Roman" w:hAnsi="Courier New" w:cs="Courier New"/>
      <w:sz w:val="20"/>
      <w:szCs w:val="20"/>
      <w:lang w:eastAsia="tr-TR"/>
    </w:rPr>
  </w:style>
</w:styles>
</file>

<file path=word/webSettings.xml><?xml version="1.0" encoding="utf-8"?>
<w:webSettings xmlns:r="http://schemas.openxmlformats.org/officeDocument/2006/relationships" xmlns:w="http://schemas.openxmlformats.org/wordprocessingml/2006/main">
  <w:divs>
    <w:div w:id="1325430165">
      <w:bodyDiv w:val="1"/>
      <w:marLeft w:val="0"/>
      <w:marRight w:val="0"/>
      <w:marTop w:val="0"/>
      <w:marBottom w:val="0"/>
      <w:divBdr>
        <w:top w:val="none" w:sz="0" w:space="0" w:color="auto"/>
        <w:left w:val="none" w:sz="0" w:space="0" w:color="auto"/>
        <w:bottom w:val="none" w:sz="0" w:space="0" w:color="auto"/>
        <w:right w:val="none" w:sz="0" w:space="0" w:color="auto"/>
      </w:divBdr>
    </w:div>
    <w:div w:id="180199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4B818-7E06-43A7-8746-94AAA6AE9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8654</Words>
  <Characters>49330</Characters>
  <Application>Microsoft Office Word</Application>
  <DocSecurity>0</DocSecurity>
  <Lines>411</Lines>
  <Paragraphs>115</Paragraphs>
  <ScaleCrop>false</ScaleCrop>
  <HeadingPairs>
    <vt:vector size="2" baseType="variant">
      <vt:variant>
        <vt:lpstr>Konu Başlığı</vt:lpstr>
      </vt:variant>
      <vt:variant>
        <vt:i4>1</vt:i4>
      </vt:variant>
    </vt:vector>
  </HeadingPairs>
  <TitlesOfParts>
    <vt:vector size="1" baseType="lpstr">
      <vt:lpstr/>
    </vt:vector>
  </TitlesOfParts>
  <LinksUpToDate>false</LinksUpToDate>
  <CharactersWithSpaces>57869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2017-03-21T12:15:00Z</dcterms:created>
  <dcterms:modified xsi:type="dcterms:W3CDTF">2017-03-21T12:15:00Z</dcterms:modified>
</cp:coreProperties>
</file>