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BB" w:rsidRPr="00C24DB0" w:rsidRDefault="00ED1427" w:rsidP="007976A9">
      <w:pPr>
        <w:jc w:val="center"/>
        <w:rPr>
          <w:rFonts w:ascii="Times New Roman" w:hAnsi="Times New Roman"/>
          <w:b/>
          <w:bCs/>
        </w:rPr>
      </w:pPr>
      <w:r>
        <w:rPr>
          <w:rFonts w:ascii="Times New Roman" w:hAnsi="Times New Roman"/>
          <w:b/>
          <w:bCs/>
        </w:rPr>
        <w:t>TÜRKİYE VE DÜNYA</w:t>
      </w:r>
      <w:r w:rsidR="00140E3F" w:rsidRPr="00C24DB0">
        <w:rPr>
          <w:rFonts w:ascii="Times New Roman" w:hAnsi="Times New Roman"/>
          <w:b/>
          <w:bCs/>
        </w:rPr>
        <w:t>DA İŞGÜCÜ VERİMLİLİĞİNİN KARŞILAŞTIRMALI ANALİZİ</w:t>
      </w:r>
    </w:p>
    <w:p w:rsidR="00C24DB0" w:rsidRPr="00C24DB0" w:rsidRDefault="00C62A60" w:rsidP="007976A9">
      <w:pPr>
        <w:spacing w:before="120" w:after="120"/>
        <w:jc w:val="right"/>
        <w:rPr>
          <w:rFonts w:ascii="Times New Roman" w:hAnsi="Times New Roman"/>
          <w:b/>
          <w:bCs/>
        </w:rPr>
      </w:pPr>
      <w:r w:rsidRPr="00C24DB0">
        <w:rPr>
          <w:rFonts w:ascii="Times New Roman" w:hAnsi="Times New Roman"/>
          <w:b/>
          <w:bCs/>
        </w:rPr>
        <w:t>Dursun BALKAN</w:t>
      </w:r>
      <w:r w:rsidRPr="00C24DB0">
        <w:rPr>
          <w:rStyle w:val="DipnotBavurusu"/>
          <w:rFonts w:ascii="Times New Roman" w:hAnsi="Times New Roman"/>
          <w:b/>
          <w:bCs/>
        </w:rPr>
        <w:footnoteReference w:id="1"/>
      </w:r>
      <w:r w:rsidRPr="00C24DB0">
        <w:rPr>
          <w:rFonts w:ascii="Times New Roman" w:hAnsi="Times New Roman"/>
          <w:b/>
          <w:bCs/>
        </w:rPr>
        <w:t xml:space="preserve"> </w:t>
      </w:r>
    </w:p>
    <w:p w:rsidR="00C62A60" w:rsidRPr="00C24DB0" w:rsidRDefault="00C62A60" w:rsidP="007976A9">
      <w:pPr>
        <w:spacing w:before="120" w:after="120"/>
        <w:jc w:val="right"/>
        <w:rPr>
          <w:rFonts w:ascii="Times New Roman" w:hAnsi="Times New Roman"/>
          <w:b/>
          <w:bCs/>
        </w:rPr>
      </w:pPr>
      <w:r w:rsidRPr="00C24DB0">
        <w:rPr>
          <w:rFonts w:ascii="Times New Roman" w:hAnsi="Times New Roman"/>
          <w:b/>
          <w:bCs/>
        </w:rPr>
        <w:t>Halit S</w:t>
      </w:r>
      <w:r w:rsidR="00815E14" w:rsidRPr="00C24DB0">
        <w:rPr>
          <w:rFonts w:ascii="Times New Roman" w:hAnsi="Times New Roman"/>
          <w:b/>
          <w:bCs/>
        </w:rPr>
        <w:t>UİÇMEZ</w:t>
      </w:r>
      <w:r w:rsidRPr="00C24DB0">
        <w:rPr>
          <w:rStyle w:val="DipnotBavurusu"/>
          <w:rFonts w:ascii="Times New Roman" w:hAnsi="Times New Roman"/>
          <w:b/>
          <w:bCs/>
        </w:rPr>
        <w:footnoteReference w:id="2"/>
      </w:r>
    </w:p>
    <w:p w:rsidR="009676C9" w:rsidRPr="00140E3F" w:rsidRDefault="00140E3F" w:rsidP="007976A9">
      <w:pPr>
        <w:spacing w:after="240"/>
        <w:rPr>
          <w:rFonts w:ascii="Times New Roman" w:hAnsi="Times New Roman"/>
          <w:b/>
          <w:bCs/>
          <w:i/>
        </w:rPr>
      </w:pPr>
      <w:r w:rsidRPr="00140E3F">
        <w:rPr>
          <w:rFonts w:ascii="Times New Roman" w:hAnsi="Times New Roman"/>
          <w:b/>
          <w:bCs/>
          <w:i/>
        </w:rPr>
        <w:t xml:space="preserve">ÖZET </w:t>
      </w:r>
      <w:r w:rsidR="00193B19" w:rsidRPr="00140E3F">
        <w:rPr>
          <w:rFonts w:ascii="Times New Roman" w:hAnsi="Times New Roman"/>
          <w:b/>
          <w:bCs/>
          <w:i/>
        </w:rPr>
        <w:t xml:space="preserve">                                                                    </w:t>
      </w:r>
    </w:p>
    <w:p w:rsidR="00CA7C01" w:rsidRPr="00140E3F" w:rsidRDefault="00CA7C01" w:rsidP="007976A9">
      <w:pPr>
        <w:widowControl w:val="0"/>
        <w:autoSpaceDE w:val="0"/>
        <w:autoSpaceDN w:val="0"/>
        <w:adjustRightInd w:val="0"/>
        <w:spacing w:before="100" w:after="100"/>
        <w:jc w:val="both"/>
        <w:rPr>
          <w:rFonts w:ascii="Times New Roman" w:hAnsi="Times New Roman"/>
          <w:i/>
        </w:rPr>
      </w:pPr>
      <w:r w:rsidRPr="00140E3F">
        <w:rPr>
          <w:rFonts w:ascii="Times New Roman" w:hAnsi="Times New Roman"/>
          <w:i/>
        </w:rPr>
        <w:t xml:space="preserve">Çalışmanın amacı, Türkiye ile </w:t>
      </w:r>
      <w:r w:rsidR="00ED1427">
        <w:rPr>
          <w:rFonts w:ascii="Times New Roman" w:hAnsi="Times New Roman"/>
          <w:i/>
        </w:rPr>
        <w:t>d</w:t>
      </w:r>
      <w:r w:rsidRPr="00140E3F">
        <w:rPr>
          <w:rFonts w:ascii="Times New Roman" w:hAnsi="Times New Roman"/>
          <w:i/>
        </w:rPr>
        <w:t>ünya ülkeleri arasındaki işgücü verimliliği düzeyini ve değişim oranını saptamaktır. Çalışmanın kapsamı ise; imalat sanayinde işgücü verimliliğinin Türkiye ve Avrupa Ülkelerinde karşılaştırmalı olarak incelenmesidir.  Çalışma dönemi olarak 2005-2014 tarihleri esas alınmıştır. Bu çalışmada oran analizi yöntemi kullanılmıştır. İşgücü verimliliği hesabında, yıllık üretim değerlerinin çalışan sayısına bölünmesi sonucunda elde edilen değer kullanılmıştır. 2005-2014 döneminde Türkiye 24 OECD ülkesi içinde verimlilik değişiminde 17. sırada yer almaktadır. Söz konusu dönemde Türkiye’nin yıllık ortalama işgücü verimliliği artışı %</w:t>
      </w:r>
      <w:r w:rsidR="007976A9">
        <w:rPr>
          <w:rFonts w:ascii="Times New Roman" w:hAnsi="Times New Roman"/>
          <w:i/>
        </w:rPr>
        <w:t xml:space="preserve"> </w:t>
      </w:r>
      <w:r w:rsidRPr="00140E3F">
        <w:rPr>
          <w:rFonts w:ascii="Times New Roman" w:hAnsi="Times New Roman"/>
          <w:i/>
        </w:rPr>
        <w:t>1,64 olarak hesaplanmıştır. 24 ülkenin ortalaması ise %</w:t>
      </w:r>
      <w:r w:rsidR="00140E3F">
        <w:rPr>
          <w:rFonts w:ascii="Times New Roman" w:hAnsi="Times New Roman"/>
          <w:i/>
        </w:rPr>
        <w:t xml:space="preserve"> </w:t>
      </w:r>
      <w:r w:rsidRPr="00140E3F">
        <w:rPr>
          <w:rFonts w:ascii="Times New Roman" w:hAnsi="Times New Roman"/>
          <w:i/>
        </w:rPr>
        <w:t>3,20 olarak bulunmuştur. 2012 yılında 121 ülkenin işgücü verimliliği düzeyi üzerinden yapılan analize göre Türkiye 28.490 dolarlık seviy</w:t>
      </w:r>
      <w:r w:rsidR="00F932FB" w:rsidRPr="00140E3F">
        <w:rPr>
          <w:rFonts w:ascii="Times New Roman" w:hAnsi="Times New Roman"/>
          <w:i/>
        </w:rPr>
        <w:t>e ile 43. sırada bulunmaktadır. Bu sonuçlar Türkiye’nin verimlilik alanında yeni bir yaklaşım oluşturması gerektiğini göstermektedir.</w:t>
      </w:r>
    </w:p>
    <w:p w:rsidR="00C30579" w:rsidRPr="00140E3F" w:rsidRDefault="00C30579" w:rsidP="007976A9">
      <w:pPr>
        <w:widowControl w:val="0"/>
        <w:autoSpaceDE w:val="0"/>
        <w:autoSpaceDN w:val="0"/>
        <w:adjustRightInd w:val="0"/>
        <w:jc w:val="both"/>
        <w:rPr>
          <w:rFonts w:ascii="Times New Roman" w:hAnsi="Times New Roman"/>
          <w:i/>
        </w:rPr>
      </w:pPr>
      <w:r w:rsidRPr="00140E3F">
        <w:rPr>
          <w:rFonts w:ascii="Times New Roman" w:hAnsi="Times New Roman"/>
          <w:b/>
          <w:i/>
        </w:rPr>
        <w:t>Anahtar Kelimeler:</w:t>
      </w:r>
      <w:r w:rsidRPr="00140E3F">
        <w:rPr>
          <w:rFonts w:ascii="Times New Roman" w:hAnsi="Times New Roman"/>
          <w:i/>
        </w:rPr>
        <w:t xml:space="preserve"> İşgücü Verimliliği, Verimlilik Düzeyi, Verimlilik Değişim Oranı, Toplam Faktör Ve</w:t>
      </w:r>
      <w:r w:rsidR="001653D4">
        <w:rPr>
          <w:rFonts w:ascii="Times New Roman" w:hAnsi="Times New Roman"/>
          <w:i/>
        </w:rPr>
        <w:t>rimliliği, İmalat Sanayi, Dünya</w:t>
      </w:r>
      <w:r w:rsidRPr="00140E3F">
        <w:rPr>
          <w:rFonts w:ascii="Times New Roman" w:hAnsi="Times New Roman"/>
          <w:i/>
        </w:rPr>
        <w:t>da Verimlilik, Türkiye’de Verimlilik</w:t>
      </w:r>
      <w:r w:rsidR="00F87AAD">
        <w:rPr>
          <w:rFonts w:ascii="Times New Roman" w:hAnsi="Times New Roman"/>
          <w:i/>
        </w:rPr>
        <w:t>.</w:t>
      </w:r>
    </w:p>
    <w:p w:rsidR="00F87AAD" w:rsidRDefault="00F87AAD" w:rsidP="007976A9">
      <w:pPr>
        <w:widowControl w:val="0"/>
        <w:autoSpaceDE w:val="0"/>
        <w:autoSpaceDN w:val="0"/>
        <w:adjustRightInd w:val="0"/>
        <w:jc w:val="center"/>
        <w:rPr>
          <w:rFonts w:ascii="Times New Roman" w:hAnsi="Times New Roman"/>
          <w:b/>
        </w:rPr>
      </w:pPr>
    </w:p>
    <w:p w:rsidR="00CA7C01" w:rsidRDefault="001C24AE" w:rsidP="001C24AE">
      <w:pPr>
        <w:widowControl w:val="0"/>
        <w:autoSpaceDE w:val="0"/>
        <w:autoSpaceDN w:val="0"/>
        <w:adjustRightInd w:val="0"/>
        <w:spacing w:before="120" w:afterLines="120" w:after="288"/>
        <w:jc w:val="center"/>
        <w:rPr>
          <w:rFonts w:ascii="Times New Roman" w:hAnsi="Times New Roman"/>
          <w:b/>
        </w:rPr>
      </w:pPr>
      <w:r>
        <w:rPr>
          <w:rFonts w:ascii="Times New Roman" w:hAnsi="Times New Roman"/>
          <w:b/>
        </w:rPr>
        <w:t>THE COMPARABLELABOUR PRODUCTIVITY ANALYSIS I</w:t>
      </w:r>
      <w:r w:rsidR="00140E3F" w:rsidRPr="00C24DB0">
        <w:rPr>
          <w:rFonts w:ascii="Times New Roman" w:hAnsi="Times New Roman"/>
          <w:b/>
        </w:rPr>
        <w:t xml:space="preserve">N TURKEY AND WORLD </w:t>
      </w:r>
    </w:p>
    <w:p w:rsidR="001653D4" w:rsidRPr="001653D4" w:rsidRDefault="001653D4" w:rsidP="001653D4">
      <w:pPr>
        <w:widowControl w:val="0"/>
        <w:autoSpaceDE w:val="0"/>
        <w:autoSpaceDN w:val="0"/>
        <w:adjustRightInd w:val="0"/>
        <w:spacing w:before="120" w:afterLines="120" w:after="288"/>
        <w:rPr>
          <w:rFonts w:ascii="Times New Roman" w:hAnsi="Times New Roman"/>
          <w:b/>
          <w:i/>
        </w:rPr>
      </w:pPr>
      <w:r w:rsidRPr="001653D4">
        <w:rPr>
          <w:rFonts w:ascii="Times New Roman" w:hAnsi="Times New Roman"/>
          <w:b/>
          <w:i/>
        </w:rPr>
        <w:t>ABSTRACT</w:t>
      </w:r>
    </w:p>
    <w:p w:rsidR="001C24AE" w:rsidRPr="001C24AE" w:rsidRDefault="001C24AE" w:rsidP="001653D4">
      <w:pPr>
        <w:spacing w:before="120" w:afterLines="120" w:after="288"/>
        <w:jc w:val="both"/>
        <w:rPr>
          <w:rFonts w:ascii="Times New Roman" w:hAnsi="Times New Roman"/>
          <w:bCs/>
          <w:lang w:val="en-US"/>
        </w:rPr>
      </w:pPr>
      <w:r w:rsidRPr="001653D4">
        <w:rPr>
          <w:rFonts w:ascii="Times New Roman" w:hAnsi="Times New Roman"/>
          <w:bCs/>
          <w:i/>
          <w:lang w:val="en-US"/>
        </w:rPr>
        <w:t>The purpose of the study is to determine the level of and the rate of change i</w:t>
      </w:r>
      <w:r w:rsidR="00ED1427">
        <w:rPr>
          <w:rFonts w:ascii="Times New Roman" w:hAnsi="Times New Roman"/>
          <w:bCs/>
          <w:i/>
          <w:lang w:val="en-US"/>
        </w:rPr>
        <w:t>n labor productivity among the w</w:t>
      </w:r>
      <w:bookmarkStart w:id="0" w:name="_GoBack"/>
      <w:bookmarkEnd w:id="0"/>
      <w:r w:rsidRPr="001653D4">
        <w:rPr>
          <w:rFonts w:ascii="Times New Roman" w:hAnsi="Times New Roman"/>
          <w:bCs/>
          <w:i/>
          <w:lang w:val="en-US"/>
        </w:rPr>
        <w:t>orld countries and Turkey. As for the scope of the study; labor productivity in the manufacturing industry is comparatively investigated in Turkey and European countries. The period is between the years 2005-2014 and the ratio analysis method is used. In the calculation of labor productivity, the value was obtained as a result of dividing the annual production value by the number of person employed. Turkey ranks 17</w:t>
      </w:r>
      <w:r w:rsidR="001653D4" w:rsidRPr="001653D4">
        <w:rPr>
          <w:rFonts w:ascii="Times New Roman" w:hAnsi="Times New Roman"/>
          <w:bCs/>
          <w:i/>
          <w:lang w:val="en-US"/>
        </w:rPr>
        <w:t xml:space="preserve"> </w:t>
      </w:r>
      <w:r w:rsidRPr="001653D4">
        <w:rPr>
          <w:rFonts w:ascii="Times New Roman" w:hAnsi="Times New Roman"/>
          <w:bCs/>
          <w:i/>
          <w:lang w:val="en-US"/>
        </w:rPr>
        <w:t xml:space="preserve">th in productivity change in the 2005-2014 period within 24 OECD countries. Turkey's average annual labor productivity growth in the same period has been calculated </w:t>
      </w:r>
      <w:r w:rsidR="001653D4" w:rsidRPr="001653D4">
        <w:rPr>
          <w:rFonts w:ascii="Times New Roman" w:hAnsi="Times New Roman"/>
          <w:bCs/>
          <w:i/>
          <w:lang w:val="en-US"/>
        </w:rPr>
        <w:t>as 1,</w:t>
      </w:r>
      <w:r w:rsidRPr="001653D4">
        <w:rPr>
          <w:rFonts w:ascii="Times New Roman" w:hAnsi="Times New Roman"/>
          <w:bCs/>
          <w:i/>
          <w:lang w:val="en-US"/>
        </w:rPr>
        <w:t xml:space="preserve">64 %. The average of the 24 countries was found </w:t>
      </w:r>
      <w:r w:rsidR="001653D4" w:rsidRPr="001653D4">
        <w:rPr>
          <w:rFonts w:ascii="Times New Roman" w:hAnsi="Times New Roman"/>
          <w:bCs/>
          <w:i/>
          <w:lang w:val="en-US"/>
        </w:rPr>
        <w:t>to be 3,</w:t>
      </w:r>
      <w:r w:rsidRPr="001653D4">
        <w:rPr>
          <w:rFonts w:ascii="Times New Roman" w:hAnsi="Times New Roman"/>
          <w:bCs/>
          <w:i/>
          <w:lang w:val="en-US"/>
        </w:rPr>
        <w:t>20</w:t>
      </w:r>
      <w:r w:rsidR="001653D4" w:rsidRPr="001653D4">
        <w:rPr>
          <w:rFonts w:ascii="Times New Roman" w:hAnsi="Times New Roman"/>
          <w:bCs/>
          <w:i/>
          <w:lang w:val="en-US"/>
        </w:rPr>
        <w:t xml:space="preserve"> </w:t>
      </w:r>
      <w:r w:rsidRPr="001653D4">
        <w:rPr>
          <w:rFonts w:ascii="Times New Roman" w:hAnsi="Times New Roman"/>
          <w:bCs/>
          <w:i/>
          <w:lang w:val="en-US"/>
        </w:rPr>
        <w:t>%. In 2012, the level of labor productivity in 121 countries, Turkey’s rank was 43. Also, this rank equals to 28.490 dollar level. These results indicate the need to create a new approach to the productivity of</w:t>
      </w:r>
      <w:r w:rsidRPr="001C24AE">
        <w:rPr>
          <w:rFonts w:ascii="Times New Roman" w:hAnsi="Times New Roman"/>
          <w:bCs/>
          <w:lang w:val="en-US"/>
        </w:rPr>
        <w:t xml:space="preserve"> Turkey.</w:t>
      </w:r>
    </w:p>
    <w:p w:rsidR="00C30579" w:rsidRPr="00C24DB0" w:rsidRDefault="00C30579" w:rsidP="001653D4">
      <w:pPr>
        <w:spacing w:after="240"/>
        <w:jc w:val="both"/>
        <w:rPr>
          <w:rFonts w:ascii="Times New Roman" w:hAnsi="Times New Roman"/>
          <w:bCs/>
        </w:rPr>
      </w:pPr>
      <w:r w:rsidRPr="00C24DB0">
        <w:rPr>
          <w:rFonts w:ascii="Times New Roman" w:hAnsi="Times New Roman"/>
          <w:b/>
          <w:bCs/>
          <w:i/>
        </w:rPr>
        <w:t>Keywords:</w:t>
      </w:r>
      <w:r w:rsidR="001653D4">
        <w:rPr>
          <w:rFonts w:ascii="Times New Roman" w:hAnsi="Times New Roman"/>
          <w:b/>
          <w:bCs/>
          <w:i/>
        </w:rPr>
        <w:t xml:space="preserve"> </w:t>
      </w:r>
      <w:r w:rsidRPr="00C24DB0">
        <w:rPr>
          <w:rFonts w:ascii="Times New Roman" w:hAnsi="Times New Roman"/>
          <w:bCs/>
          <w:i/>
        </w:rPr>
        <w:t>Labor Productivity, Productivity Levels, Productivity Change</w:t>
      </w:r>
      <w:r w:rsidR="001653D4">
        <w:rPr>
          <w:rFonts w:ascii="Times New Roman" w:hAnsi="Times New Roman"/>
          <w:bCs/>
          <w:i/>
        </w:rPr>
        <w:t xml:space="preserve"> </w:t>
      </w:r>
      <w:r w:rsidRPr="00C24DB0">
        <w:rPr>
          <w:rFonts w:ascii="Times New Roman" w:hAnsi="Times New Roman"/>
          <w:bCs/>
          <w:i/>
        </w:rPr>
        <w:t>Ratio, Total Factor Productivity, Manufacturing, Productivity in theworld, Productivity in Turkey</w:t>
      </w:r>
      <w:r w:rsidR="001653D4">
        <w:rPr>
          <w:rFonts w:ascii="Times New Roman" w:hAnsi="Times New Roman"/>
          <w:bCs/>
          <w:i/>
        </w:rPr>
        <w:t>.</w:t>
      </w:r>
    </w:p>
    <w:p w:rsidR="007976A9" w:rsidRDefault="007976A9" w:rsidP="007976A9">
      <w:pPr>
        <w:pStyle w:val="Balk1"/>
        <w:numPr>
          <w:ilvl w:val="0"/>
          <w:numId w:val="0"/>
        </w:numPr>
        <w:spacing w:after="240" w:line="240" w:lineRule="auto"/>
        <w:rPr>
          <w:rFonts w:ascii="Times New Roman" w:hAnsi="Times New Roman" w:cs="Times New Roman"/>
          <w:szCs w:val="24"/>
        </w:rPr>
      </w:pPr>
      <w:bookmarkStart w:id="1" w:name="_Toc416961904"/>
    </w:p>
    <w:p w:rsidR="007976A9" w:rsidRDefault="007976A9" w:rsidP="007976A9">
      <w:pPr>
        <w:pStyle w:val="Balk1"/>
        <w:numPr>
          <w:ilvl w:val="0"/>
          <w:numId w:val="0"/>
        </w:numPr>
        <w:spacing w:after="240" w:line="240" w:lineRule="auto"/>
        <w:rPr>
          <w:rFonts w:ascii="Times New Roman" w:hAnsi="Times New Roman" w:cs="Times New Roman"/>
          <w:szCs w:val="24"/>
        </w:rPr>
      </w:pPr>
    </w:p>
    <w:p w:rsidR="00F56B05" w:rsidRPr="00C24DB0" w:rsidRDefault="007976A9" w:rsidP="007976A9">
      <w:pPr>
        <w:pStyle w:val="Balk1"/>
        <w:numPr>
          <w:ilvl w:val="0"/>
          <w:numId w:val="0"/>
        </w:numPr>
        <w:spacing w:beforeLines="120" w:before="288" w:afterLines="120" w:after="288" w:line="240" w:lineRule="auto"/>
        <w:rPr>
          <w:rFonts w:ascii="Times New Roman" w:hAnsi="Times New Roman" w:cs="Times New Roman"/>
          <w:szCs w:val="24"/>
        </w:rPr>
      </w:pPr>
      <w:r>
        <w:rPr>
          <w:rFonts w:ascii="Times New Roman" w:hAnsi="Times New Roman" w:cs="Times New Roman"/>
          <w:szCs w:val="24"/>
        </w:rPr>
        <w:t>1.</w:t>
      </w:r>
      <w:r w:rsidRPr="00C24DB0">
        <w:rPr>
          <w:rFonts w:ascii="Times New Roman" w:hAnsi="Times New Roman" w:cs="Times New Roman"/>
          <w:szCs w:val="24"/>
        </w:rPr>
        <w:t>GİRİŞ</w:t>
      </w:r>
      <w:bookmarkEnd w:id="1"/>
    </w:p>
    <w:p w:rsidR="00F56B05" w:rsidRPr="00C24DB0" w:rsidRDefault="00F56B05" w:rsidP="007976A9">
      <w:pPr>
        <w:widowControl w:val="0"/>
        <w:autoSpaceDE w:val="0"/>
        <w:autoSpaceDN w:val="0"/>
        <w:adjustRightInd w:val="0"/>
        <w:spacing w:beforeLines="120" w:before="288" w:afterLines="120" w:after="288"/>
        <w:jc w:val="both"/>
        <w:rPr>
          <w:rFonts w:ascii="Times New Roman" w:hAnsi="Times New Roman"/>
        </w:rPr>
      </w:pPr>
      <w:r w:rsidRPr="00C24DB0">
        <w:rPr>
          <w:rFonts w:ascii="Times New Roman" w:hAnsi="Times New Roman"/>
        </w:rPr>
        <w:t xml:space="preserve">Verimlilik değişkeni, ülkelerin hem makroekonomik sorunlarının çözümlenmesinde, hem de toplumsal kalkınma hedeflerinin gerçekleştirilmesinde en önemli unsurdur. Bu gerçeklik hem kuramsal olarak hem de ülkelerin gelişme deneyimleri sonucunda genel kabul görmektedir. Bu durumda </w:t>
      </w:r>
      <w:r w:rsidR="00961336">
        <w:rPr>
          <w:rFonts w:ascii="Times New Roman" w:hAnsi="Times New Roman"/>
        </w:rPr>
        <w:t>Türkiye’nin</w:t>
      </w:r>
      <w:r w:rsidRPr="00C24DB0">
        <w:rPr>
          <w:rFonts w:ascii="Times New Roman" w:hAnsi="Times New Roman"/>
        </w:rPr>
        <w:t xml:space="preserve"> bir “verimlilik ekonomisi” olabilmesi için başta işgücü verimliliği olmak üzere tüm üretim faktörlerinin verimliliklerinin hızlıca arttırılması gerekmektedir. </w:t>
      </w:r>
    </w:p>
    <w:p w:rsidR="00E737B3" w:rsidRPr="00C24DB0" w:rsidRDefault="00E737B3" w:rsidP="007976A9">
      <w:pPr>
        <w:widowControl w:val="0"/>
        <w:autoSpaceDE w:val="0"/>
        <w:autoSpaceDN w:val="0"/>
        <w:adjustRightInd w:val="0"/>
        <w:spacing w:before="100" w:after="100"/>
        <w:jc w:val="both"/>
        <w:rPr>
          <w:rFonts w:ascii="Times New Roman" w:hAnsi="Times New Roman"/>
        </w:rPr>
      </w:pPr>
      <w:r w:rsidRPr="00C24DB0">
        <w:rPr>
          <w:rFonts w:ascii="Times New Roman" w:hAnsi="Times New Roman"/>
        </w:rPr>
        <w:t xml:space="preserve">İşgücü verimliliği, ülkelerin toplumsal gelişiminin en temel göstergesidir. Küresel rekabette yer almak ve daha ileri noktalara geçebilmek için başta işgücü verimliliği olmak üzere toplam faktör verimliliklerinin sürekli geliştirilmesi gerekir. Yapılan araştırmalarda, Türkiye’nin her iki göstergede de Avrupa Birliği ülkelerindeki ortalamaların altında olduğu ortaya konulmuştur. </w:t>
      </w:r>
      <w:r w:rsidR="00961336">
        <w:rPr>
          <w:rFonts w:ascii="Times New Roman" w:hAnsi="Times New Roman"/>
        </w:rPr>
        <w:t>Türkiye’nin</w:t>
      </w:r>
      <w:r w:rsidRPr="00C24DB0">
        <w:rPr>
          <w:rFonts w:ascii="Times New Roman" w:hAnsi="Times New Roman"/>
        </w:rPr>
        <w:t xml:space="preserve"> yaşamakta olduğu temel makroekonomik sorunların temelinde de verimlilik düşüklüğü olduğu düşünülmektedir. Bu noktadan hareketle imalat sanayindeki işgücü verimliliğinin hem ülke içindeki gelişimi hem de benzer y</w:t>
      </w:r>
      <w:r w:rsidR="00CE205A">
        <w:rPr>
          <w:rFonts w:ascii="Times New Roman" w:hAnsi="Times New Roman"/>
        </w:rPr>
        <w:t>apısal özellik gösteren Avrupa ü</w:t>
      </w:r>
      <w:r w:rsidRPr="00C24DB0">
        <w:rPr>
          <w:rFonts w:ascii="Times New Roman" w:hAnsi="Times New Roman"/>
        </w:rPr>
        <w:t xml:space="preserve">lkeleri ile karşılaştırılması anlamlı bir çalışma olacaktır. </w:t>
      </w:r>
    </w:p>
    <w:p w:rsidR="00F56B05" w:rsidRPr="00C24DB0" w:rsidRDefault="00F56B05" w:rsidP="007976A9">
      <w:pPr>
        <w:widowControl w:val="0"/>
        <w:autoSpaceDE w:val="0"/>
        <w:autoSpaceDN w:val="0"/>
        <w:adjustRightInd w:val="0"/>
        <w:spacing w:before="100" w:after="100"/>
        <w:jc w:val="both"/>
        <w:rPr>
          <w:rFonts w:ascii="Times New Roman" w:hAnsi="Times New Roman"/>
        </w:rPr>
      </w:pPr>
      <w:r w:rsidRPr="00C24DB0">
        <w:rPr>
          <w:rFonts w:ascii="Times New Roman" w:hAnsi="Times New Roman"/>
        </w:rPr>
        <w:t xml:space="preserve">Çalışmanın amacı, Türkiye ile </w:t>
      </w:r>
      <w:r w:rsidR="00CE205A">
        <w:rPr>
          <w:rFonts w:ascii="Times New Roman" w:hAnsi="Times New Roman"/>
        </w:rPr>
        <w:t>d</w:t>
      </w:r>
      <w:r w:rsidRPr="00C24DB0">
        <w:rPr>
          <w:rFonts w:ascii="Times New Roman" w:hAnsi="Times New Roman"/>
        </w:rPr>
        <w:t xml:space="preserve">ünya ülkeleri arasındaki işgücü verimliliği düzeyini ve değişim oranını saptamaktır. </w:t>
      </w:r>
      <w:r w:rsidR="001B74B4" w:rsidRPr="00C24DB0">
        <w:rPr>
          <w:rFonts w:ascii="Times New Roman" w:hAnsi="Times New Roman"/>
        </w:rPr>
        <w:t>Bu çalışmayla birlikte</w:t>
      </w:r>
      <w:r w:rsidR="006558C8" w:rsidRPr="00C24DB0">
        <w:rPr>
          <w:rFonts w:ascii="Times New Roman" w:hAnsi="Times New Roman"/>
        </w:rPr>
        <w:t xml:space="preserve">, </w:t>
      </w:r>
      <w:r w:rsidR="00B521A7">
        <w:rPr>
          <w:rFonts w:ascii="Times New Roman" w:hAnsi="Times New Roman"/>
        </w:rPr>
        <w:t>Türkiye’de</w:t>
      </w:r>
      <w:r w:rsidRPr="00C24DB0">
        <w:rPr>
          <w:rFonts w:ascii="Times New Roman" w:hAnsi="Times New Roman"/>
        </w:rPr>
        <w:t xml:space="preserve"> işgücü verimliliğinin yükseltilmesine ilişkin çeşitli öneri ve önlemlerin oluşturulmasına katkı sağlanacaktır.</w:t>
      </w:r>
    </w:p>
    <w:p w:rsidR="00F56B05" w:rsidRPr="00C24DB0" w:rsidRDefault="00F56B05" w:rsidP="007976A9">
      <w:pPr>
        <w:widowControl w:val="0"/>
        <w:autoSpaceDE w:val="0"/>
        <w:autoSpaceDN w:val="0"/>
        <w:adjustRightInd w:val="0"/>
        <w:spacing w:before="100" w:after="100"/>
        <w:jc w:val="both"/>
        <w:rPr>
          <w:rFonts w:ascii="Times New Roman" w:hAnsi="Times New Roman"/>
        </w:rPr>
      </w:pPr>
      <w:r w:rsidRPr="00C24DB0">
        <w:rPr>
          <w:rFonts w:ascii="Times New Roman" w:hAnsi="Times New Roman"/>
        </w:rPr>
        <w:t>Çalışmanın kapsamı ise; imalat sanayinde işgücü ve</w:t>
      </w:r>
      <w:r w:rsidR="009504D3">
        <w:rPr>
          <w:rFonts w:ascii="Times New Roman" w:hAnsi="Times New Roman"/>
        </w:rPr>
        <w:t>rimliliğinin Türkiye ve Avrupa ü</w:t>
      </w:r>
      <w:r w:rsidRPr="00C24DB0">
        <w:rPr>
          <w:rFonts w:ascii="Times New Roman" w:hAnsi="Times New Roman"/>
        </w:rPr>
        <w:t>lkelerinde karşılaştırmalı olarak incelenmesidir.  Çalışma dönemi olarak 2</w:t>
      </w:r>
      <w:r w:rsidR="006558C8" w:rsidRPr="00C24DB0">
        <w:rPr>
          <w:rFonts w:ascii="Times New Roman" w:hAnsi="Times New Roman"/>
        </w:rPr>
        <w:t>005-2014 tarihleri esas alınmış</w:t>
      </w:r>
      <w:r w:rsidRPr="00C24DB0">
        <w:rPr>
          <w:rFonts w:ascii="Times New Roman" w:hAnsi="Times New Roman"/>
        </w:rPr>
        <w:t xml:space="preserve">tır. </w:t>
      </w:r>
    </w:p>
    <w:p w:rsidR="00F56B05" w:rsidRPr="00C24DB0" w:rsidRDefault="006558C8" w:rsidP="007976A9">
      <w:pPr>
        <w:widowControl w:val="0"/>
        <w:autoSpaceDE w:val="0"/>
        <w:autoSpaceDN w:val="0"/>
        <w:adjustRightInd w:val="0"/>
        <w:spacing w:before="100" w:after="100"/>
        <w:jc w:val="both"/>
        <w:rPr>
          <w:rFonts w:ascii="Times New Roman" w:hAnsi="Times New Roman"/>
        </w:rPr>
      </w:pPr>
      <w:r w:rsidRPr="00C24DB0">
        <w:rPr>
          <w:rFonts w:ascii="Times New Roman" w:hAnsi="Times New Roman"/>
        </w:rPr>
        <w:t>Bu çalışmada oran analizi yöntemi kullanılmıştır.</w:t>
      </w:r>
      <w:r w:rsidR="007976A9">
        <w:rPr>
          <w:rFonts w:ascii="Times New Roman" w:hAnsi="Times New Roman"/>
        </w:rPr>
        <w:t xml:space="preserve"> </w:t>
      </w:r>
      <w:r w:rsidRPr="00C24DB0">
        <w:rPr>
          <w:rFonts w:ascii="Times New Roman" w:hAnsi="Times New Roman"/>
        </w:rPr>
        <w:t>İ</w:t>
      </w:r>
      <w:r w:rsidR="00F56B05" w:rsidRPr="00C24DB0">
        <w:rPr>
          <w:rFonts w:ascii="Times New Roman" w:hAnsi="Times New Roman"/>
        </w:rPr>
        <w:t xml:space="preserve">şgücü verimliliği </w:t>
      </w:r>
      <w:r w:rsidRPr="00C24DB0">
        <w:rPr>
          <w:rFonts w:ascii="Times New Roman" w:hAnsi="Times New Roman"/>
        </w:rPr>
        <w:t>hesabında,</w:t>
      </w:r>
      <w:r w:rsidR="00F56B05" w:rsidRPr="00C24DB0">
        <w:rPr>
          <w:rFonts w:ascii="Times New Roman" w:hAnsi="Times New Roman"/>
        </w:rPr>
        <w:t xml:space="preserve"> yıllık üretim değerlerinin çalışan sayısına bölünmesi sonucunda elde ed</w:t>
      </w:r>
      <w:r w:rsidRPr="00C24DB0">
        <w:rPr>
          <w:rFonts w:ascii="Times New Roman" w:hAnsi="Times New Roman"/>
        </w:rPr>
        <w:t>ilen değer kullanılmıştır</w:t>
      </w:r>
      <w:r w:rsidR="00F56B05" w:rsidRPr="00C24DB0">
        <w:rPr>
          <w:rFonts w:ascii="Times New Roman" w:hAnsi="Times New Roman"/>
        </w:rPr>
        <w:t xml:space="preserve">. Aynı dönemde </w:t>
      </w:r>
      <w:r w:rsidR="009504D3">
        <w:rPr>
          <w:rFonts w:ascii="Times New Roman" w:hAnsi="Times New Roman"/>
        </w:rPr>
        <w:t>d</w:t>
      </w:r>
      <w:r w:rsidRPr="00C24DB0">
        <w:rPr>
          <w:rFonts w:ascii="Times New Roman" w:hAnsi="Times New Roman"/>
        </w:rPr>
        <w:t xml:space="preserve">ünya </w:t>
      </w:r>
      <w:r w:rsidR="00F56B05" w:rsidRPr="00C24DB0">
        <w:rPr>
          <w:rFonts w:ascii="Times New Roman" w:hAnsi="Times New Roman"/>
        </w:rPr>
        <w:t>ülkelerindeki işgücü verimlilikle</w:t>
      </w:r>
      <w:r w:rsidRPr="00C24DB0">
        <w:rPr>
          <w:rFonts w:ascii="Times New Roman" w:hAnsi="Times New Roman"/>
        </w:rPr>
        <w:t>ri Türkiye ile karşılaştırılmış</w:t>
      </w:r>
      <w:r w:rsidR="00F56B05" w:rsidRPr="00C24DB0">
        <w:rPr>
          <w:rFonts w:ascii="Times New Roman" w:hAnsi="Times New Roman"/>
        </w:rPr>
        <w:t>tır.</w:t>
      </w:r>
    </w:p>
    <w:p w:rsidR="0046173E" w:rsidRDefault="00CE205A" w:rsidP="0046173E">
      <w:pPr>
        <w:pStyle w:val="Balk1"/>
        <w:numPr>
          <w:ilvl w:val="0"/>
          <w:numId w:val="0"/>
        </w:numPr>
        <w:spacing w:before="120" w:after="120" w:line="240" w:lineRule="auto"/>
        <w:rPr>
          <w:rFonts w:ascii="Times New Roman" w:hAnsi="Times New Roman" w:cs="Times New Roman"/>
          <w:szCs w:val="24"/>
        </w:rPr>
      </w:pPr>
      <w:bookmarkStart w:id="2" w:name="_Toc416961905"/>
      <w:r>
        <w:rPr>
          <w:rFonts w:ascii="Times New Roman" w:hAnsi="Times New Roman" w:cs="Times New Roman"/>
          <w:szCs w:val="24"/>
        </w:rPr>
        <w:t>2.</w:t>
      </w:r>
      <w:r w:rsidRPr="00C24DB0">
        <w:rPr>
          <w:rFonts w:ascii="Times New Roman" w:hAnsi="Times New Roman" w:cs="Times New Roman"/>
          <w:szCs w:val="24"/>
        </w:rPr>
        <w:t>İŞGÜCÜ VERİMLİLİĞİ HAKKINDA GENEL BİLGİLER</w:t>
      </w:r>
      <w:bookmarkEnd w:id="2"/>
    </w:p>
    <w:p w:rsidR="00BC5715" w:rsidRPr="0046173E" w:rsidRDefault="00C2766D" w:rsidP="0046173E">
      <w:pPr>
        <w:pStyle w:val="Balk1"/>
        <w:numPr>
          <w:ilvl w:val="0"/>
          <w:numId w:val="0"/>
        </w:numPr>
        <w:spacing w:before="120" w:after="120" w:line="240" w:lineRule="auto"/>
        <w:jc w:val="both"/>
        <w:rPr>
          <w:rFonts w:ascii="Times New Roman" w:hAnsi="Times New Roman" w:cs="Times New Roman"/>
          <w:b w:val="0"/>
          <w:szCs w:val="24"/>
        </w:rPr>
      </w:pPr>
      <w:r w:rsidRPr="0046173E">
        <w:rPr>
          <w:rFonts w:ascii="Times New Roman" w:hAnsi="Times New Roman" w:cs="Times New Roman"/>
          <w:b w:val="0"/>
          <w:szCs w:val="24"/>
        </w:rPr>
        <w:t xml:space="preserve">Globalleşen dünyada, bilim ve teknolojinin de gelişmesi ile işletmeler ve işletmelerin bulunduğu yaşam alanları olan ülkeler daha rekabetçi ve zorlu bir ortama ayak uydurmak zorunda kalmıştır. </w:t>
      </w:r>
      <w:r w:rsidR="00BC5715" w:rsidRPr="0046173E">
        <w:rPr>
          <w:rFonts w:ascii="Times New Roman" w:hAnsi="Times New Roman" w:cs="Times New Roman"/>
          <w:b w:val="0"/>
          <w:szCs w:val="24"/>
        </w:rPr>
        <w:t xml:space="preserve">Rekabetin sağlanmasında </w:t>
      </w:r>
      <w:r w:rsidRPr="0046173E">
        <w:rPr>
          <w:rFonts w:ascii="Times New Roman" w:hAnsi="Times New Roman" w:cs="Times New Roman"/>
          <w:b w:val="0"/>
          <w:szCs w:val="24"/>
        </w:rPr>
        <w:t xml:space="preserve">ise </w:t>
      </w:r>
      <w:r w:rsidR="00BC5715" w:rsidRPr="0046173E">
        <w:rPr>
          <w:rFonts w:ascii="Times New Roman" w:hAnsi="Times New Roman" w:cs="Times New Roman"/>
          <w:b w:val="0"/>
          <w:szCs w:val="24"/>
        </w:rPr>
        <w:t>verimlilik kavramı ön plana çıkmış bulunmaktadır.</w:t>
      </w:r>
      <w:r w:rsidR="00A82BCC" w:rsidRPr="0046173E">
        <w:rPr>
          <w:rFonts w:ascii="Times New Roman" w:hAnsi="Times New Roman"/>
          <w:b w:val="0"/>
        </w:rPr>
        <w:t xml:space="preserve"> </w:t>
      </w:r>
      <w:r w:rsidR="00BC5715" w:rsidRPr="0046173E">
        <w:rPr>
          <w:rFonts w:ascii="Times New Roman" w:hAnsi="Times New Roman" w:cs="Times New Roman"/>
          <w:b w:val="0"/>
          <w:szCs w:val="24"/>
        </w:rPr>
        <w:t>Sektörlerin verimlilikleri de üretim sürecinde kullanılan faktörlerin kısmi verimlilikleri ve toplam faktör verimlilikleri araşt</w:t>
      </w:r>
      <w:r w:rsidRPr="0046173E">
        <w:rPr>
          <w:rFonts w:ascii="Times New Roman" w:hAnsi="Times New Roman" w:cs="Times New Roman"/>
          <w:b w:val="0"/>
          <w:szCs w:val="24"/>
        </w:rPr>
        <w:t xml:space="preserve">ırılmak suretiyle ortaya konulmaktadır </w:t>
      </w:r>
      <w:sdt>
        <w:sdtPr>
          <w:rPr>
            <w:rFonts w:ascii="Times New Roman" w:hAnsi="Times New Roman" w:cs="Times New Roman"/>
            <w:b w:val="0"/>
            <w:szCs w:val="24"/>
          </w:rPr>
          <w:id w:val="735967996"/>
          <w:citation/>
        </w:sdtPr>
        <w:sdtEndPr/>
        <w:sdtContent>
          <w:r w:rsidR="00894BED" w:rsidRPr="0046173E">
            <w:rPr>
              <w:rFonts w:ascii="Times New Roman" w:hAnsi="Times New Roman" w:cs="Times New Roman"/>
              <w:b w:val="0"/>
              <w:szCs w:val="24"/>
            </w:rPr>
            <w:fldChar w:fldCharType="begin"/>
          </w:r>
          <w:r w:rsidRPr="0046173E">
            <w:rPr>
              <w:rFonts w:ascii="Times New Roman" w:hAnsi="Times New Roman" w:cs="Times New Roman"/>
              <w:b w:val="0"/>
              <w:szCs w:val="24"/>
            </w:rPr>
            <w:instrText xml:space="preserve"> CITATION Sar06 \l 1055 </w:instrText>
          </w:r>
          <w:r w:rsidR="00894BED" w:rsidRPr="0046173E">
            <w:rPr>
              <w:rFonts w:ascii="Times New Roman" w:hAnsi="Times New Roman" w:cs="Times New Roman"/>
              <w:b w:val="0"/>
              <w:szCs w:val="24"/>
            </w:rPr>
            <w:fldChar w:fldCharType="separate"/>
          </w:r>
          <w:r w:rsidRPr="0046173E">
            <w:rPr>
              <w:rFonts w:ascii="Times New Roman" w:hAnsi="Times New Roman" w:cs="Times New Roman"/>
              <w:b w:val="0"/>
              <w:noProof/>
              <w:szCs w:val="24"/>
            </w:rPr>
            <w:t>(Saraçoğlu &amp; Suiçmez, 2006)</w:t>
          </w:r>
          <w:r w:rsidR="00894BED" w:rsidRPr="0046173E">
            <w:rPr>
              <w:rFonts w:ascii="Times New Roman" w:hAnsi="Times New Roman" w:cs="Times New Roman"/>
              <w:b w:val="0"/>
              <w:szCs w:val="24"/>
            </w:rPr>
            <w:fldChar w:fldCharType="end"/>
          </w:r>
        </w:sdtContent>
      </w:sdt>
      <w:r w:rsidR="00BC5715" w:rsidRPr="0046173E">
        <w:rPr>
          <w:rFonts w:ascii="Times New Roman" w:hAnsi="Times New Roman" w:cs="Times New Roman"/>
          <w:b w:val="0"/>
          <w:szCs w:val="24"/>
        </w:rPr>
        <w:t xml:space="preserve">. </w:t>
      </w:r>
    </w:p>
    <w:p w:rsidR="0046173E" w:rsidRDefault="00BC5715" w:rsidP="0046173E">
      <w:pPr>
        <w:spacing w:after="240"/>
        <w:ind w:right="-3"/>
        <w:jc w:val="both"/>
        <w:rPr>
          <w:rFonts w:ascii="Times New Roman" w:hAnsi="Times New Roman"/>
        </w:rPr>
      </w:pPr>
      <w:r w:rsidRPr="00C24DB0">
        <w:rPr>
          <w:rFonts w:ascii="Times New Roman" w:hAnsi="Times New Roman"/>
        </w:rPr>
        <w:t>Kısmi verimlilik göstergeleri üretimde kullanılan bir girdinin toplam üretim miktarına oranının hesaplanması ile elde edilir. Üretim sürecinde gözlenebilen ve ölçülebilen, yani üretime doğrudan doğruya katılan işgücü ve sermaye faktörlerinin üretime yaptığı katkıları ortaya koyar.  Diğer bir ifade ile üretim sonucu elde edilen katma değer ile bu katma değerin yaratılmasında doğrudan kullanılan girdiler arasındaki ilişkileri açıklar.</w:t>
      </w:r>
      <w:r w:rsidR="00850015" w:rsidRPr="00C24DB0">
        <w:rPr>
          <w:rFonts w:ascii="Times New Roman" w:hAnsi="Times New Roman"/>
        </w:rPr>
        <w:t xml:space="preserve"> Bu noktadan hareketle </w:t>
      </w:r>
      <w:r w:rsidRPr="00C24DB0">
        <w:rPr>
          <w:rFonts w:ascii="Times New Roman" w:hAnsi="Times New Roman"/>
        </w:rPr>
        <w:t>İşgücü Verimliliği (Q/L)</w:t>
      </w:r>
      <w:r w:rsidR="00850015" w:rsidRPr="00C24DB0">
        <w:rPr>
          <w:rFonts w:ascii="Times New Roman" w:hAnsi="Times New Roman"/>
        </w:rPr>
        <w:t>, ç</w:t>
      </w:r>
      <w:r w:rsidRPr="00C24DB0">
        <w:rPr>
          <w:rFonts w:ascii="Times New Roman" w:hAnsi="Times New Roman"/>
        </w:rPr>
        <w:t xml:space="preserve">alışılan işçi-saat başına düşen reel katma değer olarak tanımlandığı gibi, çalışan kişi başına düşen reel katma değer olarak da tanımlanabilmektedir. </w:t>
      </w:r>
      <w:bookmarkStart w:id="3" w:name="_Toc416961906"/>
    </w:p>
    <w:p w:rsidR="007912BB" w:rsidRPr="0046173E" w:rsidRDefault="00A82BCC" w:rsidP="0046173E">
      <w:pPr>
        <w:spacing w:after="240"/>
        <w:ind w:right="-3"/>
        <w:jc w:val="both"/>
        <w:rPr>
          <w:rFonts w:ascii="Times New Roman" w:hAnsi="Times New Roman"/>
          <w:b/>
        </w:rPr>
      </w:pPr>
      <w:r w:rsidRPr="0046173E">
        <w:rPr>
          <w:rFonts w:ascii="Times New Roman" w:hAnsi="Times New Roman"/>
          <w:b/>
        </w:rPr>
        <w:t>2.1.</w:t>
      </w:r>
      <w:r w:rsidR="006E7C01" w:rsidRPr="0046173E">
        <w:rPr>
          <w:rFonts w:ascii="Times New Roman" w:hAnsi="Times New Roman"/>
          <w:b/>
        </w:rPr>
        <w:t>Türkiye İmalat Sanayinde İşgücü Verimliliği Gelişimi (2005-2014)</w:t>
      </w:r>
      <w:bookmarkEnd w:id="3"/>
    </w:p>
    <w:p w:rsidR="007B3FED" w:rsidRPr="00C24DB0" w:rsidRDefault="007B3FED" w:rsidP="007976A9">
      <w:pPr>
        <w:spacing w:after="240"/>
        <w:jc w:val="both"/>
        <w:rPr>
          <w:rFonts w:ascii="Times New Roman" w:hAnsi="Times New Roman"/>
        </w:rPr>
      </w:pPr>
      <w:r w:rsidRPr="00C24DB0">
        <w:rPr>
          <w:rFonts w:ascii="Times New Roman" w:hAnsi="Times New Roman"/>
        </w:rPr>
        <w:t xml:space="preserve">Bir ekonominin temel dinamiklerinin anlaşılmasında ve yorumlanmasında esas ölçüt işgücü verimliliği değişimlerinin incelenmesidir. İşgücü verimliliği, tüm ülkelerde üretim </w:t>
      </w:r>
      <w:r w:rsidRPr="00C24DB0">
        <w:rPr>
          <w:rFonts w:ascii="Times New Roman" w:hAnsi="Times New Roman"/>
        </w:rPr>
        <w:lastRenderedPageBreak/>
        <w:t>süreci ile istihdam arasındaki ilişkileri kuran tek değişkendir. Diğer yandan, verimlilik sürecinde</w:t>
      </w:r>
      <w:r w:rsidR="00A82BCC">
        <w:rPr>
          <w:rFonts w:ascii="Times New Roman" w:hAnsi="Times New Roman"/>
        </w:rPr>
        <w:t>;</w:t>
      </w:r>
      <w:r w:rsidRPr="00C24DB0">
        <w:rPr>
          <w:rFonts w:ascii="Times New Roman" w:hAnsi="Times New Roman"/>
        </w:rPr>
        <w:t xml:space="preserve"> sermaye verimliliği, toplam hammadde ve malzeme verimliliği, enerji verimliliği gibi değişik verimlilik ölçütleri bulunmaktadır. </w:t>
      </w:r>
    </w:p>
    <w:p w:rsidR="00BC5715" w:rsidRPr="00C24DB0" w:rsidRDefault="007B3FED" w:rsidP="007976A9">
      <w:pPr>
        <w:spacing w:after="240"/>
        <w:jc w:val="both"/>
        <w:rPr>
          <w:rFonts w:ascii="Times New Roman" w:hAnsi="Times New Roman"/>
        </w:rPr>
      </w:pPr>
      <w:r w:rsidRPr="00C24DB0">
        <w:rPr>
          <w:rFonts w:ascii="Times New Roman" w:hAnsi="Times New Roman"/>
        </w:rPr>
        <w:t>Yukarıda ele alınan tüm üretim faktörlerinin hepsinin birden muhasebeleştirildiği ve üretim sürecinin tamamının verimliliğini ölçen bir diğer verimlilik türü ise</w:t>
      </w:r>
      <w:r w:rsidR="00B116A6" w:rsidRPr="00C24DB0">
        <w:rPr>
          <w:rFonts w:ascii="Times New Roman" w:hAnsi="Times New Roman"/>
        </w:rPr>
        <w:t>,</w:t>
      </w:r>
      <w:r w:rsidRPr="00C24DB0">
        <w:rPr>
          <w:rFonts w:ascii="Times New Roman" w:hAnsi="Times New Roman"/>
        </w:rPr>
        <w:t xml:space="preserve"> </w:t>
      </w:r>
      <w:r w:rsidR="00F47AF9" w:rsidRPr="00C24DB0">
        <w:rPr>
          <w:rFonts w:ascii="Times New Roman" w:hAnsi="Times New Roman"/>
        </w:rPr>
        <w:t xml:space="preserve">Toplam Faktör </w:t>
      </w:r>
      <w:r w:rsidR="00220219" w:rsidRPr="00C24DB0">
        <w:rPr>
          <w:rFonts w:ascii="Times New Roman" w:hAnsi="Times New Roman"/>
        </w:rPr>
        <w:t>Verimliliği</w:t>
      </w:r>
      <w:r w:rsidR="00220219">
        <w:rPr>
          <w:rFonts w:ascii="Times New Roman" w:hAnsi="Times New Roman"/>
        </w:rPr>
        <w:t>d</w:t>
      </w:r>
      <w:r w:rsidR="00220219" w:rsidRPr="00C24DB0">
        <w:rPr>
          <w:rFonts w:ascii="Times New Roman" w:hAnsi="Times New Roman"/>
        </w:rPr>
        <w:t>ir</w:t>
      </w:r>
      <w:r w:rsidR="00F47AF9" w:rsidRPr="00C24DB0">
        <w:rPr>
          <w:rFonts w:ascii="Times New Roman" w:hAnsi="Times New Roman"/>
        </w:rPr>
        <w:t xml:space="preserve"> </w:t>
      </w:r>
      <w:r w:rsidRPr="00C24DB0">
        <w:rPr>
          <w:rFonts w:ascii="Times New Roman" w:hAnsi="Times New Roman"/>
        </w:rPr>
        <w:t xml:space="preserve">(TFV). Gerekli verilerin bulunması halinde TFV’yi ölçmek verimlilik adına yapılacak analizlerin en faydalısıdır. Ancak, hem sermaye faktörünün hesaplanmasındaki zorluklardan hem de verilerin süreksizliğinden dolayı çoğu zaman TFV düzenli bir biçimde hesaplanamamaktadır. Bu nedenle bu çalışmada </w:t>
      </w:r>
      <w:r w:rsidR="00E66497">
        <w:rPr>
          <w:rFonts w:ascii="Times New Roman" w:hAnsi="Times New Roman"/>
        </w:rPr>
        <w:t>sadece işgücü verimliliği ölçümleri</w:t>
      </w:r>
      <w:r w:rsidRPr="00C24DB0">
        <w:rPr>
          <w:rFonts w:ascii="Times New Roman" w:hAnsi="Times New Roman"/>
        </w:rPr>
        <w:t xml:space="preserve"> </w:t>
      </w:r>
      <w:r w:rsidR="00E66497">
        <w:rPr>
          <w:rFonts w:ascii="Times New Roman" w:hAnsi="Times New Roman"/>
        </w:rPr>
        <w:t>yapılmıştır</w:t>
      </w:r>
      <w:r w:rsidRPr="00C24DB0">
        <w:rPr>
          <w:rFonts w:ascii="Times New Roman" w:hAnsi="Times New Roman"/>
        </w:rPr>
        <w:t xml:space="preserve">. </w:t>
      </w:r>
    </w:p>
    <w:p w:rsidR="0046173E" w:rsidRDefault="00BB40DD" w:rsidP="0046173E">
      <w:pPr>
        <w:spacing w:after="240"/>
        <w:jc w:val="both"/>
        <w:rPr>
          <w:rFonts w:ascii="Times New Roman" w:hAnsi="Times New Roman"/>
        </w:rPr>
      </w:pPr>
      <w:r w:rsidRPr="00C24DB0">
        <w:rPr>
          <w:rFonts w:ascii="Times New Roman" w:hAnsi="Times New Roman"/>
        </w:rPr>
        <w:t>Y</w:t>
      </w:r>
      <w:r w:rsidR="003B310A" w:rsidRPr="00C24DB0">
        <w:rPr>
          <w:rFonts w:ascii="Times New Roman" w:hAnsi="Times New Roman"/>
        </w:rPr>
        <w:t>apılan işgücü verimlilik ölçümlerinde</w:t>
      </w:r>
      <w:r w:rsidR="00BC5715" w:rsidRPr="00C24DB0">
        <w:rPr>
          <w:rFonts w:ascii="Times New Roman" w:hAnsi="Times New Roman"/>
        </w:rPr>
        <w:t xml:space="preserve">, çalışan kişi başına üretim endeksi, brüt çıktının miktar endeksinin, işgücü girdisinin (çalışan sayısı) miktar endeksine oranı olarak hesaplanmıştır. Çıktı değişkeni olarak </w:t>
      </w:r>
      <w:r w:rsidR="00D02199" w:rsidRPr="00C24DB0">
        <w:rPr>
          <w:rFonts w:ascii="Times New Roman" w:hAnsi="Times New Roman"/>
        </w:rPr>
        <w:t xml:space="preserve">Avrupa Birliği İstatistik Ofisi’ne ait </w:t>
      </w:r>
      <w:r w:rsidR="00201C86" w:rsidRPr="00C24DB0">
        <w:rPr>
          <w:rFonts w:ascii="Times New Roman" w:hAnsi="Times New Roman"/>
        </w:rPr>
        <w:t xml:space="preserve">EUROSTAT Veri </w:t>
      </w:r>
      <w:r w:rsidR="00220219" w:rsidRPr="00C24DB0">
        <w:rPr>
          <w:rFonts w:ascii="Times New Roman" w:hAnsi="Times New Roman"/>
        </w:rPr>
        <w:t>Tabanı</w:t>
      </w:r>
      <w:r w:rsidR="00220219">
        <w:rPr>
          <w:rFonts w:ascii="Times New Roman" w:hAnsi="Times New Roman"/>
        </w:rPr>
        <w:t>n</w:t>
      </w:r>
      <w:r w:rsidR="00220219" w:rsidRPr="00C24DB0">
        <w:rPr>
          <w:rFonts w:ascii="Times New Roman" w:hAnsi="Times New Roman"/>
        </w:rPr>
        <w:t>da</w:t>
      </w:r>
      <w:r w:rsidR="00D02199" w:rsidRPr="00C24DB0">
        <w:rPr>
          <w:rFonts w:ascii="Times New Roman" w:hAnsi="Times New Roman"/>
        </w:rPr>
        <w:t xml:space="preserve"> yer alan 2010 yılı bazlı yıllık sanayi üretim endeksi, girdi değişkeni olarak ise 2010 yılı bazlı yıllık sanayi istihdam endeksi kullanı</w:t>
      </w:r>
      <w:r w:rsidR="005358EB" w:rsidRPr="00C24DB0">
        <w:rPr>
          <w:rFonts w:ascii="Times New Roman" w:hAnsi="Times New Roman"/>
        </w:rPr>
        <w:t>lmıştır. Veriler, 2005-2014 yılları arasını</w:t>
      </w:r>
      <w:r w:rsidR="00D02199" w:rsidRPr="00C24DB0">
        <w:rPr>
          <w:rFonts w:ascii="Times New Roman" w:hAnsi="Times New Roman"/>
        </w:rPr>
        <w:t xml:space="preserve"> kapsamaktadır. Kapsam olarak ise 24 OECD ülke verileri ele alınmıştır.</w:t>
      </w:r>
    </w:p>
    <w:p w:rsidR="00692887" w:rsidRPr="004A1361" w:rsidRDefault="004A1361" w:rsidP="0046173E">
      <w:pPr>
        <w:spacing w:before="120" w:after="120"/>
        <w:jc w:val="center"/>
        <w:rPr>
          <w:rFonts w:ascii="Times New Roman" w:hAnsi="Times New Roman"/>
          <w:b/>
        </w:rPr>
      </w:pPr>
      <w:r>
        <w:rPr>
          <w:rFonts w:ascii="Times New Roman" w:hAnsi="Times New Roman"/>
          <w:b/>
        </w:rPr>
        <w:t>Çizelge 1</w:t>
      </w:r>
      <w:r w:rsidR="00692887" w:rsidRPr="004A1361">
        <w:rPr>
          <w:rFonts w:ascii="Times New Roman" w:hAnsi="Times New Roman"/>
          <w:b/>
        </w:rPr>
        <w:t>. Sanayi Üretim Endeksi (2010=100)</w:t>
      </w:r>
    </w:p>
    <w:tbl>
      <w:tblPr>
        <w:tblW w:w="5000" w:type="pct"/>
        <w:tblCellMar>
          <w:left w:w="70" w:type="dxa"/>
          <w:right w:w="70" w:type="dxa"/>
        </w:tblCellMar>
        <w:tblLook w:val="04A0" w:firstRow="1" w:lastRow="0" w:firstColumn="1" w:lastColumn="0" w:noHBand="0" w:noVBand="1"/>
      </w:tblPr>
      <w:tblGrid>
        <w:gridCol w:w="2847"/>
        <w:gridCol w:w="607"/>
        <w:gridCol w:w="607"/>
        <w:gridCol w:w="607"/>
        <w:gridCol w:w="607"/>
        <w:gridCol w:w="607"/>
        <w:gridCol w:w="607"/>
        <w:gridCol w:w="607"/>
        <w:gridCol w:w="608"/>
        <w:gridCol w:w="608"/>
        <w:gridCol w:w="615"/>
      </w:tblGrid>
      <w:tr w:rsidR="00045800" w:rsidRPr="00C24DB0" w:rsidTr="00692887">
        <w:trPr>
          <w:trHeight w:val="227"/>
        </w:trPr>
        <w:tc>
          <w:tcPr>
            <w:tcW w:w="1276" w:type="pct"/>
            <w:tcBorders>
              <w:top w:val="single" w:sz="4" w:space="0" w:color="000000"/>
              <w:left w:val="single" w:sz="4" w:space="0" w:color="000000"/>
              <w:bottom w:val="single" w:sz="4" w:space="0" w:color="000000"/>
              <w:right w:val="single" w:sz="4" w:space="0" w:color="000000"/>
            </w:tcBorders>
            <w:shd w:val="clear" w:color="000000" w:fill="99CCFF"/>
            <w:noWrap/>
            <w:vAlign w:val="bottom"/>
          </w:tcPr>
          <w:p w:rsidR="00045800" w:rsidRPr="00C24DB0" w:rsidRDefault="00045800" w:rsidP="007976A9">
            <w:pPr>
              <w:jc w:val="center"/>
              <w:rPr>
                <w:rFonts w:ascii="Times New Roman" w:hAnsi="Times New Roman"/>
                <w:b/>
              </w:rPr>
            </w:pPr>
          </w:p>
        </w:tc>
        <w:tc>
          <w:tcPr>
            <w:tcW w:w="3724" w:type="pct"/>
            <w:gridSpan w:val="10"/>
            <w:tcBorders>
              <w:top w:val="single" w:sz="4" w:space="0" w:color="000000"/>
              <w:left w:val="nil"/>
              <w:bottom w:val="single" w:sz="4" w:space="0" w:color="000000"/>
              <w:right w:val="single" w:sz="4" w:space="0" w:color="000000"/>
            </w:tcBorders>
            <w:shd w:val="clear" w:color="000000" w:fill="99CCFF"/>
            <w:noWrap/>
            <w:vAlign w:val="bottom"/>
          </w:tcPr>
          <w:p w:rsidR="00045800" w:rsidRPr="00C24DB0" w:rsidRDefault="00045800" w:rsidP="007976A9">
            <w:pPr>
              <w:jc w:val="center"/>
              <w:rPr>
                <w:rFonts w:ascii="Times New Roman" w:hAnsi="Times New Roman"/>
                <w:b/>
              </w:rPr>
            </w:pPr>
            <w:r w:rsidRPr="00C24DB0">
              <w:rPr>
                <w:rFonts w:ascii="Times New Roman" w:hAnsi="Times New Roman"/>
                <w:b/>
              </w:rPr>
              <w:t>YILLAR</w:t>
            </w:r>
          </w:p>
        </w:tc>
      </w:tr>
      <w:tr w:rsidR="00045800" w:rsidRPr="00C24DB0" w:rsidTr="00EA238F">
        <w:trPr>
          <w:trHeight w:val="227"/>
        </w:trPr>
        <w:tc>
          <w:tcPr>
            <w:tcW w:w="1276" w:type="pct"/>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rsidR="00045800" w:rsidRPr="00C24DB0" w:rsidRDefault="00045800" w:rsidP="007976A9">
            <w:pPr>
              <w:jc w:val="center"/>
              <w:rPr>
                <w:rFonts w:ascii="Times New Roman" w:hAnsi="Times New Roman"/>
                <w:b/>
              </w:rPr>
            </w:pPr>
            <w:r w:rsidRPr="00C24DB0">
              <w:rPr>
                <w:rFonts w:ascii="Times New Roman" w:hAnsi="Times New Roman"/>
                <w:b/>
              </w:rPr>
              <w:t>ÜLKELER</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2005</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2006</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2007</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2008</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2009</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2010</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2011</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2012</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2013</w:t>
            </w:r>
          </w:p>
        </w:tc>
        <w:tc>
          <w:tcPr>
            <w:tcW w:w="376" w:type="pct"/>
            <w:tcBorders>
              <w:top w:val="single" w:sz="4" w:space="0" w:color="000000"/>
              <w:left w:val="nil"/>
              <w:bottom w:val="single" w:sz="4" w:space="0" w:color="000000"/>
              <w:right w:val="single" w:sz="4" w:space="0" w:color="000000"/>
            </w:tcBorders>
            <w:shd w:val="clear" w:color="000000" w:fill="99CCFF"/>
            <w:noWrap/>
            <w:vAlign w:val="center"/>
            <w:hideMark/>
          </w:tcPr>
          <w:p w:rsidR="00045800" w:rsidRPr="0046173E" w:rsidRDefault="00045800" w:rsidP="007976A9">
            <w:pPr>
              <w:jc w:val="right"/>
              <w:rPr>
                <w:rFonts w:ascii="Times New Roman" w:hAnsi="Times New Roman"/>
                <w:b/>
                <w:i/>
                <w:sz w:val="20"/>
                <w:szCs w:val="20"/>
              </w:rPr>
            </w:pPr>
            <w:r w:rsidRPr="0046173E">
              <w:rPr>
                <w:rFonts w:ascii="Times New Roman" w:hAnsi="Times New Roman"/>
                <w:b/>
                <w:i/>
                <w:sz w:val="20"/>
                <w:szCs w:val="20"/>
              </w:rPr>
              <w:t>2014</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Bulgaristan</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103,42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112,40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123,12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124,00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96,25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105,20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105,16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105,68</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109,69</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Çek Cumhuriyeti</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88,49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96,87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108,86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107,28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90,90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107,54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106,79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107,60</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114,50</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Almanya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95,09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100,62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106,83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107,89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89,28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108,45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107,29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107,23</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109,36</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Estonya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97,39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107,62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114,09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108,96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81,17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122,59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124,68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129,43</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133,68</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İspanya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121,91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126,75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129,90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119,76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99,37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98,40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90,97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89,70</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91,74</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Fransa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114,68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115,74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117,68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113,43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95,04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103,80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100,18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98,78</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98,74</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Kıbrıs</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107,43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106,62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111,89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116,70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103,31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92,05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82,53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72,10</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71,43</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Letonya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104,46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111,11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111,42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107,58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85,82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111,71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122,09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122,19</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121,77</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Litvanya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95,08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101,41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103,03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109,53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93,02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110,10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115,63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121,01</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121,88</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Luxemburg</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114,41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116,75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116,85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111,01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91,73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102,72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97,97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95,30</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102,29</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Macaristan</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91,67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101,68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110,21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109,48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89,42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106,03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104,28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105,78</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114,89</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Malta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96,55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103,97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112,28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107,51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91,15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99,58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105,04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99,49</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93,00</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Avusturya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92,49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99,01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105,24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107,34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93,15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106,22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106,03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107,13</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108,18</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Polonya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70,43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80,48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89,25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91,99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88,88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107,66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109,25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112,09</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117,24</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Portekiz</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108,74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111,93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113,46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109,03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97,81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98,78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96,88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98,06</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98,88</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Romanya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77,58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87,33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97,88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100,93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94,36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107,99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110,38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120,53</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129,54</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Slovenya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96,67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102,66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111,40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114,28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92,96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101,08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98,73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97,21</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101,16</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Slovakya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65,46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79,24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96,06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112,06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91,08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107,16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119,33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126,75</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133,23</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Finlandiya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102,01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110,80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117,31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119,56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95,24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103,00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101,14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96,76</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94,54</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220219" w:rsidP="007976A9">
            <w:pPr>
              <w:rPr>
                <w:rFonts w:ascii="Times New Roman" w:hAnsi="Times New Roman"/>
                <w:b/>
                <w:i/>
              </w:rPr>
            </w:pPr>
            <w:r w:rsidRPr="00C24DB0">
              <w:rPr>
                <w:rFonts w:ascii="Times New Roman" w:hAnsi="Times New Roman"/>
                <w:b/>
                <w:i/>
              </w:rPr>
              <w:t>İsveç</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108,67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113,88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117,69</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113,81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91,60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102,93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98,12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93,82</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91,59</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Amerika Birleşik Devletleri</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105,43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107,77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108,50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105,40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95,51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101,82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100,50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99,97</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102,71</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Norveç</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90,52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95,40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100,65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103,92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97,45</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101,42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103,67</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107,00</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110,67</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Makedonya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101,52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108,00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113,91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120,62</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108,08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109,61</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107,16</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110,18</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120,13</w:t>
            </w:r>
          </w:p>
        </w:tc>
      </w:tr>
      <w:tr w:rsidR="00EA238F" w:rsidRPr="00C24DB0" w:rsidTr="00201C86">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Türkiye</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87,43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93,68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99,98</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98,50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87,33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110,54</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113,03</w:t>
            </w:r>
          </w:p>
        </w:tc>
        <w:tc>
          <w:tcPr>
            <w:tcW w:w="372"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117,50</w:t>
            </w:r>
          </w:p>
        </w:tc>
        <w:tc>
          <w:tcPr>
            <w:tcW w:w="376" w:type="pct"/>
            <w:tcBorders>
              <w:top w:val="nil"/>
              <w:left w:val="nil"/>
              <w:bottom w:val="single" w:sz="4" w:space="0" w:color="000000"/>
              <w:right w:val="single" w:sz="4" w:space="0" w:color="000000"/>
            </w:tcBorders>
            <w:shd w:val="clear" w:color="auto" w:fill="auto"/>
            <w:noWrap/>
            <w:vAlign w:val="center"/>
          </w:tcPr>
          <w:p w:rsidR="00EA238F" w:rsidRPr="0046173E" w:rsidRDefault="00EA238F" w:rsidP="007976A9">
            <w:pPr>
              <w:jc w:val="right"/>
              <w:rPr>
                <w:rFonts w:ascii="Times New Roman" w:hAnsi="Times New Roman"/>
                <w:sz w:val="16"/>
                <w:szCs w:val="16"/>
              </w:rPr>
            </w:pPr>
            <w:r w:rsidRPr="0046173E">
              <w:rPr>
                <w:rFonts w:ascii="Times New Roman" w:hAnsi="Times New Roman"/>
                <w:sz w:val="16"/>
                <w:szCs w:val="16"/>
              </w:rPr>
              <w:t>121,29</w:t>
            </w:r>
          </w:p>
        </w:tc>
      </w:tr>
    </w:tbl>
    <w:p w:rsidR="003B310A" w:rsidRPr="0046173E" w:rsidRDefault="00692887" w:rsidP="007976A9">
      <w:pPr>
        <w:spacing w:before="240"/>
        <w:jc w:val="both"/>
        <w:rPr>
          <w:rFonts w:ascii="Times New Roman" w:hAnsi="Times New Roman"/>
          <w:i/>
          <w:sz w:val="22"/>
          <w:szCs w:val="22"/>
        </w:rPr>
      </w:pPr>
      <w:r w:rsidRPr="0046173E">
        <w:rPr>
          <w:rFonts w:ascii="Times New Roman" w:hAnsi="Times New Roman"/>
          <w:b/>
          <w:i/>
          <w:sz w:val="22"/>
          <w:szCs w:val="22"/>
        </w:rPr>
        <w:t>Kaynak:</w:t>
      </w:r>
      <w:r w:rsidR="0046173E">
        <w:rPr>
          <w:rFonts w:ascii="Times New Roman" w:hAnsi="Times New Roman"/>
          <w:i/>
          <w:sz w:val="22"/>
          <w:szCs w:val="22"/>
        </w:rPr>
        <w:t xml:space="preserve"> </w:t>
      </w:r>
      <w:r w:rsidRPr="0046173E">
        <w:rPr>
          <w:rFonts w:ascii="Times New Roman" w:hAnsi="Times New Roman"/>
          <w:i/>
          <w:sz w:val="22"/>
          <w:szCs w:val="22"/>
        </w:rPr>
        <w:t>Eurostat K</w:t>
      </w:r>
      <w:r w:rsidR="00E737B3" w:rsidRPr="0046173E">
        <w:rPr>
          <w:rFonts w:ascii="Times New Roman" w:hAnsi="Times New Roman"/>
          <w:i/>
          <w:sz w:val="22"/>
          <w:szCs w:val="22"/>
        </w:rPr>
        <w:t xml:space="preserve">ısa Dönemli İş İstatistikleri, </w:t>
      </w:r>
      <w:sdt>
        <w:sdtPr>
          <w:rPr>
            <w:rFonts w:ascii="Times New Roman" w:hAnsi="Times New Roman"/>
            <w:i/>
            <w:sz w:val="22"/>
            <w:szCs w:val="22"/>
          </w:rPr>
          <w:id w:val="217019477"/>
          <w:citation/>
        </w:sdtPr>
        <w:sdtEndPr/>
        <w:sdtContent>
          <w:r w:rsidR="00894BED" w:rsidRPr="0046173E">
            <w:rPr>
              <w:rFonts w:ascii="Times New Roman" w:hAnsi="Times New Roman"/>
              <w:i/>
              <w:sz w:val="22"/>
              <w:szCs w:val="22"/>
            </w:rPr>
            <w:fldChar w:fldCharType="begin"/>
          </w:r>
          <w:r w:rsidR="0030367C" w:rsidRPr="0046173E">
            <w:rPr>
              <w:rFonts w:ascii="Times New Roman" w:hAnsi="Times New Roman"/>
              <w:i/>
              <w:sz w:val="22"/>
              <w:szCs w:val="22"/>
            </w:rPr>
            <w:instrText xml:space="preserve"> CITATION Eur15 \l 1055 </w:instrText>
          </w:r>
          <w:r w:rsidR="00894BED" w:rsidRPr="0046173E">
            <w:rPr>
              <w:rFonts w:ascii="Times New Roman" w:hAnsi="Times New Roman"/>
              <w:i/>
              <w:sz w:val="22"/>
              <w:szCs w:val="22"/>
            </w:rPr>
            <w:fldChar w:fldCharType="separate"/>
          </w:r>
          <w:r w:rsidR="0030367C" w:rsidRPr="0046173E">
            <w:rPr>
              <w:rFonts w:ascii="Times New Roman" w:hAnsi="Times New Roman"/>
              <w:i/>
              <w:noProof/>
              <w:sz w:val="22"/>
              <w:szCs w:val="22"/>
            </w:rPr>
            <w:t>(Eurostat Web Sitesi, 2015)</w:t>
          </w:r>
          <w:r w:rsidR="00894BED" w:rsidRPr="0046173E">
            <w:rPr>
              <w:rFonts w:ascii="Times New Roman" w:hAnsi="Times New Roman"/>
              <w:i/>
              <w:sz w:val="22"/>
              <w:szCs w:val="22"/>
            </w:rPr>
            <w:fldChar w:fldCharType="end"/>
          </w:r>
        </w:sdtContent>
      </w:sdt>
    </w:p>
    <w:p w:rsidR="00CD1629" w:rsidRPr="00C24DB0" w:rsidRDefault="00CD1629" w:rsidP="007976A9">
      <w:pPr>
        <w:pStyle w:val="ResimYazs"/>
        <w:rPr>
          <w:rFonts w:ascii="Times New Roman" w:hAnsi="Times New Roman"/>
          <w:sz w:val="24"/>
          <w:szCs w:val="24"/>
        </w:rPr>
      </w:pPr>
    </w:p>
    <w:p w:rsidR="00201C86" w:rsidRPr="00C24DB0" w:rsidRDefault="00912963" w:rsidP="007976A9">
      <w:pPr>
        <w:spacing w:after="240"/>
        <w:jc w:val="both"/>
        <w:rPr>
          <w:rFonts w:ascii="Times New Roman" w:hAnsi="Times New Roman"/>
        </w:rPr>
      </w:pPr>
      <w:r>
        <w:rPr>
          <w:rFonts w:ascii="Times New Roman" w:hAnsi="Times New Roman"/>
        </w:rPr>
        <w:lastRenderedPageBreak/>
        <w:t>Çizelge</w:t>
      </w:r>
      <w:r w:rsidR="00201C86" w:rsidRPr="00C24DB0">
        <w:rPr>
          <w:rFonts w:ascii="Times New Roman" w:hAnsi="Times New Roman"/>
        </w:rPr>
        <w:t xml:space="preserve"> 1’de çeşitli OECD ülkelerinin sanayi üretim endeksi 2005-2014 yılları itibariyle verilmektedir. Bu tabloda 2010 yılı baz yılı (2010=100) olarak kabul edilmiştir. Kaynak olarak da EUROSTAT verileri kullanılmıştır.</w:t>
      </w:r>
    </w:p>
    <w:p w:rsidR="00912963" w:rsidRDefault="00894BED" w:rsidP="00912963">
      <w:pPr>
        <w:spacing w:after="240"/>
        <w:jc w:val="both"/>
        <w:rPr>
          <w:rFonts w:ascii="Times New Roman" w:hAnsi="Times New Roman"/>
        </w:rPr>
      </w:pPr>
      <w:r w:rsidRPr="00C24DB0">
        <w:rPr>
          <w:rFonts w:ascii="Times New Roman" w:hAnsi="Times New Roman"/>
        </w:rPr>
        <w:fldChar w:fldCharType="begin"/>
      </w:r>
      <w:r w:rsidR="00201C86" w:rsidRPr="00C24DB0">
        <w:rPr>
          <w:rFonts w:ascii="Times New Roman" w:hAnsi="Times New Roman"/>
        </w:rPr>
        <w:instrText xml:space="preserve"> REF _Ref416944691 \h </w:instrText>
      </w:r>
      <w:r w:rsidR="00C24DB0" w:rsidRPr="00C24DB0">
        <w:rPr>
          <w:rFonts w:ascii="Times New Roman" w:hAnsi="Times New Roman"/>
        </w:rPr>
        <w:instrText xml:space="preserve"> \* MERGEFORMAT </w:instrText>
      </w:r>
      <w:r w:rsidRPr="00C24DB0">
        <w:rPr>
          <w:rFonts w:ascii="Times New Roman" w:hAnsi="Times New Roman"/>
        </w:rPr>
      </w:r>
      <w:r w:rsidRPr="00C24DB0">
        <w:rPr>
          <w:rFonts w:ascii="Times New Roman" w:hAnsi="Times New Roman"/>
        </w:rPr>
        <w:fldChar w:fldCharType="separate"/>
      </w:r>
      <w:r w:rsidR="00912963">
        <w:rPr>
          <w:rFonts w:ascii="Times New Roman" w:hAnsi="Times New Roman"/>
        </w:rPr>
        <w:t xml:space="preserve">Çizelge </w:t>
      </w:r>
      <w:r w:rsidRPr="00C24DB0">
        <w:rPr>
          <w:rFonts w:ascii="Times New Roman" w:hAnsi="Times New Roman"/>
        </w:rPr>
        <w:fldChar w:fldCharType="end"/>
      </w:r>
      <w:r w:rsidR="00912963">
        <w:rPr>
          <w:rFonts w:ascii="Times New Roman" w:hAnsi="Times New Roman"/>
        </w:rPr>
        <w:t>1</w:t>
      </w:r>
      <w:r w:rsidR="00201C86" w:rsidRPr="00C24DB0">
        <w:rPr>
          <w:rFonts w:ascii="Times New Roman" w:hAnsi="Times New Roman"/>
        </w:rPr>
        <w:t>’den de izlenebileceği gibi, Türkiye’de üretim endeksi 2010 yılından 2014’e düzenli artışlar sonucunda %</w:t>
      </w:r>
      <w:r w:rsidR="00912963">
        <w:rPr>
          <w:rFonts w:ascii="Times New Roman" w:hAnsi="Times New Roman"/>
        </w:rPr>
        <w:t xml:space="preserve"> </w:t>
      </w:r>
      <w:r w:rsidR="00201C86" w:rsidRPr="00C24DB0">
        <w:rPr>
          <w:rFonts w:ascii="Times New Roman" w:hAnsi="Times New Roman"/>
        </w:rPr>
        <w:t xml:space="preserve">20 civarında bir artış kaydetmiştir. </w:t>
      </w:r>
      <w:bookmarkStart w:id="4" w:name="_Ref416945463"/>
    </w:p>
    <w:bookmarkEnd w:id="4"/>
    <w:p w:rsidR="00692887" w:rsidRPr="000417A1" w:rsidRDefault="000417A1" w:rsidP="000417A1">
      <w:pPr>
        <w:spacing w:before="120" w:after="120"/>
        <w:jc w:val="center"/>
        <w:rPr>
          <w:rFonts w:ascii="Times New Roman" w:hAnsi="Times New Roman"/>
          <w:b/>
        </w:rPr>
      </w:pPr>
      <w:r w:rsidRPr="000417A1">
        <w:rPr>
          <w:rFonts w:ascii="Times New Roman" w:hAnsi="Times New Roman"/>
          <w:b/>
        </w:rPr>
        <w:t>Çizelge 2</w:t>
      </w:r>
      <w:r w:rsidR="00EA238F" w:rsidRPr="000417A1">
        <w:rPr>
          <w:rFonts w:ascii="Times New Roman" w:hAnsi="Times New Roman"/>
          <w:b/>
        </w:rPr>
        <w:t xml:space="preserve">. Sanayi İstihdam </w:t>
      </w:r>
      <w:r w:rsidR="00692887" w:rsidRPr="000417A1">
        <w:rPr>
          <w:rFonts w:ascii="Times New Roman" w:hAnsi="Times New Roman"/>
          <w:b/>
        </w:rPr>
        <w:t>Endeksi (2010=100)</w:t>
      </w:r>
    </w:p>
    <w:tbl>
      <w:tblPr>
        <w:tblW w:w="5000" w:type="pct"/>
        <w:tblCellMar>
          <w:left w:w="70" w:type="dxa"/>
          <w:right w:w="70" w:type="dxa"/>
        </w:tblCellMar>
        <w:tblLook w:val="04A0" w:firstRow="1" w:lastRow="0" w:firstColumn="1" w:lastColumn="0" w:noHBand="0" w:noVBand="1"/>
      </w:tblPr>
      <w:tblGrid>
        <w:gridCol w:w="2847"/>
        <w:gridCol w:w="607"/>
        <w:gridCol w:w="607"/>
        <w:gridCol w:w="607"/>
        <w:gridCol w:w="607"/>
        <w:gridCol w:w="607"/>
        <w:gridCol w:w="607"/>
        <w:gridCol w:w="607"/>
        <w:gridCol w:w="608"/>
        <w:gridCol w:w="608"/>
        <w:gridCol w:w="615"/>
      </w:tblGrid>
      <w:tr w:rsidR="00692887" w:rsidRPr="00C24DB0" w:rsidTr="003A547C">
        <w:trPr>
          <w:trHeight w:val="227"/>
        </w:trPr>
        <w:tc>
          <w:tcPr>
            <w:tcW w:w="1276" w:type="pct"/>
            <w:tcBorders>
              <w:top w:val="single" w:sz="4" w:space="0" w:color="000000"/>
              <w:left w:val="single" w:sz="4" w:space="0" w:color="000000"/>
              <w:bottom w:val="single" w:sz="4" w:space="0" w:color="000000"/>
              <w:right w:val="single" w:sz="4" w:space="0" w:color="000000"/>
            </w:tcBorders>
            <w:shd w:val="clear" w:color="000000" w:fill="99CCFF"/>
            <w:noWrap/>
            <w:vAlign w:val="bottom"/>
          </w:tcPr>
          <w:p w:rsidR="00692887" w:rsidRPr="00C24DB0" w:rsidRDefault="00692887" w:rsidP="007976A9">
            <w:pPr>
              <w:jc w:val="center"/>
              <w:rPr>
                <w:rFonts w:ascii="Times New Roman" w:hAnsi="Times New Roman"/>
                <w:b/>
              </w:rPr>
            </w:pPr>
          </w:p>
        </w:tc>
        <w:tc>
          <w:tcPr>
            <w:tcW w:w="3724" w:type="pct"/>
            <w:gridSpan w:val="10"/>
            <w:tcBorders>
              <w:top w:val="single" w:sz="4" w:space="0" w:color="000000"/>
              <w:left w:val="nil"/>
              <w:bottom w:val="single" w:sz="4" w:space="0" w:color="000000"/>
              <w:right w:val="single" w:sz="4" w:space="0" w:color="000000"/>
            </w:tcBorders>
            <w:shd w:val="clear" w:color="000000" w:fill="99CCFF"/>
            <w:noWrap/>
            <w:vAlign w:val="bottom"/>
          </w:tcPr>
          <w:p w:rsidR="00692887" w:rsidRPr="00C24DB0" w:rsidRDefault="00692887" w:rsidP="007976A9">
            <w:pPr>
              <w:jc w:val="center"/>
              <w:rPr>
                <w:rFonts w:ascii="Times New Roman" w:hAnsi="Times New Roman"/>
                <w:b/>
              </w:rPr>
            </w:pPr>
            <w:r w:rsidRPr="00C24DB0">
              <w:rPr>
                <w:rFonts w:ascii="Times New Roman" w:hAnsi="Times New Roman"/>
                <w:b/>
              </w:rPr>
              <w:t>YILLAR</w:t>
            </w:r>
          </w:p>
        </w:tc>
      </w:tr>
      <w:tr w:rsidR="00692887" w:rsidRPr="00C24DB0" w:rsidTr="003A547C">
        <w:trPr>
          <w:trHeight w:val="227"/>
        </w:trPr>
        <w:tc>
          <w:tcPr>
            <w:tcW w:w="1276" w:type="pct"/>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rsidR="00692887" w:rsidRPr="00C24DB0" w:rsidRDefault="00692887" w:rsidP="007976A9">
            <w:pPr>
              <w:jc w:val="center"/>
              <w:rPr>
                <w:rFonts w:ascii="Times New Roman" w:hAnsi="Times New Roman"/>
                <w:b/>
              </w:rPr>
            </w:pPr>
            <w:r w:rsidRPr="00C24DB0">
              <w:rPr>
                <w:rFonts w:ascii="Times New Roman" w:hAnsi="Times New Roman"/>
                <w:b/>
              </w:rPr>
              <w:t>ÜLKELER</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2005</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2006</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2007</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2008</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2009</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2010</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2011</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2012</w:t>
            </w:r>
          </w:p>
        </w:tc>
        <w:tc>
          <w:tcPr>
            <w:tcW w:w="372"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2013</w:t>
            </w:r>
          </w:p>
        </w:tc>
        <w:tc>
          <w:tcPr>
            <w:tcW w:w="376" w:type="pct"/>
            <w:tcBorders>
              <w:top w:val="single" w:sz="4" w:space="0" w:color="000000"/>
              <w:left w:val="nil"/>
              <w:bottom w:val="single" w:sz="4" w:space="0" w:color="000000"/>
              <w:right w:val="single" w:sz="4" w:space="0" w:color="000000"/>
            </w:tcBorders>
            <w:shd w:val="clear" w:color="000000" w:fill="99CCFF"/>
            <w:noWrap/>
            <w:vAlign w:val="center"/>
            <w:hideMark/>
          </w:tcPr>
          <w:p w:rsidR="00692887" w:rsidRPr="00912963" w:rsidRDefault="00692887" w:rsidP="007976A9">
            <w:pPr>
              <w:jc w:val="right"/>
              <w:rPr>
                <w:rFonts w:ascii="Times New Roman" w:hAnsi="Times New Roman"/>
                <w:b/>
                <w:i/>
                <w:sz w:val="20"/>
                <w:szCs w:val="20"/>
              </w:rPr>
            </w:pPr>
            <w:r w:rsidRPr="00912963">
              <w:rPr>
                <w:rFonts w:ascii="Times New Roman" w:hAnsi="Times New Roman"/>
                <w:b/>
                <w:i/>
                <w:sz w:val="20"/>
                <w:szCs w:val="20"/>
              </w:rPr>
              <w:t>2014</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Bulgaristan</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118,05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119,71</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120,25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119,37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105,22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99,35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96,69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94,01</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94,65</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Çek Cumhuriyeti</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110,77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110,94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113,99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115,34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102,50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102,13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101,94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101,05</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102,42</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Almanya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102,13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101,57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103,26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105,72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102,58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102,89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105,41</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106,08</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107,02</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Estonya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132,73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135,36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134,71</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129,62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106,77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103,06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106,08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109,11</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110,66</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İspanya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126,57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126,33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125,50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124,15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105,98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97,68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92,45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88,08</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89,03</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Fransa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115,05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112,85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111,08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108,97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104,04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98,91</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98,11</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96,47</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95,01</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Kıbrıs</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100,77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101,73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102,93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105,38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103,13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95,81</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89,69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79,06</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78,13</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Letonya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150,90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154,86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152,40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138,68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104,45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107,07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112,77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116,05</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113,80</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Litvanya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141,48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142,20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137,85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130,40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107,05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104,85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103,73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107,03</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110,30</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Luxemburg</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110,54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108,93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106,83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106,79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102,98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99,19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96,82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95,02</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94,79</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Macaristan</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118,01</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115,75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114,77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114,89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101,20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103,63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101,55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102,40</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105,14</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Malta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138,94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129,16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123,18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115,50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103,28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100,13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99,94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98,63</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98,65</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Avusturya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103,25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103,50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105,94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106,86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102,28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102,62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104,28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104,43</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103,97</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Polonya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98,04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101,17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105,32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107,70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100,43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102,58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101,89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101,52</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103,72</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Portekiz</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118,10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113,68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111,37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109,78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103,12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99,05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95,73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93,49</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93,97</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Romanya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145,96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142,77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137,57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131,90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111,76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102,02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105,06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106,51</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108,75</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Slovenya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119,40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117,55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118,55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117,93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105,98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97,75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97,40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94,23</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94,55</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Slovakya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120,31</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118,59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122,16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123,73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103,95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104,96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104,29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103,40</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105,31</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Finlandiya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116,34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117,32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118,40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115,09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105,35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98,95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98,33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96,91</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91,37</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220219" w:rsidP="007976A9">
            <w:pPr>
              <w:rPr>
                <w:rFonts w:ascii="Times New Roman" w:hAnsi="Times New Roman"/>
                <w:b/>
                <w:i/>
              </w:rPr>
            </w:pPr>
            <w:r w:rsidRPr="00C24DB0">
              <w:rPr>
                <w:rFonts w:ascii="Times New Roman" w:hAnsi="Times New Roman"/>
                <w:b/>
                <w:i/>
              </w:rPr>
              <w:t>İsveç</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117,97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118,06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118,77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118,05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103,74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102,48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100,31</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97,93</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97,30</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Amerika Birleşik Devletleri</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121,79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117,25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115,37</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109,95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103,50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99,95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99,60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98,49</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100,43</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Norveç</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98,49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103,92</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107,54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109,85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104,45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99,55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100,68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102,20</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102,98</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Makedonya</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111,93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107,98</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107,66</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107,45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100,14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99,99</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94,54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92,04</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92,58</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101,43</w:t>
            </w:r>
          </w:p>
        </w:tc>
      </w:tr>
      <w:tr w:rsidR="00EA238F" w:rsidRPr="00C24DB0" w:rsidTr="003A547C">
        <w:trPr>
          <w:trHeight w:val="227"/>
        </w:trPr>
        <w:tc>
          <w:tcPr>
            <w:tcW w:w="1276" w:type="pct"/>
            <w:tcBorders>
              <w:top w:val="nil"/>
              <w:left w:val="single" w:sz="4" w:space="0" w:color="000000"/>
              <w:bottom w:val="single" w:sz="4" w:space="0" w:color="000000"/>
              <w:right w:val="single" w:sz="4" w:space="0" w:color="000000"/>
            </w:tcBorders>
            <w:shd w:val="clear" w:color="000000" w:fill="99CCFF"/>
            <w:noWrap/>
            <w:vAlign w:val="bottom"/>
          </w:tcPr>
          <w:p w:rsidR="00EA238F" w:rsidRPr="00C24DB0" w:rsidRDefault="00EA238F" w:rsidP="007976A9">
            <w:pPr>
              <w:rPr>
                <w:rFonts w:ascii="Times New Roman" w:hAnsi="Times New Roman"/>
                <w:b/>
                <w:i/>
              </w:rPr>
            </w:pPr>
            <w:r w:rsidRPr="00C24DB0">
              <w:rPr>
                <w:rFonts w:ascii="Times New Roman" w:hAnsi="Times New Roman"/>
                <w:b/>
                <w:i/>
              </w:rPr>
              <w:t>Türkiye</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99,83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102,35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106,20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105,83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95,45</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100,00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106,93</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112,20</w:t>
            </w:r>
          </w:p>
        </w:tc>
        <w:tc>
          <w:tcPr>
            <w:tcW w:w="372"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116,60</w:t>
            </w:r>
          </w:p>
        </w:tc>
        <w:tc>
          <w:tcPr>
            <w:tcW w:w="376" w:type="pct"/>
            <w:tcBorders>
              <w:top w:val="nil"/>
              <w:left w:val="nil"/>
              <w:bottom w:val="single" w:sz="4" w:space="0" w:color="000000"/>
              <w:right w:val="single" w:sz="4" w:space="0" w:color="000000"/>
            </w:tcBorders>
            <w:shd w:val="clear" w:color="auto" w:fill="auto"/>
            <w:noWrap/>
            <w:vAlign w:val="center"/>
          </w:tcPr>
          <w:p w:rsidR="00EA238F" w:rsidRPr="00912963" w:rsidRDefault="00EA238F" w:rsidP="007976A9">
            <w:pPr>
              <w:jc w:val="right"/>
              <w:rPr>
                <w:rFonts w:ascii="Times New Roman" w:hAnsi="Times New Roman"/>
                <w:sz w:val="16"/>
                <w:szCs w:val="16"/>
              </w:rPr>
            </w:pPr>
            <w:r w:rsidRPr="00912963">
              <w:rPr>
                <w:rFonts w:ascii="Times New Roman" w:hAnsi="Times New Roman"/>
                <w:sz w:val="16"/>
                <w:szCs w:val="16"/>
              </w:rPr>
              <w:t>120,23</w:t>
            </w:r>
          </w:p>
        </w:tc>
      </w:tr>
    </w:tbl>
    <w:p w:rsidR="00692887" w:rsidRPr="00B50268" w:rsidRDefault="00692887" w:rsidP="00B50268">
      <w:pPr>
        <w:spacing w:before="120" w:after="120"/>
        <w:jc w:val="both"/>
        <w:rPr>
          <w:rFonts w:ascii="Times New Roman" w:hAnsi="Times New Roman"/>
          <w:i/>
          <w:sz w:val="22"/>
          <w:szCs w:val="22"/>
        </w:rPr>
      </w:pPr>
      <w:r w:rsidRPr="00B50268">
        <w:rPr>
          <w:rFonts w:ascii="Times New Roman" w:hAnsi="Times New Roman"/>
          <w:b/>
          <w:i/>
          <w:sz w:val="22"/>
          <w:szCs w:val="22"/>
        </w:rPr>
        <w:t>Kaynak:</w:t>
      </w:r>
      <w:r w:rsidR="00B50268" w:rsidRPr="00B50268">
        <w:rPr>
          <w:rFonts w:ascii="Times New Roman" w:hAnsi="Times New Roman"/>
          <w:i/>
          <w:sz w:val="22"/>
          <w:szCs w:val="22"/>
        </w:rPr>
        <w:t xml:space="preserve"> </w:t>
      </w:r>
      <w:r w:rsidRPr="00B50268">
        <w:rPr>
          <w:rFonts w:ascii="Times New Roman" w:hAnsi="Times New Roman"/>
          <w:i/>
          <w:sz w:val="22"/>
          <w:szCs w:val="22"/>
        </w:rPr>
        <w:t xml:space="preserve">Eurostat Kısa Dönemli İş İstatistikleri, </w:t>
      </w:r>
      <w:sdt>
        <w:sdtPr>
          <w:rPr>
            <w:rFonts w:ascii="Times New Roman" w:hAnsi="Times New Roman"/>
            <w:i/>
            <w:sz w:val="22"/>
            <w:szCs w:val="22"/>
          </w:rPr>
          <w:id w:val="-59643736"/>
          <w:citation/>
        </w:sdtPr>
        <w:sdtEndPr/>
        <w:sdtContent>
          <w:r w:rsidR="00894BED" w:rsidRPr="00B50268">
            <w:rPr>
              <w:rFonts w:ascii="Times New Roman" w:hAnsi="Times New Roman"/>
              <w:i/>
              <w:sz w:val="22"/>
              <w:szCs w:val="22"/>
            </w:rPr>
            <w:fldChar w:fldCharType="begin"/>
          </w:r>
          <w:r w:rsidR="00E737B3" w:rsidRPr="00B50268">
            <w:rPr>
              <w:rFonts w:ascii="Times New Roman" w:hAnsi="Times New Roman"/>
              <w:i/>
              <w:sz w:val="22"/>
              <w:szCs w:val="22"/>
            </w:rPr>
            <w:instrText xml:space="preserve"> CITATION Eur15 \l 1055 </w:instrText>
          </w:r>
          <w:r w:rsidR="00894BED" w:rsidRPr="00B50268">
            <w:rPr>
              <w:rFonts w:ascii="Times New Roman" w:hAnsi="Times New Roman"/>
              <w:i/>
              <w:sz w:val="22"/>
              <w:szCs w:val="22"/>
            </w:rPr>
            <w:fldChar w:fldCharType="separate"/>
          </w:r>
          <w:r w:rsidR="00E737B3" w:rsidRPr="00B50268">
            <w:rPr>
              <w:rFonts w:ascii="Times New Roman" w:hAnsi="Times New Roman"/>
              <w:i/>
              <w:noProof/>
              <w:sz w:val="22"/>
              <w:szCs w:val="22"/>
            </w:rPr>
            <w:t>(Eurostat Web Sitesi, 2015)</w:t>
          </w:r>
          <w:r w:rsidR="00894BED" w:rsidRPr="00B50268">
            <w:rPr>
              <w:rFonts w:ascii="Times New Roman" w:hAnsi="Times New Roman"/>
              <w:i/>
              <w:sz w:val="22"/>
              <w:szCs w:val="22"/>
            </w:rPr>
            <w:fldChar w:fldCharType="end"/>
          </w:r>
        </w:sdtContent>
      </w:sdt>
    </w:p>
    <w:p w:rsidR="00A37F8F" w:rsidRPr="00C24DB0" w:rsidRDefault="00A37F8F" w:rsidP="007976A9">
      <w:pPr>
        <w:jc w:val="both"/>
        <w:rPr>
          <w:rFonts w:ascii="Times New Roman" w:hAnsi="Times New Roman"/>
          <w:i/>
        </w:rPr>
      </w:pPr>
    </w:p>
    <w:p w:rsidR="003A547C" w:rsidRPr="00C24DB0" w:rsidRDefault="00B50268" w:rsidP="007976A9">
      <w:pPr>
        <w:spacing w:after="240"/>
        <w:jc w:val="both"/>
        <w:rPr>
          <w:rFonts w:ascii="Times New Roman" w:hAnsi="Times New Roman"/>
        </w:rPr>
      </w:pPr>
      <w:r>
        <w:rPr>
          <w:rFonts w:ascii="Times New Roman" w:hAnsi="Times New Roman"/>
        </w:rPr>
        <w:t>Çizelge 2</w:t>
      </w:r>
      <w:r w:rsidR="00894BED" w:rsidRPr="00C24DB0">
        <w:rPr>
          <w:rFonts w:ascii="Times New Roman" w:hAnsi="Times New Roman"/>
        </w:rPr>
        <w:fldChar w:fldCharType="begin"/>
      </w:r>
      <w:r w:rsidR="00A37F8F" w:rsidRPr="00C24DB0">
        <w:rPr>
          <w:rFonts w:ascii="Times New Roman" w:hAnsi="Times New Roman"/>
        </w:rPr>
        <w:instrText xml:space="preserve"> REF _Ref416945463 \h </w:instrText>
      </w:r>
      <w:r w:rsidR="00C24DB0" w:rsidRPr="00C24DB0">
        <w:rPr>
          <w:rFonts w:ascii="Times New Roman" w:hAnsi="Times New Roman"/>
        </w:rPr>
        <w:instrText xml:space="preserve"> \* MERGEFORMAT </w:instrText>
      </w:r>
      <w:r w:rsidR="00894BED" w:rsidRPr="00C24DB0">
        <w:rPr>
          <w:rFonts w:ascii="Times New Roman" w:hAnsi="Times New Roman"/>
        </w:rPr>
      </w:r>
      <w:r w:rsidR="00894BED" w:rsidRPr="00C24DB0">
        <w:rPr>
          <w:rFonts w:ascii="Times New Roman" w:hAnsi="Times New Roman"/>
        </w:rPr>
        <w:fldChar w:fldCharType="end"/>
      </w:r>
      <w:r w:rsidR="00A37F8F" w:rsidRPr="00C24DB0">
        <w:rPr>
          <w:rFonts w:ascii="Times New Roman" w:hAnsi="Times New Roman"/>
        </w:rPr>
        <w:t xml:space="preserve">’de çeşitli OECD ülkelerinin sanayi istihdam endeksi 2005-2014 yılları itibariyle verilmektedir. Bu </w:t>
      </w:r>
      <w:r w:rsidR="00AF5316">
        <w:rPr>
          <w:rFonts w:ascii="Times New Roman" w:hAnsi="Times New Roman"/>
        </w:rPr>
        <w:t>çizelgede</w:t>
      </w:r>
      <w:r w:rsidR="00A37F8F" w:rsidRPr="00C24DB0">
        <w:rPr>
          <w:rFonts w:ascii="Times New Roman" w:hAnsi="Times New Roman"/>
        </w:rPr>
        <w:t xml:space="preserve"> 2010 yılı baz yılı (2010=100) olarak kabul edilmiştir. Kaynak olarak da EUROSTAT verileri kullanılmıştır.</w:t>
      </w:r>
      <w:r w:rsidR="00031189" w:rsidRPr="00C24DB0">
        <w:rPr>
          <w:rFonts w:ascii="Times New Roman" w:hAnsi="Times New Roman"/>
        </w:rPr>
        <w:t xml:space="preserve"> Bu </w:t>
      </w:r>
      <w:r>
        <w:rPr>
          <w:rFonts w:ascii="Times New Roman" w:hAnsi="Times New Roman"/>
        </w:rPr>
        <w:t>çizelgeden de anlaşılacağı üzere</w:t>
      </w:r>
      <w:r w:rsidR="00031189" w:rsidRPr="00C24DB0">
        <w:rPr>
          <w:rFonts w:ascii="Times New Roman" w:hAnsi="Times New Roman"/>
        </w:rPr>
        <w:t xml:space="preserve"> Türkiye’nin 2010’dan </w:t>
      </w:r>
      <w:r w:rsidR="00D5064B" w:rsidRPr="00C24DB0">
        <w:rPr>
          <w:rFonts w:ascii="Times New Roman" w:hAnsi="Times New Roman"/>
        </w:rPr>
        <w:t>2014’e sanayi istihdam endeksin</w:t>
      </w:r>
      <w:r w:rsidR="00031189" w:rsidRPr="00C24DB0">
        <w:rPr>
          <w:rFonts w:ascii="Times New Roman" w:hAnsi="Times New Roman"/>
        </w:rPr>
        <w:t>de üretim gibi, %</w:t>
      </w:r>
      <w:r>
        <w:rPr>
          <w:rFonts w:ascii="Times New Roman" w:hAnsi="Times New Roman"/>
        </w:rPr>
        <w:t xml:space="preserve"> </w:t>
      </w:r>
      <w:r w:rsidR="00031189" w:rsidRPr="00C24DB0">
        <w:rPr>
          <w:rFonts w:ascii="Times New Roman" w:hAnsi="Times New Roman"/>
        </w:rPr>
        <w:t xml:space="preserve">20’lik bir artış sağlanmıştır. </w:t>
      </w:r>
      <w:r w:rsidR="003A547C" w:rsidRPr="00C24DB0">
        <w:rPr>
          <w:rFonts w:ascii="Times New Roman" w:hAnsi="Times New Roman"/>
        </w:rPr>
        <w:br w:type="page"/>
      </w:r>
    </w:p>
    <w:p w:rsidR="00322A8F" w:rsidRPr="00C24DB0" w:rsidRDefault="00961336" w:rsidP="00961336">
      <w:pPr>
        <w:pStyle w:val="ResimYazs"/>
        <w:spacing w:before="120" w:after="120"/>
        <w:jc w:val="center"/>
        <w:rPr>
          <w:rFonts w:ascii="Times New Roman" w:hAnsi="Times New Roman"/>
          <w:sz w:val="24"/>
          <w:szCs w:val="24"/>
        </w:rPr>
      </w:pPr>
      <w:r>
        <w:rPr>
          <w:rFonts w:ascii="Times New Roman" w:hAnsi="Times New Roman"/>
          <w:sz w:val="24"/>
          <w:szCs w:val="24"/>
        </w:rPr>
        <w:lastRenderedPageBreak/>
        <w:t>Çizelge 3.</w:t>
      </w:r>
      <w:r w:rsidR="00322A8F" w:rsidRPr="00C24DB0">
        <w:rPr>
          <w:rFonts w:ascii="Times New Roman" w:hAnsi="Times New Roman"/>
          <w:sz w:val="24"/>
          <w:szCs w:val="24"/>
        </w:rPr>
        <w:t xml:space="preserve"> Yıllık Ortalama İşgücü Verimliliği Değişim Oranları (2005-2014)</w:t>
      </w:r>
    </w:p>
    <w:tbl>
      <w:tblPr>
        <w:tblW w:w="6146"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6"/>
        <w:gridCol w:w="711"/>
        <w:gridCol w:w="707"/>
        <w:gridCol w:w="707"/>
        <w:gridCol w:w="709"/>
        <w:gridCol w:w="709"/>
        <w:gridCol w:w="709"/>
        <w:gridCol w:w="711"/>
        <w:gridCol w:w="707"/>
        <w:gridCol w:w="711"/>
        <w:gridCol w:w="709"/>
        <w:gridCol w:w="1347"/>
      </w:tblGrid>
      <w:tr w:rsidR="00500828" w:rsidRPr="00C24DB0" w:rsidTr="00096083">
        <w:trPr>
          <w:trHeight w:val="227"/>
        </w:trPr>
        <w:tc>
          <w:tcPr>
            <w:tcW w:w="1156" w:type="pct"/>
            <w:shd w:val="clear" w:color="auto" w:fill="99CCFF"/>
            <w:noWrap/>
            <w:vAlign w:val="bottom"/>
          </w:tcPr>
          <w:p w:rsidR="00500828" w:rsidRPr="00C24DB0" w:rsidRDefault="00500828" w:rsidP="007976A9">
            <w:pPr>
              <w:jc w:val="center"/>
              <w:rPr>
                <w:rFonts w:ascii="Times New Roman" w:hAnsi="Times New Roman"/>
                <w:b/>
              </w:rPr>
            </w:pPr>
          </w:p>
        </w:tc>
        <w:tc>
          <w:tcPr>
            <w:tcW w:w="3844" w:type="pct"/>
            <w:gridSpan w:val="11"/>
            <w:shd w:val="clear" w:color="auto" w:fill="99CCFF"/>
            <w:noWrap/>
            <w:vAlign w:val="center"/>
          </w:tcPr>
          <w:p w:rsidR="00500828" w:rsidRPr="00C24DB0" w:rsidRDefault="00500828" w:rsidP="007976A9">
            <w:pPr>
              <w:jc w:val="center"/>
              <w:rPr>
                <w:rFonts w:ascii="Times New Roman" w:hAnsi="Times New Roman"/>
                <w:b/>
                <w:i/>
              </w:rPr>
            </w:pPr>
            <w:r w:rsidRPr="00C24DB0">
              <w:rPr>
                <w:rFonts w:ascii="Times New Roman" w:hAnsi="Times New Roman"/>
                <w:b/>
              </w:rPr>
              <w:t>YILLAR</w:t>
            </w:r>
          </w:p>
        </w:tc>
      </w:tr>
      <w:tr w:rsidR="00096083" w:rsidRPr="00C24DB0" w:rsidTr="00096083">
        <w:trPr>
          <w:trHeight w:val="227"/>
        </w:trPr>
        <w:tc>
          <w:tcPr>
            <w:tcW w:w="1156" w:type="pct"/>
            <w:shd w:val="clear" w:color="auto" w:fill="99CCFF"/>
            <w:noWrap/>
            <w:vAlign w:val="center"/>
            <w:hideMark/>
          </w:tcPr>
          <w:p w:rsidR="00500828" w:rsidRPr="00C24DB0" w:rsidRDefault="00500828" w:rsidP="007976A9">
            <w:pPr>
              <w:jc w:val="center"/>
              <w:rPr>
                <w:rFonts w:ascii="Times New Roman" w:hAnsi="Times New Roman"/>
                <w:b/>
              </w:rPr>
            </w:pPr>
            <w:r w:rsidRPr="00C24DB0">
              <w:rPr>
                <w:rFonts w:ascii="Times New Roman" w:hAnsi="Times New Roman"/>
                <w:b/>
              </w:rPr>
              <w:t>ÜLKELER</w:t>
            </w:r>
          </w:p>
        </w:tc>
        <w:tc>
          <w:tcPr>
            <w:tcW w:w="324" w:type="pct"/>
            <w:shd w:val="clear" w:color="auto"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2005</w:t>
            </w:r>
          </w:p>
        </w:tc>
        <w:tc>
          <w:tcPr>
            <w:tcW w:w="322" w:type="pct"/>
            <w:shd w:val="clear" w:color="000000"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2006</w:t>
            </w:r>
          </w:p>
        </w:tc>
        <w:tc>
          <w:tcPr>
            <w:tcW w:w="322" w:type="pct"/>
            <w:shd w:val="clear" w:color="000000"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2007</w:t>
            </w:r>
          </w:p>
        </w:tc>
        <w:tc>
          <w:tcPr>
            <w:tcW w:w="323" w:type="pct"/>
            <w:shd w:val="clear" w:color="000000"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2008</w:t>
            </w:r>
          </w:p>
        </w:tc>
        <w:tc>
          <w:tcPr>
            <w:tcW w:w="323" w:type="pct"/>
            <w:shd w:val="clear" w:color="000000"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2009</w:t>
            </w:r>
          </w:p>
        </w:tc>
        <w:tc>
          <w:tcPr>
            <w:tcW w:w="323" w:type="pct"/>
            <w:shd w:val="clear" w:color="000000"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2010</w:t>
            </w:r>
          </w:p>
        </w:tc>
        <w:tc>
          <w:tcPr>
            <w:tcW w:w="324" w:type="pct"/>
            <w:shd w:val="clear" w:color="000000"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2011</w:t>
            </w:r>
          </w:p>
        </w:tc>
        <w:tc>
          <w:tcPr>
            <w:tcW w:w="322" w:type="pct"/>
            <w:shd w:val="clear" w:color="000000"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2012</w:t>
            </w:r>
          </w:p>
        </w:tc>
        <w:tc>
          <w:tcPr>
            <w:tcW w:w="324" w:type="pct"/>
            <w:shd w:val="clear" w:color="000000"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2013</w:t>
            </w:r>
          </w:p>
        </w:tc>
        <w:tc>
          <w:tcPr>
            <w:tcW w:w="323" w:type="pct"/>
            <w:shd w:val="clear" w:color="000000" w:fill="99CCFF"/>
            <w:noWrap/>
            <w:vAlign w:val="center"/>
            <w:hideMark/>
          </w:tcPr>
          <w:p w:rsidR="00500828" w:rsidRPr="00961336" w:rsidRDefault="00500828" w:rsidP="007976A9">
            <w:pPr>
              <w:jc w:val="right"/>
              <w:rPr>
                <w:rFonts w:ascii="Times New Roman" w:hAnsi="Times New Roman"/>
                <w:b/>
                <w:i/>
                <w:sz w:val="20"/>
                <w:szCs w:val="20"/>
              </w:rPr>
            </w:pPr>
            <w:r w:rsidRPr="00961336">
              <w:rPr>
                <w:rFonts w:ascii="Times New Roman" w:hAnsi="Times New Roman"/>
                <w:b/>
                <w:i/>
                <w:sz w:val="20"/>
                <w:szCs w:val="20"/>
              </w:rPr>
              <w:t>2014</w:t>
            </w:r>
          </w:p>
        </w:tc>
        <w:tc>
          <w:tcPr>
            <w:tcW w:w="614" w:type="pct"/>
            <w:shd w:val="clear" w:color="000000" w:fill="99CCFF"/>
            <w:vAlign w:val="center"/>
            <w:hideMark/>
          </w:tcPr>
          <w:p w:rsidR="00500828" w:rsidRPr="00961336" w:rsidRDefault="00500828" w:rsidP="007976A9">
            <w:pPr>
              <w:jc w:val="center"/>
              <w:rPr>
                <w:rFonts w:ascii="Times New Roman" w:hAnsi="Times New Roman"/>
                <w:b/>
                <w:i/>
                <w:sz w:val="20"/>
                <w:szCs w:val="20"/>
              </w:rPr>
            </w:pPr>
            <w:r w:rsidRPr="00961336">
              <w:rPr>
                <w:rFonts w:ascii="Times New Roman" w:hAnsi="Times New Roman"/>
                <w:b/>
                <w:i/>
                <w:sz w:val="20"/>
                <w:szCs w:val="20"/>
              </w:rPr>
              <w:t>Yıllık Ortalama İşgücü Verimliliği Değişim Oranı</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Slovakya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0,544</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0,668</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0,786</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0,906</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0,876</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1,021</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1,144</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1,226</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1,265</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10,12%</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Romanya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0,532</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0,612</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0,711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0,765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0,844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1,051</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1,132</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1,191</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9,53%</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Estonya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0,734</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0,795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0,847</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0,841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0,760</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1,190</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1,175</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1,186</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1,208</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6,29%</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Letonya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0,672</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0,713</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0,747</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0,840</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0,869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1,050</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1,115</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1,131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1,105</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5,80%</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Polonya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0,718</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0,795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0,847</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0,854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0,885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1,050</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1,072</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1,104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1,130</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5,24%</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Macaristan</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0,692</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0,717</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0,731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0,776</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0,822</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1,043</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1,083</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1,070</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5,14%</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Almanya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0,777</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0,878</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0,960</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0,953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0,884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1,023</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1,027</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1,093</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4,07%</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Çek Cumhuriyeti</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0,799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0,873</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0,955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0,930</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0,887</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1,053</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1,048</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1,065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1,118</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3,95%</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Malta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0,695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0,805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0,912</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0,931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0,883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0,995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1,051</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0,943</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3,76%</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Bulgaristan</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0,876</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0,939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1,088</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1,124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1,159</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3,35%</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Slovenya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0,810</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0,873</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0,940</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0,969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0,877</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1,003</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1,034</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1,014</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1,032</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1,070</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3,34%</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Luxemburg</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0,907</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1,058</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1,123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1,079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1,159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1,164</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1,190</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1,184</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3,23%</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Finlandiya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0,877</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0,944</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0,991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0,904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1,041</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1,029</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0,998</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1,035</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2,08%</w:t>
            </w:r>
          </w:p>
        </w:tc>
      </w:tr>
      <w:tr w:rsidR="00096083" w:rsidRPr="00C24DB0" w:rsidTr="00096083">
        <w:trPr>
          <w:trHeight w:val="227"/>
        </w:trPr>
        <w:tc>
          <w:tcPr>
            <w:tcW w:w="1156" w:type="pct"/>
            <w:shd w:val="clear" w:color="000000" w:fill="99CCFF"/>
            <w:noWrap/>
            <w:vAlign w:val="bottom"/>
            <w:hideMark/>
          </w:tcPr>
          <w:p w:rsidR="00500828" w:rsidRPr="00220219" w:rsidRDefault="00096083" w:rsidP="007976A9">
            <w:pPr>
              <w:rPr>
                <w:rFonts w:ascii="Times New Roman" w:hAnsi="Times New Roman"/>
                <w:b/>
                <w:i/>
              </w:rPr>
            </w:pPr>
            <w:r w:rsidRPr="00220219">
              <w:rPr>
                <w:rFonts w:ascii="Times New Roman" w:hAnsi="Times New Roman"/>
                <w:b/>
                <w:i/>
              </w:rPr>
              <w:t>ABD</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0,866</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0,940</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0,959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0,923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1,009</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1,023</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1,93%</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Avusturya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0,896</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0,957</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0,993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1,017</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1,026</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1,040</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1,81%</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Norveç</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0,918</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0,936</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0,946</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0,933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1,047</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1,075</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1,78%</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Türkiye</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0,876</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0,941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0,931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1,034</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1,007</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1,008</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1,009</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1,64%</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Portekiz</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0,921</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0,985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0,993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0,949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0,997</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1,012</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1,052</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1,55%</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Fransa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0,931</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0,991</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0,870</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1,054</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1,018</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1,022</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1,34%</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İspanya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0,963</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1,003</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0,965</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0,938</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1,007</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0,984</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1,018</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1,030</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0,83%</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Litvanya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1,072</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1,094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1,040</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0,891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1,036</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1,012</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1,079</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0,73%</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Makedonya</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0,997</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1,026</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1,059</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1,049</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1,021</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1,024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1,039</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0,63%</w:t>
            </w:r>
          </w:p>
        </w:tc>
      </w:tr>
      <w:tr w:rsidR="00096083" w:rsidRPr="00C24DB0" w:rsidTr="00096083">
        <w:trPr>
          <w:trHeight w:val="227"/>
        </w:trPr>
        <w:tc>
          <w:tcPr>
            <w:tcW w:w="1156" w:type="pct"/>
            <w:shd w:val="clear" w:color="000000" w:fill="99CCFF"/>
            <w:noWrap/>
            <w:vAlign w:val="bottom"/>
            <w:hideMark/>
          </w:tcPr>
          <w:p w:rsidR="00500828" w:rsidRPr="00220219" w:rsidRDefault="00F31A49" w:rsidP="007976A9">
            <w:pPr>
              <w:rPr>
                <w:rFonts w:ascii="Times New Roman" w:hAnsi="Times New Roman"/>
                <w:b/>
                <w:i/>
              </w:rPr>
            </w:pPr>
            <w:r w:rsidRPr="00220219">
              <w:rPr>
                <w:rFonts w:ascii="Times New Roman" w:hAnsi="Times New Roman"/>
                <w:b/>
                <w:i/>
              </w:rPr>
              <w:t>İsveç</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0,921</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0,965</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0,991</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0,964</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0,883</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1,004</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0,978</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0,958</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0,941</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0,40%</w:t>
            </w:r>
          </w:p>
        </w:tc>
      </w:tr>
      <w:tr w:rsidR="00096083" w:rsidRPr="00C24DB0" w:rsidTr="00096083">
        <w:trPr>
          <w:trHeight w:val="227"/>
        </w:trPr>
        <w:tc>
          <w:tcPr>
            <w:tcW w:w="1156" w:type="pct"/>
            <w:shd w:val="clear" w:color="000000" w:fill="99CCFF"/>
            <w:noWrap/>
            <w:vAlign w:val="bottom"/>
            <w:hideMark/>
          </w:tcPr>
          <w:p w:rsidR="00500828" w:rsidRPr="00220219" w:rsidRDefault="00500828" w:rsidP="007976A9">
            <w:pPr>
              <w:rPr>
                <w:rFonts w:ascii="Times New Roman" w:hAnsi="Times New Roman"/>
                <w:b/>
                <w:i/>
              </w:rPr>
            </w:pPr>
            <w:r w:rsidRPr="00220219">
              <w:rPr>
                <w:rFonts w:ascii="Times New Roman" w:hAnsi="Times New Roman"/>
                <w:b/>
                <w:i/>
              </w:rPr>
              <w:t>Kıbrıs</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1,066</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1,048</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1,087</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1,107</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1,002</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1,000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0,961</w:t>
            </w:r>
          </w:p>
        </w:tc>
        <w:tc>
          <w:tcPr>
            <w:tcW w:w="322"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0,920</w:t>
            </w:r>
          </w:p>
        </w:tc>
        <w:tc>
          <w:tcPr>
            <w:tcW w:w="324"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0,912</w:t>
            </w:r>
          </w:p>
        </w:tc>
        <w:tc>
          <w:tcPr>
            <w:tcW w:w="323" w:type="pct"/>
            <w:shd w:val="clear" w:color="auto" w:fill="auto"/>
            <w:noWrap/>
            <w:vAlign w:val="bottom"/>
            <w:hideMark/>
          </w:tcPr>
          <w:p w:rsidR="00500828" w:rsidRPr="00961336" w:rsidRDefault="00500828" w:rsidP="007976A9">
            <w:pPr>
              <w:jc w:val="right"/>
              <w:rPr>
                <w:rFonts w:ascii="Times New Roman" w:hAnsi="Times New Roman"/>
                <w:sz w:val="16"/>
                <w:szCs w:val="16"/>
              </w:rPr>
            </w:pPr>
            <w:r w:rsidRPr="00961336">
              <w:rPr>
                <w:rFonts w:ascii="Times New Roman" w:hAnsi="Times New Roman"/>
                <w:sz w:val="16"/>
                <w:szCs w:val="16"/>
              </w:rPr>
              <w:t>0,914</w:t>
            </w: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-1,62%</w:t>
            </w:r>
          </w:p>
        </w:tc>
      </w:tr>
      <w:tr w:rsidR="00096083" w:rsidRPr="00C24DB0" w:rsidTr="00096083">
        <w:trPr>
          <w:trHeight w:val="227"/>
        </w:trPr>
        <w:tc>
          <w:tcPr>
            <w:tcW w:w="1156" w:type="pct"/>
            <w:shd w:val="clear" w:color="000000" w:fill="99CCFF"/>
            <w:noWrap/>
            <w:vAlign w:val="bottom"/>
            <w:hideMark/>
          </w:tcPr>
          <w:p w:rsidR="00500828" w:rsidRPr="00C24DB0" w:rsidRDefault="00500828" w:rsidP="007976A9">
            <w:pPr>
              <w:rPr>
                <w:rFonts w:ascii="Times New Roman" w:hAnsi="Times New Roman"/>
                <w:b/>
                <w:i/>
              </w:rPr>
            </w:pPr>
            <w:r w:rsidRPr="00C24DB0">
              <w:rPr>
                <w:rFonts w:ascii="Times New Roman" w:hAnsi="Times New Roman"/>
                <w:b/>
                <w:i/>
              </w:rPr>
              <w:t>ORTALAMA</w:t>
            </w:r>
          </w:p>
        </w:tc>
        <w:tc>
          <w:tcPr>
            <w:tcW w:w="324" w:type="pct"/>
            <w:shd w:val="clear" w:color="auto" w:fill="auto"/>
            <w:noWrap/>
            <w:vAlign w:val="bottom"/>
            <w:hideMark/>
          </w:tcPr>
          <w:p w:rsidR="00500828" w:rsidRPr="00961336" w:rsidRDefault="00500828" w:rsidP="007976A9">
            <w:pPr>
              <w:rPr>
                <w:rFonts w:ascii="Times New Roman" w:hAnsi="Times New Roman"/>
                <w:b/>
                <w:sz w:val="16"/>
                <w:szCs w:val="16"/>
              </w:rPr>
            </w:pPr>
          </w:p>
        </w:tc>
        <w:tc>
          <w:tcPr>
            <w:tcW w:w="322" w:type="pct"/>
            <w:shd w:val="clear" w:color="auto" w:fill="auto"/>
            <w:noWrap/>
            <w:vAlign w:val="bottom"/>
            <w:hideMark/>
          </w:tcPr>
          <w:p w:rsidR="00500828" w:rsidRPr="00961336" w:rsidRDefault="00500828" w:rsidP="007976A9">
            <w:pPr>
              <w:rPr>
                <w:rFonts w:ascii="Times New Roman" w:hAnsi="Times New Roman"/>
                <w:b/>
                <w:sz w:val="16"/>
                <w:szCs w:val="16"/>
              </w:rPr>
            </w:pPr>
          </w:p>
        </w:tc>
        <w:tc>
          <w:tcPr>
            <w:tcW w:w="322" w:type="pct"/>
            <w:shd w:val="clear" w:color="auto" w:fill="auto"/>
            <w:noWrap/>
            <w:vAlign w:val="bottom"/>
            <w:hideMark/>
          </w:tcPr>
          <w:p w:rsidR="00500828" w:rsidRPr="00961336" w:rsidRDefault="00500828" w:rsidP="007976A9">
            <w:pPr>
              <w:rPr>
                <w:rFonts w:ascii="Times New Roman" w:hAnsi="Times New Roman"/>
                <w:b/>
                <w:sz w:val="16"/>
                <w:szCs w:val="16"/>
              </w:rPr>
            </w:pPr>
          </w:p>
        </w:tc>
        <w:tc>
          <w:tcPr>
            <w:tcW w:w="323" w:type="pct"/>
            <w:shd w:val="clear" w:color="auto" w:fill="auto"/>
            <w:noWrap/>
            <w:vAlign w:val="bottom"/>
            <w:hideMark/>
          </w:tcPr>
          <w:p w:rsidR="00500828" w:rsidRPr="00961336" w:rsidRDefault="00500828" w:rsidP="007976A9">
            <w:pPr>
              <w:rPr>
                <w:rFonts w:ascii="Times New Roman" w:hAnsi="Times New Roman"/>
                <w:b/>
                <w:sz w:val="16"/>
                <w:szCs w:val="16"/>
              </w:rPr>
            </w:pPr>
          </w:p>
        </w:tc>
        <w:tc>
          <w:tcPr>
            <w:tcW w:w="323" w:type="pct"/>
            <w:shd w:val="clear" w:color="auto" w:fill="auto"/>
            <w:noWrap/>
            <w:vAlign w:val="bottom"/>
            <w:hideMark/>
          </w:tcPr>
          <w:p w:rsidR="00500828" w:rsidRPr="00961336" w:rsidRDefault="00500828" w:rsidP="007976A9">
            <w:pPr>
              <w:rPr>
                <w:rFonts w:ascii="Times New Roman" w:hAnsi="Times New Roman"/>
                <w:b/>
                <w:sz w:val="16"/>
                <w:szCs w:val="16"/>
              </w:rPr>
            </w:pPr>
          </w:p>
        </w:tc>
        <w:tc>
          <w:tcPr>
            <w:tcW w:w="323" w:type="pct"/>
            <w:shd w:val="clear" w:color="auto" w:fill="auto"/>
            <w:noWrap/>
            <w:vAlign w:val="bottom"/>
            <w:hideMark/>
          </w:tcPr>
          <w:p w:rsidR="00500828" w:rsidRPr="00961336" w:rsidRDefault="00500828" w:rsidP="007976A9">
            <w:pPr>
              <w:rPr>
                <w:rFonts w:ascii="Times New Roman" w:hAnsi="Times New Roman"/>
                <w:b/>
                <w:sz w:val="16"/>
                <w:szCs w:val="16"/>
              </w:rPr>
            </w:pPr>
          </w:p>
        </w:tc>
        <w:tc>
          <w:tcPr>
            <w:tcW w:w="324" w:type="pct"/>
            <w:shd w:val="clear" w:color="auto" w:fill="auto"/>
            <w:noWrap/>
            <w:vAlign w:val="bottom"/>
            <w:hideMark/>
          </w:tcPr>
          <w:p w:rsidR="00500828" w:rsidRPr="00961336" w:rsidRDefault="00500828" w:rsidP="007976A9">
            <w:pPr>
              <w:rPr>
                <w:rFonts w:ascii="Times New Roman" w:hAnsi="Times New Roman"/>
                <w:b/>
                <w:sz w:val="16"/>
                <w:szCs w:val="16"/>
              </w:rPr>
            </w:pPr>
          </w:p>
        </w:tc>
        <w:tc>
          <w:tcPr>
            <w:tcW w:w="322" w:type="pct"/>
            <w:shd w:val="clear" w:color="auto" w:fill="auto"/>
            <w:noWrap/>
            <w:vAlign w:val="bottom"/>
            <w:hideMark/>
          </w:tcPr>
          <w:p w:rsidR="00500828" w:rsidRPr="00961336" w:rsidRDefault="00500828" w:rsidP="007976A9">
            <w:pPr>
              <w:rPr>
                <w:rFonts w:ascii="Times New Roman" w:hAnsi="Times New Roman"/>
                <w:b/>
                <w:sz w:val="16"/>
                <w:szCs w:val="16"/>
              </w:rPr>
            </w:pPr>
          </w:p>
        </w:tc>
        <w:tc>
          <w:tcPr>
            <w:tcW w:w="324" w:type="pct"/>
            <w:shd w:val="clear" w:color="auto" w:fill="auto"/>
            <w:noWrap/>
            <w:vAlign w:val="bottom"/>
            <w:hideMark/>
          </w:tcPr>
          <w:p w:rsidR="00500828" w:rsidRPr="00961336" w:rsidRDefault="00500828" w:rsidP="007976A9">
            <w:pPr>
              <w:rPr>
                <w:rFonts w:ascii="Times New Roman" w:hAnsi="Times New Roman"/>
                <w:b/>
                <w:sz w:val="16"/>
                <w:szCs w:val="16"/>
              </w:rPr>
            </w:pPr>
          </w:p>
        </w:tc>
        <w:tc>
          <w:tcPr>
            <w:tcW w:w="323" w:type="pct"/>
            <w:shd w:val="clear" w:color="auto" w:fill="auto"/>
            <w:noWrap/>
            <w:vAlign w:val="bottom"/>
            <w:hideMark/>
          </w:tcPr>
          <w:p w:rsidR="00500828" w:rsidRPr="00961336" w:rsidRDefault="00500828" w:rsidP="007976A9">
            <w:pPr>
              <w:jc w:val="center"/>
              <w:rPr>
                <w:rFonts w:ascii="Times New Roman" w:hAnsi="Times New Roman"/>
                <w:b/>
                <w:i/>
                <w:sz w:val="16"/>
                <w:szCs w:val="16"/>
              </w:rPr>
            </w:pPr>
          </w:p>
        </w:tc>
        <w:tc>
          <w:tcPr>
            <w:tcW w:w="614" w:type="pct"/>
            <w:shd w:val="clear" w:color="auto" w:fill="auto"/>
            <w:noWrap/>
            <w:vAlign w:val="bottom"/>
            <w:hideMark/>
          </w:tcPr>
          <w:p w:rsidR="00500828" w:rsidRPr="00961336" w:rsidRDefault="00500828" w:rsidP="007976A9">
            <w:pPr>
              <w:jc w:val="center"/>
              <w:rPr>
                <w:rFonts w:ascii="Times New Roman" w:hAnsi="Times New Roman"/>
                <w:b/>
                <w:i/>
                <w:sz w:val="16"/>
                <w:szCs w:val="16"/>
              </w:rPr>
            </w:pPr>
            <w:r w:rsidRPr="00961336">
              <w:rPr>
                <w:rFonts w:ascii="Times New Roman" w:hAnsi="Times New Roman"/>
                <w:b/>
                <w:i/>
                <w:sz w:val="16"/>
                <w:szCs w:val="16"/>
              </w:rPr>
              <w:t>3,20%</w:t>
            </w:r>
          </w:p>
        </w:tc>
      </w:tr>
    </w:tbl>
    <w:p w:rsidR="00322A8F" w:rsidRPr="00961336" w:rsidRDefault="00322A8F" w:rsidP="00961336">
      <w:pPr>
        <w:spacing w:before="120" w:after="120"/>
        <w:jc w:val="both"/>
        <w:rPr>
          <w:rFonts w:ascii="Times New Roman" w:hAnsi="Times New Roman"/>
          <w:i/>
          <w:sz w:val="22"/>
          <w:szCs w:val="22"/>
        </w:rPr>
      </w:pPr>
      <w:r w:rsidRPr="00961336">
        <w:rPr>
          <w:rFonts w:ascii="Times New Roman" w:hAnsi="Times New Roman"/>
          <w:b/>
          <w:i/>
          <w:sz w:val="22"/>
          <w:szCs w:val="22"/>
        </w:rPr>
        <w:t>Kaynak:</w:t>
      </w:r>
      <w:r w:rsidR="00961336" w:rsidRPr="00961336">
        <w:rPr>
          <w:rFonts w:ascii="Times New Roman" w:hAnsi="Times New Roman"/>
          <w:b/>
          <w:i/>
          <w:sz w:val="22"/>
          <w:szCs w:val="22"/>
        </w:rPr>
        <w:t xml:space="preserve"> </w:t>
      </w:r>
      <w:r w:rsidRPr="00961336">
        <w:rPr>
          <w:rFonts w:ascii="Times New Roman" w:hAnsi="Times New Roman"/>
          <w:i/>
          <w:sz w:val="22"/>
          <w:szCs w:val="22"/>
        </w:rPr>
        <w:t xml:space="preserve">Eurostat </w:t>
      </w:r>
      <w:r w:rsidR="0014059D" w:rsidRPr="00961336">
        <w:rPr>
          <w:rFonts w:ascii="Times New Roman" w:hAnsi="Times New Roman"/>
          <w:i/>
          <w:sz w:val="22"/>
          <w:szCs w:val="22"/>
        </w:rPr>
        <w:t xml:space="preserve">kısa dönemli iş istatistikleri </w:t>
      </w:r>
      <w:r w:rsidR="00165201" w:rsidRPr="00961336">
        <w:rPr>
          <w:rFonts w:ascii="Times New Roman" w:hAnsi="Times New Roman"/>
          <w:i/>
          <w:sz w:val="22"/>
          <w:szCs w:val="22"/>
        </w:rPr>
        <w:t>verileri kullanılarak</w:t>
      </w:r>
      <w:r w:rsidR="00961336">
        <w:rPr>
          <w:rFonts w:ascii="Times New Roman" w:hAnsi="Times New Roman"/>
          <w:i/>
          <w:sz w:val="22"/>
          <w:szCs w:val="22"/>
        </w:rPr>
        <w:t xml:space="preserve"> </w:t>
      </w:r>
      <w:r w:rsidRPr="00961336">
        <w:rPr>
          <w:rFonts w:ascii="Times New Roman" w:hAnsi="Times New Roman"/>
          <w:i/>
          <w:sz w:val="22"/>
          <w:szCs w:val="22"/>
        </w:rPr>
        <w:t xml:space="preserve">hesaplanmıştır. </w:t>
      </w:r>
    </w:p>
    <w:p w:rsidR="00A37F8F" w:rsidRPr="00C24DB0" w:rsidRDefault="00961336" w:rsidP="007976A9">
      <w:pPr>
        <w:spacing w:after="240"/>
        <w:jc w:val="both"/>
        <w:rPr>
          <w:rFonts w:ascii="Times New Roman" w:hAnsi="Times New Roman"/>
        </w:rPr>
      </w:pPr>
      <w:r>
        <w:rPr>
          <w:rFonts w:ascii="Times New Roman" w:hAnsi="Times New Roman"/>
        </w:rPr>
        <w:t>Çizelge 3’</w:t>
      </w:r>
      <w:r w:rsidR="00A37F8F" w:rsidRPr="00C24DB0">
        <w:rPr>
          <w:rFonts w:ascii="Times New Roman" w:hAnsi="Times New Roman"/>
        </w:rPr>
        <w:t xml:space="preserve">de çeşitli OECD ülkelerinin </w:t>
      </w:r>
      <w:r w:rsidR="00593C03" w:rsidRPr="00C24DB0">
        <w:rPr>
          <w:rFonts w:ascii="Times New Roman" w:hAnsi="Times New Roman"/>
        </w:rPr>
        <w:t>yıllar</w:t>
      </w:r>
      <w:r w:rsidR="00A37F8F" w:rsidRPr="00C24DB0">
        <w:rPr>
          <w:rFonts w:ascii="Times New Roman" w:hAnsi="Times New Roman"/>
        </w:rPr>
        <w:t xml:space="preserve"> itibariyle işgücü verimlilik endeksleri ve yıllık ortalama işgücü verimliliği değişim oranları hesaplanarak verilmiştir. Bu hesaplama 2005-2014 yılları arası her yılın bir önceki yıla göre olan değişimi hesaplanarak sonuçta yıllık ortalama değişimler bulunmuştur. Türkiye’nin ilgili dönemdeki yıllık ortalama işgücü verimliliği değişim oranı %</w:t>
      </w:r>
      <w:r>
        <w:rPr>
          <w:rFonts w:ascii="Times New Roman" w:hAnsi="Times New Roman"/>
        </w:rPr>
        <w:t xml:space="preserve"> </w:t>
      </w:r>
      <w:r w:rsidR="00A37F8F" w:rsidRPr="00C24DB0">
        <w:rPr>
          <w:rFonts w:ascii="Times New Roman" w:hAnsi="Times New Roman"/>
        </w:rPr>
        <w:t xml:space="preserve">1,64 olarak elde edilmiştir. </w:t>
      </w:r>
    </w:p>
    <w:p w:rsidR="00A37F8F" w:rsidRPr="00C24DB0" w:rsidRDefault="00A37F8F" w:rsidP="007976A9">
      <w:pPr>
        <w:spacing w:after="240"/>
        <w:jc w:val="both"/>
        <w:rPr>
          <w:rFonts w:ascii="Times New Roman" w:hAnsi="Times New Roman"/>
        </w:rPr>
      </w:pPr>
    </w:p>
    <w:p w:rsidR="00A37F8F" w:rsidRPr="00C24DB0" w:rsidRDefault="00A37F8F" w:rsidP="007976A9">
      <w:pPr>
        <w:spacing w:before="240"/>
        <w:jc w:val="both"/>
        <w:rPr>
          <w:rFonts w:ascii="Times New Roman" w:hAnsi="Times New Roman"/>
          <w:i/>
        </w:rPr>
      </w:pPr>
    </w:p>
    <w:p w:rsidR="00C114FC" w:rsidRPr="00C24DB0" w:rsidRDefault="00C114FC" w:rsidP="007976A9">
      <w:pPr>
        <w:spacing w:before="240"/>
        <w:jc w:val="both"/>
        <w:rPr>
          <w:rFonts w:ascii="Times New Roman" w:hAnsi="Times New Roman"/>
          <w:i/>
        </w:rPr>
      </w:pPr>
      <w:r w:rsidRPr="00C24DB0">
        <w:rPr>
          <w:rFonts w:ascii="Times New Roman" w:hAnsi="Times New Roman"/>
          <w:noProof/>
        </w:rPr>
        <w:lastRenderedPageBreak/>
        <w:drawing>
          <wp:inline distT="0" distB="0" distL="0" distR="0" wp14:anchorId="518941EE" wp14:editId="19B3274C">
            <wp:extent cx="5579745" cy="3857625"/>
            <wp:effectExtent l="0" t="0" r="1905" b="952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14FC" w:rsidRPr="00C24DB0" w:rsidRDefault="00C114FC" w:rsidP="00961336">
      <w:pPr>
        <w:pStyle w:val="ResimYazs"/>
        <w:spacing w:before="120" w:after="120"/>
        <w:jc w:val="center"/>
        <w:rPr>
          <w:rFonts w:ascii="Times New Roman" w:hAnsi="Times New Roman"/>
          <w:sz w:val="24"/>
          <w:szCs w:val="24"/>
        </w:rPr>
      </w:pPr>
      <w:bookmarkStart w:id="5" w:name="_Ref416442337"/>
      <w:r w:rsidRPr="00C24DB0">
        <w:rPr>
          <w:rFonts w:ascii="Times New Roman" w:hAnsi="Times New Roman"/>
          <w:sz w:val="24"/>
          <w:szCs w:val="24"/>
        </w:rPr>
        <w:t xml:space="preserve">Şekil </w:t>
      </w:r>
      <w:r w:rsidR="005D5603" w:rsidRPr="00C24DB0">
        <w:rPr>
          <w:rFonts w:ascii="Times New Roman" w:hAnsi="Times New Roman"/>
          <w:sz w:val="24"/>
          <w:szCs w:val="24"/>
        </w:rPr>
        <w:fldChar w:fldCharType="begin"/>
      </w:r>
      <w:r w:rsidR="005D5603" w:rsidRPr="00C24DB0">
        <w:rPr>
          <w:rFonts w:ascii="Times New Roman" w:hAnsi="Times New Roman"/>
          <w:sz w:val="24"/>
          <w:szCs w:val="24"/>
        </w:rPr>
        <w:instrText xml:space="preserve"> SEQ Şekil \* ARABIC </w:instrText>
      </w:r>
      <w:r w:rsidR="005D5603" w:rsidRPr="00C24DB0">
        <w:rPr>
          <w:rFonts w:ascii="Times New Roman" w:hAnsi="Times New Roman"/>
          <w:sz w:val="24"/>
          <w:szCs w:val="24"/>
        </w:rPr>
        <w:fldChar w:fldCharType="separate"/>
      </w:r>
      <w:r w:rsidR="001C5482" w:rsidRPr="00C24DB0">
        <w:rPr>
          <w:rFonts w:ascii="Times New Roman" w:hAnsi="Times New Roman"/>
          <w:noProof/>
          <w:sz w:val="24"/>
          <w:szCs w:val="24"/>
        </w:rPr>
        <w:t>1</w:t>
      </w:r>
      <w:r w:rsidR="005D5603" w:rsidRPr="00C24DB0">
        <w:rPr>
          <w:rFonts w:ascii="Times New Roman" w:hAnsi="Times New Roman"/>
          <w:noProof/>
          <w:sz w:val="24"/>
          <w:szCs w:val="24"/>
        </w:rPr>
        <w:fldChar w:fldCharType="end"/>
      </w:r>
      <w:bookmarkEnd w:id="5"/>
      <w:r w:rsidRPr="00C24DB0">
        <w:rPr>
          <w:rFonts w:ascii="Times New Roman" w:hAnsi="Times New Roman"/>
          <w:sz w:val="24"/>
          <w:szCs w:val="24"/>
        </w:rPr>
        <w:t>. Yıllık Ortalama İşgücü Verimliliği Değişim Oranları (2005-2014)</w:t>
      </w:r>
    </w:p>
    <w:p w:rsidR="005D5420" w:rsidRPr="00961336" w:rsidRDefault="005D5420" w:rsidP="00961336">
      <w:pPr>
        <w:spacing w:before="120" w:after="120"/>
        <w:jc w:val="both"/>
        <w:rPr>
          <w:rFonts w:ascii="Times New Roman" w:hAnsi="Times New Roman"/>
          <w:i/>
          <w:sz w:val="22"/>
          <w:szCs w:val="22"/>
        </w:rPr>
      </w:pPr>
      <w:r w:rsidRPr="00961336">
        <w:rPr>
          <w:rFonts w:ascii="Times New Roman" w:hAnsi="Times New Roman"/>
          <w:b/>
          <w:i/>
          <w:sz w:val="22"/>
          <w:szCs w:val="22"/>
        </w:rPr>
        <w:t>Kaynak:</w:t>
      </w:r>
      <w:r w:rsidR="00961336" w:rsidRPr="00961336">
        <w:rPr>
          <w:rFonts w:ascii="Times New Roman" w:hAnsi="Times New Roman"/>
          <w:i/>
          <w:sz w:val="22"/>
          <w:szCs w:val="22"/>
        </w:rPr>
        <w:t xml:space="preserve"> </w:t>
      </w:r>
      <w:r w:rsidR="0014059D">
        <w:rPr>
          <w:rFonts w:ascii="Times New Roman" w:hAnsi="Times New Roman"/>
          <w:i/>
          <w:sz w:val="22"/>
          <w:szCs w:val="22"/>
        </w:rPr>
        <w:t>Eurostat k</w:t>
      </w:r>
      <w:r w:rsidRPr="00961336">
        <w:rPr>
          <w:rFonts w:ascii="Times New Roman" w:hAnsi="Times New Roman"/>
          <w:i/>
          <w:sz w:val="22"/>
          <w:szCs w:val="22"/>
        </w:rPr>
        <w:t xml:space="preserve">ısa </w:t>
      </w:r>
      <w:r w:rsidR="00923857" w:rsidRPr="00961336">
        <w:rPr>
          <w:rFonts w:ascii="Times New Roman" w:hAnsi="Times New Roman"/>
          <w:i/>
          <w:sz w:val="22"/>
          <w:szCs w:val="22"/>
        </w:rPr>
        <w:t xml:space="preserve">dönemli iş istatistikleri </w:t>
      </w:r>
      <w:r w:rsidRPr="00961336">
        <w:rPr>
          <w:rFonts w:ascii="Times New Roman" w:hAnsi="Times New Roman"/>
          <w:i/>
          <w:sz w:val="22"/>
          <w:szCs w:val="22"/>
        </w:rPr>
        <w:t xml:space="preserve">verileri kullanılarak </w:t>
      </w:r>
      <w:r w:rsidR="00923857">
        <w:rPr>
          <w:rFonts w:ascii="Times New Roman" w:hAnsi="Times New Roman"/>
          <w:i/>
          <w:sz w:val="22"/>
          <w:szCs w:val="22"/>
        </w:rPr>
        <w:t>oluşturulmuştur</w:t>
      </w:r>
      <w:r w:rsidRPr="00961336">
        <w:rPr>
          <w:rFonts w:ascii="Times New Roman" w:hAnsi="Times New Roman"/>
          <w:i/>
          <w:sz w:val="22"/>
          <w:szCs w:val="22"/>
        </w:rPr>
        <w:t>.</w:t>
      </w:r>
    </w:p>
    <w:p w:rsidR="005D5420" w:rsidRPr="00C24DB0" w:rsidRDefault="005D5420" w:rsidP="007976A9">
      <w:pPr>
        <w:rPr>
          <w:rFonts w:ascii="Times New Roman" w:hAnsi="Times New Roman"/>
        </w:rPr>
      </w:pPr>
    </w:p>
    <w:p w:rsidR="00D00636" w:rsidRPr="00C24DB0" w:rsidRDefault="00D00636" w:rsidP="007976A9">
      <w:pPr>
        <w:spacing w:after="240"/>
        <w:jc w:val="both"/>
        <w:rPr>
          <w:rFonts w:ascii="Times New Roman" w:hAnsi="Times New Roman"/>
        </w:rPr>
      </w:pPr>
      <w:r w:rsidRPr="00C24DB0">
        <w:rPr>
          <w:rFonts w:ascii="Times New Roman" w:hAnsi="Times New Roman"/>
        </w:rPr>
        <w:t xml:space="preserve">Gelişmiş, yarı gelişmiş ve gelişmekte olan bir grup ülke içinde Türkiye’de 2005-2014 döneminde işgücü verimliliğindeki değişimin performansı karşılaştırıldığında, </w:t>
      </w:r>
      <w:r w:rsidR="00961336">
        <w:rPr>
          <w:rFonts w:ascii="Times New Roman" w:hAnsi="Times New Roman"/>
        </w:rPr>
        <w:t>Türkiye’nin</w:t>
      </w:r>
      <w:r w:rsidRPr="00C24DB0">
        <w:rPr>
          <w:rFonts w:ascii="Times New Roman" w:hAnsi="Times New Roman"/>
        </w:rPr>
        <w:t xml:space="preserve"> pek parlak bir noktada olmadığı izlenmektedir. </w:t>
      </w:r>
      <w:r w:rsidR="005D5603" w:rsidRPr="00C24DB0">
        <w:rPr>
          <w:rFonts w:ascii="Times New Roman" w:hAnsi="Times New Roman"/>
        </w:rPr>
        <w:fldChar w:fldCharType="begin"/>
      </w:r>
      <w:r w:rsidR="005D5603" w:rsidRPr="00C24DB0">
        <w:rPr>
          <w:rFonts w:ascii="Times New Roman" w:hAnsi="Times New Roman"/>
        </w:rPr>
        <w:instrText xml:space="preserve"> REF _Ref416442337 \h  \* MERGEFORMAT </w:instrText>
      </w:r>
      <w:r w:rsidR="005D5603" w:rsidRPr="00C24DB0">
        <w:rPr>
          <w:rFonts w:ascii="Times New Roman" w:hAnsi="Times New Roman"/>
        </w:rPr>
      </w:r>
      <w:r w:rsidR="005D5603" w:rsidRPr="00C24DB0">
        <w:rPr>
          <w:rFonts w:ascii="Times New Roman" w:hAnsi="Times New Roman"/>
        </w:rPr>
        <w:fldChar w:fldCharType="separate"/>
      </w:r>
      <w:r w:rsidR="001C5482" w:rsidRPr="00C24DB0">
        <w:rPr>
          <w:rFonts w:ascii="Times New Roman" w:hAnsi="Times New Roman"/>
        </w:rPr>
        <w:t>Şekil 1</w:t>
      </w:r>
      <w:r w:rsidR="005D5603" w:rsidRPr="00C24DB0">
        <w:rPr>
          <w:rFonts w:ascii="Times New Roman" w:hAnsi="Times New Roman"/>
        </w:rPr>
        <w:fldChar w:fldCharType="end"/>
      </w:r>
      <w:r w:rsidR="00C114FC" w:rsidRPr="00C24DB0">
        <w:rPr>
          <w:rFonts w:ascii="Times New Roman" w:hAnsi="Times New Roman"/>
        </w:rPr>
        <w:t xml:space="preserve">’de </w:t>
      </w:r>
      <w:r w:rsidRPr="00C24DB0">
        <w:rPr>
          <w:rFonts w:ascii="Times New Roman" w:hAnsi="Times New Roman"/>
        </w:rPr>
        <w:t>görülebileceği gibi Türkiye</w:t>
      </w:r>
      <w:r w:rsidR="00961336">
        <w:rPr>
          <w:rFonts w:ascii="Times New Roman" w:hAnsi="Times New Roman"/>
        </w:rPr>
        <w:t>,</w:t>
      </w:r>
      <w:r w:rsidRPr="00C24DB0">
        <w:rPr>
          <w:rFonts w:ascii="Times New Roman" w:hAnsi="Times New Roman"/>
        </w:rPr>
        <w:t xml:space="preserve"> işgücü verimliliği değişiminde, söz konusu dönemde, adı geçen 24 adet ülke içerisinde 17. sırada yer almaktadır. </w:t>
      </w:r>
      <w:r w:rsidR="005617CC" w:rsidRPr="00C24DB0">
        <w:rPr>
          <w:rFonts w:ascii="Times New Roman" w:hAnsi="Times New Roman"/>
        </w:rPr>
        <w:t>Ağırlığı</w:t>
      </w:r>
      <w:r w:rsidR="00961336">
        <w:rPr>
          <w:rFonts w:ascii="Times New Roman" w:hAnsi="Times New Roman"/>
        </w:rPr>
        <w:t>,</w:t>
      </w:r>
      <w:r w:rsidR="005617CC" w:rsidRPr="00C24DB0">
        <w:rPr>
          <w:rFonts w:ascii="Times New Roman" w:hAnsi="Times New Roman"/>
        </w:rPr>
        <w:t xml:space="preserve"> yarı gelişmiş ülkeler olan bu ülkeler kümesi içinde Türkiye’nin elde ettiği 17. </w:t>
      </w:r>
      <w:r w:rsidR="00961336">
        <w:rPr>
          <w:rFonts w:ascii="Times New Roman" w:hAnsi="Times New Roman"/>
        </w:rPr>
        <w:t>s</w:t>
      </w:r>
      <w:r w:rsidR="005617CC" w:rsidRPr="00C24DB0">
        <w:rPr>
          <w:rFonts w:ascii="Times New Roman" w:hAnsi="Times New Roman"/>
        </w:rPr>
        <w:t>ıra</w:t>
      </w:r>
      <w:r w:rsidR="00961336">
        <w:rPr>
          <w:rFonts w:ascii="Times New Roman" w:hAnsi="Times New Roman"/>
        </w:rPr>
        <w:t>,</w:t>
      </w:r>
      <w:r w:rsidR="005617CC" w:rsidRPr="00C24DB0">
        <w:rPr>
          <w:rFonts w:ascii="Times New Roman" w:hAnsi="Times New Roman"/>
        </w:rPr>
        <w:t xml:space="preserve"> </w:t>
      </w:r>
      <w:r w:rsidR="00961336">
        <w:rPr>
          <w:rFonts w:ascii="Times New Roman" w:hAnsi="Times New Roman"/>
        </w:rPr>
        <w:t>Türkiye’nin</w:t>
      </w:r>
      <w:r w:rsidR="005617CC" w:rsidRPr="00C24DB0">
        <w:rPr>
          <w:rFonts w:ascii="Times New Roman" w:hAnsi="Times New Roman"/>
        </w:rPr>
        <w:t xml:space="preserve"> potansiyeline göre hiç de arzu edilmeyen bir seviye oluşturmaktadır. </w:t>
      </w:r>
    </w:p>
    <w:p w:rsidR="0077097B" w:rsidRPr="00C24DB0" w:rsidRDefault="0077097B" w:rsidP="007976A9">
      <w:pPr>
        <w:spacing w:after="240"/>
        <w:jc w:val="both"/>
        <w:rPr>
          <w:rFonts w:ascii="Times New Roman" w:hAnsi="Times New Roman"/>
        </w:rPr>
      </w:pPr>
      <w:r w:rsidRPr="00C24DB0">
        <w:rPr>
          <w:rFonts w:ascii="Times New Roman" w:hAnsi="Times New Roman"/>
        </w:rPr>
        <w:t xml:space="preserve">2005 ve 2006 yıllarında yükselme eğilimi gösteren işgücü verimliliğinin, 2007 ve 2008 yıllarında düştüğü görülmüştür. Bu durumun bir nedeninin, küresel ekonomik kriz olduğu öne sürülebilir, diğer yandan </w:t>
      </w:r>
      <w:r w:rsidR="00961336">
        <w:rPr>
          <w:rFonts w:ascii="Times New Roman" w:hAnsi="Times New Roman"/>
        </w:rPr>
        <w:t>Çizelge</w:t>
      </w:r>
      <w:r w:rsidR="00D5064B" w:rsidRPr="00C24DB0">
        <w:rPr>
          <w:rFonts w:ascii="Times New Roman" w:hAnsi="Times New Roman"/>
        </w:rPr>
        <w:t xml:space="preserve"> 3’te</w:t>
      </w:r>
      <w:r w:rsidRPr="00C24DB0">
        <w:rPr>
          <w:rFonts w:ascii="Times New Roman" w:hAnsi="Times New Roman"/>
        </w:rPr>
        <w:t xml:space="preserve"> izlenebileceği gibi, çoğu ülkede 2008 ve 2009 yıllarında verimlilik düşüşü yaşanmıştır. </w:t>
      </w:r>
    </w:p>
    <w:p w:rsidR="0077097B" w:rsidRPr="00C24DB0" w:rsidRDefault="0077097B" w:rsidP="007976A9">
      <w:pPr>
        <w:spacing w:after="240"/>
        <w:jc w:val="both"/>
        <w:rPr>
          <w:rFonts w:ascii="Times New Roman" w:hAnsi="Times New Roman"/>
        </w:rPr>
      </w:pPr>
      <w:r w:rsidRPr="00C24DB0">
        <w:rPr>
          <w:rFonts w:ascii="Times New Roman" w:hAnsi="Times New Roman"/>
        </w:rPr>
        <w:t>2009 yılından itibaren Türkiye’de işgücü verimliliği yükselme eğilimine girmiş ve bu durum 2011 yılına kadar sürmüştür. Aynı yıllarda ekonomideki genel milli gelir artışı da paralel seyretmiştir. İşgücü verimliliğindeki bu yükselişin üretim artışından ileri geldiği söylenebilir. 2011 yılından sonra ise, işgücü verimliliği</w:t>
      </w:r>
      <w:r w:rsidR="00961336">
        <w:rPr>
          <w:rFonts w:ascii="Times New Roman" w:hAnsi="Times New Roman"/>
        </w:rPr>
        <w:t>,</w:t>
      </w:r>
      <w:r w:rsidRPr="00C24DB0">
        <w:rPr>
          <w:rFonts w:ascii="Times New Roman" w:hAnsi="Times New Roman"/>
        </w:rPr>
        <w:t xml:space="preserve"> düşüş ve ciddi bir </w:t>
      </w:r>
      <w:r w:rsidR="00243D95" w:rsidRPr="00C24DB0">
        <w:rPr>
          <w:rFonts w:ascii="Times New Roman" w:hAnsi="Times New Roman"/>
        </w:rPr>
        <w:t xml:space="preserve">durgunluk </w:t>
      </w:r>
      <w:r w:rsidR="00961336">
        <w:rPr>
          <w:rFonts w:ascii="Times New Roman" w:hAnsi="Times New Roman"/>
        </w:rPr>
        <w:t>İçerisine</w:t>
      </w:r>
      <w:r w:rsidR="00243D95" w:rsidRPr="00C24DB0">
        <w:rPr>
          <w:rFonts w:ascii="Times New Roman" w:hAnsi="Times New Roman"/>
        </w:rPr>
        <w:t xml:space="preserve"> girmiştir. Bu durumun</w:t>
      </w:r>
      <w:r w:rsidRPr="00C24DB0">
        <w:rPr>
          <w:rFonts w:ascii="Times New Roman" w:hAnsi="Times New Roman"/>
        </w:rPr>
        <w:t xml:space="preserve"> da ülke ekonomisindeki genel durgunluk yapısı ile ilgili olduğu sanılmaktadır. </w:t>
      </w:r>
    </w:p>
    <w:p w:rsidR="0077097B" w:rsidRPr="00C24DB0" w:rsidRDefault="0077097B" w:rsidP="007976A9">
      <w:pPr>
        <w:spacing w:after="240"/>
        <w:jc w:val="both"/>
        <w:rPr>
          <w:rFonts w:ascii="Times New Roman" w:hAnsi="Times New Roman"/>
        </w:rPr>
      </w:pPr>
      <w:r w:rsidRPr="00C24DB0">
        <w:rPr>
          <w:rFonts w:ascii="Times New Roman" w:hAnsi="Times New Roman"/>
        </w:rPr>
        <w:t>İncelenen 2005-2014 dönemi işgücü verimliliği değişimleri için daha kesin bulgulara ulaşılmak istendiğinde yapılacak iş; üretim ve istihdam değişkenl</w:t>
      </w:r>
      <w:r w:rsidR="003A547C" w:rsidRPr="00C24DB0">
        <w:rPr>
          <w:rFonts w:ascii="Times New Roman" w:hAnsi="Times New Roman"/>
        </w:rPr>
        <w:t>erinin</w:t>
      </w:r>
      <w:r w:rsidR="00923857">
        <w:rPr>
          <w:rFonts w:ascii="Times New Roman" w:hAnsi="Times New Roman"/>
        </w:rPr>
        <w:t xml:space="preserve"> birlikte incelenmesidir. Çünkü </w:t>
      </w:r>
      <w:r w:rsidRPr="00C24DB0">
        <w:rPr>
          <w:rFonts w:ascii="Times New Roman" w:hAnsi="Times New Roman"/>
        </w:rPr>
        <w:t>işgücü verimliliği değişi</w:t>
      </w:r>
      <w:r w:rsidR="003D6220" w:rsidRPr="00C24DB0">
        <w:rPr>
          <w:rFonts w:ascii="Times New Roman" w:hAnsi="Times New Roman"/>
        </w:rPr>
        <w:t>mleri üretimin iki temel unsuru</w:t>
      </w:r>
      <w:r w:rsidRPr="00C24DB0">
        <w:rPr>
          <w:rFonts w:ascii="Times New Roman" w:hAnsi="Times New Roman"/>
        </w:rPr>
        <w:t xml:space="preserve"> olan</w:t>
      </w:r>
      <w:r w:rsidR="003D6220" w:rsidRPr="00C24DB0">
        <w:rPr>
          <w:rFonts w:ascii="Times New Roman" w:hAnsi="Times New Roman"/>
        </w:rPr>
        <w:t xml:space="preserve"> çıktı ve girdi değişimlerinden doğrudan etkilenir. </w:t>
      </w:r>
    </w:p>
    <w:p w:rsidR="00D00636" w:rsidRPr="00C24DB0" w:rsidRDefault="003D6220" w:rsidP="007976A9">
      <w:pPr>
        <w:spacing w:after="240"/>
        <w:jc w:val="both"/>
        <w:rPr>
          <w:rFonts w:ascii="Times New Roman" w:hAnsi="Times New Roman"/>
        </w:rPr>
      </w:pPr>
      <w:r w:rsidRPr="00C24DB0">
        <w:rPr>
          <w:rFonts w:ascii="Times New Roman" w:hAnsi="Times New Roman"/>
        </w:rPr>
        <w:lastRenderedPageBreak/>
        <w:t>Kriz öncesinde ılımlı bir yükselişin ardından düşüş eğilimi içinde olan işgücü verimliliği, kriz sonr</w:t>
      </w:r>
      <w:r w:rsidR="00923857">
        <w:rPr>
          <w:rFonts w:ascii="Times New Roman" w:hAnsi="Times New Roman"/>
        </w:rPr>
        <w:t>ası 2010 ve 2011 yıllarında ise</w:t>
      </w:r>
      <w:r w:rsidRPr="00C24DB0">
        <w:rPr>
          <w:rFonts w:ascii="Times New Roman" w:hAnsi="Times New Roman"/>
        </w:rPr>
        <w:t xml:space="preserve"> ani bir yükseliş trendi göstermiştir. Bu durumun bir nede</w:t>
      </w:r>
      <w:r w:rsidR="00B57FEC" w:rsidRPr="00C24DB0">
        <w:rPr>
          <w:rFonts w:ascii="Times New Roman" w:hAnsi="Times New Roman"/>
        </w:rPr>
        <w:t xml:space="preserve">ni baz etkisi (dip noktadan dönen her hareket hızlıca yükselir, bu durum ekonomik, siyasi, sosyal alanların tümünde geçerlidir), bir diğer nedeni ise, kriz koşullarında işletmelerin öğrenme becerilerinin (verimsiz birimlerin kapatılması, gereksiz harcamaların ortadan kaldırılması, marjinal verimliliği düşük olan işgücünün çıkarılması) artmasıdır. 2011 yılından sonra ise, ekonomideki genel üretim çizgisine bağlı olarak işgücü verimliliğinde de düşme ve durgunlaşma trendi yaşanmaktadır. </w:t>
      </w:r>
    </w:p>
    <w:p w:rsidR="009C43C1" w:rsidRPr="00C24DB0" w:rsidRDefault="0058730D" w:rsidP="007976A9">
      <w:pPr>
        <w:spacing w:after="240"/>
        <w:jc w:val="both"/>
        <w:rPr>
          <w:rFonts w:ascii="Times New Roman" w:hAnsi="Times New Roman"/>
        </w:rPr>
      </w:pPr>
      <w:r w:rsidRPr="00C24DB0">
        <w:rPr>
          <w:rFonts w:ascii="Times New Roman" w:hAnsi="Times New Roman"/>
          <w:noProof/>
        </w:rPr>
        <w:drawing>
          <wp:inline distT="0" distB="0" distL="0" distR="0" wp14:anchorId="08F74E4D" wp14:editId="1283A296">
            <wp:extent cx="5579745" cy="3644265"/>
            <wp:effectExtent l="0" t="0" r="1905" b="1333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14FC" w:rsidRPr="00C24DB0" w:rsidRDefault="00C114FC" w:rsidP="0014059D">
      <w:pPr>
        <w:pStyle w:val="ResimYazs"/>
        <w:spacing w:before="120" w:after="120"/>
        <w:jc w:val="center"/>
        <w:rPr>
          <w:rFonts w:ascii="Times New Roman" w:hAnsi="Times New Roman"/>
          <w:sz w:val="24"/>
          <w:szCs w:val="24"/>
        </w:rPr>
      </w:pPr>
      <w:r w:rsidRPr="00C24DB0">
        <w:rPr>
          <w:rFonts w:ascii="Times New Roman" w:hAnsi="Times New Roman"/>
          <w:sz w:val="24"/>
          <w:szCs w:val="24"/>
        </w:rPr>
        <w:t xml:space="preserve">Şekil </w:t>
      </w:r>
      <w:r w:rsidR="005D5603" w:rsidRPr="00C24DB0">
        <w:rPr>
          <w:rFonts w:ascii="Times New Roman" w:hAnsi="Times New Roman"/>
          <w:sz w:val="24"/>
          <w:szCs w:val="24"/>
        </w:rPr>
        <w:fldChar w:fldCharType="begin"/>
      </w:r>
      <w:r w:rsidR="005D5603" w:rsidRPr="00C24DB0">
        <w:rPr>
          <w:rFonts w:ascii="Times New Roman" w:hAnsi="Times New Roman"/>
          <w:sz w:val="24"/>
          <w:szCs w:val="24"/>
        </w:rPr>
        <w:instrText xml:space="preserve"> SEQ Şekil \* ARABIC </w:instrText>
      </w:r>
      <w:r w:rsidR="005D5603" w:rsidRPr="00C24DB0">
        <w:rPr>
          <w:rFonts w:ascii="Times New Roman" w:hAnsi="Times New Roman"/>
          <w:sz w:val="24"/>
          <w:szCs w:val="24"/>
        </w:rPr>
        <w:fldChar w:fldCharType="separate"/>
      </w:r>
      <w:r w:rsidR="001C5482" w:rsidRPr="00C24DB0">
        <w:rPr>
          <w:rFonts w:ascii="Times New Roman" w:hAnsi="Times New Roman"/>
          <w:noProof/>
          <w:sz w:val="24"/>
          <w:szCs w:val="24"/>
        </w:rPr>
        <w:t>2</w:t>
      </w:r>
      <w:r w:rsidR="005D5603" w:rsidRPr="00C24DB0">
        <w:rPr>
          <w:rFonts w:ascii="Times New Roman" w:hAnsi="Times New Roman"/>
          <w:noProof/>
          <w:sz w:val="24"/>
          <w:szCs w:val="24"/>
        </w:rPr>
        <w:fldChar w:fldCharType="end"/>
      </w:r>
      <w:r w:rsidRPr="00C24DB0">
        <w:rPr>
          <w:rFonts w:ascii="Times New Roman" w:hAnsi="Times New Roman"/>
          <w:sz w:val="24"/>
          <w:szCs w:val="24"/>
        </w:rPr>
        <w:t>. Türkiye Üretim ve İstihdam Endeksleri 2010=100 (2005-2014)</w:t>
      </w:r>
    </w:p>
    <w:p w:rsidR="005D5420" w:rsidRPr="00923857" w:rsidRDefault="005D5420" w:rsidP="00923857">
      <w:pPr>
        <w:spacing w:before="120" w:after="120"/>
        <w:jc w:val="both"/>
        <w:rPr>
          <w:rFonts w:ascii="Times New Roman" w:hAnsi="Times New Roman"/>
          <w:i/>
          <w:sz w:val="22"/>
          <w:szCs w:val="22"/>
        </w:rPr>
      </w:pPr>
      <w:r w:rsidRPr="00923857">
        <w:rPr>
          <w:rFonts w:ascii="Times New Roman" w:hAnsi="Times New Roman"/>
          <w:b/>
          <w:i/>
          <w:sz w:val="22"/>
          <w:szCs w:val="22"/>
        </w:rPr>
        <w:t>Kaynak:</w:t>
      </w:r>
      <w:r w:rsidR="00923857" w:rsidRPr="00923857">
        <w:rPr>
          <w:rFonts w:ascii="Times New Roman" w:hAnsi="Times New Roman"/>
          <w:i/>
          <w:sz w:val="22"/>
          <w:szCs w:val="22"/>
        </w:rPr>
        <w:t xml:space="preserve"> </w:t>
      </w:r>
      <w:r w:rsidRPr="00923857">
        <w:rPr>
          <w:rFonts w:ascii="Times New Roman" w:hAnsi="Times New Roman"/>
          <w:i/>
          <w:sz w:val="22"/>
          <w:szCs w:val="22"/>
        </w:rPr>
        <w:t xml:space="preserve">Eurostat </w:t>
      </w:r>
      <w:r w:rsidR="0014059D" w:rsidRPr="00923857">
        <w:rPr>
          <w:rFonts w:ascii="Times New Roman" w:hAnsi="Times New Roman"/>
          <w:i/>
          <w:sz w:val="22"/>
          <w:szCs w:val="22"/>
        </w:rPr>
        <w:t xml:space="preserve">kısa dönemli iş istatistikleri </w:t>
      </w:r>
      <w:r w:rsidRPr="00923857">
        <w:rPr>
          <w:rFonts w:ascii="Times New Roman" w:hAnsi="Times New Roman"/>
          <w:i/>
          <w:sz w:val="22"/>
          <w:szCs w:val="22"/>
        </w:rPr>
        <w:t xml:space="preserve">verileri kullanılarak </w:t>
      </w:r>
      <w:r w:rsidR="00923857">
        <w:rPr>
          <w:rFonts w:ascii="Times New Roman" w:hAnsi="Times New Roman"/>
          <w:i/>
          <w:sz w:val="22"/>
          <w:szCs w:val="22"/>
        </w:rPr>
        <w:t>oluşturulmuştur</w:t>
      </w:r>
      <w:r w:rsidRPr="00923857">
        <w:rPr>
          <w:rFonts w:ascii="Times New Roman" w:hAnsi="Times New Roman"/>
          <w:i/>
          <w:sz w:val="22"/>
          <w:szCs w:val="22"/>
        </w:rPr>
        <w:t>.</w:t>
      </w:r>
    </w:p>
    <w:p w:rsidR="005D5420" w:rsidRPr="00C24DB0" w:rsidRDefault="005D5420" w:rsidP="007976A9">
      <w:pPr>
        <w:rPr>
          <w:rFonts w:ascii="Times New Roman" w:hAnsi="Times New Roman"/>
        </w:rPr>
      </w:pPr>
    </w:p>
    <w:p w:rsidR="00B57FEC" w:rsidRPr="00C24DB0" w:rsidRDefault="0014059D" w:rsidP="007976A9">
      <w:pPr>
        <w:spacing w:after="240"/>
        <w:jc w:val="both"/>
        <w:rPr>
          <w:rFonts w:ascii="Times New Roman" w:hAnsi="Times New Roman"/>
        </w:rPr>
      </w:pPr>
      <w:r>
        <w:rPr>
          <w:rFonts w:ascii="Times New Roman" w:hAnsi="Times New Roman"/>
        </w:rPr>
        <w:t>2011 sonrasında d</w:t>
      </w:r>
      <w:r w:rsidR="00B57FEC" w:rsidRPr="00C24DB0">
        <w:rPr>
          <w:rFonts w:ascii="Times New Roman" w:hAnsi="Times New Roman"/>
        </w:rPr>
        <w:t>ünya ülkelerinde de 2008</w:t>
      </w:r>
      <w:r w:rsidR="00B521A7">
        <w:rPr>
          <w:rFonts w:ascii="Times New Roman" w:hAnsi="Times New Roman"/>
        </w:rPr>
        <w:t>’</w:t>
      </w:r>
      <w:r w:rsidR="00B57FEC" w:rsidRPr="00C24DB0">
        <w:rPr>
          <w:rFonts w:ascii="Times New Roman" w:hAnsi="Times New Roman"/>
        </w:rPr>
        <w:t>de başlayan küresel finansal krizin etkilerinin sürdüğü bilinmektedir. Özellikle Avrupa ekonomilerinde yoğun bir durgunluk yaşanmaktadır. Bu durum Türkiye’nin ihracatını ve üretim gücünü olumsuz etkilemektedir.</w:t>
      </w:r>
      <w:r w:rsidR="006A3FF1" w:rsidRPr="00C24DB0">
        <w:rPr>
          <w:rFonts w:ascii="Times New Roman" w:hAnsi="Times New Roman"/>
        </w:rPr>
        <w:t xml:space="preserve"> Çünkü ihracatımızın ağırlık noktasını özellikle Avrupa ülkeleri oluşturmaktadır.</w:t>
      </w:r>
    </w:p>
    <w:p w:rsidR="00D00636" w:rsidRPr="00C24DB0" w:rsidRDefault="00651485" w:rsidP="007976A9">
      <w:pPr>
        <w:spacing w:after="240"/>
        <w:jc w:val="both"/>
        <w:rPr>
          <w:rFonts w:ascii="Times New Roman" w:hAnsi="Times New Roman"/>
        </w:rPr>
      </w:pPr>
      <w:r w:rsidRPr="00C24DB0">
        <w:rPr>
          <w:rFonts w:ascii="Times New Roman" w:hAnsi="Times New Roman"/>
        </w:rPr>
        <w:t>2005-2014 döneminde</w:t>
      </w:r>
      <w:r w:rsidR="00D5064B" w:rsidRPr="00C24DB0">
        <w:rPr>
          <w:rFonts w:ascii="Times New Roman" w:hAnsi="Times New Roman"/>
        </w:rPr>
        <w:t xml:space="preserve"> </w:t>
      </w:r>
      <w:r w:rsidR="00B521A7">
        <w:rPr>
          <w:rFonts w:ascii="Times New Roman" w:hAnsi="Times New Roman"/>
        </w:rPr>
        <w:t>Türkiye’de</w:t>
      </w:r>
      <w:r w:rsidRPr="00C24DB0">
        <w:rPr>
          <w:rFonts w:ascii="Times New Roman" w:hAnsi="Times New Roman"/>
        </w:rPr>
        <w:t xml:space="preserve"> üretim değişiminin birikimli olarak %</w:t>
      </w:r>
      <w:r w:rsidR="00B521A7">
        <w:rPr>
          <w:rFonts w:ascii="Times New Roman" w:hAnsi="Times New Roman"/>
        </w:rPr>
        <w:t xml:space="preserve"> </w:t>
      </w:r>
      <w:r w:rsidRPr="00C24DB0">
        <w:rPr>
          <w:rFonts w:ascii="Times New Roman" w:hAnsi="Times New Roman"/>
        </w:rPr>
        <w:t>39 olduğu, istihdam değişiminin ise %</w:t>
      </w:r>
      <w:r w:rsidR="00B521A7">
        <w:rPr>
          <w:rFonts w:ascii="Times New Roman" w:hAnsi="Times New Roman"/>
        </w:rPr>
        <w:t xml:space="preserve"> </w:t>
      </w:r>
      <w:r w:rsidRPr="00C24DB0">
        <w:rPr>
          <w:rFonts w:ascii="Times New Roman" w:hAnsi="Times New Roman"/>
        </w:rPr>
        <w:t xml:space="preserve">20 olduğu hesaplanmıştır. </w:t>
      </w:r>
      <w:r w:rsidR="00B704C2" w:rsidRPr="00C24DB0">
        <w:rPr>
          <w:rFonts w:ascii="Times New Roman" w:hAnsi="Times New Roman"/>
        </w:rPr>
        <w:t>İşgücü verimliliğindeki değişimin</w:t>
      </w:r>
      <w:r w:rsidRPr="00C24DB0">
        <w:rPr>
          <w:rFonts w:ascii="Times New Roman" w:hAnsi="Times New Roman"/>
        </w:rPr>
        <w:t>,</w:t>
      </w:r>
      <w:r w:rsidR="00B704C2" w:rsidRPr="00C24DB0">
        <w:rPr>
          <w:rFonts w:ascii="Times New Roman" w:hAnsi="Times New Roman"/>
        </w:rPr>
        <w:t xml:space="preserve"> üretim ve istihdam değişiminden doğrudan etkil</w:t>
      </w:r>
      <w:r w:rsidRPr="00C24DB0">
        <w:rPr>
          <w:rFonts w:ascii="Times New Roman" w:hAnsi="Times New Roman"/>
        </w:rPr>
        <w:t xml:space="preserve">endiği düşünüldüğünde, söz konusu dönemde işgücü verimliliğinin ağırlıkla üretim artışından ileri geldiği anlaşılmaktadır. </w:t>
      </w:r>
    </w:p>
    <w:p w:rsidR="00651485" w:rsidRPr="00C24DB0" w:rsidRDefault="00E45ECF" w:rsidP="007976A9">
      <w:pPr>
        <w:spacing w:after="240"/>
        <w:jc w:val="both"/>
        <w:rPr>
          <w:rFonts w:ascii="Times New Roman" w:hAnsi="Times New Roman"/>
        </w:rPr>
      </w:pPr>
      <w:r w:rsidRPr="00C24DB0">
        <w:rPr>
          <w:rFonts w:ascii="Times New Roman" w:hAnsi="Times New Roman"/>
        </w:rPr>
        <w:t>Küresel kriz öncesi dönemde hem üretim hem de istihdam birbirine yakın oranlarda değişim göstermekle beraber üretim değişiminin göreli olarak daha keskin olduğu anlaşılmaktadır. Bu eğilimin kriz sonrası dönemde de yaşandığı görülmektedir. Bu cümlede</w:t>
      </w:r>
      <w:r w:rsidR="0019007B">
        <w:rPr>
          <w:rFonts w:ascii="Times New Roman" w:hAnsi="Times New Roman"/>
        </w:rPr>
        <w:t>n</w:t>
      </w:r>
      <w:r w:rsidRPr="00C24DB0">
        <w:rPr>
          <w:rFonts w:ascii="Times New Roman" w:hAnsi="Times New Roman"/>
        </w:rPr>
        <w:t xml:space="preserve"> ortaya çıkan sonuç 2005-2007, 2009-2011 yılları arasında daha belirgin bir biçimde görülmektedir. </w:t>
      </w:r>
    </w:p>
    <w:p w:rsidR="00C575E4" w:rsidRPr="00C24DB0" w:rsidRDefault="00C575E4" w:rsidP="007976A9">
      <w:pPr>
        <w:spacing w:after="240"/>
        <w:jc w:val="both"/>
        <w:rPr>
          <w:rFonts w:ascii="Times New Roman" w:hAnsi="Times New Roman"/>
        </w:rPr>
      </w:pPr>
      <w:r w:rsidRPr="00C24DB0">
        <w:rPr>
          <w:rFonts w:ascii="Times New Roman" w:hAnsi="Times New Roman"/>
          <w:noProof/>
        </w:rPr>
        <w:lastRenderedPageBreak/>
        <w:drawing>
          <wp:inline distT="0" distB="0" distL="0" distR="0" wp14:anchorId="5F011A53" wp14:editId="485BC715">
            <wp:extent cx="5579745" cy="3644265"/>
            <wp:effectExtent l="0" t="0" r="1905" b="1333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14FC" w:rsidRPr="00C24DB0" w:rsidRDefault="00C114FC" w:rsidP="0014059D">
      <w:pPr>
        <w:pStyle w:val="ResimYazs"/>
        <w:spacing w:before="120" w:after="120"/>
        <w:jc w:val="center"/>
        <w:rPr>
          <w:rFonts w:ascii="Times New Roman" w:hAnsi="Times New Roman"/>
          <w:bCs/>
          <w:sz w:val="24"/>
          <w:szCs w:val="24"/>
        </w:rPr>
      </w:pPr>
      <w:bookmarkStart w:id="6" w:name="_Ref416442824"/>
      <w:r w:rsidRPr="00C24DB0">
        <w:rPr>
          <w:rFonts w:ascii="Times New Roman" w:hAnsi="Times New Roman"/>
          <w:sz w:val="24"/>
          <w:szCs w:val="24"/>
        </w:rPr>
        <w:t xml:space="preserve">Şekil </w:t>
      </w:r>
      <w:r w:rsidR="005D5603" w:rsidRPr="00C24DB0">
        <w:rPr>
          <w:rFonts w:ascii="Times New Roman" w:hAnsi="Times New Roman"/>
          <w:sz w:val="24"/>
          <w:szCs w:val="24"/>
        </w:rPr>
        <w:fldChar w:fldCharType="begin"/>
      </w:r>
      <w:r w:rsidR="005D5603" w:rsidRPr="00C24DB0">
        <w:rPr>
          <w:rFonts w:ascii="Times New Roman" w:hAnsi="Times New Roman"/>
          <w:sz w:val="24"/>
          <w:szCs w:val="24"/>
        </w:rPr>
        <w:instrText xml:space="preserve"> SEQ Şekil \* ARABIC </w:instrText>
      </w:r>
      <w:r w:rsidR="005D5603" w:rsidRPr="00C24DB0">
        <w:rPr>
          <w:rFonts w:ascii="Times New Roman" w:hAnsi="Times New Roman"/>
          <w:sz w:val="24"/>
          <w:szCs w:val="24"/>
        </w:rPr>
        <w:fldChar w:fldCharType="separate"/>
      </w:r>
      <w:r w:rsidR="001C5482" w:rsidRPr="00C24DB0">
        <w:rPr>
          <w:rFonts w:ascii="Times New Roman" w:hAnsi="Times New Roman"/>
          <w:noProof/>
          <w:sz w:val="24"/>
          <w:szCs w:val="24"/>
        </w:rPr>
        <w:t>3</w:t>
      </w:r>
      <w:r w:rsidR="005D5603" w:rsidRPr="00C24DB0">
        <w:rPr>
          <w:rFonts w:ascii="Times New Roman" w:hAnsi="Times New Roman"/>
          <w:noProof/>
          <w:sz w:val="24"/>
          <w:szCs w:val="24"/>
        </w:rPr>
        <w:fldChar w:fldCharType="end"/>
      </w:r>
      <w:bookmarkEnd w:id="6"/>
      <w:r w:rsidRPr="00C24DB0">
        <w:rPr>
          <w:rFonts w:ascii="Times New Roman" w:hAnsi="Times New Roman"/>
          <w:sz w:val="24"/>
          <w:szCs w:val="24"/>
        </w:rPr>
        <w:t xml:space="preserve">. </w:t>
      </w:r>
      <w:r w:rsidRPr="00C24DB0">
        <w:rPr>
          <w:rFonts w:ascii="Times New Roman" w:hAnsi="Times New Roman"/>
          <w:bCs/>
          <w:sz w:val="24"/>
          <w:szCs w:val="24"/>
        </w:rPr>
        <w:t>Türkiye'de İmalat Sanayinde, 2005-2014 döneminde Üretim, İstihdam ve Verimlilik Endeksleri (2010=100)</w:t>
      </w:r>
    </w:p>
    <w:p w:rsidR="005D5420" w:rsidRPr="0014059D" w:rsidRDefault="005D5420" w:rsidP="0014059D">
      <w:pPr>
        <w:spacing w:before="120" w:after="120"/>
        <w:jc w:val="both"/>
        <w:rPr>
          <w:rFonts w:ascii="Times New Roman" w:hAnsi="Times New Roman"/>
          <w:i/>
          <w:sz w:val="22"/>
          <w:szCs w:val="22"/>
        </w:rPr>
      </w:pPr>
      <w:r w:rsidRPr="0014059D">
        <w:rPr>
          <w:rFonts w:ascii="Times New Roman" w:hAnsi="Times New Roman"/>
          <w:b/>
          <w:i/>
          <w:sz w:val="22"/>
          <w:szCs w:val="22"/>
        </w:rPr>
        <w:t>Kaynak:</w:t>
      </w:r>
      <w:r w:rsidR="0014059D">
        <w:rPr>
          <w:rFonts w:ascii="Times New Roman" w:hAnsi="Times New Roman"/>
          <w:i/>
          <w:sz w:val="22"/>
          <w:szCs w:val="22"/>
        </w:rPr>
        <w:t xml:space="preserve"> </w:t>
      </w:r>
      <w:r w:rsidRPr="0014059D">
        <w:rPr>
          <w:rFonts w:ascii="Times New Roman" w:hAnsi="Times New Roman"/>
          <w:i/>
          <w:sz w:val="22"/>
          <w:szCs w:val="22"/>
        </w:rPr>
        <w:t xml:space="preserve">Eurostat </w:t>
      </w:r>
      <w:r w:rsidR="0014059D" w:rsidRPr="0014059D">
        <w:rPr>
          <w:rFonts w:ascii="Times New Roman" w:hAnsi="Times New Roman"/>
          <w:i/>
          <w:sz w:val="22"/>
          <w:szCs w:val="22"/>
        </w:rPr>
        <w:t xml:space="preserve">kısa dönemli iş istatistikleri </w:t>
      </w:r>
      <w:r w:rsidRPr="0014059D">
        <w:rPr>
          <w:rFonts w:ascii="Times New Roman" w:hAnsi="Times New Roman"/>
          <w:i/>
          <w:sz w:val="22"/>
          <w:szCs w:val="22"/>
        </w:rPr>
        <w:t xml:space="preserve">verileri kullanılarak </w:t>
      </w:r>
      <w:r w:rsidR="0014059D">
        <w:rPr>
          <w:rFonts w:ascii="Times New Roman" w:hAnsi="Times New Roman"/>
          <w:i/>
          <w:sz w:val="22"/>
          <w:szCs w:val="22"/>
        </w:rPr>
        <w:t>oluşturulmuştur</w:t>
      </w:r>
      <w:r w:rsidRPr="0014059D">
        <w:rPr>
          <w:rFonts w:ascii="Times New Roman" w:hAnsi="Times New Roman"/>
          <w:i/>
          <w:sz w:val="22"/>
          <w:szCs w:val="22"/>
        </w:rPr>
        <w:t>.</w:t>
      </w:r>
    </w:p>
    <w:p w:rsidR="005D5420" w:rsidRPr="00C24DB0" w:rsidRDefault="005D5420" w:rsidP="0014059D">
      <w:pPr>
        <w:spacing w:before="120" w:after="120"/>
        <w:rPr>
          <w:rFonts w:ascii="Times New Roman" w:hAnsi="Times New Roman"/>
        </w:rPr>
      </w:pPr>
    </w:p>
    <w:p w:rsidR="00E45ECF" w:rsidRPr="00C24DB0" w:rsidRDefault="009C43C1" w:rsidP="007976A9">
      <w:pPr>
        <w:spacing w:after="240"/>
        <w:jc w:val="both"/>
        <w:rPr>
          <w:rFonts w:ascii="Times New Roman" w:hAnsi="Times New Roman"/>
        </w:rPr>
      </w:pPr>
      <w:r w:rsidRPr="00C24DB0">
        <w:rPr>
          <w:rFonts w:ascii="Times New Roman" w:hAnsi="Times New Roman"/>
        </w:rPr>
        <w:t>Q = f (</w:t>
      </w:r>
      <w:r w:rsidR="00D5064B" w:rsidRPr="00C24DB0">
        <w:rPr>
          <w:rFonts w:ascii="Times New Roman" w:hAnsi="Times New Roman"/>
        </w:rPr>
        <w:t>A,</w:t>
      </w:r>
      <w:r w:rsidRPr="00C24DB0">
        <w:rPr>
          <w:rFonts w:ascii="Times New Roman" w:hAnsi="Times New Roman"/>
        </w:rPr>
        <w:t>K,L) şeklinde yazılan bir büyüme denkleminde, Q üretimi, K sermayeyi, L işgücünü</w:t>
      </w:r>
      <w:r w:rsidR="0014059D">
        <w:rPr>
          <w:rFonts w:ascii="Times New Roman" w:hAnsi="Times New Roman"/>
        </w:rPr>
        <w:t>,</w:t>
      </w:r>
      <w:r w:rsidRPr="00C24DB0">
        <w:rPr>
          <w:rFonts w:ascii="Times New Roman" w:hAnsi="Times New Roman"/>
        </w:rPr>
        <w:t xml:space="preserve"> A ise toplam faktör verimliliğini göstermektedir. Son otuz yılda Türkiye ekonomis</w:t>
      </w:r>
      <w:r w:rsidR="0030367C" w:rsidRPr="00C24DB0">
        <w:rPr>
          <w:rFonts w:ascii="Times New Roman" w:hAnsi="Times New Roman"/>
        </w:rPr>
        <w:t xml:space="preserve">inde yapılan araştırmalara göre </w:t>
      </w:r>
      <w:r w:rsidR="00243D95" w:rsidRPr="00C24DB0">
        <w:rPr>
          <w:rFonts w:ascii="Times New Roman" w:hAnsi="Times New Roman"/>
        </w:rPr>
        <w:t>büyüme</w:t>
      </w:r>
      <w:r w:rsidRPr="00C24DB0">
        <w:rPr>
          <w:rFonts w:ascii="Times New Roman" w:hAnsi="Times New Roman"/>
        </w:rPr>
        <w:t>de sermayenin payı genell</w:t>
      </w:r>
      <w:r w:rsidR="0030367C" w:rsidRPr="00C24DB0">
        <w:rPr>
          <w:rFonts w:ascii="Times New Roman" w:hAnsi="Times New Roman"/>
        </w:rPr>
        <w:t>ikle %</w:t>
      </w:r>
      <w:r w:rsidR="0014059D">
        <w:rPr>
          <w:rFonts w:ascii="Times New Roman" w:hAnsi="Times New Roman"/>
        </w:rPr>
        <w:t xml:space="preserve"> </w:t>
      </w:r>
      <w:r w:rsidR="0030367C" w:rsidRPr="00C24DB0">
        <w:rPr>
          <w:rFonts w:ascii="Times New Roman" w:hAnsi="Times New Roman"/>
        </w:rPr>
        <w:t>50’nin üzerinde çıkmıştır</w:t>
      </w:r>
      <w:r w:rsidR="0014059D">
        <w:rPr>
          <w:rFonts w:ascii="Times New Roman" w:hAnsi="Times New Roman"/>
        </w:rPr>
        <w:t xml:space="preserve"> </w:t>
      </w:r>
      <w:sdt>
        <w:sdtPr>
          <w:rPr>
            <w:rFonts w:ascii="Times New Roman" w:hAnsi="Times New Roman"/>
          </w:rPr>
          <w:id w:val="-655993050"/>
          <w:citation/>
        </w:sdtPr>
        <w:sdtEndPr/>
        <w:sdtContent>
          <w:r w:rsidR="00894BED" w:rsidRPr="00C24DB0">
            <w:rPr>
              <w:rFonts w:ascii="Times New Roman" w:hAnsi="Times New Roman"/>
            </w:rPr>
            <w:fldChar w:fldCharType="begin"/>
          </w:r>
          <w:r w:rsidR="0030367C" w:rsidRPr="00C24DB0">
            <w:rPr>
              <w:rFonts w:ascii="Times New Roman" w:hAnsi="Times New Roman"/>
            </w:rPr>
            <w:instrText xml:space="preserve"> CITATION Sui08 \l 1055 </w:instrText>
          </w:r>
          <w:r w:rsidR="00894BED" w:rsidRPr="00C24DB0">
            <w:rPr>
              <w:rFonts w:ascii="Times New Roman" w:hAnsi="Times New Roman"/>
            </w:rPr>
            <w:fldChar w:fldCharType="separate"/>
          </w:r>
          <w:r w:rsidR="0030367C" w:rsidRPr="00C24DB0">
            <w:rPr>
              <w:rFonts w:ascii="Times New Roman" w:hAnsi="Times New Roman"/>
              <w:noProof/>
            </w:rPr>
            <w:t>(Suiçmez, 2008)</w:t>
          </w:r>
          <w:r w:rsidR="00894BED" w:rsidRPr="00C24DB0">
            <w:rPr>
              <w:rFonts w:ascii="Times New Roman" w:hAnsi="Times New Roman"/>
            </w:rPr>
            <w:fldChar w:fldCharType="end"/>
          </w:r>
        </w:sdtContent>
      </w:sdt>
      <w:r w:rsidR="0030367C" w:rsidRPr="00C24DB0">
        <w:rPr>
          <w:rFonts w:ascii="Times New Roman" w:hAnsi="Times New Roman"/>
        </w:rPr>
        <w:t>.</w:t>
      </w:r>
      <w:r w:rsidR="0014059D">
        <w:rPr>
          <w:rFonts w:ascii="Times New Roman" w:hAnsi="Times New Roman"/>
        </w:rPr>
        <w:t xml:space="preserve"> </w:t>
      </w:r>
      <w:r w:rsidR="00E45ECF" w:rsidRPr="00C24DB0">
        <w:rPr>
          <w:rFonts w:ascii="Times New Roman" w:hAnsi="Times New Roman"/>
        </w:rPr>
        <w:t xml:space="preserve">İşgücü verimliliğinin ağırlıkla üretim artışından ileri geliyor olması son otuz yılda Türkiye imalat sanayinde yaşanan ve büyüme muhasebesinde de ortaya çıkan genel eğilime uygundur. Bu da üretimin sermayeye olan esnekliğinin, istihdama olan esnekliğinden daha yüksek çıkması durumudur. </w:t>
      </w:r>
    </w:p>
    <w:p w:rsidR="009C43C1" w:rsidRPr="00C24DB0" w:rsidRDefault="009C43C1" w:rsidP="007976A9">
      <w:pPr>
        <w:spacing w:after="240"/>
        <w:jc w:val="both"/>
        <w:rPr>
          <w:rFonts w:ascii="Times New Roman" w:hAnsi="Times New Roman"/>
        </w:rPr>
      </w:pPr>
      <w:r w:rsidRPr="00C24DB0">
        <w:rPr>
          <w:rFonts w:ascii="Times New Roman" w:hAnsi="Times New Roman"/>
        </w:rPr>
        <w:t xml:space="preserve">2011 sonrasında, üretim ve istihdam değişiminin hemen hemen aynı oranda gerçekleştiği izlenmektedir. Bunun sonucu olarak da işgücü verimliliği 2011 sonrasında durgun bir seyir içinde olmuştur. 2011 sonrası dönemde ekonominin genelinde reel değişkenler olarak adlandırdığımız üretim, istihdam ve verimlilik eğilimlerinin genel bir durgunluk ve durağanlık içinde olduğu saptanmaktadır. </w:t>
      </w:r>
    </w:p>
    <w:p w:rsidR="00217803" w:rsidRPr="00C24DB0" w:rsidRDefault="00894BED" w:rsidP="007976A9">
      <w:pPr>
        <w:spacing w:after="240"/>
        <w:jc w:val="both"/>
        <w:rPr>
          <w:rFonts w:ascii="Times New Roman" w:hAnsi="Times New Roman"/>
          <w:i/>
        </w:rPr>
      </w:pPr>
      <w:r w:rsidRPr="00C24DB0">
        <w:rPr>
          <w:rFonts w:ascii="Times New Roman" w:hAnsi="Times New Roman"/>
        </w:rPr>
        <w:fldChar w:fldCharType="begin"/>
      </w:r>
      <w:r w:rsidR="006C01B3" w:rsidRPr="00C24DB0">
        <w:rPr>
          <w:rFonts w:ascii="Times New Roman" w:hAnsi="Times New Roman"/>
        </w:rPr>
        <w:instrText xml:space="preserve"> REF _Ref416442824 \h </w:instrText>
      </w:r>
      <w:r w:rsidR="00C24DB0" w:rsidRPr="00C24DB0">
        <w:rPr>
          <w:rFonts w:ascii="Times New Roman" w:hAnsi="Times New Roman"/>
        </w:rPr>
        <w:instrText xml:space="preserve"> \* MERGEFORMAT </w:instrText>
      </w:r>
      <w:r w:rsidRPr="00C24DB0">
        <w:rPr>
          <w:rFonts w:ascii="Times New Roman" w:hAnsi="Times New Roman"/>
        </w:rPr>
      </w:r>
      <w:r w:rsidRPr="00C24DB0">
        <w:rPr>
          <w:rFonts w:ascii="Times New Roman" w:hAnsi="Times New Roman"/>
        </w:rPr>
        <w:fldChar w:fldCharType="separate"/>
      </w:r>
      <w:r w:rsidR="001C5482" w:rsidRPr="00C24DB0">
        <w:rPr>
          <w:rFonts w:ascii="Times New Roman" w:hAnsi="Times New Roman"/>
        </w:rPr>
        <w:t xml:space="preserve">Şekil </w:t>
      </w:r>
      <w:r w:rsidR="001C5482" w:rsidRPr="00C24DB0">
        <w:rPr>
          <w:rFonts w:ascii="Times New Roman" w:hAnsi="Times New Roman"/>
          <w:noProof/>
        </w:rPr>
        <w:t>3</w:t>
      </w:r>
      <w:r w:rsidRPr="00C24DB0">
        <w:rPr>
          <w:rFonts w:ascii="Times New Roman" w:hAnsi="Times New Roman"/>
        </w:rPr>
        <w:fldChar w:fldCharType="end"/>
      </w:r>
      <w:r w:rsidR="006C01B3" w:rsidRPr="00C24DB0">
        <w:rPr>
          <w:rFonts w:ascii="Times New Roman" w:hAnsi="Times New Roman"/>
        </w:rPr>
        <w:t xml:space="preserve">’de </w:t>
      </w:r>
      <w:r w:rsidR="00217803" w:rsidRPr="00C24DB0">
        <w:rPr>
          <w:rFonts w:ascii="Times New Roman" w:hAnsi="Times New Roman"/>
        </w:rPr>
        <w:t>yer alan imalat sanayinde yıllık ortalama işgücü verimliliği değişimlerinde Türkiye 2005-2014 yılları arasında ortalama %</w:t>
      </w:r>
      <w:r w:rsidR="00096083">
        <w:rPr>
          <w:rFonts w:ascii="Times New Roman" w:hAnsi="Times New Roman"/>
        </w:rPr>
        <w:t xml:space="preserve"> </w:t>
      </w:r>
      <w:r w:rsidR="00217803" w:rsidRPr="00C24DB0">
        <w:rPr>
          <w:rFonts w:ascii="Times New Roman" w:hAnsi="Times New Roman"/>
        </w:rPr>
        <w:t xml:space="preserve">1,65’lik bir artış hızı gerçekleştirmiştir. </w:t>
      </w:r>
      <w:r w:rsidR="00961336">
        <w:rPr>
          <w:rFonts w:ascii="Times New Roman" w:hAnsi="Times New Roman"/>
        </w:rPr>
        <w:t>Türkiye’nin</w:t>
      </w:r>
      <w:r w:rsidR="00217803" w:rsidRPr="00C24DB0">
        <w:rPr>
          <w:rFonts w:ascii="Times New Roman" w:hAnsi="Times New Roman"/>
        </w:rPr>
        <w:t xml:space="preserve"> 10. </w:t>
      </w:r>
      <w:r w:rsidR="00096083" w:rsidRPr="00C24DB0">
        <w:rPr>
          <w:rFonts w:ascii="Times New Roman" w:hAnsi="Times New Roman"/>
        </w:rPr>
        <w:t>Kalkınma Planı</w:t>
      </w:r>
      <w:r w:rsidR="00096083">
        <w:rPr>
          <w:rFonts w:ascii="Times New Roman" w:hAnsi="Times New Roman"/>
        </w:rPr>
        <w:t>’</w:t>
      </w:r>
      <w:r w:rsidR="00096083" w:rsidRPr="00C24DB0">
        <w:rPr>
          <w:rFonts w:ascii="Times New Roman" w:hAnsi="Times New Roman"/>
        </w:rPr>
        <w:t xml:space="preserve">nda </w:t>
      </w:r>
      <w:r w:rsidR="00217803" w:rsidRPr="00C24DB0">
        <w:rPr>
          <w:rFonts w:ascii="Times New Roman" w:hAnsi="Times New Roman"/>
        </w:rPr>
        <w:t>2018 yılı için hedeflenen sanayideki TFV artışı oranı ise %</w:t>
      </w:r>
      <w:r w:rsidR="00096083">
        <w:rPr>
          <w:rFonts w:ascii="Times New Roman" w:hAnsi="Times New Roman"/>
        </w:rPr>
        <w:t xml:space="preserve"> </w:t>
      </w:r>
      <w:r w:rsidR="00217803" w:rsidRPr="00C24DB0">
        <w:rPr>
          <w:rFonts w:ascii="Times New Roman" w:hAnsi="Times New Roman"/>
        </w:rPr>
        <w:t>1,9</w:t>
      </w:r>
      <w:r w:rsidR="00096083">
        <w:rPr>
          <w:rFonts w:ascii="Times New Roman" w:hAnsi="Times New Roman"/>
        </w:rPr>
        <w:t>’</w:t>
      </w:r>
      <w:r w:rsidR="00217803" w:rsidRPr="00C24DB0">
        <w:rPr>
          <w:rFonts w:ascii="Times New Roman" w:hAnsi="Times New Roman"/>
        </w:rPr>
        <w:t>dur</w:t>
      </w:r>
      <w:r w:rsidR="00096083">
        <w:rPr>
          <w:rFonts w:ascii="Times New Roman" w:hAnsi="Times New Roman"/>
        </w:rPr>
        <w:t xml:space="preserve"> </w:t>
      </w:r>
      <w:sdt>
        <w:sdtPr>
          <w:rPr>
            <w:rFonts w:ascii="Times New Roman" w:hAnsi="Times New Roman"/>
          </w:rPr>
          <w:id w:val="-695617842"/>
          <w:citation/>
        </w:sdtPr>
        <w:sdtEndPr/>
        <w:sdtContent>
          <w:r w:rsidRPr="00C24DB0">
            <w:rPr>
              <w:rFonts w:ascii="Times New Roman" w:hAnsi="Times New Roman"/>
            </w:rPr>
            <w:fldChar w:fldCharType="begin"/>
          </w:r>
          <w:r w:rsidR="0030367C" w:rsidRPr="00C24DB0">
            <w:rPr>
              <w:rFonts w:ascii="Times New Roman" w:hAnsi="Times New Roman"/>
            </w:rPr>
            <w:instrText xml:space="preserve"> CITATION Onu13 \l 1055 </w:instrText>
          </w:r>
          <w:r w:rsidRPr="00C24DB0">
            <w:rPr>
              <w:rFonts w:ascii="Times New Roman" w:hAnsi="Times New Roman"/>
            </w:rPr>
            <w:fldChar w:fldCharType="separate"/>
          </w:r>
          <w:r w:rsidR="0030367C" w:rsidRPr="00C24DB0">
            <w:rPr>
              <w:rFonts w:ascii="Times New Roman" w:hAnsi="Times New Roman"/>
              <w:noProof/>
            </w:rPr>
            <w:t>(Onuncu Kalkınma Planı 2014-2018, 2013)</w:t>
          </w:r>
          <w:r w:rsidRPr="00C24DB0">
            <w:rPr>
              <w:rFonts w:ascii="Times New Roman" w:hAnsi="Times New Roman"/>
            </w:rPr>
            <w:fldChar w:fldCharType="end"/>
          </w:r>
        </w:sdtContent>
      </w:sdt>
      <w:r w:rsidR="0030367C" w:rsidRPr="00C24DB0">
        <w:rPr>
          <w:rFonts w:ascii="Times New Roman" w:hAnsi="Times New Roman"/>
        </w:rPr>
        <w:t xml:space="preserve">. </w:t>
      </w:r>
      <w:r w:rsidR="00217803" w:rsidRPr="00C24DB0">
        <w:rPr>
          <w:rFonts w:ascii="Times New Roman" w:hAnsi="Times New Roman"/>
        </w:rPr>
        <w:t xml:space="preserve">Her ne kadar planlarda işgücü verimlilik artışına ilişkin bir hedef konmasa da diğer ülkelerle karşılaştırıldığında </w:t>
      </w:r>
      <w:r w:rsidR="00B521A7">
        <w:rPr>
          <w:rFonts w:ascii="Times New Roman" w:hAnsi="Times New Roman"/>
        </w:rPr>
        <w:t>Türkiye’de</w:t>
      </w:r>
      <w:r w:rsidR="00217803" w:rsidRPr="00C24DB0">
        <w:rPr>
          <w:rFonts w:ascii="Times New Roman" w:hAnsi="Times New Roman"/>
        </w:rPr>
        <w:t>ki işgücü verimlilik artış hızının incelenen ülkelerdeki ortalama verimlilik artış hızı olan %</w:t>
      </w:r>
      <w:r w:rsidR="00096083">
        <w:rPr>
          <w:rFonts w:ascii="Times New Roman" w:hAnsi="Times New Roman"/>
        </w:rPr>
        <w:t xml:space="preserve"> </w:t>
      </w:r>
      <w:r w:rsidR="00217803" w:rsidRPr="00C24DB0">
        <w:rPr>
          <w:rFonts w:ascii="Times New Roman" w:hAnsi="Times New Roman"/>
        </w:rPr>
        <w:t>3,2’nin üzerinde olması gerekmektedir. TFV için konan hedefin gerçekleşmesi ise büyük ölçüde işgücünün niteliğindeki iyileştirmelere ve işgücü piyasalarındaki düzenlemelere bağlıdır. Bu nedenle TFV için konan %</w:t>
      </w:r>
      <w:r w:rsidR="00096083">
        <w:rPr>
          <w:rFonts w:ascii="Times New Roman" w:hAnsi="Times New Roman"/>
        </w:rPr>
        <w:t xml:space="preserve"> </w:t>
      </w:r>
      <w:r w:rsidR="00217803" w:rsidRPr="00C24DB0">
        <w:rPr>
          <w:rFonts w:ascii="Times New Roman" w:hAnsi="Times New Roman"/>
        </w:rPr>
        <w:t xml:space="preserve">1,9’luk artışın gerçekleşmesi için </w:t>
      </w:r>
      <w:r w:rsidR="0073360D" w:rsidRPr="00C24DB0">
        <w:rPr>
          <w:rFonts w:ascii="Times New Roman" w:hAnsi="Times New Roman"/>
        </w:rPr>
        <w:t xml:space="preserve">işgücü verimliliği artışlarının yükseltilmesine büyük ihtiyaç bulunmaktadır. </w:t>
      </w:r>
    </w:p>
    <w:p w:rsidR="00217803" w:rsidRPr="00C24DB0" w:rsidRDefault="00217803" w:rsidP="007976A9">
      <w:pPr>
        <w:spacing w:after="240"/>
        <w:jc w:val="both"/>
        <w:rPr>
          <w:rFonts w:ascii="Times New Roman" w:hAnsi="Times New Roman"/>
        </w:rPr>
      </w:pPr>
      <w:r w:rsidRPr="00C24DB0">
        <w:rPr>
          <w:rFonts w:ascii="Times New Roman" w:hAnsi="Times New Roman"/>
        </w:rPr>
        <w:lastRenderedPageBreak/>
        <w:t xml:space="preserve">Planda işgücü verimliliği artışına ilişkin olarak herhangi bir hedef konmamış olması önemli bir eksiklik olarak değerlendirilebilir. </w:t>
      </w:r>
      <w:r w:rsidR="00927BDA" w:rsidRPr="00C24DB0">
        <w:rPr>
          <w:rFonts w:ascii="Times New Roman" w:hAnsi="Times New Roman"/>
        </w:rPr>
        <w:t>Türkiye’nin 10 yıllık dönemde 24</w:t>
      </w:r>
      <w:r w:rsidRPr="00C24DB0">
        <w:rPr>
          <w:rFonts w:ascii="Times New Roman" w:hAnsi="Times New Roman"/>
        </w:rPr>
        <w:t xml:space="preserve"> ülke içeris</w:t>
      </w:r>
      <w:r w:rsidR="00927BDA" w:rsidRPr="00C24DB0">
        <w:rPr>
          <w:rFonts w:ascii="Times New Roman" w:hAnsi="Times New Roman"/>
        </w:rPr>
        <w:t>inde verimlilik artış hızında 17</w:t>
      </w:r>
      <w:r w:rsidRPr="00C24DB0">
        <w:rPr>
          <w:rFonts w:ascii="Times New Roman" w:hAnsi="Times New Roman"/>
        </w:rPr>
        <w:t>. sırada olması olumlu bir durum olarak değerlendirilmemektedir. Avrupa Birliği</w:t>
      </w:r>
      <w:r w:rsidR="00E43B2F">
        <w:rPr>
          <w:rFonts w:ascii="Times New Roman" w:hAnsi="Times New Roman"/>
        </w:rPr>
        <w:t>’</w:t>
      </w:r>
      <w:r w:rsidRPr="00C24DB0">
        <w:rPr>
          <w:rFonts w:ascii="Times New Roman" w:hAnsi="Times New Roman"/>
        </w:rPr>
        <w:t>ne girme ve 2023 hedeflerini gerçekleştirme açısından hem mevcut verimlilik seviyemiz hem de mevcut verimlilik artış hızımız gelecek öngörülerini gerçekleştirme açısından önemli bir risk unsuru</w:t>
      </w:r>
      <w:r w:rsidR="001B531E">
        <w:rPr>
          <w:rFonts w:ascii="Times New Roman" w:hAnsi="Times New Roman"/>
        </w:rPr>
        <w:t>dur</w:t>
      </w:r>
      <w:r w:rsidRPr="00C24DB0">
        <w:rPr>
          <w:rFonts w:ascii="Times New Roman" w:hAnsi="Times New Roman"/>
        </w:rPr>
        <w:t xml:space="preserve">. </w:t>
      </w:r>
    </w:p>
    <w:p w:rsidR="00570C8B" w:rsidRPr="00C24DB0" w:rsidRDefault="00096083" w:rsidP="00096083">
      <w:pPr>
        <w:pStyle w:val="Balk1"/>
        <w:numPr>
          <w:ilvl w:val="0"/>
          <w:numId w:val="0"/>
        </w:numPr>
        <w:spacing w:after="240" w:line="240" w:lineRule="auto"/>
        <w:rPr>
          <w:rFonts w:ascii="Times New Roman" w:hAnsi="Times New Roman" w:cs="Times New Roman"/>
          <w:szCs w:val="24"/>
        </w:rPr>
      </w:pPr>
      <w:bookmarkStart w:id="7" w:name="_Toc416961907"/>
      <w:r>
        <w:rPr>
          <w:rFonts w:ascii="Times New Roman" w:hAnsi="Times New Roman" w:cs="Times New Roman"/>
          <w:szCs w:val="24"/>
        </w:rPr>
        <w:t>2.2.Dünya</w:t>
      </w:r>
      <w:r w:rsidR="006E7C01" w:rsidRPr="00C24DB0">
        <w:rPr>
          <w:rFonts w:ascii="Times New Roman" w:hAnsi="Times New Roman" w:cs="Times New Roman"/>
          <w:szCs w:val="24"/>
        </w:rPr>
        <w:t>da ve Türkiye’de İşgücü Verimlilik D</w:t>
      </w:r>
      <w:r w:rsidR="00570C8B" w:rsidRPr="00C24DB0">
        <w:rPr>
          <w:rFonts w:ascii="Times New Roman" w:hAnsi="Times New Roman" w:cs="Times New Roman"/>
          <w:szCs w:val="24"/>
        </w:rPr>
        <w:t>üzeyi</w:t>
      </w:r>
      <w:r w:rsidR="00B116A6" w:rsidRPr="00C24DB0">
        <w:rPr>
          <w:rFonts w:ascii="Times New Roman" w:hAnsi="Times New Roman" w:cs="Times New Roman"/>
          <w:szCs w:val="24"/>
        </w:rPr>
        <w:t xml:space="preserve"> (2005-2012)</w:t>
      </w:r>
      <w:bookmarkEnd w:id="7"/>
    </w:p>
    <w:p w:rsidR="00F70A23" w:rsidRPr="00C24DB0" w:rsidRDefault="00F70A23" w:rsidP="007976A9">
      <w:pPr>
        <w:spacing w:after="240"/>
        <w:jc w:val="both"/>
        <w:rPr>
          <w:rFonts w:ascii="Times New Roman" w:hAnsi="Times New Roman"/>
        </w:rPr>
      </w:pPr>
      <w:r w:rsidRPr="00C24DB0">
        <w:rPr>
          <w:rFonts w:ascii="Times New Roman" w:hAnsi="Times New Roman"/>
        </w:rPr>
        <w:t>Genel olarak verimlilik çalışmalarında iki boyut önem taşımaktadır. Birincisi ülkelerin kendi içindeki gelişimlerini</w:t>
      </w:r>
      <w:r w:rsidR="009F2255">
        <w:rPr>
          <w:rFonts w:ascii="Times New Roman" w:hAnsi="Times New Roman"/>
        </w:rPr>
        <w:t xml:space="preserve"> görmek, ikincisinde de ülkeler</w:t>
      </w:r>
      <w:r w:rsidRPr="00C24DB0">
        <w:rPr>
          <w:rFonts w:ascii="Times New Roman" w:hAnsi="Times New Roman"/>
        </w:rPr>
        <w:t xml:space="preserve">arası kıyaslamaları gerçekleştirmektir. Gerek araştırmacılar gerek iş dünyasının yetkilileri gerekse iktisat </w:t>
      </w:r>
      <w:r w:rsidR="001B531E">
        <w:rPr>
          <w:rFonts w:ascii="Times New Roman" w:hAnsi="Times New Roman"/>
        </w:rPr>
        <w:t>politikalarını oluşturan kamu kesimi</w:t>
      </w:r>
      <w:r w:rsidRPr="00C24DB0">
        <w:rPr>
          <w:rFonts w:ascii="Times New Roman" w:hAnsi="Times New Roman"/>
        </w:rPr>
        <w:t xml:space="preserve"> yöneticiler</w:t>
      </w:r>
      <w:r w:rsidR="001B531E">
        <w:rPr>
          <w:rFonts w:ascii="Times New Roman" w:hAnsi="Times New Roman"/>
        </w:rPr>
        <w:t>i</w:t>
      </w:r>
      <w:r w:rsidRPr="00C24DB0">
        <w:rPr>
          <w:rFonts w:ascii="Times New Roman" w:hAnsi="Times New Roman"/>
        </w:rPr>
        <w:t xml:space="preserve"> bu iki boyutu inceleyerek geleceğin eğilimlerini belirlemeye çalışırlar. Bu çalışmalarda işgücü verimliliğinin hem düzeyi, hem de yıllar itibariyle değişim oranları çok önem taşımaktadır.</w:t>
      </w:r>
      <w:r w:rsidR="009F2255">
        <w:rPr>
          <w:rFonts w:ascii="Times New Roman" w:hAnsi="Times New Roman"/>
        </w:rPr>
        <w:t xml:space="preserve"> </w:t>
      </w:r>
      <w:r w:rsidRPr="00C24DB0">
        <w:rPr>
          <w:rFonts w:ascii="Times New Roman" w:hAnsi="Times New Roman"/>
        </w:rPr>
        <w:t>Bu çalışmada da yukarıda sözü edilen boyutlar ele alınmış ve sonuçlar değerlendirilmiştir.</w:t>
      </w:r>
    </w:p>
    <w:p w:rsidR="00BB40DD" w:rsidRPr="00C24DB0" w:rsidRDefault="009F2255" w:rsidP="007976A9">
      <w:pPr>
        <w:spacing w:after="240"/>
        <w:jc w:val="both"/>
        <w:rPr>
          <w:rFonts w:ascii="Times New Roman" w:hAnsi="Times New Roman"/>
        </w:rPr>
      </w:pPr>
      <w:r>
        <w:rPr>
          <w:rFonts w:ascii="Times New Roman" w:hAnsi="Times New Roman"/>
        </w:rPr>
        <w:t>Çalışma</w:t>
      </w:r>
      <w:r w:rsidR="00BB40DD" w:rsidRPr="00C24DB0">
        <w:rPr>
          <w:rFonts w:ascii="Times New Roman" w:hAnsi="Times New Roman"/>
        </w:rPr>
        <w:t>nın</w:t>
      </w:r>
      <w:r>
        <w:rPr>
          <w:rFonts w:ascii="Times New Roman" w:hAnsi="Times New Roman"/>
        </w:rPr>
        <w:t xml:space="preserve"> </w:t>
      </w:r>
      <w:r w:rsidR="00BB40DD" w:rsidRPr="00C24DB0">
        <w:rPr>
          <w:rFonts w:ascii="Times New Roman" w:hAnsi="Times New Roman"/>
        </w:rPr>
        <w:t xml:space="preserve">bu </w:t>
      </w:r>
      <w:r>
        <w:rPr>
          <w:rFonts w:ascii="Times New Roman" w:hAnsi="Times New Roman"/>
        </w:rPr>
        <w:t>kısmında, dünya</w:t>
      </w:r>
      <w:r w:rsidR="00BB40DD" w:rsidRPr="00C24DB0">
        <w:rPr>
          <w:rFonts w:ascii="Times New Roman" w:hAnsi="Times New Roman"/>
        </w:rPr>
        <w:t xml:space="preserve">da ve Türkiye’de işgücü verimliliği düzeyi verileri kullanılmıştır. Bu kapsamda, Dünya Bankası gelişme göstergelerinden yararlanılarak hesaplanan istihdam edilen kişi başına GSYİH (satın alma gücü paritesi ve 1990 yılı sabit fiyatlarına göre) verileri kullanılmıştır. 121 ülke ve 29 ülke </w:t>
      </w:r>
      <w:r w:rsidRPr="00C24DB0">
        <w:rPr>
          <w:rFonts w:ascii="Times New Roman" w:hAnsi="Times New Roman"/>
        </w:rPr>
        <w:t>grubuna ait</w:t>
      </w:r>
      <w:r w:rsidR="00BB40DD" w:rsidRPr="00C24DB0">
        <w:rPr>
          <w:rFonts w:ascii="Times New Roman" w:hAnsi="Times New Roman"/>
        </w:rPr>
        <w:t xml:space="preserve"> 2005 yılı ile 2012 yıllarını kapsayan veriler yer almaktadır. </w:t>
      </w:r>
    </w:p>
    <w:p w:rsidR="00BB179E" w:rsidRPr="00C24DB0" w:rsidRDefault="009F2255" w:rsidP="009F2255">
      <w:pPr>
        <w:pStyle w:val="ResimYazs"/>
        <w:spacing w:before="120" w:after="120"/>
        <w:jc w:val="center"/>
        <w:rPr>
          <w:rFonts w:ascii="Times New Roman" w:hAnsi="Times New Roman"/>
          <w:sz w:val="24"/>
          <w:szCs w:val="24"/>
        </w:rPr>
      </w:pPr>
      <w:r>
        <w:rPr>
          <w:rFonts w:ascii="Times New Roman" w:hAnsi="Times New Roman"/>
          <w:sz w:val="24"/>
          <w:szCs w:val="24"/>
        </w:rPr>
        <w:t>Çizelge</w:t>
      </w:r>
      <w:r w:rsidR="006C01B3" w:rsidRPr="00C24DB0">
        <w:rPr>
          <w:rFonts w:ascii="Times New Roman" w:hAnsi="Times New Roman"/>
          <w:sz w:val="24"/>
          <w:szCs w:val="24"/>
        </w:rPr>
        <w:t xml:space="preserve"> </w:t>
      </w:r>
      <w:r w:rsidR="005D5603" w:rsidRPr="00C24DB0">
        <w:rPr>
          <w:rFonts w:ascii="Times New Roman" w:hAnsi="Times New Roman"/>
          <w:sz w:val="24"/>
          <w:szCs w:val="24"/>
        </w:rPr>
        <w:fldChar w:fldCharType="begin"/>
      </w:r>
      <w:r w:rsidR="005D5603" w:rsidRPr="00C24DB0">
        <w:rPr>
          <w:rFonts w:ascii="Times New Roman" w:hAnsi="Times New Roman"/>
          <w:sz w:val="24"/>
          <w:szCs w:val="24"/>
        </w:rPr>
        <w:instrText xml:space="preserve"> SEQ Tablo \* ARABIC </w:instrText>
      </w:r>
      <w:r w:rsidR="005D5603" w:rsidRPr="00C24DB0">
        <w:rPr>
          <w:rFonts w:ascii="Times New Roman" w:hAnsi="Times New Roman"/>
          <w:sz w:val="24"/>
          <w:szCs w:val="24"/>
        </w:rPr>
        <w:fldChar w:fldCharType="separate"/>
      </w:r>
      <w:r w:rsidR="001C5482" w:rsidRPr="00C24DB0">
        <w:rPr>
          <w:rFonts w:ascii="Times New Roman" w:hAnsi="Times New Roman"/>
          <w:noProof/>
          <w:sz w:val="24"/>
          <w:szCs w:val="24"/>
        </w:rPr>
        <w:t>4</w:t>
      </w:r>
      <w:r w:rsidR="005D5603" w:rsidRPr="00C24DB0">
        <w:rPr>
          <w:rFonts w:ascii="Times New Roman" w:hAnsi="Times New Roman"/>
          <w:noProof/>
          <w:sz w:val="24"/>
          <w:szCs w:val="24"/>
        </w:rPr>
        <w:fldChar w:fldCharType="end"/>
      </w:r>
      <w:r w:rsidR="006C01B3" w:rsidRPr="00C24DB0">
        <w:rPr>
          <w:rFonts w:ascii="Times New Roman" w:hAnsi="Times New Roman"/>
          <w:sz w:val="24"/>
          <w:szCs w:val="24"/>
        </w:rPr>
        <w:t>. Dünyada ve Türkiye’de İşgücü Verimlilik Düzeyi (İst</w:t>
      </w:r>
      <w:r w:rsidR="00BB179E" w:rsidRPr="00C24DB0">
        <w:rPr>
          <w:rFonts w:ascii="Times New Roman" w:hAnsi="Times New Roman"/>
          <w:sz w:val="24"/>
          <w:szCs w:val="24"/>
        </w:rPr>
        <w:t>ihdam Edilen Kişi Başına GSYİH –</w:t>
      </w:r>
      <w:r w:rsidRPr="00C24DB0">
        <w:rPr>
          <w:rFonts w:ascii="Times New Roman" w:hAnsi="Times New Roman"/>
          <w:sz w:val="24"/>
          <w:szCs w:val="24"/>
        </w:rPr>
        <w:t>Sabit 1990 Satın Alma Gücü Paritesi</w:t>
      </w:r>
      <w:r>
        <w:rPr>
          <w:rFonts w:ascii="Times New Roman" w:hAnsi="Times New Roman"/>
          <w:sz w:val="24"/>
          <w:szCs w:val="24"/>
        </w:rPr>
        <w:t xml:space="preserve"> </w:t>
      </w:r>
      <w:r w:rsidR="00BB179E" w:rsidRPr="00C24DB0">
        <w:rPr>
          <w:rFonts w:ascii="Times New Roman" w:hAnsi="Times New Roman"/>
          <w:sz w:val="24"/>
          <w:szCs w:val="24"/>
        </w:rPr>
        <w:t>$)</w:t>
      </w:r>
    </w:p>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827"/>
        <w:gridCol w:w="710"/>
        <w:gridCol w:w="710"/>
        <w:gridCol w:w="710"/>
        <w:gridCol w:w="850"/>
        <w:gridCol w:w="852"/>
        <w:gridCol w:w="850"/>
        <w:gridCol w:w="710"/>
        <w:gridCol w:w="852"/>
      </w:tblGrid>
      <w:tr w:rsidR="00FB735F" w:rsidRPr="00C24DB0" w:rsidTr="00FB735F">
        <w:trPr>
          <w:trHeight w:val="170"/>
        </w:trPr>
        <w:tc>
          <w:tcPr>
            <w:tcW w:w="260" w:type="pct"/>
            <w:shd w:val="clear" w:color="auto" w:fill="auto"/>
            <w:noWrap/>
            <w:vAlign w:val="center"/>
          </w:tcPr>
          <w:p w:rsidR="006C01B3" w:rsidRPr="00C24DB0" w:rsidRDefault="006C01B3" w:rsidP="007976A9">
            <w:pPr>
              <w:jc w:val="center"/>
              <w:rPr>
                <w:rFonts w:ascii="Times New Roman" w:hAnsi="Times New Roman"/>
                <w:b/>
                <w:i/>
              </w:rPr>
            </w:pPr>
          </w:p>
        </w:tc>
        <w:tc>
          <w:tcPr>
            <w:tcW w:w="1478" w:type="pct"/>
            <w:shd w:val="clear" w:color="auto" w:fill="auto"/>
            <w:noWrap/>
            <w:vAlign w:val="center"/>
          </w:tcPr>
          <w:p w:rsidR="006C01B3" w:rsidRPr="00C24DB0" w:rsidRDefault="006C01B3" w:rsidP="007976A9">
            <w:pPr>
              <w:jc w:val="center"/>
              <w:rPr>
                <w:rFonts w:ascii="Times New Roman" w:hAnsi="Times New Roman"/>
                <w:b/>
                <w:i/>
                <w:color w:val="000000"/>
              </w:rPr>
            </w:pPr>
          </w:p>
        </w:tc>
        <w:tc>
          <w:tcPr>
            <w:tcW w:w="3262" w:type="pct"/>
            <w:gridSpan w:val="8"/>
            <w:shd w:val="clear" w:color="auto" w:fill="auto"/>
            <w:noWrap/>
            <w:vAlign w:val="center"/>
          </w:tcPr>
          <w:p w:rsidR="006C01B3" w:rsidRPr="00C24DB0" w:rsidRDefault="006C01B3" w:rsidP="007976A9">
            <w:pPr>
              <w:jc w:val="center"/>
              <w:rPr>
                <w:rFonts w:ascii="Times New Roman" w:hAnsi="Times New Roman"/>
                <w:b/>
                <w:i/>
                <w:color w:val="000000"/>
              </w:rPr>
            </w:pPr>
            <w:r w:rsidRPr="00C24DB0">
              <w:rPr>
                <w:rFonts w:ascii="Times New Roman" w:hAnsi="Times New Roman"/>
                <w:b/>
                <w:i/>
                <w:color w:val="000000"/>
              </w:rPr>
              <w:t>Yıllar</w:t>
            </w:r>
          </w:p>
        </w:tc>
      </w:tr>
      <w:tr w:rsidR="00FB735F" w:rsidRPr="00C24DB0" w:rsidTr="00FB735F">
        <w:trPr>
          <w:trHeight w:val="170"/>
        </w:trPr>
        <w:tc>
          <w:tcPr>
            <w:tcW w:w="260" w:type="pct"/>
            <w:shd w:val="clear" w:color="auto" w:fill="auto"/>
            <w:noWrap/>
            <w:vAlign w:val="center"/>
            <w:hideMark/>
          </w:tcPr>
          <w:p w:rsidR="006C01B3" w:rsidRPr="00D91E56" w:rsidRDefault="006C01B3" w:rsidP="007976A9">
            <w:pPr>
              <w:jc w:val="center"/>
              <w:rPr>
                <w:rFonts w:ascii="Times New Roman" w:hAnsi="Times New Roman"/>
                <w:b/>
                <w:i/>
                <w:sz w:val="20"/>
                <w:szCs w:val="20"/>
              </w:rPr>
            </w:pPr>
            <w:r w:rsidRPr="00D91E56">
              <w:rPr>
                <w:rFonts w:ascii="Times New Roman" w:hAnsi="Times New Roman"/>
                <w:b/>
                <w:i/>
                <w:sz w:val="20"/>
                <w:szCs w:val="20"/>
              </w:rPr>
              <w:t>Sıra</w:t>
            </w:r>
          </w:p>
        </w:tc>
        <w:tc>
          <w:tcPr>
            <w:tcW w:w="1478" w:type="pct"/>
            <w:shd w:val="clear" w:color="auto" w:fill="auto"/>
            <w:noWrap/>
            <w:vAlign w:val="center"/>
            <w:hideMark/>
          </w:tcPr>
          <w:p w:rsidR="006C01B3" w:rsidRPr="00D91E56" w:rsidRDefault="006C01B3" w:rsidP="007976A9">
            <w:pPr>
              <w:jc w:val="center"/>
              <w:rPr>
                <w:rFonts w:ascii="Times New Roman" w:hAnsi="Times New Roman"/>
                <w:b/>
                <w:i/>
                <w:color w:val="000000"/>
                <w:sz w:val="20"/>
                <w:szCs w:val="20"/>
              </w:rPr>
            </w:pPr>
            <w:r w:rsidRPr="00D91E56">
              <w:rPr>
                <w:rFonts w:ascii="Times New Roman" w:hAnsi="Times New Roman"/>
                <w:b/>
                <w:i/>
                <w:color w:val="000000"/>
                <w:sz w:val="20"/>
                <w:szCs w:val="20"/>
              </w:rPr>
              <w:t>Ülkeler ve Ülke Grupları</w:t>
            </w:r>
          </w:p>
        </w:tc>
        <w:tc>
          <w:tcPr>
            <w:tcW w:w="371" w:type="pct"/>
            <w:shd w:val="clear" w:color="auto" w:fill="auto"/>
            <w:noWrap/>
            <w:vAlign w:val="center"/>
            <w:hideMark/>
          </w:tcPr>
          <w:p w:rsidR="006C01B3" w:rsidRPr="00FB735F" w:rsidRDefault="006C01B3" w:rsidP="007976A9">
            <w:pPr>
              <w:jc w:val="center"/>
              <w:rPr>
                <w:rFonts w:ascii="Times New Roman" w:hAnsi="Times New Roman"/>
                <w:b/>
                <w:i/>
                <w:color w:val="000000"/>
              </w:rPr>
            </w:pPr>
            <w:r w:rsidRPr="00FB735F">
              <w:rPr>
                <w:rFonts w:ascii="Times New Roman" w:hAnsi="Times New Roman"/>
                <w:b/>
                <w:i/>
                <w:color w:val="000000"/>
                <w:sz w:val="22"/>
                <w:szCs w:val="22"/>
              </w:rPr>
              <w:t>2005</w:t>
            </w:r>
          </w:p>
        </w:tc>
        <w:tc>
          <w:tcPr>
            <w:tcW w:w="371" w:type="pct"/>
            <w:shd w:val="clear" w:color="auto" w:fill="auto"/>
            <w:noWrap/>
            <w:vAlign w:val="center"/>
            <w:hideMark/>
          </w:tcPr>
          <w:p w:rsidR="006C01B3" w:rsidRPr="00FB735F" w:rsidRDefault="006C01B3" w:rsidP="007976A9">
            <w:pPr>
              <w:jc w:val="center"/>
              <w:rPr>
                <w:rFonts w:ascii="Times New Roman" w:hAnsi="Times New Roman"/>
                <w:b/>
                <w:i/>
                <w:color w:val="000000"/>
              </w:rPr>
            </w:pPr>
            <w:r w:rsidRPr="00FB735F">
              <w:rPr>
                <w:rFonts w:ascii="Times New Roman" w:hAnsi="Times New Roman"/>
                <w:b/>
                <w:i/>
                <w:color w:val="000000"/>
                <w:sz w:val="22"/>
                <w:szCs w:val="22"/>
              </w:rPr>
              <w:t>2006</w:t>
            </w:r>
          </w:p>
        </w:tc>
        <w:tc>
          <w:tcPr>
            <w:tcW w:w="371" w:type="pct"/>
            <w:shd w:val="clear" w:color="auto" w:fill="auto"/>
            <w:noWrap/>
            <w:vAlign w:val="center"/>
            <w:hideMark/>
          </w:tcPr>
          <w:p w:rsidR="006C01B3" w:rsidRPr="00FB735F" w:rsidRDefault="006C01B3" w:rsidP="007976A9">
            <w:pPr>
              <w:jc w:val="center"/>
              <w:rPr>
                <w:rFonts w:ascii="Times New Roman" w:hAnsi="Times New Roman"/>
                <w:b/>
                <w:i/>
                <w:color w:val="000000"/>
              </w:rPr>
            </w:pPr>
            <w:r w:rsidRPr="00FB735F">
              <w:rPr>
                <w:rFonts w:ascii="Times New Roman" w:hAnsi="Times New Roman"/>
                <w:b/>
                <w:i/>
                <w:color w:val="000000"/>
                <w:sz w:val="22"/>
                <w:szCs w:val="22"/>
              </w:rPr>
              <w:t>2007</w:t>
            </w:r>
          </w:p>
        </w:tc>
        <w:tc>
          <w:tcPr>
            <w:tcW w:w="444" w:type="pct"/>
            <w:shd w:val="clear" w:color="auto" w:fill="auto"/>
            <w:noWrap/>
            <w:vAlign w:val="center"/>
            <w:hideMark/>
          </w:tcPr>
          <w:p w:rsidR="006C01B3" w:rsidRPr="00FB735F" w:rsidRDefault="006C01B3" w:rsidP="007976A9">
            <w:pPr>
              <w:jc w:val="center"/>
              <w:rPr>
                <w:rFonts w:ascii="Times New Roman" w:hAnsi="Times New Roman"/>
                <w:b/>
                <w:i/>
                <w:color w:val="000000"/>
              </w:rPr>
            </w:pPr>
            <w:r w:rsidRPr="00FB735F">
              <w:rPr>
                <w:rFonts w:ascii="Times New Roman" w:hAnsi="Times New Roman"/>
                <w:b/>
                <w:i/>
                <w:color w:val="000000"/>
                <w:sz w:val="22"/>
                <w:szCs w:val="22"/>
              </w:rPr>
              <w:t>2008</w:t>
            </w:r>
          </w:p>
        </w:tc>
        <w:tc>
          <w:tcPr>
            <w:tcW w:w="445" w:type="pct"/>
            <w:shd w:val="clear" w:color="auto" w:fill="auto"/>
            <w:noWrap/>
            <w:vAlign w:val="center"/>
            <w:hideMark/>
          </w:tcPr>
          <w:p w:rsidR="006C01B3" w:rsidRPr="00FB735F" w:rsidRDefault="006C01B3" w:rsidP="007976A9">
            <w:pPr>
              <w:jc w:val="center"/>
              <w:rPr>
                <w:rFonts w:ascii="Times New Roman" w:hAnsi="Times New Roman"/>
                <w:b/>
                <w:i/>
                <w:color w:val="000000"/>
              </w:rPr>
            </w:pPr>
            <w:r w:rsidRPr="00FB735F">
              <w:rPr>
                <w:rFonts w:ascii="Times New Roman" w:hAnsi="Times New Roman"/>
                <w:b/>
                <w:i/>
                <w:color w:val="000000"/>
                <w:sz w:val="22"/>
                <w:szCs w:val="22"/>
              </w:rPr>
              <w:t>2009</w:t>
            </w:r>
          </w:p>
        </w:tc>
        <w:tc>
          <w:tcPr>
            <w:tcW w:w="444" w:type="pct"/>
            <w:shd w:val="clear" w:color="auto" w:fill="auto"/>
            <w:noWrap/>
            <w:vAlign w:val="center"/>
            <w:hideMark/>
          </w:tcPr>
          <w:p w:rsidR="006C01B3" w:rsidRPr="00FB735F" w:rsidRDefault="006C01B3" w:rsidP="007976A9">
            <w:pPr>
              <w:jc w:val="center"/>
              <w:rPr>
                <w:rFonts w:ascii="Times New Roman" w:hAnsi="Times New Roman"/>
                <w:b/>
                <w:i/>
                <w:color w:val="000000"/>
              </w:rPr>
            </w:pPr>
            <w:r w:rsidRPr="00FB735F">
              <w:rPr>
                <w:rFonts w:ascii="Times New Roman" w:hAnsi="Times New Roman"/>
                <w:b/>
                <w:i/>
                <w:color w:val="000000"/>
                <w:sz w:val="22"/>
                <w:szCs w:val="22"/>
              </w:rPr>
              <w:t>2010</w:t>
            </w:r>
          </w:p>
        </w:tc>
        <w:tc>
          <w:tcPr>
            <w:tcW w:w="371" w:type="pct"/>
            <w:shd w:val="clear" w:color="auto" w:fill="auto"/>
            <w:noWrap/>
            <w:vAlign w:val="center"/>
            <w:hideMark/>
          </w:tcPr>
          <w:p w:rsidR="006C01B3" w:rsidRPr="00FB735F" w:rsidRDefault="006C01B3" w:rsidP="007976A9">
            <w:pPr>
              <w:jc w:val="center"/>
              <w:rPr>
                <w:rFonts w:ascii="Times New Roman" w:hAnsi="Times New Roman"/>
                <w:b/>
                <w:i/>
                <w:color w:val="000000"/>
              </w:rPr>
            </w:pPr>
            <w:r w:rsidRPr="00FB735F">
              <w:rPr>
                <w:rFonts w:ascii="Times New Roman" w:hAnsi="Times New Roman"/>
                <w:b/>
                <w:i/>
                <w:color w:val="000000"/>
                <w:sz w:val="22"/>
                <w:szCs w:val="22"/>
              </w:rPr>
              <w:t>2011</w:t>
            </w:r>
          </w:p>
        </w:tc>
        <w:tc>
          <w:tcPr>
            <w:tcW w:w="445" w:type="pct"/>
            <w:shd w:val="clear" w:color="auto" w:fill="auto"/>
            <w:noWrap/>
            <w:vAlign w:val="center"/>
            <w:hideMark/>
          </w:tcPr>
          <w:p w:rsidR="006C01B3" w:rsidRPr="00FB735F" w:rsidRDefault="006C01B3" w:rsidP="007976A9">
            <w:pPr>
              <w:jc w:val="center"/>
              <w:rPr>
                <w:rFonts w:ascii="Times New Roman" w:hAnsi="Times New Roman"/>
                <w:b/>
                <w:i/>
                <w:color w:val="000000"/>
              </w:rPr>
            </w:pPr>
            <w:r w:rsidRPr="00FB735F">
              <w:rPr>
                <w:rFonts w:ascii="Times New Roman" w:hAnsi="Times New Roman"/>
                <w:b/>
                <w:i/>
                <w:color w:val="000000"/>
                <w:sz w:val="22"/>
                <w:szCs w:val="22"/>
              </w:rPr>
              <w:t>2012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Birleşik Devletler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63.741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64.227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64.740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64.812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65.250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67.190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68.039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68.374</w:t>
            </w:r>
          </w:p>
        </w:tc>
      </w:tr>
      <w:tr w:rsidR="00FB735F" w:rsidRPr="00C24DB0" w:rsidTr="00FB735F">
        <w:trPr>
          <w:trHeight w:val="170"/>
        </w:trPr>
        <w:tc>
          <w:tcPr>
            <w:tcW w:w="260" w:type="pct"/>
            <w:shd w:val="clear" w:color="auto" w:fill="auto"/>
            <w:noWrap/>
            <w:vAlign w:val="center"/>
            <w:hideMark/>
          </w:tcPr>
          <w:p w:rsidR="008E2F91" w:rsidRPr="005B2358" w:rsidRDefault="008E2F91" w:rsidP="007976A9">
            <w:pPr>
              <w:jc w:val="center"/>
              <w:rPr>
                <w:rFonts w:ascii="Times New Roman" w:hAnsi="Times New Roman"/>
                <w:b/>
                <w:sz w:val="20"/>
                <w:szCs w:val="20"/>
              </w:rPr>
            </w:pPr>
            <w:r w:rsidRPr="005B2358">
              <w:rPr>
                <w:rFonts w:ascii="Times New Roman" w:hAnsi="Times New Roman"/>
                <w:b/>
                <w:sz w:val="20"/>
                <w:szCs w:val="20"/>
              </w:rPr>
              <w:t>2</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Kuzey Amerika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62.230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62.720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63.152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63.139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63.437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65.232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66.020</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66.381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Hong Kong SAR, Çin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53.841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56.522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58.771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59.609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58.668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62.775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63.888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64.960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İrlanda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55.175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55.723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56.692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56.089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57.723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59.804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61.929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62.584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Belçika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54.215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55.054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55.711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55.276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53.838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54.772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54.989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54.858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Fransa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51.259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51.962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52.417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52.120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51.148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52.031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52.668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52.535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İsveç</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48.908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50.161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50.655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49.894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48.560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51.120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51.857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52.380</w:t>
            </w:r>
          </w:p>
        </w:tc>
      </w:tr>
      <w:tr w:rsidR="00FB735F" w:rsidRPr="00C24DB0" w:rsidTr="00FB735F">
        <w:trPr>
          <w:trHeight w:val="170"/>
        </w:trPr>
        <w:tc>
          <w:tcPr>
            <w:tcW w:w="260" w:type="pct"/>
            <w:shd w:val="clear" w:color="auto" w:fill="auto"/>
            <w:noWrap/>
            <w:vAlign w:val="center"/>
            <w:hideMark/>
          </w:tcPr>
          <w:p w:rsidR="008E2F91" w:rsidRPr="005B2358" w:rsidRDefault="008E2F91" w:rsidP="007976A9">
            <w:pPr>
              <w:jc w:val="center"/>
              <w:rPr>
                <w:rFonts w:ascii="Times New Roman" w:hAnsi="Times New Roman"/>
                <w:b/>
                <w:sz w:val="20"/>
                <w:szCs w:val="20"/>
              </w:rPr>
            </w:pPr>
            <w:r w:rsidRPr="005B2358">
              <w:rPr>
                <w:rFonts w:ascii="Times New Roman" w:hAnsi="Times New Roman"/>
                <w:b/>
                <w:sz w:val="20"/>
                <w:szCs w:val="20"/>
              </w:rPr>
              <w:t>8</w:t>
            </w:r>
          </w:p>
        </w:tc>
        <w:tc>
          <w:tcPr>
            <w:tcW w:w="1478" w:type="pct"/>
            <w:shd w:val="clear" w:color="auto" w:fill="auto"/>
            <w:noWrap/>
            <w:vAlign w:val="bottom"/>
            <w:hideMark/>
          </w:tcPr>
          <w:p w:rsidR="008E2F91" w:rsidRPr="007A6F92" w:rsidRDefault="003B20B8" w:rsidP="007976A9">
            <w:pPr>
              <w:rPr>
                <w:rFonts w:ascii="Times New Roman" w:hAnsi="Times New Roman"/>
                <w:b/>
                <w:sz w:val="20"/>
                <w:szCs w:val="20"/>
              </w:rPr>
            </w:pPr>
            <w:r w:rsidRPr="007A6F92">
              <w:rPr>
                <w:rFonts w:ascii="Times New Roman" w:hAnsi="Times New Roman"/>
                <w:b/>
                <w:sz w:val="20"/>
                <w:szCs w:val="20"/>
              </w:rPr>
              <w:t>Yüksek G</w:t>
            </w:r>
            <w:r w:rsidR="008E2F91" w:rsidRPr="007A6F92">
              <w:rPr>
                <w:rFonts w:ascii="Times New Roman" w:hAnsi="Times New Roman"/>
                <w:b/>
                <w:sz w:val="20"/>
                <w:szCs w:val="20"/>
              </w:rPr>
              <w:t>elir: OECD</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49.271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49.881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50.475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50.279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49.614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51.067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51.590</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51.919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Norveç</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53.470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52.855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52.115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50.495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49.879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50.388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50.322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51.435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Lüksemburg</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55.811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56.545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57.700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54.541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51.769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52.345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51.717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50.895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11</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Avustralya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48.089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48.135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48.867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48.714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49.029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49.196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49.366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50.652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Finlandiya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49.144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50.384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51.943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50.786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47.689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49.312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50.089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50.200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Kanada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48.997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49.501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49.402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48.921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48.337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49.226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49.635</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50.125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Singapur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48.122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47.345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49.069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45.955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44.756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48.981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49.704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49.719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Birleşik Krallık</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48.672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49.498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50.943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50.088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48.903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49.673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49.796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49.428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Avusturya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47.988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48.922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49.837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49.574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48.045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48.640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49.110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49.287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Trinidad ve Tobago</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43.689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48.944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51.068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51.383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49.232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48.732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48.289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48.908</w:t>
            </w:r>
          </w:p>
        </w:tc>
      </w:tr>
      <w:tr w:rsidR="00FB735F" w:rsidRPr="00C24DB0" w:rsidTr="00FB735F">
        <w:trPr>
          <w:trHeight w:val="170"/>
        </w:trPr>
        <w:tc>
          <w:tcPr>
            <w:tcW w:w="260" w:type="pct"/>
            <w:shd w:val="clear" w:color="auto" w:fill="auto"/>
            <w:noWrap/>
            <w:vAlign w:val="center"/>
            <w:hideMark/>
          </w:tcPr>
          <w:p w:rsidR="008E2F91" w:rsidRPr="005B2358" w:rsidRDefault="008E2F91" w:rsidP="007976A9">
            <w:pPr>
              <w:jc w:val="center"/>
              <w:rPr>
                <w:rFonts w:ascii="Times New Roman" w:hAnsi="Times New Roman"/>
                <w:b/>
                <w:sz w:val="20"/>
                <w:szCs w:val="20"/>
              </w:rPr>
            </w:pPr>
            <w:r w:rsidRPr="005B2358">
              <w:rPr>
                <w:rFonts w:ascii="Times New Roman" w:hAnsi="Times New Roman"/>
                <w:b/>
                <w:sz w:val="20"/>
                <w:szCs w:val="20"/>
              </w:rPr>
              <w:t>18</w:t>
            </w:r>
          </w:p>
        </w:tc>
        <w:tc>
          <w:tcPr>
            <w:tcW w:w="1478" w:type="pct"/>
            <w:shd w:val="clear" w:color="auto" w:fill="auto"/>
            <w:noWrap/>
            <w:vAlign w:val="bottom"/>
            <w:hideMark/>
          </w:tcPr>
          <w:p w:rsidR="008E2F91" w:rsidRPr="007A6F92" w:rsidRDefault="003B20B8" w:rsidP="007976A9">
            <w:pPr>
              <w:rPr>
                <w:rFonts w:ascii="Times New Roman" w:hAnsi="Times New Roman"/>
                <w:b/>
                <w:sz w:val="20"/>
                <w:szCs w:val="20"/>
              </w:rPr>
            </w:pPr>
            <w:r w:rsidRPr="007A6F92">
              <w:rPr>
                <w:rFonts w:ascii="Times New Roman" w:hAnsi="Times New Roman"/>
                <w:b/>
                <w:sz w:val="20"/>
                <w:szCs w:val="20"/>
              </w:rPr>
              <w:t>OECD Ü</w:t>
            </w:r>
            <w:r w:rsidR="008E2F91" w:rsidRPr="007A6F92">
              <w:rPr>
                <w:rFonts w:ascii="Times New Roman" w:hAnsi="Times New Roman"/>
                <w:b/>
                <w:sz w:val="20"/>
                <w:szCs w:val="20"/>
              </w:rPr>
              <w:t>yesi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45.819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46.388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46.960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46.717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45.958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47.194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47.649</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47.841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Danimarka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47.151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47.751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47.204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46.056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44.502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46.247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46.941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47.152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20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Hollanda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45.613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46.373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46.991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47.143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45.741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46.670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46.798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46.691</w:t>
            </w:r>
          </w:p>
        </w:tc>
      </w:tr>
      <w:tr w:rsidR="00FB735F" w:rsidRPr="00C24DB0" w:rsidTr="00FB735F">
        <w:trPr>
          <w:trHeight w:val="170"/>
        </w:trPr>
        <w:tc>
          <w:tcPr>
            <w:tcW w:w="260" w:type="pct"/>
            <w:shd w:val="clear" w:color="auto" w:fill="auto"/>
            <w:noWrap/>
            <w:vAlign w:val="center"/>
            <w:hideMark/>
          </w:tcPr>
          <w:p w:rsidR="008E2F91" w:rsidRPr="005B2358" w:rsidRDefault="008E2F91" w:rsidP="007976A9">
            <w:pPr>
              <w:jc w:val="center"/>
              <w:rPr>
                <w:rFonts w:ascii="Times New Roman" w:hAnsi="Times New Roman"/>
                <w:b/>
                <w:sz w:val="20"/>
                <w:szCs w:val="20"/>
              </w:rPr>
            </w:pPr>
            <w:r w:rsidRPr="005B2358">
              <w:rPr>
                <w:rFonts w:ascii="Times New Roman" w:hAnsi="Times New Roman"/>
                <w:b/>
                <w:sz w:val="20"/>
                <w:szCs w:val="20"/>
              </w:rPr>
              <w:t>21</w:t>
            </w:r>
          </w:p>
        </w:tc>
        <w:tc>
          <w:tcPr>
            <w:tcW w:w="1478" w:type="pct"/>
            <w:shd w:val="clear" w:color="auto" w:fill="auto"/>
            <w:noWrap/>
            <w:vAlign w:val="bottom"/>
            <w:hideMark/>
          </w:tcPr>
          <w:p w:rsidR="008E2F91" w:rsidRPr="007A6F92" w:rsidRDefault="003B20B8" w:rsidP="007976A9">
            <w:pPr>
              <w:rPr>
                <w:rFonts w:ascii="Times New Roman" w:hAnsi="Times New Roman"/>
                <w:b/>
                <w:sz w:val="20"/>
                <w:szCs w:val="20"/>
              </w:rPr>
            </w:pPr>
            <w:r w:rsidRPr="007A6F92">
              <w:rPr>
                <w:rFonts w:ascii="Times New Roman" w:hAnsi="Times New Roman"/>
                <w:b/>
                <w:sz w:val="20"/>
                <w:szCs w:val="20"/>
              </w:rPr>
              <w:t>Yüksek G</w:t>
            </w:r>
            <w:r w:rsidR="008E2F91" w:rsidRPr="007A6F92">
              <w:rPr>
                <w:rFonts w:ascii="Times New Roman" w:hAnsi="Times New Roman"/>
                <w:b/>
                <w:sz w:val="20"/>
                <w:szCs w:val="20"/>
              </w:rPr>
              <w:t>elir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44.273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44.946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45.519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45.414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44.602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45.865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46.349</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46.685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22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Estonya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40.687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42.508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45.330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43.374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41.419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44.943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45.494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46.384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23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İzlanda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45.167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44.979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45.626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45.807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45.547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43.850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44.864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45.975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24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İsrail</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41.831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42.897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43.341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43.302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43.452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44.239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44.856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45.557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25</w:t>
            </w:r>
          </w:p>
        </w:tc>
        <w:tc>
          <w:tcPr>
            <w:tcW w:w="1478" w:type="pct"/>
            <w:shd w:val="clear" w:color="auto" w:fill="auto"/>
            <w:noWrap/>
            <w:vAlign w:val="bottom"/>
            <w:hideMark/>
          </w:tcPr>
          <w:p w:rsidR="008E2F91" w:rsidRPr="007A6F92" w:rsidRDefault="003B20B8" w:rsidP="007976A9">
            <w:pPr>
              <w:rPr>
                <w:rFonts w:ascii="Times New Roman" w:hAnsi="Times New Roman"/>
                <w:color w:val="000000"/>
                <w:sz w:val="20"/>
                <w:szCs w:val="20"/>
              </w:rPr>
            </w:pPr>
            <w:r w:rsidRPr="007A6F92">
              <w:rPr>
                <w:rFonts w:ascii="Times New Roman" w:hAnsi="Times New Roman"/>
                <w:color w:val="000000"/>
                <w:sz w:val="20"/>
                <w:szCs w:val="20"/>
              </w:rPr>
              <w:t>Kore Cumhuriyeti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38.283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39.753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41.280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41.970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42.233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44.293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45.116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45.478</w:t>
            </w:r>
          </w:p>
        </w:tc>
      </w:tr>
      <w:tr w:rsidR="00FB735F" w:rsidRPr="00C24DB0" w:rsidTr="00FB735F">
        <w:trPr>
          <w:trHeight w:val="170"/>
        </w:trPr>
        <w:tc>
          <w:tcPr>
            <w:tcW w:w="260" w:type="pct"/>
            <w:shd w:val="clear" w:color="auto" w:fill="auto"/>
            <w:noWrap/>
            <w:vAlign w:val="center"/>
            <w:hideMark/>
          </w:tcPr>
          <w:p w:rsidR="008E2F91" w:rsidRPr="005B2358" w:rsidRDefault="008E2F91" w:rsidP="007976A9">
            <w:pPr>
              <w:jc w:val="center"/>
              <w:rPr>
                <w:rFonts w:ascii="Times New Roman" w:hAnsi="Times New Roman"/>
                <w:b/>
                <w:sz w:val="20"/>
                <w:szCs w:val="20"/>
              </w:rPr>
            </w:pPr>
            <w:r w:rsidRPr="005B2358">
              <w:rPr>
                <w:rFonts w:ascii="Times New Roman" w:hAnsi="Times New Roman"/>
                <w:b/>
                <w:sz w:val="20"/>
                <w:szCs w:val="20"/>
              </w:rPr>
              <w:t>26</w:t>
            </w:r>
          </w:p>
        </w:tc>
        <w:tc>
          <w:tcPr>
            <w:tcW w:w="1478" w:type="pct"/>
            <w:shd w:val="clear" w:color="auto" w:fill="auto"/>
            <w:noWrap/>
            <w:vAlign w:val="bottom"/>
            <w:hideMark/>
          </w:tcPr>
          <w:p w:rsidR="008E2F91" w:rsidRPr="007A6F92" w:rsidRDefault="003B20B8" w:rsidP="007976A9">
            <w:pPr>
              <w:rPr>
                <w:rFonts w:ascii="Times New Roman" w:hAnsi="Times New Roman"/>
                <w:b/>
                <w:sz w:val="20"/>
                <w:szCs w:val="20"/>
              </w:rPr>
            </w:pPr>
            <w:r w:rsidRPr="007A6F92">
              <w:rPr>
                <w:rFonts w:ascii="Times New Roman" w:hAnsi="Times New Roman"/>
                <w:b/>
                <w:sz w:val="20"/>
                <w:szCs w:val="20"/>
              </w:rPr>
              <w:t xml:space="preserve">Euro </w:t>
            </w:r>
            <w:r w:rsidR="005B2358" w:rsidRPr="007A6F92">
              <w:rPr>
                <w:rFonts w:ascii="Times New Roman" w:hAnsi="Times New Roman"/>
                <w:b/>
                <w:sz w:val="20"/>
                <w:szCs w:val="20"/>
              </w:rPr>
              <w:t>B</w:t>
            </w:r>
            <w:r w:rsidR="008E2F91" w:rsidRPr="007A6F92">
              <w:rPr>
                <w:rFonts w:ascii="Times New Roman" w:hAnsi="Times New Roman"/>
                <w:b/>
                <w:sz w:val="20"/>
                <w:szCs w:val="20"/>
              </w:rPr>
              <w:t>ölgesi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43.802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44.490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45.046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44.874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43.730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44.847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45.403</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45.444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27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İtalya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46.722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46.830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47.026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46.357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44.544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45.680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45.727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45.053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28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Japonya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43.109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43.648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44.439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44.131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42.375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44.795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44.628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44.851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29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İspanya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38.805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38.840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39.010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39.408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40.578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41.483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42.312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43.297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lastRenderedPageBreak/>
              <w:t>30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Almanya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41.583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42.884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43.547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43.483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41.231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42.699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43.393</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43.243</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31</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Avrupa Birliği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40.233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40.943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41.585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41.408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40.376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41.429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41.977</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41.970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32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İsviçre</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41.200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41.884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42.391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42.286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41.280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42.242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42.021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41.918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33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Bosna Hersek</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36.382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38.572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39.177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39.608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39.910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40.031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40.470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40.373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34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Slovenya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34.383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35.839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37.098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37.388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35.094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36.312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37.127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36.908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35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Yeni Zelanda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36.166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36.109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36.478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35.843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36.523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36.588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36.201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36.586</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36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Şili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30.925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30.107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31.474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31.565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31.470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30.870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32.386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33.758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37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Slovak Cumhuriyeti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26.894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28.544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30.894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31.651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30.688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32.526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32.990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33.513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38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Letonya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26.568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28.144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29.777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28.539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27.037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28.126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32.300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33.454</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39</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Avrupa ve Orta Asya (</w:t>
            </w:r>
            <w:r w:rsidR="003B20B8" w:rsidRPr="007A6F92">
              <w:rPr>
                <w:rFonts w:ascii="Times New Roman" w:hAnsi="Times New Roman"/>
                <w:b/>
                <w:sz w:val="20"/>
                <w:szCs w:val="20"/>
              </w:rPr>
              <w:t>Tüm Gelir Düzeyleri)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30.434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31.369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32.184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32.318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31.321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32.114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32.616</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32.767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Malta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32.173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32.577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32.861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33.187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32.492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32.591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32.310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32.443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41</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Yunanistan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33.522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34.706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35.425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34.919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34.031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33.203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32.681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32.256</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Portekiz</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29.403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29.676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30.392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30.251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30.150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31.215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31.209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31.321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Beyaz Rusya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21.400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23.266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25.010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26.426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26.737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28.435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29.547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30.974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Suriye Arap Cumhuriyeti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26.468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27.840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28.983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29.933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32.125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32.181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30.792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30.932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Venezuela, RB</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26.468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28.724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30.835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31.674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29.888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28.713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29.299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30.376</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Suudi Arabistan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28.017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27.625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27.164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27.557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26.977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27.461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28.682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29.678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Ermenistan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22.872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26.018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29.348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30.943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27.248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27.463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28.341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29.273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Litvanya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23.579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24.964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26.667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27.624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25.247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27.013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28.034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28.674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49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Arjantin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23.618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24.428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26.166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26.595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26.171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27.871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28.412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28.551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Türkiye</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26.593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27.943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28.813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28.394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26.920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27.710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28.214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28.490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51</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Polonya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23.394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24.085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24.613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24.915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25.219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26.075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26.934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27.502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Kıbrıs</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25.680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26.281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26.752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27.133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26.772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27.109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27.122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26.906</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Çek Cumhuriyeti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24.020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25.368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26.266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26.470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25.735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26.648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27.081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26.781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Uruguay</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25.436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20.877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21.213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22.450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22.700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24.591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25.801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26.489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Kazakistan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19.149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20.800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21.965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22.037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22.172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23.172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24.347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25.447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Umman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23.116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22.970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22.888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24.241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23.666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23.678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24.342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24.932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Malezya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22.394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23.118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23.962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24.826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23.920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23.728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24.226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24.857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Hırvatistan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22.445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23.693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24.059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24.299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23.037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23.656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24.638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24.191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59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Ürdün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19.253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20.555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21.207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22.585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22.971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23.263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23.392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23.990</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60</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Orta Avrupa ve Baltık</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20.495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21.431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22.242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22.724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22.232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22.974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23.745</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23.976</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61</w:t>
            </w:r>
          </w:p>
        </w:tc>
        <w:tc>
          <w:tcPr>
            <w:tcW w:w="1478" w:type="pct"/>
            <w:shd w:val="clear" w:color="auto" w:fill="auto"/>
            <w:noWrap/>
            <w:vAlign w:val="bottom"/>
            <w:hideMark/>
          </w:tcPr>
          <w:p w:rsidR="008E2F91" w:rsidRPr="007A6F92" w:rsidRDefault="003B20B8" w:rsidP="007976A9">
            <w:pPr>
              <w:rPr>
                <w:rFonts w:ascii="Times New Roman" w:hAnsi="Times New Roman"/>
                <w:b/>
                <w:sz w:val="20"/>
                <w:szCs w:val="20"/>
              </w:rPr>
            </w:pPr>
            <w:r w:rsidRPr="007A6F92">
              <w:rPr>
                <w:rFonts w:ascii="Times New Roman" w:hAnsi="Times New Roman"/>
                <w:b/>
                <w:sz w:val="20"/>
                <w:szCs w:val="20"/>
              </w:rPr>
              <w:t>Yüksek Gelir: N</w:t>
            </w:r>
            <w:r w:rsidR="008E2F91" w:rsidRPr="007A6F92">
              <w:rPr>
                <w:rFonts w:ascii="Times New Roman" w:hAnsi="Times New Roman"/>
                <w:b/>
                <w:sz w:val="20"/>
                <w:szCs w:val="20"/>
              </w:rPr>
              <w:t>on</w:t>
            </w:r>
            <w:r w:rsidRPr="007A6F92">
              <w:rPr>
                <w:rFonts w:ascii="Times New Roman" w:hAnsi="Times New Roman"/>
                <w:b/>
                <w:sz w:val="20"/>
                <w:szCs w:val="20"/>
              </w:rPr>
              <w:t xml:space="preserve"> </w:t>
            </w:r>
            <w:r w:rsidR="008E2F91" w:rsidRPr="007A6F92">
              <w:rPr>
                <w:rFonts w:ascii="Times New Roman" w:hAnsi="Times New Roman"/>
                <w:b/>
                <w:sz w:val="20"/>
                <w:szCs w:val="20"/>
              </w:rPr>
              <w:t>OECD</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19.679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20.649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21.602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22.154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20.946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21.739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22.489</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23.112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62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Macaristan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20.188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20.884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20.759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21.329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20.392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20.520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20.772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20.328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63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Meksika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19.564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19.869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20.198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19.996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18.966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19.797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20.125</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20.275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64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Bulgaristan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16.485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16.991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17.530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18.136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17.604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18.541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19.676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20.210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65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Rusya Federasyonu</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15.597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16.773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17.978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18.796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17.585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18.318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19.012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19.656</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66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Georgia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12.662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13.828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15.926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17.335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16.136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17.440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18.247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19.466</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67</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Avrupa ve Orta Asya (</w:t>
            </w:r>
            <w:r w:rsidR="003B20B8" w:rsidRPr="007A6F92">
              <w:rPr>
                <w:rFonts w:ascii="Times New Roman" w:hAnsi="Times New Roman"/>
                <w:b/>
                <w:sz w:val="20"/>
                <w:szCs w:val="20"/>
              </w:rPr>
              <w:t>Sadece Gelişmekte</w:t>
            </w:r>
            <w:r w:rsidRPr="007A6F92">
              <w:rPr>
                <w:rFonts w:ascii="Times New Roman" w:hAnsi="Times New Roman"/>
                <w:b/>
                <w:sz w:val="20"/>
                <w:szCs w:val="20"/>
              </w:rPr>
              <w:t>)</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15.288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16.311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17.204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17.644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17.136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17.839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18.573</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19.057</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68</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Dünya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15.764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16.382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17.061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17.415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17.367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18.070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18.552</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18.948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69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Kosta Rika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16.505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17.434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17.882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18.070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17.568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17.907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18.338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18.913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70</w:t>
            </w:r>
          </w:p>
        </w:tc>
        <w:tc>
          <w:tcPr>
            <w:tcW w:w="1478" w:type="pct"/>
            <w:shd w:val="clear" w:color="auto" w:fill="auto"/>
            <w:noWrap/>
            <w:vAlign w:val="bottom"/>
            <w:hideMark/>
          </w:tcPr>
          <w:p w:rsidR="008E2F91" w:rsidRPr="007A6F92" w:rsidRDefault="003B20B8" w:rsidP="007976A9">
            <w:pPr>
              <w:rPr>
                <w:rFonts w:ascii="Times New Roman" w:hAnsi="Times New Roman"/>
                <w:color w:val="000000"/>
                <w:sz w:val="20"/>
                <w:szCs w:val="20"/>
              </w:rPr>
            </w:pPr>
            <w:r w:rsidRPr="007A6F92">
              <w:rPr>
                <w:rFonts w:ascii="Times New Roman" w:hAnsi="Times New Roman"/>
                <w:color w:val="000000"/>
                <w:sz w:val="20"/>
                <w:szCs w:val="20"/>
              </w:rPr>
              <w:t>İran İslam Cumhuriyeti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15.893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16.792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17.816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18.441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18.641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19.182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19.256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18.802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71</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Barbados</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18.804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19.691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19.837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19.754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18.744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18.657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18.699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18.762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72</w:t>
            </w:r>
          </w:p>
        </w:tc>
        <w:tc>
          <w:tcPr>
            <w:tcW w:w="1478" w:type="pct"/>
            <w:shd w:val="clear" w:color="auto" w:fill="auto"/>
            <w:noWrap/>
            <w:vAlign w:val="bottom"/>
            <w:hideMark/>
          </w:tcPr>
          <w:p w:rsidR="008E2F91" w:rsidRPr="007A6F92" w:rsidRDefault="003B20B8" w:rsidP="007976A9">
            <w:pPr>
              <w:rPr>
                <w:rFonts w:ascii="Times New Roman" w:hAnsi="Times New Roman"/>
                <w:color w:val="000000"/>
                <w:sz w:val="20"/>
                <w:szCs w:val="20"/>
              </w:rPr>
            </w:pPr>
            <w:r w:rsidRPr="007A6F92">
              <w:rPr>
                <w:rFonts w:ascii="Times New Roman" w:hAnsi="Times New Roman"/>
                <w:color w:val="000000"/>
                <w:sz w:val="20"/>
                <w:szCs w:val="20"/>
              </w:rPr>
              <w:t>Azerbaycan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9.104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12.096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14.940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16.336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17.613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18.256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18.080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18.554</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73</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Latin Amerika ve Karayipler (</w:t>
            </w:r>
            <w:r w:rsidR="003B20B8" w:rsidRPr="007A6F92">
              <w:rPr>
                <w:rFonts w:ascii="Times New Roman" w:hAnsi="Times New Roman"/>
                <w:b/>
                <w:sz w:val="20"/>
                <w:szCs w:val="20"/>
              </w:rPr>
              <w:t>Tüm Gelir Düzeyleri)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16.168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16.592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17.282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17.524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17.074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17.566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17.929</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18.188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74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Kolombiya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15.106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16.576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17.310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17.564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16.884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16.840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17.536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17.990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75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Sri Lanka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12.143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12.944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13.948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14.505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15.092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16.085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16.958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17.985</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76</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Latin Amerika ve Karayipler (</w:t>
            </w:r>
            <w:r w:rsidR="003B20B8" w:rsidRPr="007A6F92">
              <w:rPr>
                <w:rFonts w:ascii="Times New Roman" w:hAnsi="Times New Roman"/>
                <w:b/>
                <w:sz w:val="20"/>
                <w:szCs w:val="20"/>
              </w:rPr>
              <w:t>Sadece Gelişmekte)</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15.574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16.055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16.717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16.954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16.501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17.001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17.313</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17.533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77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Katar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18.068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18.079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16.952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16.329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15.652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16.463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17.397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17.497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78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Tunus</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15.635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16.149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16.803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17.173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17.361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17.538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17.033</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17.320</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79</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Orta Doğu ve Kuzey Afrika (</w:t>
            </w:r>
            <w:r w:rsidR="003B20B8" w:rsidRPr="007A6F92">
              <w:rPr>
                <w:rFonts w:ascii="Times New Roman" w:hAnsi="Times New Roman"/>
                <w:b/>
                <w:sz w:val="20"/>
                <w:szCs w:val="20"/>
              </w:rPr>
              <w:t>Tüm Gelir Düzeyleri</w:t>
            </w:r>
            <w:r w:rsidRPr="007A6F92">
              <w:rPr>
                <w:rFonts w:ascii="Times New Roman" w:hAnsi="Times New Roman"/>
                <w:b/>
                <w:sz w:val="20"/>
                <w:szCs w:val="20"/>
              </w:rPr>
              <w:t>)</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15.433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15.957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16.266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16.598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16.644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16.913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17.029</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17.170</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80</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Doğu Asya ve Pasifik (</w:t>
            </w:r>
            <w:r w:rsidR="003B20B8" w:rsidRPr="007A6F92">
              <w:rPr>
                <w:rFonts w:ascii="Times New Roman" w:hAnsi="Times New Roman"/>
                <w:b/>
                <w:sz w:val="20"/>
                <w:szCs w:val="20"/>
              </w:rPr>
              <w:t>Tüm Gelir Düzeyleri)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11.430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12.227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13.194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13.859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14.354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15.427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16.239</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17.045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81</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Peru</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13.339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13.170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13.261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14.271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14.779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15.347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16.148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16.868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82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Tayland</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14.591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15.122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15.690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15.611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15.157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16.152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15.988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16.764</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83</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 xml:space="preserve">Üst </w:t>
            </w:r>
            <w:r w:rsidR="003B20B8" w:rsidRPr="007A6F92">
              <w:rPr>
                <w:rFonts w:ascii="Times New Roman" w:hAnsi="Times New Roman"/>
                <w:b/>
                <w:sz w:val="20"/>
                <w:szCs w:val="20"/>
              </w:rPr>
              <w:t>Orta Gelir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10.479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11.345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12.389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13.119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13.620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14.614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15.483</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16.273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lastRenderedPageBreak/>
              <w:t>84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Özbekistan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10.945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11.462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12.237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12.976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13.665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14.443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15.260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16.079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85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Makedonya, EY</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15.499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15.775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16.053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15.861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15.327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15.540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15.818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15.882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86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Arnavutluk</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10.489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11.024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11.626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13.337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14.925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15.190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15.459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15.349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87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Çin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7.825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8.778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9.975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10.901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11.864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13.056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14.203</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15.250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88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Moldova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10.071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11.068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11.492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12.355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12.273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13.615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14.600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15.190</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89</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Arap Dünyası</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13.846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14.296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14.505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14.779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14.839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15.009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15.016</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15.042</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90</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Orta Doğu ve Kuzey Afrika (</w:t>
            </w:r>
            <w:r w:rsidR="003B20B8" w:rsidRPr="007A6F92">
              <w:rPr>
                <w:rFonts w:ascii="Times New Roman" w:hAnsi="Times New Roman"/>
                <w:b/>
                <w:sz w:val="20"/>
                <w:szCs w:val="20"/>
              </w:rPr>
              <w:t>Gelişmekte Sadece)</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13.056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13.683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14.123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14.512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14.828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15.121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15.021</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14.952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91</w:t>
            </w:r>
          </w:p>
        </w:tc>
        <w:tc>
          <w:tcPr>
            <w:tcW w:w="1478" w:type="pct"/>
            <w:shd w:val="clear" w:color="auto" w:fill="auto"/>
            <w:noWrap/>
            <w:vAlign w:val="bottom"/>
            <w:hideMark/>
          </w:tcPr>
          <w:p w:rsidR="008E2F91" w:rsidRPr="007A6F92" w:rsidRDefault="003B20B8" w:rsidP="007976A9">
            <w:pPr>
              <w:rPr>
                <w:rFonts w:ascii="Times New Roman" w:hAnsi="Times New Roman"/>
                <w:color w:val="000000"/>
                <w:sz w:val="20"/>
                <w:szCs w:val="20"/>
              </w:rPr>
            </w:pPr>
            <w:r w:rsidRPr="007A6F92">
              <w:rPr>
                <w:rFonts w:ascii="Times New Roman" w:hAnsi="Times New Roman"/>
                <w:color w:val="000000"/>
                <w:sz w:val="20"/>
                <w:szCs w:val="20"/>
              </w:rPr>
              <w:t>Ekvator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12.154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12.290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12.537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13.344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13.205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13.631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14.391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14.671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92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Güney Afrika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12.388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12.798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13.197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13.169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13.154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13.736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14.203</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14.659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93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Dominik Cumhuriyeti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11.440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11.964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12.682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12.972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13.168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13.974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14.326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14.633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94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Birleşik Arap Emirlikleri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22.928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21.402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19.420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17.678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14.924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13.874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14.113</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14.244</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95</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Doğu Asya ve Pasifik (</w:t>
            </w:r>
            <w:r w:rsidR="003B20B8" w:rsidRPr="007A6F92">
              <w:rPr>
                <w:rFonts w:ascii="Times New Roman" w:hAnsi="Times New Roman"/>
                <w:b/>
                <w:sz w:val="20"/>
                <w:szCs w:val="20"/>
              </w:rPr>
              <w:t>Sadece Gelişmekte</w:t>
            </w:r>
            <w:r w:rsidRPr="007A6F92">
              <w:rPr>
                <w:rFonts w:ascii="Times New Roman" w:hAnsi="Times New Roman"/>
                <w:b/>
                <w:sz w:val="20"/>
                <w:szCs w:val="20"/>
              </w:rPr>
              <w:t>)</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8.090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8.894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9.863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10.604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11.309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12.270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13.175</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14.037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96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Brezilya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12.087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12.298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12.877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13.103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12.965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13.495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13.592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13.557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97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Kuveyt</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12.377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12.956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13.414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13.588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12.100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12.029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12.734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13.271</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98</w:t>
            </w:r>
          </w:p>
        </w:tc>
        <w:tc>
          <w:tcPr>
            <w:tcW w:w="1478" w:type="pct"/>
            <w:shd w:val="clear" w:color="auto" w:fill="auto"/>
            <w:noWrap/>
            <w:vAlign w:val="bottom"/>
            <w:hideMark/>
          </w:tcPr>
          <w:p w:rsidR="008E2F91" w:rsidRPr="007A6F92" w:rsidRDefault="003B20B8" w:rsidP="007976A9">
            <w:pPr>
              <w:rPr>
                <w:rFonts w:ascii="Times New Roman" w:hAnsi="Times New Roman"/>
                <w:b/>
                <w:sz w:val="20"/>
                <w:szCs w:val="20"/>
              </w:rPr>
            </w:pPr>
            <w:r w:rsidRPr="007A6F92">
              <w:rPr>
                <w:rFonts w:ascii="Times New Roman" w:hAnsi="Times New Roman"/>
                <w:b/>
                <w:sz w:val="20"/>
                <w:szCs w:val="20"/>
              </w:rPr>
              <w:t>Orta G</w:t>
            </w:r>
            <w:r w:rsidR="008E2F91" w:rsidRPr="007A6F92">
              <w:rPr>
                <w:rFonts w:ascii="Times New Roman" w:hAnsi="Times New Roman"/>
                <w:b/>
                <w:sz w:val="20"/>
                <w:szCs w:val="20"/>
              </w:rPr>
              <w:t>elir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9.009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9.664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10.420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10.958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11.358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12.075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12.677</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13.224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99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Guatemala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13.114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13.328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13.664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13.611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13.195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13.096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13.199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13.212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Mısır, Arap Cum.</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10.972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11.709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11.975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12.502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12.757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13.079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13.057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13.051</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101</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 xml:space="preserve">Düşük ve </w:t>
            </w:r>
            <w:r w:rsidR="003B20B8" w:rsidRPr="007A6F92">
              <w:rPr>
                <w:rFonts w:ascii="Times New Roman" w:hAnsi="Times New Roman"/>
                <w:b/>
                <w:sz w:val="20"/>
                <w:szCs w:val="20"/>
              </w:rPr>
              <w:t>Orta Gelirli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8.300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8.892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9.570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10.047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10.400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11.035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11.574</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12.056</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Fas</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9.387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10.073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10.212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10.670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11.177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11.528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11.896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12.051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Romanya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9.746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10.442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11.061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11.872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11.315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11.348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11.544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11.584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Endonezya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9.140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9.491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9.642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9.960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10.186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10.474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11.002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11.461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Cezayir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11.068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11.035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11.094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11.128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11.159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11.225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11.285</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11.394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Türkmenistan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6.205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6.731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7.304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8.192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8.505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9.093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10.212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10.829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Ukrayna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8.925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9.558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10.231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10.433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9.237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9.585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10.170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10.552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Santa Lucia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9.800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10.648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10.624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10.912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10.647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10.478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10.495</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10.464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109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Sudan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9.711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10.590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11.594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11.599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11.859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11.808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10.949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9.438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110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Yemen Cum.</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11.493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11.353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11.236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11.161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11.120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11.501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9.940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9.413</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111</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 xml:space="preserve">Alt </w:t>
            </w:r>
            <w:r w:rsidR="003B20B8" w:rsidRPr="007A6F92">
              <w:rPr>
                <w:rFonts w:ascii="Times New Roman" w:hAnsi="Times New Roman"/>
                <w:b/>
                <w:sz w:val="20"/>
                <w:szCs w:val="20"/>
              </w:rPr>
              <w:t>Orta Gelir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7.092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7.474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7.865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8.167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8.462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8.843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9.138</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9.411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112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Jamaika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9.507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9.452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9.254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9.198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9.208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9.325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9.286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9.226</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113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Hindistan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6.285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6.720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7.170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7.517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8.018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8.515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8.875</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9.200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114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Filipinler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7.398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7.677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7.958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8.163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8.024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8.401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8.457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8.667</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115</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Güney Asya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6.185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6.536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6.941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7.235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7.628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8.038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8.359</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8.642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116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Pakistan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8.353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8.059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8.361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8.394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8.212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8.259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8.405</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8.483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117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Bolivya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7.256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7.404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7.529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7.783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7.838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7.956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8.181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8.403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118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Bahreyn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12.740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11.571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10.441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9.373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8.463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8.093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8.003</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7.921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119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Myanmar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4.599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4.966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5.456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5.870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6.301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6.765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7.335</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7.670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Kırgız Cumhuriyeti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6.096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6.228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6.581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7.032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7.131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6.883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7.216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7.175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121</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Irak</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6.049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6.205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6.081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6.442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6.390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6.335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6.688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7.150</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Tacikistan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4.299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4.529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4.851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5.175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5.259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5.568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6.352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6.638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Nijerya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4.981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5.141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5.354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5.515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5.743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6.025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6.299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6.567</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124</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 xml:space="preserve">Kırılgan ve </w:t>
            </w:r>
            <w:r w:rsidR="003B20B8" w:rsidRPr="007A6F92">
              <w:rPr>
                <w:rFonts w:ascii="Times New Roman" w:hAnsi="Times New Roman"/>
                <w:b/>
                <w:sz w:val="20"/>
                <w:szCs w:val="20"/>
              </w:rPr>
              <w:t>Çatışmadan Etkilenen Durumlar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5.439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5.692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6.002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6.195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6.437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6.554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6.481</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6.422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Vietnam</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4.801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5.054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5.332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5.516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5.654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5.877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6.061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6.272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Mozambik</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4.076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4.333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4.542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4.745</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4.927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5.157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5.390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5.632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Kamboçya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3.343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4.191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4.580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4.803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4.761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4.988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5.224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5.449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Gana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3.583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3.750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3.877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4.084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4.127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4.333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4.838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5.111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129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Bangladeş</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3.164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3.300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3.436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3.569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3.707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3.841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4.004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4.146</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130</w:t>
            </w:r>
          </w:p>
        </w:tc>
        <w:tc>
          <w:tcPr>
            <w:tcW w:w="1478" w:type="pct"/>
            <w:shd w:val="clear" w:color="auto" w:fill="auto"/>
            <w:noWrap/>
            <w:vAlign w:val="bottom"/>
            <w:hideMark/>
          </w:tcPr>
          <w:p w:rsidR="008E2F91" w:rsidRPr="007A6F92" w:rsidRDefault="008E2F91" w:rsidP="003B20B8">
            <w:pPr>
              <w:rPr>
                <w:rFonts w:ascii="Times New Roman" w:hAnsi="Times New Roman"/>
                <w:b/>
                <w:sz w:val="20"/>
                <w:szCs w:val="20"/>
              </w:rPr>
            </w:pPr>
            <w:r w:rsidRPr="007A6F92">
              <w:rPr>
                <w:rFonts w:ascii="Times New Roman" w:hAnsi="Times New Roman"/>
                <w:b/>
                <w:sz w:val="20"/>
                <w:szCs w:val="20"/>
              </w:rPr>
              <w:t>Sahra-</w:t>
            </w:r>
            <w:r w:rsidR="003B20B8" w:rsidRPr="007A6F92">
              <w:rPr>
                <w:rFonts w:ascii="Times New Roman" w:hAnsi="Times New Roman"/>
                <w:b/>
                <w:sz w:val="20"/>
                <w:szCs w:val="20"/>
              </w:rPr>
              <w:t>A</w:t>
            </w:r>
            <w:r w:rsidRPr="007A6F92">
              <w:rPr>
                <w:rFonts w:ascii="Times New Roman" w:hAnsi="Times New Roman"/>
                <w:b/>
                <w:sz w:val="20"/>
                <w:szCs w:val="20"/>
              </w:rPr>
              <w:t>ltı Afrika (</w:t>
            </w:r>
            <w:r w:rsidR="003B20B8" w:rsidRPr="007A6F92">
              <w:rPr>
                <w:rFonts w:ascii="Times New Roman" w:hAnsi="Times New Roman"/>
                <w:b/>
                <w:sz w:val="20"/>
                <w:szCs w:val="20"/>
              </w:rPr>
              <w:t>Sadece Gelişmekte)</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3.538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3.680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3.760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3.805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3.903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3.978</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4.035</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131</w:t>
            </w:r>
          </w:p>
        </w:tc>
        <w:tc>
          <w:tcPr>
            <w:tcW w:w="1478" w:type="pct"/>
            <w:shd w:val="clear" w:color="auto" w:fill="auto"/>
            <w:noWrap/>
            <w:vAlign w:val="bottom"/>
            <w:hideMark/>
          </w:tcPr>
          <w:p w:rsidR="008E2F91" w:rsidRPr="007A6F92" w:rsidRDefault="003B20B8" w:rsidP="007976A9">
            <w:pPr>
              <w:rPr>
                <w:rFonts w:ascii="Times New Roman" w:hAnsi="Times New Roman"/>
                <w:b/>
                <w:sz w:val="20"/>
                <w:szCs w:val="20"/>
              </w:rPr>
            </w:pPr>
            <w:r w:rsidRPr="007A6F92">
              <w:rPr>
                <w:rFonts w:ascii="Times New Roman" w:hAnsi="Times New Roman"/>
                <w:b/>
                <w:sz w:val="20"/>
                <w:szCs w:val="20"/>
              </w:rPr>
              <w:t>Sahra-A</w:t>
            </w:r>
            <w:r w:rsidR="008E2F91" w:rsidRPr="007A6F92">
              <w:rPr>
                <w:rFonts w:ascii="Times New Roman" w:hAnsi="Times New Roman"/>
                <w:b/>
                <w:sz w:val="20"/>
                <w:szCs w:val="20"/>
              </w:rPr>
              <w:t>ltı Afrika (</w:t>
            </w:r>
            <w:r w:rsidRPr="007A6F92">
              <w:rPr>
                <w:rFonts w:ascii="Times New Roman" w:hAnsi="Times New Roman"/>
                <w:b/>
                <w:sz w:val="20"/>
                <w:szCs w:val="20"/>
              </w:rPr>
              <w:t>Tüm Gelir Düzeyleri)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3.538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3.680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3.760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3.805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3.903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3.978</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4.035</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132</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 xml:space="preserve">Az </w:t>
            </w:r>
            <w:r w:rsidR="003B20B8" w:rsidRPr="007A6F92">
              <w:rPr>
                <w:rFonts w:ascii="Times New Roman" w:hAnsi="Times New Roman"/>
                <w:b/>
                <w:sz w:val="20"/>
                <w:szCs w:val="20"/>
              </w:rPr>
              <w:t>Gelişmiş Ülkeler</w:t>
            </w:r>
            <w:r w:rsidRPr="007A6F92">
              <w:rPr>
                <w:rFonts w:ascii="Times New Roman" w:hAnsi="Times New Roman"/>
                <w:b/>
                <w:sz w:val="20"/>
                <w:szCs w:val="20"/>
              </w:rPr>
              <w:t xml:space="preserve">: BM </w:t>
            </w:r>
            <w:r w:rsidR="003B20B8" w:rsidRPr="007A6F92">
              <w:rPr>
                <w:rFonts w:ascii="Times New Roman" w:hAnsi="Times New Roman"/>
                <w:b/>
                <w:sz w:val="20"/>
                <w:szCs w:val="20"/>
              </w:rPr>
              <w:t>S</w:t>
            </w:r>
            <w:r w:rsidRPr="007A6F92">
              <w:rPr>
                <w:rFonts w:ascii="Times New Roman" w:hAnsi="Times New Roman"/>
                <w:b/>
                <w:sz w:val="20"/>
                <w:szCs w:val="20"/>
              </w:rPr>
              <w:t>ınıflandırması</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2.927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3.105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3.288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3.421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3.533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3.654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3.724</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3.761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133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Senegal</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3.697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3.671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3.736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3.757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3.719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3.755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3.738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3.761</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134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Angora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2.205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2.589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3.093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3.417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3.371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3.356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3.367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3.473</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135</w:t>
            </w:r>
          </w:p>
        </w:tc>
        <w:tc>
          <w:tcPr>
            <w:tcW w:w="1478" w:type="pct"/>
            <w:shd w:val="clear" w:color="auto" w:fill="auto"/>
            <w:noWrap/>
            <w:vAlign w:val="bottom"/>
            <w:hideMark/>
          </w:tcPr>
          <w:p w:rsidR="008E2F91" w:rsidRPr="007A6F92" w:rsidRDefault="003B20B8" w:rsidP="007976A9">
            <w:pPr>
              <w:rPr>
                <w:rFonts w:ascii="Times New Roman" w:hAnsi="Times New Roman"/>
                <w:b/>
                <w:sz w:val="20"/>
                <w:szCs w:val="20"/>
              </w:rPr>
            </w:pPr>
            <w:r w:rsidRPr="007A6F92">
              <w:rPr>
                <w:rFonts w:ascii="Times New Roman" w:hAnsi="Times New Roman"/>
                <w:b/>
                <w:sz w:val="20"/>
                <w:szCs w:val="20"/>
              </w:rPr>
              <w:t>Düşük G</w:t>
            </w:r>
            <w:r w:rsidR="008E2F91" w:rsidRPr="007A6F92">
              <w:rPr>
                <w:rFonts w:ascii="Times New Roman" w:hAnsi="Times New Roman"/>
                <w:b/>
                <w:sz w:val="20"/>
                <w:szCs w:val="20"/>
              </w:rPr>
              <w:t>elir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2.534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2.682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2.827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2.947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3.052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3.325</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3.426</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136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Mali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3.199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3.252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3.271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3.318</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3.348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3.422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3.415</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3.165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137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Fildişi Sahili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3.237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3.201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3.184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3.191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3.232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3.231</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2.997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3.155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lastRenderedPageBreak/>
              <w:t>138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Kenya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2.804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2.890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2.997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2.950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2.939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3.014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3.062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3.134</w:t>
            </w:r>
          </w:p>
        </w:tc>
      </w:tr>
      <w:tr w:rsidR="00FB735F" w:rsidRPr="00C24DB0" w:rsidTr="00FB735F">
        <w:trPr>
          <w:trHeight w:val="170"/>
        </w:trPr>
        <w:tc>
          <w:tcPr>
            <w:tcW w:w="260" w:type="pct"/>
            <w:shd w:val="clear" w:color="auto" w:fill="auto"/>
            <w:noWrap/>
            <w:vAlign w:val="center"/>
            <w:hideMark/>
          </w:tcPr>
          <w:p w:rsidR="008E2F91" w:rsidRPr="007A6F92" w:rsidRDefault="008E2F91" w:rsidP="007976A9">
            <w:pPr>
              <w:jc w:val="center"/>
              <w:rPr>
                <w:rFonts w:ascii="Times New Roman" w:hAnsi="Times New Roman"/>
                <w:b/>
                <w:sz w:val="20"/>
                <w:szCs w:val="20"/>
              </w:rPr>
            </w:pPr>
            <w:r w:rsidRPr="007A6F92">
              <w:rPr>
                <w:rFonts w:ascii="Times New Roman" w:hAnsi="Times New Roman"/>
                <w:b/>
                <w:sz w:val="20"/>
                <w:szCs w:val="20"/>
              </w:rPr>
              <w:t>139</w:t>
            </w:r>
          </w:p>
        </w:tc>
        <w:tc>
          <w:tcPr>
            <w:tcW w:w="1478" w:type="pct"/>
            <w:shd w:val="clear" w:color="auto" w:fill="auto"/>
            <w:noWrap/>
            <w:vAlign w:val="bottom"/>
            <w:hideMark/>
          </w:tcPr>
          <w:p w:rsidR="008E2F91" w:rsidRPr="007A6F92" w:rsidRDefault="008E2F91" w:rsidP="007976A9">
            <w:pPr>
              <w:rPr>
                <w:rFonts w:ascii="Times New Roman" w:hAnsi="Times New Roman"/>
                <w:b/>
                <w:sz w:val="20"/>
                <w:szCs w:val="20"/>
              </w:rPr>
            </w:pPr>
            <w:r w:rsidRPr="007A6F92">
              <w:rPr>
                <w:rFonts w:ascii="Times New Roman" w:hAnsi="Times New Roman"/>
                <w:b/>
                <w:sz w:val="20"/>
                <w:szCs w:val="20"/>
              </w:rPr>
              <w:t xml:space="preserve">Ağır </w:t>
            </w:r>
            <w:r w:rsidR="003B20B8" w:rsidRPr="007A6F92">
              <w:rPr>
                <w:rFonts w:ascii="Times New Roman" w:hAnsi="Times New Roman"/>
                <w:b/>
                <w:sz w:val="20"/>
                <w:szCs w:val="20"/>
              </w:rPr>
              <w:t xml:space="preserve">Borçlu Fakir Ülkeler </w:t>
            </w:r>
            <w:r w:rsidRPr="007A6F92">
              <w:rPr>
                <w:rFonts w:ascii="Times New Roman" w:hAnsi="Times New Roman"/>
                <w:b/>
                <w:sz w:val="20"/>
                <w:szCs w:val="20"/>
              </w:rPr>
              <w:t>(HIPC)</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2.473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2.592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2.715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2.802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2.860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2.926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2.946</w:t>
            </w:r>
          </w:p>
        </w:tc>
        <w:tc>
          <w:tcPr>
            <w:tcW w:w="445" w:type="pct"/>
            <w:shd w:val="clear" w:color="auto" w:fill="auto"/>
            <w:noWrap/>
            <w:vAlign w:val="center"/>
            <w:hideMark/>
          </w:tcPr>
          <w:p w:rsidR="008E2F91" w:rsidRPr="00FB735F" w:rsidRDefault="008E2F91" w:rsidP="00D91E56">
            <w:pPr>
              <w:rPr>
                <w:rFonts w:ascii="Times New Roman" w:hAnsi="Times New Roman"/>
                <w:sz w:val="16"/>
                <w:szCs w:val="16"/>
              </w:rPr>
            </w:pPr>
            <w:r w:rsidRPr="00FB735F">
              <w:rPr>
                <w:rFonts w:ascii="Times New Roman" w:hAnsi="Times New Roman"/>
                <w:sz w:val="16"/>
                <w:szCs w:val="16"/>
              </w:rPr>
              <w:t>2.937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Uganda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2.313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2.457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2.583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2.697</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2.793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2.867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2.898</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2.906</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141</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Kamerun</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2.772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2.800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2.791</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2.768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2.772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2.820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2.882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142</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Burkina Faso</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2.397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2.467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2.488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2.550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2.543</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2.657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2.674</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2.765</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143</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Etiyopya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1.427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1.543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1.671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1.799</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1.920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2.009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2.096</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2.173</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144</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Zambiya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1.610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1.674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1.737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1.790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1.858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1.975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2.041</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2.109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145</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Tanzanya</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1.346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1.396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1.456</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1.523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1.570</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1.635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1.690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1.747</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146</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Malawi</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1.397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1.378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1.474</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1.533</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1.621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1.675</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1.695</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1.714</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147</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Nijer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1.450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1.483</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1.477</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1.560</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1.492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1.554</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1.532</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1.689</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148</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Madagaskar</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1.426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1.449</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1.488</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1.542</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1.429</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1.388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1.367</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1.348</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149</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Zimbabve</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1.517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1.468</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1.415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1.156</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1.222</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1.320</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1.359</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1.332</w:t>
            </w:r>
          </w:p>
        </w:tc>
      </w:tr>
      <w:tr w:rsidR="00FB735F" w:rsidRPr="00C24DB0" w:rsidTr="00FB735F">
        <w:trPr>
          <w:trHeight w:val="170"/>
        </w:trPr>
        <w:tc>
          <w:tcPr>
            <w:tcW w:w="260" w:type="pct"/>
            <w:shd w:val="clear" w:color="auto" w:fill="auto"/>
            <w:noWrap/>
            <w:vAlign w:val="center"/>
            <w:hideMark/>
          </w:tcPr>
          <w:p w:rsidR="008E2F91" w:rsidRPr="00D91E56" w:rsidRDefault="008E2F91" w:rsidP="007976A9">
            <w:pPr>
              <w:jc w:val="center"/>
              <w:rPr>
                <w:rFonts w:ascii="Times New Roman" w:hAnsi="Times New Roman"/>
                <w:sz w:val="20"/>
                <w:szCs w:val="20"/>
              </w:rPr>
            </w:pPr>
            <w:r w:rsidRPr="00D91E56">
              <w:rPr>
                <w:rFonts w:ascii="Times New Roman" w:hAnsi="Times New Roman"/>
                <w:sz w:val="20"/>
                <w:szCs w:val="20"/>
              </w:rPr>
              <w:t>150</w:t>
            </w:r>
          </w:p>
        </w:tc>
        <w:tc>
          <w:tcPr>
            <w:tcW w:w="1478" w:type="pct"/>
            <w:shd w:val="clear" w:color="auto" w:fill="auto"/>
            <w:noWrap/>
            <w:vAlign w:val="bottom"/>
            <w:hideMark/>
          </w:tcPr>
          <w:p w:rsidR="008E2F91" w:rsidRPr="007A6F92" w:rsidRDefault="008E2F91" w:rsidP="007976A9">
            <w:pPr>
              <w:rPr>
                <w:rFonts w:ascii="Times New Roman" w:hAnsi="Times New Roman"/>
                <w:color w:val="000000"/>
                <w:sz w:val="20"/>
                <w:szCs w:val="20"/>
              </w:rPr>
            </w:pPr>
            <w:r w:rsidRPr="007A6F92">
              <w:rPr>
                <w:rFonts w:ascii="Times New Roman" w:hAnsi="Times New Roman"/>
                <w:color w:val="000000"/>
                <w:sz w:val="20"/>
                <w:szCs w:val="20"/>
              </w:rPr>
              <w:t>Kongo, Dem. Cum.</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642</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656</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675</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694</w:t>
            </w:r>
          </w:p>
        </w:tc>
        <w:tc>
          <w:tcPr>
            <w:tcW w:w="445"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691</w:t>
            </w:r>
          </w:p>
        </w:tc>
        <w:tc>
          <w:tcPr>
            <w:tcW w:w="444"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717</w:t>
            </w:r>
          </w:p>
        </w:tc>
        <w:tc>
          <w:tcPr>
            <w:tcW w:w="371" w:type="pct"/>
            <w:shd w:val="clear" w:color="auto" w:fill="auto"/>
            <w:noWrap/>
            <w:vAlign w:val="center"/>
            <w:hideMark/>
          </w:tcPr>
          <w:p w:rsidR="008E2F91" w:rsidRPr="00FB735F" w:rsidRDefault="008E2F91" w:rsidP="00FB735F">
            <w:pPr>
              <w:rPr>
                <w:rFonts w:ascii="Times New Roman" w:hAnsi="Times New Roman"/>
                <w:color w:val="000000"/>
                <w:sz w:val="16"/>
                <w:szCs w:val="16"/>
              </w:rPr>
            </w:pPr>
            <w:r w:rsidRPr="00FB735F">
              <w:rPr>
                <w:rFonts w:ascii="Times New Roman" w:hAnsi="Times New Roman"/>
                <w:color w:val="000000"/>
                <w:sz w:val="16"/>
                <w:szCs w:val="16"/>
              </w:rPr>
              <w:t>740</w:t>
            </w:r>
          </w:p>
        </w:tc>
        <w:tc>
          <w:tcPr>
            <w:tcW w:w="445" w:type="pct"/>
            <w:shd w:val="clear" w:color="auto" w:fill="auto"/>
            <w:noWrap/>
            <w:vAlign w:val="center"/>
            <w:hideMark/>
          </w:tcPr>
          <w:p w:rsidR="008E2F91" w:rsidRPr="00FB735F" w:rsidRDefault="008E2F91" w:rsidP="00D91E56">
            <w:pPr>
              <w:rPr>
                <w:rFonts w:ascii="Times New Roman" w:hAnsi="Times New Roman"/>
                <w:color w:val="000000"/>
                <w:sz w:val="16"/>
                <w:szCs w:val="16"/>
              </w:rPr>
            </w:pPr>
            <w:r w:rsidRPr="00FB735F">
              <w:rPr>
                <w:rFonts w:ascii="Times New Roman" w:hAnsi="Times New Roman"/>
                <w:color w:val="000000"/>
                <w:sz w:val="16"/>
                <w:szCs w:val="16"/>
              </w:rPr>
              <w:t>766</w:t>
            </w:r>
          </w:p>
        </w:tc>
      </w:tr>
    </w:tbl>
    <w:p w:rsidR="003A547C" w:rsidRPr="003B20B8" w:rsidRDefault="00EE19FF" w:rsidP="003B20B8">
      <w:pPr>
        <w:spacing w:before="120" w:after="120"/>
        <w:jc w:val="both"/>
        <w:rPr>
          <w:rFonts w:ascii="Times New Roman" w:hAnsi="Times New Roman"/>
          <w:i/>
          <w:sz w:val="22"/>
          <w:szCs w:val="22"/>
        </w:rPr>
      </w:pPr>
      <w:r w:rsidRPr="003B20B8">
        <w:rPr>
          <w:rFonts w:ascii="Times New Roman" w:hAnsi="Times New Roman"/>
          <w:b/>
          <w:i/>
          <w:sz w:val="22"/>
          <w:szCs w:val="22"/>
        </w:rPr>
        <w:t>Kaynak:</w:t>
      </w:r>
      <w:r w:rsidRPr="003B20B8">
        <w:rPr>
          <w:rFonts w:ascii="Times New Roman" w:hAnsi="Times New Roman"/>
          <w:i/>
          <w:sz w:val="22"/>
          <w:szCs w:val="22"/>
        </w:rPr>
        <w:t xml:space="preserve"> Dünya Bankası Ekonomi ve Büyüme Göstergeleri</w:t>
      </w:r>
      <w:r w:rsidR="003B20B8" w:rsidRPr="003B20B8">
        <w:rPr>
          <w:rFonts w:ascii="Times New Roman" w:hAnsi="Times New Roman"/>
          <w:i/>
          <w:sz w:val="22"/>
          <w:szCs w:val="22"/>
        </w:rPr>
        <w:t xml:space="preserve"> (World Bank Web Sitesi, 2015).</w:t>
      </w:r>
    </w:p>
    <w:p w:rsidR="003A547C" w:rsidRPr="00C24DB0" w:rsidRDefault="003A547C" w:rsidP="007976A9">
      <w:pPr>
        <w:spacing w:before="240" w:after="240"/>
        <w:jc w:val="both"/>
        <w:rPr>
          <w:rFonts w:ascii="Times New Roman" w:hAnsi="Times New Roman"/>
        </w:rPr>
      </w:pPr>
      <w:r w:rsidRPr="00C24DB0">
        <w:rPr>
          <w:rFonts w:ascii="Times New Roman" w:hAnsi="Times New Roman"/>
        </w:rPr>
        <w:t>121 ülkenin</w:t>
      </w:r>
      <w:r w:rsidR="00D5064B" w:rsidRPr="00C24DB0">
        <w:rPr>
          <w:rFonts w:ascii="Times New Roman" w:hAnsi="Times New Roman"/>
        </w:rPr>
        <w:t xml:space="preserve"> 2012 </w:t>
      </w:r>
      <w:r w:rsidR="00D91658" w:rsidRPr="00C24DB0">
        <w:rPr>
          <w:rFonts w:ascii="Times New Roman" w:hAnsi="Times New Roman"/>
        </w:rPr>
        <w:t>yılı işgücü</w:t>
      </w:r>
      <w:r w:rsidRPr="00C24DB0">
        <w:rPr>
          <w:rFonts w:ascii="Times New Roman" w:hAnsi="Times New Roman"/>
        </w:rPr>
        <w:t xml:space="preserve"> verimliliği düzey</w:t>
      </w:r>
      <w:r w:rsidR="00D5064B" w:rsidRPr="00C24DB0">
        <w:rPr>
          <w:rFonts w:ascii="Times New Roman" w:hAnsi="Times New Roman"/>
        </w:rPr>
        <w:t>ler</w:t>
      </w:r>
      <w:r w:rsidRPr="00C24DB0">
        <w:rPr>
          <w:rFonts w:ascii="Times New Roman" w:hAnsi="Times New Roman"/>
        </w:rPr>
        <w:t xml:space="preserve">i üzerinden yapılan analize göre  </w:t>
      </w:r>
      <w:r w:rsidR="005D5603" w:rsidRPr="00C24DB0">
        <w:rPr>
          <w:rFonts w:ascii="Times New Roman" w:hAnsi="Times New Roman"/>
        </w:rPr>
        <w:fldChar w:fldCharType="begin"/>
      </w:r>
      <w:r w:rsidR="005D5603" w:rsidRPr="00C24DB0">
        <w:rPr>
          <w:rFonts w:ascii="Times New Roman" w:hAnsi="Times New Roman"/>
        </w:rPr>
        <w:instrText xml:space="preserve"> REF _Ref416443558 \h  \* MERGEFORMAT </w:instrText>
      </w:r>
      <w:r w:rsidR="005D5603" w:rsidRPr="00C24DB0">
        <w:rPr>
          <w:rFonts w:ascii="Times New Roman" w:hAnsi="Times New Roman"/>
        </w:rPr>
      </w:r>
      <w:r w:rsidR="005D5603" w:rsidRPr="00C24DB0">
        <w:rPr>
          <w:rFonts w:ascii="Times New Roman" w:hAnsi="Times New Roman"/>
        </w:rPr>
        <w:fldChar w:fldCharType="separate"/>
      </w:r>
      <w:r w:rsidR="001C5482" w:rsidRPr="00C24DB0">
        <w:rPr>
          <w:rFonts w:ascii="Times New Roman" w:hAnsi="Times New Roman"/>
        </w:rPr>
        <w:t>Şekil 4</w:t>
      </w:r>
      <w:r w:rsidR="005D5603" w:rsidRPr="00C24DB0">
        <w:rPr>
          <w:rFonts w:ascii="Times New Roman" w:hAnsi="Times New Roman"/>
        </w:rPr>
        <w:fldChar w:fldCharType="end"/>
      </w:r>
      <w:r w:rsidR="00D5064B" w:rsidRPr="00C24DB0">
        <w:rPr>
          <w:rFonts w:ascii="Times New Roman" w:hAnsi="Times New Roman"/>
        </w:rPr>
        <w:t xml:space="preserve"> oluşturulmuştur.</w:t>
      </w:r>
      <w:r w:rsidRPr="00C24DB0">
        <w:rPr>
          <w:rFonts w:ascii="Times New Roman" w:hAnsi="Times New Roman"/>
        </w:rPr>
        <w:t xml:space="preserve"> Türkiye 28.490 dolarlık işgücü verimliliği düzeyi ile 43. sırada bulunmaktadır. Bu sıralamada 68.374 dolarlık verimlilik düzeyi ile ABD başı çekmektedir. Kongo demokratik cumhuriyeti ise 766 dolarlık verimlilik düzeyi ile son sırada yer almaktadır. Bu sıralamada Dünya ortal</w:t>
      </w:r>
      <w:r w:rsidR="00942B5E" w:rsidRPr="00C24DB0">
        <w:rPr>
          <w:rFonts w:ascii="Times New Roman" w:hAnsi="Times New Roman"/>
        </w:rPr>
        <w:t>aması 18.948 dolardır. Sonuncu ü</w:t>
      </w:r>
      <w:r w:rsidRPr="00C24DB0">
        <w:rPr>
          <w:rFonts w:ascii="Times New Roman" w:hAnsi="Times New Roman"/>
        </w:rPr>
        <w:t>lke olan Kongo dünya ortalamasından yaklaşık 25 kat daha düşük bir verimlilik düzeyine sahiptir. Birinci sıradaki ABD’nin ise dünya ortalamasından yaklaşık 4 kat daha yüksek olduğu görülmektedir.</w:t>
      </w:r>
    </w:p>
    <w:p w:rsidR="002A7F79" w:rsidRPr="00C24DB0" w:rsidRDefault="002A7F79" w:rsidP="007976A9">
      <w:pPr>
        <w:jc w:val="both"/>
        <w:rPr>
          <w:rFonts w:ascii="Times New Roman" w:hAnsi="Times New Roman"/>
          <w:i/>
        </w:rPr>
      </w:pPr>
    </w:p>
    <w:p w:rsidR="00124727" w:rsidRPr="00C24DB0" w:rsidRDefault="00CA03BF" w:rsidP="007976A9">
      <w:pPr>
        <w:spacing w:after="240"/>
        <w:rPr>
          <w:rFonts w:ascii="Times New Roman" w:hAnsi="Times New Roman"/>
        </w:rPr>
      </w:pPr>
      <w:r w:rsidRPr="00C24DB0">
        <w:rPr>
          <w:rFonts w:ascii="Times New Roman" w:hAnsi="Times New Roman"/>
          <w:noProof/>
        </w:rPr>
        <w:drawing>
          <wp:inline distT="0" distB="0" distL="0" distR="0" wp14:anchorId="3698F0F9" wp14:editId="24614D43">
            <wp:extent cx="5579745" cy="3643630"/>
            <wp:effectExtent l="0" t="0" r="1905" b="1397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0C8B" w:rsidRPr="00C24DB0" w:rsidRDefault="00BB179E" w:rsidP="00D91658">
      <w:pPr>
        <w:pStyle w:val="ResimYazs"/>
        <w:spacing w:before="120" w:after="120"/>
        <w:jc w:val="center"/>
        <w:rPr>
          <w:rFonts w:ascii="Times New Roman" w:hAnsi="Times New Roman"/>
          <w:sz w:val="24"/>
          <w:szCs w:val="24"/>
        </w:rPr>
      </w:pPr>
      <w:bookmarkStart w:id="8" w:name="_Ref416443558"/>
      <w:r w:rsidRPr="00C24DB0">
        <w:rPr>
          <w:rFonts w:ascii="Times New Roman" w:hAnsi="Times New Roman"/>
          <w:sz w:val="24"/>
          <w:szCs w:val="24"/>
        </w:rPr>
        <w:t xml:space="preserve">Şekil </w:t>
      </w:r>
      <w:r w:rsidR="005D5603" w:rsidRPr="00C24DB0">
        <w:rPr>
          <w:rFonts w:ascii="Times New Roman" w:hAnsi="Times New Roman"/>
          <w:sz w:val="24"/>
          <w:szCs w:val="24"/>
        </w:rPr>
        <w:fldChar w:fldCharType="begin"/>
      </w:r>
      <w:r w:rsidR="005D5603" w:rsidRPr="00C24DB0">
        <w:rPr>
          <w:rFonts w:ascii="Times New Roman" w:hAnsi="Times New Roman"/>
          <w:sz w:val="24"/>
          <w:szCs w:val="24"/>
        </w:rPr>
        <w:instrText xml:space="preserve"> SEQ Şekil \* ARABIC </w:instrText>
      </w:r>
      <w:r w:rsidR="005D5603" w:rsidRPr="00C24DB0">
        <w:rPr>
          <w:rFonts w:ascii="Times New Roman" w:hAnsi="Times New Roman"/>
          <w:sz w:val="24"/>
          <w:szCs w:val="24"/>
        </w:rPr>
        <w:fldChar w:fldCharType="separate"/>
      </w:r>
      <w:r w:rsidR="001C5482" w:rsidRPr="00C24DB0">
        <w:rPr>
          <w:rFonts w:ascii="Times New Roman" w:hAnsi="Times New Roman"/>
          <w:noProof/>
          <w:sz w:val="24"/>
          <w:szCs w:val="24"/>
        </w:rPr>
        <w:t>4</w:t>
      </w:r>
      <w:r w:rsidR="005D5603" w:rsidRPr="00C24DB0">
        <w:rPr>
          <w:rFonts w:ascii="Times New Roman" w:hAnsi="Times New Roman"/>
          <w:noProof/>
          <w:sz w:val="24"/>
          <w:szCs w:val="24"/>
        </w:rPr>
        <w:fldChar w:fldCharType="end"/>
      </w:r>
      <w:bookmarkEnd w:id="8"/>
      <w:r w:rsidR="00D91658">
        <w:rPr>
          <w:rFonts w:ascii="Times New Roman" w:hAnsi="Times New Roman"/>
          <w:sz w:val="24"/>
          <w:szCs w:val="24"/>
        </w:rPr>
        <w:t>. 2012 Y</w:t>
      </w:r>
      <w:r w:rsidRPr="00C24DB0">
        <w:rPr>
          <w:rFonts w:ascii="Times New Roman" w:hAnsi="Times New Roman"/>
          <w:sz w:val="24"/>
          <w:szCs w:val="24"/>
        </w:rPr>
        <w:t xml:space="preserve">ılında </w:t>
      </w:r>
      <w:r w:rsidR="00D91658">
        <w:rPr>
          <w:rFonts w:ascii="Times New Roman" w:hAnsi="Times New Roman"/>
          <w:sz w:val="24"/>
          <w:szCs w:val="24"/>
        </w:rPr>
        <w:t>Dünya</w:t>
      </w:r>
      <w:r w:rsidRPr="00C24DB0">
        <w:rPr>
          <w:rFonts w:ascii="Times New Roman" w:hAnsi="Times New Roman"/>
          <w:sz w:val="24"/>
          <w:szCs w:val="24"/>
        </w:rPr>
        <w:t>da ve Türkiye’de İşgücü Verimlilik Düzeyi (İstihdam Edilen Kişi Başına GSYİH –</w:t>
      </w:r>
      <w:r w:rsidR="00D91658" w:rsidRPr="00C24DB0">
        <w:rPr>
          <w:rFonts w:ascii="Times New Roman" w:hAnsi="Times New Roman"/>
          <w:sz w:val="24"/>
          <w:szCs w:val="24"/>
        </w:rPr>
        <w:t>Sabit 1990 Satın Alma Gücü Paritesi</w:t>
      </w:r>
      <w:r w:rsidR="00D91658">
        <w:rPr>
          <w:rFonts w:ascii="Times New Roman" w:hAnsi="Times New Roman"/>
          <w:sz w:val="24"/>
          <w:szCs w:val="24"/>
        </w:rPr>
        <w:t xml:space="preserve"> </w:t>
      </w:r>
      <w:r w:rsidRPr="00C24DB0">
        <w:rPr>
          <w:rFonts w:ascii="Times New Roman" w:hAnsi="Times New Roman"/>
          <w:sz w:val="24"/>
          <w:szCs w:val="24"/>
        </w:rPr>
        <w:t>$)</w:t>
      </w:r>
    </w:p>
    <w:p w:rsidR="005D5420" w:rsidRPr="00D91658" w:rsidRDefault="005D5420" w:rsidP="00D91658">
      <w:pPr>
        <w:spacing w:before="120" w:after="120"/>
        <w:jc w:val="both"/>
        <w:rPr>
          <w:rFonts w:ascii="Times New Roman" w:hAnsi="Times New Roman"/>
          <w:i/>
          <w:sz w:val="22"/>
          <w:szCs w:val="22"/>
        </w:rPr>
      </w:pPr>
      <w:r w:rsidRPr="00D91658">
        <w:rPr>
          <w:rFonts w:ascii="Times New Roman" w:hAnsi="Times New Roman"/>
          <w:b/>
          <w:i/>
          <w:sz w:val="22"/>
          <w:szCs w:val="22"/>
        </w:rPr>
        <w:t>Kaynak:</w:t>
      </w:r>
      <w:r w:rsidRPr="00D91658">
        <w:rPr>
          <w:rFonts w:ascii="Times New Roman" w:hAnsi="Times New Roman"/>
          <w:i/>
          <w:sz w:val="22"/>
          <w:szCs w:val="22"/>
        </w:rPr>
        <w:t xml:space="preserve"> Dünya Bankası Ekonomi ve Büyüme Göstergeleri kullanılarak </w:t>
      </w:r>
      <w:r w:rsidR="001B4D92">
        <w:rPr>
          <w:rFonts w:ascii="Times New Roman" w:hAnsi="Times New Roman"/>
          <w:i/>
          <w:sz w:val="22"/>
          <w:szCs w:val="22"/>
        </w:rPr>
        <w:t>oluşturulmuştur</w:t>
      </w:r>
      <w:r w:rsidRPr="00D91658">
        <w:rPr>
          <w:rFonts w:ascii="Times New Roman" w:hAnsi="Times New Roman"/>
          <w:i/>
          <w:sz w:val="22"/>
          <w:szCs w:val="22"/>
        </w:rPr>
        <w:t>.</w:t>
      </w:r>
    </w:p>
    <w:p w:rsidR="005D5420" w:rsidRPr="00C24DB0" w:rsidRDefault="005D5420" w:rsidP="007976A9">
      <w:pPr>
        <w:rPr>
          <w:rFonts w:ascii="Times New Roman" w:hAnsi="Times New Roman"/>
        </w:rPr>
      </w:pPr>
    </w:p>
    <w:p w:rsidR="00E53DAC" w:rsidRPr="00C24DB0" w:rsidRDefault="0019007B" w:rsidP="007976A9">
      <w:pPr>
        <w:spacing w:after="240"/>
        <w:jc w:val="both"/>
        <w:rPr>
          <w:rFonts w:ascii="Times New Roman" w:hAnsi="Times New Roman"/>
        </w:rPr>
      </w:pPr>
      <w:r>
        <w:rPr>
          <w:rFonts w:ascii="Times New Roman" w:hAnsi="Times New Roman"/>
        </w:rPr>
        <w:lastRenderedPageBreak/>
        <w:t>Önceki analizlerde Türkiye ve d</w:t>
      </w:r>
      <w:r w:rsidR="00E53DAC" w:rsidRPr="00C24DB0">
        <w:rPr>
          <w:rFonts w:ascii="Times New Roman" w:hAnsi="Times New Roman"/>
        </w:rPr>
        <w:t xml:space="preserve">ünya ülkelerindeki verimlilik düzeyleri ve değişim oranları incelenmiştir. Bu incelemelerin sonucu olarak ülkelerin kendi içlerinde bir sıralamasını yapmak ve </w:t>
      </w:r>
      <w:r w:rsidR="00961336">
        <w:rPr>
          <w:rFonts w:ascii="Times New Roman" w:hAnsi="Times New Roman"/>
        </w:rPr>
        <w:t>Türkiye’nin</w:t>
      </w:r>
      <w:r w:rsidR="00E53DAC" w:rsidRPr="00C24DB0">
        <w:rPr>
          <w:rFonts w:ascii="Times New Roman" w:hAnsi="Times New Roman"/>
        </w:rPr>
        <w:t xml:space="preserve"> bu sıralama içerisindeki yerini görmek yararlı olacaktır. </w:t>
      </w:r>
    </w:p>
    <w:p w:rsidR="00E53DAC" w:rsidRPr="00C24DB0" w:rsidRDefault="00E53DAC" w:rsidP="007976A9">
      <w:pPr>
        <w:spacing w:after="240"/>
        <w:jc w:val="both"/>
        <w:rPr>
          <w:rFonts w:ascii="Times New Roman" w:hAnsi="Times New Roman"/>
        </w:rPr>
      </w:pPr>
      <w:r w:rsidRPr="00C24DB0">
        <w:rPr>
          <w:rFonts w:ascii="Times New Roman" w:hAnsi="Times New Roman"/>
        </w:rPr>
        <w:t>Türkiye’nin belirtilen dönemde hem verimlilik seviyesinin hem de değişim oranlarının nereden nereye geldiğini bilmek</w:t>
      </w:r>
      <w:r w:rsidR="00D5064B" w:rsidRPr="00C24DB0">
        <w:rPr>
          <w:rFonts w:ascii="Times New Roman" w:hAnsi="Times New Roman"/>
        </w:rPr>
        <w:t>;</w:t>
      </w:r>
      <w:r w:rsidRPr="00C24DB0">
        <w:rPr>
          <w:rFonts w:ascii="Times New Roman" w:hAnsi="Times New Roman"/>
        </w:rPr>
        <w:t xml:space="preserve"> oluşturulacak olan iktisat politikaları açısından son derece yararlıdır. Çünkü ülkelerin gelişmesinde mevcut kaynakların tam ve etkin kullanılması birinci derecede önemli bir faktördür. </w:t>
      </w:r>
    </w:p>
    <w:p w:rsidR="003A547C" w:rsidRPr="00C24DB0" w:rsidRDefault="00E53DAC" w:rsidP="007976A9">
      <w:pPr>
        <w:spacing w:after="240"/>
        <w:jc w:val="both"/>
        <w:rPr>
          <w:rFonts w:ascii="Times New Roman" w:hAnsi="Times New Roman"/>
        </w:rPr>
      </w:pPr>
      <w:r w:rsidRPr="00C24DB0">
        <w:rPr>
          <w:rFonts w:ascii="Times New Roman" w:hAnsi="Times New Roman"/>
        </w:rPr>
        <w:t xml:space="preserve">Bu kapsamda, </w:t>
      </w:r>
      <w:r w:rsidR="004C0C49" w:rsidRPr="00C24DB0">
        <w:rPr>
          <w:rFonts w:ascii="Times New Roman" w:hAnsi="Times New Roman"/>
        </w:rPr>
        <w:t xml:space="preserve">yapısal olarak Türkiye’ye benzer birkaç ülke ile gelişmiş bazı ülkelerin </w:t>
      </w:r>
      <w:r w:rsidRPr="00C24DB0">
        <w:rPr>
          <w:rFonts w:ascii="Times New Roman" w:hAnsi="Times New Roman"/>
        </w:rPr>
        <w:t xml:space="preserve">2005-2012 döneminde </w:t>
      </w:r>
      <w:r w:rsidR="004C0C49" w:rsidRPr="00C24DB0">
        <w:rPr>
          <w:rFonts w:ascii="Times New Roman" w:hAnsi="Times New Roman"/>
        </w:rPr>
        <w:t>i</w:t>
      </w:r>
      <w:r w:rsidRPr="00C24DB0">
        <w:rPr>
          <w:rFonts w:ascii="Times New Roman" w:hAnsi="Times New Roman"/>
        </w:rPr>
        <w:t>ş</w:t>
      </w:r>
      <w:r w:rsidR="004C0C49" w:rsidRPr="00C24DB0">
        <w:rPr>
          <w:rFonts w:ascii="Times New Roman" w:hAnsi="Times New Roman"/>
        </w:rPr>
        <w:t xml:space="preserve">gücü verimliliği sıralamasına yer verilmiştir. </w:t>
      </w:r>
    </w:p>
    <w:p w:rsidR="0020513C" w:rsidRPr="00C24DB0" w:rsidRDefault="00817A54" w:rsidP="007976A9">
      <w:pPr>
        <w:pStyle w:val="ResimYazs"/>
        <w:rPr>
          <w:rFonts w:ascii="Times New Roman" w:hAnsi="Times New Roman"/>
          <w:sz w:val="24"/>
          <w:szCs w:val="24"/>
        </w:rPr>
      </w:pPr>
      <w:r>
        <w:rPr>
          <w:rFonts w:ascii="Times New Roman" w:hAnsi="Times New Roman"/>
          <w:sz w:val="24"/>
          <w:szCs w:val="24"/>
        </w:rPr>
        <w:t>Çizelge 5</w:t>
      </w:r>
      <w:r w:rsidR="00BB40DD" w:rsidRPr="00C24DB0">
        <w:rPr>
          <w:rFonts w:ascii="Times New Roman" w:hAnsi="Times New Roman"/>
          <w:sz w:val="24"/>
          <w:szCs w:val="24"/>
        </w:rPr>
        <w:t xml:space="preserve">. </w:t>
      </w:r>
      <w:r w:rsidR="00A1304D" w:rsidRPr="00C24DB0">
        <w:rPr>
          <w:rFonts w:ascii="Times New Roman" w:hAnsi="Times New Roman"/>
          <w:sz w:val="24"/>
          <w:szCs w:val="24"/>
        </w:rPr>
        <w:t xml:space="preserve">Seçilmiş Bazı Ülkelerde İşgücü Verimliliği Sıralaması (121 </w:t>
      </w:r>
      <w:r w:rsidR="00EB1754" w:rsidRPr="00C24DB0">
        <w:rPr>
          <w:rFonts w:ascii="Times New Roman" w:hAnsi="Times New Roman"/>
          <w:sz w:val="24"/>
          <w:szCs w:val="24"/>
        </w:rPr>
        <w:t>Ülke İçerisinde</w:t>
      </w:r>
      <w:r w:rsidR="00A1304D" w:rsidRPr="00C24DB0">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6"/>
        <w:gridCol w:w="865"/>
        <w:gridCol w:w="862"/>
        <w:gridCol w:w="862"/>
        <w:gridCol w:w="862"/>
        <w:gridCol w:w="862"/>
        <w:gridCol w:w="862"/>
        <w:gridCol w:w="862"/>
        <w:gridCol w:w="864"/>
      </w:tblGrid>
      <w:tr w:rsidR="00BB40DD" w:rsidRPr="00C24DB0" w:rsidTr="00BB40DD">
        <w:trPr>
          <w:trHeight w:val="340"/>
        </w:trPr>
        <w:tc>
          <w:tcPr>
            <w:tcW w:w="1134" w:type="pct"/>
            <w:shd w:val="clear" w:color="auto" w:fill="auto"/>
            <w:noWrap/>
            <w:vAlign w:val="center"/>
          </w:tcPr>
          <w:p w:rsidR="00BB40DD" w:rsidRPr="00C24DB0" w:rsidRDefault="00BB40DD" w:rsidP="007976A9">
            <w:pPr>
              <w:rPr>
                <w:rFonts w:ascii="Times New Roman" w:hAnsi="Times New Roman"/>
                <w:b/>
                <w:i/>
              </w:rPr>
            </w:pPr>
          </w:p>
        </w:tc>
        <w:tc>
          <w:tcPr>
            <w:tcW w:w="3866" w:type="pct"/>
            <w:gridSpan w:val="8"/>
            <w:shd w:val="clear" w:color="auto" w:fill="auto"/>
            <w:noWrap/>
            <w:vAlign w:val="center"/>
          </w:tcPr>
          <w:p w:rsidR="00BB40DD" w:rsidRPr="00C24DB0" w:rsidRDefault="00BB40DD" w:rsidP="007976A9">
            <w:pPr>
              <w:jc w:val="center"/>
              <w:rPr>
                <w:rFonts w:ascii="Times New Roman" w:hAnsi="Times New Roman"/>
                <w:b/>
                <w:i/>
              </w:rPr>
            </w:pPr>
            <w:r w:rsidRPr="00C24DB0">
              <w:rPr>
                <w:rFonts w:ascii="Times New Roman" w:hAnsi="Times New Roman"/>
                <w:b/>
                <w:i/>
              </w:rPr>
              <w:t>Yıllar</w:t>
            </w:r>
          </w:p>
        </w:tc>
      </w:tr>
      <w:tr w:rsidR="0020513C" w:rsidRPr="00C24DB0" w:rsidTr="00BB40DD">
        <w:trPr>
          <w:trHeight w:val="340"/>
        </w:trPr>
        <w:tc>
          <w:tcPr>
            <w:tcW w:w="1134" w:type="pct"/>
            <w:shd w:val="clear" w:color="auto" w:fill="auto"/>
            <w:noWrap/>
            <w:vAlign w:val="center"/>
            <w:hideMark/>
          </w:tcPr>
          <w:p w:rsidR="0020513C" w:rsidRPr="00C24DB0" w:rsidRDefault="00BB40DD" w:rsidP="007976A9">
            <w:pPr>
              <w:jc w:val="center"/>
              <w:rPr>
                <w:rFonts w:ascii="Times New Roman" w:hAnsi="Times New Roman"/>
                <w:b/>
                <w:i/>
              </w:rPr>
            </w:pPr>
            <w:r w:rsidRPr="00C24DB0">
              <w:rPr>
                <w:rFonts w:ascii="Times New Roman" w:hAnsi="Times New Roman"/>
                <w:b/>
                <w:i/>
              </w:rPr>
              <w:t>Ülkeler</w:t>
            </w:r>
          </w:p>
        </w:tc>
        <w:tc>
          <w:tcPr>
            <w:tcW w:w="484" w:type="pct"/>
            <w:shd w:val="clear" w:color="auto" w:fill="auto"/>
            <w:noWrap/>
            <w:vAlign w:val="center"/>
            <w:hideMark/>
          </w:tcPr>
          <w:p w:rsidR="0020513C" w:rsidRPr="00C24DB0" w:rsidRDefault="0020513C" w:rsidP="007976A9">
            <w:pPr>
              <w:jc w:val="center"/>
              <w:rPr>
                <w:rFonts w:ascii="Times New Roman" w:hAnsi="Times New Roman"/>
                <w:b/>
                <w:i/>
              </w:rPr>
            </w:pPr>
            <w:r w:rsidRPr="00C24DB0">
              <w:rPr>
                <w:rFonts w:ascii="Times New Roman" w:hAnsi="Times New Roman"/>
                <w:b/>
                <w:i/>
              </w:rPr>
              <w:t>2005</w:t>
            </w:r>
          </w:p>
        </w:tc>
        <w:tc>
          <w:tcPr>
            <w:tcW w:w="483" w:type="pct"/>
            <w:shd w:val="clear" w:color="auto" w:fill="auto"/>
            <w:noWrap/>
            <w:vAlign w:val="center"/>
            <w:hideMark/>
          </w:tcPr>
          <w:p w:rsidR="0020513C" w:rsidRPr="00C24DB0" w:rsidRDefault="0020513C" w:rsidP="007976A9">
            <w:pPr>
              <w:jc w:val="center"/>
              <w:rPr>
                <w:rFonts w:ascii="Times New Roman" w:hAnsi="Times New Roman"/>
                <w:b/>
                <w:i/>
              </w:rPr>
            </w:pPr>
            <w:r w:rsidRPr="00C24DB0">
              <w:rPr>
                <w:rFonts w:ascii="Times New Roman" w:hAnsi="Times New Roman"/>
                <w:b/>
                <w:i/>
              </w:rPr>
              <w:t>2006</w:t>
            </w:r>
          </w:p>
        </w:tc>
        <w:tc>
          <w:tcPr>
            <w:tcW w:w="483" w:type="pct"/>
            <w:shd w:val="clear" w:color="auto" w:fill="auto"/>
            <w:noWrap/>
            <w:vAlign w:val="center"/>
            <w:hideMark/>
          </w:tcPr>
          <w:p w:rsidR="0020513C" w:rsidRPr="00C24DB0" w:rsidRDefault="0020513C" w:rsidP="007976A9">
            <w:pPr>
              <w:jc w:val="center"/>
              <w:rPr>
                <w:rFonts w:ascii="Times New Roman" w:hAnsi="Times New Roman"/>
                <w:b/>
                <w:i/>
              </w:rPr>
            </w:pPr>
            <w:r w:rsidRPr="00C24DB0">
              <w:rPr>
                <w:rFonts w:ascii="Times New Roman" w:hAnsi="Times New Roman"/>
                <w:b/>
                <w:i/>
              </w:rPr>
              <w:t>2007</w:t>
            </w:r>
          </w:p>
        </w:tc>
        <w:tc>
          <w:tcPr>
            <w:tcW w:w="483" w:type="pct"/>
            <w:shd w:val="clear" w:color="auto" w:fill="auto"/>
            <w:noWrap/>
            <w:vAlign w:val="center"/>
            <w:hideMark/>
          </w:tcPr>
          <w:p w:rsidR="0020513C" w:rsidRPr="00C24DB0" w:rsidRDefault="0020513C" w:rsidP="007976A9">
            <w:pPr>
              <w:jc w:val="center"/>
              <w:rPr>
                <w:rFonts w:ascii="Times New Roman" w:hAnsi="Times New Roman"/>
                <w:b/>
                <w:i/>
              </w:rPr>
            </w:pPr>
            <w:r w:rsidRPr="00C24DB0">
              <w:rPr>
                <w:rFonts w:ascii="Times New Roman" w:hAnsi="Times New Roman"/>
                <w:b/>
                <w:i/>
              </w:rPr>
              <w:t>2008</w:t>
            </w:r>
          </w:p>
        </w:tc>
        <w:tc>
          <w:tcPr>
            <w:tcW w:w="483" w:type="pct"/>
            <w:shd w:val="clear" w:color="auto" w:fill="auto"/>
            <w:noWrap/>
            <w:vAlign w:val="center"/>
            <w:hideMark/>
          </w:tcPr>
          <w:p w:rsidR="0020513C" w:rsidRPr="00C24DB0" w:rsidRDefault="0020513C" w:rsidP="007976A9">
            <w:pPr>
              <w:jc w:val="center"/>
              <w:rPr>
                <w:rFonts w:ascii="Times New Roman" w:hAnsi="Times New Roman"/>
                <w:b/>
                <w:i/>
              </w:rPr>
            </w:pPr>
            <w:r w:rsidRPr="00C24DB0">
              <w:rPr>
                <w:rFonts w:ascii="Times New Roman" w:hAnsi="Times New Roman"/>
                <w:b/>
                <w:i/>
              </w:rPr>
              <w:t>2009</w:t>
            </w:r>
          </w:p>
        </w:tc>
        <w:tc>
          <w:tcPr>
            <w:tcW w:w="483" w:type="pct"/>
            <w:shd w:val="clear" w:color="auto" w:fill="auto"/>
            <w:noWrap/>
            <w:vAlign w:val="center"/>
            <w:hideMark/>
          </w:tcPr>
          <w:p w:rsidR="0020513C" w:rsidRPr="00C24DB0" w:rsidRDefault="0020513C" w:rsidP="007976A9">
            <w:pPr>
              <w:jc w:val="center"/>
              <w:rPr>
                <w:rFonts w:ascii="Times New Roman" w:hAnsi="Times New Roman"/>
                <w:b/>
                <w:i/>
              </w:rPr>
            </w:pPr>
            <w:r w:rsidRPr="00C24DB0">
              <w:rPr>
                <w:rFonts w:ascii="Times New Roman" w:hAnsi="Times New Roman"/>
                <w:b/>
                <w:i/>
              </w:rPr>
              <w:t>2010</w:t>
            </w:r>
          </w:p>
        </w:tc>
        <w:tc>
          <w:tcPr>
            <w:tcW w:w="483" w:type="pct"/>
            <w:shd w:val="clear" w:color="auto" w:fill="auto"/>
            <w:noWrap/>
            <w:vAlign w:val="center"/>
            <w:hideMark/>
          </w:tcPr>
          <w:p w:rsidR="0020513C" w:rsidRPr="00C24DB0" w:rsidRDefault="0020513C" w:rsidP="007976A9">
            <w:pPr>
              <w:jc w:val="center"/>
              <w:rPr>
                <w:rFonts w:ascii="Times New Roman" w:hAnsi="Times New Roman"/>
                <w:b/>
                <w:i/>
              </w:rPr>
            </w:pPr>
            <w:r w:rsidRPr="00C24DB0">
              <w:rPr>
                <w:rFonts w:ascii="Times New Roman" w:hAnsi="Times New Roman"/>
                <w:b/>
                <w:i/>
              </w:rPr>
              <w:t>2011</w:t>
            </w:r>
          </w:p>
        </w:tc>
        <w:tc>
          <w:tcPr>
            <w:tcW w:w="484" w:type="pct"/>
            <w:shd w:val="clear" w:color="auto" w:fill="auto"/>
            <w:noWrap/>
            <w:vAlign w:val="center"/>
            <w:hideMark/>
          </w:tcPr>
          <w:p w:rsidR="0020513C" w:rsidRPr="00C24DB0" w:rsidRDefault="0020513C" w:rsidP="007976A9">
            <w:pPr>
              <w:jc w:val="center"/>
              <w:rPr>
                <w:rFonts w:ascii="Times New Roman" w:hAnsi="Times New Roman"/>
                <w:b/>
                <w:i/>
              </w:rPr>
            </w:pPr>
            <w:r w:rsidRPr="00C24DB0">
              <w:rPr>
                <w:rFonts w:ascii="Times New Roman" w:hAnsi="Times New Roman"/>
                <w:b/>
                <w:i/>
              </w:rPr>
              <w:t>2012</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ABD</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1</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1</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1</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1</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1</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1</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1</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1</w:t>
            </w:r>
          </w:p>
        </w:tc>
      </w:tr>
      <w:tr w:rsidR="00BB40DD" w:rsidRPr="00C24DB0" w:rsidTr="00BB40DD">
        <w:trPr>
          <w:trHeight w:val="340"/>
        </w:trPr>
        <w:tc>
          <w:tcPr>
            <w:tcW w:w="1134" w:type="pct"/>
            <w:shd w:val="clear" w:color="auto" w:fill="auto"/>
            <w:noWrap/>
            <w:vAlign w:val="center"/>
            <w:hideMark/>
          </w:tcPr>
          <w:p w:rsidR="00BB40DD" w:rsidRPr="00C24DB0" w:rsidRDefault="00EB1754" w:rsidP="007976A9">
            <w:pPr>
              <w:rPr>
                <w:rFonts w:ascii="Times New Roman" w:hAnsi="Times New Roman"/>
                <w:b/>
                <w:i/>
              </w:rPr>
            </w:pPr>
            <w:r w:rsidRPr="00C24DB0">
              <w:rPr>
                <w:rFonts w:ascii="Times New Roman" w:hAnsi="Times New Roman"/>
                <w:b/>
                <w:i/>
              </w:rPr>
              <w:t>İrlanda</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3</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Güney Kore</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26</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22</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21</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20</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21</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İspanya</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26</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27</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27</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26</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26</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25</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24</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Almanya</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22</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22</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22</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21</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24</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24</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25</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Şili</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32</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32</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32</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34</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33</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32</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30</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Yunanistan</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31</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34</w:t>
            </w:r>
          </w:p>
        </w:tc>
      </w:tr>
      <w:tr w:rsidR="00BB40DD" w:rsidRPr="00C24DB0" w:rsidTr="00BB40DD">
        <w:trPr>
          <w:trHeight w:val="340"/>
        </w:trPr>
        <w:tc>
          <w:tcPr>
            <w:tcW w:w="1134" w:type="pct"/>
            <w:shd w:val="clear" w:color="auto" w:fill="auto"/>
            <w:noWrap/>
            <w:vAlign w:val="center"/>
            <w:hideMark/>
          </w:tcPr>
          <w:p w:rsidR="00BB40DD" w:rsidRPr="00C24DB0" w:rsidRDefault="00BB40DD" w:rsidP="007976A9">
            <w:pPr>
              <w:rPr>
                <w:rFonts w:ascii="Times New Roman" w:hAnsi="Times New Roman"/>
                <w:b/>
                <w:i/>
              </w:rPr>
            </w:pPr>
            <w:r w:rsidRPr="00C24DB0">
              <w:rPr>
                <w:rFonts w:ascii="Times New Roman" w:hAnsi="Times New Roman"/>
                <w:b/>
                <w:i/>
              </w:rPr>
              <w:t>Port</w:t>
            </w:r>
            <w:r w:rsidR="00CA3944" w:rsidRPr="00C24DB0">
              <w:rPr>
                <w:rFonts w:ascii="Times New Roman" w:hAnsi="Times New Roman"/>
                <w:b/>
                <w:i/>
              </w:rPr>
              <w:t>ekiz</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33</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33</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36</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34</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35</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35</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Türkiye</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36</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37</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39</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39</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42</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43</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Malezya</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50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48</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48</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47</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47</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48</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51</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50</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Çin</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91</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90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88</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85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80</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79</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74</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71</w:t>
            </w:r>
          </w:p>
        </w:tc>
      </w:tr>
      <w:tr w:rsidR="00BB40DD" w:rsidRPr="00C24DB0" w:rsidTr="00BB40DD">
        <w:trPr>
          <w:trHeight w:val="340"/>
        </w:trPr>
        <w:tc>
          <w:tcPr>
            <w:tcW w:w="1134" w:type="pct"/>
            <w:shd w:val="clear" w:color="auto" w:fill="auto"/>
            <w:noWrap/>
            <w:vAlign w:val="center"/>
            <w:hideMark/>
          </w:tcPr>
          <w:p w:rsidR="00BB40DD" w:rsidRPr="00C24DB0" w:rsidRDefault="00CA3944" w:rsidP="007976A9">
            <w:pPr>
              <w:rPr>
                <w:rFonts w:ascii="Times New Roman" w:hAnsi="Times New Roman"/>
                <w:b/>
                <w:i/>
              </w:rPr>
            </w:pPr>
            <w:r w:rsidRPr="00C24DB0">
              <w:rPr>
                <w:rFonts w:ascii="Times New Roman" w:hAnsi="Times New Roman"/>
                <w:b/>
                <w:i/>
              </w:rPr>
              <w:t>Brezilya</w:t>
            </w:r>
          </w:p>
        </w:tc>
        <w:tc>
          <w:tcPr>
            <w:tcW w:w="484"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74</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72</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73</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75</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76</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76</w:t>
            </w:r>
          </w:p>
        </w:tc>
        <w:tc>
          <w:tcPr>
            <w:tcW w:w="483" w:type="pct"/>
            <w:shd w:val="clear" w:color="auto" w:fill="auto"/>
            <w:noWrap/>
            <w:vAlign w:val="center"/>
            <w:hideMark/>
          </w:tcPr>
          <w:p w:rsidR="00BB40DD" w:rsidRPr="00C24DB0" w:rsidRDefault="00BB40DD" w:rsidP="007976A9">
            <w:pPr>
              <w:jc w:val="center"/>
              <w:rPr>
                <w:rFonts w:ascii="Times New Roman" w:hAnsi="Times New Roman"/>
                <w:color w:val="000000"/>
              </w:rPr>
            </w:pPr>
            <w:r w:rsidRPr="00C24DB0">
              <w:rPr>
                <w:rFonts w:ascii="Times New Roman" w:hAnsi="Times New Roman"/>
                <w:color w:val="000000"/>
              </w:rPr>
              <w:t>77</w:t>
            </w:r>
          </w:p>
        </w:tc>
        <w:tc>
          <w:tcPr>
            <w:tcW w:w="484" w:type="pct"/>
            <w:shd w:val="clear" w:color="auto" w:fill="auto"/>
            <w:noWrap/>
            <w:vAlign w:val="center"/>
            <w:hideMark/>
          </w:tcPr>
          <w:p w:rsidR="00BB40DD" w:rsidRPr="00C24DB0" w:rsidRDefault="00BB40DD" w:rsidP="007976A9">
            <w:pPr>
              <w:jc w:val="center"/>
              <w:rPr>
                <w:rFonts w:ascii="Times New Roman" w:hAnsi="Times New Roman"/>
              </w:rPr>
            </w:pPr>
            <w:r w:rsidRPr="00C24DB0">
              <w:rPr>
                <w:rFonts w:ascii="Times New Roman" w:hAnsi="Times New Roman"/>
              </w:rPr>
              <w:t>77</w:t>
            </w:r>
          </w:p>
        </w:tc>
      </w:tr>
    </w:tbl>
    <w:p w:rsidR="0053278C" w:rsidRPr="00817A54" w:rsidRDefault="00BB40DD" w:rsidP="00817A54">
      <w:pPr>
        <w:spacing w:before="120" w:after="120"/>
        <w:rPr>
          <w:rFonts w:ascii="Times New Roman" w:hAnsi="Times New Roman"/>
          <w:i/>
          <w:sz w:val="22"/>
          <w:szCs w:val="22"/>
        </w:rPr>
      </w:pPr>
      <w:r w:rsidRPr="00817A54">
        <w:rPr>
          <w:rFonts w:ascii="Times New Roman" w:hAnsi="Times New Roman"/>
          <w:b/>
          <w:i/>
          <w:sz w:val="22"/>
          <w:szCs w:val="22"/>
        </w:rPr>
        <w:t>Kaynak:</w:t>
      </w:r>
      <w:r w:rsidRPr="00817A54">
        <w:rPr>
          <w:rFonts w:ascii="Times New Roman" w:hAnsi="Times New Roman"/>
          <w:i/>
          <w:sz w:val="22"/>
          <w:szCs w:val="22"/>
        </w:rPr>
        <w:t xml:space="preserve"> Dünya Bankası verilerinden hesaplanmıştır.</w:t>
      </w:r>
    </w:p>
    <w:p w:rsidR="009F2357" w:rsidRPr="00C24DB0" w:rsidRDefault="009F2357" w:rsidP="007976A9">
      <w:pPr>
        <w:spacing w:after="240"/>
        <w:jc w:val="both"/>
        <w:rPr>
          <w:rFonts w:ascii="Times New Roman" w:hAnsi="Times New Roman"/>
        </w:rPr>
      </w:pPr>
      <w:r w:rsidRPr="00C24DB0">
        <w:rPr>
          <w:rFonts w:ascii="Times New Roman" w:hAnsi="Times New Roman"/>
        </w:rPr>
        <w:t>2005-2012 döneminde verimlilik düzeyi sıralamasında en yüksek performansı gösteren ülkelerden biri Çin olmuştur. Çin’in sırası 91</w:t>
      </w:r>
      <w:r w:rsidR="00EB1754">
        <w:rPr>
          <w:rFonts w:ascii="Times New Roman" w:hAnsi="Times New Roman"/>
        </w:rPr>
        <w:t>’</w:t>
      </w:r>
      <w:r w:rsidRPr="00C24DB0">
        <w:rPr>
          <w:rFonts w:ascii="Times New Roman" w:hAnsi="Times New Roman"/>
        </w:rPr>
        <w:t xml:space="preserve">den 71. sıraya ilerlemiştir. </w:t>
      </w:r>
      <w:r w:rsidR="001B531E">
        <w:rPr>
          <w:rFonts w:ascii="Times New Roman" w:hAnsi="Times New Roman"/>
        </w:rPr>
        <w:t>B</w:t>
      </w:r>
      <w:r w:rsidRPr="00C24DB0">
        <w:rPr>
          <w:rFonts w:ascii="Times New Roman" w:hAnsi="Times New Roman"/>
        </w:rPr>
        <w:t>u durumun Çin’deki yüksek büyüme hızları ile yakından ilgili olduğu düşünülmektedir. Yine perfor</w:t>
      </w:r>
      <w:r w:rsidR="00EB1754">
        <w:rPr>
          <w:rFonts w:ascii="Times New Roman" w:hAnsi="Times New Roman"/>
        </w:rPr>
        <w:t>mansı yükselen ülkelerden biri</w:t>
      </w:r>
      <w:r w:rsidRPr="00C24DB0">
        <w:rPr>
          <w:rFonts w:ascii="Times New Roman" w:hAnsi="Times New Roman"/>
        </w:rPr>
        <w:t xml:space="preserve"> de Güney Kore’dir. O da 26. sıradan 21. sıraya yükselmiştir. Almanya küresel ekonomik krizin yoğun yaşandığı 2008 yılında 21. sırada iken 2012’de 25. sıraya gerilemiştir. ABD kriz öncesi, kriz yılları ve sonrasında verimlilik sıralamasında birincilik </w:t>
      </w:r>
      <w:r w:rsidR="005A28BA">
        <w:rPr>
          <w:rFonts w:ascii="Times New Roman" w:hAnsi="Times New Roman"/>
        </w:rPr>
        <w:t>konumunu</w:t>
      </w:r>
      <w:r w:rsidRPr="00C24DB0">
        <w:rPr>
          <w:rFonts w:ascii="Times New Roman" w:hAnsi="Times New Roman"/>
        </w:rPr>
        <w:t xml:space="preserve"> kaybetmemiştir.</w:t>
      </w:r>
    </w:p>
    <w:p w:rsidR="004C0C49" w:rsidRPr="00C24DB0" w:rsidRDefault="004C0C49" w:rsidP="007976A9">
      <w:pPr>
        <w:spacing w:after="240"/>
        <w:jc w:val="both"/>
        <w:rPr>
          <w:rFonts w:ascii="Times New Roman" w:hAnsi="Times New Roman"/>
        </w:rPr>
      </w:pPr>
      <w:r w:rsidRPr="00C24DB0">
        <w:rPr>
          <w:rFonts w:ascii="Times New Roman" w:hAnsi="Times New Roman"/>
        </w:rPr>
        <w:t>Yapısal durum ve ekonomik özellikleri bakımından Türkiye’y</w:t>
      </w:r>
      <w:r w:rsidR="00CF250B">
        <w:rPr>
          <w:rFonts w:ascii="Times New Roman" w:hAnsi="Times New Roman"/>
        </w:rPr>
        <w:t>l</w:t>
      </w:r>
      <w:r w:rsidRPr="00C24DB0">
        <w:rPr>
          <w:rFonts w:ascii="Times New Roman" w:hAnsi="Times New Roman"/>
        </w:rPr>
        <w:t>e benzerlik gösteren Brezilya, Şili, Malezya, Portekiz ve İspanya gibi ülkeler</w:t>
      </w:r>
      <w:r w:rsidR="00D5064B" w:rsidRPr="00C24DB0">
        <w:rPr>
          <w:rFonts w:ascii="Times New Roman" w:hAnsi="Times New Roman"/>
        </w:rPr>
        <w:t>in</w:t>
      </w:r>
      <w:r w:rsidRPr="00C24DB0">
        <w:rPr>
          <w:rFonts w:ascii="Times New Roman" w:hAnsi="Times New Roman"/>
        </w:rPr>
        <w:t xml:space="preserve"> söz konusu dönemde işgücü verimliliği sıralamasında bulundukları yer açısından önemli bir değişiklik göstermediği gözlemlenmektedir. Yunanistan ise yapısal durum açısından Türkiye’ye benzerlik </w:t>
      </w:r>
      <w:r w:rsidR="00A133A9" w:rsidRPr="00C24DB0">
        <w:rPr>
          <w:rFonts w:ascii="Times New Roman" w:hAnsi="Times New Roman"/>
        </w:rPr>
        <w:t xml:space="preserve">taşıyan bir ülke olarak </w:t>
      </w:r>
      <w:r w:rsidRPr="00C24DB0">
        <w:rPr>
          <w:rFonts w:ascii="Times New Roman" w:hAnsi="Times New Roman"/>
        </w:rPr>
        <w:t xml:space="preserve">verimlilik sıralamasında az da olsa belirgin bir güç kaybetmiştir. Bunun nedeni olarak 2009 sonrası yaşadığı ekonomik krizi öne sürebiliriz. </w:t>
      </w:r>
      <w:r w:rsidR="009F2357" w:rsidRPr="00C24DB0">
        <w:rPr>
          <w:rFonts w:ascii="Times New Roman" w:hAnsi="Times New Roman"/>
        </w:rPr>
        <w:t xml:space="preserve">Türkiye ise sadece küresel ekonomik krize bağlı olmadan 2005 yılından itibaren kademeli olarak işgücü verimliliği sıralamasında düşüşler göstermiştir. Bunun nedenleri olarak; 2002 sonrası yüksek sayılabilecek bir büyüme oranı yakalanmasına karşın bu performansın sürdürülebilir olmayışı, verimlilik değişkeni ile makroekonomik gelişmeler arasında ilişki zayıflığı ve küresel finansal krizin etkilerini sayabiliriz. </w:t>
      </w:r>
    </w:p>
    <w:p w:rsidR="001D6F1A" w:rsidRPr="00C24DB0" w:rsidRDefault="001D6F1A" w:rsidP="007976A9">
      <w:pPr>
        <w:rPr>
          <w:rFonts w:ascii="Times New Roman" w:hAnsi="Times New Roman"/>
        </w:rPr>
      </w:pPr>
      <w:r w:rsidRPr="00C24DB0">
        <w:rPr>
          <w:rFonts w:ascii="Times New Roman" w:hAnsi="Times New Roman"/>
          <w:noProof/>
        </w:rPr>
        <w:lastRenderedPageBreak/>
        <w:drawing>
          <wp:anchor distT="0" distB="0" distL="114300" distR="114300" simplePos="0" relativeHeight="251658240" behindDoc="0" locked="0" layoutInCell="1" allowOverlap="1" wp14:anchorId="43DDBDC9" wp14:editId="2CC69592">
            <wp:simplePos x="0" y="0"/>
            <wp:positionH relativeFrom="column">
              <wp:posOffset>467832</wp:posOffset>
            </wp:positionH>
            <wp:positionV relativeFrom="paragraph">
              <wp:posOffset>63795</wp:posOffset>
            </wp:positionV>
            <wp:extent cx="4572000" cy="2743200"/>
            <wp:effectExtent l="0" t="0" r="0" b="0"/>
            <wp:wrapSquare wrapText="bothSides"/>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F23B00" w:rsidRPr="00C24DB0">
        <w:rPr>
          <w:rFonts w:ascii="Times New Roman" w:hAnsi="Times New Roman"/>
        </w:rPr>
        <w:br w:type="textWrapping" w:clear="all"/>
      </w:r>
    </w:p>
    <w:p w:rsidR="007C3998" w:rsidRPr="00C24DB0" w:rsidRDefault="007C3998" w:rsidP="003310C7">
      <w:pPr>
        <w:pStyle w:val="ResimYazs"/>
        <w:spacing w:before="120" w:after="0"/>
        <w:rPr>
          <w:rFonts w:ascii="Times New Roman" w:hAnsi="Times New Roman"/>
          <w:bCs/>
          <w:sz w:val="24"/>
          <w:szCs w:val="24"/>
        </w:rPr>
      </w:pPr>
      <w:r w:rsidRPr="00C24DB0">
        <w:rPr>
          <w:rFonts w:ascii="Times New Roman" w:hAnsi="Times New Roman"/>
          <w:sz w:val="24"/>
          <w:szCs w:val="24"/>
        </w:rPr>
        <w:t xml:space="preserve">Şekil </w:t>
      </w:r>
      <w:r w:rsidR="005D5603" w:rsidRPr="00C24DB0">
        <w:rPr>
          <w:rFonts w:ascii="Times New Roman" w:hAnsi="Times New Roman"/>
          <w:sz w:val="24"/>
          <w:szCs w:val="24"/>
        </w:rPr>
        <w:fldChar w:fldCharType="begin"/>
      </w:r>
      <w:r w:rsidR="005D5603" w:rsidRPr="00C24DB0">
        <w:rPr>
          <w:rFonts w:ascii="Times New Roman" w:hAnsi="Times New Roman"/>
          <w:sz w:val="24"/>
          <w:szCs w:val="24"/>
        </w:rPr>
        <w:instrText xml:space="preserve"> SEQ Şekil \* ARABIC </w:instrText>
      </w:r>
      <w:r w:rsidR="005D5603" w:rsidRPr="00C24DB0">
        <w:rPr>
          <w:rFonts w:ascii="Times New Roman" w:hAnsi="Times New Roman"/>
          <w:sz w:val="24"/>
          <w:szCs w:val="24"/>
        </w:rPr>
        <w:fldChar w:fldCharType="separate"/>
      </w:r>
      <w:r w:rsidR="001C5482" w:rsidRPr="00C24DB0">
        <w:rPr>
          <w:rFonts w:ascii="Times New Roman" w:hAnsi="Times New Roman"/>
          <w:noProof/>
          <w:sz w:val="24"/>
          <w:szCs w:val="24"/>
        </w:rPr>
        <w:t>5</w:t>
      </w:r>
      <w:r w:rsidR="005D5603" w:rsidRPr="00C24DB0">
        <w:rPr>
          <w:rFonts w:ascii="Times New Roman" w:hAnsi="Times New Roman"/>
          <w:noProof/>
          <w:sz w:val="24"/>
          <w:szCs w:val="24"/>
        </w:rPr>
        <w:fldChar w:fldCharType="end"/>
      </w:r>
      <w:r w:rsidRPr="00C24DB0">
        <w:rPr>
          <w:rFonts w:ascii="Times New Roman" w:hAnsi="Times New Roman"/>
          <w:sz w:val="24"/>
          <w:szCs w:val="24"/>
        </w:rPr>
        <w:t xml:space="preserve">. </w:t>
      </w:r>
      <w:r w:rsidR="003310C7" w:rsidRPr="00C24DB0">
        <w:rPr>
          <w:rFonts w:ascii="Times New Roman" w:hAnsi="Times New Roman"/>
          <w:bCs/>
          <w:sz w:val="24"/>
          <w:szCs w:val="24"/>
        </w:rPr>
        <w:t>Türkiye’nin</w:t>
      </w:r>
      <w:r w:rsidRPr="00C24DB0">
        <w:rPr>
          <w:rFonts w:ascii="Times New Roman" w:hAnsi="Times New Roman"/>
          <w:bCs/>
          <w:sz w:val="24"/>
          <w:szCs w:val="24"/>
        </w:rPr>
        <w:t xml:space="preserve"> 2005-2012 </w:t>
      </w:r>
      <w:r w:rsidR="003310C7" w:rsidRPr="00C24DB0">
        <w:rPr>
          <w:rFonts w:ascii="Times New Roman" w:hAnsi="Times New Roman"/>
          <w:bCs/>
          <w:sz w:val="24"/>
          <w:szCs w:val="24"/>
        </w:rPr>
        <w:t xml:space="preserve">Yılları Arasındaki </w:t>
      </w:r>
      <w:r w:rsidRPr="00C24DB0">
        <w:rPr>
          <w:rFonts w:ascii="Times New Roman" w:hAnsi="Times New Roman"/>
          <w:bCs/>
          <w:sz w:val="24"/>
          <w:szCs w:val="24"/>
        </w:rPr>
        <w:t>İşgücü Verimliliği Sıralaması</w:t>
      </w:r>
    </w:p>
    <w:p w:rsidR="005D5420" w:rsidRPr="003310C7" w:rsidRDefault="005D5420" w:rsidP="003310C7">
      <w:pPr>
        <w:spacing w:before="120"/>
        <w:jc w:val="both"/>
        <w:rPr>
          <w:rFonts w:ascii="Times New Roman" w:hAnsi="Times New Roman"/>
          <w:i/>
          <w:sz w:val="22"/>
          <w:szCs w:val="22"/>
        </w:rPr>
      </w:pPr>
      <w:r w:rsidRPr="003310C7">
        <w:rPr>
          <w:rFonts w:ascii="Times New Roman" w:hAnsi="Times New Roman"/>
          <w:b/>
          <w:i/>
          <w:sz w:val="22"/>
          <w:szCs w:val="22"/>
        </w:rPr>
        <w:t>Kaynak:</w:t>
      </w:r>
      <w:r w:rsidRPr="003310C7">
        <w:rPr>
          <w:rFonts w:ascii="Times New Roman" w:hAnsi="Times New Roman"/>
          <w:i/>
          <w:sz w:val="22"/>
          <w:szCs w:val="22"/>
        </w:rPr>
        <w:t xml:space="preserve"> Dünya Bankası Ekonomi ve Büyüme Göstergeleri kullanılarak </w:t>
      </w:r>
      <w:r w:rsidR="003310C7">
        <w:rPr>
          <w:rFonts w:ascii="Times New Roman" w:hAnsi="Times New Roman"/>
          <w:i/>
          <w:sz w:val="22"/>
          <w:szCs w:val="22"/>
        </w:rPr>
        <w:t>oluşturulmuştur</w:t>
      </w:r>
      <w:r w:rsidRPr="003310C7">
        <w:rPr>
          <w:rFonts w:ascii="Times New Roman" w:hAnsi="Times New Roman"/>
          <w:i/>
          <w:sz w:val="22"/>
          <w:szCs w:val="22"/>
        </w:rPr>
        <w:t>.</w:t>
      </w:r>
    </w:p>
    <w:p w:rsidR="005D5420" w:rsidRPr="003310C7" w:rsidRDefault="005D5420" w:rsidP="007976A9">
      <w:pPr>
        <w:rPr>
          <w:rFonts w:ascii="Times New Roman" w:hAnsi="Times New Roman"/>
          <w:sz w:val="22"/>
          <w:szCs w:val="22"/>
        </w:rPr>
      </w:pPr>
    </w:p>
    <w:p w:rsidR="00124727" w:rsidRPr="00C24DB0" w:rsidRDefault="00124727" w:rsidP="007976A9">
      <w:pPr>
        <w:spacing w:after="240"/>
        <w:jc w:val="both"/>
        <w:rPr>
          <w:rFonts w:ascii="Times New Roman" w:hAnsi="Times New Roman"/>
        </w:rPr>
      </w:pPr>
      <w:r w:rsidRPr="00C24DB0">
        <w:rPr>
          <w:rFonts w:ascii="Times New Roman" w:hAnsi="Times New Roman"/>
        </w:rPr>
        <w:t>İşgücü verimliliği sıralamasında Türkiye 121 ülke içerisinde 2005 yılında 36. sırada iken, 2012 de 43. sıraya düşmüştür. Bu durum</w:t>
      </w:r>
      <w:r w:rsidR="00D5064B" w:rsidRPr="00C24DB0">
        <w:rPr>
          <w:rFonts w:ascii="Times New Roman" w:hAnsi="Times New Roman"/>
        </w:rPr>
        <w:t xml:space="preserve"> </w:t>
      </w:r>
      <w:r w:rsidR="00894BED" w:rsidRPr="00C24DB0">
        <w:rPr>
          <w:rFonts w:ascii="Times New Roman" w:hAnsi="Times New Roman"/>
        </w:rPr>
        <w:fldChar w:fldCharType="begin"/>
      </w:r>
      <w:r w:rsidR="007C3998" w:rsidRPr="00C24DB0">
        <w:rPr>
          <w:rFonts w:ascii="Times New Roman" w:hAnsi="Times New Roman"/>
        </w:rPr>
        <w:instrText xml:space="preserve"> REF _Ref416444449 \h </w:instrText>
      </w:r>
      <w:r w:rsidR="00C24DB0" w:rsidRPr="00C24DB0">
        <w:rPr>
          <w:rFonts w:ascii="Times New Roman" w:hAnsi="Times New Roman"/>
        </w:rPr>
        <w:instrText xml:space="preserve"> \* MERGEFORMAT </w:instrText>
      </w:r>
      <w:r w:rsidR="00894BED" w:rsidRPr="00C24DB0">
        <w:rPr>
          <w:rFonts w:ascii="Times New Roman" w:hAnsi="Times New Roman"/>
        </w:rPr>
      </w:r>
      <w:r w:rsidR="00894BED" w:rsidRPr="00C24DB0">
        <w:rPr>
          <w:rFonts w:ascii="Times New Roman" w:hAnsi="Times New Roman"/>
        </w:rPr>
        <w:fldChar w:fldCharType="separate"/>
      </w:r>
      <w:r w:rsidR="001C5482" w:rsidRPr="00C24DB0">
        <w:rPr>
          <w:rFonts w:ascii="Times New Roman" w:hAnsi="Times New Roman"/>
        </w:rPr>
        <w:t xml:space="preserve">Şekil </w:t>
      </w:r>
      <w:r w:rsidR="001C5482" w:rsidRPr="00C24DB0">
        <w:rPr>
          <w:rFonts w:ascii="Times New Roman" w:hAnsi="Times New Roman"/>
          <w:noProof/>
        </w:rPr>
        <w:t>6</w:t>
      </w:r>
      <w:r w:rsidR="00894BED" w:rsidRPr="00C24DB0">
        <w:rPr>
          <w:rFonts w:ascii="Times New Roman" w:hAnsi="Times New Roman"/>
        </w:rPr>
        <w:fldChar w:fldCharType="end"/>
      </w:r>
      <w:r w:rsidR="00305BA5">
        <w:rPr>
          <w:rFonts w:ascii="Times New Roman" w:hAnsi="Times New Roman"/>
        </w:rPr>
        <w:t>’da</w:t>
      </w:r>
      <w:r w:rsidRPr="00C24DB0">
        <w:rPr>
          <w:rFonts w:ascii="Times New Roman" w:hAnsi="Times New Roman"/>
        </w:rPr>
        <w:t xml:space="preserve"> izlenmektedir. 2005-2012 döneminde </w:t>
      </w:r>
      <w:r w:rsidR="00D5064B" w:rsidRPr="00C24DB0">
        <w:rPr>
          <w:rFonts w:ascii="Times New Roman" w:hAnsi="Times New Roman"/>
        </w:rPr>
        <w:t xml:space="preserve">de </w:t>
      </w:r>
      <w:r w:rsidRPr="00C24DB0">
        <w:rPr>
          <w:rFonts w:ascii="Times New Roman" w:hAnsi="Times New Roman"/>
        </w:rPr>
        <w:t xml:space="preserve">düzenli bir düşüş eğilimi yaşanmıştır. Bu durumun iki sebepten kaynaklanmış olabileceği düşünülmektedir. Birincisi 2008-2009 yıllarında yaşanan küresel ekonomik kriz, ikincisi de bu krize bağlı olarak, dünya piyasalarından Türkiye’ye gelen sabit sermaye yatırımlarındaki azalmalardır. Bu nedenlerden dolayı 2011 yılından sonra Türkiye’de büyüme hızı önemli ölçüde düşmüştür. </w:t>
      </w:r>
    </w:p>
    <w:p w:rsidR="00124727" w:rsidRPr="00C24DB0" w:rsidRDefault="00124727" w:rsidP="007976A9">
      <w:pPr>
        <w:spacing w:after="240"/>
        <w:rPr>
          <w:rFonts w:ascii="Times New Roman" w:hAnsi="Times New Roman"/>
        </w:rPr>
      </w:pPr>
    </w:p>
    <w:p w:rsidR="0053278C" w:rsidRPr="00C24DB0" w:rsidRDefault="00784250" w:rsidP="007976A9">
      <w:pPr>
        <w:spacing w:after="240"/>
        <w:rPr>
          <w:rFonts w:ascii="Times New Roman" w:hAnsi="Times New Roman"/>
        </w:rPr>
      </w:pPr>
      <w:r w:rsidRPr="00C24DB0">
        <w:rPr>
          <w:rFonts w:ascii="Times New Roman" w:hAnsi="Times New Roman"/>
          <w:noProof/>
        </w:rPr>
        <w:lastRenderedPageBreak/>
        <w:drawing>
          <wp:inline distT="0" distB="0" distL="0" distR="0" wp14:anchorId="5964DBCD" wp14:editId="0D51388B">
            <wp:extent cx="5579745" cy="6495802"/>
            <wp:effectExtent l="0" t="0" r="1905" b="63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4250" w:rsidRPr="00C24DB0" w:rsidRDefault="007C3998" w:rsidP="0055153F">
      <w:pPr>
        <w:pStyle w:val="ResimYazs"/>
        <w:spacing w:before="120" w:after="120"/>
        <w:jc w:val="center"/>
        <w:rPr>
          <w:rFonts w:ascii="Times New Roman" w:hAnsi="Times New Roman"/>
          <w:bCs/>
          <w:sz w:val="24"/>
          <w:szCs w:val="24"/>
        </w:rPr>
      </w:pPr>
      <w:bookmarkStart w:id="9" w:name="_Ref416444449"/>
      <w:r w:rsidRPr="00C24DB0">
        <w:rPr>
          <w:rFonts w:ascii="Times New Roman" w:hAnsi="Times New Roman"/>
          <w:sz w:val="24"/>
          <w:szCs w:val="24"/>
        </w:rPr>
        <w:t>Şekil</w:t>
      </w:r>
      <w:bookmarkEnd w:id="9"/>
      <w:r w:rsidR="0055153F">
        <w:rPr>
          <w:rFonts w:ascii="Times New Roman" w:hAnsi="Times New Roman"/>
          <w:sz w:val="24"/>
          <w:szCs w:val="24"/>
        </w:rPr>
        <w:t xml:space="preserve"> 6</w:t>
      </w:r>
      <w:r w:rsidRPr="00C24DB0">
        <w:rPr>
          <w:rFonts w:ascii="Times New Roman" w:hAnsi="Times New Roman"/>
          <w:sz w:val="24"/>
          <w:szCs w:val="24"/>
        </w:rPr>
        <w:t xml:space="preserve">. </w:t>
      </w:r>
      <w:r w:rsidR="0055153F">
        <w:rPr>
          <w:rFonts w:ascii="Times New Roman" w:hAnsi="Times New Roman"/>
          <w:bCs/>
          <w:sz w:val="24"/>
          <w:szCs w:val="24"/>
        </w:rPr>
        <w:t>Dünya</w:t>
      </w:r>
      <w:r w:rsidR="00784250" w:rsidRPr="00C24DB0">
        <w:rPr>
          <w:rFonts w:ascii="Times New Roman" w:hAnsi="Times New Roman"/>
          <w:bCs/>
          <w:sz w:val="24"/>
          <w:szCs w:val="24"/>
        </w:rPr>
        <w:t>da ve Türkiye’de İşgücü Verimlilik Düzeyi</w:t>
      </w:r>
    </w:p>
    <w:p w:rsidR="005D5420" w:rsidRPr="0055153F" w:rsidRDefault="005D5420" w:rsidP="0055153F">
      <w:pPr>
        <w:spacing w:before="120" w:after="120"/>
        <w:jc w:val="both"/>
        <w:rPr>
          <w:rFonts w:ascii="Times New Roman" w:hAnsi="Times New Roman"/>
          <w:i/>
          <w:sz w:val="22"/>
          <w:szCs w:val="22"/>
        </w:rPr>
      </w:pPr>
      <w:r w:rsidRPr="0055153F">
        <w:rPr>
          <w:rFonts w:ascii="Times New Roman" w:hAnsi="Times New Roman"/>
          <w:b/>
          <w:i/>
          <w:sz w:val="22"/>
          <w:szCs w:val="22"/>
        </w:rPr>
        <w:t>Kaynak:</w:t>
      </w:r>
      <w:r w:rsidRPr="0055153F">
        <w:rPr>
          <w:rFonts w:ascii="Times New Roman" w:hAnsi="Times New Roman"/>
          <w:i/>
          <w:sz w:val="22"/>
          <w:szCs w:val="22"/>
        </w:rPr>
        <w:t xml:space="preserve"> Dünya Bankası Ekonomi ve Büyüme Göstergeleri kullanılarak yapılmıştır.</w:t>
      </w:r>
    </w:p>
    <w:p w:rsidR="005D5420" w:rsidRPr="00C24DB0" w:rsidRDefault="005D5420" w:rsidP="0055153F">
      <w:pPr>
        <w:spacing w:before="120" w:after="120"/>
        <w:rPr>
          <w:rFonts w:ascii="Times New Roman" w:hAnsi="Times New Roman"/>
        </w:rPr>
      </w:pPr>
    </w:p>
    <w:p w:rsidR="008E2F91" w:rsidRPr="00C24DB0" w:rsidRDefault="00600049" w:rsidP="007976A9">
      <w:pPr>
        <w:spacing w:after="240"/>
        <w:jc w:val="both"/>
        <w:rPr>
          <w:rFonts w:ascii="Times New Roman" w:hAnsi="Times New Roman"/>
        </w:rPr>
      </w:pPr>
      <w:r w:rsidRPr="00C24DB0">
        <w:rPr>
          <w:rFonts w:ascii="Times New Roman" w:hAnsi="Times New Roman"/>
        </w:rPr>
        <w:t>Verileri mevcut olan 121 adet ülke üzerinden yapılan analize göre, Türkiye</w:t>
      </w:r>
      <w:r w:rsidR="00A07C2B" w:rsidRPr="00C24DB0">
        <w:rPr>
          <w:rFonts w:ascii="Times New Roman" w:hAnsi="Times New Roman"/>
        </w:rPr>
        <w:t>’nin</w:t>
      </w:r>
      <w:r w:rsidRPr="00C24DB0">
        <w:rPr>
          <w:rFonts w:ascii="Times New Roman" w:hAnsi="Times New Roman"/>
        </w:rPr>
        <w:t xml:space="preserve"> 2012 yılındaki işgücü verimlilik seviyesi</w:t>
      </w:r>
      <w:r w:rsidR="00D5064B" w:rsidRPr="00C24DB0">
        <w:rPr>
          <w:rFonts w:ascii="Times New Roman" w:hAnsi="Times New Roman"/>
        </w:rPr>
        <w:t>nin</w:t>
      </w:r>
      <w:r w:rsidR="0055153F">
        <w:rPr>
          <w:rFonts w:ascii="Times New Roman" w:hAnsi="Times New Roman"/>
        </w:rPr>
        <w:t xml:space="preserve"> d</w:t>
      </w:r>
      <w:r w:rsidRPr="00C24DB0">
        <w:rPr>
          <w:rFonts w:ascii="Times New Roman" w:hAnsi="Times New Roman"/>
        </w:rPr>
        <w:t>ünya ortalamasının yaklaşık 1,5 kat üzerinde seyrettiği gözükmektedir. Gelişmiş sanayi ülkeleri ile Türkiye arasında bir verimlilik karşılaştırması yapmak gerektiğinde ise, yüksek gelirli ülkelerin verimlilik seviyesi</w:t>
      </w:r>
      <w:r w:rsidR="00A07C2B" w:rsidRPr="00C24DB0">
        <w:rPr>
          <w:rFonts w:ascii="Times New Roman" w:hAnsi="Times New Roman"/>
        </w:rPr>
        <w:t xml:space="preserve">nin </w:t>
      </w:r>
      <w:r w:rsidR="00B521A7">
        <w:rPr>
          <w:rFonts w:ascii="Times New Roman" w:hAnsi="Times New Roman"/>
        </w:rPr>
        <w:t>Türkiye’de</w:t>
      </w:r>
      <w:r w:rsidR="00A07C2B" w:rsidRPr="00C24DB0">
        <w:rPr>
          <w:rFonts w:ascii="Times New Roman" w:hAnsi="Times New Roman"/>
        </w:rPr>
        <w:t>n yaklaşık olarak 2 ka</w:t>
      </w:r>
      <w:r w:rsidR="008E2F91" w:rsidRPr="00C24DB0">
        <w:rPr>
          <w:rFonts w:ascii="Times New Roman" w:hAnsi="Times New Roman"/>
        </w:rPr>
        <w:t xml:space="preserve">t yüksek olduğu izlenmektedir. Bu durum </w:t>
      </w:r>
      <w:r w:rsidR="00961336">
        <w:rPr>
          <w:rFonts w:ascii="Times New Roman" w:hAnsi="Times New Roman"/>
        </w:rPr>
        <w:t>Türkiye’nin</w:t>
      </w:r>
      <w:r w:rsidR="008E2F91" w:rsidRPr="00C24DB0">
        <w:rPr>
          <w:rFonts w:ascii="Times New Roman" w:hAnsi="Times New Roman"/>
        </w:rPr>
        <w:t xml:space="preserve"> hızla orta gelir tuzağından kurtulması gerekliliğine işaret etmektedir. </w:t>
      </w:r>
    </w:p>
    <w:p w:rsidR="00A07C2B" w:rsidRPr="00C24DB0" w:rsidRDefault="00A07C2B" w:rsidP="007976A9">
      <w:pPr>
        <w:spacing w:after="240"/>
        <w:jc w:val="both"/>
        <w:rPr>
          <w:rFonts w:ascii="Times New Roman" w:hAnsi="Times New Roman"/>
        </w:rPr>
      </w:pPr>
      <w:r w:rsidRPr="00C24DB0">
        <w:rPr>
          <w:rFonts w:ascii="Times New Roman" w:hAnsi="Times New Roman"/>
        </w:rPr>
        <w:t>Türkiye’de işgücü verimlilik seviyesi Avrupa Birliği</w:t>
      </w:r>
      <w:r w:rsidR="00A638AF" w:rsidRPr="00C24DB0">
        <w:rPr>
          <w:rFonts w:ascii="Times New Roman" w:hAnsi="Times New Roman"/>
        </w:rPr>
        <w:t xml:space="preserve"> </w:t>
      </w:r>
      <w:r w:rsidR="0055153F">
        <w:rPr>
          <w:rFonts w:ascii="Times New Roman" w:hAnsi="Times New Roman"/>
        </w:rPr>
        <w:t>ülkeleri ortalamasının</w:t>
      </w:r>
      <w:r w:rsidR="00EA6233" w:rsidRPr="00C24DB0">
        <w:rPr>
          <w:rFonts w:ascii="Times New Roman" w:hAnsi="Times New Roman"/>
        </w:rPr>
        <w:t xml:space="preserve"> %</w:t>
      </w:r>
      <w:r w:rsidR="0055153F">
        <w:rPr>
          <w:rFonts w:ascii="Times New Roman" w:hAnsi="Times New Roman"/>
        </w:rPr>
        <w:t xml:space="preserve"> </w:t>
      </w:r>
      <w:r w:rsidR="00EA6233" w:rsidRPr="00C24DB0">
        <w:rPr>
          <w:rFonts w:ascii="Times New Roman" w:hAnsi="Times New Roman"/>
        </w:rPr>
        <w:t xml:space="preserve">68’i düzeyindedir. Orta ve uzun dönemde Avrupa Birliği’ne girmeyi hedefleyen Türkiye için </w:t>
      </w:r>
      <w:r w:rsidR="00EA6233" w:rsidRPr="00C24DB0">
        <w:rPr>
          <w:rFonts w:ascii="Times New Roman" w:hAnsi="Times New Roman"/>
        </w:rPr>
        <w:lastRenderedPageBreak/>
        <w:t xml:space="preserve">söz konusu olan verimlilik düzeyi ve daha önceki hesaplamalarda ortaya konulan verimlilik artış hızı yeterli sayılmamaktadır. </w:t>
      </w:r>
    </w:p>
    <w:p w:rsidR="00EA6233" w:rsidRPr="00C24DB0" w:rsidRDefault="00EA6233" w:rsidP="007976A9">
      <w:pPr>
        <w:spacing w:after="240"/>
        <w:jc w:val="both"/>
        <w:rPr>
          <w:rFonts w:ascii="Times New Roman" w:hAnsi="Times New Roman"/>
        </w:rPr>
      </w:pPr>
      <w:r w:rsidRPr="00C24DB0">
        <w:rPr>
          <w:rFonts w:ascii="Times New Roman" w:hAnsi="Times New Roman"/>
        </w:rPr>
        <w:t>Kuşkusuz alt gelir ve orta gelir gruplarına göre Türkiye’nin verimlilik düzeyi önemli sayılabilecek bir noktadadır. Ancak, nüfus, gelir, jeopolitik durum ve makroekonomik veriler açısından daha yüksek bir potansiyele sahip olan Türkiye’nin verimlilik düzeyinin de OECD ülkeleri seviyesinde olmasa bile Avrupa Birliği seviyelerine çıkabilme olasılığı mevcuttur. Bunun için Türkiye’nin öncelikle büyüme ve kalkınma modelini üretkenlik temelli bir yapıya oturtmasının zorunlu olduğu düşünülmektedir.</w:t>
      </w:r>
    </w:p>
    <w:p w:rsidR="0069544D" w:rsidRPr="00C24DB0" w:rsidRDefault="00D71F73" w:rsidP="00D71F73">
      <w:pPr>
        <w:pStyle w:val="Balk1"/>
        <w:numPr>
          <w:ilvl w:val="0"/>
          <w:numId w:val="0"/>
        </w:numPr>
        <w:spacing w:after="240" w:line="240" w:lineRule="auto"/>
        <w:rPr>
          <w:rFonts w:ascii="Times New Roman" w:hAnsi="Times New Roman" w:cs="Times New Roman"/>
          <w:szCs w:val="24"/>
        </w:rPr>
      </w:pPr>
      <w:bookmarkStart w:id="10" w:name="_Toc416961908"/>
      <w:r>
        <w:rPr>
          <w:rFonts w:ascii="Times New Roman" w:hAnsi="Times New Roman" w:cs="Times New Roman"/>
          <w:szCs w:val="24"/>
        </w:rPr>
        <w:t>3.</w:t>
      </w:r>
      <w:r w:rsidRPr="00C24DB0">
        <w:rPr>
          <w:rFonts w:ascii="Times New Roman" w:hAnsi="Times New Roman" w:cs="Times New Roman"/>
          <w:szCs w:val="24"/>
        </w:rPr>
        <w:t>BULGULAR</w:t>
      </w:r>
      <w:bookmarkEnd w:id="10"/>
    </w:p>
    <w:p w:rsidR="00927BDA" w:rsidRPr="00C24DB0" w:rsidRDefault="00927BDA" w:rsidP="007976A9">
      <w:pPr>
        <w:spacing w:after="240"/>
        <w:jc w:val="both"/>
        <w:rPr>
          <w:rFonts w:ascii="Times New Roman" w:hAnsi="Times New Roman"/>
        </w:rPr>
      </w:pPr>
      <w:r w:rsidRPr="00C24DB0">
        <w:rPr>
          <w:rFonts w:ascii="Times New Roman" w:hAnsi="Times New Roman"/>
        </w:rPr>
        <w:t xml:space="preserve">Türkiye’nin </w:t>
      </w:r>
      <w:r w:rsidR="00D71F73">
        <w:rPr>
          <w:rFonts w:ascii="Times New Roman" w:hAnsi="Times New Roman"/>
        </w:rPr>
        <w:t>2005-2014 döneminde</w:t>
      </w:r>
      <w:r w:rsidRPr="00C24DB0">
        <w:rPr>
          <w:rFonts w:ascii="Times New Roman" w:hAnsi="Times New Roman"/>
        </w:rPr>
        <w:t xml:space="preserve"> hem verimlilik seviyesinin hem de değişim oranlarının nereden nereye geldiğini bilmek oluşturulacak olan iktisat politikaları açısından son derece yararlıdır. Çünkü ülkelerin gelişmesinde mevcut kaynakların tam ve etkin kullanılması birinci derecede önemli bir faktördür. </w:t>
      </w:r>
    </w:p>
    <w:p w:rsidR="008D69D3" w:rsidRPr="00C24DB0" w:rsidRDefault="008D69D3" w:rsidP="007976A9">
      <w:pPr>
        <w:jc w:val="both"/>
        <w:rPr>
          <w:rFonts w:ascii="Times New Roman" w:hAnsi="Times New Roman"/>
        </w:rPr>
      </w:pPr>
      <w:r w:rsidRPr="00C24DB0">
        <w:rPr>
          <w:rFonts w:ascii="Times New Roman" w:hAnsi="Times New Roman"/>
        </w:rPr>
        <w:t>Çalışmanın önceki bölümlerinde de belirtildiği gibi 2005-2014 döneminde çeşitli ülkeler ile Türkiye’nin işgücü verimliliği d</w:t>
      </w:r>
      <w:r w:rsidR="009A0C85">
        <w:rPr>
          <w:rFonts w:ascii="Times New Roman" w:hAnsi="Times New Roman"/>
        </w:rPr>
        <w:t>eğişimleri karşılaştırıldığında</w:t>
      </w:r>
      <w:r w:rsidRPr="00C24DB0">
        <w:rPr>
          <w:rFonts w:ascii="Times New Roman" w:hAnsi="Times New Roman"/>
        </w:rPr>
        <w:t xml:space="preserve"> aşağıdaki bulgular elde edilmiştir. </w:t>
      </w:r>
    </w:p>
    <w:p w:rsidR="00243D95" w:rsidRDefault="008D69D3" w:rsidP="00583270">
      <w:pPr>
        <w:pStyle w:val="ListeParagraf"/>
        <w:numPr>
          <w:ilvl w:val="0"/>
          <w:numId w:val="7"/>
        </w:numPr>
        <w:spacing w:before="120" w:after="120"/>
        <w:ind w:left="1145" w:hanging="357"/>
        <w:jc w:val="both"/>
        <w:rPr>
          <w:rFonts w:ascii="Times New Roman" w:hAnsi="Times New Roman"/>
        </w:rPr>
      </w:pPr>
      <w:r w:rsidRPr="00583270">
        <w:rPr>
          <w:rFonts w:ascii="Times New Roman" w:hAnsi="Times New Roman"/>
        </w:rPr>
        <w:t>Söz konusu dönemde, gelişmiş, yarı gelişmiş v</w:t>
      </w:r>
      <w:r w:rsidR="00243D95" w:rsidRPr="00583270">
        <w:rPr>
          <w:rFonts w:ascii="Times New Roman" w:hAnsi="Times New Roman"/>
        </w:rPr>
        <w:t xml:space="preserve">e gelişmekte olan bir grup ülkeye göre </w:t>
      </w:r>
      <w:r w:rsidRPr="00583270">
        <w:rPr>
          <w:rFonts w:ascii="Times New Roman" w:hAnsi="Times New Roman"/>
        </w:rPr>
        <w:t xml:space="preserve">Türkiye 17. sırada yer almaktadır. Ağırlığı yarı gelişmiş ülkeler olan bu ülkeler kümesi içinde Türkiye’nin elde ettiği 17. sıra </w:t>
      </w:r>
      <w:r w:rsidR="00961336" w:rsidRPr="00583270">
        <w:rPr>
          <w:rFonts w:ascii="Times New Roman" w:hAnsi="Times New Roman"/>
        </w:rPr>
        <w:t>Türkiye’nin</w:t>
      </w:r>
      <w:r w:rsidRPr="00583270">
        <w:rPr>
          <w:rFonts w:ascii="Times New Roman" w:hAnsi="Times New Roman"/>
        </w:rPr>
        <w:t xml:space="preserve"> potansiyeline göre hiç de arzu edilmeyen bir seviye oluşturmaktadır. </w:t>
      </w:r>
    </w:p>
    <w:p w:rsidR="00583270" w:rsidRPr="00583270" w:rsidRDefault="00583270" w:rsidP="00583270">
      <w:pPr>
        <w:pStyle w:val="ListeParagraf"/>
        <w:spacing w:before="120" w:after="120"/>
        <w:ind w:left="1145"/>
        <w:jc w:val="both"/>
        <w:rPr>
          <w:rFonts w:ascii="Times New Roman" w:hAnsi="Times New Roman"/>
        </w:rPr>
      </w:pPr>
    </w:p>
    <w:p w:rsidR="00243D95" w:rsidRDefault="00243D95" w:rsidP="00583270">
      <w:pPr>
        <w:pStyle w:val="ListeParagraf"/>
        <w:numPr>
          <w:ilvl w:val="0"/>
          <w:numId w:val="7"/>
        </w:numPr>
        <w:spacing w:before="120" w:after="120"/>
        <w:ind w:left="1145" w:hanging="357"/>
        <w:jc w:val="both"/>
        <w:rPr>
          <w:rFonts w:ascii="Times New Roman" w:hAnsi="Times New Roman"/>
        </w:rPr>
      </w:pPr>
      <w:r w:rsidRPr="00583270">
        <w:rPr>
          <w:rFonts w:ascii="Times New Roman" w:hAnsi="Times New Roman"/>
        </w:rPr>
        <w:t>Küresel krizin yaşandığ</w:t>
      </w:r>
      <w:r w:rsidR="009A0C85">
        <w:rPr>
          <w:rFonts w:ascii="Times New Roman" w:hAnsi="Times New Roman"/>
        </w:rPr>
        <w:t>ı 2007 ve 2008 yıllarında dünya</w:t>
      </w:r>
      <w:r w:rsidRPr="00583270">
        <w:rPr>
          <w:rFonts w:ascii="Times New Roman" w:hAnsi="Times New Roman"/>
        </w:rPr>
        <w:t xml:space="preserve">nın çoğu ülkesinde olduğu gibi Türkiye’de de işgücü verimliliğinin düştüğü izlenmektedir. </w:t>
      </w:r>
    </w:p>
    <w:p w:rsidR="00583270" w:rsidRPr="00583270" w:rsidRDefault="00583270" w:rsidP="00583270">
      <w:pPr>
        <w:pStyle w:val="ListeParagraf"/>
        <w:rPr>
          <w:rFonts w:ascii="Times New Roman" w:hAnsi="Times New Roman"/>
        </w:rPr>
      </w:pPr>
    </w:p>
    <w:p w:rsidR="00243D95" w:rsidRDefault="00243D95" w:rsidP="00583270">
      <w:pPr>
        <w:pStyle w:val="ListeParagraf"/>
        <w:numPr>
          <w:ilvl w:val="0"/>
          <w:numId w:val="7"/>
        </w:numPr>
        <w:spacing w:before="120" w:after="120"/>
        <w:ind w:left="1145" w:hanging="357"/>
        <w:jc w:val="both"/>
        <w:rPr>
          <w:rFonts w:ascii="Times New Roman" w:hAnsi="Times New Roman"/>
        </w:rPr>
      </w:pPr>
      <w:r w:rsidRPr="00583270">
        <w:rPr>
          <w:rFonts w:ascii="Times New Roman" w:hAnsi="Times New Roman"/>
        </w:rPr>
        <w:t>2009 yılından itibaren Türkiye’de işgücü verimliliği yükselme eğilimine girmiş ve bu durum 2011 yılına kadar sür</w:t>
      </w:r>
      <w:r w:rsidR="009A0C85">
        <w:rPr>
          <w:rFonts w:ascii="Times New Roman" w:hAnsi="Times New Roman"/>
        </w:rPr>
        <w:t>müştür. 2011 yılından sonra ise</w:t>
      </w:r>
      <w:r w:rsidRPr="00583270">
        <w:rPr>
          <w:rFonts w:ascii="Times New Roman" w:hAnsi="Times New Roman"/>
        </w:rPr>
        <w:t xml:space="preserve"> işgücü verimliliği düşüş ve ciddi bir durgunluk </w:t>
      </w:r>
      <w:r w:rsidR="009A0C85">
        <w:rPr>
          <w:rFonts w:ascii="Times New Roman" w:hAnsi="Times New Roman"/>
        </w:rPr>
        <w:t>içerisine</w:t>
      </w:r>
      <w:r w:rsidRPr="00583270">
        <w:rPr>
          <w:rFonts w:ascii="Times New Roman" w:hAnsi="Times New Roman"/>
        </w:rPr>
        <w:t xml:space="preserve"> girmiştir. Bu durumun ülke ekonomisindeki genel durgunluk yapısı ile ilgili olduğu sanılmaktadır. </w:t>
      </w:r>
    </w:p>
    <w:p w:rsidR="00583270" w:rsidRPr="00583270" w:rsidRDefault="00583270" w:rsidP="00583270">
      <w:pPr>
        <w:pStyle w:val="ListeParagraf"/>
        <w:rPr>
          <w:rFonts w:ascii="Times New Roman" w:hAnsi="Times New Roman"/>
        </w:rPr>
      </w:pPr>
    </w:p>
    <w:p w:rsidR="00243D95" w:rsidRDefault="00243D95" w:rsidP="00583270">
      <w:pPr>
        <w:pStyle w:val="ListeParagraf"/>
        <w:numPr>
          <w:ilvl w:val="0"/>
          <w:numId w:val="7"/>
        </w:numPr>
        <w:spacing w:before="120" w:after="120"/>
        <w:ind w:left="1145" w:hanging="357"/>
        <w:jc w:val="both"/>
        <w:rPr>
          <w:rFonts w:ascii="Times New Roman" w:hAnsi="Times New Roman"/>
        </w:rPr>
      </w:pPr>
      <w:r w:rsidRPr="00583270">
        <w:rPr>
          <w:rFonts w:ascii="Times New Roman" w:hAnsi="Times New Roman"/>
        </w:rPr>
        <w:t>İmalat sanayinde yıllık ortalama işgücü verimliliği değişimlerinde Türkiye 2005-2014 yılları arasında ortalama %</w:t>
      </w:r>
      <w:r w:rsidR="009A0C85">
        <w:rPr>
          <w:rFonts w:ascii="Times New Roman" w:hAnsi="Times New Roman"/>
        </w:rPr>
        <w:t xml:space="preserve"> </w:t>
      </w:r>
      <w:r w:rsidRPr="00583270">
        <w:rPr>
          <w:rFonts w:ascii="Times New Roman" w:hAnsi="Times New Roman"/>
        </w:rPr>
        <w:t>1,65’lik bir artış hızı gerçekleştirmiştir.</w:t>
      </w:r>
    </w:p>
    <w:p w:rsidR="00583270" w:rsidRPr="00583270" w:rsidRDefault="00583270" w:rsidP="00583270">
      <w:pPr>
        <w:pStyle w:val="ListeParagraf"/>
        <w:rPr>
          <w:rFonts w:ascii="Times New Roman" w:hAnsi="Times New Roman"/>
        </w:rPr>
      </w:pPr>
    </w:p>
    <w:p w:rsidR="00927BDA" w:rsidRDefault="00927BDA" w:rsidP="00583270">
      <w:pPr>
        <w:pStyle w:val="ListeParagraf"/>
        <w:numPr>
          <w:ilvl w:val="0"/>
          <w:numId w:val="7"/>
        </w:numPr>
        <w:spacing w:before="120" w:after="120"/>
        <w:ind w:left="1145" w:hanging="357"/>
        <w:jc w:val="both"/>
        <w:rPr>
          <w:rFonts w:ascii="Times New Roman" w:hAnsi="Times New Roman"/>
        </w:rPr>
      </w:pPr>
      <w:r w:rsidRPr="00583270">
        <w:rPr>
          <w:rFonts w:ascii="Times New Roman" w:hAnsi="Times New Roman"/>
        </w:rPr>
        <w:t xml:space="preserve">Türkiye 28.490 dolarlık işgücü verimliliği düzeyi ile 43. sırada bulunmaktadır. Bu sıralamada 68.374 dolarlık verimlilik düzeyi ile ABD başı çekmektedir. Kongo demokratik cumhuriyeti ise 766 dolarlık verimlilik düzeyi ile son sırada yer almaktadır. Bu sıralamada Dünya ortalaması 18.948 dolardır. Sonuncu </w:t>
      </w:r>
      <w:r w:rsidR="00D5064B" w:rsidRPr="00583270">
        <w:rPr>
          <w:rFonts w:ascii="Times New Roman" w:hAnsi="Times New Roman"/>
        </w:rPr>
        <w:t>ü</w:t>
      </w:r>
      <w:r w:rsidRPr="00583270">
        <w:rPr>
          <w:rFonts w:ascii="Times New Roman" w:hAnsi="Times New Roman"/>
        </w:rPr>
        <w:t>lke olan Kongo dünya ortalamasından yaklaşık 25 kat daha düşük bir verimlilik düzeyine sahiptir. Birinci sıradaki ABD’nin ise dünya ortalamasından yaklaşık 4 kat daha yüksek olduğu görülmektedir.</w:t>
      </w:r>
    </w:p>
    <w:p w:rsidR="00583270" w:rsidRPr="00583270" w:rsidRDefault="00583270" w:rsidP="00583270">
      <w:pPr>
        <w:pStyle w:val="ListeParagraf"/>
        <w:rPr>
          <w:rFonts w:ascii="Times New Roman" w:hAnsi="Times New Roman"/>
        </w:rPr>
      </w:pPr>
    </w:p>
    <w:p w:rsidR="007A271B" w:rsidRDefault="007A271B" w:rsidP="00583270">
      <w:pPr>
        <w:pStyle w:val="ListeParagraf"/>
        <w:numPr>
          <w:ilvl w:val="0"/>
          <w:numId w:val="7"/>
        </w:numPr>
        <w:spacing w:before="120" w:after="120"/>
        <w:ind w:left="1145" w:hanging="357"/>
        <w:jc w:val="both"/>
        <w:rPr>
          <w:rFonts w:ascii="Times New Roman" w:hAnsi="Times New Roman"/>
        </w:rPr>
      </w:pPr>
      <w:r w:rsidRPr="00583270">
        <w:rPr>
          <w:rFonts w:ascii="Times New Roman" w:hAnsi="Times New Roman"/>
        </w:rPr>
        <w:t>2005-2012 döneminde verimlilik düzeyi sıralamasında en yüksek performansı gösteren ülkelerden biri Çin olmuştur. Çin’in sırası 91</w:t>
      </w:r>
      <w:r w:rsidR="00B25338">
        <w:rPr>
          <w:rFonts w:ascii="Times New Roman" w:hAnsi="Times New Roman"/>
        </w:rPr>
        <w:t>’</w:t>
      </w:r>
      <w:r w:rsidRPr="00583270">
        <w:rPr>
          <w:rFonts w:ascii="Times New Roman" w:hAnsi="Times New Roman"/>
        </w:rPr>
        <w:t xml:space="preserve">den 71. sıraya </w:t>
      </w:r>
      <w:r w:rsidR="00BA1E9B">
        <w:rPr>
          <w:rFonts w:ascii="Times New Roman" w:hAnsi="Times New Roman"/>
        </w:rPr>
        <w:t>yükselmiş</w:t>
      </w:r>
      <w:r w:rsidRPr="00583270">
        <w:rPr>
          <w:rFonts w:ascii="Times New Roman" w:hAnsi="Times New Roman"/>
        </w:rPr>
        <w:t>tir. Elbette ki bu durumun Çin’deki yüksek büyüme hızları ile yakından ilgili olduğu düşünülmektedir. Yine perfor</w:t>
      </w:r>
      <w:r w:rsidR="00B25338">
        <w:rPr>
          <w:rFonts w:ascii="Times New Roman" w:hAnsi="Times New Roman"/>
        </w:rPr>
        <w:t>mansı yükselen ülkelerden biri</w:t>
      </w:r>
      <w:r w:rsidRPr="00583270">
        <w:rPr>
          <w:rFonts w:ascii="Times New Roman" w:hAnsi="Times New Roman"/>
        </w:rPr>
        <w:t xml:space="preserve"> de Güney Kore’dir. </w:t>
      </w:r>
      <w:r w:rsidR="00E507E7">
        <w:rPr>
          <w:rFonts w:ascii="Times New Roman" w:hAnsi="Times New Roman"/>
        </w:rPr>
        <w:t>Güney Kore</w:t>
      </w:r>
      <w:r w:rsidRPr="00583270">
        <w:rPr>
          <w:rFonts w:ascii="Times New Roman" w:hAnsi="Times New Roman"/>
        </w:rPr>
        <w:t xml:space="preserve"> d</w:t>
      </w:r>
      <w:r w:rsidR="00E507E7">
        <w:rPr>
          <w:rFonts w:ascii="Times New Roman" w:hAnsi="Times New Roman"/>
        </w:rPr>
        <w:t>e</w:t>
      </w:r>
      <w:r w:rsidRPr="00583270">
        <w:rPr>
          <w:rFonts w:ascii="Times New Roman" w:hAnsi="Times New Roman"/>
        </w:rPr>
        <w:t xml:space="preserve"> 26. sıradan 21. sıraya yükselmiştir. Almanya küresel ekonomik krizin yoğun yaşandığı 2008 yılında 21. sırada iken 2012’de 25. sıraya gerilemiştir. ABD</w:t>
      </w:r>
      <w:r w:rsidR="00E507E7">
        <w:rPr>
          <w:rFonts w:ascii="Times New Roman" w:hAnsi="Times New Roman"/>
        </w:rPr>
        <w:t>;</w:t>
      </w:r>
      <w:r w:rsidRPr="00583270">
        <w:rPr>
          <w:rFonts w:ascii="Times New Roman" w:hAnsi="Times New Roman"/>
        </w:rPr>
        <w:t xml:space="preserve"> kriz öncesi, kriz yılları ve sonrasında verimlilik sıralamasında birincilik </w:t>
      </w:r>
      <w:r w:rsidR="00AC75D2">
        <w:rPr>
          <w:rFonts w:ascii="Times New Roman" w:hAnsi="Times New Roman"/>
        </w:rPr>
        <w:t>konumunu</w:t>
      </w:r>
      <w:r w:rsidRPr="00583270">
        <w:rPr>
          <w:rFonts w:ascii="Times New Roman" w:hAnsi="Times New Roman"/>
        </w:rPr>
        <w:t xml:space="preserve"> kaybetmemiştir.</w:t>
      </w:r>
    </w:p>
    <w:p w:rsidR="00583270" w:rsidRPr="00583270" w:rsidRDefault="00583270" w:rsidP="00583270">
      <w:pPr>
        <w:pStyle w:val="ListeParagraf"/>
        <w:rPr>
          <w:rFonts w:ascii="Times New Roman" w:hAnsi="Times New Roman"/>
        </w:rPr>
      </w:pPr>
    </w:p>
    <w:p w:rsidR="00583270" w:rsidRPr="00583270" w:rsidRDefault="00583270" w:rsidP="00583270">
      <w:pPr>
        <w:pStyle w:val="ListeParagraf"/>
        <w:spacing w:before="120" w:after="120"/>
        <w:ind w:left="1145"/>
        <w:jc w:val="both"/>
        <w:rPr>
          <w:rFonts w:ascii="Times New Roman" w:hAnsi="Times New Roman"/>
        </w:rPr>
      </w:pPr>
    </w:p>
    <w:p w:rsidR="00B72C3F" w:rsidRDefault="00B72C3F" w:rsidP="00583270">
      <w:pPr>
        <w:pStyle w:val="ListeParagraf"/>
        <w:numPr>
          <w:ilvl w:val="0"/>
          <w:numId w:val="7"/>
        </w:numPr>
        <w:spacing w:before="120" w:after="120"/>
        <w:ind w:left="1145" w:hanging="357"/>
        <w:jc w:val="both"/>
        <w:rPr>
          <w:rFonts w:ascii="Times New Roman" w:hAnsi="Times New Roman"/>
        </w:rPr>
      </w:pPr>
      <w:r w:rsidRPr="00583270">
        <w:rPr>
          <w:rFonts w:ascii="Times New Roman" w:hAnsi="Times New Roman"/>
        </w:rPr>
        <w:t>İşgücü verimliliği sıralamasında Türkiye 121 ülke içerisin</w:t>
      </w:r>
      <w:r w:rsidR="00E507E7">
        <w:rPr>
          <w:rFonts w:ascii="Times New Roman" w:hAnsi="Times New Roman"/>
        </w:rPr>
        <w:t>de 2005 yılında 36. sırada iken</w:t>
      </w:r>
      <w:r w:rsidRPr="00583270">
        <w:rPr>
          <w:rFonts w:ascii="Times New Roman" w:hAnsi="Times New Roman"/>
        </w:rPr>
        <w:t xml:space="preserve"> 2012 </w:t>
      </w:r>
      <w:r w:rsidR="00E507E7">
        <w:rPr>
          <w:rFonts w:ascii="Times New Roman" w:hAnsi="Times New Roman"/>
        </w:rPr>
        <w:t>yılında</w:t>
      </w:r>
      <w:r w:rsidRPr="00583270">
        <w:rPr>
          <w:rFonts w:ascii="Times New Roman" w:hAnsi="Times New Roman"/>
        </w:rPr>
        <w:t xml:space="preserve"> 43. sıraya düşmüştür. </w:t>
      </w:r>
    </w:p>
    <w:p w:rsidR="00583270" w:rsidRPr="00583270" w:rsidRDefault="00583270" w:rsidP="00583270">
      <w:pPr>
        <w:pStyle w:val="ListeParagraf"/>
        <w:spacing w:before="120" w:after="120"/>
        <w:ind w:left="1145"/>
        <w:jc w:val="both"/>
        <w:rPr>
          <w:rFonts w:ascii="Times New Roman" w:hAnsi="Times New Roman"/>
        </w:rPr>
      </w:pPr>
    </w:p>
    <w:p w:rsidR="00B72C3F" w:rsidRDefault="00B72C3F" w:rsidP="00583270">
      <w:pPr>
        <w:pStyle w:val="ListeParagraf"/>
        <w:numPr>
          <w:ilvl w:val="0"/>
          <w:numId w:val="7"/>
        </w:numPr>
        <w:spacing w:before="120" w:after="120"/>
        <w:ind w:left="1145" w:hanging="357"/>
        <w:jc w:val="both"/>
        <w:rPr>
          <w:rFonts w:ascii="Times New Roman" w:hAnsi="Times New Roman"/>
        </w:rPr>
      </w:pPr>
      <w:r w:rsidRPr="00583270">
        <w:rPr>
          <w:rFonts w:ascii="Times New Roman" w:hAnsi="Times New Roman"/>
        </w:rPr>
        <w:t>Verileri mevcut olan 121 adet ülke</w:t>
      </w:r>
      <w:r w:rsidR="00E507E7">
        <w:rPr>
          <w:rFonts w:ascii="Times New Roman" w:hAnsi="Times New Roman"/>
        </w:rPr>
        <w:t xml:space="preserve"> üzerinden yapılan analize göre</w:t>
      </w:r>
      <w:r w:rsidRPr="00583270">
        <w:rPr>
          <w:rFonts w:ascii="Times New Roman" w:hAnsi="Times New Roman"/>
        </w:rPr>
        <w:t xml:space="preserve"> Türkiye’nin 2012 yılındaki işgücü verimlilik seviyesi</w:t>
      </w:r>
      <w:r w:rsidR="00D5064B" w:rsidRPr="00583270">
        <w:rPr>
          <w:rFonts w:ascii="Times New Roman" w:hAnsi="Times New Roman"/>
        </w:rPr>
        <w:t>nin</w:t>
      </w:r>
      <w:r w:rsidR="00E507E7">
        <w:rPr>
          <w:rFonts w:ascii="Times New Roman" w:hAnsi="Times New Roman"/>
        </w:rPr>
        <w:t xml:space="preserve"> d</w:t>
      </w:r>
      <w:r w:rsidRPr="00583270">
        <w:rPr>
          <w:rFonts w:ascii="Times New Roman" w:hAnsi="Times New Roman"/>
        </w:rPr>
        <w:t xml:space="preserve">ünya ortalamasının yaklaşık 1,5 kat üzerinde seyrettiği gözükmektedir. Gelişmiş sanayi ülkeleri ile Türkiye arasında bir verimlilik karşılaştırması yapmak gerektiğinde ise, yüksek gelirli ülkelerin verimlilik seviyesinin </w:t>
      </w:r>
      <w:r w:rsidR="00B521A7" w:rsidRPr="00583270">
        <w:rPr>
          <w:rFonts w:ascii="Times New Roman" w:hAnsi="Times New Roman"/>
        </w:rPr>
        <w:t>Türkiye’de</w:t>
      </w:r>
      <w:r w:rsidRPr="00583270">
        <w:rPr>
          <w:rFonts w:ascii="Times New Roman" w:hAnsi="Times New Roman"/>
        </w:rPr>
        <w:t xml:space="preserve">n yaklaşık olarak 2 kat yüksek olduğu izlenmektedir.  </w:t>
      </w:r>
    </w:p>
    <w:p w:rsidR="00583270" w:rsidRPr="00583270" w:rsidRDefault="00583270" w:rsidP="00583270">
      <w:pPr>
        <w:pStyle w:val="ListeParagraf"/>
        <w:rPr>
          <w:rFonts w:ascii="Times New Roman" w:hAnsi="Times New Roman"/>
        </w:rPr>
      </w:pPr>
    </w:p>
    <w:p w:rsidR="00A638AF" w:rsidRPr="00583270" w:rsidRDefault="00A638AF" w:rsidP="00583270">
      <w:pPr>
        <w:pStyle w:val="ListeParagraf"/>
        <w:numPr>
          <w:ilvl w:val="0"/>
          <w:numId w:val="7"/>
        </w:numPr>
        <w:spacing w:before="120" w:after="120"/>
        <w:ind w:left="1145" w:hanging="357"/>
        <w:jc w:val="both"/>
        <w:rPr>
          <w:rFonts w:ascii="Times New Roman" w:hAnsi="Times New Roman"/>
        </w:rPr>
      </w:pPr>
      <w:r w:rsidRPr="00583270">
        <w:rPr>
          <w:rFonts w:ascii="Times New Roman" w:hAnsi="Times New Roman"/>
        </w:rPr>
        <w:t xml:space="preserve">Türkiye’de işgücü verimlilik seviyesi Avrupa Birliği </w:t>
      </w:r>
      <w:r w:rsidR="00817A54">
        <w:rPr>
          <w:rFonts w:ascii="Times New Roman" w:hAnsi="Times New Roman"/>
        </w:rPr>
        <w:t>ü</w:t>
      </w:r>
      <w:r w:rsidRPr="00583270">
        <w:rPr>
          <w:rFonts w:ascii="Times New Roman" w:hAnsi="Times New Roman"/>
        </w:rPr>
        <w:t xml:space="preserve">lkeleri </w:t>
      </w:r>
      <w:r w:rsidR="00E507E7">
        <w:rPr>
          <w:rFonts w:ascii="Times New Roman" w:hAnsi="Times New Roman"/>
        </w:rPr>
        <w:t>ortalaması</w:t>
      </w:r>
      <w:r w:rsidRPr="00583270">
        <w:rPr>
          <w:rFonts w:ascii="Times New Roman" w:hAnsi="Times New Roman"/>
        </w:rPr>
        <w:t>nın %</w:t>
      </w:r>
      <w:r w:rsidR="00E507E7">
        <w:rPr>
          <w:rFonts w:ascii="Times New Roman" w:hAnsi="Times New Roman"/>
        </w:rPr>
        <w:t xml:space="preserve"> </w:t>
      </w:r>
      <w:r w:rsidRPr="00583270">
        <w:rPr>
          <w:rFonts w:ascii="Times New Roman" w:hAnsi="Times New Roman"/>
        </w:rPr>
        <w:t xml:space="preserve">68’i düzeyindedir. </w:t>
      </w:r>
    </w:p>
    <w:p w:rsidR="00C560A8" w:rsidRPr="00C24DB0" w:rsidRDefault="00E507E7" w:rsidP="00E507E7">
      <w:pPr>
        <w:pStyle w:val="Balk1"/>
        <w:numPr>
          <w:ilvl w:val="0"/>
          <w:numId w:val="0"/>
        </w:numPr>
        <w:spacing w:after="240" w:line="240" w:lineRule="auto"/>
        <w:ind w:left="720" w:hanging="360"/>
        <w:rPr>
          <w:rFonts w:ascii="Times New Roman" w:hAnsi="Times New Roman" w:cs="Times New Roman"/>
          <w:szCs w:val="24"/>
        </w:rPr>
      </w:pPr>
      <w:bookmarkStart w:id="11" w:name="_Toc416961909"/>
      <w:r>
        <w:rPr>
          <w:rFonts w:ascii="Times New Roman" w:hAnsi="Times New Roman" w:cs="Times New Roman"/>
          <w:szCs w:val="24"/>
        </w:rPr>
        <w:t>4.</w:t>
      </w:r>
      <w:r w:rsidRPr="00C24DB0">
        <w:rPr>
          <w:rFonts w:ascii="Times New Roman" w:hAnsi="Times New Roman" w:cs="Times New Roman"/>
          <w:szCs w:val="24"/>
        </w:rPr>
        <w:t>SONUÇ VE ÖNERİLER</w:t>
      </w:r>
      <w:bookmarkEnd w:id="11"/>
    </w:p>
    <w:p w:rsidR="00C560A8" w:rsidRPr="00C24DB0" w:rsidRDefault="00C560A8" w:rsidP="007976A9">
      <w:pPr>
        <w:spacing w:after="240"/>
        <w:jc w:val="both"/>
        <w:rPr>
          <w:rFonts w:ascii="Times New Roman" w:hAnsi="Times New Roman"/>
        </w:rPr>
      </w:pPr>
      <w:r w:rsidRPr="00C24DB0">
        <w:rPr>
          <w:rFonts w:ascii="Times New Roman" w:hAnsi="Times New Roman"/>
        </w:rPr>
        <w:t>Bu</w:t>
      </w:r>
      <w:r w:rsidR="00E507E7">
        <w:rPr>
          <w:rFonts w:ascii="Times New Roman" w:hAnsi="Times New Roman"/>
        </w:rPr>
        <w:t xml:space="preserve"> çalışmada, hem Türkiye hem de d</w:t>
      </w:r>
      <w:r w:rsidRPr="00C24DB0">
        <w:rPr>
          <w:rFonts w:ascii="Times New Roman" w:hAnsi="Times New Roman"/>
        </w:rPr>
        <w:t>ünya ülkeleri için verim</w:t>
      </w:r>
      <w:r w:rsidR="00E507E7">
        <w:rPr>
          <w:rFonts w:ascii="Times New Roman" w:hAnsi="Times New Roman"/>
        </w:rPr>
        <w:t>lilik düzeyi ve değişiminde bir</w:t>
      </w:r>
      <w:r w:rsidRPr="00C24DB0">
        <w:rPr>
          <w:rFonts w:ascii="Times New Roman" w:hAnsi="Times New Roman"/>
        </w:rPr>
        <w:t xml:space="preserve">çok sonuç elde edilmiştir. Bu kısımda </w:t>
      </w:r>
      <w:r w:rsidR="000C7DAC">
        <w:rPr>
          <w:rFonts w:ascii="Times New Roman" w:hAnsi="Times New Roman"/>
        </w:rPr>
        <w:t>Türkiye</w:t>
      </w:r>
      <w:r w:rsidRPr="00C24DB0">
        <w:rPr>
          <w:rFonts w:ascii="Times New Roman" w:hAnsi="Times New Roman"/>
        </w:rPr>
        <w:t xml:space="preserve"> için temel sayılabilecek iki sonuç şunlardır. </w:t>
      </w:r>
    </w:p>
    <w:p w:rsidR="00C560A8" w:rsidRPr="00C24DB0" w:rsidRDefault="00C560A8" w:rsidP="007976A9">
      <w:pPr>
        <w:spacing w:after="240"/>
        <w:jc w:val="both"/>
        <w:rPr>
          <w:rFonts w:ascii="Times New Roman" w:hAnsi="Times New Roman"/>
        </w:rPr>
      </w:pPr>
      <w:r w:rsidRPr="00C24DB0">
        <w:rPr>
          <w:rFonts w:ascii="Times New Roman" w:hAnsi="Times New Roman"/>
        </w:rPr>
        <w:t>2005-2014 döneminde Türkiye 24 OECD ülkesi içinde verimlilik değişiminde 17. sırada yer almaktadır. Söz konusu dönemde Türkiye’nin yıllık ortalama işgücü verimliliği artışı %</w:t>
      </w:r>
      <w:r w:rsidR="00E507E7">
        <w:rPr>
          <w:rFonts w:ascii="Times New Roman" w:hAnsi="Times New Roman"/>
        </w:rPr>
        <w:t xml:space="preserve"> </w:t>
      </w:r>
      <w:r w:rsidRPr="00C24DB0">
        <w:rPr>
          <w:rFonts w:ascii="Times New Roman" w:hAnsi="Times New Roman"/>
        </w:rPr>
        <w:t>1,64 olarak hesaplanmıştır. 24 ülkenin ortalaması ise %</w:t>
      </w:r>
      <w:r w:rsidR="00E507E7">
        <w:rPr>
          <w:rFonts w:ascii="Times New Roman" w:hAnsi="Times New Roman"/>
        </w:rPr>
        <w:t xml:space="preserve"> </w:t>
      </w:r>
      <w:r w:rsidRPr="00C24DB0">
        <w:rPr>
          <w:rFonts w:ascii="Times New Roman" w:hAnsi="Times New Roman"/>
        </w:rPr>
        <w:t xml:space="preserve">3,20 olarak bulunmuştur. </w:t>
      </w:r>
    </w:p>
    <w:p w:rsidR="00C560A8" w:rsidRPr="00C24DB0" w:rsidRDefault="00C560A8" w:rsidP="007976A9">
      <w:pPr>
        <w:spacing w:after="240"/>
        <w:jc w:val="both"/>
        <w:rPr>
          <w:rFonts w:ascii="Times New Roman" w:hAnsi="Times New Roman"/>
        </w:rPr>
      </w:pPr>
      <w:r w:rsidRPr="00C24DB0">
        <w:rPr>
          <w:rFonts w:ascii="Times New Roman" w:hAnsi="Times New Roman"/>
        </w:rPr>
        <w:t xml:space="preserve">2012 yılında 121 ülkenin işgücü verimliliği düzeyi üzerinden yapılan analize göre Türkiye 28.490 dolarlık seviye ile 43. sırada bulunmaktadır. 2005 yılında 36. sırada bulunan Türkiye’nin 2012 yılında 43. sıraya düşmesi kuşkusuz </w:t>
      </w:r>
      <w:r w:rsidR="00961336">
        <w:rPr>
          <w:rFonts w:ascii="Times New Roman" w:hAnsi="Times New Roman"/>
        </w:rPr>
        <w:t>Türkiye’nin</w:t>
      </w:r>
      <w:r w:rsidRPr="00C24DB0">
        <w:rPr>
          <w:rFonts w:ascii="Times New Roman" w:hAnsi="Times New Roman"/>
        </w:rPr>
        <w:t xml:space="preserve"> geleceği açısından çok düşündürücüdür. 2005’de 36. sırada olan Türkiye sürekli gerileyerek 2007’de 39, 2009’da 40, 2011’de 42 ve 2012’de ise 43. sıraya düşmüştür. Bu durumun iki sebepten kaynaklanmış olabileceği düşünülmektedir. Birincisi 2008-2009 yıllarında yaşanan küresel ekonomik kriz, ikincisi de bu krize bağlı olarak, dünya piyasalarından Türkiye’ye gelen sabit sermaye yatırımlarındaki azalmalardır. Bu nedenlerden dolayı 2011 yılından sonra Türkiye’de büyüme hızı önemli ölçüde düşmüştür. </w:t>
      </w:r>
    </w:p>
    <w:p w:rsidR="00497B24" w:rsidRPr="00C24DB0" w:rsidRDefault="00497B24" w:rsidP="007976A9">
      <w:pPr>
        <w:spacing w:after="240"/>
        <w:jc w:val="both"/>
        <w:rPr>
          <w:rFonts w:ascii="Times New Roman" w:hAnsi="Times New Roman"/>
        </w:rPr>
      </w:pPr>
      <w:r w:rsidRPr="00C24DB0">
        <w:rPr>
          <w:rFonts w:ascii="Times New Roman" w:hAnsi="Times New Roman"/>
        </w:rPr>
        <w:t>Bu çalışmada da olduğu gibi birçok araştırmada verilerin bulunabilirliği ve karşılaştırmaların yapılabilirliği nedeniyle genellikle işgücü verimliliği analizleri yapılmaktadır. Ancak bilindiği gibi işgücü verimliliği toplam verimliliğin değişkenlerin</w:t>
      </w:r>
      <w:r w:rsidR="00D5064B" w:rsidRPr="00C24DB0">
        <w:rPr>
          <w:rFonts w:ascii="Times New Roman" w:hAnsi="Times New Roman"/>
        </w:rPr>
        <w:t>den</w:t>
      </w:r>
      <w:r w:rsidR="000C7DAC">
        <w:rPr>
          <w:rFonts w:ascii="Times New Roman" w:hAnsi="Times New Roman"/>
        </w:rPr>
        <w:t xml:space="preserve"> sadece biri</w:t>
      </w:r>
      <w:r w:rsidRPr="00C24DB0">
        <w:rPr>
          <w:rFonts w:ascii="Times New Roman" w:hAnsi="Times New Roman"/>
        </w:rPr>
        <w:t>dir. Tüm karşılaştırmalarda esas olan</w:t>
      </w:r>
      <w:r w:rsidR="000C7DAC">
        <w:rPr>
          <w:rFonts w:ascii="Times New Roman" w:hAnsi="Times New Roman"/>
        </w:rPr>
        <w:t>,</w:t>
      </w:r>
      <w:r w:rsidRPr="00C24DB0">
        <w:rPr>
          <w:rFonts w:ascii="Times New Roman" w:hAnsi="Times New Roman"/>
        </w:rPr>
        <w:t xml:space="preserve"> toplam faktör verimliliği analizlerinin yapılmasıdır. Verilerin bulunabilmesi ve sermaye faktörünün tanımlama sorunlarının giderilmesi halinde toplam faktör verimliliği hesaplarının yapılması hem sanayinin genel yapısını anlamak, hem de makro iktisat politikalarına yön vermek açısından son derece önemlidir. Önümüzdeki dönemde bu yöndeki çalışmaların ilgili kurumlarda hız kazanması faydalı olacaktır. </w:t>
      </w:r>
    </w:p>
    <w:p w:rsidR="00262750" w:rsidRPr="00C24DB0" w:rsidRDefault="00C560A8" w:rsidP="007976A9">
      <w:pPr>
        <w:spacing w:after="240"/>
        <w:jc w:val="both"/>
        <w:rPr>
          <w:rFonts w:ascii="Times New Roman" w:hAnsi="Times New Roman"/>
        </w:rPr>
      </w:pPr>
      <w:r w:rsidRPr="00C24DB0">
        <w:rPr>
          <w:rFonts w:ascii="Times New Roman" w:hAnsi="Times New Roman"/>
        </w:rPr>
        <w:t xml:space="preserve">Türkiye hem verimlilik hızında hem de verimlilik düzeyinde daha ileri noktaları yakalayabilmek için öncelikle verimlilik gelişiminde temel faktörler olan teknolojik değişim ve nitelikli işgücü alanlarında yüksek atılımlar yapmak zorundadır. Bu kapsamda; </w:t>
      </w:r>
      <w:r w:rsidR="00961336">
        <w:rPr>
          <w:rFonts w:ascii="Times New Roman" w:hAnsi="Times New Roman"/>
        </w:rPr>
        <w:t>Türkiye’nin</w:t>
      </w:r>
      <w:r w:rsidRPr="00C24DB0">
        <w:rPr>
          <w:rFonts w:ascii="Times New Roman" w:hAnsi="Times New Roman"/>
        </w:rPr>
        <w:t xml:space="preserve"> genel kalkınma planları içerisinde bir </w:t>
      </w:r>
      <w:r w:rsidRPr="00C24DB0">
        <w:rPr>
          <w:rFonts w:ascii="Times New Roman" w:hAnsi="Times New Roman"/>
          <w:i/>
        </w:rPr>
        <w:t>“verimlilik ekonomisi”</w:t>
      </w:r>
      <w:r w:rsidRPr="00C24DB0">
        <w:rPr>
          <w:rFonts w:ascii="Times New Roman" w:hAnsi="Times New Roman"/>
        </w:rPr>
        <w:t xml:space="preserve"> planlamasının yapılması, bu p</w:t>
      </w:r>
      <w:r w:rsidR="00262750" w:rsidRPr="00C24DB0">
        <w:rPr>
          <w:rFonts w:ascii="Times New Roman" w:hAnsi="Times New Roman"/>
        </w:rPr>
        <w:t xml:space="preserve">lana bağlı olarak tüm kesimlerin katılım ve işbirliği ile bir verimlilik politikasının oluşturulması ve bunlara bağlı olarak da verimlilik program ve projelerinin hazırlanarak uygulamaya geçilmesi önerilmektedir. </w:t>
      </w:r>
    </w:p>
    <w:bookmarkStart w:id="12" w:name="_Toc416961910" w:displacedByCustomXml="next"/>
    <w:sdt>
      <w:sdtPr>
        <w:rPr>
          <w:rFonts w:ascii="Times New Roman" w:eastAsia="Times New Roman" w:hAnsi="Times New Roman" w:cs="Times New Roman"/>
          <w:b w:val="0"/>
          <w:szCs w:val="24"/>
        </w:rPr>
        <w:id w:val="963770554"/>
        <w:docPartObj>
          <w:docPartGallery w:val="Bibliographies"/>
          <w:docPartUnique/>
        </w:docPartObj>
      </w:sdtPr>
      <w:sdtEndPr/>
      <w:sdtContent>
        <w:p w:rsidR="00E737B3" w:rsidRPr="00C24DB0" w:rsidRDefault="000C7DAC" w:rsidP="000C7DAC">
          <w:pPr>
            <w:pStyle w:val="Balk1"/>
            <w:numPr>
              <w:ilvl w:val="0"/>
              <w:numId w:val="0"/>
            </w:numPr>
            <w:spacing w:line="240" w:lineRule="auto"/>
            <w:ind w:left="720" w:hanging="360"/>
            <w:rPr>
              <w:rFonts w:ascii="Times New Roman" w:hAnsi="Times New Roman" w:cs="Times New Roman"/>
              <w:szCs w:val="24"/>
            </w:rPr>
          </w:pPr>
          <w:r w:rsidRPr="00C24DB0">
            <w:rPr>
              <w:rFonts w:ascii="Times New Roman" w:hAnsi="Times New Roman" w:cs="Times New Roman"/>
              <w:szCs w:val="24"/>
            </w:rPr>
            <w:t>KAYNAKÇA</w:t>
          </w:r>
          <w:bookmarkEnd w:id="12"/>
        </w:p>
        <w:sdt>
          <w:sdtPr>
            <w:rPr>
              <w:rFonts w:ascii="Times New Roman" w:hAnsi="Times New Roman"/>
            </w:rPr>
            <w:id w:val="111145805"/>
            <w:bibliography/>
          </w:sdtPr>
          <w:sdtEndPr/>
          <w:sdtContent>
            <w:p w:rsidR="00E737B3" w:rsidRPr="00C24DB0" w:rsidRDefault="00894BED" w:rsidP="000C7DAC">
              <w:pPr>
                <w:pStyle w:val="Kaynaka"/>
                <w:numPr>
                  <w:ilvl w:val="0"/>
                  <w:numId w:val="8"/>
                </w:numPr>
                <w:spacing w:before="120" w:after="120"/>
                <w:rPr>
                  <w:rFonts w:ascii="Times New Roman" w:hAnsi="Times New Roman"/>
                  <w:noProof/>
                </w:rPr>
              </w:pPr>
              <w:r w:rsidRPr="00C24DB0">
                <w:rPr>
                  <w:rFonts w:ascii="Times New Roman" w:hAnsi="Times New Roman"/>
                </w:rPr>
                <w:fldChar w:fldCharType="begin"/>
              </w:r>
              <w:r w:rsidR="00E737B3" w:rsidRPr="00C24DB0">
                <w:rPr>
                  <w:rFonts w:ascii="Times New Roman" w:hAnsi="Times New Roman"/>
                </w:rPr>
                <w:instrText>BIBLIOGRAPHY</w:instrText>
              </w:r>
              <w:r w:rsidRPr="00C24DB0">
                <w:rPr>
                  <w:rFonts w:ascii="Times New Roman" w:hAnsi="Times New Roman"/>
                </w:rPr>
                <w:fldChar w:fldCharType="separate"/>
              </w:r>
              <w:r w:rsidR="00E737B3" w:rsidRPr="00C24DB0">
                <w:rPr>
                  <w:rFonts w:ascii="Times New Roman" w:hAnsi="Times New Roman"/>
                  <w:noProof/>
                </w:rPr>
                <w:t>Eurostat Web Sitesi: http://ec.europa.eu/eurostat/web/short-term-business-statistics/data/database adresinden alın</w:t>
              </w:r>
              <w:r w:rsidR="00D5064B" w:rsidRPr="00C24DB0">
                <w:rPr>
                  <w:rFonts w:ascii="Times New Roman" w:hAnsi="Times New Roman"/>
                  <w:noProof/>
                </w:rPr>
                <w:t>m</w:t>
              </w:r>
              <w:r w:rsidR="00E737B3" w:rsidRPr="00C24DB0">
                <w:rPr>
                  <w:rFonts w:ascii="Times New Roman" w:hAnsi="Times New Roman"/>
                  <w:noProof/>
                </w:rPr>
                <w:t>ı</w:t>
              </w:r>
              <w:r w:rsidR="000C7DAC">
                <w:rPr>
                  <w:rFonts w:ascii="Times New Roman" w:hAnsi="Times New Roman"/>
                  <w:noProof/>
                </w:rPr>
                <w:t xml:space="preserve">ştır </w:t>
              </w:r>
              <w:r w:rsidR="000C7DAC" w:rsidRPr="00C24DB0">
                <w:rPr>
                  <w:rFonts w:ascii="Times New Roman" w:hAnsi="Times New Roman"/>
                  <w:noProof/>
                </w:rPr>
                <w:t>(</w:t>
              </w:r>
              <w:r w:rsidR="000C7DAC">
                <w:rPr>
                  <w:rFonts w:ascii="Times New Roman" w:hAnsi="Times New Roman"/>
                  <w:noProof/>
                </w:rPr>
                <w:t>Erişim Tarihi: 16 Nisan 2015)</w:t>
              </w:r>
              <w:r w:rsidR="000C7DAC" w:rsidRPr="00C24DB0">
                <w:rPr>
                  <w:rFonts w:ascii="Times New Roman" w:hAnsi="Times New Roman"/>
                  <w:noProof/>
                </w:rPr>
                <w:t>.</w:t>
              </w:r>
            </w:p>
            <w:p w:rsidR="00E737B3" w:rsidRPr="00C24DB0" w:rsidRDefault="00E737B3" w:rsidP="000C7DAC">
              <w:pPr>
                <w:pStyle w:val="Kaynaka"/>
                <w:numPr>
                  <w:ilvl w:val="0"/>
                  <w:numId w:val="8"/>
                </w:numPr>
                <w:spacing w:before="120" w:after="120"/>
                <w:rPr>
                  <w:rFonts w:ascii="Times New Roman" w:hAnsi="Times New Roman"/>
                  <w:noProof/>
                </w:rPr>
              </w:pPr>
              <w:r w:rsidRPr="00C24DB0">
                <w:rPr>
                  <w:rFonts w:ascii="Times New Roman" w:hAnsi="Times New Roman"/>
                  <w:noProof/>
                </w:rPr>
                <w:t>World Bank Web Sitesi: http://data.worldbank.org/indicator adresinden alın</w:t>
              </w:r>
              <w:r w:rsidR="00D5064B" w:rsidRPr="00C24DB0">
                <w:rPr>
                  <w:rFonts w:ascii="Times New Roman" w:hAnsi="Times New Roman"/>
                  <w:noProof/>
                </w:rPr>
                <w:t>mıştır</w:t>
              </w:r>
              <w:r w:rsidR="000C7DAC">
                <w:rPr>
                  <w:rFonts w:ascii="Times New Roman" w:hAnsi="Times New Roman"/>
                  <w:noProof/>
                </w:rPr>
                <w:t xml:space="preserve"> </w:t>
              </w:r>
              <w:r w:rsidR="000C7DAC" w:rsidRPr="00C24DB0">
                <w:rPr>
                  <w:rFonts w:ascii="Times New Roman" w:hAnsi="Times New Roman"/>
                  <w:noProof/>
                </w:rPr>
                <w:t>(</w:t>
              </w:r>
              <w:r w:rsidR="000C7DAC">
                <w:rPr>
                  <w:rFonts w:ascii="Times New Roman" w:hAnsi="Times New Roman"/>
                  <w:noProof/>
                </w:rPr>
                <w:t xml:space="preserve">Erişim Tarihi: 16 Nisan </w:t>
              </w:r>
              <w:r w:rsidR="000C7DAC" w:rsidRPr="00C24DB0">
                <w:rPr>
                  <w:rFonts w:ascii="Times New Roman" w:hAnsi="Times New Roman"/>
                  <w:noProof/>
                </w:rPr>
                <w:t>2015</w:t>
              </w:r>
              <w:r w:rsidR="000C7DAC">
                <w:rPr>
                  <w:rFonts w:ascii="Times New Roman" w:hAnsi="Times New Roman"/>
                  <w:noProof/>
                </w:rPr>
                <w:t>).</w:t>
              </w:r>
            </w:p>
            <w:p w:rsidR="00E737B3" w:rsidRPr="00C24DB0" w:rsidRDefault="00E737B3" w:rsidP="000C7DAC">
              <w:pPr>
                <w:pStyle w:val="Kaynaka"/>
                <w:numPr>
                  <w:ilvl w:val="0"/>
                  <w:numId w:val="8"/>
                </w:numPr>
                <w:spacing w:before="120" w:after="120"/>
                <w:rPr>
                  <w:rFonts w:ascii="Times New Roman" w:hAnsi="Times New Roman"/>
                  <w:noProof/>
                </w:rPr>
              </w:pPr>
              <w:r w:rsidRPr="009701D1">
                <w:rPr>
                  <w:rFonts w:ascii="Times New Roman" w:hAnsi="Times New Roman"/>
                  <w:iCs/>
                  <w:noProof/>
                </w:rPr>
                <w:t>Onuncu Kalkınma Planı</w:t>
              </w:r>
              <w:r w:rsidRPr="00C24DB0">
                <w:rPr>
                  <w:rFonts w:ascii="Times New Roman" w:hAnsi="Times New Roman"/>
                  <w:i/>
                  <w:iCs/>
                  <w:noProof/>
                </w:rPr>
                <w:t xml:space="preserve"> </w:t>
              </w:r>
              <w:r w:rsidR="009701D1">
                <w:rPr>
                  <w:rFonts w:ascii="Times New Roman" w:hAnsi="Times New Roman"/>
                  <w:iCs/>
                  <w:noProof/>
                </w:rPr>
                <w:t>2014-2018,</w:t>
              </w:r>
              <w:r w:rsidRPr="00C24DB0">
                <w:rPr>
                  <w:rFonts w:ascii="Times New Roman" w:hAnsi="Times New Roman"/>
                  <w:noProof/>
                </w:rPr>
                <w:t xml:space="preserve"> </w:t>
              </w:r>
              <w:r w:rsidR="009701D1">
                <w:rPr>
                  <w:rFonts w:ascii="Times New Roman" w:hAnsi="Times New Roman"/>
                  <w:noProof/>
                </w:rPr>
                <w:t xml:space="preserve">(2013), T. C. </w:t>
              </w:r>
              <w:r w:rsidR="007053AE">
                <w:rPr>
                  <w:rFonts w:ascii="Times New Roman" w:hAnsi="Times New Roman"/>
                  <w:noProof/>
                </w:rPr>
                <w:t>Kalkınma Bakanlığı,</w:t>
              </w:r>
              <w:r w:rsidR="007053AE" w:rsidRPr="007053AE">
                <w:rPr>
                  <w:rFonts w:ascii="Times New Roman" w:hAnsi="Times New Roman"/>
                  <w:noProof/>
                </w:rPr>
                <w:t xml:space="preserve"> </w:t>
              </w:r>
              <w:r w:rsidR="007053AE">
                <w:rPr>
                  <w:rFonts w:ascii="Times New Roman" w:hAnsi="Times New Roman"/>
                  <w:noProof/>
                </w:rPr>
                <w:t>Ankara.</w:t>
              </w:r>
            </w:p>
            <w:p w:rsidR="00E737B3" w:rsidRPr="00C24DB0" w:rsidRDefault="009701D1" w:rsidP="000C7DAC">
              <w:pPr>
                <w:pStyle w:val="Kaynaka"/>
                <w:numPr>
                  <w:ilvl w:val="0"/>
                  <w:numId w:val="8"/>
                </w:numPr>
                <w:spacing w:before="120" w:after="120"/>
                <w:rPr>
                  <w:rFonts w:ascii="Times New Roman" w:hAnsi="Times New Roman"/>
                  <w:noProof/>
                </w:rPr>
              </w:pPr>
              <w:r w:rsidRPr="00C24DB0">
                <w:rPr>
                  <w:rFonts w:ascii="Times New Roman" w:hAnsi="Times New Roman"/>
                  <w:noProof/>
                </w:rPr>
                <w:t>SARAÇOĞLU</w:t>
              </w:r>
              <w:r w:rsidR="00E737B3" w:rsidRPr="00C24DB0">
                <w:rPr>
                  <w:rFonts w:ascii="Times New Roman" w:hAnsi="Times New Roman"/>
                  <w:noProof/>
                </w:rPr>
                <w:t xml:space="preserve">, B., &amp; </w:t>
              </w:r>
              <w:r w:rsidRPr="00C24DB0">
                <w:rPr>
                  <w:rFonts w:ascii="Times New Roman" w:hAnsi="Times New Roman"/>
                  <w:noProof/>
                </w:rPr>
                <w:t>SUİÇMEZ</w:t>
              </w:r>
              <w:r w:rsidR="00E737B3" w:rsidRPr="00C24DB0">
                <w:rPr>
                  <w:rFonts w:ascii="Times New Roman" w:hAnsi="Times New Roman"/>
                  <w:noProof/>
                </w:rPr>
                <w:t>, H.</w:t>
              </w:r>
              <w:r>
                <w:rPr>
                  <w:rFonts w:ascii="Times New Roman" w:hAnsi="Times New Roman"/>
                  <w:noProof/>
                </w:rPr>
                <w:t>,</w:t>
              </w:r>
              <w:r w:rsidR="00E737B3" w:rsidRPr="00C24DB0">
                <w:rPr>
                  <w:rFonts w:ascii="Times New Roman" w:hAnsi="Times New Roman"/>
                  <w:noProof/>
                </w:rPr>
                <w:t xml:space="preserve"> (2006)</w:t>
              </w:r>
              <w:r>
                <w:rPr>
                  <w:rFonts w:ascii="Times New Roman" w:hAnsi="Times New Roman"/>
                  <w:noProof/>
                </w:rPr>
                <w:t>,</w:t>
              </w:r>
              <w:r w:rsidR="00E737B3" w:rsidRPr="00C24DB0">
                <w:rPr>
                  <w:rFonts w:ascii="Times New Roman" w:hAnsi="Times New Roman"/>
                  <w:noProof/>
                </w:rPr>
                <w:t xml:space="preserve"> </w:t>
              </w:r>
              <w:r w:rsidR="00E737B3" w:rsidRPr="009701D1">
                <w:rPr>
                  <w:rFonts w:ascii="Times New Roman" w:hAnsi="Times New Roman"/>
                  <w:b/>
                  <w:i/>
                  <w:iCs/>
                  <w:noProof/>
                </w:rPr>
                <w:t>Türkiye İmalat Sanayiinde Verimlilik, Teknolojik Gelişme, Yapısal Özellikler ve 2001 Krizi Sonrası Reel Değişimler (1980-2005)</w:t>
              </w:r>
              <w:r>
                <w:rPr>
                  <w:rFonts w:ascii="Times New Roman" w:hAnsi="Times New Roman"/>
                  <w:i/>
                  <w:iCs/>
                  <w:noProof/>
                </w:rPr>
                <w:t xml:space="preserve">, </w:t>
              </w:r>
              <w:r>
                <w:rPr>
                  <w:rFonts w:ascii="Times New Roman" w:hAnsi="Times New Roman"/>
                  <w:noProof/>
                </w:rPr>
                <w:t xml:space="preserve">Mülga </w:t>
              </w:r>
              <w:r w:rsidR="007053AE">
                <w:rPr>
                  <w:rFonts w:ascii="Times New Roman" w:hAnsi="Times New Roman"/>
                  <w:noProof/>
                </w:rPr>
                <w:t>Milli Prodüktivite Merkezi,</w:t>
              </w:r>
              <w:r w:rsidR="007053AE" w:rsidRPr="007053AE">
                <w:rPr>
                  <w:rFonts w:ascii="Times New Roman" w:hAnsi="Times New Roman"/>
                  <w:noProof/>
                </w:rPr>
                <w:t xml:space="preserve"> </w:t>
              </w:r>
              <w:r w:rsidR="007053AE">
                <w:rPr>
                  <w:rFonts w:ascii="Times New Roman" w:hAnsi="Times New Roman"/>
                  <w:noProof/>
                </w:rPr>
                <w:t>Ankara.</w:t>
              </w:r>
            </w:p>
            <w:p w:rsidR="00E737B3" w:rsidRPr="00C24DB0" w:rsidRDefault="009701D1" w:rsidP="000C7DAC">
              <w:pPr>
                <w:pStyle w:val="Kaynaka"/>
                <w:numPr>
                  <w:ilvl w:val="0"/>
                  <w:numId w:val="8"/>
                </w:numPr>
                <w:spacing w:before="120" w:after="120"/>
                <w:rPr>
                  <w:rFonts w:ascii="Times New Roman" w:hAnsi="Times New Roman"/>
                  <w:noProof/>
                </w:rPr>
              </w:pPr>
              <w:r w:rsidRPr="00C24DB0">
                <w:rPr>
                  <w:rFonts w:ascii="Times New Roman" w:hAnsi="Times New Roman"/>
                  <w:noProof/>
                </w:rPr>
                <w:t>SUİÇMEZ</w:t>
              </w:r>
              <w:r w:rsidR="00E737B3" w:rsidRPr="00C24DB0">
                <w:rPr>
                  <w:rFonts w:ascii="Times New Roman" w:hAnsi="Times New Roman"/>
                  <w:noProof/>
                </w:rPr>
                <w:t>, H.</w:t>
              </w:r>
              <w:r>
                <w:rPr>
                  <w:rFonts w:ascii="Times New Roman" w:hAnsi="Times New Roman"/>
                  <w:noProof/>
                </w:rPr>
                <w:t>, (2008),</w:t>
              </w:r>
              <w:r w:rsidR="00E737B3" w:rsidRPr="00C24DB0">
                <w:rPr>
                  <w:rFonts w:ascii="Times New Roman" w:hAnsi="Times New Roman"/>
                  <w:noProof/>
                </w:rPr>
                <w:t xml:space="preserve"> </w:t>
              </w:r>
              <w:r w:rsidR="00E737B3" w:rsidRPr="009701D1">
                <w:rPr>
                  <w:rFonts w:ascii="Times New Roman" w:hAnsi="Times New Roman"/>
                  <w:b/>
                  <w:i/>
                  <w:iCs/>
                  <w:noProof/>
                </w:rPr>
                <w:t>Ekonomik Büyümede Toplam Faktör Verimliliğinin Rolü (Verimlilik Odaklı Büyüme)</w:t>
              </w:r>
              <w:r>
                <w:rPr>
                  <w:rFonts w:ascii="Times New Roman" w:hAnsi="Times New Roman"/>
                  <w:b/>
                  <w:i/>
                  <w:iCs/>
                  <w:noProof/>
                </w:rPr>
                <w:t>,</w:t>
              </w:r>
              <w:r w:rsidR="00E737B3" w:rsidRPr="00C24DB0">
                <w:rPr>
                  <w:rFonts w:ascii="Times New Roman" w:hAnsi="Times New Roman"/>
                  <w:noProof/>
                </w:rPr>
                <w:t xml:space="preserve"> </w:t>
              </w:r>
              <w:r>
                <w:rPr>
                  <w:rFonts w:ascii="Times New Roman" w:hAnsi="Times New Roman"/>
                  <w:noProof/>
                </w:rPr>
                <w:t xml:space="preserve">Mülga </w:t>
              </w:r>
              <w:r w:rsidR="00E737B3" w:rsidRPr="00C24DB0">
                <w:rPr>
                  <w:rFonts w:ascii="Times New Roman" w:hAnsi="Times New Roman"/>
                  <w:noProof/>
                </w:rPr>
                <w:t xml:space="preserve">Milli </w:t>
              </w:r>
              <w:r w:rsidR="007053AE">
                <w:rPr>
                  <w:rFonts w:ascii="Times New Roman" w:hAnsi="Times New Roman"/>
                  <w:noProof/>
                </w:rPr>
                <w:t>Prodüktivite Merkezi Yayınları</w:t>
              </w:r>
              <w:r w:rsidR="00E406F5">
                <w:rPr>
                  <w:rFonts w:ascii="Times New Roman" w:hAnsi="Times New Roman"/>
                  <w:noProof/>
                </w:rPr>
                <w:t>,</w:t>
              </w:r>
              <w:r w:rsidR="007053AE">
                <w:rPr>
                  <w:rFonts w:ascii="Times New Roman" w:hAnsi="Times New Roman"/>
                  <w:noProof/>
                </w:rPr>
                <w:t xml:space="preserve"> </w:t>
              </w:r>
              <w:r>
                <w:rPr>
                  <w:rFonts w:ascii="Times New Roman" w:hAnsi="Times New Roman"/>
                  <w:noProof/>
                </w:rPr>
                <w:t>Yayın No:</w:t>
              </w:r>
              <w:r w:rsidR="007053AE">
                <w:rPr>
                  <w:rFonts w:ascii="Times New Roman" w:hAnsi="Times New Roman"/>
                  <w:noProof/>
                </w:rPr>
                <w:t xml:space="preserve"> 698, Ankara.</w:t>
              </w:r>
            </w:p>
            <w:p w:rsidR="00E737B3" w:rsidRPr="00C24DB0" w:rsidRDefault="00894BED" w:rsidP="000C7DAC">
              <w:pPr>
                <w:spacing w:before="120" w:after="120"/>
                <w:rPr>
                  <w:rFonts w:ascii="Times New Roman" w:hAnsi="Times New Roman"/>
                </w:rPr>
              </w:pPr>
              <w:r w:rsidRPr="00C24DB0">
                <w:rPr>
                  <w:rFonts w:ascii="Times New Roman" w:hAnsi="Times New Roman"/>
                  <w:b/>
                  <w:bCs/>
                </w:rPr>
                <w:fldChar w:fldCharType="end"/>
              </w:r>
            </w:p>
          </w:sdtContent>
        </w:sdt>
      </w:sdtContent>
    </w:sdt>
    <w:p w:rsidR="008E2F91" w:rsidRPr="00C24DB0" w:rsidRDefault="008E2F91" w:rsidP="007976A9">
      <w:pPr>
        <w:rPr>
          <w:rFonts w:ascii="Times New Roman" w:hAnsi="Times New Roman"/>
        </w:rPr>
      </w:pPr>
    </w:p>
    <w:p w:rsidR="008E2F91" w:rsidRPr="00C24DB0" w:rsidRDefault="008E2F91" w:rsidP="007976A9">
      <w:pPr>
        <w:rPr>
          <w:rFonts w:ascii="Times New Roman" w:hAnsi="Times New Roman"/>
        </w:rPr>
      </w:pPr>
    </w:p>
    <w:p w:rsidR="00F56B05" w:rsidRPr="00C24DB0" w:rsidRDefault="00F56B05" w:rsidP="007976A9">
      <w:pPr>
        <w:widowControl w:val="0"/>
        <w:autoSpaceDE w:val="0"/>
        <w:autoSpaceDN w:val="0"/>
        <w:adjustRightInd w:val="0"/>
        <w:spacing w:before="100" w:after="100"/>
        <w:jc w:val="both"/>
        <w:rPr>
          <w:rFonts w:ascii="Times New Roman" w:hAnsi="Times New Roman"/>
          <w:b/>
          <w:bCs/>
        </w:rPr>
      </w:pPr>
    </w:p>
    <w:sectPr w:rsidR="00F56B05" w:rsidRPr="00C24DB0" w:rsidSect="007718A8">
      <w:footerReference w:type="default" r:id="rId15"/>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09" w:rsidRDefault="00F81509" w:rsidP="00073F5B">
      <w:r>
        <w:separator/>
      </w:r>
    </w:p>
  </w:endnote>
  <w:endnote w:type="continuationSeparator" w:id="0">
    <w:p w:rsidR="00F81509" w:rsidRDefault="00F81509" w:rsidP="0007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236312"/>
      <w:docPartObj>
        <w:docPartGallery w:val="Page Numbers (Bottom of Page)"/>
        <w:docPartUnique/>
      </w:docPartObj>
    </w:sdtPr>
    <w:sdtEndPr/>
    <w:sdtContent>
      <w:p w:rsidR="00817A54" w:rsidRDefault="00817A54">
        <w:pPr>
          <w:pStyle w:val="Altbilgi"/>
          <w:jc w:val="right"/>
        </w:pPr>
        <w:r>
          <w:fldChar w:fldCharType="begin"/>
        </w:r>
        <w:r>
          <w:instrText>PAGE   \* MERGEFORMAT</w:instrText>
        </w:r>
        <w:r>
          <w:fldChar w:fldCharType="separate"/>
        </w:r>
        <w:r w:rsidR="00ED1427">
          <w:rPr>
            <w:noProof/>
          </w:rPr>
          <w:t>1</w:t>
        </w:r>
        <w:r>
          <w:rPr>
            <w:noProof/>
          </w:rPr>
          <w:fldChar w:fldCharType="end"/>
        </w:r>
      </w:p>
    </w:sdtContent>
  </w:sdt>
  <w:p w:rsidR="00817A54" w:rsidRDefault="00817A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09" w:rsidRDefault="00F81509" w:rsidP="00073F5B">
      <w:r>
        <w:separator/>
      </w:r>
    </w:p>
  </w:footnote>
  <w:footnote w:type="continuationSeparator" w:id="0">
    <w:p w:rsidR="00F81509" w:rsidRDefault="00F81509" w:rsidP="00073F5B">
      <w:r>
        <w:continuationSeparator/>
      </w:r>
    </w:p>
  </w:footnote>
  <w:footnote w:id="1">
    <w:p w:rsidR="00817A54" w:rsidRPr="00140E3F" w:rsidRDefault="00817A54">
      <w:pPr>
        <w:pStyle w:val="DipnotMetni"/>
        <w:rPr>
          <w:rFonts w:ascii="Times New Roman" w:hAnsi="Times New Roman"/>
          <w:i/>
          <w:sz w:val="22"/>
          <w:szCs w:val="22"/>
        </w:rPr>
      </w:pPr>
      <w:r>
        <w:rPr>
          <w:rStyle w:val="DipnotBavurusu"/>
        </w:rPr>
        <w:footnoteRef/>
      </w:r>
      <w:r w:rsidRPr="00140E3F">
        <w:rPr>
          <w:rFonts w:ascii="Times New Roman" w:hAnsi="Times New Roman"/>
          <w:b/>
          <w:i/>
          <w:sz w:val="22"/>
          <w:szCs w:val="22"/>
        </w:rPr>
        <w:t xml:space="preserve">Dursun BALKAN, </w:t>
      </w:r>
      <w:r w:rsidRPr="00140E3F">
        <w:rPr>
          <w:rFonts w:ascii="Times New Roman" w:hAnsi="Times New Roman"/>
          <w:i/>
          <w:sz w:val="22"/>
          <w:szCs w:val="22"/>
        </w:rPr>
        <w:t>Dr., T.</w:t>
      </w:r>
      <w:r w:rsidR="00111E9C">
        <w:rPr>
          <w:rFonts w:ascii="Times New Roman" w:hAnsi="Times New Roman"/>
          <w:i/>
          <w:sz w:val="22"/>
          <w:szCs w:val="22"/>
        </w:rPr>
        <w:t xml:space="preserve"> </w:t>
      </w:r>
      <w:r w:rsidRPr="00140E3F">
        <w:rPr>
          <w:rFonts w:ascii="Times New Roman" w:hAnsi="Times New Roman"/>
          <w:i/>
          <w:sz w:val="22"/>
          <w:szCs w:val="22"/>
        </w:rPr>
        <w:t>C. Bilim, Sanayi ve Teknoloji Bakanlığı, Verimlilik Genel Müdürlüğü, Sanayi ve Teknoloji Uzmanı.</w:t>
      </w:r>
    </w:p>
  </w:footnote>
  <w:footnote w:id="2">
    <w:p w:rsidR="00817A54" w:rsidRPr="00140E3F" w:rsidRDefault="00817A54">
      <w:pPr>
        <w:pStyle w:val="DipnotMetni"/>
        <w:rPr>
          <w:rFonts w:ascii="Times New Roman" w:hAnsi="Times New Roman"/>
          <w:i/>
          <w:sz w:val="22"/>
          <w:szCs w:val="22"/>
        </w:rPr>
      </w:pPr>
      <w:r w:rsidRPr="00140E3F">
        <w:rPr>
          <w:rStyle w:val="DipnotBavurusu"/>
          <w:rFonts w:ascii="Times New Roman" w:hAnsi="Times New Roman"/>
          <w:i/>
          <w:sz w:val="22"/>
          <w:szCs w:val="22"/>
        </w:rPr>
        <w:footnoteRef/>
      </w:r>
      <w:r w:rsidRPr="00140E3F">
        <w:rPr>
          <w:rFonts w:ascii="Times New Roman" w:hAnsi="Times New Roman"/>
          <w:b/>
          <w:i/>
          <w:sz w:val="22"/>
          <w:szCs w:val="22"/>
        </w:rPr>
        <w:t>Halit SUİÇMEZ,</w:t>
      </w:r>
      <w:r w:rsidRPr="00140E3F">
        <w:rPr>
          <w:rFonts w:ascii="Times New Roman" w:hAnsi="Times New Roman"/>
          <w:i/>
          <w:sz w:val="22"/>
          <w:szCs w:val="22"/>
        </w:rPr>
        <w:t xml:space="preserve"> Dr., T.</w:t>
      </w:r>
      <w:r w:rsidR="00111E9C">
        <w:rPr>
          <w:rFonts w:ascii="Times New Roman" w:hAnsi="Times New Roman"/>
          <w:i/>
          <w:sz w:val="22"/>
          <w:szCs w:val="22"/>
        </w:rPr>
        <w:t xml:space="preserve"> </w:t>
      </w:r>
      <w:r w:rsidRPr="00140E3F">
        <w:rPr>
          <w:rFonts w:ascii="Times New Roman" w:hAnsi="Times New Roman"/>
          <w:i/>
          <w:sz w:val="22"/>
          <w:szCs w:val="22"/>
        </w:rPr>
        <w:t>C. Bilim, Sanayi ve Teknoloji Bakanlığı, Verimlilik Genel Müdürlüğü, Sanayi ve Teknoloji Uzmanı.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EF2"/>
    <w:multiLevelType w:val="multilevel"/>
    <w:tmpl w:val="041F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C4050BF"/>
    <w:multiLevelType w:val="hybridMultilevel"/>
    <w:tmpl w:val="07C8C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39B7A82"/>
    <w:multiLevelType w:val="hybridMultilevel"/>
    <w:tmpl w:val="6486C926"/>
    <w:lvl w:ilvl="0" w:tplc="4230ACDE">
      <w:start w:val="1"/>
      <w:numFmt w:val="decimal"/>
      <w:pStyle w:val="Balk2"/>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5F93B35"/>
    <w:multiLevelType w:val="multilevel"/>
    <w:tmpl w:val="6CB82D40"/>
    <w:lvl w:ilvl="0">
      <w:start w:val="1"/>
      <w:numFmt w:val="decimal"/>
      <w:pStyle w:val="Balk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25B617D"/>
    <w:multiLevelType w:val="hybridMultilevel"/>
    <w:tmpl w:val="73526D3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nsid w:val="749705C3"/>
    <w:multiLevelType w:val="hybridMultilevel"/>
    <w:tmpl w:val="50E866F8"/>
    <w:lvl w:ilvl="0" w:tplc="A95A7DDC">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9E51DBE"/>
    <w:multiLevelType w:val="hybridMultilevel"/>
    <w:tmpl w:val="6E308BB2"/>
    <w:lvl w:ilvl="0" w:tplc="041F000D">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937AA"/>
    <w:rsid w:val="00001688"/>
    <w:rsid w:val="00031189"/>
    <w:rsid w:val="000417A1"/>
    <w:rsid w:val="00045800"/>
    <w:rsid w:val="0007107A"/>
    <w:rsid w:val="00072A94"/>
    <w:rsid w:val="00073F5B"/>
    <w:rsid w:val="00096083"/>
    <w:rsid w:val="000C1652"/>
    <w:rsid w:val="000C7DAC"/>
    <w:rsid w:val="000F3975"/>
    <w:rsid w:val="00102303"/>
    <w:rsid w:val="00111E9C"/>
    <w:rsid w:val="00124727"/>
    <w:rsid w:val="0014059D"/>
    <w:rsid w:val="00140E3F"/>
    <w:rsid w:val="00165201"/>
    <w:rsid w:val="001653D4"/>
    <w:rsid w:val="00165EA4"/>
    <w:rsid w:val="00180D9A"/>
    <w:rsid w:val="0019007B"/>
    <w:rsid w:val="00193B19"/>
    <w:rsid w:val="001972A2"/>
    <w:rsid w:val="00197943"/>
    <w:rsid w:val="001B08EB"/>
    <w:rsid w:val="001B4D92"/>
    <w:rsid w:val="001B531E"/>
    <w:rsid w:val="001B74B4"/>
    <w:rsid w:val="001C24AE"/>
    <w:rsid w:val="001C5482"/>
    <w:rsid w:val="001D4786"/>
    <w:rsid w:val="001D6F1A"/>
    <w:rsid w:val="00201C86"/>
    <w:rsid w:val="0020513C"/>
    <w:rsid w:val="00217803"/>
    <w:rsid w:val="00220219"/>
    <w:rsid w:val="00232362"/>
    <w:rsid w:val="00243D95"/>
    <w:rsid w:val="00251937"/>
    <w:rsid w:val="002532E4"/>
    <w:rsid w:val="0026090C"/>
    <w:rsid w:val="00262750"/>
    <w:rsid w:val="002A0F13"/>
    <w:rsid w:val="002A3B70"/>
    <w:rsid w:val="002A7F79"/>
    <w:rsid w:val="002B0813"/>
    <w:rsid w:val="002B5F0D"/>
    <w:rsid w:val="0030367C"/>
    <w:rsid w:val="00305BA5"/>
    <w:rsid w:val="00315E38"/>
    <w:rsid w:val="00322A8F"/>
    <w:rsid w:val="003310C7"/>
    <w:rsid w:val="003502FD"/>
    <w:rsid w:val="003513D9"/>
    <w:rsid w:val="00387459"/>
    <w:rsid w:val="003A547C"/>
    <w:rsid w:val="003B20B8"/>
    <w:rsid w:val="003B310A"/>
    <w:rsid w:val="003D6220"/>
    <w:rsid w:val="00414B13"/>
    <w:rsid w:val="00425025"/>
    <w:rsid w:val="00455DDD"/>
    <w:rsid w:val="0046173E"/>
    <w:rsid w:val="00474CFF"/>
    <w:rsid w:val="0049652E"/>
    <w:rsid w:val="00497B24"/>
    <w:rsid w:val="004A1361"/>
    <w:rsid w:val="004C0C49"/>
    <w:rsid w:val="004E4C88"/>
    <w:rsid w:val="00500828"/>
    <w:rsid w:val="00502A9A"/>
    <w:rsid w:val="00515E86"/>
    <w:rsid w:val="0053278C"/>
    <w:rsid w:val="005352F9"/>
    <w:rsid w:val="005358EB"/>
    <w:rsid w:val="0055153F"/>
    <w:rsid w:val="00553AA4"/>
    <w:rsid w:val="005617CC"/>
    <w:rsid w:val="00570C8B"/>
    <w:rsid w:val="00583270"/>
    <w:rsid w:val="0058730D"/>
    <w:rsid w:val="00593C03"/>
    <w:rsid w:val="005A28BA"/>
    <w:rsid w:val="005B2358"/>
    <w:rsid w:val="005B6032"/>
    <w:rsid w:val="005D5420"/>
    <w:rsid w:val="005D5603"/>
    <w:rsid w:val="00600049"/>
    <w:rsid w:val="00651485"/>
    <w:rsid w:val="006558C8"/>
    <w:rsid w:val="00656E97"/>
    <w:rsid w:val="0068263E"/>
    <w:rsid w:val="00692887"/>
    <w:rsid w:val="0069544D"/>
    <w:rsid w:val="006A3317"/>
    <w:rsid w:val="006A3FF1"/>
    <w:rsid w:val="006C01B3"/>
    <w:rsid w:val="006D3520"/>
    <w:rsid w:val="006E7C01"/>
    <w:rsid w:val="007053AE"/>
    <w:rsid w:val="00730957"/>
    <w:rsid w:val="00732502"/>
    <w:rsid w:val="0073360D"/>
    <w:rsid w:val="00744A58"/>
    <w:rsid w:val="00746FCE"/>
    <w:rsid w:val="0077097B"/>
    <w:rsid w:val="007718A8"/>
    <w:rsid w:val="007752AC"/>
    <w:rsid w:val="00784250"/>
    <w:rsid w:val="00784A2D"/>
    <w:rsid w:val="007912BB"/>
    <w:rsid w:val="007976A9"/>
    <w:rsid w:val="007A271B"/>
    <w:rsid w:val="007A522C"/>
    <w:rsid w:val="007A6F92"/>
    <w:rsid w:val="007B3FED"/>
    <w:rsid w:val="007C3998"/>
    <w:rsid w:val="007C4B57"/>
    <w:rsid w:val="007C6695"/>
    <w:rsid w:val="007F549A"/>
    <w:rsid w:val="008025C6"/>
    <w:rsid w:val="00811CF8"/>
    <w:rsid w:val="00815E14"/>
    <w:rsid w:val="00817A54"/>
    <w:rsid w:val="008463A1"/>
    <w:rsid w:val="00850015"/>
    <w:rsid w:val="008538C0"/>
    <w:rsid w:val="00875EDD"/>
    <w:rsid w:val="00894BED"/>
    <w:rsid w:val="008C6DB3"/>
    <w:rsid w:val="008D69D3"/>
    <w:rsid w:val="008D7A28"/>
    <w:rsid w:val="008E2F91"/>
    <w:rsid w:val="009063A9"/>
    <w:rsid w:val="00912963"/>
    <w:rsid w:val="00923857"/>
    <w:rsid w:val="00927BDA"/>
    <w:rsid w:val="00942B5E"/>
    <w:rsid w:val="00945D61"/>
    <w:rsid w:val="009504D3"/>
    <w:rsid w:val="00953C7A"/>
    <w:rsid w:val="00961336"/>
    <w:rsid w:val="009676C9"/>
    <w:rsid w:val="009701D1"/>
    <w:rsid w:val="00972E66"/>
    <w:rsid w:val="00986DE9"/>
    <w:rsid w:val="0099180E"/>
    <w:rsid w:val="009A0C85"/>
    <w:rsid w:val="009C43C1"/>
    <w:rsid w:val="009D0997"/>
    <w:rsid w:val="009F2255"/>
    <w:rsid w:val="009F2357"/>
    <w:rsid w:val="00A02F3F"/>
    <w:rsid w:val="00A07C2B"/>
    <w:rsid w:val="00A1304D"/>
    <w:rsid w:val="00A133A9"/>
    <w:rsid w:val="00A37F8F"/>
    <w:rsid w:val="00A638AF"/>
    <w:rsid w:val="00A74D82"/>
    <w:rsid w:val="00A82BCC"/>
    <w:rsid w:val="00AA01DD"/>
    <w:rsid w:val="00AC75D2"/>
    <w:rsid w:val="00AF5316"/>
    <w:rsid w:val="00B116A6"/>
    <w:rsid w:val="00B25338"/>
    <w:rsid w:val="00B27BD6"/>
    <w:rsid w:val="00B31490"/>
    <w:rsid w:val="00B50268"/>
    <w:rsid w:val="00B521A7"/>
    <w:rsid w:val="00B57F7A"/>
    <w:rsid w:val="00B57FEC"/>
    <w:rsid w:val="00B704C2"/>
    <w:rsid w:val="00B72C3F"/>
    <w:rsid w:val="00B84215"/>
    <w:rsid w:val="00B91740"/>
    <w:rsid w:val="00BA1E9B"/>
    <w:rsid w:val="00BB179E"/>
    <w:rsid w:val="00BB40DD"/>
    <w:rsid w:val="00BC5715"/>
    <w:rsid w:val="00BD688E"/>
    <w:rsid w:val="00C114FC"/>
    <w:rsid w:val="00C24DB0"/>
    <w:rsid w:val="00C2766D"/>
    <w:rsid w:val="00C30579"/>
    <w:rsid w:val="00C40441"/>
    <w:rsid w:val="00C43F52"/>
    <w:rsid w:val="00C53B3E"/>
    <w:rsid w:val="00C560A8"/>
    <w:rsid w:val="00C575E4"/>
    <w:rsid w:val="00C62A60"/>
    <w:rsid w:val="00CA03BF"/>
    <w:rsid w:val="00CA3944"/>
    <w:rsid w:val="00CA77B6"/>
    <w:rsid w:val="00CA7C01"/>
    <w:rsid w:val="00CD1629"/>
    <w:rsid w:val="00CE205A"/>
    <w:rsid w:val="00CF250B"/>
    <w:rsid w:val="00D00636"/>
    <w:rsid w:val="00D02199"/>
    <w:rsid w:val="00D151F2"/>
    <w:rsid w:val="00D453B8"/>
    <w:rsid w:val="00D5064B"/>
    <w:rsid w:val="00D71F73"/>
    <w:rsid w:val="00D7662A"/>
    <w:rsid w:val="00D91658"/>
    <w:rsid w:val="00D91E56"/>
    <w:rsid w:val="00DB2C69"/>
    <w:rsid w:val="00DF0E76"/>
    <w:rsid w:val="00DF168C"/>
    <w:rsid w:val="00DF1D54"/>
    <w:rsid w:val="00E34784"/>
    <w:rsid w:val="00E406F5"/>
    <w:rsid w:val="00E43B2F"/>
    <w:rsid w:val="00E45ECF"/>
    <w:rsid w:val="00E507E7"/>
    <w:rsid w:val="00E53DAC"/>
    <w:rsid w:val="00E545A4"/>
    <w:rsid w:val="00E61137"/>
    <w:rsid w:val="00E66497"/>
    <w:rsid w:val="00E737B3"/>
    <w:rsid w:val="00E94260"/>
    <w:rsid w:val="00EA238F"/>
    <w:rsid w:val="00EA6233"/>
    <w:rsid w:val="00EB1754"/>
    <w:rsid w:val="00EB4C67"/>
    <w:rsid w:val="00ED1427"/>
    <w:rsid w:val="00EE19FF"/>
    <w:rsid w:val="00F23B00"/>
    <w:rsid w:val="00F31A49"/>
    <w:rsid w:val="00F47AF9"/>
    <w:rsid w:val="00F56B05"/>
    <w:rsid w:val="00F6569C"/>
    <w:rsid w:val="00F70A23"/>
    <w:rsid w:val="00F81509"/>
    <w:rsid w:val="00F8383F"/>
    <w:rsid w:val="00F87AAD"/>
    <w:rsid w:val="00F932FB"/>
    <w:rsid w:val="00F937AA"/>
    <w:rsid w:val="00FA7607"/>
    <w:rsid w:val="00FB735F"/>
    <w:rsid w:val="00FC0B0C"/>
    <w:rsid w:val="00FD5D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20"/>
    <w:pPr>
      <w:spacing w:after="0" w:line="240" w:lineRule="auto"/>
    </w:pPr>
    <w:rPr>
      <w:rFonts w:ascii="Arial" w:eastAsia="Times New Roman" w:hAnsi="Arial" w:cs="Times New Roman"/>
      <w:sz w:val="24"/>
      <w:szCs w:val="24"/>
      <w:lang w:eastAsia="tr-TR"/>
    </w:rPr>
  </w:style>
  <w:style w:type="paragraph" w:styleId="Balk1">
    <w:name w:val="heading 1"/>
    <w:basedOn w:val="Normal"/>
    <w:next w:val="Normal"/>
    <w:link w:val="Balk1Char"/>
    <w:uiPriority w:val="9"/>
    <w:qFormat/>
    <w:rsid w:val="006E7C01"/>
    <w:pPr>
      <w:keepNext/>
      <w:keepLines/>
      <w:numPr>
        <w:numId w:val="2"/>
      </w:numPr>
      <w:spacing w:before="240" w:line="36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3D6220"/>
    <w:pPr>
      <w:keepNext/>
      <w:keepLines/>
      <w:numPr>
        <w:numId w:val="3"/>
      </w:numPr>
      <w:spacing w:before="40" w:line="360" w:lineRule="auto"/>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7C01"/>
    <w:rPr>
      <w:rFonts w:ascii="Times New Roman" w:eastAsiaTheme="majorEastAsia" w:hAnsi="Times New Roman" w:cstheme="majorBidi"/>
      <w:b/>
      <w:sz w:val="24"/>
      <w:szCs w:val="32"/>
      <w:lang w:eastAsia="tr-TR"/>
    </w:rPr>
  </w:style>
  <w:style w:type="character" w:customStyle="1" w:styleId="Balk2Char">
    <w:name w:val="Başlık 2 Char"/>
    <w:basedOn w:val="VarsaylanParagrafYazTipi"/>
    <w:link w:val="Balk2"/>
    <w:uiPriority w:val="9"/>
    <w:rsid w:val="003D6220"/>
    <w:rPr>
      <w:rFonts w:ascii="Arial" w:eastAsiaTheme="majorEastAsia" w:hAnsi="Arial" w:cstheme="majorBidi"/>
      <w:b/>
      <w:sz w:val="24"/>
      <w:szCs w:val="26"/>
      <w:lang w:eastAsia="tr-TR"/>
    </w:rPr>
  </w:style>
  <w:style w:type="paragraph" w:styleId="ListeParagraf">
    <w:name w:val="List Paragraph"/>
    <w:basedOn w:val="Normal"/>
    <w:uiPriority w:val="34"/>
    <w:qFormat/>
    <w:rsid w:val="003D6220"/>
    <w:pPr>
      <w:ind w:left="720"/>
      <w:contextualSpacing/>
    </w:pPr>
  </w:style>
  <w:style w:type="paragraph" w:styleId="TBal">
    <w:name w:val="TOC Heading"/>
    <w:basedOn w:val="Balk1"/>
    <w:next w:val="Normal"/>
    <w:uiPriority w:val="39"/>
    <w:unhideWhenUsed/>
    <w:qFormat/>
    <w:rsid w:val="00BD688E"/>
    <w:pPr>
      <w:numPr>
        <w:numId w:val="0"/>
      </w:numPr>
      <w:spacing w:line="259" w:lineRule="auto"/>
      <w:outlineLvl w:val="9"/>
    </w:pPr>
    <w:rPr>
      <w:rFonts w:asciiTheme="majorHAnsi" w:hAnsiTheme="majorHAnsi"/>
      <w:b w:val="0"/>
      <w:caps/>
      <w:color w:val="2E74B5" w:themeColor="accent1" w:themeShade="BF"/>
      <w:sz w:val="32"/>
    </w:rPr>
  </w:style>
  <w:style w:type="paragraph" w:styleId="T1">
    <w:name w:val="toc 1"/>
    <w:basedOn w:val="Normal"/>
    <w:next w:val="Normal"/>
    <w:autoRedefine/>
    <w:uiPriority w:val="39"/>
    <w:unhideWhenUsed/>
    <w:rsid w:val="00BD688E"/>
    <w:pPr>
      <w:spacing w:after="100"/>
    </w:pPr>
  </w:style>
  <w:style w:type="character" w:styleId="Kpr">
    <w:name w:val="Hyperlink"/>
    <w:basedOn w:val="VarsaylanParagrafYazTipi"/>
    <w:uiPriority w:val="99"/>
    <w:unhideWhenUsed/>
    <w:rsid w:val="00BD688E"/>
    <w:rPr>
      <w:color w:val="0563C1" w:themeColor="hyperlink"/>
      <w:u w:val="single"/>
    </w:rPr>
  </w:style>
  <w:style w:type="paragraph" w:styleId="ResimYazs">
    <w:name w:val="caption"/>
    <w:basedOn w:val="Normal"/>
    <w:next w:val="Normal"/>
    <w:uiPriority w:val="35"/>
    <w:unhideWhenUsed/>
    <w:qFormat/>
    <w:rsid w:val="00C114FC"/>
    <w:pPr>
      <w:spacing w:after="200"/>
    </w:pPr>
    <w:rPr>
      <w:b/>
      <w:iCs/>
      <w:sz w:val="20"/>
      <w:szCs w:val="18"/>
    </w:rPr>
  </w:style>
  <w:style w:type="paragraph" w:styleId="NormalWeb">
    <w:name w:val="Normal (Web)"/>
    <w:basedOn w:val="Normal"/>
    <w:uiPriority w:val="99"/>
    <w:semiHidden/>
    <w:unhideWhenUsed/>
    <w:rsid w:val="00C114FC"/>
    <w:pPr>
      <w:spacing w:before="100" w:beforeAutospacing="1" w:after="100" w:afterAutospacing="1"/>
    </w:pPr>
    <w:rPr>
      <w:rFonts w:ascii="Times New Roman" w:hAnsi="Times New Roman"/>
    </w:rPr>
  </w:style>
  <w:style w:type="paragraph" w:styleId="BalonMetni">
    <w:name w:val="Balloon Text"/>
    <w:basedOn w:val="Normal"/>
    <w:link w:val="BalonMetniChar"/>
    <w:uiPriority w:val="99"/>
    <w:semiHidden/>
    <w:unhideWhenUsed/>
    <w:rsid w:val="006A331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17"/>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073F5B"/>
    <w:pPr>
      <w:tabs>
        <w:tab w:val="center" w:pos="4536"/>
        <w:tab w:val="right" w:pos="9072"/>
      </w:tabs>
    </w:pPr>
  </w:style>
  <w:style w:type="character" w:customStyle="1" w:styleId="stbilgiChar">
    <w:name w:val="Üstbilgi Char"/>
    <w:basedOn w:val="VarsaylanParagrafYazTipi"/>
    <w:link w:val="stbilgi"/>
    <w:uiPriority w:val="99"/>
    <w:rsid w:val="00073F5B"/>
    <w:rPr>
      <w:rFonts w:ascii="Arial" w:eastAsia="Times New Roman" w:hAnsi="Arial" w:cs="Times New Roman"/>
      <w:sz w:val="24"/>
      <w:szCs w:val="24"/>
      <w:lang w:eastAsia="tr-TR"/>
    </w:rPr>
  </w:style>
  <w:style w:type="paragraph" w:styleId="Altbilgi">
    <w:name w:val="footer"/>
    <w:basedOn w:val="Normal"/>
    <w:link w:val="AltbilgiChar"/>
    <w:uiPriority w:val="99"/>
    <w:unhideWhenUsed/>
    <w:rsid w:val="00073F5B"/>
    <w:pPr>
      <w:tabs>
        <w:tab w:val="center" w:pos="4536"/>
        <w:tab w:val="right" w:pos="9072"/>
      </w:tabs>
    </w:pPr>
  </w:style>
  <w:style w:type="character" w:customStyle="1" w:styleId="AltbilgiChar">
    <w:name w:val="Altbilgi Char"/>
    <w:basedOn w:val="VarsaylanParagrafYazTipi"/>
    <w:link w:val="Altbilgi"/>
    <w:uiPriority w:val="99"/>
    <w:rsid w:val="00073F5B"/>
    <w:rPr>
      <w:rFonts w:ascii="Arial" w:eastAsia="Times New Roman" w:hAnsi="Arial" w:cs="Times New Roman"/>
      <w:sz w:val="24"/>
      <w:szCs w:val="24"/>
      <w:lang w:eastAsia="tr-TR"/>
    </w:rPr>
  </w:style>
  <w:style w:type="paragraph" w:styleId="Kaynaka">
    <w:name w:val="Bibliography"/>
    <w:basedOn w:val="Normal"/>
    <w:next w:val="Normal"/>
    <w:uiPriority w:val="37"/>
    <w:unhideWhenUsed/>
    <w:rsid w:val="00E737B3"/>
  </w:style>
  <w:style w:type="paragraph" w:styleId="DipnotMetni">
    <w:name w:val="footnote text"/>
    <w:basedOn w:val="Normal"/>
    <w:link w:val="DipnotMetniChar"/>
    <w:uiPriority w:val="99"/>
    <w:semiHidden/>
    <w:unhideWhenUsed/>
    <w:rsid w:val="00C62A60"/>
    <w:rPr>
      <w:sz w:val="20"/>
      <w:szCs w:val="20"/>
    </w:rPr>
  </w:style>
  <w:style w:type="character" w:customStyle="1" w:styleId="DipnotMetniChar">
    <w:name w:val="Dipnot Metni Char"/>
    <w:basedOn w:val="VarsaylanParagrafYazTipi"/>
    <w:link w:val="DipnotMetni"/>
    <w:uiPriority w:val="99"/>
    <w:semiHidden/>
    <w:rsid w:val="00C62A60"/>
    <w:rPr>
      <w:rFonts w:ascii="Arial" w:eastAsia="Times New Roman" w:hAnsi="Arial" w:cs="Times New Roman"/>
      <w:sz w:val="20"/>
      <w:szCs w:val="20"/>
      <w:lang w:eastAsia="tr-TR"/>
    </w:rPr>
  </w:style>
  <w:style w:type="character" w:styleId="DipnotBavurusu">
    <w:name w:val="footnote reference"/>
    <w:basedOn w:val="VarsaylanParagrafYazTipi"/>
    <w:uiPriority w:val="99"/>
    <w:semiHidden/>
    <w:unhideWhenUsed/>
    <w:rsid w:val="00C62A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097">
      <w:bodyDiv w:val="1"/>
      <w:marLeft w:val="0"/>
      <w:marRight w:val="0"/>
      <w:marTop w:val="0"/>
      <w:marBottom w:val="0"/>
      <w:divBdr>
        <w:top w:val="none" w:sz="0" w:space="0" w:color="auto"/>
        <w:left w:val="none" w:sz="0" w:space="0" w:color="auto"/>
        <w:bottom w:val="none" w:sz="0" w:space="0" w:color="auto"/>
        <w:right w:val="none" w:sz="0" w:space="0" w:color="auto"/>
      </w:divBdr>
    </w:div>
    <w:div w:id="19287903">
      <w:bodyDiv w:val="1"/>
      <w:marLeft w:val="0"/>
      <w:marRight w:val="0"/>
      <w:marTop w:val="0"/>
      <w:marBottom w:val="0"/>
      <w:divBdr>
        <w:top w:val="none" w:sz="0" w:space="0" w:color="auto"/>
        <w:left w:val="none" w:sz="0" w:space="0" w:color="auto"/>
        <w:bottom w:val="none" w:sz="0" w:space="0" w:color="auto"/>
        <w:right w:val="none" w:sz="0" w:space="0" w:color="auto"/>
      </w:divBdr>
    </w:div>
    <w:div w:id="53551017">
      <w:bodyDiv w:val="1"/>
      <w:marLeft w:val="0"/>
      <w:marRight w:val="0"/>
      <w:marTop w:val="0"/>
      <w:marBottom w:val="0"/>
      <w:divBdr>
        <w:top w:val="none" w:sz="0" w:space="0" w:color="auto"/>
        <w:left w:val="none" w:sz="0" w:space="0" w:color="auto"/>
        <w:bottom w:val="none" w:sz="0" w:space="0" w:color="auto"/>
        <w:right w:val="none" w:sz="0" w:space="0" w:color="auto"/>
      </w:divBdr>
    </w:div>
    <w:div w:id="78412731">
      <w:bodyDiv w:val="1"/>
      <w:marLeft w:val="0"/>
      <w:marRight w:val="0"/>
      <w:marTop w:val="0"/>
      <w:marBottom w:val="0"/>
      <w:divBdr>
        <w:top w:val="none" w:sz="0" w:space="0" w:color="auto"/>
        <w:left w:val="none" w:sz="0" w:space="0" w:color="auto"/>
        <w:bottom w:val="none" w:sz="0" w:space="0" w:color="auto"/>
        <w:right w:val="none" w:sz="0" w:space="0" w:color="auto"/>
      </w:divBdr>
    </w:div>
    <w:div w:id="105543890">
      <w:bodyDiv w:val="1"/>
      <w:marLeft w:val="0"/>
      <w:marRight w:val="0"/>
      <w:marTop w:val="0"/>
      <w:marBottom w:val="0"/>
      <w:divBdr>
        <w:top w:val="none" w:sz="0" w:space="0" w:color="auto"/>
        <w:left w:val="none" w:sz="0" w:space="0" w:color="auto"/>
        <w:bottom w:val="none" w:sz="0" w:space="0" w:color="auto"/>
        <w:right w:val="none" w:sz="0" w:space="0" w:color="auto"/>
      </w:divBdr>
    </w:div>
    <w:div w:id="133647147">
      <w:bodyDiv w:val="1"/>
      <w:marLeft w:val="0"/>
      <w:marRight w:val="0"/>
      <w:marTop w:val="0"/>
      <w:marBottom w:val="0"/>
      <w:divBdr>
        <w:top w:val="none" w:sz="0" w:space="0" w:color="auto"/>
        <w:left w:val="none" w:sz="0" w:space="0" w:color="auto"/>
        <w:bottom w:val="none" w:sz="0" w:space="0" w:color="auto"/>
        <w:right w:val="none" w:sz="0" w:space="0" w:color="auto"/>
      </w:divBdr>
    </w:div>
    <w:div w:id="170530069">
      <w:bodyDiv w:val="1"/>
      <w:marLeft w:val="0"/>
      <w:marRight w:val="0"/>
      <w:marTop w:val="0"/>
      <w:marBottom w:val="0"/>
      <w:divBdr>
        <w:top w:val="none" w:sz="0" w:space="0" w:color="auto"/>
        <w:left w:val="none" w:sz="0" w:space="0" w:color="auto"/>
        <w:bottom w:val="none" w:sz="0" w:space="0" w:color="auto"/>
        <w:right w:val="none" w:sz="0" w:space="0" w:color="auto"/>
      </w:divBdr>
    </w:div>
    <w:div w:id="205068050">
      <w:bodyDiv w:val="1"/>
      <w:marLeft w:val="0"/>
      <w:marRight w:val="0"/>
      <w:marTop w:val="0"/>
      <w:marBottom w:val="0"/>
      <w:divBdr>
        <w:top w:val="none" w:sz="0" w:space="0" w:color="auto"/>
        <w:left w:val="none" w:sz="0" w:space="0" w:color="auto"/>
        <w:bottom w:val="none" w:sz="0" w:space="0" w:color="auto"/>
        <w:right w:val="none" w:sz="0" w:space="0" w:color="auto"/>
      </w:divBdr>
    </w:div>
    <w:div w:id="306400520">
      <w:bodyDiv w:val="1"/>
      <w:marLeft w:val="0"/>
      <w:marRight w:val="0"/>
      <w:marTop w:val="0"/>
      <w:marBottom w:val="0"/>
      <w:divBdr>
        <w:top w:val="none" w:sz="0" w:space="0" w:color="auto"/>
        <w:left w:val="none" w:sz="0" w:space="0" w:color="auto"/>
        <w:bottom w:val="none" w:sz="0" w:space="0" w:color="auto"/>
        <w:right w:val="none" w:sz="0" w:space="0" w:color="auto"/>
      </w:divBdr>
    </w:div>
    <w:div w:id="321399692">
      <w:bodyDiv w:val="1"/>
      <w:marLeft w:val="0"/>
      <w:marRight w:val="0"/>
      <w:marTop w:val="0"/>
      <w:marBottom w:val="0"/>
      <w:divBdr>
        <w:top w:val="none" w:sz="0" w:space="0" w:color="auto"/>
        <w:left w:val="none" w:sz="0" w:space="0" w:color="auto"/>
        <w:bottom w:val="none" w:sz="0" w:space="0" w:color="auto"/>
        <w:right w:val="none" w:sz="0" w:space="0" w:color="auto"/>
      </w:divBdr>
    </w:div>
    <w:div w:id="383798885">
      <w:bodyDiv w:val="1"/>
      <w:marLeft w:val="0"/>
      <w:marRight w:val="0"/>
      <w:marTop w:val="0"/>
      <w:marBottom w:val="0"/>
      <w:divBdr>
        <w:top w:val="none" w:sz="0" w:space="0" w:color="auto"/>
        <w:left w:val="none" w:sz="0" w:space="0" w:color="auto"/>
        <w:bottom w:val="none" w:sz="0" w:space="0" w:color="auto"/>
        <w:right w:val="none" w:sz="0" w:space="0" w:color="auto"/>
      </w:divBdr>
    </w:div>
    <w:div w:id="399057269">
      <w:bodyDiv w:val="1"/>
      <w:marLeft w:val="0"/>
      <w:marRight w:val="0"/>
      <w:marTop w:val="0"/>
      <w:marBottom w:val="0"/>
      <w:divBdr>
        <w:top w:val="none" w:sz="0" w:space="0" w:color="auto"/>
        <w:left w:val="none" w:sz="0" w:space="0" w:color="auto"/>
        <w:bottom w:val="none" w:sz="0" w:space="0" w:color="auto"/>
        <w:right w:val="none" w:sz="0" w:space="0" w:color="auto"/>
      </w:divBdr>
    </w:div>
    <w:div w:id="470639271">
      <w:bodyDiv w:val="1"/>
      <w:marLeft w:val="0"/>
      <w:marRight w:val="0"/>
      <w:marTop w:val="0"/>
      <w:marBottom w:val="0"/>
      <w:divBdr>
        <w:top w:val="none" w:sz="0" w:space="0" w:color="auto"/>
        <w:left w:val="none" w:sz="0" w:space="0" w:color="auto"/>
        <w:bottom w:val="none" w:sz="0" w:space="0" w:color="auto"/>
        <w:right w:val="none" w:sz="0" w:space="0" w:color="auto"/>
      </w:divBdr>
    </w:div>
    <w:div w:id="488835264">
      <w:bodyDiv w:val="1"/>
      <w:marLeft w:val="0"/>
      <w:marRight w:val="0"/>
      <w:marTop w:val="0"/>
      <w:marBottom w:val="0"/>
      <w:divBdr>
        <w:top w:val="none" w:sz="0" w:space="0" w:color="auto"/>
        <w:left w:val="none" w:sz="0" w:space="0" w:color="auto"/>
        <w:bottom w:val="none" w:sz="0" w:space="0" w:color="auto"/>
        <w:right w:val="none" w:sz="0" w:space="0" w:color="auto"/>
      </w:divBdr>
    </w:div>
    <w:div w:id="551623032">
      <w:bodyDiv w:val="1"/>
      <w:marLeft w:val="0"/>
      <w:marRight w:val="0"/>
      <w:marTop w:val="0"/>
      <w:marBottom w:val="0"/>
      <w:divBdr>
        <w:top w:val="none" w:sz="0" w:space="0" w:color="auto"/>
        <w:left w:val="none" w:sz="0" w:space="0" w:color="auto"/>
        <w:bottom w:val="none" w:sz="0" w:space="0" w:color="auto"/>
        <w:right w:val="none" w:sz="0" w:space="0" w:color="auto"/>
      </w:divBdr>
    </w:div>
    <w:div w:id="561840842">
      <w:bodyDiv w:val="1"/>
      <w:marLeft w:val="0"/>
      <w:marRight w:val="0"/>
      <w:marTop w:val="0"/>
      <w:marBottom w:val="0"/>
      <w:divBdr>
        <w:top w:val="none" w:sz="0" w:space="0" w:color="auto"/>
        <w:left w:val="none" w:sz="0" w:space="0" w:color="auto"/>
        <w:bottom w:val="none" w:sz="0" w:space="0" w:color="auto"/>
        <w:right w:val="none" w:sz="0" w:space="0" w:color="auto"/>
      </w:divBdr>
    </w:div>
    <w:div w:id="608703452">
      <w:bodyDiv w:val="1"/>
      <w:marLeft w:val="0"/>
      <w:marRight w:val="0"/>
      <w:marTop w:val="0"/>
      <w:marBottom w:val="0"/>
      <w:divBdr>
        <w:top w:val="none" w:sz="0" w:space="0" w:color="auto"/>
        <w:left w:val="none" w:sz="0" w:space="0" w:color="auto"/>
        <w:bottom w:val="none" w:sz="0" w:space="0" w:color="auto"/>
        <w:right w:val="none" w:sz="0" w:space="0" w:color="auto"/>
      </w:divBdr>
    </w:div>
    <w:div w:id="618150485">
      <w:bodyDiv w:val="1"/>
      <w:marLeft w:val="0"/>
      <w:marRight w:val="0"/>
      <w:marTop w:val="0"/>
      <w:marBottom w:val="0"/>
      <w:divBdr>
        <w:top w:val="none" w:sz="0" w:space="0" w:color="auto"/>
        <w:left w:val="none" w:sz="0" w:space="0" w:color="auto"/>
        <w:bottom w:val="none" w:sz="0" w:space="0" w:color="auto"/>
        <w:right w:val="none" w:sz="0" w:space="0" w:color="auto"/>
      </w:divBdr>
    </w:div>
    <w:div w:id="899293678">
      <w:bodyDiv w:val="1"/>
      <w:marLeft w:val="0"/>
      <w:marRight w:val="0"/>
      <w:marTop w:val="0"/>
      <w:marBottom w:val="0"/>
      <w:divBdr>
        <w:top w:val="none" w:sz="0" w:space="0" w:color="auto"/>
        <w:left w:val="none" w:sz="0" w:space="0" w:color="auto"/>
        <w:bottom w:val="none" w:sz="0" w:space="0" w:color="auto"/>
        <w:right w:val="none" w:sz="0" w:space="0" w:color="auto"/>
      </w:divBdr>
    </w:div>
    <w:div w:id="939721327">
      <w:bodyDiv w:val="1"/>
      <w:marLeft w:val="0"/>
      <w:marRight w:val="0"/>
      <w:marTop w:val="0"/>
      <w:marBottom w:val="0"/>
      <w:divBdr>
        <w:top w:val="none" w:sz="0" w:space="0" w:color="auto"/>
        <w:left w:val="none" w:sz="0" w:space="0" w:color="auto"/>
        <w:bottom w:val="none" w:sz="0" w:space="0" w:color="auto"/>
        <w:right w:val="none" w:sz="0" w:space="0" w:color="auto"/>
      </w:divBdr>
    </w:div>
    <w:div w:id="964851021">
      <w:bodyDiv w:val="1"/>
      <w:marLeft w:val="0"/>
      <w:marRight w:val="0"/>
      <w:marTop w:val="0"/>
      <w:marBottom w:val="0"/>
      <w:divBdr>
        <w:top w:val="none" w:sz="0" w:space="0" w:color="auto"/>
        <w:left w:val="none" w:sz="0" w:space="0" w:color="auto"/>
        <w:bottom w:val="none" w:sz="0" w:space="0" w:color="auto"/>
        <w:right w:val="none" w:sz="0" w:space="0" w:color="auto"/>
      </w:divBdr>
    </w:div>
    <w:div w:id="1033844550">
      <w:bodyDiv w:val="1"/>
      <w:marLeft w:val="0"/>
      <w:marRight w:val="0"/>
      <w:marTop w:val="0"/>
      <w:marBottom w:val="0"/>
      <w:divBdr>
        <w:top w:val="none" w:sz="0" w:space="0" w:color="auto"/>
        <w:left w:val="none" w:sz="0" w:space="0" w:color="auto"/>
        <w:bottom w:val="none" w:sz="0" w:space="0" w:color="auto"/>
        <w:right w:val="none" w:sz="0" w:space="0" w:color="auto"/>
      </w:divBdr>
    </w:div>
    <w:div w:id="1069428015">
      <w:bodyDiv w:val="1"/>
      <w:marLeft w:val="0"/>
      <w:marRight w:val="0"/>
      <w:marTop w:val="0"/>
      <w:marBottom w:val="0"/>
      <w:divBdr>
        <w:top w:val="none" w:sz="0" w:space="0" w:color="auto"/>
        <w:left w:val="none" w:sz="0" w:space="0" w:color="auto"/>
        <w:bottom w:val="none" w:sz="0" w:space="0" w:color="auto"/>
        <w:right w:val="none" w:sz="0" w:space="0" w:color="auto"/>
      </w:divBdr>
    </w:div>
    <w:div w:id="1216352915">
      <w:bodyDiv w:val="1"/>
      <w:marLeft w:val="0"/>
      <w:marRight w:val="0"/>
      <w:marTop w:val="0"/>
      <w:marBottom w:val="0"/>
      <w:divBdr>
        <w:top w:val="none" w:sz="0" w:space="0" w:color="auto"/>
        <w:left w:val="none" w:sz="0" w:space="0" w:color="auto"/>
        <w:bottom w:val="none" w:sz="0" w:space="0" w:color="auto"/>
        <w:right w:val="none" w:sz="0" w:space="0" w:color="auto"/>
      </w:divBdr>
    </w:div>
    <w:div w:id="1269198360">
      <w:bodyDiv w:val="1"/>
      <w:marLeft w:val="0"/>
      <w:marRight w:val="0"/>
      <w:marTop w:val="0"/>
      <w:marBottom w:val="0"/>
      <w:divBdr>
        <w:top w:val="none" w:sz="0" w:space="0" w:color="auto"/>
        <w:left w:val="none" w:sz="0" w:space="0" w:color="auto"/>
        <w:bottom w:val="none" w:sz="0" w:space="0" w:color="auto"/>
        <w:right w:val="none" w:sz="0" w:space="0" w:color="auto"/>
      </w:divBdr>
    </w:div>
    <w:div w:id="1424495384">
      <w:bodyDiv w:val="1"/>
      <w:marLeft w:val="0"/>
      <w:marRight w:val="0"/>
      <w:marTop w:val="0"/>
      <w:marBottom w:val="0"/>
      <w:divBdr>
        <w:top w:val="none" w:sz="0" w:space="0" w:color="auto"/>
        <w:left w:val="none" w:sz="0" w:space="0" w:color="auto"/>
        <w:bottom w:val="none" w:sz="0" w:space="0" w:color="auto"/>
        <w:right w:val="none" w:sz="0" w:space="0" w:color="auto"/>
      </w:divBdr>
    </w:div>
    <w:div w:id="1516187484">
      <w:bodyDiv w:val="1"/>
      <w:marLeft w:val="0"/>
      <w:marRight w:val="0"/>
      <w:marTop w:val="0"/>
      <w:marBottom w:val="0"/>
      <w:divBdr>
        <w:top w:val="none" w:sz="0" w:space="0" w:color="auto"/>
        <w:left w:val="none" w:sz="0" w:space="0" w:color="auto"/>
        <w:bottom w:val="none" w:sz="0" w:space="0" w:color="auto"/>
        <w:right w:val="none" w:sz="0" w:space="0" w:color="auto"/>
      </w:divBdr>
    </w:div>
    <w:div w:id="1689329776">
      <w:bodyDiv w:val="1"/>
      <w:marLeft w:val="0"/>
      <w:marRight w:val="0"/>
      <w:marTop w:val="0"/>
      <w:marBottom w:val="0"/>
      <w:divBdr>
        <w:top w:val="none" w:sz="0" w:space="0" w:color="auto"/>
        <w:left w:val="none" w:sz="0" w:space="0" w:color="auto"/>
        <w:bottom w:val="none" w:sz="0" w:space="0" w:color="auto"/>
        <w:right w:val="none" w:sz="0" w:space="0" w:color="auto"/>
      </w:divBdr>
    </w:div>
    <w:div w:id="1764109389">
      <w:bodyDiv w:val="1"/>
      <w:marLeft w:val="0"/>
      <w:marRight w:val="0"/>
      <w:marTop w:val="0"/>
      <w:marBottom w:val="0"/>
      <w:divBdr>
        <w:top w:val="none" w:sz="0" w:space="0" w:color="auto"/>
        <w:left w:val="none" w:sz="0" w:space="0" w:color="auto"/>
        <w:bottom w:val="none" w:sz="0" w:space="0" w:color="auto"/>
        <w:right w:val="none" w:sz="0" w:space="0" w:color="auto"/>
      </w:divBdr>
    </w:div>
    <w:div w:id="1787771240">
      <w:bodyDiv w:val="1"/>
      <w:marLeft w:val="0"/>
      <w:marRight w:val="0"/>
      <w:marTop w:val="0"/>
      <w:marBottom w:val="0"/>
      <w:divBdr>
        <w:top w:val="none" w:sz="0" w:space="0" w:color="auto"/>
        <w:left w:val="none" w:sz="0" w:space="0" w:color="auto"/>
        <w:bottom w:val="none" w:sz="0" w:space="0" w:color="auto"/>
        <w:right w:val="none" w:sz="0" w:space="0" w:color="auto"/>
      </w:divBdr>
    </w:div>
    <w:div w:id="1788423339">
      <w:bodyDiv w:val="1"/>
      <w:marLeft w:val="0"/>
      <w:marRight w:val="0"/>
      <w:marTop w:val="0"/>
      <w:marBottom w:val="0"/>
      <w:divBdr>
        <w:top w:val="none" w:sz="0" w:space="0" w:color="auto"/>
        <w:left w:val="none" w:sz="0" w:space="0" w:color="auto"/>
        <w:bottom w:val="none" w:sz="0" w:space="0" w:color="auto"/>
        <w:right w:val="none" w:sz="0" w:space="0" w:color="auto"/>
      </w:divBdr>
    </w:div>
    <w:div w:id="1793480584">
      <w:bodyDiv w:val="1"/>
      <w:marLeft w:val="0"/>
      <w:marRight w:val="0"/>
      <w:marTop w:val="0"/>
      <w:marBottom w:val="0"/>
      <w:divBdr>
        <w:top w:val="none" w:sz="0" w:space="0" w:color="auto"/>
        <w:left w:val="none" w:sz="0" w:space="0" w:color="auto"/>
        <w:bottom w:val="none" w:sz="0" w:space="0" w:color="auto"/>
        <w:right w:val="none" w:sz="0" w:space="0" w:color="auto"/>
      </w:divBdr>
    </w:div>
    <w:div w:id="1821843303">
      <w:bodyDiv w:val="1"/>
      <w:marLeft w:val="0"/>
      <w:marRight w:val="0"/>
      <w:marTop w:val="0"/>
      <w:marBottom w:val="0"/>
      <w:divBdr>
        <w:top w:val="none" w:sz="0" w:space="0" w:color="auto"/>
        <w:left w:val="none" w:sz="0" w:space="0" w:color="auto"/>
        <w:bottom w:val="none" w:sz="0" w:space="0" w:color="auto"/>
        <w:right w:val="none" w:sz="0" w:space="0" w:color="auto"/>
      </w:divBdr>
    </w:div>
    <w:div w:id="1859659634">
      <w:bodyDiv w:val="1"/>
      <w:marLeft w:val="0"/>
      <w:marRight w:val="0"/>
      <w:marTop w:val="0"/>
      <w:marBottom w:val="0"/>
      <w:divBdr>
        <w:top w:val="none" w:sz="0" w:space="0" w:color="auto"/>
        <w:left w:val="none" w:sz="0" w:space="0" w:color="auto"/>
        <w:bottom w:val="none" w:sz="0" w:space="0" w:color="auto"/>
        <w:right w:val="none" w:sz="0" w:space="0" w:color="auto"/>
      </w:divBdr>
    </w:div>
    <w:div w:id="2011523202">
      <w:bodyDiv w:val="1"/>
      <w:marLeft w:val="0"/>
      <w:marRight w:val="0"/>
      <w:marTop w:val="0"/>
      <w:marBottom w:val="0"/>
      <w:divBdr>
        <w:top w:val="none" w:sz="0" w:space="0" w:color="auto"/>
        <w:left w:val="none" w:sz="0" w:space="0" w:color="auto"/>
        <w:bottom w:val="none" w:sz="0" w:space="0" w:color="auto"/>
        <w:right w:val="none" w:sz="0" w:space="0" w:color="auto"/>
      </w:divBdr>
    </w:div>
    <w:div w:id="2092040513">
      <w:bodyDiv w:val="1"/>
      <w:marLeft w:val="0"/>
      <w:marRight w:val="0"/>
      <w:marTop w:val="0"/>
      <w:marBottom w:val="0"/>
      <w:divBdr>
        <w:top w:val="none" w:sz="0" w:space="0" w:color="auto"/>
        <w:left w:val="none" w:sz="0" w:space="0" w:color="auto"/>
        <w:bottom w:val="none" w:sz="0" w:space="0" w:color="auto"/>
        <w:right w:val="none" w:sz="0" w:space="0" w:color="auto"/>
      </w:divBdr>
    </w:div>
    <w:div w:id="21414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DURSUN\dursun\ATAUM\&#214;DEV-SERT&#304;F&#304;KA\&#214;DEV\ATAUM%20Analiz-SON.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D:\DURSUN\dursun\ATAUM\&#214;DEV-SERT&#304;F&#304;KA\&#214;DEV\ATAUM%20Analiz-S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ursun.balkan\Desktop\2015%20ETK&#304;NL&#304;KLER\ATAUM\&#214;DEV-SERT&#304;F&#304;KA\&#214;DEV\ATAUM%20Analiz-S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URSUN\dursun\ATAUM\&#214;DEV-SERT&#304;F&#304;KA\&#214;DEV\ATAUM%20Analiz-S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1200"/>
              <a:t>Yıllık Ortalama İşgücü Verimliliği Değişim Oranı (2005-2014)</a:t>
            </a:r>
          </a:p>
        </c:rich>
      </c:tx>
      <c:overlay val="0"/>
      <c:spPr>
        <a:noFill/>
        <a:ln>
          <a:noFill/>
        </a:ln>
        <a:effectLst/>
      </c:spPr>
    </c:title>
    <c:autoTitleDeleted val="0"/>
    <c:plotArea>
      <c:layout>
        <c:manualLayout>
          <c:layoutTarget val="inner"/>
          <c:xMode val="edge"/>
          <c:yMode val="edge"/>
          <c:x val="0.10892648319950106"/>
          <c:y val="0.12481282233866089"/>
          <c:w val="0.86831262002116549"/>
          <c:h val="0.6163541893907275"/>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2"/>
            <c:invertIfNegative val="0"/>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7"/>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Sayfa7!$C$4:$C$28</c:f>
              <c:strCache>
                <c:ptCount val="25"/>
                <c:pt idx="0">
                  <c:v>Slovakya</c:v>
                </c:pt>
                <c:pt idx="1">
                  <c:v>Romanya</c:v>
                </c:pt>
                <c:pt idx="2">
                  <c:v>Estonya</c:v>
                </c:pt>
                <c:pt idx="3">
                  <c:v>Letonya</c:v>
                </c:pt>
                <c:pt idx="4">
                  <c:v>Polonya</c:v>
                </c:pt>
                <c:pt idx="5">
                  <c:v>Macaristan</c:v>
                </c:pt>
                <c:pt idx="6">
                  <c:v>Almanya</c:v>
                </c:pt>
                <c:pt idx="7">
                  <c:v>Çek Cumhuriyeti</c:v>
                </c:pt>
                <c:pt idx="8">
                  <c:v>Malta</c:v>
                </c:pt>
                <c:pt idx="9">
                  <c:v>Bulgaristan</c:v>
                </c:pt>
                <c:pt idx="10">
                  <c:v>Slovenya</c:v>
                </c:pt>
                <c:pt idx="11">
                  <c:v>Luxemburg</c:v>
                </c:pt>
                <c:pt idx="12">
                  <c:v>Ortalama</c:v>
                </c:pt>
                <c:pt idx="13">
                  <c:v>Finlandiya</c:v>
                </c:pt>
                <c:pt idx="14">
                  <c:v>Amerika Birleşik Devletleri</c:v>
                </c:pt>
                <c:pt idx="15">
                  <c:v>Avusturya</c:v>
                </c:pt>
                <c:pt idx="16">
                  <c:v>Norveç</c:v>
                </c:pt>
                <c:pt idx="17">
                  <c:v>Türkiye</c:v>
                </c:pt>
                <c:pt idx="18">
                  <c:v>Portekiz</c:v>
                </c:pt>
                <c:pt idx="19">
                  <c:v>Fransa</c:v>
                </c:pt>
                <c:pt idx="20">
                  <c:v>İspanya</c:v>
                </c:pt>
                <c:pt idx="21">
                  <c:v>Litvanya</c:v>
                </c:pt>
                <c:pt idx="22">
                  <c:v>Makedonya</c:v>
                </c:pt>
                <c:pt idx="23">
                  <c:v>İşveç</c:v>
                </c:pt>
                <c:pt idx="24">
                  <c:v>Kıbrıs</c:v>
                </c:pt>
              </c:strCache>
            </c:strRef>
          </c:cat>
          <c:val>
            <c:numRef>
              <c:f>Sayfa7!$N$4:$N$27</c:f>
              <c:numCache>
                <c:formatCode>0.00%</c:formatCode>
                <c:ptCount val="24"/>
                <c:pt idx="0">
                  <c:v>0.10116116368205882</c:v>
                </c:pt>
                <c:pt idx="1">
                  <c:v>9.5337294119668514E-2</c:v>
                </c:pt>
                <c:pt idx="2">
                  <c:v>6.2927342209341333E-2</c:v>
                </c:pt>
                <c:pt idx="3">
                  <c:v>5.7956677993329202E-2</c:v>
                </c:pt>
                <c:pt idx="4">
                  <c:v>5.2363619131626078E-2</c:v>
                </c:pt>
                <c:pt idx="5">
                  <c:v>5.1394794021832911E-2</c:v>
                </c:pt>
                <c:pt idx="6">
                  <c:v>4.0658525829453916E-2</c:v>
                </c:pt>
                <c:pt idx="7">
                  <c:v>3.954993132292501E-2</c:v>
                </c:pt>
                <c:pt idx="8">
                  <c:v>3.7645960031174021E-2</c:v>
                </c:pt>
                <c:pt idx="9">
                  <c:v>3.3455355088349112E-2</c:v>
                </c:pt>
                <c:pt idx="10">
                  <c:v>3.3407454253053859E-2</c:v>
                </c:pt>
                <c:pt idx="11">
                  <c:v>3.2275569443576381E-2</c:v>
                </c:pt>
                <c:pt idx="12">
                  <c:v>3.2045853206319676E-2</c:v>
                </c:pt>
                <c:pt idx="13">
                  <c:v>2.0793827987082202E-2</c:v>
                </c:pt>
                <c:pt idx="14">
                  <c:v>1.9252979265459106E-2</c:v>
                </c:pt>
                <c:pt idx="15">
                  <c:v>1.8088215694926094E-2</c:v>
                </c:pt>
                <c:pt idx="16">
                  <c:v>1.7768460518278767E-2</c:v>
                </c:pt>
                <c:pt idx="17">
                  <c:v>1.6440864271710674E-2</c:v>
                </c:pt>
                <c:pt idx="18">
                  <c:v>1.55478593722075E-2</c:v>
                </c:pt>
                <c:pt idx="19">
                  <c:v>1.3364223446990311E-2</c:v>
                </c:pt>
                <c:pt idx="20">
                  <c:v>8.3048012186675985E-3</c:v>
                </c:pt>
                <c:pt idx="21">
                  <c:v>7.3108473063370561E-3</c:v>
                </c:pt>
                <c:pt idx="22">
                  <c:v>6.3206493073592693E-3</c:v>
                </c:pt>
                <c:pt idx="23">
                  <c:v>4.0006758293519165E-3</c:v>
                </c:pt>
              </c:numCache>
            </c:numRef>
          </c:val>
        </c:ser>
        <c:dLbls>
          <c:showLegendKey val="0"/>
          <c:showVal val="0"/>
          <c:showCatName val="0"/>
          <c:showSerName val="0"/>
          <c:showPercent val="0"/>
          <c:showBubbleSize val="0"/>
        </c:dLbls>
        <c:gapWidth val="100"/>
        <c:overlap val="-24"/>
        <c:axId val="23406080"/>
        <c:axId val="23407616"/>
      </c:barChart>
      <c:catAx>
        <c:axId val="234060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407616"/>
        <c:crosses val="autoZero"/>
        <c:auto val="1"/>
        <c:lblAlgn val="ctr"/>
        <c:lblOffset val="100"/>
        <c:noMultiLvlLbl val="0"/>
      </c:catAx>
      <c:valAx>
        <c:axId val="234076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40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Arial" panose="020B0604020202020204" pitchFamily="34" charset="0"/>
          <a:cs typeface="Arial" panose="020B0604020202020204" pitchFamily="34"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1100"/>
              <a:t>Türkiye Üretim ve İstihdam Endeksleri 2010=100 (2005-2014)</a:t>
            </a:r>
          </a:p>
        </c:rich>
      </c:tx>
      <c:overlay val="0"/>
      <c:spPr>
        <a:noFill/>
        <a:ln>
          <a:noFill/>
        </a:ln>
        <a:effectLst/>
      </c:spPr>
    </c:title>
    <c:autoTitleDeleted val="0"/>
    <c:plotArea>
      <c:layout/>
      <c:lineChart>
        <c:grouping val="standard"/>
        <c:varyColors val="0"/>
        <c:ser>
          <c:idx val="0"/>
          <c:order val="0"/>
          <c:tx>
            <c:strRef>
              <c:f>Sayfa3!$B$4</c:f>
              <c:strCache>
                <c:ptCount val="1"/>
                <c:pt idx="0">
                  <c:v>Üretim Endeksi</c:v>
                </c:pt>
              </c:strCache>
            </c:strRef>
          </c:tx>
          <c:spPr>
            <a:ln w="73025" cap="rnd" cmpd="tri">
              <a:solidFill>
                <a:schemeClr val="accent1"/>
              </a:solidFill>
              <a:round/>
            </a:ln>
            <a:effectLst/>
          </c:spPr>
          <c:marker>
            <c:symbol val="circle"/>
            <c:size val="5"/>
            <c:spPr>
              <a:solidFill>
                <a:schemeClr val="accent1"/>
              </a:solidFill>
              <a:ln w="9525">
                <a:solidFill>
                  <a:schemeClr val="accent1"/>
                </a:solidFill>
              </a:ln>
              <a:effectLst/>
            </c:spPr>
          </c:marker>
          <c:cat>
            <c:strRef>
              <c:f>Sayfa3!$C$3:$L$3</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Sayfa3!$C$4:$L$4</c:f>
              <c:numCache>
                <c:formatCode>#,##0.00</c:formatCode>
                <c:ptCount val="10"/>
                <c:pt idx="0">
                  <c:v>87.43</c:v>
                </c:pt>
                <c:pt idx="1">
                  <c:v>93.679999999999978</c:v>
                </c:pt>
                <c:pt idx="2">
                  <c:v>99.98</c:v>
                </c:pt>
                <c:pt idx="3">
                  <c:v>98.5</c:v>
                </c:pt>
                <c:pt idx="4">
                  <c:v>87.33</c:v>
                </c:pt>
                <c:pt idx="5">
                  <c:v>100</c:v>
                </c:pt>
                <c:pt idx="6">
                  <c:v>110.54</c:v>
                </c:pt>
                <c:pt idx="7">
                  <c:v>113.03</c:v>
                </c:pt>
                <c:pt idx="8">
                  <c:v>117.5</c:v>
                </c:pt>
                <c:pt idx="9">
                  <c:v>121.29</c:v>
                </c:pt>
              </c:numCache>
            </c:numRef>
          </c:val>
          <c:smooth val="0"/>
        </c:ser>
        <c:ser>
          <c:idx val="1"/>
          <c:order val="1"/>
          <c:tx>
            <c:strRef>
              <c:f>Sayfa3!$B$5</c:f>
              <c:strCache>
                <c:ptCount val="1"/>
                <c:pt idx="0">
                  <c:v>İstihdam Endeksi</c:v>
                </c:pt>
              </c:strCache>
            </c:strRef>
          </c:tx>
          <c:spPr>
            <a:ln w="79375"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Sayfa3!$C$3:$L$3</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Sayfa3!$C$5:$L$5</c:f>
              <c:numCache>
                <c:formatCode>#,##0.00</c:formatCode>
                <c:ptCount val="10"/>
                <c:pt idx="0">
                  <c:v>99.83</c:v>
                </c:pt>
                <c:pt idx="1">
                  <c:v>102.35</c:v>
                </c:pt>
                <c:pt idx="2">
                  <c:v>106.2</c:v>
                </c:pt>
                <c:pt idx="3">
                  <c:v>105.83</c:v>
                </c:pt>
                <c:pt idx="4">
                  <c:v>95.45</c:v>
                </c:pt>
                <c:pt idx="5">
                  <c:v>100</c:v>
                </c:pt>
                <c:pt idx="6">
                  <c:v>106.93</c:v>
                </c:pt>
                <c:pt idx="7">
                  <c:v>112.2</c:v>
                </c:pt>
                <c:pt idx="8">
                  <c:v>116.6</c:v>
                </c:pt>
                <c:pt idx="9">
                  <c:v>120.23</c:v>
                </c:pt>
              </c:numCache>
            </c:numRef>
          </c:val>
          <c:smooth val="0"/>
        </c:ser>
        <c:dLbls>
          <c:showLegendKey val="0"/>
          <c:showVal val="0"/>
          <c:showCatName val="0"/>
          <c:showSerName val="0"/>
          <c:showPercent val="0"/>
          <c:showBubbleSize val="0"/>
        </c:dLbls>
        <c:marker val="1"/>
        <c:smooth val="0"/>
        <c:axId val="23173376"/>
        <c:axId val="23175552"/>
      </c:lineChart>
      <c:catAx>
        <c:axId val="2317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175552"/>
        <c:crosses val="autoZero"/>
        <c:auto val="1"/>
        <c:lblAlgn val="ctr"/>
        <c:lblOffset val="100"/>
        <c:noMultiLvlLbl val="0"/>
      </c:catAx>
      <c:valAx>
        <c:axId val="23175552"/>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17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Arial" panose="020B0604020202020204" pitchFamily="34" charset="0"/>
          <a:cs typeface="Arial" panose="020B0604020202020204" pitchFamily="34" charset="0"/>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1100"/>
              <a:t>Türkiye'de İmalat Sanayinde, 2005-2014 döneminde </a:t>
            </a:r>
          </a:p>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1100"/>
              <a:t>Üretim, İstihdam ve Verimlilik Endeksleri (2010=100)</a:t>
            </a:r>
          </a:p>
        </c:rich>
      </c:tx>
      <c:overlay val="0"/>
      <c:spPr>
        <a:noFill/>
        <a:ln>
          <a:noFill/>
        </a:ln>
        <a:effectLst/>
      </c:spPr>
    </c:title>
    <c:autoTitleDeleted val="0"/>
    <c:plotArea>
      <c:layout/>
      <c:lineChart>
        <c:grouping val="standard"/>
        <c:varyColors val="0"/>
        <c:ser>
          <c:idx val="0"/>
          <c:order val="0"/>
          <c:tx>
            <c:strRef>
              <c:f>Sayfa3!$B$4</c:f>
              <c:strCache>
                <c:ptCount val="1"/>
                <c:pt idx="0">
                  <c:v>Üretim Endeksi</c:v>
                </c:pt>
              </c:strCache>
            </c:strRef>
          </c:tx>
          <c:spPr>
            <a:ln w="76200" cap="rnd" cmpd="tri">
              <a:solidFill>
                <a:schemeClr val="accent1"/>
              </a:solidFill>
              <a:round/>
            </a:ln>
            <a:effectLst/>
          </c:spPr>
          <c:marker>
            <c:symbol val="circle"/>
            <c:size val="5"/>
            <c:spPr>
              <a:solidFill>
                <a:schemeClr val="accent1"/>
              </a:solidFill>
              <a:ln w="9525">
                <a:solidFill>
                  <a:schemeClr val="accent1"/>
                </a:solidFill>
              </a:ln>
              <a:effectLst/>
            </c:spPr>
          </c:marker>
          <c:cat>
            <c:strRef>
              <c:f>Sayfa3!$C$3:$L$3</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Sayfa3!$C$4:$L$4</c:f>
              <c:numCache>
                <c:formatCode>#,##0.00</c:formatCode>
                <c:ptCount val="10"/>
                <c:pt idx="0">
                  <c:v>87.43</c:v>
                </c:pt>
                <c:pt idx="1">
                  <c:v>93.679999999999978</c:v>
                </c:pt>
                <c:pt idx="2">
                  <c:v>99.98</c:v>
                </c:pt>
                <c:pt idx="3">
                  <c:v>98.5</c:v>
                </c:pt>
                <c:pt idx="4">
                  <c:v>87.33</c:v>
                </c:pt>
                <c:pt idx="5">
                  <c:v>100</c:v>
                </c:pt>
                <c:pt idx="6">
                  <c:v>110.54</c:v>
                </c:pt>
                <c:pt idx="7">
                  <c:v>113.03</c:v>
                </c:pt>
                <c:pt idx="8">
                  <c:v>117.5</c:v>
                </c:pt>
                <c:pt idx="9">
                  <c:v>121.29</c:v>
                </c:pt>
              </c:numCache>
            </c:numRef>
          </c:val>
          <c:smooth val="0"/>
        </c:ser>
        <c:ser>
          <c:idx val="1"/>
          <c:order val="1"/>
          <c:tx>
            <c:strRef>
              <c:f>Sayfa3!$B$5</c:f>
              <c:strCache>
                <c:ptCount val="1"/>
                <c:pt idx="0">
                  <c:v>İstihdam Endeksi</c:v>
                </c:pt>
              </c:strCache>
            </c:strRef>
          </c:tx>
          <c:spPr>
            <a:ln w="66675" cap="rnd" cmpd="sng">
              <a:solidFill>
                <a:schemeClr val="accent2"/>
              </a:solidFill>
              <a:prstDash val="sysDash"/>
              <a:round/>
            </a:ln>
            <a:effectLst/>
          </c:spPr>
          <c:marker>
            <c:symbol val="circle"/>
            <c:size val="5"/>
            <c:spPr>
              <a:solidFill>
                <a:schemeClr val="accent2"/>
              </a:solidFill>
              <a:ln w="9525">
                <a:solidFill>
                  <a:schemeClr val="accent2"/>
                </a:solidFill>
              </a:ln>
              <a:effectLst/>
            </c:spPr>
          </c:marker>
          <c:cat>
            <c:strRef>
              <c:f>Sayfa3!$C$3:$L$3</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Sayfa3!$C$5:$L$5</c:f>
              <c:numCache>
                <c:formatCode>#,##0.00</c:formatCode>
                <c:ptCount val="10"/>
                <c:pt idx="0">
                  <c:v>99.83</c:v>
                </c:pt>
                <c:pt idx="1">
                  <c:v>102.35</c:v>
                </c:pt>
                <c:pt idx="2">
                  <c:v>106.2</c:v>
                </c:pt>
                <c:pt idx="3">
                  <c:v>105.83</c:v>
                </c:pt>
                <c:pt idx="4">
                  <c:v>95.45</c:v>
                </c:pt>
                <c:pt idx="5">
                  <c:v>100</c:v>
                </c:pt>
                <c:pt idx="6">
                  <c:v>106.93</c:v>
                </c:pt>
                <c:pt idx="7">
                  <c:v>112.2</c:v>
                </c:pt>
                <c:pt idx="8">
                  <c:v>116.6</c:v>
                </c:pt>
                <c:pt idx="9">
                  <c:v>120.23</c:v>
                </c:pt>
              </c:numCache>
            </c:numRef>
          </c:val>
          <c:smooth val="0"/>
        </c:ser>
        <c:dLbls>
          <c:showLegendKey val="0"/>
          <c:showVal val="0"/>
          <c:showCatName val="0"/>
          <c:showSerName val="0"/>
          <c:showPercent val="0"/>
          <c:showBubbleSize val="0"/>
        </c:dLbls>
        <c:marker val="1"/>
        <c:smooth val="0"/>
        <c:axId val="95844992"/>
        <c:axId val="95859456"/>
      </c:lineChart>
      <c:lineChart>
        <c:grouping val="standard"/>
        <c:varyColors val="0"/>
        <c:ser>
          <c:idx val="2"/>
          <c:order val="2"/>
          <c:tx>
            <c:strRef>
              <c:f>Sayfa3!$B$6</c:f>
              <c:strCache>
                <c:ptCount val="1"/>
                <c:pt idx="0">
                  <c:v>İşgücü Verimliliği</c:v>
                </c:pt>
              </c:strCache>
            </c:strRef>
          </c:tx>
          <c:spPr>
            <a:ln w="69850" cap="rnd">
              <a:solidFill>
                <a:schemeClr val="accent3"/>
              </a:solidFill>
              <a:round/>
            </a:ln>
            <a:effectLst/>
          </c:spPr>
          <c:marker>
            <c:symbol val="circle"/>
            <c:size val="5"/>
            <c:spPr>
              <a:solidFill>
                <a:schemeClr val="accent3"/>
              </a:solidFill>
              <a:ln w="9525">
                <a:solidFill>
                  <a:schemeClr val="accent3"/>
                </a:solidFill>
              </a:ln>
              <a:effectLst/>
            </c:spPr>
          </c:marker>
          <c:cat>
            <c:strRef>
              <c:f>Sayfa3!$C$3:$L$3</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Sayfa3!$C$6:$L$6</c:f>
              <c:numCache>
                <c:formatCode>0.000</c:formatCode>
                <c:ptCount val="10"/>
                <c:pt idx="0">
                  <c:v>0.87578884102975063</c:v>
                </c:pt>
                <c:pt idx="1">
                  <c:v>0.91529066927210567</c:v>
                </c:pt>
                <c:pt idx="2">
                  <c:v>0.94143126177024172</c:v>
                </c:pt>
                <c:pt idx="3">
                  <c:v>0.93073797599924357</c:v>
                </c:pt>
                <c:pt idx="4">
                  <c:v>0.91492928234678172</c:v>
                </c:pt>
                <c:pt idx="5">
                  <c:v>1</c:v>
                </c:pt>
                <c:pt idx="6">
                  <c:v>1.0337604040026178</c:v>
                </c:pt>
                <c:pt idx="7">
                  <c:v>1.0073975044563281</c:v>
                </c:pt>
                <c:pt idx="8">
                  <c:v>1.0077186963979361</c:v>
                </c:pt>
                <c:pt idx="9">
                  <c:v>1.0088164351659319</c:v>
                </c:pt>
              </c:numCache>
            </c:numRef>
          </c:val>
          <c:smooth val="0"/>
        </c:ser>
        <c:dLbls>
          <c:showLegendKey val="0"/>
          <c:showVal val="0"/>
          <c:showCatName val="0"/>
          <c:showSerName val="0"/>
          <c:showPercent val="0"/>
          <c:showBubbleSize val="0"/>
        </c:dLbls>
        <c:marker val="1"/>
        <c:smooth val="0"/>
        <c:axId val="98369536"/>
        <c:axId val="95860992"/>
      </c:lineChart>
      <c:catAx>
        <c:axId val="9584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95859456"/>
        <c:crosses val="autoZero"/>
        <c:auto val="1"/>
        <c:lblAlgn val="ctr"/>
        <c:lblOffset val="100"/>
        <c:noMultiLvlLbl val="0"/>
      </c:catAx>
      <c:valAx>
        <c:axId val="95859456"/>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95844992"/>
        <c:crosses val="autoZero"/>
        <c:crossBetween val="between"/>
      </c:valAx>
      <c:valAx>
        <c:axId val="95860992"/>
        <c:scaling>
          <c:orientation val="minMax"/>
          <c:min val="0.85000000000000064"/>
        </c:scaling>
        <c:delete val="0"/>
        <c:axPos val="r"/>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98369536"/>
        <c:crosses val="max"/>
        <c:crossBetween val="between"/>
      </c:valAx>
      <c:catAx>
        <c:axId val="98369536"/>
        <c:scaling>
          <c:orientation val="minMax"/>
        </c:scaling>
        <c:delete val="1"/>
        <c:axPos val="b"/>
        <c:numFmt formatCode="General" sourceLinked="1"/>
        <c:majorTickMark val="out"/>
        <c:minorTickMark val="none"/>
        <c:tickLblPos val="nextTo"/>
        <c:crossAx val="958609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Arial" panose="020B0604020202020204" pitchFamily="34" charset="0"/>
          <a:cs typeface="Arial" panose="020B0604020202020204" pitchFamily="34" charset="0"/>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900"/>
              <a:t>Dünya’da ve Türkiye’de İşgücü Verimlilik Düzeyi </a:t>
            </a:r>
          </a:p>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900" b="0"/>
              <a:t>(İstihdam Edilen Kişi Başına GSYİH, satın alma gücü paritesine göre -</a:t>
            </a:r>
          </a:p>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900" b="0"/>
              <a:t> GDP per person employed (constant 1990 PPP $)) 2012 yılındaki durumu</a:t>
            </a:r>
          </a:p>
        </c:rich>
      </c:tx>
      <c:overlay val="0"/>
      <c:spPr>
        <a:noFill/>
        <a:ln>
          <a:noFill/>
        </a:ln>
        <a:effectLst/>
      </c:spPr>
    </c:title>
    <c:autoTitleDeleted val="0"/>
    <c:plotArea>
      <c:layout>
        <c:manualLayout>
          <c:layoutTarget val="inner"/>
          <c:xMode val="edge"/>
          <c:yMode val="edge"/>
          <c:x val="0.13024609547568941"/>
          <c:y val="0.16458638743455498"/>
          <c:w val="0.85945289614489884"/>
          <c:h val="0.45566399442314393"/>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49"/>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'WB  150-2012'!$B$4:$B$153</c:f>
              <c:strCache>
                <c:ptCount val="149"/>
                <c:pt idx="0">
                  <c:v>Birleşik Devletler</c:v>
                </c:pt>
                <c:pt idx="1">
                  <c:v>Kuzey Amerika</c:v>
                </c:pt>
                <c:pt idx="2">
                  <c:v>Hong Kong SAR, Çin</c:v>
                </c:pt>
                <c:pt idx="3">
                  <c:v>Belçika</c:v>
                </c:pt>
                <c:pt idx="4">
                  <c:v>Fransa</c:v>
                </c:pt>
                <c:pt idx="5">
                  <c:v>İsveç</c:v>
                </c:pt>
                <c:pt idx="6">
                  <c:v>Yüksek gelir: OECD</c:v>
                </c:pt>
                <c:pt idx="7">
                  <c:v>Norveç</c:v>
                </c:pt>
                <c:pt idx="8">
                  <c:v>Lüksemburg</c:v>
                </c:pt>
                <c:pt idx="9">
                  <c:v>Avustralya</c:v>
                </c:pt>
                <c:pt idx="10">
                  <c:v>Finlandiya</c:v>
                </c:pt>
                <c:pt idx="11">
                  <c:v>Kanada</c:v>
                </c:pt>
                <c:pt idx="12">
                  <c:v>Singapur</c:v>
                </c:pt>
                <c:pt idx="13">
                  <c:v>Birleşik Krallık</c:v>
                </c:pt>
                <c:pt idx="14">
                  <c:v>Avusturya</c:v>
                </c:pt>
                <c:pt idx="15">
                  <c:v>Trinidad ve Tobago</c:v>
                </c:pt>
                <c:pt idx="16">
                  <c:v>OECD üyesi</c:v>
                </c:pt>
                <c:pt idx="17">
                  <c:v>Danimarka</c:v>
                </c:pt>
                <c:pt idx="18">
                  <c:v>Hollanda</c:v>
                </c:pt>
                <c:pt idx="19">
                  <c:v>Yüksek gelir</c:v>
                </c:pt>
                <c:pt idx="20">
                  <c:v>Estonya</c:v>
                </c:pt>
                <c:pt idx="21">
                  <c:v>İzlanda</c:v>
                </c:pt>
                <c:pt idx="22">
                  <c:v>İsrail</c:v>
                </c:pt>
                <c:pt idx="23">
                  <c:v>Kore Cumhuriyeti.</c:v>
                </c:pt>
                <c:pt idx="24">
                  <c:v>Euro bölgesi</c:v>
                </c:pt>
                <c:pt idx="25">
                  <c:v>İtalya</c:v>
                </c:pt>
                <c:pt idx="26">
                  <c:v>Japonya</c:v>
                </c:pt>
                <c:pt idx="27">
                  <c:v>İspanya</c:v>
                </c:pt>
                <c:pt idx="28">
                  <c:v>Almanya</c:v>
                </c:pt>
                <c:pt idx="29">
                  <c:v>Avrupa Birliği</c:v>
                </c:pt>
                <c:pt idx="30">
                  <c:v>İsviçre</c:v>
                </c:pt>
                <c:pt idx="31">
                  <c:v>Bosna Hersek</c:v>
                </c:pt>
                <c:pt idx="32">
                  <c:v>Slovenya</c:v>
                </c:pt>
                <c:pt idx="33">
                  <c:v>Yeni Zelanda</c:v>
                </c:pt>
                <c:pt idx="34">
                  <c:v>Şili</c:v>
                </c:pt>
                <c:pt idx="35">
                  <c:v>Slovak Cumhuriyeti</c:v>
                </c:pt>
                <c:pt idx="36">
                  <c:v>Letonya</c:v>
                </c:pt>
                <c:pt idx="37">
                  <c:v>Avrupa ve Orta Asya (tüm gelir düzeyleri)</c:v>
                </c:pt>
                <c:pt idx="38">
                  <c:v>Malta</c:v>
                </c:pt>
                <c:pt idx="39">
                  <c:v>Yunanistan</c:v>
                </c:pt>
                <c:pt idx="40">
                  <c:v>Portekiz</c:v>
                </c:pt>
                <c:pt idx="41">
                  <c:v>Beyaz Rusya</c:v>
                </c:pt>
                <c:pt idx="42">
                  <c:v>Suriye Arap Cumhuriyeti</c:v>
                </c:pt>
                <c:pt idx="43">
                  <c:v>Venezuela, RB</c:v>
                </c:pt>
                <c:pt idx="44">
                  <c:v>Suudi Arabistan</c:v>
                </c:pt>
                <c:pt idx="45">
                  <c:v>Ermenistan</c:v>
                </c:pt>
                <c:pt idx="46">
                  <c:v>Litvanya</c:v>
                </c:pt>
                <c:pt idx="47">
                  <c:v>Arjantin</c:v>
                </c:pt>
                <c:pt idx="48">
                  <c:v>Türkiye</c:v>
                </c:pt>
                <c:pt idx="49">
                  <c:v>Polonya</c:v>
                </c:pt>
                <c:pt idx="50">
                  <c:v>Kıbrıs</c:v>
                </c:pt>
                <c:pt idx="51">
                  <c:v>Çek Cumhuriyeti</c:v>
                </c:pt>
                <c:pt idx="52">
                  <c:v>Uruguay</c:v>
                </c:pt>
                <c:pt idx="53">
                  <c:v>Kazakistan</c:v>
                </c:pt>
                <c:pt idx="54">
                  <c:v>Umman</c:v>
                </c:pt>
                <c:pt idx="55">
                  <c:v>Malezya</c:v>
                </c:pt>
                <c:pt idx="56">
                  <c:v>Hırvatistan</c:v>
                </c:pt>
                <c:pt idx="57">
                  <c:v>Ürdün</c:v>
                </c:pt>
                <c:pt idx="58">
                  <c:v>Orta Avrupa ve Baltık</c:v>
                </c:pt>
                <c:pt idx="59">
                  <c:v>Yüksek gelir: nonOECD</c:v>
                </c:pt>
                <c:pt idx="60">
                  <c:v>Macaristan</c:v>
                </c:pt>
                <c:pt idx="61">
                  <c:v>Meksika</c:v>
                </c:pt>
                <c:pt idx="62">
                  <c:v>Bulgaristan</c:v>
                </c:pt>
                <c:pt idx="63">
                  <c:v>Rusya Federasyonu</c:v>
                </c:pt>
                <c:pt idx="64">
                  <c:v>Georgia</c:v>
                </c:pt>
                <c:pt idx="65">
                  <c:v>Avrupa ve Orta Asya (sadece gelişmekte)</c:v>
                </c:pt>
                <c:pt idx="66">
                  <c:v>Dünya</c:v>
                </c:pt>
                <c:pt idx="67">
                  <c:v>Kosta Rika</c:v>
                </c:pt>
                <c:pt idx="68">
                  <c:v>İran, İslam Cumhuriyeti.</c:v>
                </c:pt>
                <c:pt idx="69">
                  <c:v>Barbados</c:v>
                </c:pt>
                <c:pt idx="70">
                  <c:v>Azerbeycan</c:v>
                </c:pt>
                <c:pt idx="71">
                  <c:v>Latin Amerika ve Karayipler (tüm gelir düzeyleri)</c:v>
                </c:pt>
                <c:pt idx="72">
                  <c:v>Kolombiya</c:v>
                </c:pt>
                <c:pt idx="73">
                  <c:v>Sri Lanka</c:v>
                </c:pt>
                <c:pt idx="74">
                  <c:v>Latin Amerika ve Karayipler (sadece gelişmekte)</c:v>
                </c:pt>
                <c:pt idx="75">
                  <c:v>Katar</c:v>
                </c:pt>
                <c:pt idx="76">
                  <c:v>Tunus</c:v>
                </c:pt>
                <c:pt idx="77">
                  <c:v>Orta Doğu ve Kuzey Afrika (tüm gelir düzeyleri)</c:v>
                </c:pt>
                <c:pt idx="78">
                  <c:v>Doğu Asya ve Pasifik (tüm gelir düzeyleri)</c:v>
                </c:pt>
                <c:pt idx="79">
                  <c:v>Peru</c:v>
                </c:pt>
                <c:pt idx="80">
                  <c:v>Tayland</c:v>
                </c:pt>
                <c:pt idx="81">
                  <c:v>Üst orta gelir</c:v>
                </c:pt>
                <c:pt idx="82">
                  <c:v>Özbekistan</c:v>
                </c:pt>
                <c:pt idx="83">
                  <c:v>Makedonya, EY</c:v>
                </c:pt>
                <c:pt idx="84">
                  <c:v>Arnavutluk</c:v>
                </c:pt>
                <c:pt idx="85">
                  <c:v>Çin</c:v>
                </c:pt>
                <c:pt idx="86">
                  <c:v>Moldova</c:v>
                </c:pt>
                <c:pt idx="87">
                  <c:v>Arap Dünyası</c:v>
                </c:pt>
                <c:pt idx="88">
                  <c:v>Orta Doğu ve Kuzey Afrika (gelişmekte sadece)</c:v>
                </c:pt>
                <c:pt idx="89">
                  <c:v>Ekvador</c:v>
                </c:pt>
                <c:pt idx="90">
                  <c:v>Güney Afrika</c:v>
                </c:pt>
                <c:pt idx="91">
                  <c:v>Dominik Cumhuriyeti</c:v>
                </c:pt>
                <c:pt idx="92">
                  <c:v>Birleşik Arap Emirlikleri</c:v>
                </c:pt>
                <c:pt idx="93">
                  <c:v>Doğu Asya ve Pasifik (sadece gelişmekte)</c:v>
                </c:pt>
                <c:pt idx="94">
                  <c:v>Brezilya</c:v>
                </c:pt>
                <c:pt idx="95">
                  <c:v>Kuveyt</c:v>
                </c:pt>
                <c:pt idx="96">
                  <c:v>Orta gelir</c:v>
                </c:pt>
                <c:pt idx="97">
                  <c:v>Guatemala</c:v>
                </c:pt>
                <c:pt idx="98">
                  <c:v>Mısır, Arap Cum.</c:v>
                </c:pt>
                <c:pt idx="99">
                  <c:v>Düşük ve orta gelirli</c:v>
                </c:pt>
                <c:pt idx="100">
                  <c:v>Fas</c:v>
                </c:pt>
                <c:pt idx="101">
                  <c:v>Romanya</c:v>
                </c:pt>
                <c:pt idx="102">
                  <c:v>Endonezya</c:v>
                </c:pt>
                <c:pt idx="103">
                  <c:v>Cezayir</c:v>
                </c:pt>
                <c:pt idx="104">
                  <c:v>Türkmenistan</c:v>
                </c:pt>
                <c:pt idx="105">
                  <c:v>Ukrayna</c:v>
                </c:pt>
                <c:pt idx="106">
                  <c:v>Santa Lucia</c:v>
                </c:pt>
                <c:pt idx="107">
                  <c:v>Sudan</c:v>
                </c:pt>
                <c:pt idx="108">
                  <c:v>Yemen Cum.</c:v>
                </c:pt>
                <c:pt idx="109">
                  <c:v>Alt orta gelir</c:v>
                </c:pt>
                <c:pt idx="110">
                  <c:v>Jamaika</c:v>
                </c:pt>
                <c:pt idx="111">
                  <c:v>Hindistan</c:v>
                </c:pt>
                <c:pt idx="112">
                  <c:v>Filipinler</c:v>
                </c:pt>
                <c:pt idx="113">
                  <c:v>Güney Asya</c:v>
                </c:pt>
                <c:pt idx="114">
                  <c:v>Pakistan</c:v>
                </c:pt>
                <c:pt idx="115">
                  <c:v>Bolivya</c:v>
                </c:pt>
                <c:pt idx="116">
                  <c:v>Bahreyn</c:v>
                </c:pt>
                <c:pt idx="117">
                  <c:v>Myanmar</c:v>
                </c:pt>
                <c:pt idx="118">
                  <c:v>Kırgız Cumhuriyeti</c:v>
                </c:pt>
                <c:pt idx="119">
                  <c:v>Irak</c:v>
                </c:pt>
                <c:pt idx="120">
                  <c:v>Tacikistan</c:v>
                </c:pt>
                <c:pt idx="121">
                  <c:v>Nijerya</c:v>
                </c:pt>
                <c:pt idx="122">
                  <c:v>Kırılgan ve çatışma etkilenen durumlar</c:v>
                </c:pt>
                <c:pt idx="123">
                  <c:v>Vietnam</c:v>
                </c:pt>
                <c:pt idx="124">
                  <c:v>Mozambik</c:v>
                </c:pt>
                <c:pt idx="125">
                  <c:v>Kamboçya</c:v>
                </c:pt>
                <c:pt idx="126">
                  <c:v>Gana</c:v>
                </c:pt>
                <c:pt idx="127">
                  <c:v>Bangladeş</c:v>
                </c:pt>
                <c:pt idx="128">
                  <c:v>Sahra-altı Afrika (sadece gelişmekte)</c:v>
                </c:pt>
                <c:pt idx="129">
                  <c:v>Sahra-altı Afrika (tüm gelir düzeyleri)</c:v>
                </c:pt>
                <c:pt idx="130">
                  <c:v>Az gelişmiş ülkeler: BM sınıflandırması</c:v>
                </c:pt>
                <c:pt idx="131">
                  <c:v>Senegal</c:v>
                </c:pt>
                <c:pt idx="132">
                  <c:v>Angora</c:v>
                </c:pt>
                <c:pt idx="133">
                  <c:v>Düşük gelir</c:v>
                </c:pt>
                <c:pt idx="134">
                  <c:v>Mali</c:v>
                </c:pt>
                <c:pt idx="135">
                  <c:v>Fildişi Sahili</c:v>
                </c:pt>
                <c:pt idx="136">
                  <c:v>Kenya</c:v>
                </c:pt>
                <c:pt idx="137">
                  <c:v>Ağır borçlu fakir ülkeler (HIPC)</c:v>
                </c:pt>
                <c:pt idx="138">
                  <c:v>Uganda</c:v>
                </c:pt>
                <c:pt idx="139">
                  <c:v>Kamerun</c:v>
                </c:pt>
                <c:pt idx="140">
                  <c:v>Burkina Faso</c:v>
                </c:pt>
                <c:pt idx="141">
                  <c:v>Etiyopya</c:v>
                </c:pt>
                <c:pt idx="142">
                  <c:v>Zambiya</c:v>
                </c:pt>
                <c:pt idx="143">
                  <c:v>Tanzanya</c:v>
                </c:pt>
                <c:pt idx="144">
                  <c:v>Malawi</c:v>
                </c:pt>
                <c:pt idx="145">
                  <c:v>Nijer</c:v>
                </c:pt>
                <c:pt idx="146">
                  <c:v>Madagaskar</c:v>
                </c:pt>
                <c:pt idx="147">
                  <c:v>Zimbabve</c:v>
                </c:pt>
                <c:pt idx="148">
                  <c:v>Kongo, Dem. Cum.</c:v>
                </c:pt>
              </c:strCache>
            </c:strRef>
          </c:cat>
          <c:val>
            <c:numRef>
              <c:f>'WB  150-2012'!$J$4:$J$153</c:f>
              <c:numCache>
                <c:formatCode>_-* #,##0\ _T_L_-;\-* #,##0\ _T_L_-;_-* "-"??\ _T_L_-;_-@_-</c:formatCode>
                <c:ptCount val="149"/>
                <c:pt idx="0">
                  <c:v>68374</c:v>
                </c:pt>
                <c:pt idx="1">
                  <c:v>66380.94472036598</c:v>
                </c:pt>
                <c:pt idx="2">
                  <c:v>64960</c:v>
                </c:pt>
                <c:pt idx="3">
                  <c:v>54858</c:v>
                </c:pt>
                <c:pt idx="4">
                  <c:v>52535</c:v>
                </c:pt>
                <c:pt idx="5">
                  <c:v>52380</c:v>
                </c:pt>
                <c:pt idx="6">
                  <c:v>51919.348292093222</c:v>
                </c:pt>
                <c:pt idx="7">
                  <c:v>51435</c:v>
                </c:pt>
                <c:pt idx="8">
                  <c:v>50895</c:v>
                </c:pt>
                <c:pt idx="9">
                  <c:v>50652</c:v>
                </c:pt>
                <c:pt idx="10">
                  <c:v>50200</c:v>
                </c:pt>
                <c:pt idx="11">
                  <c:v>50125</c:v>
                </c:pt>
                <c:pt idx="12">
                  <c:v>49719</c:v>
                </c:pt>
                <c:pt idx="13">
                  <c:v>49428</c:v>
                </c:pt>
                <c:pt idx="14">
                  <c:v>49287</c:v>
                </c:pt>
                <c:pt idx="15">
                  <c:v>48908</c:v>
                </c:pt>
                <c:pt idx="16">
                  <c:v>47841.224975232224</c:v>
                </c:pt>
                <c:pt idx="17">
                  <c:v>47152</c:v>
                </c:pt>
                <c:pt idx="18">
                  <c:v>46691</c:v>
                </c:pt>
                <c:pt idx="19">
                  <c:v>46685.186580148642</c:v>
                </c:pt>
                <c:pt idx="20">
                  <c:v>46384</c:v>
                </c:pt>
                <c:pt idx="21">
                  <c:v>45975</c:v>
                </c:pt>
                <c:pt idx="22">
                  <c:v>45557</c:v>
                </c:pt>
                <c:pt idx="23">
                  <c:v>45478</c:v>
                </c:pt>
                <c:pt idx="24">
                  <c:v>45444.183783807093</c:v>
                </c:pt>
                <c:pt idx="25">
                  <c:v>45053</c:v>
                </c:pt>
                <c:pt idx="26">
                  <c:v>44851</c:v>
                </c:pt>
                <c:pt idx="27">
                  <c:v>43297</c:v>
                </c:pt>
                <c:pt idx="28">
                  <c:v>43243</c:v>
                </c:pt>
                <c:pt idx="29">
                  <c:v>41970.344803178654</c:v>
                </c:pt>
                <c:pt idx="30">
                  <c:v>41918</c:v>
                </c:pt>
                <c:pt idx="31">
                  <c:v>40373</c:v>
                </c:pt>
                <c:pt idx="32">
                  <c:v>36908</c:v>
                </c:pt>
                <c:pt idx="33">
                  <c:v>36586</c:v>
                </c:pt>
                <c:pt idx="34">
                  <c:v>33758</c:v>
                </c:pt>
                <c:pt idx="35">
                  <c:v>33513</c:v>
                </c:pt>
                <c:pt idx="36">
                  <c:v>33454</c:v>
                </c:pt>
                <c:pt idx="37">
                  <c:v>32767.058509293947</c:v>
                </c:pt>
                <c:pt idx="38">
                  <c:v>32443</c:v>
                </c:pt>
                <c:pt idx="39">
                  <c:v>32256</c:v>
                </c:pt>
                <c:pt idx="40">
                  <c:v>31321</c:v>
                </c:pt>
                <c:pt idx="41">
                  <c:v>30974</c:v>
                </c:pt>
                <c:pt idx="42">
                  <c:v>30932</c:v>
                </c:pt>
                <c:pt idx="43">
                  <c:v>30376</c:v>
                </c:pt>
                <c:pt idx="44">
                  <c:v>29678</c:v>
                </c:pt>
                <c:pt idx="45">
                  <c:v>29273</c:v>
                </c:pt>
                <c:pt idx="46">
                  <c:v>28674</c:v>
                </c:pt>
                <c:pt idx="47">
                  <c:v>28551</c:v>
                </c:pt>
                <c:pt idx="48">
                  <c:v>28490</c:v>
                </c:pt>
                <c:pt idx="49">
                  <c:v>27502</c:v>
                </c:pt>
                <c:pt idx="50">
                  <c:v>26906</c:v>
                </c:pt>
                <c:pt idx="51">
                  <c:v>26781</c:v>
                </c:pt>
                <c:pt idx="52">
                  <c:v>26489</c:v>
                </c:pt>
                <c:pt idx="53">
                  <c:v>25447</c:v>
                </c:pt>
                <c:pt idx="54">
                  <c:v>24932</c:v>
                </c:pt>
                <c:pt idx="55">
                  <c:v>24857</c:v>
                </c:pt>
                <c:pt idx="56">
                  <c:v>24191</c:v>
                </c:pt>
                <c:pt idx="57">
                  <c:v>23990</c:v>
                </c:pt>
                <c:pt idx="58">
                  <c:v>23976.301784506923</c:v>
                </c:pt>
                <c:pt idx="59">
                  <c:v>23111.671676545924</c:v>
                </c:pt>
                <c:pt idx="60">
                  <c:v>20328</c:v>
                </c:pt>
                <c:pt idx="61">
                  <c:v>20275</c:v>
                </c:pt>
                <c:pt idx="62">
                  <c:v>20210</c:v>
                </c:pt>
                <c:pt idx="63">
                  <c:v>19656</c:v>
                </c:pt>
                <c:pt idx="64">
                  <c:v>19466</c:v>
                </c:pt>
                <c:pt idx="65">
                  <c:v>19057.132591884696</c:v>
                </c:pt>
                <c:pt idx="66">
                  <c:v>18947.65622242288</c:v>
                </c:pt>
                <c:pt idx="67">
                  <c:v>18913</c:v>
                </c:pt>
                <c:pt idx="68">
                  <c:v>18802</c:v>
                </c:pt>
                <c:pt idx="69">
                  <c:v>18762</c:v>
                </c:pt>
                <c:pt idx="70">
                  <c:v>18554</c:v>
                </c:pt>
                <c:pt idx="71">
                  <c:v>18187.703762398192</c:v>
                </c:pt>
                <c:pt idx="72">
                  <c:v>17990</c:v>
                </c:pt>
                <c:pt idx="73">
                  <c:v>17985</c:v>
                </c:pt>
                <c:pt idx="74">
                  <c:v>17533.256964749191</c:v>
                </c:pt>
                <c:pt idx="75">
                  <c:v>17497</c:v>
                </c:pt>
                <c:pt idx="76">
                  <c:v>17320</c:v>
                </c:pt>
                <c:pt idx="77">
                  <c:v>17169.596613491034</c:v>
                </c:pt>
                <c:pt idx="78">
                  <c:v>17044.753354115302</c:v>
                </c:pt>
                <c:pt idx="79">
                  <c:v>16868</c:v>
                </c:pt>
                <c:pt idx="80">
                  <c:v>16764</c:v>
                </c:pt>
                <c:pt idx="81">
                  <c:v>16273.226313081705</c:v>
                </c:pt>
                <c:pt idx="82">
                  <c:v>16079</c:v>
                </c:pt>
                <c:pt idx="83">
                  <c:v>15882</c:v>
                </c:pt>
                <c:pt idx="84">
                  <c:v>15349</c:v>
                </c:pt>
                <c:pt idx="85">
                  <c:v>15250</c:v>
                </c:pt>
                <c:pt idx="86">
                  <c:v>15190</c:v>
                </c:pt>
                <c:pt idx="87">
                  <c:v>15042.212556505998</c:v>
                </c:pt>
                <c:pt idx="88">
                  <c:v>14952.367884855685</c:v>
                </c:pt>
                <c:pt idx="89">
                  <c:v>14671</c:v>
                </c:pt>
                <c:pt idx="90">
                  <c:v>14659</c:v>
                </c:pt>
                <c:pt idx="91">
                  <c:v>14633</c:v>
                </c:pt>
                <c:pt idx="92">
                  <c:v>14244</c:v>
                </c:pt>
                <c:pt idx="93">
                  <c:v>14036.735953881071</c:v>
                </c:pt>
                <c:pt idx="94">
                  <c:v>13557</c:v>
                </c:pt>
                <c:pt idx="95">
                  <c:v>13271</c:v>
                </c:pt>
                <c:pt idx="96">
                  <c:v>13223.752801913595</c:v>
                </c:pt>
                <c:pt idx="97">
                  <c:v>13212</c:v>
                </c:pt>
                <c:pt idx="98">
                  <c:v>13051</c:v>
                </c:pt>
                <c:pt idx="99">
                  <c:v>12056.017266147393</c:v>
                </c:pt>
                <c:pt idx="100">
                  <c:v>12051</c:v>
                </c:pt>
                <c:pt idx="101">
                  <c:v>11584</c:v>
                </c:pt>
                <c:pt idx="102">
                  <c:v>11461</c:v>
                </c:pt>
                <c:pt idx="103">
                  <c:v>11394</c:v>
                </c:pt>
                <c:pt idx="104">
                  <c:v>10829</c:v>
                </c:pt>
                <c:pt idx="105">
                  <c:v>10552</c:v>
                </c:pt>
                <c:pt idx="106">
                  <c:v>10464</c:v>
                </c:pt>
                <c:pt idx="107">
                  <c:v>9438</c:v>
                </c:pt>
                <c:pt idx="108">
                  <c:v>9413</c:v>
                </c:pt>
                <c:pt idx="109">
                  <c:v>9411.2427965686929</c:v>
                </c:pt>
                <c:pt idx="110">
                  <c:v>9226</c:v>
                </c:pt>
                <c:pt idx="111">
                  <c:v>9200</c:v>
                </c:pt>
                <c:pt idx="112">
                  <c:v>8667</c:v>
                </c:pt>
                <c:pt idx="113">
                  <c:v>8641.8912262442736</c:v>
                </c:pt>
                <c:pt idx="114">
                  <c:v>8483</c:v>
                </c:pt>
                <c:pt idx="115">
                  <c:v>8403</c:v>
                </c:pt>
                <c:pt idx="116">
                  <c:v>7921</c:v>
                </c:pt>
                <c:pt idx="117">
                  <c:v>7670</c:v>
                </c:pt>
                <c:pt idx="118">
                  <c:v>7175</c:v>
                </c:pt>
                <c:pt idx="119">
                  <c:v>7150</c:v>
                </c:pt>
                <c:pt idx="120">
                  <c:v>6638</c:v>
                </c:pt>
                <c:pt idx="121">
                  <c:v>6567</c:v>
                </c:pt>
                <c:pt idx="122">
                  <c:v>6421.6773847501381</c:v>
                </c:pt>
                <c:pt idx="123">
                  <c:v>6272</c:v>
                </c:pt>
                <c:pt idx="124">
                  <c:v>5632</c:v>
                </c:pt>
                <c:pt idx="125">
                  <c:v>5449</c:v>
                </c:pt>
                <c:pt idx="126">
                  <c:v>5111</c:v>
                </c:pt>
                <c:pt idx="127">
                  <c:v>4146</c:v>
                </c:pt>
                <c:pt idx="128">
                  <c:v>4035.2077667669887</c:v>
                </c:pt>
                <c:pt idx="129">
                  <c:v>4035.2077667669887</c:v>
                </c:pt>
                <c:pt idx="130">
                  <c:v>3761.3945973180976</c:v>
                </c:pt>
                <c:pt idx="131">
                  <c:v>3761</c:v>
                </c:pt>
                <c:pt idx="132">
                  <c:v>3473</c:v>
                </c:pt>
                <c:pt idx="133">
                  <c:v>3426.1964708929577</c:v>
                </c:pt>
                <c:pt idx="134">
                  <c:v>3165</c:v>
                </c:pt>
                <c:pt idx="135">
                  <c:v>3155</c:v>
                </c:pt>
                <c:pt idx="136">
                  <c:v>3134</c:v>
                </c:pt>
                <c:pt idx="137">
                  <c:v>2937.0237777196003</c:v>
                </c:pt>
                <c:pt idx="138">
                  <c:v>2906</c:v>
                </c:pt>
                <c:pt idx="139">
                  <c:v>2882</c:v>
                </c:pt>
                <c:pt idx="140">
                  <c:v>2765</c:v>
                </c:pt>
                <c:pt idx="141">
                  <c:v>2173</c:v>
                </c:pt>
                <c:pt idx="142">
                  <c:v>2109</c:v>
                </c:pt>
                <c:pt idx="143">
                  <c:v>1747</c:v>
                </c:pt>
                <c:pt idx="144">
                  <c:v>1714</c:v>
                </c:pt>
                <c:pt idx="145">
                  <c:v>1689</c:v>
                </c:pt>
                <c:pt idx="146">
                  <c:v>1348</c:v>
                </c:pt>
                <c:pt idx="147">
                  <c:v>1332</c:v>
                </c:pt>
                <c:pt idx="148">
                  <c:v>766</c:v>
                </c:pt>
              </c:numCache>
            </c:numRef>
          </c:val>
        </c:ser>
        <c:dLbls>
          <c:showLegendKey val="0"/>
          <c:showVal val="0"/>
          <c:showCatName val="0"/>
          <c:showSerName val="0"/>
          <c:showPercent val="0"/>
          <c:showBubbleSize val="0"/>
        </c:dLbls>
        <c:gapWidth val="100"/>
        <c:overlap val="-24"/>
        <c:axId val="95617024"/>
        <c:axId val="95618560"/>
      </c:barChart>
      <c:catAx>
        <c:axId val="95617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95618560"/>
        <c:crosses val="autoZero"/>
        <c:auto val="1"/>
        <c:lblAlgn val="ctr"/>
        <c:lblOffset val="100"/>
        <c:noMultiLvlLbl val="0"/>
      </c:catAx>
      <c:valAx>
        <c:axId val="95618560"/>
        <c:scaling>
          <c:orientation val="minMax"/>
        </c:scaling>
        <c:delete val="0"/>
        <c:axPos val="l"/>
        <c:majorGridlines>
          <c:spPr>
            <a:ln w="9525" cap="flat" cmpd="sng" algn="ctr">
              <a:solidFill>
                <a:schemeClr val="tx1">
                  <a:lumMod val="15000"/>
                  <a:lumOff val="85000"/>
                </a:schemeClr>
              </a:solidFill>
              <a:round/>
            </a:ln>
            <a:effectLst/>
          </c:spPr>
        </c:majorGridlines>
        <c:numFmt formatCode="_-* #,##0\ _T_L_-;\-* #,##0\ _T_L_-;_-* &quot;-&quot;??\ _T_L_-;_-@_-"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9561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a:t>T</a:t>
            </a:r>
            <a:r>
              <a:rPr lang="tr-TR" sz="1200"/>
              <a:t>ürkiye'nin İşgücü Verimliliği Sıralaması</a:t>
            </a:r>
            <a:endParaRPr lang="en-US" sz="1200"/>
          </a:p>
        </c:rich>
      </c:tx>
      <c:overlay val="0"/>
      <c:spPr>
        <a:noFill/>
        <a:ln>
          <a:noFill/>
        </a:ln>
        <a:effectLst/>
      </c:spPr>
    </c:title>
    <c:autoTitleDeleted val="0"/>
    <c:plotArea>
      <c:layout/>
      <c:lineChart>
        <c:grouping val="standard"/>
        <c:varyColors val="0"/>
        <c:ser>
          <c:idx val="0"/>
          <c:order val="0"/>
          <c:tx>
            <c:strRef>
              <c:f>'12 ülke 2005-2012 sırası'!$B$19</c:f>
              <c:strCache>
                <c:ptCount val="1"/>
                <c:pt idx="0">
                  <c:v>Turkey</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'12 ülke 2005-2012 sırası'!$C$18:$J$18</c:f>
              <c:numCache>
                <c:formatCode>General</c:formatCode>
                <c:ptCount val="8"/>
                <c:pt idx="0">
                  <c:v>2005</c:v>
                </c:pt>
                <c:pt idx="1">
                  <c:v>2006</c:v>
                </c:pt>
                <c:pt idx="2">
                  <c:v>2007</c:v>
                </c:pt>
                <c:pt idx="3">
                  <c:v>2008</c:v>
                </c:pt>
                <c:pt idx="4">
                  <c:v>2009</c:v>
                </c:pt>
                <c:pt idx="5">
                  <c:v>2010</c:v>
                </c:pt>
                <c:pt idx="6">
                  <c:v>2011</c:v>
                </c:pt>
                <c:pt idx="7">
                  <c:v>2012</c:v>
                </c:pt>
              </c:numCache>
            </c:numRef>
          </c:cat>
          <c:val>
            <c:numRef>
              <c:f>'12 ülke 2005-2012 sırası'!$C$19:$J$19</c:f>
              <c:numCache>
                <c:formatCode>0</c:formatCode>
                <c:ptCount val="8"/>
                <c:pt idx="0">
                  <c:v>36</c:v>
                </c:pt>
                <c:pt idx="1">
                  <c:v>37</c:v>
                </c:pt>
                <c:pt idx="2">
                  <c:v>39</c:v>
                </c:pt>
                <c:pt idx="3">
                  <c:v>39</c:v>
                </c:pt>
                <c:pt idx="4">
                  <c:v>40</c:v>
                </c:pt>
                <c:pt idx="5">
                  <c:v>40</c:v>
                </c:pt>
                <c:pt idx="6">
                  <c:v>42</c:v>
                </c:pt>
                <c:pt idx="7" formatCode="General">
                  <c:v>43</c:v>
                </c:pt>
              </c:numCache>
            </c:numRef>
          </c:val>
          <c:smooth val="0"/>
        </c:ser>
        <c:dLbls>
          <c:showLegendKey val="0"/>
          <c:showVal val="1"/>
          <c:showCatName val="0"/>
          <c:showSerName val="0"/>
          <c:showPercent val="0"/>
          <c:showBubbleSize val="0"/>
        </c:dLbls>
        <c:marker val="1"/>
        <c:smooth val="0"/>
        <c:axId val="95621888"/>
        <c:axId val="95644672"/>
      </c:lineChart>
      <c:catAx>
        <c:axId val="95621888"/>
        <c:scaling>
          <c:orientation val="minMax"/>
        </c:scaling>
        <c:delete val="0"/>
        <c:axPos val="t"/>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tr-TR"/>
          </a:p>
        </c:txPr>
        <c:crossAx val="95644672"/>
        <c:crosses val="autoZero"/>
        <c:auto val="1"/>
        <c:lblAlgn val="ctr"/>
        <c:lblOffset val="100"/>
        <c:noMultiLvlLbl val="0"/>
      </c:catAx>
      <c:valAx>
        <c:axId val="95644672"/>
        <c:scaling>
          <c:orientation val="maxMin"/>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9562188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Arial" panose="020B0604020202020204" pitchFamily="34" charset="0"/>
          <a:cs typeface="Arial" panose="020B0604020202020204" pitchFamily="34" charset="0"/>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1000"/>
              <a:t>Dünya’da ve Türkiye’de İşgücü Verimlilik Düzeyi </a:t>
            </a:r>
          </a:p>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1000" b="0"/>
              <a:t>(İstihdam Edilen Kişi Başına GSYİH, satın alma gücü paritesine göre </a:t>
            </a:r>
          </a:p>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sz="1000" b="0"/>
              <a:t>GDP per person employed (constant 1990 PPP $))- Kaynak:WB- 2012</a:t>
            </a:r>
            <a:r>
              <a:rPr lang="tr-TR" sz="1000" b="0" baseline="0"/>
              <a:t> yılındaki durum</a:t>
            </a:r>
            <a:endParaRPr lang="tr-TR" sz="1000" b="0"/>
          </a:p>
        </c:rich>
      </c:tx>
      <c:overlay val="0"/>
      <c:spPr>
        <a:noFill/>
        <a:ln>
          <a:noFill/>
        </a:ln>
        <a:effectLst/>
      </c:spPr>
    </c:title>
    <c:autoTitleDeleted val="0"/>
    <c:plotArea>
      <c:layout>
        <c:manualLayout>
          <c:layoutTarget val="inner"/>
          <c:xMode val="edge"/>
          <c:yMode val="edge"/>
          <c:x val="0.11536548713247648"/>
          <c:y val="0.15487596892586331"/>
          <c:w val="0.8846345128675237"/>
          <c:h val="0.42013897495387292"/>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7"/>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invertIfNegative val="0"/>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'WB 29 KÜME ve TR'!$B$2:$B$31</c:f>
              <c:strCache>
                <c:ptCount val="30"/>
                <c:pt idx="0">
                  <c:v>Kuzey Amerika</c:v>
                </c:pt>
                <c:pt idx="1">
                  <c:v>OECD, Yüksek Gelir Grubu</c:v>
                </c:pt>
                <c:pt idx="2">
                  <c:v>OECD, Üye Ülkeler</c:v>
                </c:pt>
                <c:pt idx="3">
                  <c:v>Yüksek Gelir Grubu</c:v>
                </c:pt>
                <c:pt idx="4">
                  <c:v>Euro Bölgesi</c:v>
                </c:pt>
                <c:pt idx="5">
                  <c:v>Avrupa Birliği</c:v>
                </c:pt>
                <c:pt idx="6">
                  <c:v>Avrupa &amp; Merkez Asya</c:v>
                </c:pt>
                <c:pt idx="7">
                  <c:v>Türkiye</c:v>
                </c:pt>
                <c:pt idx="8">
                  <c:v>Merkez Avrupa ve Baltık Ülkeleri</c:v>
                </c:pt>
                <c:pt idx="9">
                  <c:v>Yüksek Gelir Grubu (OECD Hariç)</c:v>
                </c:pt>
                <c:pt idx="10">
                  <c:v>Avrupa &amp; Merkez Asya</c:v>
                </c:pt>
                <c:pt idx="11">
                  <c:v>Dünya</c:v>
                </c:pt>
                <c:pt idx="12">
                  <c:v>Latin Amerika &amp; Karayipler (Tüm)</c:v>
                </c:pt>
                <c:pt idx="13">
                  <c:v>Latin Amerika &amp; Karayipler (Gelişmekte Olan)</c:v>
                </c:pt>
                <c:pt idx="14">
                  <c:v>Orta Doğu &amp; Kuzey Afrika (Tüm)</c:v>
                </c:pt>
                <c:pt idx="15">
                  <c:v>Doğu Asya &amp; Pasifikler (Tüm)</c:v>
                </c:pt>
                <c:pt idx="16">
                  <c:v>Üst Orta Gelir Grubu</c:v>
                </c:pt>
                <c:pt idx="17">
                  <c:v>Arap Dünyası</c:v>
                </c:pt>
                <c:pt idx="18">
                  <c:v>Orta Doğu &amp; Kuzey Afrika (Gelişmekte Olan)</c:v>
                </c:pt>
                <c:pt idx="19">
                  <c:v>Doğu Asya &amp; Pasifikler (Gelişmekte Olan)</c:v>
                </c:pt>
                <c:pt idx="20">
                  <c:v>Orta Gelir Grubu</c:v>
                </c:pt>
                <c:pt idx="21">
                  <c:v>Orta Gelir Grubu</c:v>
                </c:pt>
                <c:pt idx="22">
                  <c:v>Alt &amp; Orta Gelir Grubu</c:v>
                </c:pt>
                <c:pt idx="23">
                  <c:v>Güney Asya</c:v>
                </c:pt>
                <c:pt idx="24">
                  <c:v>Kırılgan &amp; Çatışma Etkisindekiler</c:v>
                </c:pt>
                <c:pt idx="25">
                  <c:v>Sahara Afrika (Gelişmekte Olan)</c:v>
                </c:pt>
                <c:pt idx="26">
                  <c:v>Sahara Afrika (Tüm)</c:v>
                </c:pt>
                <c:pt idx="27">
                  <c:v>Az Gelişmiş</c:v>
                </c:pt>
                <c:pt idx="28">
                  <c:v>Alt Gelir Grubu</c:v>
                </c:pt>
                <c:pt idx="29">
                  <c:v>Fakirler Grubu</c:v>
                </c:pt>
              </c:strCache>
            </c:strRef>
          </c:cat>
          <c:val>
            <c:numRef>
              <c:f>'WB 29 KÜME ve TR'!$D$2:$D$31</c:f>
              <c:numCache>
                <c:formatCode>0</c:formatCode>
                <c:ptCount val="30"/>
                <c:pt idx="0">
                  <c:v>66380.94472036598</c:v>
                </c:pt>
                <c:pt idx="1">
                  <c:v>51919.348292093222</c:v>
                </c:pt>
                <c:pt idx="2">
                  <c:v>47841.224975232224</c:v>
                </c:pt>
                <c:pt idx="3">
                  <c:v>46685.186580148642</c:v>
                </c:pt>
                <c:pt idx="4">
                  <c:v>45444.183783807093</c:v>
                </c:pt>
                <c:pt idx="5">
                  <c:v>41970.344803178654</c:v>
                </c:pt>
                <c:pt idx="6">
                  <c:v>32767.058509293947</c:v>
                </c:pt>
                <c:pt idx="7">
                  <c:v>28490</c:v>
                </c:pt>
                <c:pt idx="8">
                  <c:v>23976.301784506923</c:v>
                </c:pt>
                <c:pt idx="9">
                  <c:v>23111.671676545924</c:v>
                </c:pt>
                <c:pt idx="10">
                  <c:v>19057.132591884696</c:v>
                </c:pt>
                <c:pt idx="11">
                  <c:v>18947.65622242288</c:v>
                </c:pt>
                <c:pt idx="12">
                  <c:v>18187.703762398192</c:v>
                </c:pt>
                <c:pt idx="13">
                  <c:v>17533.256964749191</c:v>
                </c:pt>
                <c:pt idx="14">
                  <c:v>17169.596613491034</c:v>
                </c:pt>
                <c:pt idx="15">
                  <c:v>17044.753354115302</c:v>
                </c:pt>
                <c:pt idx="16">
                  <c:v>16273.226313081705</c:v>
                </c:pt>
                <c:pt idx="17">
                  <c:v>15042.212556505998</c:v>
                </c:pt>
                <c:pt idx="18">
                  <c:v>14952.367884855685</c:v>
                </c:pt>
                <c:pt idx="19">
                  <c:v>14036.735953881071</c:v>
                </c:pt>
                <c:pt idx="20">
                  <c:v>13223.752801913595</c:v>
                </c:pt>
                <c:pt idx="21">
                  <c:v>12056.017266147393</c:v>
                </c:pt>
                <c:pt idx="22">
                  <c:v>9411.2427965686929</c:v>
                </c:pt>
                <c:pt idx="23">
                  <c:v>8641.8912262442736</c:v>
                </c:pt>
                <c:pt idx="24">
                  <c:v>6421.6773847501381</c:v>
                </c:pt>
                <c:pt idx="25">
                  <c:v>4035.2077667669887</c:v>
                </c:pt>
                <c:pt idx="26">
                  <c:v>4035.2077667669887</c:v>
                </c:pt>
                <c:pt idx="27">
                  <c:v>3761.3945973180976</c:v>
                </c:pt>
                <c:pt idx="28">
                  <c:v>3426.1964708929577</c:v>
                </c:pt>
                <c:pt idx="29">
                  <c:v>2937.0237777196003</c:v>
                </c:pt>
              </c:numCache>
            </c:numRef>
          </c:val>
        </c:ser>
        <c:dLbls>
          <c:showLegendKey val="0"/>
          <c:showVal val="0"/>
          <c:showCatName val="0"/>
          <c:showSerName val="0"/>
          <c:showPercent val="0"/>
          <c:showBubbleSize val="0"/>
        </c:dLbls>
        <c:gapWidth val="100"/>
        <c:overlap val="-24"/>
        <c:axId val="95834112"/>
        <c:axId val="95835648"/>
      </c:barChart>
      <c:catAx>
        <c:axId val="9583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95835648"/>
        <c:crosses val="autoZero"/>
        <c:auto val="1"/>
        <c:lblAlgn val="ctr"/>
        <c:lblOffset val="100"/>
        <c:noMultiLvlLbl val="0"/>
      </c:catAx>
      <c:valAx>
        <c:axId val="95835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9583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Arial" panose="020B0604020202020204" pitchFamily="34" charset="0"/>
          <a:cs typeface="Arial" panose="020B0604020202020204" pitchFamily="34" charset="0"/>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Sar06</b:Tag>
    <b:SourceType>Report</b:SourceType>
    <b:Guid>{C4CC69F6-6F6E-4752-9186-115A076AEA21}</b:Guid>
    <b:Title>Türkiye İmalat Sanayiinde Verimlilik, Teknolojik Gelişme, Yapısal Özellikler ve 2001 Krizi Sonrası Reel Değişimler (1980-2005)</b:Title>
    <b:Year>2006</b:Year>
    <b:Publisher>Milli Prodüktivite Merkezi</b:Publisher>
    <b:City>Ankara</b:City>
    <b:Author>
      <b:Author>
        <b:NameList>
          <b:Person>
            <b:Last>Saraçoğlu</b:Last>
            <b:First>Bedriye</b:First>
          </b:Person>
          <b:Person>
            <b:Last>Suiçmez</b:Last>
            <b:First>Halit</b:First>
          </b:Person>
        </b:NameList>
      </b:Author>
    </b:Author>
    <b:RefOrder>1</b:RefOrder>
  </b:Source>
  <b:Source>
    <b:Tag>Sui08</b:Tag>
    <b:SourceType>Book</b:SourceType>
    <b:Guid>{FBE23240-6425-4E28-817D-BC81C7784964}</b:Guid>
    <b:Title>Ekonomik Büyümede Toplam Faktör Verimliliğinin Rolü (Verimlilik Odaklı Büyüme)</b:Title>
    <b:Year>2008</b:Year>
    <b:Publisher>Milli Prodüktivite Merkezi Yayınları - 698</b:Publisher>
    <b:City>Ankara</b:City>
    <b:Author>
      <b:Author>
        <b:NameList>
          <b:Person>
            <b:Last>Suiçmez</b:Last>
            <b:First>Halit</b:First>
          </b:Person>
        </b:NameList>
      </b:Author>
    </b:Author>
    <b:RefOrder>3</b:RefOrder>
  </b:Source>
  <b:Source>
    <b:Tag>Onu13</b:Tag>
    <b:SourceType>Report</b:SourceType>
    <b:Guid>{3909E585-2E3B-48F1-B900-8E1F512A3070}</b:Guid>
    <b:Title>Onuncu Kalkınma Planı 2014-2018</b:Title>
    <b:Year>2013</b:Year>
    <b:City>Ankara</b:City>
    <b:Publisher>Kalkınma Bakanlığı</b:Publisher>
    <b:RefOrder>4</b:RefOrder>
  </b:Source>
  <b:Source>
    <b:Tag>Eur15</b:Tag>
    <b:SourceType>InternetSite</b:SourceType>
    <b:Guid>{E389F54E-0F3A-4B2F-B0EA-5F8091ED6BDD}</b:Guid>
    <b:InternetSiteTitle>Eurostat Web Sitesi</b:InternetSiteTitle>
    <b:Year>2015</b:Year>
    <b:Month>Nisan </b:Month>
    <b:Day>16</b:Day>
    <b:URL>http://ec.europa.eu/eurostat/web/short-term-business-statistics/data/database</b:URL>
    <b:RefOrder>2</b:RefOrder>
  </b:Source>
  <b:Source>
    <b:Tag>Wor15</b:Tag>
    <b:SourceType>InternetSite</b:SourceType>
    <b:Guid>{C2952C6A-AD7A-48FA-996B-47EEC78FDFFC}</b:Guid>
    <b:InternetSiteTitle>World Bank Web Sitesi</b:InternetSiteTitle>
    <b:Year>2015</b:Year>
    <b:Month>Nisan</b:Month>
    <b:Day>16</b:Day>
    <b:URL>http://data.worldbank.org/indicator</b:URL>
    <b:RefOrder>5</b:RefOrder>
  </b:Source>
</b:Sources>
</file>

<file path=customXml/itemProps1.xml><?xml version="1.0" encoding="utf-8"?>
<ds:datastoreItem xmlns:ds="http://schemas.openxmlformats.org/officeDocument/2006/customXml" ds:itemID="{BB472D07-0BC5-42D4-A454-68C69547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18</Pages>
  <Words>6774</Words>
  <Characters>38615</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INDIA</Company>
  <LinksUpToDate>false</LinksUpToDate>
  <CharactersWithSpaces>45299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Balkan</dc:creator>
  <cp:keywords/>
  <dc:description/>
  <cp:lastModifiedBy>Sevgin Fettahoğlu</cp:lastModifiedBy>
  <cp:revision>174</cp:revision>
  <cp:lastPrinted>2015-11-19T08:45:00Z</cp:lastPrinted>
  <dcterms:created xsi:type="dcterms:W3CDTF">2015-04-02T10:22:00Z</dcterms:created>
  <dcterms:modified xsi:type="dcterms:W3CDTF">2016-10-06T13:42:00Z</dcterms:modified>
</cp:coreProperties>
</file>