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0B" w:rsidRPr="009218D1" w:rsidRDefault="00786686" w:rsidP="00F278DE">
      <w:pPr>
        <w:spacing w:before="120" w:after="120" w:line="360" w:lineRule="auto"/>
        <w:jc w:val="center"/>
        <w:rPr>
          <w:rFonts w:ascii="Times New Roman" w:hAnsi="Times New Roman" w:cs="Times New Roman"/>
          <w:b/>
          <w:sz w:val="24"/>
          <w:szCs w:val="24"/>
        </w:rPr>
      </w:pPr>
      <w:r w:rsidRPr="009218D1">
        <w:rPr>
          <w:rFonts w:ascii="Times New Roman" w:hAnsi="Times New Roman" w:cs="Times New Roman"/>
          <w:b/>
          <w:sz w:val="24"/>
          <w:szCs w:val="24"/>
        </w:rPr>
        <w:t>SERMAYE YAPISI TEORİLERİNİN REEL SEKTÖR FİRMALARI ÖZELİNDE TEST EDİLMESİ</w:t>
      </w:r>
    </w:p>
    <w:p w:rsidR="00AD17AB" w:rsidRPr="009218D1" w:rsidRDefault="00AD17AB" w:rsidP="00F278DE">
      <w:pPr>
        <w:spacing w:before="120" w:after="120" w:line="360" w:lineRule="auto"/>
        <w:jc w:val="center"/>
        <w:rPr>
          <w:rFonts w:ascii="Times New Roman" w:hAnsi="Times New Roman" w:cs="Times New Roman"/>
          <w:b/>
          <w:sz w:val="24"/>
          <w:szCs w:val="24"/>
        </w:rPr>
      </w:pPr>
    </w:p>
    <w:p w:rsidR="00E63A0C" w:rsidRPr="009218D1" w:rsidRDefault="00E63A0C" w:rsidP="00AD17AB">
      <w:pPr>
        <w:spacing w:before="120" w:after="120" w:line="240" w:lineRule="auto"/>
        <w:jc w:val="right"/>
        <w:rPr>
          <w:rFonts w:ascii="Times New Roman" w:hAnsi="Times New Roman" w:cs="Times New Roman"/>
          <w:b/>
          <w:sz w:val="24"/>
          <w:szCs w:val="24"/>
          <w:vertAlign w:val="superscript"/>
        </w:rPr>
      </w:pPr>
      <w:r w:rsidRPr="009218D1">
        <w:rPr>
          <w:rFonts w:ascii="Times New Roman" w:hAnsi="Times New Roman" w:cs="Times New Roman"/>
          <w:b/>
          <w:sz w:val="24"/>
          <w:szCs w:val="24"/>
        </w:rPr>
        <w:t>Seda CANSIZ</w:t>
      </w:r>
      <w:r w:rsidR="00786686" w:rsidRPr="009218D1">
        <w:rPr>
          <w:rStyle w:val="DipnotBavurusu"/>
          <w:rFonts w:ascii="Times New Roman" w:hAnsi="Times New Roman" w:cs="Times New Roman"/>
          <w:b/>
          <w:sz w:val="24"/>
          <w:szCs w:val="24"/>
        </w:rPr>
        <w:footnoteReference w:id="1"/>
      </w:r>
    </w:p>
    <w:p w:rsidR="00E63A0C" w:rsidRPr="009218D1" w:rsidRDefault="00E63A0C" w:rsidP="00AD17AB">
      <w:pPr>
        <w:spacing w:before="120" w:after="120" w:line="240" w:lineRule="auto"/>
        <w:jc w:val="right"/>
        <w:rPr>
          <w:rFonts w:ascii="Times New Roman" w:hAnsi="Times New Roman" w:cs="Times New Roman"/>
          <w:b/>
          <w:sz w:val="24"/>
          <w:szCs w:val="24"/>
        </w:rPr>
      </w:pPr>
      <w:r w:rsidRPr="009218D1">
        <w:rPr>
          <w:rFonts w:ascii="Times New Roman" w:hAnsi="Times New Roman" w:cs="Times New Roman"/>
          <w:b/>
          <w:sz w:val="24"/>
          <w:szCs w:val="24"/>
        </w:rPr>
        <w:t>Güven SAYILGAN</w:t>
      </w:r>
      <w:r w:rsidR="00786686" w:rsidRPr="009218D1">
        <w:rPr>
          <w:rStyle w:val="DipnotBavurusu"/>
          <w:rFonts w:ascii="Times New Roman" w:hAnsi="Times New Roman" w:cs="Times New Roman"/>
          <w:b/>
          <w:sz w:val="24"/>
          <w:szCs w:val="24"/>
        </w:rPr>
        <w:footnoteReference w:id="2"/>
      </w:r>
    </w:p>
    <w:p w:rsidR="00D75D9E" w:rsidRPr="009218D1" w:rsidRDefault="00324067" w:rsidP="00D75D9E">
      <w:pPr>
        <w:spacing w:before="120" w:after="120" w:line="360" w:lineRule="auto"/>
        <w:jc w:val="both"/>
        <w:rPr>
          <w:rFonts w:ascii="Times New Roman" w:hAnsi="Times New Roman" w:cs="Times New Roman"/>
          <w:b/>
          <w:i/>
          <w:sz w:val="24"/>
          <w:szCs w:val="24"/>
        </w:rPr>
      </w:pPr>
      <w:r w:rsidRPr="009218D1">
        <w:rPr>
          <w:rFonts w:ascii="Times New Roman" w:hAnsi="Times New Roman" w:cs="Times New Roman"/>
          <w:b/>
          <w:i/>
          <w:sz w:val="24"/>
          <w:szCs w:val="24"/>
        </w:rPr>
        <w:t>ÖZET</w:t>
      </w:r>
    </w:p>
    <w:p w:rsidR="00D75D9E" w:rsidRPr="009218D1" w:rsidRDefault="00D75D9E" w:rsidP="00AD17AB">
      <w:pPr>
        <w:spacing w:before="120" w:after="120" w:line="240" w:lineRule="auto"/>
        <w:jc w:val="both"/>
        <w:rPr>
          <w:rFonts w:ascii="Times New Roman" w:hAnsi="Times New Roman" w:cs="Times New Roman"/>
          <w:i/>
          <w:sz w:val="24"/>
          <w:szCs w:val="24"/>
        </w:rPr>
      </w:pPr>
      <w:r w:rsidRPr="009218D1">
        <w:rPr>
          <w:rFonts w:ascii="Times New Roman" w:hAnsi="Times New Roman" w:cs="Times New Roman"/>
          <w:i/>
          <w:sz w:val="24"/>
          <w:szCs w:val="24"/>
        </w:rPr>
        <w:t>Bu çalışmada</w:t>
      </w:r>
      <w:r w:rsidR="002D4A27" w:rsidRPr="009218D1">
        <w:rPr>
          <w:rFonts w:ascii="Times New Roman" w:hAnsi="Times New Roman" w:cs="Times New Roman"/>
          <w:i/>
          <w:sz w:val="24"/>
          <w:szCs w:val="24"/>
        </w:rPr>
        <w:t>,</w:t>
      </w:r>
      <w:r w:rsidRPr="009218D1">
        <w:rPr>
          <w:rFonts w:ascii="Times New Roman" w:hAnsi="Times New Roman" w:cs="Times New Roman"/>
          <w:i/>
          <w:sz w:val="24"/>
          <w:szCs w:val="24"/>
        </w:rPr>
        <w:t xml:space="preserve"> 2003-2014 yılları arasında hisse senetleri Borsa İstanbul’da işlem gören 169 adet reel sektör işletmesinin sermaye yapısı kararları</w:t>
      </w:r>
      <w:r w:rsidR="003F08A5" w:rsidRPr="009218D1">
        <w:rPr>
          <w:rFonts w:ascii="Times New Roman" w:hAnsi="Times New Roman" w:cs="Times New Roman"/>
          <w:i/>
          <w:sz w:val="24"/>
          <w:szCs w:val="24"/>
        </w:rPr>
        <w:t>nın</w:t>
      </w:r>
      <w:r w:rsidR="00BE3467" w:rsidRPr="009218D1">
        <w:rPr>
          <w:rFonts w:ascii="Times New Roman" w:hAnsi="Times New Roman" w:cs="Times New Roman"/>
          <w:i/>
          <w:sz w:val="24"/>
          <w:szCs w:val="24"/>
        </w:rPr>
        <w:t>,</w:t>
      </w:r>
      <w:r w:rsidRPr="009218D1">
        <w:rPr>
          <w:rFonts w:ascii="Times New Roman" w:hAnsi="Times New Roman" w:cs="Times New Roman"/>
          <w:i/>
          <w:sz w:val="24"/>
          <w:szCs w:val="24"/>
        </w:rPr>
        <w:t xml:space="preserve"> diğer bir deyişle borçlanma davranışlarının sermaye yapısı teorileri ile uyumlu olup olmadığı analiz edilmiştir</w:t>
      </w:r>
      <w:r w:rsidR="003F08A5" w:rsidRPr="009218D1">
        <w:rPr>
          <w:rFonts w:ascii="Times New Roman" w:hAnsi="Times New Roman" w:cs="Times New Roman"/>
          <w:i/>
          <w:sz w:val="24"/>
          <w:szCs w:val="24"/>
        </w:rPr>
        <w:t>.</w:t>
      </w:r>
      <w:r w:rsidRPr="009218D1">
        <w:rPr>
          <w:rFonts w:ascii="Times New Roman" w:hAnsi="Times New Roman" w:cs="Times New Roman"/>
          <w:i/>
          <w:sz w:val="24"/>
          <w:szCs w:val="24"/>
        </w:rPr>
        <w:t xml:space="preserve"> İşletmelerin yıllık verileri </w:t>
      </w:r>
      <w:r w:rsidR="00086E53" w:rsidRPr="009218D1">
        <w:rPr>
          <w:rFonts w:ascii="Times New Roman" w:hAnsi="Times New Roman" w:cs="Times New Roman"/>
          <w:i/>
          <w:sz w:val="24"/>
          <w:szCs w:val="24"/>
        </w:rPr>
        <w:t xml:space="preserve">Sabit Etkiler Tahmin Yöntemi </w:t>
      </w:r>
      <w:r w:rsidRPr="009218D1">
        <w:rPr>
          <w:rFonts w:ascii="Times New Roman" w:hAnsi="Times New Roman" w:cs="Times New Roman"/>
          <w:i/>
          <w:sz w:val="24"/>
          <w:szCs w:val="24"/>
        </w:rPr>
        <w:t>ile analiz edilmiştir</w:t>
      </w:r>
      <w:r w:rsidR="003F08A5" w:rsidRPr="009218D1">
        <w:rPr>
          <w:rFonts w:ascii="Times New Roman" w:hAnsi="Times New Roman" w:cs="Times New Roman"/>
          <w:i/>
          <w:sz w:val="24"/>
          <w:szCs w:val="24"/>
        </w:rPr>
        <w:t>.</w:t>
      </w:r>
      <w:r w:rsidRPr="009218D1">
        <w:rPr>
          <w:rFonts w:ascii="Times New Roman" w:hAnsi="Times New Roman" w:cs="Times New Roman"/>
          <w:i/>
          <w:sz w:val="24"/>
          <w:szCs w:val="24"/>
        </w:rPr>
        <w:t xml:space="preserve"> İşletmelerin </w:t>
      </w:r>
      <w:r w:rsidR="00086E53" w:rsidRPr="009218D1">
        <w:rPr>
          <w:rFonts w:ascii="Times New Roman" w:hAnsi="Times New Roman" w:cs="Times New Roman"/>
          <w:i/>
          <w:sz w:val="24"/>
          <w:szCs w:val="24"/>
        </w:rPr>
        <w:t>sermaye yapısı kararlarını alı</w:t>
      </w:r>
      <w:r w:rsidRPr="009218D1">
        <w:rPr>
          <w:rFonts w:ascii="Times New Roman" w:hAnsi="Times New Roman" w:cs="Times New Roman"/>
          <w:i/>
          <w:sz w:val="24"/>
          <w:szCs w:val="24"/>
        </w:rPr>
        <w:t>rken</w:t>
      </w:r>
      <w:r w:rsidR="00BE3467" w:rsidRPr="009218D1">
        <w:rPr>
          <w:rFonts w:ascii="Times New Roman" w:hAnsi="Times New Roman" w:cs="Times New Roman"/>
          <w:i/>
          <w:sz w:val="24"/>
          <w:szCs w:val="24"/>
        </w:rPr>
        <w:t>,</w:t>
      </w:r>
      <w:r w:rsidRPr="009218D1">
        <w:rPr>
          <w:rFonts w:ascii="Times New Roman" w:hAnsi="Times New Roman" w:cs="Times New Roman"/>
          <w:i/>
          <w:sz w:val="24"/>
          <w:szCs w:val="24"/>
        </w:rPr>
        <w:t xml:space="preserve"> Finansal Hiyerarşi Teorisi ile uyumlu davranışlar sergiledikleri ve Türk firmaların sermaye yapılarını en iyi açıklayan teorinin Finans</w:t>
      </w:r>
      <w:r w:rsidR="00C91211" w:rsidRPr="009218D1">
        <w:rPr>
          <w:rFonts w:ascii="Times New Roman" w:hAnsi="Times New Roman" w:cs="Times New Roman"/>
          <w:i/>
          <w:sz w:val="24"/>
          <w:szCs w:val="24"/>
        </w:rPr>
        <w:t>al Hiyerarşi</w:t>
      </w:r>
      <w:r w:rsidRPr="009218D1">
        <w:rPr>
          <w:rFonts w:ascii="Times New Roman" w:hAnsi="Times New Roman" w:cs="Times New Roman"/>
          <w:i/>
          <w:sz w:val="24"/>
          <w:szCs w:val="24"/>
        </w:rPr>
        <w:t xml:space="preserve"> Teorisi olduğu belirlenmiştir</w:t>
      </w:r>
      <w:r w:rsidR="003F08A5" w:rsidRPr="009218D1">
        <w:rPr>
          <w:rFonts w:ascii="Times New Roman" w:hAnsi="Times New Roman" w:cs="Times New Roman"/>
          <w:i/>
          <w:sz w:val="24"/>
          <w:szCs w:val="24"/>
        </w:rPr>
        <w:t>.</w:t>
      </w:r>
    </w:p>
    <w:p w:rsidR="002C07C2" w:rsidRPr="009218D1" w:rsidRDefault="002C07C2" w:rsidP="00AD17AB">
      <w:pPr>
        <w:spacing w:before="120" w:after="120" w:line="240" w:lineRule="auto"/>
        <w:jc w:val="both"/>
        <w:rPr>
          <w:rFonts w:ascii="Times New Roman" w:hAnsi="Times New Roman" w:cs="Times New Roman"/>
          <w:i/>
          <w:sz w:val="24"/>
          <w:szCs w:val="24"/>
        </w:rPr>
      </w:pPr>
    </w:p>
    <w:p w:rsidR="002C07C2" w:rsidRPr="009218D1" w:rsidRDefault="00D75D9E" w:rsidP="00AD17AB">
      <w:pPr>
        <w:spacing w:before="120" w:after="120" w:line="240" w:lineRule="auto"/>
        <w:jc w:val="both"/>
        <w:rPr>
          <w:rFonts w:ascii="Times New Roman" w:hAnsi="Times New Roman" w:cs="Times New Roman"/>
          <w:i/>
          <w:sz w:val="24"/>
          <w:szCs w:val="24"/>
        </w:rPr>
      </w:pPr>
      <w:r w:rsidRPr="009218D1">
        <w:rPr>
          <w:rFonts w:ascii="Times New Roman" w:hAnsi="Times New Roman" w:cs="Times New Roman"/>
          <w:b/>
          <w:i/>
          <w:sz w:val="24"/>
          <w:szCs w:val="24"/>
        </w:rPr>
        <w:t>Anahtar Kelimeler:</w:t>
      </w:r>
      <w:r w:rsidRPr="009218D1">
        <w:rPr>
          <w:rFonts w:ascii="Times New Roman" w:hAnsi="Times New Roman" w:cs="Times New Roman"/>
          <w:i/>
          <w:sz w:val="24"/>
          <w:szCs w:val="24"/>
        </w:rPr>
        <w:t xml:space="preserve"> Sermaye </w:t>
      </w:r>
      <w:r w:rsidR="000F2EF3" w:rsidRPr="009218D1">
        <w:rPr>
          <w:rFonts w:ascii="Times New Roman" w:hAnsi="Times New Roman" w:cs="Times New Roman"/>
          <w:i/>
          <w:sz w:val="24"/>
          <w:szCs w:val="24"/>
        </w:rPr>
        <w:t xml:space="preserve">Yapısı, Finansal Hiyerarşi Teorisi, Panel Veri Analizi, Ödünleşme Teorisi, Temsil Maliyeti, Sinyal Teorisi.      </w:t>
      </w:r>
    </w:p>
    <w:p w:rsidR="002C07C2" w:rsidRPr="009218D1" w:rsidRDefault="002C07C2" w:rsidP="00AD17AB">
      <w:pPr>
        <w:spacing w:before="120" w:after="120" w:line="240" w:lineRule="auto"/>
        <w:jc w:val="both"/>
        <w:rPr>
          <w:rFonts w:ascii="Times New Roman" w:hAnsi="Times New Roman" w:cs="Times New Roman"/>
          <w:sz w:val="24"/>
          <w:szCs w:val="24"/>
        </w:rPr>
      </w:pPr>
    </w:p>
    <w:p w:rsidR="00C739A3" w:rsidRPr="009218D1" w:rsidRDefault="00C739A3" w:rsidP="00C739A3">
      <w:pPr>
        <w:spacing w:before="120" w:after="120" w:line="240" w:lineRule="auto"/>
        <w:jc w:val="both"/>
        <w:rPr>
          <w:rFonts w:ascii="Times New Roman" w:hAnsi="Times New Roman" w:cs="Times New Roman"/>
          <w:sz w:val="20"/>
          <w:szCs w:val="20"/>
        </w:rPr>
      </w:pPr>
    </w:p>
    <w:p w:rsidR="00C739A3" w:rsidRPr="009218D1" w:rsidRDefault="000F2EF3" w:rsidP="00C739A3">
      <w:pPr>
        <w:spacing w:before="120" w:after="120" w:line="360" w:lineRule="auto"/>
        <w:jc w:val="center"/>
        <w:rPr>
          <w:rFonts w:ascii="Times New Roman" w:hAnsi="Times New Roman" w:cs="Times New Roman"/>
          <w:b/>
          <w:sz w:val="24"/>
          <w:szCs w:val="24"/>
        </w:rPr>
      </w:pPr>
      <w:r w:rsidRPr="009218D1">
        <w:rPr>
          <w:rFonts w:ascii="Times New Roman" w:hAnsi="Times New Roman" w:cs="Times New Roman"/>
          <w:b/>
          <w:sz w:val="24"/>
          <w:szCs w:val="24"/>
        </w:rPr>
        <w:t>TESTING CAPITAL STRUCTURE THEORIES ON NON FINANCIAL SECTOR FIRMS</w:t>
      </w:r>
    </w:p>
    <w:p w:rsidR="00C739A3" w:rsidRPr="009218D1" w:rsidRDefault="00C739A3" w:rsidP="00C739A3">
      <w:pPr>
        <w:spacing w:before="120" w:after="120" w:line="360" w:lineRule="auto"/>
        <w:jc w:val="both"/>
        <w:rPr>
          <w:rFonts w:ascii="Times New Roman" w:hAnsi="Times New Roman" w:cs="Times New Roman"/>
          <w:b/>
          <w:i/>
          <w:sz w:val="24"/>
          <w:szCs w:val="24"/>
        </w:rPr>
      </w:pPr>
      <w:r w:rsidRPr="009218D1">
        <w:rPr>
          <w:rFonts w:ascii="Times New Roman" w:hAnsi="Times New Roman" w:cs="Times New Roman"/>
          <w:b/>
          <w:i/>
          <w:sz w:val="24"/>
          <w:szCs w:val="24"/>
        </w:rPr>
        <w:t xml:space="preserve">ABSTRACT  </w:t>
      </w:r>
    </w:p>
    <w:p w:rsidR="00C739A3" w:rsidRPr="009218D1" w:rsidRDefault="00C739A3" w:rsidP="00C739A3">
      <w:pPr>
        <w:spacing w:before="120" w:after="120" w:line="240" w:lineRule="auto"/>
        <w:jc w:val="both"/>
        <w:rPr>
          <w:rFonts w:ascii="Times New Roman" w:hAnsi="Times New Roman" w:cs="Times New Roman"/>
          <w:i/>
          <w:sz w:val="24"/>
          <w:szCs w:val="24"/>
        </w:rPr>
      </w:pPr>
      <w:r w:rsidRPr="009218D1">
        <w:rPr>
          <w:rFonts w:ascii="Times New Roman" w:hAnsi="Times New Roman" w:cs="Times New Roman"/>
          <w:i/>
          <w:sz w:val="24"/>
          <w:szCs w:val="24"/>
        </w:rPr>
        <w:t xml:space="preserve">In this study, capital structure decisions or debt attitudes of 169 firms listed on Borsa İstanbul between 2003-2014 were analyzed. This study aims to investigate whether borrowing behavior of firms is consistent with capital structure theories. Annual data of the firms were analyzed by fixed effects method. Based on the research results, firms behaviors are consistent with pecking order theory and it is the most successful theory in explaining the determinants of capital structure of the Turkish firms. </w:t>
      </w:r>
    </w:p>
    <w:p w:rsidR="00C739A3" w:rsidRPr="009218D1" w:rsidRDefault="00C739A3" w:rsidP="00C739A3">
      <w:pPr>
        <w:spacing w:before="120" w:after="120" w:line="240" w:lineRule="auto"/>
        <w:jc w:val="both"/>
        <w:rPr>
          <w:rFonts w:ascii="Times New Roman" w:hAnsi="Times New Roman" w:cs="Times New Roman"/>
          <w:i/>
          <w:sz w:val="24"/>
          <w:szCs w:val="24"/>
        </w:rPr>
      </w:pPr>
    </w:p>
    <w:p w:rsidR="00C739A3" w:rsidRPr="009218D1" w:rsidRDefault="00C739A3" w:rsidP="00C739A3">
      <w:pPr>
        <w:spacing w:before="120" w:after="120" w:line="240" w:lineRule="auto"/>
        <w:jc w:val="both"/>
        <w:rPr>
          <w:rFonts w:ascii="Times New Roman" w:hAnsi="Times New Roman" w:cs="Times New Roman"/>
          <w:i/>
          <w:sz w:val="24"/>
          <w:szCs w:val="24"/>
        </w:rPr>
      </w:pPr>
      <w:r w:rsidRPr="009218D1">
        <w:rPr>
          <w:rFonts w:ascii="Times New Roman" w:hAnsi="Times New Roman" w:cs="Times New Roman"/>
          <w:b/>
          <w:i/>
          <w:sz w:val="24"/>
          <w:szCs w:val="24"/>
        </w:rPr>
        <w:t>Keywords:</w:t>
      </w:r>
      <w:r w:rsidRPr="009218D1">
        <w:rPr>
          <w:rFonts w:ascii="Times New Roman" w:hAnsi="Times New Roman" w:cs="Times New Roman"/>
          <w:i/>
          <w:sz w:val="24"/>
          <w:szCs w:val="24"/>
        </w:rPr>
        <w:t xml:space="preserve"> Capital </w:t>
      </w:r>
      <w:r w:rsidR="000F2EF3" w:rsidRPr="009218D1">
        <w:rPr>
          <w:rFonts w:ascii="Times New Roman" w:hAnsi="Times New Roman" w:cs="Times New Roman"/>
          <w:i/>
          <w:sz w:val="24"/>
          <w:szCs w:val="24"/>
        </w:rPr>
        <w:t>Structure, Pecking O</w:t>
      </w:r>
      <w:r w:rsidRPr="009218D1">
        <w:rPr>
          <w:rFonts w:ascii="Times New Roman" w:hAnsi="Times New Roman" w:cs="Times New Roman"/>
          <w:i/>
          <w:sz w:val="24"/>
          <w:szCs w:val="24"/>
        </w:rPr>
        <w:t>rd</w:t>
      </w:r>
      <w:r w:rsidR="000F2EF3" w:rsidRPr="009218D1">
        <w:rPr>
          <w:rFonts w:ascii="Times New Roman" w:hAnsi="Times New Roman" w:cs="Times New Roman"/>
          <w:i/>
          <w:sz w:val="24"/>
          <w:szCs w:val="24"/>
        </w:rPr>
        <w:t>er T</w:t>
      </w:r>
      <w:r w:rsidRPr="009218D1">
        <w:rPr>
          <w:rFonts w:ascii="Times New Roman" w:hAnsi="Times New Roman" w:cs="Times New Roman"/>
          <w:i/>
          <w:sz w:val="24"/>
          <w:szCs w:val="24"/>
        </w:rPr>
        <w:t xml:space="preserve">heory, </w:t>
      </w:r>
      <w:r w:rsidR="000F2EF3" w:rsidRPr="009218D1">
        <w:rPr>
          <w:rFonts w:ascii="Times New Roman" w:hAnsi="Times New Roman" w:cs="Times New Roman"/>
          <w:i/>
          <w:sz w:val="24"/>
          <w:szCs w:val="24"/>
        </w:rPr>
        <w:t>P</w:t>
      </w:r>
      <w:r w:rsidRPr="009218D1">
        <w:rPr>
          <w:rFonts w:ascii="Times New Roman" w:hAnsi="Times New Roman" w:cs="Times New Roman"/>
          <w:i/>
          <w:sz w:val="24"/>
          <w:szCs w:val="24"/>
        </w:rPr>
        <w:t xml:space="preserve">anel </w:t>
      </w:r>
      <w:r w:rsidR="000F2EF3" w:rsidRPr="009218D1">
        <w:rPr>
          <w:rFonts w:ascii="Times New Roman" w:hAnsi="Times New Roman" w:cs="Times New Roman"/>
          <w:i/>
          <w:sz w:val="24"/>
          <w:szCs w:val="24"/>
        </w:rPr>
        <w:t>D</w:t>
      </w:r>
      <w:r w:rsidRPr="009218D1">
        <w:rPr>
          <w:rFonts w:ascii="Times New Roman" w:hAnsi="Times New Roman" w:cs="Times New Roman"/>
          <w:i/>
          <w:sz w:val="24"/>
          <w:szCs w:val="24"/>
        </w:rPr>
        <w:t xml:space="preserve">ata </w:t>
      </w:r>
      <w:r w:rsidR="000F2EF3" w:rsidRPr="009218D1">
        <w:rPr>
          <w:rFonts w:ascii="Times New Roman" w:hAnsi="Times New Roman" w:cs="Times New Roman"/>
          <w:i/>
          <w:sz w:val="24"/>
          <w:szCs w:val="24"/>
        </w:rPr>
        <w:t>A</w:t>
      </w:r>
      <w:r w:rsidRPr="009218D1">
        <w:rPr>
          <w:rFonts w:ascii="Times New Roman" w:hAnsi="Times New Roman" w:cs="Times New Roman"/>
          <w:i/>
          <w:sz w:val="24"/>
          <w:szCs w:val="24"/>
        </w:rPr>
        <w:t xml:space="preserve">nalysis, </w:t>
      </w:r>
      <w:r w:rsidR="000F2EF3" w:rsidRPr="009218D1">
        <w:rPr>
          <w:rFonts w:ascii="Times New Roman" w:hAnsi="Times New Roman" w:cs="Times New Roman"/>
          <w:i/>
          <w:sz w:val="24"/>
          <w:szCs w:val="24"/>
        </w:rPr>
        <w:t>T</w:t>
      </w:r>
      <w:r w:rsidRPr="009218D1">
        <w:rPr>
          <w:rFonts w:ascii="Times New Roman" w:hAnsi="Times New Roman" w:cs="Times New Roman"/>
          <w:i/>
          <w:sz w:val="24"/>
          <w:szCs w:val="24"/>
        </w:rPr>
        <w:t xml:space="preserve">rade off  </w:t>
      </w:r>
      <w:r w:rsidR="000F2EF3" w:rsidRPr="009218D1">
        <w:rPr>
          <w:rFonts w:ascii="Times New Roman" w:hAnsi="Times New Roman" w:cs="Times New Roman"/>
          <w:i/>
          <w:sz w:val="24"/>
          <w:szCs w:val="24"/>
        </w:rPr>
        <w:t>T</w:t>
      </w:r>
      <w:r w:rsidRPr="009218D1">
        <w:rPr>
          <w:rFonts w:ascii="Times New Roman" w:hAnsi="Times New Roman" w:cs="Times New Roman"/>
          <w:i/>
          <w:sz w:val="24"/>
          <w:szCs w:val="24"/>
        </w:rPr>
        <w:t xml:space="preserve">heory, </w:t>
      </w:r>
      <w:r w:rsidR="000F2EF3" w:rsidRPr="009218D1">
        <w:rPr>
          <w:rFonts w:ascii="Times New Roman" w:hAnsi="Times New Roman" w:cs="Times New Roman"/>
          <w:i/>
          <w:sz w:val="24"/>
          <w:szCs w:val="24"/>
        </w:rPr>
        <w:t>A</w:t>
      </w:r>
      <w:r w:rsidRPr="009218D1">
        <w:rPr>
          <w:rFonts w:ascii="Times New Roman" w:hAnsi="Times New Roman" w:cs="Times New Roman"/>
          <w:i/>
          <w:sz w:val="24"/>
          <w:szCs w:val="24"/>
        </w:rPr>
        <w:t xml:space="preserve">gent </w:t>
      </w:r>
      <w:r w:rsidR="000F2EF3" w:rsidRPr="009218D1">
        <w:rPr>
          <w:rFonts w:ascii="Times New Roman" w:hAnsi="Times New Roman" w:cs="Times New Roman"/>
          <w:i/>
          <w:sz w:val="24"/>
          <w:szCs w:val="24"/>
        </w:rPr>
        <w:t>C</w:t>
      </w:r>
      <w:r w:rsidRPr="009218D1">
        <w:rPr>
          <w:rFonts w:ascii="Times New Roman" w:hAnsi="Times New Roman" w:cs="Times New Roman"/>
          <w:i/>
          <w:sz w:val="24"/>
          <w:szCs w:val="24"/>
        </w:rPr>
        <w:t xml:space="preserve">ost, </w:t>
      </w:r>
      <w:r w:rsidR="000F2EF3" w:rsidRPr="009218D1">
        <w:rPr>
          <w:rFonts w:ascii="Times New Roman" w:hAnsi="Times New Roman" w:cs="Times New Roman"/>
          <w:i/>
          <w:sz w:val="24"/>
          <w:szCs w:val="24"/>
        </w:rPr>
        <w:t>S</w:t>
      </w:r>
      <w:r w:rsidRPr="009218D1">
        <w:rPr>
          <w:rFonts w:ascii="Times New Roman" w:hAnsi="Times New Roman" w:cs="Times New Roman"/>
          <w:i/>
          <w:sz w:val="24"/>
          <w:szCs w:val="24"/>
        </w:rPr>
        <w:t xml:space="preserve">ignalling </w:t>
      </w:r>
      <w:r w:rsidR="000F2EF3" w:rsidRPr="009218D1">
        <w:rPr>
          <w:rFonts w:ascii="Times New Roman" w:hAnsi="Times New Roman" w:cs="Times New Roman"/>
          <w:i/>
          <w:sz w:val="24"/>
          <w:szCs w:val="24"/>
        </w:rPr>
        <w:t>T</w:t>
      </w:r>
      <w:r w:rsidRPr="009218D1">
        <w:rPr>
          <w:rFonts w:ascii="Times New Roman" w:hAnsi="Times New Roman" w:cs="Times New Roman"/>
          <w:i/>
          <w:sz w:val="24"/>
          <w:szCs w:val="24"/>
        </w:rPr>
        <w:t>heory.</w:t>
      </w:r>
    </w:p>
    <w:p w:rsidR="00D75D9E" w:rsidRPr="009218D1" w:rsidRDefault="00D75D9E" w:rsidP="00F278DE">
      <w:pPr>
        <w:spacing w:before="120" w:after="120" w:line="360" w:lineRule="auto"/>
        <w:jc w:val="both"/>
        <w:rPr>
          <w:rFonts w:ascii="Times New Roman" w:hAnsi="Times New Roman" w:cs="Times New Roman"/>
          <w:b/>
          <w:i/>
          <w:sz w:val="24"/>
          <w:szCs w:val="24"/>
        </w:rPr>
      </w:pPr>
    </w:p>
    <w:p w:rsidR="002C07C2" w:rsidRPr="009218D1" w:rsidRDefault="002C07C2" w:rsidP="00F278DE">
      <w:pPr>
        <w:spacing w:before="120" w:after="120" w:line="360" w:lineRule="auto"/>
        <w:jc w:val="both"/>
        <w:rPr>
          <w:rFonts w:ascii="Times New Roman" w:hAnsi="Times New Roman" w:cs="Times New Roman"/>
          <w:b/>
          <w:sz w:val="24"/>
          <w:szCs w:val="24"/>
        </w:rPr>
      </w:pPr>
    </w:p>
    <w:p w:rsidR="002C07C2" w:rsidRPr="009218D1" w:rsidRDefault="002C07C2" w:rsidP="00F278DE">
      <w:pPr>
        <w:spacing w:before="120" w:after="120" w:line="360" w:lineRule="auto"/>
        <w:jc w:val="both"/>
        <w:rPr>
          <w:rFonts w:ascii="Times New Roman" w:hAnsi="Times New Roman" w:cs="Times New Roman"/>
          <w:b/>
          <w:sz w:val="24"/>
          <w:szCs w:val="24"/>
        </w:rPr>
      </w:pPr>
    </w:p>
    <w:p w:rsidR="00466DFD" w:rsidRPr="009218D1" w:rsidRDefault="00786686" w:rsidP="00F278DE">
      <w:pPr>
        <w:spacing w:before="120" w:after="120" w:line="360" w:lineRule="auto"/>
        <w:jc w:val="both"/>
        <w:rPr>
          <w:rFonts w:ascii="Times New Roman" w:hAnsi="Times New Roman" w:cs="Times New Roman"/>
          <w:b/>
          <w:sz w:val="24"/>
          <w:szCs w:val="24"/>
        </w:rPr>
      </w:pPr>
      <w:r w:rsidRPr="009218D1">
        <w:rPr>
          <w:rFonts w:ascii="Times New Roman" w:hAnsi="Times New Roman" w:cs="Times New Roman"/>
          <w:b/>
          <w:sz w:val="24"/>
          <w:szCs w:val="24"/>
        </w:rPr>
        <w:lastRenderedPageBreak/>
        <w:t>1.</w:t>
      </w:r>
      <w:r w:rsidR="00EB48EB" w:rsidRPr="009218D1">
        <w:rPr>
          <w:rFonts w:ascii="Times New Roman" w:hAnsi="Times New Roman" w:cs="Times New Roman"/>
          <w:b/>
          <w:sz w:val="24"/>
          <w:szCs w:val="24"/>
        </w:rPr>
        <w:t>GİRİŞ</w:t>
      </w:r>
    </w:p>
    <w:p w:rsidR="00C1457D" w:rsidRPr="009218D1" w:rsidRDefault="00C1457D"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Firmaların varlıklarının devamlılığı</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yapılarını güçlü bir şekilde oluşturabilmelerine bağlı olup</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yanlış sermaye yapısı kararları işletme iflasları ile sonuçlanabilmektedir</w:t>
      </w:r>
      <w:r w:rsidR="00440303" w:rsidRPr="009218D1">
        <w:rPr>
          <w:rFonts w:ascii="Times New Roman" w:hAnsi="Times New Roman" w:cs="Times New Roman"/>
          <w:sz w:val="24"/>
          <w:szCs w:val="24"/>
        </w:rPr>
        <w:t>.</w:t>
      </w:r>
      <w:r w:rsidRPr="009218D1">
        <w:rPr>
          <w:rFonts w:ascii="Times New Roman" w:hAnsi="Times New Roman" w:cs="Times New Roman"/>
          <w:sz w:val="24"/>
          <w:szCs w:val="24"/>
        </w:rPr>
        <w:t xml:space="preserve"> Bu nedenle sermaye yapısı</w:t>
      </w:r>
      <w:r w:rsidR="00440303" w:rsidRPr="009218D1">
        <w:rPr>
          <w:rFonts w:ascii="Times New Roman" w:hAnsi="Times New Roman" w:cs="Times New Roman"/>
          <w:sz w:val="24"/>
          <w:szCs w:val="24"/>
        </w:rPr>
        <w:t xml:space="preserve"> kararlarına</w:t>
      </w:r>
      <w:r w:rsidRPr="009218D1">
        <w:rPr>
          <w:rFonts w:ascii="Times New Roman" w:hAnsi="Times New Roman" w:cs="Times New Roman"/>
          <w:sz w:val="24"/>
          <w:szCs w:val="24"/>
        </w:rPr>
        <w:t xml:space="preserve"> verilen önem giderek artmıştır</w:t>
      </w:r>
      <w:r w:rsidR="00440303" w:rsidRPr="009218D1">
        <w:rPr>
          <w:rFonts w:ascii="Times New Roman" w:hAnsi="Times New Roman" w:cs="Times New Roman"/>
          <w:sz w:val="24"/>
          <w:szCs w:val="24"/>
        </w:rPr>
        <w:t>.</w:t>
      </w:r>
      <w:r w:rsidRPr="009218D1">
        <w:rPr>
          <w:rFonts w:ascii="Times New Roman" w:hAnsi="Times New Roman" w:cs="Times New Roman"/>
          <w:sz w:val="24"/>
          <w:szCs w:val="24"/>
        </w:rPr>
        <w:t xml:space="preserve"> Miller ve Modigliani’nin 1958 yılında yazdıkları "The Cost of Capital</w:t>
      </w:r>
      <w:r w:rsidR="00C95100" w:rsidRPr="009218D1">
        <w:rPr>
          <w:rFonts w:ascii="Times New Roman" w:hAnsi="Times New Roman" w:cs="Times New Roman"/>
          <w:sz w:val="24"/>
          <w:szCs w:val="24"/>
        </w:rPr>
        <w:t xml:space="preserve"> Corporation Finance and t</w:t>
      </w:r>
      <w:r w:rsidRPr="009218D1">
        <w:rPr>
          <w:rFonts w:ascii="Times New Roman" w:hAnsi="Times New Roman" w:cs="Times New Roman"/>
          <w:sz w:val="24"/>
          <w:szCs w:val="24"/>
        </w:rPr>
        <w:t>he Theory of Investment” başlıklı makaleden günümüze kadar konu ile ilgili çeşitli teoriler geliştirilmiştir</w:t>
      </w:r>
      <w:r w:rsidR="00440303" w:rsidRPr="009218D1">
        <w:rPr>
          <w:rFonts w:ascii="Times New Roman" w:hAnsi="Times New Roman" w:cs="Times New Roman"/>
          <w:sz w:val="24"/>
          <w:szCs w:val="24"/>
        </w:rPr>
        <w:t>.</w:t>
      </w:r>
      <w:r w:rsidRPr="009218D1">
        <w:rPr>
          <w:rFonts w:ascii="Times New Roman" w:hAnsi="Times New Roman" w:cs="Times New Roman"/>
          <w:sz w:val="24"/>
          <w:szCs w:val="24"/>
        </w:rPr>
        <w:t xml:space="preserve"> Geliştirilmiş olan bu teoriler temel alınarak sermaye yapısı ile ilgili birçok çalışma yapılmıştır ve günümüzde halen yapılmaktadır</w:t>
      </w:r>
      <w:r w:rsidR="00440303" w:rsidRPr="009218D1">
        <w:rPr>
          <w:rFonts w:ascii="Times New Roman" w:hAnsi="Times New Roman" w:cs="Times New Roman"/>
          <w:sz w:val="24"/>
          <w:szCs w:val="24"/>
        </w:rPr>
        <w:t>.</w:t>
      </w:r>
    </w:p>
    <w:p w:rsidR="00C1457D" w:rsidRPr="009218D1" w:rsidRDefault="00C1457D"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Değişen firma ve piyasa koşulları sebebiyle</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bir firmanın değerini maksimize eden veya sermaye maliyetini minimize eden devamlı ve değişmez bir sermaye yapısı söz konusu değildir (Frank ve Goyal</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2007; Sayılgan</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201</w:t>
      </w:r>
      <w:r w:rsidR="001C1FCA" w:rsidRPr="009218D1">
        <w:rPr>
          <w:rFonts w:ascii="Times New Roman" w:hAnsi="Times New Roman" w:cs="Times New Roman"/>
          <w:sz w:val="24"/>
          <w:szCs w:val="24"/>
        </w:rPr>
        <w:t>1</w:t>
      </w:r>
      <w:r w:rsidRPr="009218D1">
        <w:rPr>
          <w:rFonts w:ascii="Times New Roman" w:hAnsi="Times New Roman" w:cs="Times New Roman"/>
          <w:sz w:val="24"/>
          <w:szCs w:val="24"/>
        </w:rPr>
        <w:t>)</w:t>
      </w:r>
      <w:r w:rsidR="00440303" w:rsidRPr="009218D1">
        <w:rPr>
          <w:rFonts w:ascii="Times New Roman" w:hAnsi="Times New Roman" w:cs="Times New Roman"/>
          <w:sz w:val="24"/>
          <w:szCs w:val="24"/>
        </w:rPr>
        <w:t>.</w:t>
      </w:r>
      <w:r w:rsidRPr="009218D1">
        <w:rPr>
          <w:rFonts w:ascii="Times New Roman" w:hAnsi="Times New Roman" w:cs="Times New Roman"/>
          <w:sz w:val="24"/>
          <w:szCs w:val="24"/>
        </w:rPr>
        <w:t xml:space="preserve"> Sermaye yapısı teorilerinin geçerliliğinin </w:t>
      </w:r>
      <w:r w:rsidR="00440303" w:rsidRPr="009218D1">
        <w:rPr>
          <w:rFonts w:ascii="Times New Roman" w:hAnsi="Times New Roman" w:cs="Times New Roman"/>
          <w:sz w:val="24"/>
          <w:szCs w:val="24"/>
        </w:rPr>
        <w:t xml:space="preserve">günümüzde </w:t>
      </w:r>
      <w:r w:rsidRPr="009218D1">
        <w:rPr>
          <w:rFonts w:ascii="Times New Roman" w:hAnsi="Times New Roman" w:cs="Times New Roman"/>
          <w:sz w:val="24"/>
          <w:szCs w:val="24"/>
        </w:rPr>
        <w:t>hâlâ test ediliyor olmasının en önemli sebebi</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firmaların sermaye yapısı kararlarının ülke</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sektör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zaman ve firma özelinde sürekli değişiklik gösteriyor olmasıdır</w:t>
      </w:r>
      <w:r w:rsidR="00440303" w:rsidRPr="009218D1">
        <w:rPr>
          <w:rFonts w:ascii="Times New Roman" w:hAnsi="Times New Roman" w:cs="Times New Roman"/>
          <w:sz w:val="24"/>
          <w:szCs w:val="24"/>
        </w:rPr>
        <w:t>.</w:t>
      </w:r>
      <w:r w:rsidRPr="009218D1">
        <w:rPr>
          <w:rFonts w:ascii="Times New Roman" w:hAnsi="Times New Roman" w:cs="Times New Roman"/>
          <w:sz w:val="24"/>
          <w:szCs w:val="24"/>
        </w:rPr>
        <w:t xml:space="preserve"> Konu ile ilgili ilk çalışmalar</w:t>
      </w:r>
      <w:r w:rsidR="00D66A80" w:rsidRPr="009218D1">
        <w:rPr>
          <w:rFonts w:ascii="Times New Roman" w:hAnsi="Times New Roman" w:cs="Times New Roman"/>
          <w:sz w:val="24"/>
          <w:szCs w:val="24"/>
        </w:rPr>
        <w:t>,</w:t>
      </w:r>
      <w:r w:rsidRPr="009218D1">
        <w:rPr>
          <w:rFonts w:ascii="Times New Roman" w:hAnsi="Times New Roman" w:cs="Times New Roman"/>
          <w:sz w:val="24"/>
          <w:szCs w:val="24"/>
        </w:rPr>
        <w:t xml:space="preserve"> Amerika başta olmak üzere gelişmiş ülkelere odaklanmıştır</w:t>
      </w:r>
      <w:r w:rsidR="00440303" w:rsidRPr="009218D1">
        <w:rPr>
          <w:rFonts w:ascii="Times New Roman" w:hAnsi="Times New Roman" w:cs="Times New Roman"/>
          <w:sz w:val="24"/>
          <w:szCs w:val="24"/>
        </w:rPr>
        <w:t>.</w:t>
      </w:r>
      <w:r w:rsidRPr="009218D1">
        <w:rPr>
          <w:rFonts w:ascii="Times New Roman" w:hAnsi="Times New Roman" w:cs="Times New Roman"/>
          <w:sz w:val="24"/>
          <w:szCs w:val="24"/>
        </w:rPr>
        <w:t xml:space="preserve"> Ancak günümüzde firma kaldıracına etki eden faktörlerin gelişmiş ülkeler ile gelişmekte olan ülkeler arasında benzerlik gösterip göstermediği araştırılmaktadır</w:t>
      </w:r>
      <w:r w:rsidR="00440303" w:rsidRPr="009218D1">
        <w:rPr>
          <w:rFonts w:ascii="Times New Roman" w:hAnsi="Times New Roman" w:cs="Times New Roman"/>
          <w:sz w:val="24"/>
          <w:szCs w:val="24"/>
        </w:rPr>
        <w:t>.</w:t>
      </w:r>
      <w:r w:rsidRPr="009218D1">
        <w:rPr>
          <w:rFonts w:ascii="Times New Roman" w:hAnsi="Times New Roman" w:cs="Times New Roman"/>
          <w:sz w:val="24"/>
          <w:szCs w:val="24"/>
        </w:rPr>
        <w:t xml:space="preserve"> Bu konuda önemli bir aşama kaydedilmiş olsa da konu henüz netlik kazanmamıştır ve daha çok </w:t>
      </w:r>
      <w:r w:rsidR="00440303" w:rsidRPr="009218D1">
        <w:rPr>
          <w:rFonts w:ascii="Times New Roman" w:hAnsi="Times New Roman" w:cs="Times New Roman"/>
          <w:sz w:val="24"/>
          <w:szCs w:val="24"/>
        </w:rPr>
        <w:t xml:space="preserve">sayıda </w:t>
      </w:r>
      <w:r w:rsidRPr="009218D1">
        <w:rPr>
          <w:rFonts w:ascii="Times New Roman" w:hAnsi="Times New Roman" w:cs="Times New Roman"/>
          <w:sz w:val="24"/>
          <w:szCs w:val="24"/>
        </w:rPr>
        <w:t>araştırma yapılması gerekmektedir (Köksal vd</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2013)</w:t>
      </w:r>
      <w:r w:rsidR="00440303" w:rsidRPr="009218D1">
        <w:rPr>
          <w:rFonts w:ascii="Times New Roman" w:hAnsi="Times New Roman" w:cs="Times New Roman"/>
          <w:sz w:val="24"/>
          <w:szCs w:val="24"/>
        </w:rPr>
        <w:t>.</w:t>
      </w:r>
    </w:p>
    <w:p w:rsidR="00921156" w:rsidRPr="009218D1" w:rsidRDefault="00921156"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Bu sebeple</w:t>
      </w:r>
      <w:r w:rsidR="00BE3467" w:rsidRPr="009218D1">
        <w:rPr>
          <w:rFonts w:ascii="Times New Roman" w:hAnsi="Times New Roman" w:cs="Times New Roman"/>
          <w:sz w:val="24"/>
          <w:szCs w:val="24"/>
        </w:rPr>
        <w:t xml:space="preserve">, </w:t>
      </w:r>
      <w:r w:rsidRPr="009218D1">
        <w:rPr>
          <w:rFonts w:ascii="Times New Roman" w:hAnsi="Times New Roman" w:cs="Times New Roman"/>
          <w:sz w:val="24"/>
          <w:szCs w:val="24"/>
        </w:rPr>
        <w:t>günümüzde halen Türkiye ve diğer gelişmekte olan ülkelerde faaliyet gösteren işletmeler açısından hangi teorilerin daha açıklayıcı olduğunu ortaya koymaya çalışan araştırmalar yapılmaya devam etmektedir</w:t>
      </w:r>
      <w:r w:rsidR="00440303" w:rsidRPr="009218D1">
        <w:rPr>
          <w:rFonts w:ascii="Times New Roman" w:hAnsi="Times New Roman" w:cs="Times New Roman"/>
          <w:sz w:val="24"/>
          <w:szCs w:val="24"/>
        </w:rPr>
        <w:t xml:space="preserve">. </w:t>
      </w:r>
      <w:r w:rsidR="00655345" w:rsidRPr="009218D1">
        <w:rPr>
          <w:rFonts w:ascii="Times New Roman" w:hAnsi="Times New Roman" w:cs="Times New Roman"/>
          <w:sz w:val="24"/>
          <w:szCs w:val="24"/>
        </w:rPr>
        <w:t>Bu çalışma ile gelişmekte olan bir ülkede araştırma yapılarak literatüre katkı sağlanması</w:t>
      </w:r>
      <w:r w:rsidR="00BE3467" w:rsidRPr="009218D1">
        <w:rPr>
          <w:rFonts w:ascii="Times New Roman" w:hAnsi="Times New Roman" w:cs="Times New Roman"/>
          <w:sz w:val="24"/>
          <w:szCs w:val="24"/>
        </w:rPr>
        <w:t>,</w:t>
      </w:r>
      <w:r w:rsidR="00655345" w:rsidRPr="009218D1">
        <w:rPr>
          <w:rFonts w:ascii="Times New Roman" w:hAnsi="Times New Roman" w:cs="Times New Roman"/>
          <w:sz w:val="24"/>
          <w:szCs w:val="24"/>
        </w:rPr>
        <w:t xml:space="preserve"> sermaye yapısı ile ilgili geliştirilmiş teoriler test edilerek</w:t>
      </w:r>
      <w:r w:rsidR="00BE3467" w:rsidRPr="009218D1">
        <w:rPr>
          <w:rFonts w:ascii="Times New Roman" w:hAnsi="Times New Roman" w:cs="Times New Roman"/>
          <w:sz w:val="24"/>
          <w:szCs w:val="24"/>
        </w:rPr>
        <w:t>,</w:t>
      </w:r>
      <w:r w:rsidR="00655345" w:rsidRPr="009218D1">
        <w:rPr>
          <w:rFonts w:ascii="Times New Roman" w:hAnsi="Times New Roman" w:cs="Times New Roman"/>
          <w:sz w:val="24"/>
          <w:szCs w:val="24"/>
        </w:rPr>
        <w:t xml:space="preserve"> işletmelerin gerçek hayattaki davranışların ortaya konması amaçlanmıştır</w:t>
      </w:r>
      <w:r w:rsidR="00440303" w:rsidRPr="009218D1">
        <w:rPr>
          <w:rFonts w:ascii="Times New Roman" w:hAnsi="Times New Roman" w:cs="Times New Roman"/>
          <w:sz w:val="24"/>
          <w:szCs w:val="24"/>
        </w:rPr>
        <w:t>.</w:t>
      </w:r>
    </w:p>
    <w:p w:rsidR="003B14DC" w:rsidRPr="009218D1" w:rsidRDefault="003B14DC" w:rsidP="003B14DC">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Borsa İstanbul’da işlem gören farklı sektörlerden firmaların finansal raporlarından alınan veriler panel veri yöntemi ile analiz edilmiştir. Çalışmanın odak noktası sermaye yapısı teorilerinin test edilmesi olduğundan, firmaların borçlanma ile özsermaye arasında nasıl tercih yaptığını açıklayabilmek için farklı açıklayıcı değişkenler kullanılmıştır.  </w:t>
      </w:r>
    </w:p>
    <w:p w:rsidR="003B14DC" w:rsidRPr="009218D1" w:rsidRDefault="003B14DC" w:rsidP="003B14DC">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Varlık yapısı, teminat ve temsil maliyetlerinin göstergesi olduğundan, kârlılık ise firmaların kaldıraç oranını etkilediğinden açıklayıcı değişken olarak modele dâhil edilmiştir.  Finansal Hiyerarşi Teorisine göre; kârlılık oranının kaldıraç oranına negatif etki etmesi öngörülmektedir. Ödünleşme Teorisine göre ise; kârlılık artıkça firmaların borçlanma kapasitesi artacağından, kârlılığın kaldıraç oranına pozitif etki etmesi öngörülmektedir. Makroekonomik ve finansal piyasalara özgü değişkenler de firmaların borçluluk oranlarını etkileyeceğinden açıklayıcı değişken olarak kullanılmışlardır. Ödünleşme Teorisine göre; firmalar borcun vergi avantajı nedeniyle borçlanmayı tercih etmektedirler. Vergi oranının kaldıraç oranına pozitif etki etmesi öngörülmektedir. Borsanın gelişmişlik düzeyi arttıkça, firmalar borçlanmanın yanı sıra hisse senedi piyasasından da faydalandıklarından, borsanın gelişmişlik düzeyinin kaldıraç oranına pozitif etki edeceği öngörülmektedir. Bankacılık sistemi de aynı şekilde kaldıraç oranına pozitif etki edecektir. Firmaların borçlanmak zorunda kalmalarının en önemli nedeni kârlılık düzeylerinin istikrarsız olmasıdır. Bu durum piyasada olumsuz bir sinyal olarak algılanır ve hem Ödünleşme Teorisi hem de Finansal Hiyerarşi Teorisine göre kaldıraç oranını olumsuz etkiler. Bu nedenle, işletme riskinin kaldıraç oranına negatif etki edeceği öngörülmektedir. Büyüme fırsatı ile karşılaşan firmaların nasıl davranacağına ilişkin birbirinden farklı görüşler söz konusudur. Finansal Hiyerarşi Teorisine göre; firmalar borçlanmayı tercih edecektir. Ödünleşme Teorisine göre ise, iflas riskinin artması nedeniyle firmalar özsermayeyi tercih etmelidir. </w:t>
      </w:r>
      <w:r w:rsidR="00DE4D7B" w:rsidRPr="009218D1">
        <w:rPr>
          <w:rFonts w:ascii="Times New Roman" w:hAnsi="Times New Roman" w:cs="Times New Roman"/>
          <w:sz w:val="24"/>
          <w:szCs w:val="24"/>
        </w:rPr>
        <w:t xml:space="preserve">Çalışmanın </w:t>
      </w:r>
      <w:r w:rsidR="00DE4D7B">
        <w:rPr>
          <w:rFonts w:ascii="Times New Roman" w:hAnsi="Times New Roman" w:cs="Times New Roman"/>
          <w:sz w:val="24"/>
          <w:szCs w:val="24"/>
        </w:rPr>
        <w:t>ikinci</w:t>
      </w:r>
      <w:r w:rsidR="00DE4D7B" w:rsidRPr="009218D1">
        <w:rPr>
          <w:rFonts w:ascii="Times New Roman" w:hAnsi="Times New Roman" w:cs="Times New Roman"/>
          <w:sz w:val="24"/>
          <w:szCs w:val="24"/>
        </w:rPr>
        <w:t xml:space="preserve"> bölümünde sermaye yapısı ve finansal kararlar ele alınırken, geçmişten günümüze geliştirilmiş olan teoriler açıklanmıştır. </w:t>
      </w:r>
      <w:r w:rsidR="005B35DB" w:rsidRPr="009218D1">
        <w:rPr>
          <w:rFonts w:ascii="Times New Roman" w:hAnsi="Times New Roman" w:cs="Times New Roman"/>
          <w:sz w:val="24"/>
          <w:szCs w:val="24"/>
        </w:rPr>
        <w:t xml:space="preserve">Daha önce yapılmış olan çalışmalar </w:t>
      </w:r>
      <w:r w:rsidR="005B35DB">
        <w:rPr>
          <w:rFonts w:ascii="Times New Roman" w:hAnsi="Times New Roman" w:cs="Times New Roman"/>
          <w:sz w:val="24"/>
          <w:szCs w:val="24"/>
        </w:rPr>
        <w:t xml:space="preserve">üçüncü </w:t>
      </w:r>
      <w:r w:rsidR="005B35DB" w:rsidRPr="009218D1">
        <w:rPr>
          <w:rFonts w:ascii="Times New Roman" w:hAnsi="Times New Roman" w:cs="Times New Roman"/>
          <w:sz w:val="24"/>
          <w:szCs w:val="24"/>
        </w:rPr>
        <w:t xml:space="preserve">bölümde anlatılmış olup, </w:t>
      </w:r>
      <w:r w:rsidR="005B35DB" w:rsidRPr="009218D1">
        <w:rPr>
          <w:rFonts w:ascii="Times New Roman" w:hAnsi="Times New Roman" w:cs="Times New Roman"/>
          <w:sz w:val="24"/>
          <w:szCs w:val="24"/>
        </w:rPr>
        <w:lastRenderedPageBreak/>
        <w:t>çalışmada elde edilen sonuçların hangilerini desteklediği ortaya konmuştur.</w:t>
      </w:r>
      <w:r w:rsidR="00DE4D7B">
        <w:rPr>
          <w:rFonts w:ascii="Times New Roman" w:hAnsi="Times New Roman" w:cs="Times New Roman"/>
          <w:sz w:val="24"/>
          <w:szCs w:val="24"/>
        </w:rPr>
        <w:t xml:space="preserve"> </w:t>
      </w:r>
      <w:r w:rsidRPr="009218D1">
        <w:rPr>
          <w:rFonts w:ascii="Times New Roman" w:hAnsi="Times New Roman" w:cs="Times New Roman"/>
          <w:sz w:val="24"/>
          <w:szCs w:val="24"/>
        </w:rPr>
        <w:t xml:space="preserve">Sermaye yapısı teorileri temel alınarak belirlenen açıklayıcı değişkenlerin kaldıraç oranına etkileri </w:t>
      </w:r>
      <w:r w:rsidR="008977C9">
        <w:rPr>
          <w:rFonts w:ascii="Times New Roman" w:hAnsi="Times New Roman" w:cs="Times New Roman"/>
          <w:sz w:val="24"/>
          <w:szCs w:val="24"/>
        </w:rPr>
        <w:t>dördüncü</w:t>
      </w:r>
      <w:r w:rsidRPr="009218D1">
        <w:rPr>
          <w:rFonts w:ascii="Times New Roman" w:hAnsi="Times New Roman" w:cs="Times New Roman"/>
          <w:sz w:val="24"/>
          <w:szCs w:val="24"/>
        </w:rPr>
        <w:t xml:space="preserve"> bölümde açıklanmıştır. Daha önce Türkiye özelinde yapılmış çalışmaların büyük çoğunluğunda firmaların sermaye yapısı kararlarının Finansal Hiyerarşi Teorisine uygun olduğu belirlenmiştir. </w:t>
      </w:r>
    </w:p>
    <w:p w:rsidR="00D65C25" w:rsidRPr="009218D1" w:rsidRDefault="00EB48EB" w:rsidP="00EB48E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2.SERMAYE YAPISI VE FİNANSAL KARARLAR</w:t>
      </w:r>
    </w:p>
    <w:p w:rsidR="00DB6957" w:rsidRPr="009218D1" w:rsidRDefault="006C6DFD"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Çalışmanın </w:t>
      </w:r>
      <w:r w:rsidR="008977C9">
        <w:rPr>
          <w:rFonts w:ascii="Times New Roman" w:hAnsi="Times New Roman" w:cs="Times New Roman"/>
          <w:sz w:val="24"/>
          <w:szCs w:val="24"/>
        </w:rPr>
        <w:t>ikinci</w:t>
      </w:r>
      <w:r w:rsidR="00B87286" w:rsidRPr="009218D1">
        <w:rPr>
          <w:rFonts w:ascii="Times New Roman" w:hAnsi="Times New Roman" w:cs="Times New Roman"/>
          <w:sz w:val="24"/>
          <w:szCs w:val="24"/>
        </w:rPr>
        <w:t xml:space="preserve"> bölümünde sermaye yapısı </w:t>
      </w:r>
      <w:r w:rsidRPr="009218D1">
        <w:rPr>
          <w:rFonts w:ascii="Times New Roman" w:hAnsi="Times New Roman" w:cs="Times New Roman"/>
          <w:sz w:val="24"/>
          <w:szCs w:val="24"/>
        </w:rPr>
        <w:t xml:space="preserve">ve finansal </w:t>
      </w:r>
      <w:r w:rsidR="00B87286" w:rsidRPr="009218D1">
        <w:rPr>
          <w:rFonts w:ascii="Times New Roman" w:hAnsi="Times New Roman" w:cs="Times New Roman"/>
          <w:sz w:val="24"/>
          <w:szCs w:val="24"/>
        </w:rPr>
        <w:t xml:space="preserve">kararlar </w:t>
      </w:r>
      <w:r w:rsidRPr="009218D1">
        <w:rPr>
          <w:rFonts w:ascii="Times New Roman" w:hAnsi="Times New Roman" w:cs="Times New Roman"/>
          <w:sz w:val="24"/>
          <w:szCs w:val="24"/>
        </w:rPr>
        <w:t>ele alınırken</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geçmişten günümüze geliştirilmiş olan teoriler açıklanmıştır</w:t>
      </w:r>
      <w:r w:rsidR="00D53E44" w:rsidRPr="009218D1">
        <w:rPr>
          <w:rFonts w:ascii="Times New Roman" w:hAnsi="Times New Roman" w:cs="Times New Roman"/>
          <w:sz w:val="24"/>
          <w:szCs w:val="24"/>
        </w:rPr>
        <w:t>.</w:t>
      </w:r>
      <w:r w:rsidRPr="009218D1">
        <w:rPr>
          <w:rFonts w:ascii="Times New Roman" w:hAnsi="Times New Roman" w:cs="Times New Roman"/>
          <w:sz w:val="24"/>
          <w:szCs w:val="24"/>
        </w:rPr>
        <w:t xml:space="preserve"> Bu teoriler sırasıyla; Ödünleşme Teorisi</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Hiyerarşi Teorisi</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Bilgi Asimetrisi ve Sinyal Teorisi</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Ters Seçim ve Temsilcilik Teorisidir</w:t>
      </w:r>
      <w:r w:rsidR="00D53E44" w:rsidRPr="009218D1">
        <w:rPr>
          <w:rFonts w:ascii="Times New Roman" w:hAnsi="Times New Roman" w:cs="Times New Roman"/>
          <w:sz w:val="24"/>
          <w:szCs w:val="24"/>
        </w:rPr>
        <w:t>.</w:t>
      </w:r>
    </w:p>
    <w:p w:rsidR="00A979E0" w:rsidRPr="009218D1" w:rsidRDefault="00EB48EB" w:rsidP="00EB48E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2.1.</w:t>
      </w:r>
      <w:r w:rsidR="00A979E0" w:rsidRPr="009218D1">
        <w:rPr>
          <w:rFonts w:ascii="Times New Roman" w:hAnsi="Times New Roman" w:cs="Times New Roman"/>
          <w:b/>
          <w:sz w:val="24"/>
          <w:szCs w:val="24"/>
        </w:rPr>
        <w:t>Ödünleşme Teorisi</w:t>
      </w:r>
    </w:p>
    <w:p w:rsidR="004D397A" w:rsidRPr="009218D1" w:rsidRDefault="00A979E0"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İflas maliyetleri (Myers</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1977) ve temsil maliyetleri (Jensen ve Meckling</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1976)</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Ödünleşme Teorisinin temelini oluşturur</w:t>
      </w:r>
      <w:r w:rsidR="007D205D" w:rsidRPr="009218D1">
        <w:rPr>
          <w:rFonts w:ascii="Times New Roman" w:hAnsi="Times New Roman" w:cs="Times New Roman"/>
          <w:sz w:val="24"/>
          <w:szCs w:val="24"/>
        </w:rPr>
        <w:t>.</w:t>
      </w:r>
      <w:r w:rsidRPr="009218D1">
        <w:rPr>
          <w:rFonts w:ascii="Times New Roman" w:hAnsi="Times New Roman" w:cs="Times New Roman"/>
          <w:sz w:val="24"/>
          <w:szCs w:val="24"/>
        </w:rPr>
        <w:t xml:space="preserve"> Firmalar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ödenen faizin sağlayacağı vergi tasarrufu ile yöneticilerin finansal anlamda disiplin altına alınması avantajına sahiptir (Azhagaiah ve Gavoury</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2011)</w:t>
      </w:r>
      <w:r w:rsidR="007D205D" w:rsidRPr="009218D1">
        <w:rPr>
          <w:rFonts w:ascii="Times New Roman" w:hAnsi="Times New Roman" w:cs="Times New Roman"/>
          <w:sz w:val="24"/>
          <w:szCs w:val="24"/>
        </w:rPr>
        <w:t>.</w:t>
      </w:r>
      <w:r w:rsidRPr="009218D1">
        <w:rPr>
          <w:rFonts w:ascii="Times New Roman" w:hAnsi="Times New Roman" w:cs="Times New Roman"/>
          <w:sz w:val="24"/>
          <w:szCs w:val="24"/>
        </w:rPr>
        <w:t xml:space="preserve"> Ancak </w:t>
      </w:r>
      <w:r w:rsidR="007D205D" w:rsidRPr="009218D1">
        <w:rPr>
          <w:rFonts w:ascii="Times New Roman" w:hAnsi="Times New Roman" w:cs="Times New Roman"/>
          <w:sz w:val="24"/>
          <w:szCs w:val="24"/>
        </w:rPr>
        <w:t xml:space="preserve">bu </w:t>
      </w:r>
      <w:r w:rsidRPr="009218D1">
        <w:rPr>
          <w:rFonts w:ascii="Times New Roman" w:hAnsi="Times New Roman" w:cs="Times New Roman"/>
          <w:sz w:val="24"/>
          <w:szCs w:val="24"/>
        </w:rPr>
        <w:t>avantajının yanı sıra ortaklar ve kredi verenler arasında oluşacak temsil maliyetlerine katlanmak zorundadırlar</w:t>
      </w:r>
      <w:r w:rsidR="007D205D" w:rsidRPr="009218D1">
        <w:rPr>
          <w:rFonts w:ascii="Times New Roman" w:hAnsi="Times New Roman" w:cs="Times New Roman"/>
          <w:sz w:val="24"/>
          <w:szCs w:val="24"/>
        </w:rPr>
        <w:t>.</w:t>
      </w:r>
      <w:r w:rsidRPr="009218D1">
        <w:rPr>
          <w:rFonts w:ascii="Times New Roman" w:hAnsi="Times New Roman" w:cs="Times New Roman"/>
          <w:sz w:val="24"/>
          <w:szCs w:val="24"/>
        </w:rPr>
        <w:t xml:space="preserve"> İşletmelerin borçlanması alınan riskleri artırır ve nakit akış problemine neden olabilir bu nedenle borçlanma ve temsil maliyetleri arasında bir denge kurulması gerekmektedir</w:t>
      </w:r>
      <w:r w:rsidR="007D205D" w:rsidRPr="009218D1">
        <w:rPr>
          <w:rFonts w:ascii="Times New Roman" w:hAnsi="Times New Roman" w:cs="Times New Roman"/>
          <w:sz w:val="24"/>
          <w:szCs w:val="24"/>
        </w:rPr>
        <w:t>.</w:t>
      </w:r>
      <w:r w:rsidRPr="009218D1">
        <w:rPr>
          <w:rFonts w:ascii="Times New Roman" w:hAnsi="Times New Roman" w:cs="Times New Roman"/>
          <w:sz w:val="24"/>
          <w:szCs w:val="24"/>
        </w:rPr>
        <w:t xml:space="preserve"> Myers (1984)</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borcun vergi kalkanı ile iflas maliyeti arasında bir denge noktasında hedef bir borç oranı belirlenmesini</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borçlanmanın faydaları (kurumlar vergisi tasarrufu) ile direkt ve endirekt finansal sıkıntı maliyetlerinin (yöneticiler ile paydaşlar arasında temsilcilik maliyetle</w:t>
      </w:r>
      <w:r w:rsidR="0012030C" w:rsidRPr="009218D1">
        <w:rPr>
          <w:rFonts w:ascii="Times New Roman" w:hAnsi="Times New Roman" w:cs="Times New Roman"/>
          <w:sz w:val="24"/>
          <w:szCs w:val="24"/>
        </w:rPr>
        <w:t>ri gibi) dengelenmesini öngörmüş</w:t>
      </w:r>
      <w:r w:rsidRPr="009218D1">
        <w:rPr>
          <w:rFonts w:ascii="Times New Roman" w:hAnsi="Times New Roman" w:cs="Times New Roman"/>
          <w:sz w:val="24"/>
          <w:szCs w:val="24"/>
        </w:rPr>
        <w:t>tür (G</w:t>
      </w:r>
      <w:r w:rsidR="0012030C" w:rsidRPr="009218D1">
        <w:rPr>
          <w:rFonts w:ascii="Times New Roman" w:hAnsi="Times New Roman" w:cs="Times New Roman"/>
          <w:sz w:val="24"/>
          <w:szCs w:val="24"/>
        </w:rPr>
        <w:t>raham ve Leary</w:t>
      </w:r>
      <w:r w:rsidR="0014351F" w:rsidRPr="009218D1">
        <w:rPr>
          <w:rFonts w:ascii="Times New Roman" w:hAnsi="Times New Roman" w:cs="Times New Roman"/>
          <w:sz w:val="24"/>
          <w:szCs w:val="24"/>
        </w:rPr>
        <w:t xml:space="preserve">, </w:t>
      </w:r>
      <w:r w:rsidR="0012030C" w:rsidRPr="009218D1">
        <w:rPr>
          <w:rFonts w:ascii="Times New Roman" w:hAnsi="Times New Roman" w:cs="Times New Roman"/>
          <w:sz w:val="24"/>
          <w:szCs w:val="24"/>
        </w:rPr>
        <w:t>2011)</w:t>
      </w:r>
      <w:r w:rsidR="007D205D" w:rsidRPr="009218D1">
        <w:rPr>
          <w:rFonts w:ascii="Times New Roman" w:hAnsi="Times New Roman" w:cs="Times New Roman"/>
          <w:sz w:val="24"/>
          <w:szCs w:val="24"/>
        </w:rPr>
        <w:t>.</w:t>
      </w:r>
      <w:r w:rsidR="0012030C" w:rsidRPr="009218D1">
        <w:rPr>
          <w:rFonts w:ascii="Times New Roman" w:hAnsi="Times New Roman" w:cs="Times New Roman"/>
          <w:sz w:val="24"/>
          <w:szCs w:val="24"/>
        </w:rPr>
        <w:t xml:space="preserve"> Optimal </w:t>
      </w:r>
      <w:r w:rsidRPr="009218D1">
        <w:rPr>
          <w:rFonts w:ascii="Times New Roman" w:hAnsi="Times New Roman" w:cs="Times New Roman"/>
          <w:sz w:val="24"/>
          <w:szCs w:val="24"/>
        </w:rPr>
        <w:t xml:space="preserve">nokta olarak ifade edilen bu borçlanma düzeyinde borçlanmanın marjinal maliyeti ile </w:t>
      </w:r>
      <w:r w:rsidR="0012030C" w:rsidRPr="009218D1">
        <w:rPr>
          <w:rFonts w:ascii="Times New Roman" w:hAnsi="Times New Roman" w:cs="Times New Roman"/>
          <w:sz w:val="24"/>
          <w:szCs w:val="24"/>
        </w:rPr>
        <w:t>marjinal faydası birbirine eş</w:t>
      </w:r>
      <w:r w:rsidRPr="009218D1">
        <w:rPr>
          <w:rFonts w:ascii="Times New Roman" w:hAnsi="Times New Roman" w:cs="Times New Roman"/>
          <w:sz w:val="24"/>
          <w:szCs w:val="24"/>
        </w:rPr>
        <w:t>ittir ve firma performansı maksimum noktadadır</w:t>
      </w:r>
      <w:r w:rsidR="007D205D" w:rsidRPr="009218D1">
        <w:rPr>
          <w:rFonts w:ascii="Times New Roman" w:hAnsi="Times New Roman" w:cs="Times New Roman"/>
          <w:sz w:val="24"/>
          <w:szCs w:val="24"/>
        </w:rPr>
        <w:t>.</w:t>
      </w:r>
      <w:r w:rsidRPr="009218D1">
        <w:rPr>
          <w:rFonts w:ascii="Times New Roman" w:hAnsi="Times New Roman" w:cs="Times New Roman"/>
          <w:sz w:val="24"/>
          <w:szCs w:val="24"/>
        </w:rPr>
        <w:t xml:space="preserve"> Optimal noktadan sonra firma borçlanmaya devam ederse borcun vergi avantajı ortadan kalkacak</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sıkıntı ve iflas riski </w:t>
      </w:r>
      <w:r w:rsidR="004D397A" w:rsidRPr="009218D1">
        <w:rPr>
          <w:rFonts w:ascii="Times New Roman" w:hAnsi="Times New Roman" w:cs="Times New Roman"/>
          <w:sz w:val="24"/>
          <w:szCs w:val="24"/>
        </w:rPr>
        <w:t>artacaktır</w:t>
      </w:r>
      <w:r w:rsidR="007D205D" w:rsidRPr="009218D1">
        <w:rPr>
          <w:rFonts w:ascii="Times New Roman" w:hAnsi="Times New Roman" w:cs="Times New Roman"/>
          <w:sz w:val="24"/>
          <w:szCs w:val="24"/>
        </w:rPr>
        <w:t>.</w:t>
      </w:r>
      <w:r w:rsidR="004D397A" w:rsidRPr="009218D1">
        <w:rPr>
          <w:rFonts w:ascii="Times New Roman" w:hAnsi="Times New Roman" w:cs="Times New Roman"/>
          <w:sz w:val="24"/>
          <w:szCs w:val="24"/>
        </w:rPr>
        <w:t xml:space="preserve"> Firmaların sürekli </w:t>
      </w:r>
      <w:r w:rsidRPr="009218D1">
        <w:rPr>
          <w:rFonts w:ascii="Times New Roman" w:hAnsi="Times New Roman" w:cs="Times New Roman"/>
          <w:sz w:val="24"/>
          <w:szCs w:val="24"/>
        </w:rPr>
        <w:t>borçlanamaması ve firmalar için optimal bir borç o</w:t>
      </w:r>
      <w:r w:rsidR="004D397A" w:rsidRPr="009218D1">
        <w:rPr>
          <w:rFonts w:ascii="Times New Roman" w:hAnsi="Times New Roman" w:cs="Times New Roman"/>
          <w:sz w:val="24"/>
          <w:szCs w:val="24"/>
        </w:rPr>
        <w:t xml:space="preserve">ranının olmasının sebebi budur </w:t>
      </w:r>
      <w:r w:rsidRPr="009218D1">
        <w:rPr>
          <w:rFonts w:ascii="Times New Roman" w:hAnsi="Times New Roman" w:cs="Times New Roman"/>
          <w:sz w:val="24"/>
          <w:szCs w:val="24"/>
        </w:rPr>
        <w:t>(Weston ve Brighan</w:t>
      </w:r>
      <w:r w:rsidR="0014351F" w:rsidRPr="009218D1">
        <w:rPr>
          <w:rFonts w:ascii="Times New Roman" w:hAnsi="Times New Roman" w:cs="Times New Roman"/>
          <w:sz w:val="24"/>
          <w:szCs w:val="24"/>
        </w:rPr>
        <w:t>,</w:t>
      </w:r>
      <w:r w:rsidRPr="009218D1">
        <w:rPr>
          <w:rFonts w:ascii="Times New Roman" w:hAnsi="Times New Roman" w:cs="Times New Roman"/>
          <w:sz w:val="24"/>
          <w:szCs w:val="24"/>
        </w:rPr>
        <w:t xml:space="preserve"> 1993)</w:t>
      </w:r>
      <w:r w:rsidR="007D205D" w:rsidRPr="009218D1">
        <w:rPr>
          <w:rFonts w:ascii="Times New Roman" w:hAnsi="Times New Roman" w:cs="Times New Roman"/>
          <w:sz w:val="24"/>
          <w:szCs w:val="24"/>
        </w:rPr>
        <w:t>.</w:t>
      </w:r>
      <w:r w:rsidRPr="009218D1">
        <w:rPr>
          <w:rFonts w:ascii="Times New Roman" w:hAnsi="Times New Roman" w:cs="Times New Roman"/>
          <w:sz w:val="24"/>
          <w:szCs w:val="24"/>
        </w:rPr>
        <w:t xml:space="preserve"> Borçla finansmanın olu</w:t>
      </w:r>
      <w:r w:rsidR="004D397A" w:rsidRPr="009218D1">
        <w:rPr>
          <w:rFonts w:ascii="Times New Roman" w:hAnsi="Times New Roman" w:cs="Times New Roman"/>
          <w:sz w:val="24"/>
          <w:szCs w:val="24"/>
        </w:rPr>
        <w:t xml:space="preserve">msuz sonuçları; iflas riskinin </w:t>
      </w:r>
      <w:r w:rsidRPr="009218D1">
        <w:rPr>
          <w:rFonts w:ascii="Times New Roman" w:hAnsi="Times New Roman" w:cs="Times New Roman"/>
          <w:sz w:val="24"/>
          <w:szCs w:val="24"/>
        </w:rPr>
        <w:t>artmasından do</w:t>
      </w:r>
      <w:r w:rsidR="004D397A" w:rsidRPr="009218D1">
        <w:rPr>
          <w:rFonts w:ascii="Times New Roman" w:hAnsi="Times New Roman" w:cs="Times New Roman"/>
          <w:sz w:val="24"/>
          <w:szCs w:val="24"/>
        </w:rPr>
        <w:t>layı faiz yükünün yükselmesi</w:t>
      </w:r>
      <w:r w:rsidR="00BE3467" w:rsidRPr="009218D1">
        <w:rPr>
          <w:rFonts w:ascii="Times New Roman" w:hAnsi="Times New Roman" w:cs="Times New Roman"/>
          <w:sz w:val="24"/>
          <w:szCs w:val="24"/>
        </w:rPr>
        <w:t>,</w:t>
      </w:r>
      <w:r w:rsidR="004D397A" w:rsidRPr="009218D1">
        <w:rPr>
          <w:rFonts w:ascii="Times New Roman" w:hAnsi="Times New Roman" w:cs="Times New Roman"/>
          <w:sz w:val="24"/>
          <w:szCs w:val="24"/>
        </w:rPr>
        <w:t xml:space="preserve"> işletmenin faiz ve vergi öncesi kârlarının faizleri karş</w:t>
      </w:r>
      <w:r w:rsidRPr="009218D1">
        <w:rPr>
          <w:rFonts w:ascii="Times New Roman" w:hAnsi="Times New Roman" w:cs="Times New Roman"/>
          <w:sz w:val="24"/>
          <w:szCs w:val="24"/>
        </w:rPr>
        <w:t xml:space="preserve">ılamada yetersiz kalması </w:t>
      </w:r>
      <w:r w:rsidR="004D397A" w:rsidRPr="009218D1">
        <w:rPr>
          <w:rFonts w:ascii="Times New Roman" w:hAnsi="Times New Roman" w:cs="Times New Roman"/>
          <w:sz w:val="24"/>
          <w:szCs w:val="24"/>
        </w:rPr>
        <w:t>sonucunda finansal sıkıntı ile karşılaş</w:t>
      </w:r>
      <w:r w:rsidRPr="009218D1">
        <w:rPr>
          <w:rFonts w:ascii="Times New Roman" w:hAnsi="Times New Roman" w:cs="Times New Roman"/>
          <w:sz w:val="24"/>
          <w:szCs w:val="24"/>
        </w:rPr>
        <w:t>ılmasıdır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p>
    <w:p w:rsidR="00A979E0" w:rsidRPr="009218D1" w:rsidRDefault="00BE3467"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Ödünleşme Teorisine göre, m</w:t>
      </w:r>
      <w:r w:rsidR="00A979E0" w:rsidRPr="009218D1">
        <w:rPr>
          <w:rFonts w:ascii="Times New Roman" w:hAnsi="Times New Roman" w:cs="Times New Roman"/>
          <w:sz w:val="24"/>
          <w:szCs w:val="24"/>
        </w:rPr>
        <w:t xml:space="preserve">addi olmayan duran varlıklara </w:t>
      </w:r>
      <w:r w:rsidR="004D397A" w:rsidRPr="009218D1">
        <w:rPr>
          <w:rFonts w:ascii="Times New Roman" w:hAnsi="Times New Roman" w:cs="Times New Roman"/>
          <w:sz w:val="24"/>
          <w:szCs w:val="24"/>
        </w:rPr>
        <w:t>sahip</w:t>
      </w:r>
      <w:r w:rsidRPr="009218D1">
        <w:rPr>
          <w:rFonts w:ascii="Times New Roman" w:hAnsi="Times New Roman" w:cs="Times New Roman"/>
          <w:sz w:val="24"/>
          <w:szCs w:val="24"/>
        </w:rPr>
        <w:t>,</w:t>
      </w:r>
      <w:r w:rsidR="004D397A" w:rsidRPr="009218D1">
        <w:rPr>
          <w:rFonts w:ascii="Times New Roman" w:hAnsi="Times New Roman" w:cs="Times New Roman"/>
          <w:sz w:val="24"/>
          <w:szCs w:val="24"/>
        </w:rPr>
        <w:t xml:space="preserve"> kârlılığı yetersiz olan iş</w:t>
      </w:r>
      <w:r w:rsidR="00A979E0" w:rsidRPr="009218D1">
        <w:rPr>
          <w:rFonts w:ascii="Times New Roman" w:hAnsi="Times New Roman" w:cs="Times New Roman"/>
          <w:sz w:val="24"/>
          <w:szCs w:val="24"/>
        </w:rPr>
        <w:t>letmelerin özsermaye finansmanını tercih etme</w:t>
      </w:r>
      <w:r w:rsidR="004D397A" w:rsidRPr="009218D1">
        <w:rPr>
          <w:rFonts w:ascii="Times New Roman" w:hAnsi="Times New Roman" w:cs="Times New Roman"/>
          <w:sz w:val="24"/>
          <w:szCs w:val="24"/>
        </w:rPr>
        <w:t>leri gerekecektir</w:t>
      </w:r>
      <w:r w:rsidRPr="009218D1">
        <w:rPr>
          <w:rFonts w:ascii="Times New Roman" w:hAnsi="Times New Roman" w:cs="Times New Roman"/>
          <w:sz w:val="24"/>
          <w:szCs w:val="24"/>
        </w:rPr>
        <w:t>.</w:t>
      </w:r>
      <w:r w:rsidR="004D397A" w:rsidRPr="009218D1">
        <w:rPr>
          <w:rFonts w:ascii="Times New Roman" w:hAnsi="Times New Roman" w:cs="Times New Roman"/>
          <w:sz w:val="24"/>
          <w:szCs w:val="24"/>
        </w:rPr>
        <w:t xml:space="preserve"> Maddi duran </w:t>
      </w:r>
      <w:r w:rsidR="00A979E0" w:rsidRPr="009218D1">
        <w:rPr>
          <w:rFonts w:ascii="Times New Roman" w:hAnsi="Times New Roman" w:cs="Times New Roman"/>
          <w:sz w:val="24"/>
          <w:szCs w:val="24"/>
        </w:rPr>
        <w:t>varlıklar il</w:t>
      </w:r>
      <w:r w:rsidR="004D397A" w:rsidRPr="009218D1">
        <w:rPr>
          <w:rFonts w:ascii="Times New Roman" w:hAnsi="Times New Roman" w:cs="Times New Roman"/>
          <w:sz w:val="24"/>
          <w:szCs w:val="24"/>
        </w:rPr>
        <w:t>e kaldıraç arasında pozitif iliş</w:t>
      </w:r>
      <w:r w:rsidR="00A979E0" w:rsidRPr="009218D1">
        <w:rPr>
          <w:rFonts w:ascii="Times New Roman" w:hAnsi="Times New Roman" w:cs="Times New Roman"/>
          <w:sz w:val="24"/>
          <w:szCs w:val="24"/>
        </w:rPr>
        <w:t xml:space="preserve">ki bu </w:t>
      </w:r>
      <w:r w:rsidR="004D397A" w:rsidRPr="009218D1">
        <w:rPr>
          <w:rFonts w:ascii="Times New Roman" w:hAnsi="Times New Roman" w:cs="Times New Roman"/>
          <w:sz w:val="24"/>
          <w:szCs w:val="24"/>
        </w:rPr>
        <w:t xml:space="preserve">şekilde açıklanmaktadır (Graham ve </w:t>
      </w:r>
      <w:r w:rsidR="00A979E0" w:rsidRPr="009218D1">
        <w:rPr>
          <w:rFonts w:ascii="Times New Roman" w:hAnsi="Times New Roman" w:cs="Times New Roman"/>
          <w:sz w:val="24"/>
          <w:szCs w:val="24"/>
        </w:rPr>
        <w:t>Leary</w:t>
      </w:r>
      <w:r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2011)</w:t>
      </w:r>
      <w:r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Borçla finansmanda küçük firmaların büyük</w:t>
      </w:r>
      <w:r w:rsidR="004D397A" w:rsidRPr="009218D1">
        <w:rPr>
          <w:rFonts w:ascii="Times New Roman" w:hAnsi="Times New Roman" w:cs="Times New Roman"/>
          <w:sz w:val="24"/>
          <w:szCs w:val="24"/>
        </w:rPr>
        <w:t xml:space="preserve"> firmalara göre iflas riskleri </w:t>
      </w:r>
      <w:r w:rsidR="00A979E0" w:rsidRPr="009218D1">
        <w:rPr>
          <w:rFonts w:ascii="Times New Roman" w:hAnsi="Times New Roman" w:cs="Times New Roman"/>
          <w:sz w:val="24"/>
          <w:szCs w:val="24"/>
        </w:rPr>
        <w:t>daha fazladır</w:t>
      </w:r>
      <w:r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Bunun nedenlerinden biri büyük firmalar gibi ar</w:t>
      </w:r>
      <w:r w:rsidR="004D397A" w:rsidRPr="009218D1">
        <w:rPr>
          <w:rFonts w:ascii="Times New Roman" w:hAnsi="Times New Roman" w:cs="Times New Roman"/>
          <w:sz w:val="24"/>
          <w:szCs w:val="24"/>
        </w:rPr>
        <w:t>sa</w:t>
      </w:r>
      <w:r w:rsidR="00D66A80" w:rsidRPr="009218D1">
        <w:rPr>
          <w:rFonts w:ascii="Times New Roman" w:hAnsi="Times New Roman" w:cs="Times New Roman"/>
          <w:sz w:val="24"/>
          <w:szCs w:val="24"/>
        </w:rPr>
        <w:t>,</w:t>
      </w:r>
      <w:r w:rsidR="004D397A" w:rsidRPr="009218D1">
        <w:rPr>
          <w:rFonts w:ascii="Times New Roman" w:hAnsi="Times New Roman" w:cs="Times New Roman"/>
          <w:sz w:val="24"/>
          <w:szCs w:val="24"/>
        </w:rPr>
        <w:t xml:space="preserve"> ekipman ya da </w:t>
      </w:r>
      <w:r w:rsidR="00A979E0" w:rsidRPr="009218D1">
        <w:rPr>
          <w:rFonts w:ascii="Times New Roman" w:hAnsi="Times New Roman" w:cs="Times New Roman"/>
          <w:sz w:val="24"/>
          <w:szCs w:val="24"/>
        </w:rPr>
        <w:t>diğer duran varlıklara çok fazla yatırım yapmamı</w:t>
      </w:r>
      <w:r w:rsidR="004D397A" w:rsidRPr="009218D1">
        <w:rPr>
          <w:rFonts w:ascii="Times New Roman" w:hAnsi="Times New Roman" w:cs="Times New Roman"/>
          <w:sz w:val="24"/>
          <w:szCs w:val="24"/>
        </w:rPr>
        <w:t>ş olmalarıdır</w:t>
      </w:r>
      <w:r w:rsidRPr="009218D1">
        <w:rPr>
          <w:rFonts w:ascii="Times New Roman" w:hAnsi="Times New Roman" w:cs="Times New Roman"/>
          <w:sz w:val="24"/>
          <w:szCs w:val="24"/>
        </w:rPr>
        <w:t>.</w:t>
      </w:r>
      <w:r w:rsidR="004D397A" w:rsidRPr="009218D1">
        <w:rPr>
          <w:rFonts w:ascii="Times New Roman" w:hAnsi="Times New Roman" w:cs="Times New Roman"/>
          <w:sz w:val="24"/>
          <w:szCs w:val="24"/>
        </w:rPr>
        <w:t xml:space="preserve"> </w:t>
      </w:r>
      <w:r w:rsidR="00A979E0" w:rsidRPr="009218D1">
        <w:rPr>
          <w:rFonts w:ascii="Times New Roman" w:hAnsi="Times New Roman" w:cs="Times New Roman"/>
          <w:sz w:val="24"/>
          <w:szCs w:val="24"/>
        </w:rPr>
        <w:t>Vergi ise büyük firmalar için</w:t>
      </w:r>
      <w:r w:rsidR="00EC5E07" w:rsidRPr="009218D1">
        <w:rPr>
          <w:rFonts w:ascii="Times New Roman" w:hAnsi="Times New Roman" w:cs="Times New Roman"/>
          <w:sz w:val="24"/>
          <w:szCs w:val="24"/>
        </w:rPr>
        <w:t xml:space="preserve"> kaldıraç oranı ile pozitif ilişkilidir ancak küçük firmalar için kaldıraç </w:t>
      </w:r>
      <w:r w:rsidRPr="009218D1">
        <w:rPr>
          <w:rFonts w:ascii="Times New Roman" w:hAnsi="Times New Roman" w:cs="Times New Roman"/>
          <w:sz w:val="24"/>
          <w:szCs w:val="24"/>
        </w:rPr>
        <w:t xml:space="preserve">oranı </w:t>
      </w:r>
      <w:r w:rsidR="00EC5E07" w:rsidRPr="009218D1">
        <w:rPr>
          <w:rFonts w:ascii="Times New Roman" w:hAnsi="Times New Roman" w:cs="Times New Roman"/>
          <w:sz w:val="24"/>
          <w:szCs w:val="24"/>
        </w:rPr>
        <w:t>ile iliş</w:t>
      </w:r>
      <w:r w:rsidR="00A979E0" w:rsidRPr="009218D1">
        <w:rPr>
          <w:rFonts w:ascii="Times New Roman" w:hAnsi="Times New Roman" w:cs="Times New Roman"/>
          <w:sz w:val="24"/>
          <w:szCs w:val="24"/>
        </w:rPr>
        <w:t>kisizdir (Bas vd</w:t>
      </w:r>
      <w:r w:rsidRPr="009218D1">
        <w:rPr>
          <w:rFonts w:ascii="Times New Roman" w:hAnsi="Times New Roman" w:cs="Times New Roman"/>
          <w:sz w:val="24"/>
          <w:szCs w:val="24"/>
        </w:rPr>
        <w:t>.</w:t>
      </w:r>
      <w:r w:rsidR="00D66A80"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2009)</w:t>
      </w:r>
      <w:r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Bunun nedenlerinden biri</w:t>
      </w:r>
      <w:r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yüksek kârlılığın beklenen finansal sıkıntı maliyetlerini az</w:t>
      </w:r>
      <w:r w:rsidR="00EC5E07" w:rsidRPr="009218D1">
        <w:rPr>
          <w:rFonts w:ascii="Times New Roman" w:hAnsi="Times New Roman" w:cs="Times New Roman"/>
          <w:sz w:val="24"/>
          <w:szCs w:val="24"/>
        </w:rPr>
        <w:t xml:space="preserve">altması ve firmaların kaldıraç </w:t>
      </w:r>
      <w:r w:rsidR="00A979E0" w:rsidRPr="009218D1">
        <w:rPr>
          <w:rFonts w:ascii="Times New Roman" w:hAnsi="Times New Roman" w:cs="Times New Roman"/>
          <w:sz w:val="24"/>
          <w:szCs w:val="24"/>
        </w:rPr>
        <w:t xml:space="preserve">oranlarını artırarak vergi avantajından daha fazla </w:t>
      </w:r>
      <w:r w:rsidR="00185AEC" w:rsidRPr="009218D1">
        <w:rPr>
          <w:rFonts w:ascii="Times New Roman" w:hAnsi="Times New Roman" w:cs="Times New Roman"/>
          <w:sz w:val="24"/>
          <w:szCs w:val="24"/>
        </w:rPr>
        <w:t>yararlanmalarını sağlamasıdır</w:t>
      </w:r>
      <w:r w:rsidRPr="009218D1">
        <w:rPr>
          <w:rFonts w:ascii="Times New Roman" w:hAnsi="Times New Roman" w:cs="Times New Roman"/>
          <w:sz w:val="24"/>
          <w:szCs w:val="24"/>
        </w:rPr>
        <w:t>.</w:t>
      </w:r>
      <w:r w:rsidR="00185AEC" w:rsidRPr="009218D1">
        <w:rPr>
          <w:rFonts w:ascii="Times New Roman" w:hAnsi="Times New Roman" w:cs="Times New Roman"/>
          <w:sz w:val="24"/>
          <w:szCs w:val="24"/>
        </w:rPr>
        <w:t xml:space="preserve"> </w:t>
      </w:r>
      <w:r w:rsidR="00A979E0" w:rsidRPr="009218D1">
        <w:rPr>
          <w:rFonts w:ascii="Times New Roman" w:hAnsi="Times New Roman" w:cs="Times New Roman"/>
          <w:sz w:val="24"/>
          <w:szCs w:val="24"/>
        </w:rPr>
        <w:t>Borcun vergi avantajı yüksek kâr sağlayan büyük firma</w:t>
      </w:r>
      <w:r w:rsidR="00185AEC" w:rsidRPr="009218D1">
        <w:rPr>
          <w:rFonts w:ascii="Times New Roman" w:hAnsi="Times New Roman" w:cs="Times New Roman"/>
          <w:sz w:val="24"/>
          <w:szCs w:val="24"/>
        </w:rPr>
        <w:t>lar için avantajlı iken</w:t>
      </w:r>
      <w:r w:rsidRPr="009218D1">
        <w:rPr>
          <w:rFonts w:ascii="Times New Roman" w:hAnsi="Times New Roman" w:cs="Times New Roman"/>
          <w:sz w:val="24"/>
          <w:szCs w:val="24"/>
        </w:rPr>
        <w:t>,</w:t>
      </w:r>
      <w:r w:rsidR="00185AEC" w:rsidRPr="009218D1">
        <w:rPr>
          <w:rFonts w:ascii="Times New Roman" w:hAnsi="Times New Roman" w:cs="Times New Roman"/>
          <w:sz w:val="24"/>
          <w:szCs w:val="24"/>
        </w:rPr>
        <w:t xml:space="preserve"> küçük </w:t>
      </w:r>
      <w:r w:rsidR="00A979E0" w:rsidRPr="009218D1">
        <w:rPr>
          <w:rFonts w:ascii="Times New Roman" w:hAnsi="Times New Roman" w:cs="Times New Roman"/>
          <w:sz w:val="24"/>
          <w:szCs w:val="24"/>
        </w:rPr>
        <w:t>firmalar</w:t>
      </w:r>
      <w:r w:rsidR="00783CE5" w:rsidRPr="009218D1">
        <w:rPr>
          <w:rFonts w:ascii="Times New Roman" w:hAnsi="Times New Roman" w:cs="Times New Roman"/>
          <w:sz w:val="24"/>
          <w:szCs w:val="24"/>
        </w:rPr>
        <w:t xml:space="preserve">ın </w:t>
      </w:r>
      <w:r w:rsidR="00A979E0" w:rsidRPr="009218D1">
        <w:rPr>
          <w:rFonts w:ascii="Times New Roman" w:hAnsi="Times New Roman" w:cs="Times New Roman"/>
          <w:sz w:val="24"/>
          <w:szCs w:val="24"/>
        </w:rPr>
        <w:t>kârlı</w:t>
      </w:r>
      <w:r w:rsidR="00783CE5" w:rsidRPr="009218D1">
        <w:rPr>
          <w:rFonts w:ascii="Times New Roman" w:hAnsi="Times New Roman" w:cs="Times New Roman"/>
          <w:sz w:val="24"/>
          <w:szCs w:val="24"/>
        </w:rPr>
        <w:t>lık düzeyleri düşük</w:t>
      </w:r>
      <w:r w:rsidR="00A979E0" w:rsidRPr="009218D1">
        <w:rPr>
          <w:rFonts w:ascii="Times New Roman" w:hAnsi="Times New Roman" w:cs="Times New Roman"/>
          <w:sz w:val="24"/>
          <w:szCs w:val="24"/>
        </w:rPr>
        <w:t xml:space="preserve"> oldu</w:t>
      </w:r>
      <w:r w:rsidR="00783CE5" w:rsidRPr="009218D1">
        <w:rPr>
          <w:rFonts w:ascii="Times New Roman" w:hAnsi="Times New Roman" w:cs="Times New Roman"/>
          <w:sz w:val="24"/>
          <w:szCs w:val="24"/>
        </w:rPr>
        <w:t>ğun</w:t>
      </w:r>
      <w:r w:rsidR="00A979E0" w:rsidRPr="009218D1">
        <w:rPr>
          <w:rFonts w:ascii="Times New Roman" w:hAnsi="Times New Roman" w:cs="Times New Roman"/>
          <w:sz w:val="24"/>
          <w:szCs w:val="24"/>
        </w:rPr>
        <w:t>dan vergi avantaj</w:t>
      </w:r>
      <w:r w:rsidR="00185AEC" w:rsidRPr="009218D1">
        <w:rPr>
          <w:rFonts w:ascii="Times New Roman" w:hAnsi="Times New Roman" w:cs="Times New Roman"/>
          <w:sz w:val="24"/>
          <w:szCs w:val="24"/>
        </w:rPr>
        <w:t xml:space="preserve">ı </w:t>
      </w:r>
      <w:r w:rsidR="00783CE5" w:rsidRPr="009218D1">
        <w:rPr>
          <w:rFonts w:ascii="Times New Roman" w:hAnsi="Times New Roman" w:cs="Times New Roman"/>
          <w:sz w:val="24"/>
          <w:szCs w:val="24"/>
        </w:rPr>
        <w:t xml:space="preserve">onlar için </w:t>
      </w:r>
      <w:r w:rsidR="00185AEC" w:rsidRPr="009218D1">
        <w:rPr>
          <w:rFonts w:ascii="Times New Roman" w:hAnsi="Times New Roman" w:cs="Times New Roman"/>
          <w:sz w:val="24"/>
          <w:szCs w:val="24"/>
        </w:rPr>
        <w:t xml:space="preserve">uygun olmayacaktır (Petit ve </w:t>
      </w:r>
      <w:r w:rsidR="00A979E0" w:rsidRPr="009218D1">
        <w:rPr>
          <w:rFonts w:ascii="Times New Roman" w:hAnsi="Times New Roman" w:cs="Times New Roman"/>
          <w:sz w:val="24"/>
          <w:szCs w:val="24"/>
        </w:rPr>
        <w:t>Singer</w:t>
      </w:r>
      <w:r w:rsidR="0014351F"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1985)</w:t>
      </w:r>
      <w:r w:rsidRPr="009218D1">
        <w:rPr>
          <w:rFonts w:ascii="Times New Roman" w:hAnsi="Times New Roman" w:cs="Times New Roman"/>
          <w:sz w:val="24"/>
          <w:szCs w:val="24"/>
        </w:rPr>
        <w:t>.</w:t>
      </w:r>
      <w:r w:rsidR="00A979E0" w:rsidRPr="009218D1">
        <w:rPr>
          <w:rFonts w:ascii="Times New Roman" w:hAnsi="Times New Roman" w:cs="Times New Roman"/>
          <w:sz w:val="24"/>
          <w:szCs w:val="24"/>
        </w:rPr>
        <w:t xml:space="preserve"> </w:t>
      </w:r>
    </w:p>
    <w:p w:rsidR="00F45856" w:rsidRPr="009218D1" w:rsidRDefault="00F45856" w:rsidP="00F45856">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Wet ve Gossel (2016), Güney Afrika’da firmaların sermaye yapısı kararlarını inceledikleri çalışmalarında JSE Johannesburg Borsası’nda hisse senetleri işlem gören 253 firmanın finans yöneticilerine anket uygulamışlardır. Ankette cevap aradıkları sorular sırasıyla; sermaye yapısı kararlarını hangi faktörlerin etkilediği, teorilere uygun davranış sergileyip sergilemedikleri ve elde edilen sonuçların uluslararası çalışmalarla ne kadar yakın olduğudur. Yazarlara göre; Güney Afrika’da finans yöneticileri sermaye piyasalarının imkânlarından diğer gelişmekte olan ülkelere göre daha kolay faydalanmaktadır. Bunun neticesi olarak da </w:t>
      </w:r>
      <w:r w:rsidRPr="009218D1">
        <w:rPr>
          <w:rFonts w:ascii="Times New Roman" w:hAnsi="Times New Roman" w:cs="Times New Roman"/>
          <w:sz w:val="24"/>
          <w:szCs w:val="24"/>
        </w:rPr>
        <w:lastRenderedPageBreak/>
        <w:t>sermaye yapısı kararları gelişmiş ülkelerinkine benzemektedir ve firmaların davranışları Ödünleşme Teorisini desteklemektedir. Firmaların mevcut borç oranları yaklaşık %30 bulunmuştur ve elde edilen sonuç Güney Afrika’lı firmaların dünya geneline göre düşük borç oranına sahip olduğu görüşünü desteklemektedir.</w:t>
      </w:r>
    </w:p>
    <w:p w:rsidR="00F45856" w:rsidRPr="009218D1" w:rsidRDefault="00F45856" w:rsidP="00F45856">
      <w:pPr>
        <w:autoSpaceDE w:val="0"/>
        <w:autoSpaceDN w:val="0"/>
        <w:adjustRightInd w:val="0"/>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DeAngelo ve Roll (2015), yaptıkları çalışmada sermaye yapısında istikrarın sürdürülüp sürdürülmediğini araştırmışlardır. Çalışmanın bulgularına göre; çoğu firma farklı zamanlarda farklı kaldıraç oranlarına sahiptir ancak çok azının kaldıraç oranı (toplam borç/toplam varlık) sürekli olarak 0,5’in üzerindedir. Sermaye yapısı istikrarının istisnai bir durum olduğu ve düşük kaldıraç oranlarında görüldüğü tespit edilmiştir. Yazarlara göre; sektör medyan kaldıraç oranları zaman içinde değişmektedir. Hedef kaldıraç modellerinin belli bir oranı sürdürmeye katkısı yoktur. </w:t>
      </w:r>
    </w:p>
    <w:p w:rsidR="00F45856" w:rsidRPr="009218D1" w:rsidRDefault="00F45856" w:rsidP="00F45856">
      <w:pPr>
        <w:autoSpaceDE w:val="0"/>
        <w:autoSpaceDN w:val="0"/>
        <w:adjustRightInd w:val="0"/>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Zaheer vd. (2011), 2003-2008 yılları arasında Pakistan’da tekstil sektöründeki 172 firmada sermaye yapısı bileşenlerini analiz etmişlerdir. Analiz sonucunda; firma büyüklüğü ve varlık yapısının tekstil sektöründe sermaye yapısına pozitif etkisi olduğu ortaya çıkmıştır. Büyük ve teminat gösterilebilecek varlık sayısı fazla olan firmalar işletme faaliyetlerinin sürekliliğini bozmadan riski azaltarak daha fazla borçlanabilmektedirler. </w:t>
      </w:r>
    </w:p>
    <w:p w:rsidR="0090095E" w:rsidRPr="009218D1" w:rsidRDefault="00EB48EB" w:rsidP="00EB48E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2.2.</w:t>
      </w:r>
      <w:r w:rsidR="0090095E" w:rsidRPr="009218D1">
        <w:rPr>
          <w:rFonts w:ascii="Times New Roman" w:hAnsi="Times New Roman" w:cs="Times New Roman"/>
          <w:b/>
          <w:sz w:val="24"/>
          <w:szCs w:val="24"/>
        </w:rPr>
        <w:t>Finansal Hiyerarşi Teorisi</w:t>
      </w:r>
    </w:p>
    <w:p w:rsidR="0090095E" w:rsidRPr="009218D1" w:rsidRDefault="009D7D9A"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Myers ve Majluf (1984) tarafından ortaya konan </w:t>
      </w:r>
      <w:r w:rsidR="00AF3B1A" w:rsidRPr="009218D1">
        <w:rPr>
          <w:rFonts w:ascii="Times New Roman" w:hAnsi="Times New Roman" w:cs="Times New Roman"/>
          <w:sz w:val="24"/>
          <w:szCs w:val="24"/>
        </w:rPr>
        <w:t xml:space="preserve">Finansal Hiyerarşi Teorisine </w:t>
      </w:r>
      <w:r w:rsidRPr="009218D1">
        <w:rPr>
          <w:rFonts w:ascii="Times New Roman" w:hAnsi="Times New Roman" w:cs="Times New Roman"/>
          <w:sz w:val="24"/>
          <w:szCs w:val="24"/>
        </w:rPr>
        <w:t xml:space="preserve">göre; firmanın borç düzeyi daha önceden belirlenmiş bir hedef </w:t>
      </w:r>
      <w:r w:rsidR="00AF3B1A" w:rsidRPr="009218D1">
        <w:rPr>
          <w:rFonts w:ascii="Times New Roman" w:hAnsi="Times New Roman" w:cs="Times New Roman"/>
          <w:sz w:val="24"/>
          <w:szCs w:val="24"/>
        </w:rPr>
        <w:t>borç oranına</w:t>
      </w:r>
      <w:r w:rsidRPr="009218D1">
        <w:rPr>
          <w:rFonts w:ascii="Times New Roman" w:hAnsi="Times New Roman" w:cs="Times New Roman"/>
          <w:sz w:val="24"/>
          <w:szCs w:val="24"/>
        </w:rPr>
        <w:t xml:space="preserve"> bağlı değildir ve alıkonan kârlar ile yatırımlar arasındaki farka göre </w:t>
      </w:r>
      <w:r w:rsidR="00AF3B1A" w:rsidRPr="009218D1">
        <w:rPr>
          <w:rFonts w:ascii="Times New Roman" w:hAnsi="Times New Roman" w:cs="Times New Roman"/>
          <w:sz w:val="24"/>
          <w:szCs w:val="24"/>
        </w:rPr>
        <w:t>şekillenmektedir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w:t>
      </w:r>
      <w:r w:rsidR="00AF3B1A" w:rsidRPr="009218D1">
        <w:rPr>
          <w:rFonts w:ascii="Times New Roman" w:hAnsi="Times New Roman" w:cs="Times New Roman"/>
          <w:sz w:val="24"/>
          <w:szCs w:val="24"/>
        </w:rPr>
        <w:t xml:space="preserve">Hiyerarşi Teorisine </w:t>
      </w:r>
      <w:r w:rsidRPr="009218D1">
        <w:rPr>
          <w:rFonts w:ascii="Times New Roman" w:hAnsi="Times New Roman" w:cs="Times New Roman"/>
          <w:sz w:val="24"/>
          <w:szCs w:val="24"/>
        </w:rPr>
        <w:t xml:space="preserve">göre; firmalar öncelikle </w:t>
      </w:r>
      <w:r w:rsidR="00AF3B1A" w:rsidRPr="009218D1">
        <w:rPr>
          <w:rFonts w:ascii="Times New Roman" w:hAnsi="Times New Roman" w:cs="Times New Roman"/>
          <w:sz w:val="24"/>
          <w:szCs w:val="24"/>
        </w:rPr>
        <w:t xml:space="preserve">iç fonları tercih ederler, daha sonra sırasıyla borçlanmayı, </w:t>
      </w:r>
      <w:r w:rsidRPr="009218D1">
        <w:rPr>
          <w:rFonts w:ascii="Times New Roman" w:hAnsi="Times New Roman" w:cs="Times New Roman"/>
          <w:sz w:val="24"/>
          <w:szCs w:val="24"/>
        </w:rPr>
        <w:t>hisse</w:t>
      </w:r>
      <w:r w:rsidR="00AF3B1A" w:rsidRPr="009218D1">
        <w:rPr>
          <w:rFonts w:ascii="Times New Roman" w:hAnsi="Times New Roman" w:cs="Times New Roman"/>
          <w:sz w:val="24"/>
          <w:szCs w:val="24"/>
        </w:rPr>
        <w:t xml:space="preserve"> senedine</w:t>
      </w:r>
      <w:r w:rsidRPr="009218D1">
        <w:rPr>
          <w:rFonts w:ascii="Times New Roman" w:hAnsi="Times New Roman" w:cs="Times New Roman"/>
          <w:sz w:val="24"/>
          <w:szCs w:val="24"/>
        </w:rPr>
        <w:t xml:space="preserve"> dönüştürülebilir bonolar gibi karma menkul kıymetler</w:t>
      </w:r>
      <w:r w:rsidR="00AF3B1A" w:rsidRPr="009218D1">
        <w:rPr>
          <w:rFonts w:ascii="Times New Roman" w:hAnsi="Times New Roman" w:cs="Times New Roman"/>
          <w:sz w:val="24"/>
          <w:szCs w:val="24"/>
        </w:rPr>
        <w:t>i</w:t>
      </w:r>
      <w:r w:rsidRPr="009218D1">
        <w:rPr>
          <w:rFonts w:ascii="Times New Roman" w:hAnsi="Times New Roman" w:cs="Times New Roman"/>
          <w:sz w:val="24"/>
          <w:szCs w:val="24"/>
        </w:rPr>
        <w:t xml:space="preserve"> ve en son hisse senedi ihracın</w:t>
      </w:r>
      <w:r w:rsidR="00AF3B1A" w:rsidRPr="009218D1">
        <w:rPr>
          <w:rFonts w:ascii="Times New Roman" w:hAnsi="Times New Roman" w:cs="Times New Roman"/>
          <w:sz w:val="24"/>
          <w:szCs w:val="24"/>
        </w:rPr>
        <w:t>ı tercih ederler.</w:t>
      </w:r>
      <w:r w:rsidRPr="009218D1">
        <w:rPr>
          <w:rFonts w:ascii="Times New Roman" w:hAnsi="Times New Roman" w:cs="Times New Roman"/>
          <w:sz w:val="24"/>
          <w:szCs w:val="24"/>
        </w:rPr>
        <w:t xml:space="preserve"> Bu şekilde davranarak finans</w:t>
      </w:r>
      <w:r w:rsidR="00365E26" w:rsidRPr="009218D1">
        <w:rPr>
          <w:rFonts w:ascii="Times New Roman" w:hAnsi="Times New Roman" w:cs="Times New Roman"/>
          <w:sz w:val="24"/>
          <w:szCs w:val="24"/>
        </w:rPr>
        <w:t>al hiyerarşiyi</w:t>
      </w:r>
      <w:r w:rsidRPr="009218D1">
        <w:rPr>
          <w:rFonts w:ascii="Times New Roman" w:hAnsi="Times New Roman" w:cs="Times New Roman"/>
          <w:sz w:val="24"/>
          <w:szCs w:val="24"/>
        </w:rPr>
        <w:t xml:space="preserve"> takip ederler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İşletmeler hedef kâr payı oranlarını yatırım fırsatlarına göre belirlerler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Hiyerarşi Teorisine göre uzun dönem de bile işletmeler hisse senedi ihraç etmekten kaçınırlar (Myers</w:t>
      </w:r>
      <w:r w:rsidR="007B5533" w:rsidRPr="009218D1">
        <w:rPr>
          <w:rFonts w:ascii="Times New Roman" w:hAnsi="Times New Roman" w:cs="Times New Roman"/>
          <w:sz w:val="24"/>
          <w:szCs w:val="24"/>
        </w:rPr>
        <w:t>,</w:t>
      </w:r>
      <w:r w:rsidRPr="009218D1">
        <w:rPr>
          <w:rFonts w:ascii="Times New Roman" w:hAnsi="Times New Roman" w:cs="Times New Roman"/>
          <w:sz w:val="24"/>
          <w:szCs w:val="24"/>
        </w:rPr>
        <w:t xml:space="preserve"> 1984; Aktaran: Terim ve Kayalı</w:t>
      </w:r>
      <w:r w:rsidR="007B4CA3" w:rsidRPr="009218D1">
        <w:rPr>
          <w:rFonts w:ascii="Times New Roman" w:hAnsi="Times New Roman" w:cs="Times New Roman"/>
          <w:sz w:val="24"/>
          <w:szCs w:val="24"/>
        </w:rPr>
        <w:t xml:space="preserve">, </w:t>
      </w:r>
      <w:r w:rsidRPr="009218D1">
        <w:rPr>
          <w:rFonts w:ascii="Times New Roman" w:hAnsi="Times New Roman" w:cs="Times New Roman"/>
          <w:sz w:val="24"/>
          <w:szCs w:val="24"/>
        </w:rPr>
        <w:t>2009)</w:t>
      </w:r>
      <w:r w:rsidR="00BE3467" w:rsidRPr="009218D1">
        <w:rPr>
          <w:rFonts w:ascii="Times New Roman" w:hAnsi="Times New Roman" w:cs="Times New Roman"/>
          <w:sz w:val="24"/>
          <w:szCs w:val="24"/>
        </w:rPr>
        <w:t>.</w:t>
      </w:r>
    </w:p>
    <w:p w:rsidR="00085311" w:rsidRPr="009218D1" w:rsidRDefault="00085311"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Finansal Hiyerarşi Teorisi işlem maliyetleri unsurunu da dikkate almaktadır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İşlem maliyetleri; sermaye yapısında dış finansman kaynakları önemli bir paya sahipse önem arz etmektedir</w:t>
      </w:r>
      <w:r w:rsidR="00BE3467" w:rsidRPr="009218D1">
        <w:rPr>
          <w:rFonts w:ascii="Times New Roman" w:hAnsi="Times New Roman" w:cs="Times New Roman"/>
          <w:sz w:val="24"/>
          <w:szCs w:val="24"/>
        </w:rPr>
        <w:t>.</w:t>
      </w:r>
      <w:r w:rsidR="00525228" w:rsidRPr="009218D1">
        <w:rPr>
          <w:rFonts w:ascii="Times New Roman" w:hAnsi="Times New Roman" w:cs="Times New Roman"/>
          <w:sz w:val="24"/>
          <w:szCs w:val="24"/>
        </w:rPr>
        <w:t xml:space="preserve"> Finans</w:t>
      </w:r>
      <w:r w:rsidRPr="009218D1">
        <w:rPr>
          <w:rFonts w:ascii="Times New Roman" w:hAnsi="Times New Roman" w:cs="Times New Roman"/>
          <w:sz w:val="24"/>
          <w:szCs w:val="24"/>
        </w:rPr>
        <w:t>a</w:t>
      </w:r>
      <w:r w:rsidR="00525228" w:rsidRPr="009218D1">
        <w:rPr>
          <w:rFonts w:ascii="Times New Roman" w:hAnsi="Times New Roman" w:cs="Times New Roman"/>
          <w:sz w:val="24"/>
          <w:szCs w:val="24"/>
        </w:rPr>
        <w:t>l hiyerarşid</w:t>
      </w:r>
      <w:r w:rsidRPr="009218D1">
        <w:rPr>
          <w:rFonts w:ascii="Times New Roman" w:hAnsi="Times New Roman" w:cs="Times New Roman"/>
          <w:sz w:val="24"/>
          <w:szCs w:val="24"/>
        </w:rPr>
        <w:t>e borçla finansmanın hisse senedi ihracına tercih edilme nedenlerinden biri de işlem maliyetlerinin yeni hisse senedi ihracından daha düşük olmasıdır (Karadeniz vd</w:t>
      </w:r>
      <w:r w:rsidR="00BE3467" w:rsidRPr="009218D1">
        <w:rPr>
          <w:rFonts w:ascii="Times New Roman" w:hAnsi="Times New Roman" w:cs="Times New Roman"/>
          <w:sz w:val="24"/>
          <w:szCs w:val="24"/>
        </w:rPr>
        <w:t>.</w:t>
      </w:r>
      <w:r w:rsidR="007B4CA3" w:rsidRPr="009218D1">
        <w:rPr>
          <w:rFonts w:ascii="Times New Roman" w:hAnsi="Times New Roman" w:cs="Times New Roman"/>
          <w:sz w:val="24"/>
          <w:szCs w:val="24"/>
        </w:rPr>
        <w:t>,</w:t>
      </w:r>
      <w:r w:rsidRPr="009218D1">
        <w:rPr>
          <w:rFonts w:ascii="Times New Roman" w:hAnsi="Times New Roman" w:cs="Times New Roman"/>
          <w:sz w:val="24"/>
          <w:szCs w:val="24"/>
        </w:rPr>
        <w:t xml:space="preserve"> 2009)</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p>
    <w:p w:rsidR="000C6231" w:rsidRPr="009218D1" w:rsidRDefault="000C6231"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İşletme hakkında yöneticiler kadar bilgi sahibi olmayan yatırımcılar</w:t>
      </w:r>
      <w:r w:rsidR="007B4CA3" w:rsidRPr="009218D1">
        <w:rPr>
          <w:rFonts w:ascii="Times New Roman" w:hAnsi="Times New Roman" w:cs="Times New Roman"/>
          <w:sz w:val="24"/>
          <w:szCs w:val="24"/>
        </w:rPr>
        <w:t>,</w:t>
      </w:r>
      <w:r w:rsidRPr="009218D1">
        <w:rPr>
          <w:rFonts w:ascii="Times New Roman" w:hAnsi="Times New Roman" w:cs="Times New Roman"/>
          <w:sz w:val="24"/>
          <w:szCs w:val="24"/>
        </w:rPr>
        <w:t xml:space="preserve"> yöneticilerin ancak pay senetleri aşırı değerlendiğinde pay senedi çıkaracaklarını veya pay senedi çıkarım zamanını bu şekilde ayarlamaya çalışacaklarını varsayarlar ve yeni pay senedine düşük fiyat verirler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Bundan dolayı işletmeler iyi yatırım projelerini değerlendirebilmek amacıyla nakit şeklinde hazır rezerv oluşturmaya çalışır ve yatırımları iç fonlarla gerçekleştirirler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Yatırımcılar işletme borç kapasitesini tüketene kadar bekleyecek ve öyle pay senedi alacaktır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Diğer bir değişle</w:t>
      </w:r>
      <w:r w:rsidR="007B4CA3" w:rsidRPr="009218D1">
        <w:rPr>
          <w:rFonts w:ascii="Times New Roman" w:hAnsi="Times New Roman" w:cs="Times New Roman"/>
          <w:sz w:val="24"/>
          <w:szCs w:val="24"/>
        </w:rPr>
        <w:t>,</w:t>
      </w:r>
      <w:r w:rsidRPr="009218D1">
        <w:rPr>
          <w:rFonts w:ascii="Times New Roman" w:hAnsi="Times New Roman" w:cs="Times New Roman"/>
          <w:sz w:val="24"/>
          <w:szCs w:val="24"/>
        </w:rPr>
        <w:t xml:space="preserve"> yatırımcılar işletmeyi hiyerarşiyi takip etmeye zorlayacaklardır (Okuyan ve Ta</w:t>
      </w:r>
      <w:r w:rsidR="007D3264" w:rsidRPr="009218D1">
        <w:rPr>
          <w:rFonts w:ascii="Times New Roman" w:hAnsi="Times New Roman" w:cs="Times New Roman"/>
          <w:sz w:val="24"/>
          <w:szCs w:val="24"/>
        </w:rPr>
        <w:t>ş</w:t>
      </w:r>
      <w:r w:rsidRPr="009218D1">
        <w:rPr>
          <w:rFonts w:ascii="Times New Roman" w:hAnsi="Times New Roman" w:cs="Times New Roman"/>
          <w:sz w:val="24"/>
          <w:szCs w:val="24"/>
        </w:rPr>
        <w:t>çı</w:t>
      </w:r>
      <w:r w:rsidR="0024789A" w:rsidRPr="009218D1">
        <w:rPr>
          <w:rFonts w:ascii="Times New Roman" w:hAnsi="Times New Roman" w:cs="Times New Roman"/>
          <w:sz w:val="24"/>
          <w:szCs w:val="24"/>
        </w:rPr>
        <w:t>,</w:t>
      </w:r>
      <w:r w:rsidRPr="009218D1">
        <w:rPr>
          <w:rFonts w:ascii="Times New Roman" w:hAnsi="Times New Roman" w:cs="Times New Roman"/>
          <w:sz w:val="24"/>
          <w:szCs w:val="24"/>
        </w:rPr>
        <w:t xml:space="preserve"> 2009)</w:t>
      </w:r>
      <w:r w:rsidR="00BE3467" w:rsidRPr="009218D1">
        <w:rPr>
          <w:rFonts w:ascii="Times New Roman" w:hAnsi="Times New Roman" w:cs="Times New Roman"/>
          <w:sz w:val="24"/>
          <w:szCs w:val="24"/>
        </w:rPr>
        <w:t>.</w:t>
      </w:r>
    </w:p>
    <w:p w:rsidR="007D3264" w:rsidRPr="009218D1" w:rsidRDefault="007D3264"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Küçük firmalar bilgi asimetrisi nedeniyle yaşadıkları maliyetlerden dolayı öncelikle iç fonlamayı tercih edebilirler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24789A" w:rsidRPr="009218D1">
        <w:rPr>
          <w:rFonts w:ascii="Times New Roman" w:hAnsi="Times New Roman" w:cs="Times New Roman"/>
          <w:sz w:val="24"/>
          <w:szCs w:val="24"/>
        </w:rPr>
        <w:t xml:space="preserve">Ancak kârlılıkları düşük olacağından nakit ihtiyaçlarını gidermek için yüksek maliyetle de olsa borçlanacaklardır. </w:t>
      </w:r>
      <w:r w:rsidRPr="009218D1">
        <w:rPr>
          <w:rFonts w:ascii="Times New Roman" w:hAnsi="Times New Roman" w:cs="Times New Roman"/>
          <w:sz w:val="24"/>
          <w:szCs w:val="24"/>
        </w:rPr>
        <w:t>Yatırımcılar</w:t>
      </w:r>
      <w:r w:rsidR="00315CE0" w:rsidRPr="009218D1">
        <w:rPr>
          <w:rFonts w:ascii="Times New Roman" w:hAnsi="Times New Roman" w:cs="Times New Roman"/>
          <w:sz w:val="24"/>
          <w:szCs w:val="24"/>
        </w:rPr>
        <w:t>,</w:t>
      </w:r>
      <w:r w:rsidRPr="009218D1">
        <w:rPr>
          <w:rFonts w:ascii="Times New Roman" w:hAnsi="Times New Roman" w:cs="Times New Roman"/>
          <w:sz w:val="24"/>
          <w:szCs w:val="24"/>
        </w:rPr>
        <w:t xml:space="preserve"> genel olarak denetlenmiş mali bilançoları görmek isterler ancak küçük firmalar bu maliyetten kaçınabilirler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Yeni hisse senedi ihraç ederken </w:t>
      </w:r>
      <w:r w:rsidR="00315CE0" w:rsidRPr="009218D1">
        <w:rPr>
          <w:rFonts w:ascii="Times New Roman" w:hAnsi="Times New Roman" w:cs="Times New Roman"/>
          <w:sz w:val="24"/>
          <w:szCs w:val="24"/>
        </w:rPr>
        <w:t xml:space="preserve">bu tür </w:t>
      </w:r>
      <w:r w:rsidRPr="009218D1">
        <w:rPr>
          <w:rFonts w:ascii="Times New Roman" w:hAnsi="Times New Roman" w:cs="Times New Roman"/>
          <w:sz w:val="24"/>
          <w:szCs w:val="24"/>
        </w:rPr>
        <w:t>maliyetler oldukça yüksektir ancak iç fonların maliyetleri yoktur (Bas vd</w:t>
      </w:r>
      <w:r w:rsidR="00BE3467" w:rsidRPr="009218D1">
        <w:rPr>
          <w:rFonts w:ascii="Times New Roman" w:hAnsi="Times New Roman" w:cs="Times New Roman"/>
          <w:sz w:val="24"/>
          <w:szCs w:val="24"/>
        </w:rPr>
        <w:t>.</w:t>
      </w:r>
      <w:r w:rsidR="0014351F" w:rsidRPr="009218D1">
        <w:rPr>
          <w:rFonts w:ascii="Times New Roman" w:hAnsi="Times New Roman" w:cs="Times New Roman"/>
          <w:sz w:val="24"/>
          <w:szCs w:val="24"/>
        </w:rPr>
        <w:t>,</w:t>
      </w:r>
      <w:r w:rsidRPr="009218D1">
        <w:rPr>
          <w:rFonts w:ascii="Times New Roman" w:hAnsi="Times New Roman" w:cs="Times New Roman"/>
          <w:sz w:val="24"/>
          <w:szCs w:val="24"/>
        </w:rPr>
        <w:t xml:space="preserve"> 2009)</w:t>
      </w:r>
      <w:r w:rsidR="00BE3467" w:rsidRPr="009218D1">
        <w:rPr>
          <w:rFonts w:ascii="Times New Roman" w:hAnsi="Times New Roman" w:cs="Times New Roman"/>
          <w:sz w:val="24"/>
          <w:szCs w:val="24"/>
        </w:rPr>
        <w:t>.</w:t>
      </w:r>
    </w:p>
    <w:p w:rsidR="00EA2DA6" w:rsidRPr="009218D1" w:rsidRDefault="00EA2DA6" w:rsidP="00EA2DA6">
      <w:pPr>
        <w:autoSpaceDE w:val="0"/>
        <w:autoSpaceDN w:val="0"/>
        <w:adjustRightInd w:val="0"/>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Nguyen vd. (2014), Vietnam’da borsada işlem gören 116 finansal olmayan firmanın sermaye yapısı bileşenlerini araştırmışlardır. Vietnamlı firmalar için kısa dönem borçla finansmanın baskın olduğu tespit edilmiştir. Kârlılık ve likiditenin kaldıraca negatif etkisi söz konusu iken, </w:t>
      </w:r>
      <w:r w:rsidRPr="009218D1">
        <w:rPr>
          <w:rFonts w:ascii="Times New Roman" w:hAnsi="Times New Roman" w:cs="Times New Roman"/>
          <w:sz w:val="24"/>
          <w:szCs w:val="24"/>
        </w:rPr>
        <w:lastRenderedPageBreak/>
        <w:t>büyüme oranı ve sahiplik pozitif etki yapmaktadır. Sonuçlar Finansal Hiyerarşi Teorisini destekler nitelikte çıkmıştır.</w:t>
      </w:r>
    </w:p>
    <w:p w:rsidR="00EA2DA6" w:rsidRPr="009218D1" w:rsidRDefault="00EA2DA6" w:rsidP="00EA2DA6">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Firmalar hem Ödünleşme hem de Finansal Hiyerarşi Teorisine uygun davranışlar sergileyebilirler (Groen, 2016; Wet ve Gossel, 2016; Serrasqueiro ve Caetano, 2012; </w:t>
      </w:r>
      <w:r w:rsidRPr="009218D1">
        <w:rPr>
          <w:rFonts w:ascii="Times New Roman" w:eastAsia="Times New Roman" w:hAnsi="Times New Roman" w:cs="Times New Roman"/>
          <w:sz w:val="24"/>
          <w:szCs w:val="24"/>
        </w:rPr>
        <w:t xml:space="preserve">Yıldız vd., 2009; Sayılgan vd., 2006; </w:t>
      </w:r>
      <w:r w:rsidRPr="009218D1">
        <w:rPr>
          <w:rFonts w:ascii="Times New Roman" w:hAnsi="Times New Roman" w:cs="Times New Roman"/>
          <w:sz w:val="24"/>
          <w:szCs w:val="24"/>
        </w:rPr>
        <w:t>Mayer ve Sussman, 2005). Groen (2016), hem Ödünleşme Teorisini hem de Finans</w:t>
      </w:r>
      <w:r w:rsidR="002C7718" w:rsidRPr="009218D1">
        <w:rPr>
          <w:rFonts w:ascii="Times New Roman" w:hAnsi="Times New Roman" w:cs="Times New Roman"/>
          <w:sz w:val="24"/>
          <w:szCs w:val="24"/>
        </w:rPr>
        <w:t>al Hiyerarşi Teorisini</w:t>
      </w:r>
      <w:r w:rsidRPr="009218D1">
        <w:rPr>
          <w:rFonts w:ascii="Times New Roman" w:hAnsi="Times New Roman" w:cs="Times New Roman"/>
          <w:sz w:val="24"/>
          <w:szCs w:val="24"/>
        </w:rPr>
        <w:t xml:space="preserve"> destekleyen karma sonuçlar elde edilmesini asimetrik bilgi hipotezinin reddedilmesi şeklinde yorumlamıştır. </w:t>
      </w:r>
      <w:r w:rsidR="00623577" w:rsidRPr="009218D1">
        <w:rPr>
          <w:rFonts w:ascii="Times New Roman" w:hAnsi="Times New Roman" w:cs="Times New Roman"/>
          <w:sz w:val="24"/>
          <w:szCs w:val="24"/>
        </w:rPr>
        <w:t xml:space="preserve">Finansal Hiyerarşi Teorisini </w:t>
      </w:r>
      <w:r w:rsidRPr="009218D1">
        <w:rPr>
          <w:rFonts w:ascii="Times New Roman" w:hAnsi="Times New Roman" w:cs="Times New Roman"/>
          <w:sz w:val="24"/>
          <w:szCs w:val="24"/>
        </w:rPr>
        <w:t>destekleyen yeterli bulgu olmamasının nedeni olarak; firmaların öncelikle bankalardan borçlanması gösterilmiştir.</w:t>
      </w:r>
    </w:p>
    <w:p w:rsidR="00EA2DA6" w:rsidRPr="009218D1" w:rsidRDefault="00EA2DA6" w:rsidP="00EA2DA6">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Job, 2016 yılında yaptığı çalışmada, kârlılık ile uzun dönem borçluluk arasında negatif yönlü bir ilişki tespit etmiştir. Firmanın iç kaynaklarındaki artış, kaldıraç oranını azaltmaktadır. Elde edilen sonuç, Finansal Hiyerarşi Teorisini desteklemektedir. Ancak varlık yapısının ve firma büyüklüğünün kaldıraç oranı üzerinde pozitif etkisi olduğu tespit edilmiştir. Bu nedenle elde edilen sonuçlar hem Finansal Hiyerarşi Teorisini hem de Ödünleşme Teorisini desteklemektedir.</w:t>
      </w:r>
    </w:p>
    <w:p w:rsidR="009653E9" w:rsidRPr="009218D1" w:rsidRDefault="00EB48EB" w:rsidP="00EB48E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2.3.</w:t>
      </w:r>
      <w:r w:rsidR="009653E9" w:rsidRPr="009218D1">
        <w:rPr>
          <w:rFonts w:ascii="Times New Roman" w:hAnsi="Times New Roman" w:cs="Times New Roman"/>
          <w:b/>
          <w:sz w:val="24"/>
          <w:szCs w:val="24"/>
        </w:rPr>
        <w:t>Bilgi Asimetrisi ve Sinyal Teorisi</w:t>
      </w:r>
    </w:p>
    <w:p w:rsidR="00E775CF" w:rsidRPr="009218D1" w:rsidRDefault="009653E9"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Yatırımcılar</w:t>
      </w:r>
      <w:r w:rsidR="00D95B18" w:rsidRPr="009218D1">
        <w:rPr>
          <w:rFonts w:ascii="Times New Roman" w:hAnsi="Times New Roman" w:cs="Times New Roman"/>
          <w:sz w:val="24"/>
          <w:szCs w:val="24"/>
        </w:rPr>
        <w:t>,</w:t>
      </w:r>
      <w:r w:rsidRPr="009218D1">
        <w:rPr>
          <w:rFonts w:ascii="Times New Roman" w:hAnsi="Times New Roman" w:cs="Times New Roman"/>
          <w:sz w:val="24"/>
          <w:szCs w:val="24"/>
        </w:rPr>
        <w:t xml:space="preserve"> firma varlıklarının de</w:t>
      </w:r>
      <w:r w:rsidR="00AB3473" w:rsidRPr="009218D1">
        <w:rPr>
          <w:rFonts w:ascii="Times New Roman" w:hAnsi="Times New Roman" w:cs="Times New Roman"/>
          <w:sz w:val="24"/>
          <w:szCs w:val="24"/>
        </w:rPr>
        <w:t>ğeri hakkında firma içindeki kiş</w:t>
      </w:r>
      <w:r w:rsidRPr="009218D1">
        <w:rPr>
          <w:rFonts w:ascii="Times New Roman" w:hAnsi="Times New Roman" w:cs="Times New Roman"/>
          <w:sz w:val="24"/>
          <w:szCs w:val="24"/>
        </w:rPr>
        <w:t>ilerden daha az bilgiye sahip olduklarında asimetrik bilgi sorunu ortaya çıkmaktadır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AB3473" w:rsidRPr="009218D1">
        <w:rPr>
          <w:rFonts w:ascii="Times New Roman" w:hAnsi="Times New Roman" w:cs="Times New Roman"/>
          <w:sz w:val="24"/>
          <w:szCs w:val="24"/>
        </w:rPr>
        <w:t>İş</w:t>
      </w:r>
      <w:r w:rsidRPr="009218D1">
        <w:rPr>
          <w:rFonts w:ascii="Times New Roman" w:hAnsi="Times New Roman" w:cs="Times New Roman"/>
          <w:sz w:val="24"/>
          <w:szCs w:val="24"/>
        </w:rPr>
        <w:t>letmelerden piyasaya bi</w:t>
      </w:r>
      <w:r w:rsidR="00AB3473" w:rsidRPr="009218D1">
        <w:rPr>
          <w:rFonts w:ascii="Times New Roman" w:hAnsi="Times New Roman" w:cs="Times New Roman"/>
          <w:sz w:val="24"/>
          <w:szCs w:val="24"/>
        </w:rPr>
        <w:t>lgi akışı yoğun olmadığından</w:t>
      </w:r>
      <w:r w:rsidR="00D95B18" w:rsidRPr="009218D1">
        <w:rPr>
          <w:rFonts w:ascii="Times New Roman" w:hAnsi="Times New Roman" w:cs="Times New Roman"/>
          <w:sz w:val="24"/>
          <w:szCs w:val="24"/>
        </w:rPr>
        <w:t>,</w:t>
      </w:r>
      <w:r w:rsidR="00AB3473" w:rsidRPr="009218D1">
        <w:rPr>
          <w:rFonts w:ascii="Times New Roman" w:hAnsi="Times New Roman" w:cs="Times New Roman"/>
          <w:sz w:val="24"/>
          <w:szCs w:val="24"/>
        </w:rPr>
        <w:t xml:space="preserve"> iş</w:t>
      </w:r>
      <w:r w:rsidRPr="009218D1">
        <w:rPr>
          <w:rFonts w:ascii="Times New Roman" w:hAnsi="Times New Roman" w:cs="Times New Roman"/>
          <w:sz w:val="24"/>
          <w:szCs w:val="24"/>
        </w:rPr>
        <w:t>letme yönetic</w:t>
      </w:r>
      <w:r w:rsidR="00AB3473" w:rsidRPr="009218D1">
        <w:rPr>
          <w:rFonts w:ascii="Times New Roman" w:hAnsi="Times New Roman" w:cs="Times New Roman"/>
          <w:sz w:val="24"/>
          <w:szCs w:val="24"/>
        </w:rPr>
        <w:t>ileri ile yatırımcılar iş</w:t>
      </w:r>
      <w:r w:rsidRPr="009218D1">
        <w:rPr>
          <w:rFonts w:ascii="Times New Roman" w:hAnsi="Times New Roman" w:cs="Times New Roman"/>
          <w:sz w:val="24"/>
          <w:szCs w:val="24"/>
        </w:rPr>
        <w:t>letme hakkında aynı bilgi</w:t>
      </w:r>
      <w:r w:rsidR="00D95B18" w:rsidRPr="009218D1">
        <w:rPr>
          <w:rFonts w:ascii="Times New Roman" w:hAnsi="Times New Roman" w:cs="Times New Roman"/>
          <w:sz w:val="24"/>
          <w:szCs w:val="24"/>
        </w:rPr>
        <w:t xml:space="preserve"> düzeyine</w:t>
      </w:r>
      <w:r w:rsidRPr="009218D1">
        <w:rPr>
          <w:rFonts w:ascii="Times New Roman" w:hAnsi="Times New Roman" w:cs="Times New Roman"/>
          <w:sz w:val="24"/>
          <w:szCs w:val="24"/>
        </w:rPr>
        <w:t xml:space="preserve"> sahip değildirler (Myers ve Majluf</w:t>
      </w:r>
      <w:r w:rsidR="00D95B18" w:rsidRPr="009218D1">
        <w:rPr>
          <w:rFonts w:ascii="Times New Roman" w:hAnsi="Times New Roman" w:cs="Times New Roman"/>
          <w:sz w:val="24"/>
          <w:szCs w:val="24"/>
        </w:rPr>
        <w:t>,</w:t>
      </w:r>
      <w:r w:rsidRPr="009218D1">
        <w:rPr>
          <w:rFonts w:ascii="Times New Roman" w:hAnsi="Times New Roman" w:cs="Times New Roman"/>
          <w:sz w:val="24"/>
          <w:szCs w:val="24"/>
        </w:rPr>
        <w:t xml:space="preserve"> 1984)</w:t>
      </w:r>
      <w:r w:rsidR="00BE3467" w:rsidRPr="009218D1">
        <w:rPr>
          <w:rFonts w:ascii="Times New Roman" w:hAnsi="Times New Roman" w:cs="Times New Roman"/>
          <w:sz w:val="24"/>
          <w:szCs w:val="24"/>
        </w:rPr>
        <w:t>.</w:t>
      </w:r>
      <w:r w:rsidR="00D95B18" w:rsidRPr="009218D1">
        <w:rPr>
          <w:rFonts w:ascii="Times New Roman" w:hAnsi="Times New Roman" w:cs="Times New Roman"/>
          <w:sz w:val="24"/>
          <w:szCs w:val="24"/>
        </w:rPr>
        <w:t xml:space="preserve"> </w:t>
      </w:r>
      <w:r w:rsidR="005E32DF" w:rsidRPr="009218D1">
        <w:rPr>
          <w:rFonts w:ascii="Times New Roman" w:hAnsi="Times New Roman" w:cs="Times New Roman"/>
          <w:sz w:val="24"/>
          <w:szCs w:val="24"/>
        </w:rPr>
        <w:t>Bilgi asimetrisi</w:t>
      </w:r>
      <w:r w:rsidR="00D95B18" w:rsidRPr="009218D1">
        <w:rPr>
          <w:rFonts w:ascii="Times New Roman" w:hAnsi="Times New Roman" w:cs="Times New Roman"/>
          <w:sz w:val="24"/>
          <w:szCs w:val="24"/>
        </w:rPr>
        <w:t>,</w:t>
      </w:r>
      <w:r w:rsidR="005E32DF" w:rsidRPr="009218D1">
        <w:rPr>
          <w:rFonts w:ascii="Times New Roman" w:hAnsi="Times New Roman" w:cs="Times New Roman"/>
          <w:sz w:val="24"/>
          <w:szCs w:val="24"/>
        </w:rPr>
        <w:t xml:space="preserve"> Akerlof’un (1970)  “Limonlar Sorunu” ile açıklanabilir</w:t>
      </w:r>
      <w:r w:rsidR="00BE3467" w:rsidRPr="009218D1">
        <w:rPr>
          <w:rFonts w:ascii="Times New Roman" w:hAnsi="Times New Roman" w:cs="Times New Roman"/>
          <w:sz w:val="24"/>
          <w:szCs w:val="24"/>
        </w:rPr>
        <w:t>.</w:t>
      </w:r>
      <w:r w:rsidR="005E32DF" w:rsidRPr="009218D1">
        <w:rPr>
          <w:rFonts w:ascii="Times New Roman" w:hAnsi="Times New Roman" w:cs="Times New Roman"/>
          <w:sz w:val="24"/>
          <w:szCs w:val="24"/>
        </w:rPr>
        <w:t xml:space="preserve"> Limon İngilizce’de kötü durumdaki arabaları tanımlamak için kullanılır</w:t>
      </w:r>
      <w:r w:rsidR="00BE3467" w:rsidRPr="009218D1">
        <w:rPr>
          <w:rFonts w:ascii="Times New Roman" w:hAnsi="Times New Roman" w:cs="Times New Roman"/>
          <w:sz w:val="24"/>
          <w:szCs w:val="24"/>
        </w:rPr>
        <w:t>.</w:t>
      </w:r>
      <w:r w:rsidR="005E32DF" w:rsidRPr="009218D1">
        <w:rPr>
          <w:rFonts w:ascii="Times New Roman" w:hAnsi="Times New Roman" w:cs="Times New Roman"/>
          <w:sz w:val="24"/>
          <w:szCs w:val="24"/>
        </w:rPr>
        <w:t xml:space="preserve"> Bir araba pazarında</w:t>
      </w:r>
      <w:r w:rsidR="00D95B18" w:rsidRPr="009218D1">
        <w:rPr>
          <w:rFonts w:ascii="Times New Roman" w:hAnsi="Times New Roman" w:cs="Times New Roman"/>
          <w:sz w:val="24"/>
          <w:szCs w:val="24"/>
        </w:rPr>
        <w:t>,</w:t>
      </w:r>
      <w:r w:rsidR="005E32DF" w:rsidRPr="009218D1">
        <w:rPr>
          <w:rFonts w:ascii="Times New Roman" w:hAnsi="Times New Roman" w:cs="Times New Roman"/>
          <w:sz w:val="24"/>
          <w:szCs w:val="24"/>
        </w:rPr>
        <w:t xml:space="preserve"> alıcı ile satıcı arasındaki ürün kalitesi hakkındaki bilgi farklılığı pazarın işleyişini aksatıp</w:t>
      </w:r>
      <w:r w:rsidR="00D95B18" w:rsidRPr="009218D1">
        <w:rPr>
          <w:rFonts w:ascii="Times New Roman" w:hAnsi="Times New Roman" w:cs="Times New Roman"/>
          <w:sz w:val="24"/>
          <w:szCs w:val="24"/>
        </w:rPr>
        <w:t>,</w:t>
      </w:r>
      <w:r w:rsidR="005E32DF" w:rsidRPr="009218D1">
        <w:rPr>
          <w:rFonts w:ascii="Times New Roman" w:hAnsi="Times New Roman" w:cs="Times New Roman"/>
          <w:sz w:val="24"/>
          <w:szCs w:val="24"/>
        </w:rPr>
        <w:t xml:space="preserve"> bazen de araba ticaretini tamamen engelleyebilir</w:t>
      </w:r>
      <w:r w:rsidR="00BE3467" w:rsidRPr="009218D1">
        <w:rPr>
          <w:rFonts w:ascii="Times New Roman" w:hAnsi="Times New Roman" w:cs="Times New Roman"/>
          <w:sz w:val="24"/>
          <w:szCs w:val="24"/>
        </w:rPr>
        <w:t>.</w:t>
      </w:r>
      <w:r w:rsidR="00E775CF" w:rsidRPr="009218D1">
        <w:rPr>
          <w:rFonts w:ascii="Times New Roman" w:hAnsi="Times New Roman" w:cs="Times New Roman"/>
          <w:sz w:val="24"/>
          <w:szCs w:val="24"/>
        </w:rPr>
        <w:t xml:space="preserve"> Fon ihtiyacının karşılanmasında bilgi asimetrisi özellikle küçük işletmeler için geçerlidir</w:t>
      </w:r>
      <w:r w:rsidR="00BE3467" w:rsidRPr="009218D1">
        <w:rPr>
          <w:rFonts w:ascii="Times New Roman" w:hAnsi="Times New Roman" w:cs="Times New Roman"/>
          <w:sz w:val="24"/>
          <w:szCs w:val="24"/>
        </w:rPr>
        <w:t>.</w:t>
      </w:r>
      <w:r w:rsidR="00E775CF" w:rsidRPr="009218D1">
        <w:rPr>
          <w:rFonts w:ascii="Times New Roman" w:hAnsi="Times New Roman" w:cs="Times New Roman"/>
          <w:sz w:val="24"/>
          <w:szCs w:val="24"/>
        </w:rPr>
        <w:t xml:space="preserve"> Bu durumda</w:t>
      </w:r>
      <w:r w:rsidR="00D95B18" w:rsidRPr="009218D1">
        <w:rPr>
          <w:rFonts w:ascii="Times New Roman" w:hAnsi="Times New Roman" w:cs="Times New Roman"/>
          <w:sz w:val="24"/>
          <w:szCs w:val="24"/>
        </w:rPr>
        <w:t>,</w:t>
      </w:r>
      <w:r w:rsidR="00E775CF" w:rsidRPr="009218D1">
        <w:rPr>
          <w:rFonts w:ascii="Times New Roman" w:hAnsi="Times New Roman" w:cs="Times New Roman"/>
          <w:sz w:val="24"/>
          <w:szCs w:val="24"/>
        </w:rPr>
        <w:t xml:space="preserve"> küçük işletmeler kendileri hakkında bilgi monopolü kuran bankalardan ağır şartlarla borçlanmak durumunda kalırlar</w:t>
      </w:r>
      <w:r w:rsidR="00BE3467" w:rsidRPr="009218D1">
        <w:rPr>
          <w:rFonts w:ascii="Times New Roman" w:hAnsi="Times New Roman" w:cs="Times New Roman"/>
          <w:sz w:val="24"/>
          <w:szCs w:val="24"/>
        </w:rPr>
        <w:t>.</w:t>
      </w:r>
      <w:r w:rsidR="00E775CF" w:rsidRPr="009218D1">
        <w:rPr>
          <w:rFonts w:ascii="Times New Roman" w:hAnsi="Times New Roman" w:cs="Times New Roman"/>
          <w:sz w:val="24"/>
          <w:szCs w:val="24"/>
        </w:rPr>
        <w:t xml:space="preserve"> Küçük işletmeler için en güvenli yol mümkün olduğunca kendi iç fonlarından y</w:t>
      </w:r>
      <w:r w:rsidR="000705B4" w:rsidRPr="009218D1">
        <w:rPr>
          <w:rFonts w:ascii="Times New Roman" w:hAnsi="Times New Roman" w:cs="Times New Roman"/>
          <w:sz w:val="24"/>
          <w:szCs w:val="24"/>
        </w:rPr>
        <w:t>ararlanmak olacaktır (Taş</w:t>
      </w:r>
      <w:r w:rsidR="00E775CF" w:rsidRPr="009218D1">
        <w:rPr>
          <w:rFonts w:ascii="Times New Roman" w:hAnsi="Times New Roman" w:cs="Times New Roman"/>
          <w:sz w:val="24"/>
          <w:szCs w:val="24"/>
        </w:rPr>
        <w:t>çı ve Okuyan</w:t>
      </w:r>
      <w:r w:rsidR="00702D42" w:rsidRPr="009218D1">
        <w:rPr>
          <w:rFonts w:ascii="Times New Roman" w:hAnsi="Times New Roman" w:cs="Times New Roman"/>
          <w:sz w:val="24"/>
          <w:szCs w:val="24"/>
        </w:rPr>
        <w:t>,</w:t>
      </w:r>
      <w:r w:rsidR="00E775CF" w:rsidRPr="009218D1">
        <w:rPr>
          <w:rFonts w:ascii="Times New Roman" w:hAnsi="Times New Roman" w:cs="Times New Roman"/>
          <w:sz w:val="24"/>
          <w:szCs w:val="24"/>
        </w:rPr>
        <w:t xml:space="preserve"> 2009)</w:t>
      </w:r>
      <w:r w:rsidR="00BE3467" w:rsidRPr="009218D1">
        <w:rPr>
          <w:rFonts w:ascii="Times New Roman" w:hAnsi="Times New Roman" w:cs="Times New Roman"/>
          <w:sz w:val="24"/>
          <w:szCs w:val="24"/>
        </w:rPr>
        <w:t>.</w:t>
      </w:r>
      <w:r w:rsidR="00F65856" w:rsidRPr="009218D1">
        <w:rPr>
          <w:rFonts w:ascii="Times New Roman" w:hAnsi="Times New Roman" w:cs="Times New Roman"/>
          <w:sz w:val="24"/>
          <w:szCs w:val="24"/>
        </w:rPr>
        <w:t xml:space="preserve"> </w:t>
      </w:r>
    </w:p>
    <w:p w:rsidR="00B04353" w:rsidRPr="009218D1" w:rsidRDefault="00B04353"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Sinyal Teorisinde borç</w:t>
      </w:r>
      <w:r w:rsidR="00F65856" w:rsidRPr="009218D1">
        <w:rPr>
          <w:rFonts w:ascii="Times New Roman" w:hAnsi="Times New Roman" w:cs="Times New Roman"/>
          <w:sz w:val="24"/>
          <w:szCs w:val="24"/>
        </w:rPr>
        <w:t>lanma düzeyinde</w:t>
      </w:r>
      <w:r w:rsidRPr="009218D1">
        <w:rPr>
          <w:rFonts w:ascii="Times New Roman" w:hAnsi="Times New Roman" w:cs="Times New Roman"/>
          <w:sz w:val="24"/>
          <w:szCs w:val="24"/>
        </w:rPr>
        <w:t xml:space="preserve"> artış</w:t>
      </w:r>
      <w:r w:rsidR="00F65856" w:rsidRPr="009218D1">
        <w:rPr>
          <w:rFonts w:ascii="Times New Roman" w:hAnsi="Times New Roman" w:cs="Times New Roman"/>
          <w:sz w:val="24"/>
          <w:szCs w:val="24"/>
        </w:rPr>
        <w:t>,</w:t>
      </w:r>
      <w:r w:rsidRPr="009218D1">
        <w:rPr>
          <w:rFonts w:ascii="Times New Roman" w:hAnsi="Times New Roman" w:cs="Times New Roman"/>
          <w:sz w:val="24"/>
          <w:szCs w:val="24"/>
        </w:rPr>
        <w:t xml:space="preserve"> şirketler</w:t>
      </w:r>
      <w:r w:rsidR="00F65856" w:rsidRPr="009218D1">
        <w:rPr>
          <w:rFonts w:ascii="Times New Roman" w:hAnsi="Times New Roman" w:cs="Times New Roman"/>
          <w:sz w:val="24"/>
          <w:szCs w:val="24"/>
        </w:rPr>
        <w:t xml:space="preserve"> için </w:t>
      </w:r>
      <w:r w:rsidRPr="009218D1">
        <w:rPr>
          <w:rFonts w:ascii="Times New Roman" w:hAnsi="Times New Roman" w:cs="Times New Roman"/>
          <w:sz w:val="24"/>
          <w:szCs w:val="24"/>
        </w:rPr>
        <w:t xml:space="preserve">olumlu bir durumdur çünkü firmanın borçlanması firmanın başarısı hakkında </w:t>
      </w:r>
      <w:r w:rsidR="00F65856" w:rsidRPr="009218D1">
        <w:rPr>
          <w:rFonts w:ascii="Times New Roman" w:hAnsi="Times New Roman" w:cs="Times New Roman"/>
          <w:sz w:val="24"/>
          <w:szCs w:val="24"/>
        </w:rPr>
        <w:t xml:space="preserve">piyasada </w:t>
      </w:r>
      <w:r w:rsidRPr="009218D1">
        <w:rPr>
          <w:rFonts w:ascii="Times New Roman" w:hAnsi="Times New Roman" w:cs="Times New Roman"/>
          <w:sz w:val="24"/>
          <w:szCs w:val="24"/>
        </w:rPr>
        <w:t>olumlu bir sinyal olarak algılanmaktadır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Ancak bu olumlu algının oluşması için firmaların kârlılığının yüksek olması ve büyüme potansiyeline sahip olması gereklidir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 tür firmalar daha fazla ve daha kolay borçlanabilmektedir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Sinyal teorisine göre daha az kârlı ve büyüme imkânı olmayan firmalar özsermaye artırımına gitme yolunu tercih edeceklerdir (Öztürk ve Şahin</w:t>
      </w:r>
      <w:r w:rsidR="00F65856" w:rsidRPr="009218D1">
        <w:rPr>
          <w:rFonts w:ascii="Times New Roman" w:hAnsi="Times New Roman" w:cs="Times New Roman"/>
          <w:sz w:val="24"/>
          <w:szCs w:val="24"/>
        </w:rPr>
        <w:t>,</w:t>
      </w:r>
      <w:r w:rsidRPr="009218D1">
        <w:rPr>
          <w:rFonts w:ascii="Times New Roman" w:hAnsi="Times New Roman" w:cs="Times New Roman"/>
          <w:sz w:val="24"/>
          <w:szCs w:val="24"/>
        </w:rPr>
        <w:t xml:space="preserve"> 2013)</w:t>
      </w:r>
      <w:r w:rsidR="00BE3467" w:rsidRPr="009218D1">
        <w:rPr>
          <w:rFonts w:ascii="Times New Roman" w:hAnsi="Times New Roman" w:cs="Times New Roman"/>
          <w:sz w:val="24"/>
          <w:szCs w:val="24"/>
        </w:rPr>
        <w:t>.</w:t>
      </w:r>
    </w:p>
    <w:p w:rsidR="00513B58" w:rsidRPr="009218D1" w:rsidRDefault="00EB48EB" w:rsidP="00EB48E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2.4.</w:t>
      </w:r>
      <w:r w:rsidR="00513B58" w:rsidRPr="009218D1">
        <w:rPr>
          <w:rFonts w:ascii="Times New Roman" w:hAnsi="Times New Roman" w:cs="Times New Roman"/>
          <w:b/>
          <w:sz w:val="24"/>
          <w:szCs w:val="24"/>
        </w:rPr>
        <w:t>Ters Seçim ve Temsilcilik Maliyetleri</w:t>
      </w:r>
    </w:p>
    <w:p w:rsidR="00513B58" w:rsidRPr="009218D1" w:rsidRDefault="00513B58"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Ters seçim yaklaşımına göre; firma yöneticileri ve sahipleri</w:t>
      </w:r>
      <w:r w:rsidR="003C062B" w:rsidRPr="009218D1">
        <w:rPr>
          <w:rFonts w:ascii="Times New Roman" w:hAnsi="Times New Roman" w:cs="Times New Roman"/>
          <w:sz w:val="24"/>
          <w:szCs w:val="24"/>
        </w:rPr>
        <w:t>,</w:t>
      </w:r>
      <w:r w:rsidRPr="009218D1">
        <w:rPr>
          <w:rFonts w:ascii="Times New Roman" w:hAnsi="Times New Roman" w:cs="Times New Roman"/>
          <w:sz w:val="24"/>
          <w:szCs w:val="24"/>
        </w:rPr>
        <w:t xml:space="preserve"> firmanın varlıklarının ve büyüme fırsatlarının gerçek değerini bilmektedirler ancak yatırımcılar bu değeri sadece tahmin edebilmektedirler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Yüksek değerlenmiş bir firmanın yöneticisinin yeni hisse senedi ihracında istekli olacağı</w:t>
      </w:r>
      <w:r w:rsidR="003C062B" w:rsidRPr="009218D1">
        <w:rPr>
          <w:rFonts w:ascii="Times New Roman" w:hAnsi="Times New Roman" w:cs="Times New Roman"/>
          <w:sz w:val="24"/>
          <w:szCs w:val="24"/>
        </w:rPr>
        <w:t>,</w:t>
      </w:r>
      <w:r w:rsidRPr="009218D1">
        <w:rPr>
          <w:rFonts w:ascii="Times New Roman" w:hAnsi="Times New Roman" w:cs="Times New Roman"/>
          <w:sz w:val="24"/>
          <w:szCs w:val="24"/>
        </w:rPr>
        <w:t xml:space="preserve"> tersi durumda ise isteksiz olacağı öngörülecektir</w:t>
      </w:r>
      <w:r w:rsidR="003C062B" w:rsidRPr="009218D1">
        <w:rPr>
          <w:rFonts w:ascii="Times New Roman" w:hAnsi="Times New Roman" w:cs="Times New Roman"/>
          <w:sz w:val="24"/>
          <w:szCs w:val="24"/>
        </w:rPr>
        <w:t xml:space="preserve"> </w:t>
      </w:r>
      <w:r w:rsidRPr="009218D1">
        <w:rPr>
          <w:rFonts w:ascii="Times New Roman" w:hAnsi="Times New Roman" w:cs="Times New Roman"/>
          <w:sz w:val="24"/>
          <w:szCs w:val="24"/>
        </w:rPr>
        <w:t>(Karadeniz</w:t>
      </w:r>
      <w:r w:rsidR="003C062B" w:rsidRPr="009218D1">
        <w:rPr>
          <w:rFonts w:ascii="Times New Roman" w:hAnsi="Times New Roman" w:cs="Times New Roman"/>
          <w:sz w:val="24"/>
          <w:szCs w:val="24"/>
        </w:rPr>
        <w:t>,</w:t>
      </w:r>
      <w:r w:rsidRPr="009218D1">
        <w:rPr>
          <w:rFonts w:ascii="Times New Roman" w:hAnsi="Times New Roman" w:cs="Times New Roman"/>
          <w:sz w:val="24"/>
          <w:szCs w:val="24"/>
        </w:rPr>
        <w:t xml:space="preserve"> 2008)</w:t>
      </w:r>
      <w:r w:rsidR="00BE3467" w:rsidRPr="009218D1">
        <w:rPr>
          <w:rFonts w:ascii="Times New Roman" w:hAnsi="Times New Roman" w:cs="Times New Roman"/>
          <w:sz w:val="24"/>
          <w:szCs w:val="24"/>
        </w:rPr>
        <w:t>.</w:t>
      </w:r>
    </w:p>
    <w:p w:rsidR="008108CB" w:rsidRPr="009218D1" w:rsidRDefault="00A94C5B"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Yöneticilerin alacaklıların zararına bile olsa</w:t>
      </w:r>
      <w:r w:rsidR="00326410" w:rsidRPr="009218D1">
        <w:rPr>
          <w:rFonts w:ascii="Times New Roman" w:hAnsi="Times New Roman" w:cs="Times New Roman"/>
          <w:sz w:val="24"/>
          <w:szCs w:val="24"/>
        </w:rPr>
        <w:t>,</w:t>
      </w:r>
      <w:r w:rsidRPr="009218D1">
        <w:rPr>
          <w:rFonts w:ascii="Times New Roman" w:hAnsi="Times New Roman" w:cs="Times New Roman"/>
          <w:sz w:val="24"/>
          <w:szCs w:val="24"/>
        </w:rPr>
        <w:t xml:space="preserve"> hissedarların işine yarayan kararlar almaları ve bunu önlemek isteyen alacaklıların yöneticileri denetim altına almak istemeleri de temsil maliyetlerini oluşturur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Temsil maliyetleri</w:t>
      </w:r>
      <w:r w:rsidR="00D66A80" w:rsidRPr="009218D1">
        <w:rPr>
          <w:rFonts w:ascii="Times New Roman" w:hAnsi="Times New Roman" w:cs="Times New Roman"/>
          <w:sz w:val="24"/>
          <w:szCs w:val="24"/>
        </w:rPr>
        <w:t>;</w:t>
      </w:r>
      <w:r w:rsidRPr="009218D1">
        <w:rPr>
          <w:rFonts w:ascii="Times New Roman" w:hAnsi="Times New Roman" w:cs="Times New Roman"/>
          <w:sz w:val="24"/>
          <w:szCs w:val="24"/>
        </w:rPr>
        <w:t xml:space="preserve"> borcun temsil maliyeti ve özsermayenin temsil maliyeti olarak ikiye ayrılır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Yöneticilerin dış yatırımcıları bilgilendirme zorunluluğu ve dış yatırımcıların projeyi izlemesi yöneticiler tarafından istenmeyen bir durumdur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Bunu engellemek için alınan önlemlere ve bu </w:t>
      </w:r>
      <w:r w:rsidR="005C69EB" w:rsidRPr="009218D1">
        <w:rPr>
          <w:rFonts w:ascii="Times New Roman" w:hAnsi="Times New Roman" w:cs="Times New Roman"/>
          <w:sz w:val="24"/>
          <w:szCs w:val="24"/>
        </w:rPr>
        <w:t>önlemlere rağmen işletmenin piyasa değerinin düş</w:t>
      </w:r>
      <w:r w:rsidRPr="009218D1">
        <w:rPr>
          <w:rFonts w:ascii="Times New Roman" w:hAnsi="Times New Roman" w:cs="Times New Roman"/>
          <w:sz w:val="24"/>
          <w:szCs w:val="24"/>
        </w:rPr>
        <w:t>mesinin olu</w:t>
      </w:r>
      <w:r w:rsidR="005C69EB" w:rsidRPr="009218D1">
        <w:rPr>
          <w:rFonts w:ascii="Times New Roman" w:hAnsi="Times New Roman" w:cs="Times New Roman"/>
          <w:sz w:val="24"/>
          <w:szCs w:val="24"/>
        </w:rPr>
        <w:t>ş</w:t>
      </w:r>
      <w:r w:rsidRPr="009218D1">
        <w:rPr>
          <w:rFonts w:ascii="Times New Roman" w:hAnsi="Times New Roman" w:cs="Times New Roman"/>
          <w:sz w:val="24"/>
          <w:szCs w:val="24"/>
        </w:rPr>
        <w:t>turduğu maliyete özsermayenin temsil maliyeti denir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Borç verenlerin verdikleri borç için yüksek faiz talep etmeleri de borcun temsil maliyetidir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Temsil maliyetleri açısından optimal borç oranı toplam temsil maliyetlerini minimum yapan borç oranıdır </w:t>
      </w:r>
      <w:r w:rsidR="00EB2349" w:rsidRPr="009218D1">
        <w:rPr>
          <w:rFonts w:ascii="Times New Roman" w:hAnsi="Times New Roman" w:cs="Times New Roman"/>
          <w:sz w:val="24"/>
          <w:szCs w:val="24"/>
        </w:rPr>
        <w:lastRenderedPageBreak/>
        <w:t>(Gürsoy</w:t>
      </w:r>
      <w:r w:rsidR="0014351F" w:rsidRPr="009218D1">
        <w:rPr>
          <w:rFonts w:ascii="Times New Roman" w:hAnsi="Times New Roman" w:cs="Times New Roman"/>
          <w:sz w:val="24"/>
          <w:szCs w:val="24"/>
        </w:rPr>
        <w:t>,</w:t>
      </w:r>
      <w:r w:rsidR="00EB2349" w:rsidRPr="009218D1">
        <w:rPr>
          <w:rFonts w:ascii="Times New Roman" w:hAnsi="Times New Roman" w:cs="Times New Roman"/>
          <w:sz w:val="24"/>
          <w:szCs w:val="24"/>
        </w:rPr>
        <w:t xml:space="preserve"> 2007)</w:t>
      </w:r>
      <w:r w:rsidR="00BE3467" w:rsidRPr="009218D1">
        <w:rPr>
          <w:rFonts w:ascii="Times New Roman" w:hAnsi="Times New Roman" w:cs="Times New Roman"/>
          <w:sz w:val="24"/>
          <w:szCs w:val="24"/>
        </w:rPr>
        <w:t>.</w:t>
      </w:r>
      <w:r w:rsidR="00EB2349" w:rsidRPr="009218D1">
        <w:rPr>
          <w:rFonts w:ascii="Times New Roman" w:hAnsi="Times New Roman" w:cs="Times New Roman"/>
          <w:sz w:val="24"/>
          <w:szCs w:val="24"/>
        </w:rPr>
        <w:t xml:space="preserve"> </w:t>
      </w:r>
      <w:r w:rsidR="00627898" w:rsidRPr="009218D1">
        <w:rPr>
          <w:rFonts w:ascii="Times New Roman" w:hAnsi="Times New Roman" w:cs="Times New Roman"/>
          <w:sz w:val="24"/>
          <w:szCs w:val="24"/>
        </w:rPr>
        <w:t>D</w:t>
      </w:r>
      <w:r w:rsidRPr="009218D1">
        <w:rPr>
          <w:rFonts w:ascii="Times New Roman" w:hAnsi="Times New Roman" w:cs="Times New Roman"/>
          <w:sz w:val="24"/>
          <w:szCs w:val="24"/>
        </w:rPr>
        <w:t>ü</w:t>
      </w:r>
      <w:r w:rsidR="005C69EB" w:rsidRPr="009218D1">
        <w:rPr>
          <w:rFonts w:ascii="Times New Roman" w:hAnsi="Times New Roman" w:cs="Times New Roman"/>
          <w:sz w:val="24"/>
          <w:szCs w:val="24"/>
        </w:rPr>
        <w:t>ş</w:t>
      </w:r>
      <w:r w:rsidRPr="009218D1">
        <w:rPr>
          <w:rFonts w:ascii="Times New Roman" w:hAnsi="Times New Roman" w:cs="Times New Roman"/>
          <w:sz w:val="24"/>
          <w:szCs w:val="24"/>
        </w:rPr>
        <w:t>ük büyüme oranına s</w:t>
      </w:r>
      <w:r w:rsidR="00EB2349" w:rsidRPr="009218D1">
        <w:rPr>
          <w:rFonts w:ascii="Times New Roman" w:hAnsi="Times New Roman" w:cs="Times New Roman"/>
          <w:sz w:val="24"/>
          <w:szCs w:val="24"/>
        </w:rPr>
        <w:t>ahip</w:t>
      </w:r>
      <w:r w:rsidR="00326410" w:rsidRPr="009218D1">
        <w:rPr>
          <w:rFonts w:ascii="Times New Roman" w:hAnsi="Times New Roman" w:cs="Times New Roman"/>
          <w:sz w:val="24"/>
          <w:szCs w:val="24"/>
        </w:rPr>
        <w:t>,</w:t>
      </w:r>
      <w:r w:rsidR="00EB2349" w:rsidRPr="009218D1">
        <w:rPr>
          <w:rFonts w:ascii="Times New Roman" w:hAnsi="Times New Roman" w:cs="Times New Roman"/>
          <w:sz w:val="24"/>
          <w:szCs w:val="24"/>
        </w:rPr>
        <w:t xml:space="preserve"> nakit fazlası olan büyük </w:t>
      </w:r>
      <w:r w:rsidRPr="009218D1">
        <w:rPr>
          <w:rFonts w:ascii="Times New Roman" w:hAnsi="Times New Roman" w:cs="Times New Roman"/>
          <w:sz w:val="24"/>
          <w:szCs w:val="24"/>
        </w:rPr>
        <w:t>i</w:t>
      </w:r>
      <w:r w:rsidR="00EB2349" w:rsidRPr="009218D1">
        <w:rPr>
          <w:rFonts w:ascii="Times New Roman" w:hAnsi="Times New Roman" w:cs="Times New Roman"/>
          <w:sz w:val="24"/>
          <w:szCs w:val="24"/>
        </w:rPr>
        <w:t>ş</w:t>
      </w:r>
      <w:r w:rsidR="00627898" w:rsidRPr="009218D1">
        <w:rPr>
          <w:rFonts w:ascii="Times New Roman" w:hAnsi="Times New Roman" w:cs="Times New Roman"/>
          <w:sz w:val="24"/>
          <w:szCs w:val="24"/>
        </w:rPr>
        <w:t>letmeler,</w:t>
      </w:r>
      <w:r w:rsidRPr="009218D1">
        <w:rPr>
          <w:rFonts w:ascii="Times New Roman" w:hAnsi="Times New Roman" w:cs="Times New Roman"/>
          <w:sz w:val="24"/>
          <w:szCs w:val="24"/>
        </w:rPr>
        <w:t xml:space="preserve"> yöneticileri kontrol altında tutmak amac</w:t>
      </w:r>
      <w:r w:rsidR="00EB2349" w:rsidRPr="009218D1">
        <w:rPr>
          <w:rFonts w:ascii="Times New Roman" w:hAnsi="Times New Roman" w:cs="Times New Roman"/>
          <w:sz w:val="24"/>
          <w:szCs w:val="24"/>
        </w:rPr>
        <w:t xml:space="preserve">ıyla daha fazla yabancı kaynak </w:t>
      </w:r>
      <w:r w:rsidRPr="009218D1">
        <w:rPr>
          <w:rFonts w:ascii="Times New Roman" w:hAnsi="Times New Roman" w:cs="Times New Roman"/>
          <w:sz w:val="24"/>
          <w:szCs w:val="24"/>
        </w:rPr>
        <w:t>kullan</w:t>
      </w:r>
      <w:r w:rsidR="00627898" w:rsidRPr="009218D1">
        <w:rPr>
          <w:rFonts w:ascii="Times New Roman" w:hAnsi="Times New Roman" w:cs="Times New Roman"/>
          <w:sz w:val="24"/>
          <w:szCs w:val="24"/>
        </w:rPr>
        <w:t xml:space="preserve">maktadırlar </w:t>
      </w:r>
      <w:r w:rsidR="009124E1" w:rsidRPr="009218D1">
        <w:rPr>
          <w:rFonts w:ascii="Times New Roman" w:hAnsi="Times New Roman" w:cs="Times New Roman"/>
          <w:sz w:val="24"/>
          <w:szCs w:val="24"/>
        </w:rPr>
        <w:t>(Jensen ve Meckling</w:t>
      </w:r>
      <w:r w:rsidR="008108CB"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1976</w:t>
      </w:r>
      <w:r w:rsidRPr="009218D1">
        <w:rPr>
          <w:rFonts w:ascii="Times New Roman" w:hAnsi="Times New Roman" w:cs="Times New Roman"/>
          <w:sz w:val="24"/>
          <w:szCs w:val="24"/>
        </w:rPr>
        <w:t>)</w:t>
      </w:r>
      <w:r w:rsidR="00BE3467" w:rsidRPr="009218D1">
        <w:rPr>
          <w:rFonts w:ascii="Times New Roman" w:hAnsi="Times New Roman" w:cs="Times New Roman"/>
          <w:sz w:val="24"/>
          <w:szCs w:val="24"/>
        </w:rPr>
        <w:t>.</w:t>
      </w:r>
      <w:r w:rsidR="00627898" w:rsidRPr="009218D1">
        <w:rPr>
          <w:rFonts w:ascii="Times New Roman" w:hAnsi="Times New Roman" w:cs="Times New Roman"/>
          <w:sz w:val="24"/>
          <w:szCs w:val="24"/>
        </w:rPr>
        <w:t xml:space="preserve">  </w:t>
      </w:r>
    </w:p>
    <w:p w:rsidR="00D573DF" w:rsidRPr="009218D1" w:rsidRDefault="00837541" w:rsidP="00837541">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3.TÜRKİYE’DEKİ FİRMALAR ÖZELİNDE YAPILAN ÇALIŞMALAR</w:t>
      </w:r>
    </w:p>
    <w:p w:rsidR="003414CA" w:rsidRPr="009218D1" w:rsidRDefault="001C2141"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Türkiy</w:t>
      </w:r>
      <w:r w:rsidR="003A4E70" w:rsidRPr="009218D1">
        <w:rPr>
          <w:rFonts w:ascii="Times New Roman" w:hAnsi="Times New Roman" w:cs="Times New Roman"/>
          <w:sz w:val="24"/>
          <w:szCs w:val="24"/>
        </w:rPr>
        <w:t xml:space="preserve">e’de sermaye yapısı teorileri ile ilgili yapılmış </w:t>
      </w:r>
      <w:r w:rsidRPr="009218D1">
        <w:rPr>
          <w:rFonts w:ascii="Times New Roman" w:hAnsi="Times New Roman" w:cs="Times New Roman"/>
          <w:sz w:val="24"/>
          <w:szCs w:val="24"/>
        </w:rPr>
        <w:t xml:space="preserve">olan </w:t>
      </w:r>
      <w:r w:rsidR="00315159" w:rsidRPr="009218D1">
        <w:rPr>
          <w:rFonts w:ascii="Times New Roman" w:hAnsi="Times New Roman" w:cs="Times New Roman"/>
          <w:sz w:val="24"/>
          <w:szCs w:val="24"/>
        </w:rPr>
        <w:t>çalışmalar</w:t>
      </w:r>
      <w:r w:rsidR="003A4E70" w:rsidRPr="009218D1">
        <w:rPr>
          <w:rFonts w:ascii="Times New Roman" w:hAnsi="Times New Roman" w:cs="Times New Roman"/>
          <w:sz w:val="24"/>
          <w:szCs w:val="24"/>
        </w:rPr>
        <w:t>dan 1997 yılı sonrasındakilerin</w:t>
      </w:r>
      <w:r w:rsidR="0012411C" w:rsidRPr="009218D1">
        <w:rPr>
          <w:rFonts w:ascii="Times New Roman" w:hAnsi="Times New Roman" w:cs="Times New Roman"/>
          <w:sz w:val="24"/>
          <w:szCs w:val="24"/>
        </w:rPr>
        <w:t xml:space="preserve"> bir kısmı</w:t>
      </w:r>
      <w:r w:rsidRPr="009218D1">
        <w:rPr>
          <w:rFonts w:ascii="Times New Roman" w:hAnsi="Times New Roman" w:cs="Times New Roman"/>
          <w:sz w:val="24"/>
          <w:szCs w:val="24"/>
        </w:rPr>
        <w:t xml:space="preserve"> </w:t>
      </w:r>
      <w:r w:rsidR="003A4E70" w:rsidRPr="009218D1">
        <w:rPr>
          <w:rFonts w:ascii="Times New Roman" w:hAnsi="Times New Roman" w:cs="Times New Roman"/>
          <w:sz w:val="24"/>
          <w:szCs w:val="24"/>
        </w:rPr>
        <w:t xml:space="preserve">kıyaslama yapabilmek amacıyla </w:t>
      </w:r>
      <w:r w:rsidR="002751D8">
        <w:rPr>
          <w:rFonts w:ascii="Times New Roman" w:hAnsi="Times New Roman" w:cs="Times New Roman"/>
          <w:sz w:val="24"/>
          <w:szCs w:val="24"/>
        </w:rPr>
        <w:t xml:space="preserve">bu bölümde </w:t>
      </w:r>
      <w:r w:rsidR="003A4E70" w:rsidRPr="009218D1">
        <w:rPr>
          <w:rFonts w:ascii="Times New Roman" w:hAnsi="Times New Roman" w:cs="Times New Roman"/>
          <w:sz w:val="24"/>
          <w:szCs w:val="24"/>
        </w:rPr>
        <w:t>ele alınmıştır. B</w:t>
      </w:r>
      <w:r w:rsidRPr="009218D1">
        <w:rPr>
          <w:rFonts w:ascii="Times New Roman" w:hAnsi="Times New Roman" w:cs="Times New Roman"/>
          <w:sz w:val="24"/>
          <w:szCs w:val="24"/>
        </w:rPr>
        <w:t xml:space="preserve">u çalışmalarda </w:t>
      </w:r>
      <w:r w:rsidR="003A4E70" w:rsidRPr="009218D1">
        <w:rPr>
          <w:rFonts w:ascii="Times New Roman" w:hAnsi="Times New Roman" w:cs="Times New Roman"/>
          <w:sz w:val="24"/>
          <w:szCs w:val="24"/>
        </w:rPr>
        <w:t xml:space="preserve">Türk </w:t>
      </w:r>
      <w:r w:rsidR="00127A8F" w:rsidRPr="009218D1">
        <w:rPr>
          <w:rFonts w:ascii="Times New Roman" w:hAnsi="Times New Roman" w:cs="Times New Roman"/>
          <w:sz w:val="24"/>
          <w:szCs w:val="24"/>
        </w:rPr>
        <w:t xml:space="preserve">firmaların sermaye yapısı kararlarını açıkladığı tespit edilen teoriler </w:t>
      </w:r>
      <w:r w:rsidR="00DE2AC1" w:rsidRPr="009218D1">
        <w:rPr>
          <w:rFonts w:ascii="Times New Roman" w:hAnsi="Times New Roman" w:cs="Times New Roman"/>
          <w:sz w:val="24"/>
          <w:szCs w:val="24"/>
        </w:rPr>
        <w:t>Çizgelge</w:t>
      </w:r>
      <w:r w:rsidRPr="009218D1">
        <w:rPr>
          <w:rFonts w:ascii="Times New Roman" w:hAnsi="Times New Roman" w:cs="Times New Roman"/>
          <w:sz w:val="24"/>
          <w:szCs w:val="24"/>
        </w:rPr>
        <w:t xml:space="preserve"> 1’de verilmiştir</w:t>
      </w:r>
      <w:r w:rsidR="00BE3467" w:rsidRPr="009218D1">
        <w:rPr>
          <w:rFonts w:ascii="Times New Roman" w:hAnsi="Times New Roman" w:cs="Times New Roman"/>
          <w:sz w:val="24"/>
          <w:szCs w:val="24"/>
        </w:rPr>
        <w:t>.</w:t>
      </w:r>
      <w:r w:rsidR="00315159" w:rsidRPr="009218D1">
        <w:rPr>
          <w:rFonts w:ascii="Times New Roman" w:hAnsi="Times New Roman" w:cs="Times New Roman"/>
          <w:sz w:val="24"/>
          <w:szCs w:val="24"/>
        </w:rPr>
        <w:t xml:space="preserve"> </w:t>
      </w:r>
      <w:r w:rsidR="003A4E70" w:rsidRPr="009218D1">
        <w:rPr>
          <w:rFonts w:ascii="Times New Roman" w:hAnsi="Times New Roman" w:cs="Times New Roman"/>
          <w:sz w:val="24"/>
          <w:szCs w:val="24"/>
        </w:rPr>
        <w:t>Daha önce yapılmış olan çalışmaların çoğunluğunda Finans</w:t>
      </w:r>
      <w:r w:rsidR="00F479A2" w:rsidRPr="009218D1">
        <w:rPr>
          <w:rFonts w:ascii="Times New Roman" w:hAnsi="Times New Roman" w:cs="Times New Roman"/>
          <w:sz w:val="24"/>
          <w:szCs w:val="24"/>
        </w:rPr>
        <w:t>al Hiyerarşi</w:t>
      </w:r>
      <w:r w:rsidR="003A4E70" w:rsidRPr="009218D1">
        <w:rPr>
          <w:rFonts w:ascii="Times New Roman" w:hAnsi="Times New Roman" w:cs="Times New Roman"/>
          <w:sz w:val="24"/>
          <w:szCs w:val="24"/>
        </w:rPr>
        <w:t xml:space="preserve"> Teorisinin geçerli olduğu belirlenmiş olmakla birlikte, literatürde her iki teoriye de uyan sonuçlar elde edilmiş olan çalışmalar da mevcuttur.</w:t>
      </w:r>
    </w:p>
    <w:p w:rsidR="003414CA" w:rsidRPr="009218D1" w:rsidRDefault="00837541" w:rsidP="00837541">
      <w:pPr>
        <w:spacing w:before="120" w:after="120" w:line="240" w:lineRule="auto"/>
        <w:jc w:val="center"/>
        <w:rPr>
          <w:rFonts w:ascii="Times New Roman" w:hAnsi="Times New Roman" w:cs="Times New Roman"/>
          <w:b/>
          <w:sz w:val="24"/>
          <w:szCs w:val="24"/>
        </w:rPr>
      </w:pPr>
      <w:r w:rsidRPr="009218D1">
        <w:rPr>
          <w:rFonts w:ascii="Times New Roman" w:hAnsi="Times New Roman" w:cs="Times New Roman"/>
          <w:b/>
          <w:sz w:val="24"/>
          <w:szCs w:val="24"/>
        </w:rPr>
        <w:t xml:space="preserve">Çizelge </w:t>
      </w:r>
      <w:r w:rsidR="003414CA" w:rsidRPr="009218D1">
        <w:rPr>
          <w:rFonts w:ascii="Times New Roman" w:hAnsi="Times New Roman" w:cs="Times New Roman"/>
          <w:b/>
          <w:sz w:val="24"/>
          <w:szCs w:val="24"/>
        </w:rPr>
        <w:t>1</w:t>
      </w:r>
      <w:r w:rsidR="00BE3467" w:rsidRPr="009218D1">
        <w:rPr>
          <w:rFonts w:ascii="Times New Roman" w:hAnsi="Times New Roman" w:cs="Times New Roman"/>
          <w:b/>
          <w:sz w:val="24"/>
          <w:szCs w:val="24"/>
        </w:rPr>
        <w:t>.</w:t>
      </w:r>
      <w:r w:rsidR="003414CA" w:rsidRPr="009218D1">
        <w:rPr>
          <w:rFonts w:ascii="Times New Roman" w:hAnsi="Times New Roman" w:cs="Times New Roman"/>
          <w:b/>
          <w:sz w:val="24"/>
          <w:szCs w:val="24"/>
        </w:rPr>
        <w:t xml:space="preserve"> Türkiye’de Yapılmış Olan Çalışmalar</w:t>
      </w:r>
    </w:p>
    <w:tbl>
      <w:tblPr>
        <w:tblStyle w:val="TabloKlavuzu"/>
        <w:tblW w:w="0" w:type="auto"/>
        <w:tblInd w:w="108" w:type="dxa"/>
        <w:tblLook w:val="04A0" w:firstRow="1" w:lastRow="0" w:firstColumn="1" w:lastColumn="0" w:noHBand="0" w:noVBand="1"/>
      </w:tblPr>
      <w:tblGrid>
        <w:gridCol w:w="3261"/>
        <w:gridCol w:w="5811"/>
      </w:tblGrid>
      <w:tr w:rsidR="00127A8F" w:rsidRPr="009218D1" w:rsidTr="00BA03F7">
        <w:trPr>
          <w:trHeight w:val="19"/>
        </w:trPr>
        <w:tc>
          <w:tcPr>
            <w:tcW w:w="3261" w:type="dxa"/>
          </w:tcPr>
          <w:p w:rsidR="00127A8F" w:rsidRPr="009218D1" w:rsidRDefault="00127A8F" w:rsidP="002B4E2F">
            <w:pPr>
              <w:rPr>
                <w:rFonts w:ascii="Times New Roman" w:eastAsia="Times New Roman" w:hAnsi="Times New Roman" w:cs="Times New Roman"/>
                <w:b/>
                <w:sz w:val="24"/>
                <w:szCs w:val="24"/>
              </w:rPr>
            </w:pPr>
            <w:r w:rsidRPr="009218D1">
              <w:rPr>
                <w:rFonts w:ascii="Times New Roman" w:eastAsia="Times New Roman" w:hAnsi="Times New Roman" w:cs="Times New Roman"/>
                <w:b/>
                <w:sz w:val="24"/>
                <w:szCs w:val="24"/>
              </w:rPr>
              <w:t>Yazar</w:t>
            </w:r>
            <w:r w:rsidR="009E5B8D" w:rsidRPr="009218D1">
              <w:rPr>
                <w:rFonts w:ascii="Times New Roman" w:eastAsia="Times New Roman" w:hAnsi="Times New Roman" w:cs="Times New Roman"/>
                <w:b/>
                <w:sz w:val="24"/>
                <w:szCs w:val="24"/>
              </w:rPr>
              <w:t xml:space="preserve"> ve Yıl</w:t>
            </w:r>
          </w:p>
        </w:tc>
        <w:tc>
          <w:tcPr>
            <w:tcW w:w="5811" w:type="dxa"/>
          </w:tcPr>
          <w:p w:rsidR="00127A8F" w:rsidRPr="009218D1" w:rsidRDefault="00127A8F" w:rsidP="002B4E2F">
            <w:pPr>
              <w:rPr>
                <w:rFonts w:ascii="Times New Roman" w:eastAsia="Times New Roman" w:hAnsi="Times New Roman" w:cs="Times New Roman"/>
                <w:b/>
                <w:sz w:val="24"/>
                <w:szCs w:val="24"/>
              </w:rPr>
            </w:pPr>
            <w:r w:rsidRPr="009218D1">
              <w:rPr>
                <w:rFonts w:ascii="Times New Roman" w:eastAsia="Times New Roman" w:hAnsi="Times New Roman" w:cs="Times New Roman"/>
                <w:b/>
                <w:sz w:val="24"/>
                <w:szCs w:val="24"/>
              </w:rPr>
              <w:t>Uygun Bulunan Sermaye Yapısı Teorisi</w:t>
            </w:r>
          </w:p>
        </w:tc>
      </w:tr>
      <w:tr w:rsidR="00127A8F" w:rsidRPr="009218D1" w:rsidTr="00BA03F7">
        <w:trPr>
          <w:trHeight w:val="19"/>
        </w:trPr>
        <w:tc>
          <w:tcPr>
            <w:tcW w:w="326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Köksal vd</w:t>
            </w:r>
            <w:r w:rsidR="00BE3467" w:rsidRPr="009218D1">
              <w:rPr>
                <w:rFonts w:ascii="Times New Roman" w:eastAsia="Times New Roman" w:hAnsi="Times New Roman" w:cs="Times New Roman"/>
                <w:sz w:val="24"/>
                <w:szCs w:val="24"/>
              </w:rPr>
              <w:t>.</w:t>
            </w:r>
            <w:r w:rsidRPr="009218D1">
              <w:rPr>
                <w:rFonts w:ascii="Times New Roman" w:eastAsia="Times New Roman" w:hAnsi="Times New Roman" w:cs="Times New Roman"/>
                <w:sz w:val="24"/>
                <w:szCs w:val="24"/>
              </w:rPr>
              <w:t xml:space="preserve"> (2013)</w:t>
            </w:r>
          </w:p>
        </w:tc>
        <w:tc>
          <w:tcPr>
            <w:tcW w:w="581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Ödünleşme Teorisi</w:t>
            </w:r>
          </w:p>
        </w:tc>
      </w:tr>
      <w:tr w:rsidR="00127A8F" w:rsidRPr="009218D1" w:rsidTr="00BA03F7">
        <w:trPr>
          <w:trHeight w:val="19"/>
        </w:trPr>
        <w:tc>
          <w:tcPr>
            <w:tcW w:w="326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Gülşen ve Ülkütaş (2012)</w:t>
            </w:r>
          </w:p>
        </w:tc>
        <w:tc>
          <w:tcPr>
            <w:tcW w:w="581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Finansal Hiyerarşi Teorisi</w:t>
            </w:r>
          </w:p>
        </w:tc>
      </w:tr>
      <w:tr w:rsidR="00127A8F" w:rsidRPr="009218D1" w:rsidTr="00BA03F7">
        <w:trPr>
          <w:trHeight w:val="64"/>
        </w:trPr>
        <w:tc>
          <w:tcPr>
            <w:tcW w:w="326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Kısakürek ve Aydın (2013)</w:t>
            </w:r>
          </w:p>
        </w:tc>
        <w:tc>
          <w:tcPr>
            <w:tcW w:w="581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Finansal Hiyerarşi Teorisi</w:t>
            </w:r>
          </w:p>
        </w:tc>
      </w:tr>
      <w:tr w:rsidR="00127A8F" w:rsidRPr="009218D1" w:rsidTr="00BA03F7">
        <w:trPr>
          <w:trHeight w:val="62"/>
        </w:trPr>
        <w:tc>
          <w:tcPr>
            <w:tcW w:w="326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Sayılgan ve Uysal (2011)</w:t>
            </w:r>
          </w:p>
        </w:tc>
        <w:tc>
          <w:tcPr>
            <w:tcW w:w="5811" w:type="dxa"/>
          </w:tcPr>
          <w:p w:rsidR="00127A8F"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Ödünleşme Teorisi</w:t>
            </w:r>
          </w:p>
        </w:tc>
      </w:tr>
      <w:tr w:rsidR="009E5B8D" w:rsidRPr="009218D1" w:rsidTr="00BA03F7">
        <w:trPr>
          <w:trHeight w:val="62"/>
        </w:trPr>
        <w:tc>
          <w:tcPr>
            <w:tcW w:w="3261" w:type="dxa"/>
          </w:tcPr>
          <w:p w:rsidR="009E5B8D"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Yıldız vd</w:t>
            </w:r>
            <w:r w:rsidR="00BE3467" w:rsidRPr="009218D1">
              <w:rPr>
                <w:rFonts w:ascii="Times New Roman" w:eastAsia="Times New Roman" w:hAnsi="Times New Roman" w:cs="Times New Roman"/>
                <w:sz w:val="24"/>
                <w:szCs w:val="24"/>
              </w:rPr>
              <w:t>.</w:t>
            </w:r>
            <w:r w:rsidRPr="009218D1">
              <w:rPr>
                <w:rFonts w:ascii="Times New Roman" w:eastAsia="Times New Roman" w:hAnsi="Times New Roman" w:cs="Times New Roman"/>
                <w:sz w:val="24"/>
                <w:szCs w:val="24"/>
              </w:rPr>
              <w:t xml:space="preserve"> (2009)</w:t>
            </w:r>
          </w:p>
        </w:tc>
        <w:tc>
          <w:tcPr>
            <w:tcW w:w="5811" w:type="dxa"/>
          </w:tcPr>
          <w:p w:rsidR="009E5B8D" w:rsidRPr="009218D1" w:rsidRDefault="009E5B8D"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Hem Finansal Hiyerarşi Teorisi hem de Ödünleşme Teorisi uygun bulunmuştur</w:t>
            </w:r>
            <w:r w:rsidR="00BE3467" w:rsidRPr="009218D1">
              <w:rPr>
                <w:rFonts w:ascii="Times New Roman" w:eastAsia="Times New Roman" w:hAnsi="Times New Roman" w:cs="Times New Roman"/>
                <w:sz w:val="24"/>
                <w:szCs w:val="24"/>
              </w:rPr>
              <w:t>.</w:t>
            </w:r>
          </w:p>
        </w:tc>
      </w:tr>
      <w:tr w:rsidR="0012411C" w:rsidRPr="009218D1" w:rsidTr="00BA03F7">
        <w:trPr>
          <w:trHeight w:val="96"/>
        </w:trPr>
        <w:tc>
          <w:tcPr>
            <w:tcW w:w="3261" w:type="dxa"/>
          </w:tcPr>
          <w:p w:rsidR="0012411C" w:rsidRPr="009218D1" w:rsidRDefault="0012411C"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Fettahoğlu ve Okuyan (2008)</w:t>
            </w:r>
          </w:p>
        </w:tc>
        <w:tc>
          <w:tcPr>
            <w:tcW w:w="5811" w:type="dxa"/>
          </w:tcPr>
          <w:p w:rsidR="0012411C" w:rsidRPr="009218D1" w:rsidRDefault="007278F0"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Finansal Hiyerarşi Teorisi</w:t>
            </w:r>
          </w:p>
        </w:tc>
      </w:tr>
      <w:tr w:rsidR="00315159" w:rsidRPr="009218D1" w:rsidTr="00BA03F7">
        <w:trPr>
          <w:trHeight w:val="62"/>
        </w:trPr>
        <w:tc>
          <w:tcPr>
            <w:tcW w:w="326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Demirhan (2009)</w:t>
            </w:r>
          </w:p>
        </w:tc>
        <w:tc>
          <w:tcPr>
            <w:tcW w:w="581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Finansal Hiyerarşi Teorisi</w:t>
            </w:r>
          </w:p>
        </w:tc>
      </w:tr>
      <w:tr w:rsidR="00315159" w:rsidRPr="009218D1" w:rsidTr="00BA03F7">
        <w:trPr>
          <w:trHeight w:val="62"/>
        </w:trPr>
        <w:tc>
          <w:tcPr>
            <w:tcW w:w="326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Çağlayan (2006)</w:t>
            </w:r>
          </w:p>
        </w:tc>
        <w:tc>
          <w:tcPr>
            <w:tcW w:w="581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Finansal Hiyerarşi Teorisi</w:t>
            </w:r>
          </w:p>
        </w:tc>
      </w:tr>
      <w:tr w:rsidR="00331229" w:rsidRPr="009218D1" w:rsidTr="00BA03F7">
        <w:trPr>
          <w:trHeight w:val="62"/>
        </w:trPr>
        <w:tc>
          <w:tcPr>
            <w:tcW w:w="3261" w:type="dxa"/>
          </w:tcPr>
          <w:p w:rsidR="00331229" w:rsidRPr="009218D1" w:rsidRDefault="0033122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 xml:space="preserve">Sayılgan </w:t>
            </w:r>
            <w:r w:rsidR="00722376" w:rsidRPr="009218D1">
              <w:rPr>
                <w:rFonts w:ascii="Times New Roman" w:eastAsia="Times New Roman" w:hAnsi="Times New Roman" w:cs="Times New Roman"/>
                <w:sz w:val="24"/>
                <w:szCs w:val="24"/>
              </w:rPr>
              <w:t xml:space="preserve">vd. </w:t>
            </w:r>
            <w:r w:rsidRPr="009218D1">
              <w:rPr>
                <w:rFonts w:ascii="Times New Roman" w:eastAsia="Times New Roman" w:hAnsi="Times New Roman" w:cs="Times New Roman"/>
                <w:sz w:val="24"/>
                <w:szCs w:val="24"/>
              </w:rPr>
              <w:t>(2006)</w:t>
            </w:r>
          </w:p>
        </w:tc>
        <w:tc>
          <w:tcPr>
            <w:tcW w:w="5811" w:type="dxa"/>
          </w:tcPr>
          <w:p w:rsidR="00331229" w:rsidRPr="009218D1" w:rsidRDefault="00C44851"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Hem Finansal Hiyerarşi Teorisi hem de Ödünleşme Teorisi uygun bulunmuştur</w:t>
            </w:r>
            <w:r w:rsidR="00BE3467" w:rsidRPr="009218D1">
              <w:rPr>
                <w:rFonts w:ascii="Times New Roman" w:eastAsia="Times New Roman" w:hAnsi="Times New Roman" w:cs="Times New Roman"/>
                <w:sz w:val="24"/>
                <w:szCs w:val="24"/>
              </w:rPr>
              <w:t>.</w:t>
            </w:r>
          </w:p>
        </w:tc>
      </w:tr>
      <w:tr w:rsidR="00315159" w:rsidRPr="009218D1" w:rsidTr="00BA03F7">
        <w:trPr>
          <w:trHeight w:val="94"/>
        </w:trPr>
        <w:tc>
          <w:tcPr>
            <w:tcW w:w="326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Acaravcı ve Doğukanlı (2004)</w:t>
            </w:r>
          </w:p>
        </w:tc>
        <w:tc>
          <w:tcPr>
            <w:tcW w:w="581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Finansal Hiyerarşi Teorisi</w:t>
            </w:r>
          </w:p>
        </w:tc>
      </w:tr>
      <w:tr w:rsidR="00315159" w:rsidRPr="009218D1" w:rsidTr="00BA03F7">
        <w:trPr>
          <w:trHeight w:val="66"/>
        </w:trPr>
        <w:tc>
          <w:tcPr>
            <w:tcW w:w="326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Durukan (1997)</w:t>
            </w:r>
          </w:p>
        </w:tc>
        <w:tc>
          <w:tcPr>
            <w:tcW w:w="5811" w:type="dxa"/>
          </w:tcPr>
          <w:p w:rsidR="00315159" w:rsidRPr="009218D1" w:rsidRDefault="00315159" w:rsidP="002B4E2F">
            <w:pP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Finansal Hiyerarşi Teorisi</w:t>
            </w:r>
          </w:p>
        </w:tc>
      </w:tr>
    </w:tbl>
    <w:p w:rsidR="00AB0099" w:rsidRPr="009218D1" w:rsidRDefault="00AB0099" w:rsidP="00AB0099">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Köksal vd. (2013), çalışmalarında üretim ve üretim dışı firmaları, büyük ve küçük firmaları, genç ve olgun firmaları ele alarak yaptıkları analiz sonucunda, kaldıraç oranlarının büyüklük, borç dışı vergi kalkanı, sektör medyan kaldıraç oranları, enflasyon ve yabancı sermaye girişleri ile pozitif; kârlılık, işletme riski ve </w:t>
      </w:r>
      <w:hyperlink r:id="rId9" w:history="1">
        <w:r w:rsidRPr="009218D1">
          <w:rPr>
            <w:rFonts w:ascii="Times New Roman" w:hAnsi="Times New Roman" w:cs="Times New Roman"/>
            <w:sz w:val="24"/>
            <w:szCs w:val="24"/>
          </w:rPr>
          <w:t>reel gayri safi yurtiçi hasıla</w:t>
        </w:r>
      </w:hyperlink>
      <w:r w:rsidRPr="009218D1">
        <w:rPr>
          <w:rFonts w:ascii="Times New Roman" w:hAnsi="Times New Roman" w:cs="Times New Roman"/>
          <w:sz w:val="24"/>
          <w:szCs w:val="24"/>
        </w:rPr>
        <w:t xml:space="preserve"> büyümesi ile negatif ilişkisi olduğunu tespit etmişlerdir. Firma büyüme oranının sermaye yapısı kararları ile ilişkisi bulunamamıştır.</w:t>
      </w:r>
    </w:p>
    <w:p w:rsidR="00AB0099" w:rsidRPr="009218D1" w:rsidRDefault="00AB0099" w:rsidP="00AB0099">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Gülşen ve Ülkütaş (2012), yaptıkları çalışma ile hisse senetleri İMKB’da işlem gören sanayi işletmelerinin, sermaye yapısı yaklaşımlarını panel veri analizi yöntemi ile analiz etmişlerdir. Çalışmada 143 adet işletmenin 1990-2005 yılları için yıllık mali tablolarından elde edilen veriler kullanılmıştır. Araştırma sonuçlarına göre; bir önceki yılın kârlılığı ile kaldıraç arasında anlamlı bir ilişkinin olmadığı ortaya çıkmıştır. Ancak ilgili dönemki kârlılık ile kaldıraç arasında anlamlı negatif bir ilişki, firma büyüklüğü ile kaldıraç arasında da negatif bir ilişki tespit edilmiştir. Bu sonuçlar Finansal Hiyerarşi Teorisini desteklemektedir</w:t>
      </w:r>
    </w:p>
    <w:p w:rsidR="00AB0099" w:rsidRPr="009218D1" w:rsidRDefault="00AB0099" w:rsidP="00AB0099">
      <w:pPr>
        <w:spacing w:before="120" w:after="120" w:line="240" w:lineRule="auto"/>
        <w:jc w:val="both"/>
        <w:rPr>
          <w:rFonts w:ascii="Times New Roman" w:hAnsi="Times New Roman" w:cs="Times New Roman"/>
          <w:color w:val="000000"/>
          <w:sz w:val="24"/>
          <w:szCs w:val="24"/>
        </w:rPr>
      </w:pPr>
      <w:r w:rsidRPr="009218D1">
        <w:rPr>
          <w:rFonts w:ascii="Times New Roman" w:hAnsi="Times New Roman" w:cs="Times New Roman"/>
          <w:color w:val="000000"/>
          <w:sz w:val="24"/>
          <w:szCs w:val="24"/>
        </w:rPr>
        <w:t xml:space="preserve">Kısakürek ve Aydın (2013), Borsa İstanbul’da 1992-2011 yılları arasında faaliyet gösteren 104 adet finans sektörü dışındaki işletmenin sermaye yapısı ile kârlılıkları arasındaki ilişkiyi kriz yıllarını da dikkate alarak incelemişlerdir. Çalışmada kullanılan bağımlı değişkenler sırasıyla özsermaye kârlılığı, satış kârlılığı ve aktif kârlılığı olup, bağımsız değişkenler firma büyüklüğü, finansal yabancı kaynak/toplam yabancı kaynak, finansal yabancı kaynak/toplam varlık, toplam yabancı kaynak/toplam varlık, yeniden değerleme/özkaynak, ödenmiş sermaye/özkaynak, finansman gideri/toplam yabancı kaynak, özkaynak/toplam kaynak, uzun vadeli toplam borç/toplam kaynak, kısa vadeli toplam borç/toplam kaynak şeklinde </w:t>
      </w:r>
      <w:r w:rsidRPr="009218D1">
        <w:rPr>
          <w:rFonts w:ascii="Times New Roman" w:hAnsi="Times New Roman" w:cs="Times New Roman"/>
          <w:color w:val="000000"/>
          <w:sz w:val="24"/>
          <w:szCs w:val="24"/>
        </w:rPr>
        <w:lastRenderedPageBreak/>
        <w:t>belirlenmiştir. Sonuç olarak firmaların kriz yılları da dâhil olmak üzere öz kaynakları tercih ettiği tespit edilmiştir.</w:t>
      </w:r>
    </w:p>
    <w:p w:rsidR="00AB0099" w:rsidRPr="009218D1" w:rsidRDefault="00AB0099" w:rsidP="00AB0099">
      <w:pPr>
        <w:pStyle w:val="Default"/>
        <w:spacing w:before="120" w:after="120"/>
        <w:jc w:val="both"/>
      </w:pPr>
      <w:r w:rsidRPr="009218D1">
        <w:t xml:space="preserve">Sayılgan ve Uysal (2011), 1996-2008 döneminde işletmelerin sermaye yapısını etkileyen faktörleri panel veri analizi yöntemiyle Merkez Bankası’nın yayınladığı sektör bilançolarından yararlanarak araştırmışlardır. Çalışmada kaldıraç oranına etkisi araştırılan değişkenler sırasıyla; büyüklük, varlık yapısı, kârlılık, büyüme fırsatları, borç dışı vergi kalkanı ve iflas riskidir. Analiz sonuçlarına göre; kaldıraç oranı ile borç dışı vergi kalkanı arasındaki negatif, büyüme fırsatları, varlık yapısı, kârlılık ve büyüklük ile pozitif ilişki saptanmıştır. </w:t>
      </w:r>
    </w:p>
    <w:p w:rsidR="00AB0099" w:rsidRPr="009218D1" w:rsidRDefault="00AB0099" w:rsidP="00AB0099">
      <w:pPr>
        <w:pStyle w:val="Default"/>
        <w:spacing w:before="120" w:after="120"/>
        <w:jc w:val="both"/>
      </w:pPr>
      <w:r w:rsidRPr="009218D1">
        <w:t>Yıldız vd. (2009), sermaye yapısı teorilerinin geçerliliğini 1998-2006 yılları arasında İMKB’de işlem gören 138 adet imalat işletmesi için test etmişlerdir. Sonuç olarak, sermaye yapısı ile kârlılığın negatif ve büyüme oranının pozitif ilişkide olması Finansal Hiyerarşi Teorisini; sermaye yapısı ile işletme büyüklüğünün pozitif ilişkide olması ödünleşme teorisini desteklemektedir. Borç dışı vergi kalkanı ve vergi oranı değişkenleri istatistiksel olarak anlamsız çıkarken, maddi duran varlıkların payının sadece kısa vadeli borçlar için sermaye yapısı ile negatif ilişkili olduğu ortaya konmuştur.</w:t>
      </w:r>
    </w:p>
    <w:p w:rsidR="00AB0099" w:rsidRPr="009218D1" w:rsidRDefault="00AB0099" w:rsidP="00AB0099">
      <w:pPr>
        <w:autoSpaceDE w:val="0"/>
        <w:autoSpaceDN w:val="0"/>
        <w:adjustRightInd w:val="0"/>
        <w:spacing w:before="120" w:after="120" w:line="240" w:lineRule="auto"/>
        <w:jc w:val="both"/>
        <w:rPr>
          <w:rFonts w:ascii="Times New Roman" w:hAnsi="Times New Roman" w:cs="Times New Roman"/>
          <w:color w:val="000000"/>
          <w:sz w:val="24"/>
          <w:szCs w:val="24"/>
        </w:rPr>
      </w:pPr>
      <w:r w:rsidRPr="009218D1">
        <w:rPr>
          <w:rFonts w:ascii="Times New Roman" w:hAnsi="Times New Roman" w:cs="Times New Roman"/>
          <w:color w:val="000000"/>
          <w:sz w:val="24"/>
          <w:szCs w:val="24"/>
        </w:rPr>
        <w:t xml:space="preserve">Fettahoğlu ve Okuyan (2008), İMKB’de işlem gören Taşa ve Toprağa Dayalı Sanayi sektöründeki işletmelerin sermaye yapılarının açıklanmasında hangi teorilerin geçerli olduğunu ortaya koymaya çalışmışlardır. Araştırma sonucunda, söz konusu sanayi sektöründe sermaye yapısı hedefinin olmadığı ve ağırlıklı olarak özsermaye ile finanse edildiği ortaya çıkmıştır. </w:t>
      </w:r>
    </w:p>
    <w:p w:rsidR="00AB0099" w:rsidRPr="009218D1" w:rsidRDefault="00AB0099" w:rsidP="00AB0099">
      <w:pPr>
        <w:spacing w:before="120" w:after="120" w:line="240" w:lineRule="auto"/>
        <w:jc w:val="both"/>
        <w:rPr>
          <w:rFonts w:ascii="Times New Roman" w:hAnsi="Times New Roman" w:cs="Times New Roman"/>
          <w:sz w:val="24"/>
          <w:szCs w:val="24"/>
        </w:rPr>
      </w:pPr>
      <w:r w:rsidRPr="009218D1">
        <w:rPr>
          <w:rFonts w:ascii="Times New Roman" w:hAnsi="Times New Roman" w:cs="Times New Roman"/>
          <w:color w:val="000000"/>
          <w:sz w:val="24"/>
          <w:szCs w:val="24"/>
        </w:rPr>
        <w:t>Demirhan (2009</w:t>
      </w:r>
      <w:r w:rsidR="00555146">
        <w:rPr>
          <w:rFonts w:ascii="Times New Roman" w:hAnsi="Times New Roman" w:cs="Times New Roman"/>
          <w:color w:val="000000"/>
          <w:sz w:val="24"/>
          <w:szCs w:val="24"/>
        </w:rPr>
        <w:t>),  çalışmasında İMKB’nin 2006 Faaliyet R</w:t>
      </w:r>
      <w:r w:rsidRPr="009218D1">
        <w:rPr>
          <w:rFonts w:ascii="Times New Roman" w:hAnsi="Times New Roman" w:cs="Times New Roman"/>
          <w:color w:val="000000"/>
          <w:sz w:val="24"/>
          <w:szCs w:val="24"/>
        </w:rPr>
        <w:t>aporu</w:t>
      </w:r>
      <w:r w:rsidR="00555146">
        <w:rPr>
          <w:rFonts w:ascii="Times New Roman" w:hAnsi="Times New Roman" w:cs="Times New Roman"/>
          <w:color w:val="000000"/>
          <w:sz w:val="24"/>
          <w:szCs w:val="24"/>
        </w:rPr>
        <w:t>’</w:t>
      </w:r>
      <w:r w:rsidRPr="009218D1">
        <w:rPr>
          <w:rFonts w:ascii="Times New Roman" w:hAnsi="Times New Roman" w:cs="Times New Roman"/>
          <w:color w:val="000000"/>
          <w:sz w:val="24"/>
          <w:szCs w:val="24"/>
        </w:rPr>
        <w:t>nda ulusal hizmetler sektörü bölümünde yer alan 20 işletmenin 2003-2006 dönemine ait verileri regresyon modeli aracılığıyla analiz etmiştir. Sermaye yapısını etkileyen firmaya özgü faktörler olarak kârlılık, firma büyüklüğü, büyüme olanakları, varlık yapısı, firma riski, vergi, borçlanma maliyeti, likidite, borç dışı vergi kalkanı alınmıştır. Borç dışı vergi kalkanı, büyüme olanakları, firma riski, vergi ve borçlanma maliyeti değişkenlerinin hizmet firmalarının sermaye yapısını etkileyen önemli faktörler olmadığı ortaya çıkmıştır. Araştırma bulguları finansal hiyerarşi yaklaşımına uygun olup, kârlı firmaların daha az borçlanmaya gitmesi firmaların öncelikle iç kaynaklarından yararlandığını göstermektedir</w:t>
      </w:r>
      <w:r w:rsidRPr="009218D1">
        <w:rPr>
          <w:rFonts w:ascii="Times New Roman" w:hAnsi="Times New Roman" w:cs="Times New Roman"/>
          <w:sz w:val="24"/>
          <w:szCs w:val="24"/>
        </w:rPr>
        <w:t>.</w:t>
      </w:r>
    </w:p>
    <w:p w:rsidR="00AB0099" w:rsidRPr="009218D1" w:rsidRDefault="00AB0099" w:rsidP="00AB0099">
      <w:pPr>
        <w:autoSpaceDE w:val="0"/>
        <w:autoSpaceDN w:val="0"/>
        <w:adjustRightInd w:val="0"/>
        <w:spacing w:before="120" w:after="120" w:line="240" w:lineRule="auto"/>
        <w:jc w:val="both"/>
        <w:rPr>
          <w:rFonts w:ascii="Times New Roman" w:hAnsi="Times New Roman" w:cs="Times New Roman"/>
          <w:color w:val="000000"/>
          <w:sz w:val="24"/>
          <w:szCs w:val="24"/>
        </w:rPr>
      </w:pPr>
      <w:r w:rsidRPr="009218D1">
        <w:rPr>
          <w:rFonts w:ascii="Times New Roman" w:hAnsi="Times New Roman" w:cs="Times New Roman"/>
          <w:color w:val="000000"/>
          <w:sz w:val="24"/>
          <w:szCs w:val="24"/>
        </w:rPr>
        <w:t>Sayılgan vd. (2006), İMKB’de işlem gören 123 imalat işletmesinin 1993-2002 yıllarına ait verileri panel veri yöntemiyle analiz yapmışlardır. Bu analizde bağımlı değişken olarak toplam borç/net varlıklar oranı kullanılmıştır. Sermaye yapısını etkileyen değişkenler olarak ise, işletme büyüklüğü, kârlılık, büyüme fırsatları (maddi duran varlıklarda ve toplam varlıklarda olmak üzere iki ayrı büyüme fırsatı tanımlanmıştır), duran varlık oranı ve borç dışı vergi kalkanı kullanılmıştır. Analiz sonuçlarına göre; firma büyüklüğü ve büyüme fırsatları ile sermaye yapısı arasında pozitif ilişki; kârlılık, maddi duran varlık oranı ve vergi kalkanının kaldıraç düzeyiyle negatif ilişki olduğu saptanmıştır.</w:t>
      </w:r>
    </w:p>
    <w:p w:rsidR="00AB0099" w:rsidRPr="009218D1" w:rsidRDefault="00AB0099" w:rsidP="00AB0099">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Acaravcı ve Doğukanlı (2004) yaptıkları çalışmada 1992-2002 yılları arasında İMKB’de işlem gören 66 imalat işletmesi için sermaye yapısını etkileyen faktörleri, firmaya özgü, finansal piyasalara özgü ve makroekonomik değişkenler kullanarak panel veri analizi yöntemi ile tespit etmişlerdir. Firmaların büyüme oranları, bankacılık sektörünün gelişmişliği, enflasyon ve kurumlar vergisi oranı, sermaye yapısı üzerinde pozitif etkiye; kârlılık değişkeni ise negatif etkiye sahiptir.</w:t>
      </w:r>
    </w:p>
    <w:p w:rsidR="00AB0099" w:rsidRPr="009218D1" w:rsidRDefault="00AB0099" w:rsidP="00AB0099">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Durukan (1997), İMKB’de işlem gören 5 ana imalat sektöründen 68 işletmenin 1990-1995 yıllarına ait yatay kesit verilerini analiz ederek optimal sermaye yapısının var olup olmadığını </w:t>
      </w:r>
      <w:r w:rsidRPr="009218D1">
        <w:rPr>
          <w:rFonts w:ascii="Times New Roman" w:hAnsi="Times New Roman" w:cs="Times New Roman"/>
          <w:sz w:val="24"/>
          <w:szCs w:val="24"/>
        </w:rPr>
        <w:lastRenderedPageBreak/>
        <w:t xml:space="preserve">tespit etmeye çalışmıştır. Bağımsız değişkenler sırasıyla büyüklük, işletme riski, kârlılık, borç dışı vergi kalkanı, vergi düzeyi ve büyüme oranıdır. </w:t>
      </w:r>
    </w:p>
    <w:p w:rsidR="0049417C" w:rsidRPr="009218D1" w:rsidRDefault="00837541" w:rsidP="00837541">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4.UYGULAMA</w:t>
      </w:r>
    </w:p>
    <w:p w:rsidR="002F6A4C" w:rsidRPr="009218D1" w:rsidRDefault="0049417C"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Çalışmasının </w:t>
      </w:r>
      <w:r w:rsidR="003218E5">
        <w:rPr>
          <w:rFonts w:ascii="Times New Roman" w:hAnsi="Times New Roman" w:cs="Times New Roman"/>
          <w:sz w:val="24"/>
          <w:szCs w:val="24"/>
        </w:rPr>
        <w:t>dördüncü</w:t>
      </w:r>
      <w:r w:rsidRPr="009218D1">
        <w:rPr>
          <w:rFonts w:ascii="Times New Roman" w:hAnsi="Times New Roman" w:cs="Times New Roman"/>
          <w:sz w:val="24"/>
          <w:szCs w:val="24"/>
        </w:rPr>
        <w:t xml:space="preserve"> bölümü uygulama kısmından oluşmaktadır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 kapsamda; </w:t>
      </w:r>
      <w:r w:rsidR="002F6A4C" w:rsidRPr="009218D1">
        <w:rPr>
          <w:rFonts w:ascii="Times New Roman" w:hAnsi="Times New Roman" w:cs="Times New Roman"/>
          <w:sz w:val="24"/>
          <w:szCs w:val="24"/>
        </w:rPr>
        <w:t>veri seti</w:t>
      </w:r>
      <w:r w:rsidR="009F23A0" w:rsidRPr="009218D1">
        <w:rPr>
          <w:rFonts w:ascii="Times New Roman" w:hAnsi="Times New Roman" w:cs="Times New Roman"/>
          <w:sz w:val="24"/>
          <w:szCs w:val="24"/>
        </w:rPr>
        <w:t>,</w:t>
      </w:r>
      <w:r w:rsidR="002F6A4C" w:rsidRPr="009218D1">
        <w:rPr>
          <w:rFonts w:ascii="Times New Roman" w:hAnsi="Times New Roman" w:cs="Times New Roman"/>
          <w:sz w:val="24"/>
          <w:szCs w:val="24"/>
        </w:rPr>
        <w:t xml:space="preserve"> 169 işletmenin 2003-2014 dönemine ait dengesiz panel veri setidir</w:t>
      </w:r>
      <w:r w:rsidR="00BE3467" w:rsidRPr="009218D1">
        <w:rPr>
          <w:rFonts w:ascii="Times New Roman" w:hAnsi="Times New Roman" w:cs="Times New Roman"/>
          <w:sz w:val="24"/>
          <w:szCs w:val="24"/>
        </w:rPr>
        <w:t>.</w:t>
      </w:r>
      <w:r w:rsidR="009F23A0" w:rsidRPr="009218D1">
        <w:rPr>
          <w:rFonts w:ascii="Times New Roman" w:hAnsi="Times New Roman" w:cs="Times New Roman"/>
          <w:sz w:val="24"/>
          <w:szCs w:val="24"/>
        </w:rPr>
        <w:t xml:space="preserve"> </w:t>
      </w:r>
      <w:r w:rsidR="002F6A4C" w:rsidRPr="009218D1">
        <w:rPr>
          <w:rFonts w:ascii="Times New Roman" w:hAnsi="Times New Roman" w:cs="Times New Roman"/>
          <w:sz w:val="24"/>
          <w:szCs w:val="24"/>
        </w:rPr>
        <w:t>Çalışmanın evreni</w:t>
      </w:r>
      <w:r w:rsidR="009F23A0" w:rsidRPr="009218D1">
        <w:rPr>
          <w:rFonts w:ascii="Times New Roman" w:hAnsi="Times New Roman" w:cs="Times New Roman"/>
          <w:sz w:val="24"/>
          <w:szCs w:val="24"/>
        </w:rPr>
        <w:t>,</w:t>
      </w:r>
      <w:r w:rsidR="002F6A4C" w:rsidRPr="009218D1">
        <w:rPr>
          <w:rFonts w:ascii="Times New Roman" w:hAnsi="Times New Roman" w:cs="Times New Roman"/>
          <w:sz w:val="24"/>
          <w:szCs w:val="24"/>
        </w:rPr>
        <w:t xml:space="preserve"> hisseleri Borsa İstanbul’da işlem gören </w:t>
      </w:r>
      <w:r w:rsidR="00660821" w:rsidRPr="009218D1">
        <w:rPr>
          <w:rFonts w:ascii="Times New Roman" w:hAnsi="Times New Roman" w:cs="Times New Roman"/>
          <w:sz w:val="24"/>
          <w:szCs w:val="24"/>
        </w:rPr>
        <w:t xml:space="preserve">ve verilerine kesintisiz ulaşılabilen </w:t>
      </w:r>
      <w:r w:rsidR="002F6A4C" w:rsidRPr="009218D1">
        <w:rPr>
          <w:rFonts w:ascii="Times New Roman" w:hAnsi="Times New Roman" w:cs="Times New Roman"/>
          <w:sz w:val="24"/>
          <w:szCs w:val="24"/>
        </w:rPr>
        <w:t>finansal olmayan firmaları kapsamaktadır</w:t>
      </w:r>
      <w:r w:rsidR="00BE3467" w:rsidRPr="009218D1">
        <w:rPr>
          <w:rFonts w:ascii="Times New Roman" w:hAnsi="Times New Roman" w:cs="Times New Roman"/>
          <w:sz w:val="24"/>
          <w:szCs w:val="24"/>
        </w:rPr>
        <w:t>.</w:t>
      </w:r>
      <w:r w:rsidR="002F6A4C" w:rsidRPr="009218D1">
        <w:rPr>
          <w:rFonts w:ascii="Times New Roman" w:hAnsi="Times New Roman" w:cs="Times New Roman"/>
          <w:sz w:val="24"/>
          <w:szCs w:val="24"/>
        </w:rPr>
        <w:t xml:space="preserve"> Mali kuruluşlar örneklemde göz ardı edilmiştir</w:t>
      </w:r>
      <w:r w:rsidR="00BE3467" w:rsidRPr="009218D1">
        <w:rPr>
          <w:rFonts w:ascii="Times New Roman" w:hAnsi="Times New Roman" w:cs="Times New Roman"/>
          <w:sz w:val="24"/>
          <w:szCs w:val="24"/>
        </w:rPr>
        <w:t>.</w:t>
      </w:r>
      <w:r w:rsidR="00660821" w:rsidRPr="009218D1">
        <w:rPr>
          <w:rFonts w:ascii="Times New Roman" w:hAnsi="Times New Roman" w:cs="Times New Roman"/>
          <w:sz w:val="24"/>
          <w:szCs w:val="24"/>
        </w:rPr>
        <w:t xml:space="preserve"> </w:t>
      </w:r>
    </w:p>
    <w:p w:rsidR="002F6A4C" w:rsidRPr="009218D1" w:rsidRDefault="0038151B"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Modelin ekonometrik analiz </w:t>
      </w:r>
      <w:r w:rsidR="0049417C" w:rsidRPr="009218D1">
        <w:rPr>
          <w:rFonts w:ascii="Times New Roman" w:hAnsi="Times New Roman" w:cs="Times New Roman"/>
          <w:sz w:val="24"/>
          <w:szCs w:val="24"/>
        </w:rPr>
        <w:t>sonuçları yorumlanırken</w:t>
      </w:r>
      <w:r w:rsidR="00BE3467" w:rsidRPr="009218D1">
        <w:rPr>
          <w:rFonts w:ascii="Times New Roman" w:hAnsi="Times New Roman" w:cs="Times New Roman"/>
          <w:sz w:val="24"/>
          <w:szCs w:val="24"/>
        </w:rPr>
        <w:t>.</w:t>
      </w:r>
      <w:r w:rsidR="0049417C" w:rsidRPr="009218D1">
        <w:rPr>
          <w:rFonts w:ascii="Times New Roman" w:hAnsi="Times New Roman" w:cs="Times New Roman"/>
          <w:sz w:val="24"/>
          <w:szCs w:val="24"/>
        </w:rPr>
        <w:t xml:space="preserve"> 2003-2014 yılları arasınd</w:t>
      </w:r>
      <w:r w:rsidRPr="009218D1">
        <w:rPr>
          <w:rFonts w:ascii="Times New Roman" w:hAnsi="Times New Roman" w:cs="Times New Roman"/>
          <w:sz w:val="24"/>
          <w:szCs w:val="24"/>
        </w:rPr>
        <w:t>a Türkiye Ekonomisinde</w:t>
      </w:r>
      <w:r w:rsidR="0099369C" w:rsidRPr="009218D1">
        <w:rPr>
          <w:rFonts w:ascii="Times New Roman" w:hAnsi="Times New Roman" w:cs="Times New Roman"/>
          <w:sz w:val="24"/>
          <w:szCs w:val="24"/>
        </w:rPr>
        <w:t xml:space="preserve">, </w:t>
      </w:r>
      <w:r w:rsidRPr="009218D1">
        <w:rPr>
          <w:rFonts w:ascii="Times New Roman" w:hAnsi="Times New Roman" w:cs="Times New Roman"/>
          <w:sz w:val="24"/>
          <w:szCs w:val="24"/>
        </w:rPr>
        <w:t xml:space="preserve">finans </w:t>
      </w:r>
      <w:r w:rsidR="0049417C" w:rsidRPr="009218D1">
        <w:rPr>
          <w:rFonts w:ascii="Times New Roman" w:hAnsi="Times New Roman" w:cs="Times New Roman"/>
          <w:sz w:val="24"/>
          <w:szCs w:val="24"/>
        </w:rPr>
        <w:t xml:space="preserve">piyasalarında ve Borsa </w:t>
      </w:r>
      <w:r w:rsidRPr="009218D1">
        <w:rPr>
          <w:rFonts w:ascii="Times New Roman" w:hAnsi="Times New Roman" w:cs="Times New Roman"/>
          <w:sz w:val="24"/>
          <w:szCs w:val="24"/>
        </w:rPr>
        <w:t>İ</w:t>
      </w:r>
      <w:r w:rsidR="0049417C" w:rsidRPr="009218D1">
        <w:rPr>
          <w:rFonts w:ascii="Times New Roman" w:hAnsi="Times New Roman" w:cs="Times New Roman"/>
          <w:sz w:val="24"/>
          <w:szCs w:val="24"/>
        </w:rPr>
        <w:t>stanbul’da</w:t>
      </w:r>
      <w:r w:rsidRPr="009218D1">
        <w:rPr>
          <w:rFonts w:ascii="Times New Roman" w:hAnsi="Times New Roman" w:cs="Times New Roman"/>
          <w:sz w:val="24"/>
          <w:szCs w:val="24"/>
        </w:rPr>
        <w:t xml:space="preserve"> yaşanan gelişmeler göz önünde </w:t>
      </w:r>
      <w:r w:rsidR="0049417C" w:rsidRPr="009218D1">
        <w:rPr>
          <w:rFonts w:ascii="Times New Roman" w:hAnsi="Times New Roman" w:cs="Times New Roman"/>
          <w:sz w:val="24"/>
          <w:szCs w:val="24"/>
        </w:rPr>
        <w:t>bulundurulmu</w:t>
      </w:r>
      <w:r w:rsidRPr="009218D1">
        <w:rPr>
          <w:rFonts w:ascii="Times New Roman" w:hAnsi="Times New Roman" w:cs="Times New Roman"/>
          <w:sz w:val="24"/>
          <w:szCs w:val="24"/>
        </w:rPr>
        <w:t>ş</w:t>
      </w:r>
      <w:r w:rsidR="0049417C" w:rsidRPr="009218D1">
        <w:rPr>
          <w:rFonts w:ascii="Times New Roman" w:hAnsi="Times New Roman" w:cs="Times New Roman"/>
          <w:sz w:val="24"/>
          <w:szCs w:val="24"/>
        </w:rPr>
        <w:t>tur</w:t>
      </w:r>
      <w:r w:rsidR="00BE3467" w:rsidRPr="009218D1">
        <w:rPr>
          <w:rFonts w:ascii="Times New Roman" w:hAnsi="Times New Roman" w:cs="Times New Roman"/>
          <w:sz w:val="24"/>
          <w:szCs w:val="24"/>
        </w:rPr>
        <w:t>.</w:t>
      </w:r>
      <w:r w:rsidR="0049417C" w:rsidRPr="009218D1">
        <w:rPr>
          <w:rFonts w:ascii="Times New Roman" w:hAnsi="Times New Roman" w:cs="Times New Roman"/>
          <w:sz w:val="24"/>
          <w:szCs w:val="24"/>
        </w:rPr>
        <w:t xml:space="preserve"> Firma davranı</w:t>
      </w:r>
      <w:r w:rsidRPr="009218D1">
        <w:rPr>
          <w:rFonts w:ascii="Times New Roman" w:hAnsi="Times New Roman" w:cs="Times New Roman"/>
          <w:sz w:val="24"/>
          <w:szCs w:val="24"/>
        </w:rPr>
        <w:t>ş</w:t>
      </w:r>
      <w:r w:rsidR="0049417C" w:rsidRPr="009218D1">
        <w:rPr>
          <w:rFonts w:ascii="Times New Roman" w:hAnsi="Times New Roman" w:cs="Times New Roman"/>
          <w:sz w:val="24"/>
          <w:szCs w:val="24"/>
        </w:rPr>
        <w:t>larının olası nedenle</w:t>
      </w:r>
      <w:r w:rsidRPr="009218D1">
        <w:rPr>
          <w:rFonts w:ascii="Times New Roman" w:hAnsi="Times New Roman" w:cs="Times New Roman"/>
          <w:sz w:val="24"/>
          <w:szCs w:val="24"/>
        </w:rPr>
        <w:t>ri ortaya konarken</w:t>
      </w:r>
      <w:r w:rsidR="0099369C" w:rsidRPr="009218D1">
        <w:rPr>
          <w:rFonts w:ascii="Times New Roman" w:hAnsi="Times New Roman" w:cs="Times New Roman"/>
          <w:sz w:val="24"/>
          <w:szCs w:val="24"/>
        </w:rPr>
        <w:t>,</w:t>
      </w:r>
      <w:r w:rsidRPr="009218D1">
        <w:rPr>
          <w:rFonts w:ascii="Times New Roman" w:hAnsi="Times New Roman" w:cs="Times New Roman"/>
          <w:sz w:val="24"/>
          <w:szCs w:val="24"/>
        </w:rPr>
        <w:t xml:space="preserve"> firma dışı </w:t>
      </w:r>
      <w:r w:rsidR="0049417C" w:rsidRPr="009218D1">
        <w:rPr>
          <w:rFonts w:ascii="Times New Roman" w:hAnsi="Times New Roman" w:cs="Times New Roman"/>
          <w:sz w:val="24"/>
          <w:szCs w:val="24"/>
        </w:rPr>
        <w:t>etkenleri de ortaya koymak için Merkez Bankası raporlarından</w:t>
      </w:r>
      <w:r w:rsidR="0099369C" w:rsidRPr="009218D1">
        <w:rPr>
          <w:rFonts w:ascii="Times New Roman" w:hAnsi="Times New Roman" w:cs="Times New Roman"/>
          <w:sz w:val="24"/>
          <w:szCs w:val="24"/>
        </w:rPr>
        <w:t>,</w:t>
      </w:r>
      <w:r w:rsidRPr="009218D1">
        <w:rPr>
          <w:rFonts w:ascii="Times New Roman" w:hAnsi="Times New Roman" w:cs="Times New Roman"/>
          <w:sz w:val="24"/>
          <w:szCs w:val="24"/>
        </w:rPr>
        <w:t xml:space="preserve"> BDDK ve TÜ</w:t>
      </w:r>
      <w:r w:rsidR="0099369C" w:rsidRPr="009218D1">
        <w:rPr>
          <w:rFonts w:ascii="Times New Roman" w:hAnsi="Times New Roman" w:cs="Times New Roman"/>
          <w:sz w:val="24"/>
          <w:szCs w:val="24"/>
        </w:rPr>
        <w:t>İ</w:t>
      </w:r>
      <w:r w:rsidRPr="009218D1">
        <w:rPr>
          <w:rFonts w:ascii="Times New Roman" w:hAnsi="Times New Roman" w:cs="Times New Roman"/>
          <w:sz w:val="24"/>
          <w:szCs w:val="24"/>
        </w:rPr>
        <w:t xml:space="preserve">K </w:t>
      </w:r>
      <w:r w:rsidR="0049417C" w:rsidRPr="009218D1">
        <w:rPr>
          <w:rFonts w:ascii="Times New Roman" w:hAnsi="Times New Roman" w:cs="Times New Roman"/>
          <w:sz w:val="24"/>
          <w:szCs w:val="24"/>
        </w:rPr>
        <w:t>verilerinden</w:t>
      </w:r>
      <w:r w:rsidR="0099369C" w:rsidRPr="009218D1">
        <w:rPr>
          <w:rFonts w:ascii="Times New Roman" w:hAnsi="Times New Roman" w:cs="Times New Roman"/>
          <w:sz w:val="24"/>
          <w:szCs w:val="24"/>
        </w:rPr>
        <w:t>,</w:t>
      </w:r>
      <w:r w:rsidR="0049417C" w:rsidRPr="009218D1">
        <w:rPr>
          <w:rFonts w:ascii="Times New Roman" w:hAnsi="Times New Roman" w:cs="Times New Roman"/>
          <w:sz w:val="24"/>
          <w:szCs w:val="24"/>
        </w:rPr>
        <w:t xml:space="preserve"> ilgili makale ve tez çalı</w:t>
      </w:r>
      <w:r w:rsidRPr="009218D1">
        <w:rPr>
          <w:rFonts w:ascii="Times New Roman" w:hAnsi="Times New Roman" w:cs="Times New Roman"/>
          <w:sz w:val="24"/>
          <w:szCs w:val="24"/>
        </w:rPr>
        <w:t>ş</w:t>
      </w:r>
      <w:r w:rsidR="0049417C" w:rsidRPr="009218D1">
        <w:rPr>
          <w:rFonts w:ascii="Times New Roman" w:hAnsi="Times New Roman" w:cs="Times New Roman"/>
          <w:sz w:val="24"/>
          <w:szCs w:val="24"/>
        </w:rPr>
        <w:t>malarından yararlanılmı</w:t>
      </w:r>
      <w:r w:rsidRPr="009218D1">
        <w:rPr>
          <w:rFonts w:ascii="Times New Roman" w:hAnsi="Times New Roman" w:cs="Times New Roman"/>
          <w:sz w:val="24"/>
          <w:szCs w:val="24"/>
        </w:rPr>
        <w:t>ş</w:t>
      </w:r>
      <w:r w:rsidR="0049417C" w:rsidRPr="009218D1">
        <w:rPr>
          <w:rFonts w:ascii="Times New Roman" w:hAnsi="Times New Roman" w:cs="Times New Roman"/>
          <w:sz w:val="24"/>
          <w:szCs w:val="24"/>
        </w:rPr>
        <w:t>tır</w:t>
      </w:r>
      <w:r w:rsidR="00BE3467" w:rsidRPr="009218D1">
        <w:rPr>
          <w:rFonts w:ascii="Times New Roman" w:hAnsi="Times New Roman" w:cs="Times New Roman"/>
          <w:sz w:val="24"/>
          <w:szCs w:val="24"/>
        </w:rPr>
        <w:t>.</w:t>
      </w:r>
      <w:r w:rsidR="0049417C" w:rsidRPr="009218D1">
        <w:rPr>
          <w:rFonts w:ascii="Times New Roman" w:hAnsi="Times New Roman" w:cs="Times New Roman"/>
          <w:sz w:val="24"/>
          <w:szCs w:val="24"/>
        </w:rPr>
        <w:t xml:space="preserve"> </w:t>
      </w:r>
      <w:r w:rsidR="002F6A4C" w:rsidRPr="009218D1">
        <w:rPr>
          <w:rFonts w:ascii="Times New Roman" w:hAnsi="Times New Roman" w:cs="Times New Roman"/>
          <w:sz w:val="24"/>
          <w:szCs w:val="24"/>
        </w:rPr>
        <w:t>Örnekleme dâhil edilen firmaların</w:t>
      </w:r>
      <w:r w:rsidR="00FE662D" w:rsidRPr="009218D1">
        <w:rPr>
          <w:rFonts w:ascii="Times New Roman" w:hAnsi="Times New Roman" w:cs="Times New Roman"/>
          <w:sz w:val="24"/>
          <w:szCs w:val="24"/>
        </w:rPr>
        <w:t xml:space="preserve"> ait olduğu ana sektörler </w:t>
      </w:r>
      <w:r w:rsidR="00E7303F" w:rsidRPr="009218D1">
        <w:rPr>
          <w:rFonts w:ascii="Times New Roman" w:hAnsi="Times New Roman" w:cs="Times New Roman"/>
          <w:sz w:val="24"/>
          <w:szCs w:val="24"/>
        </w:rPr>
        <w:t>Çizelge</w:t>
      </w:r>
      <w:r w:rsidR="00FE662D" w:rsidRPr="009218D1">
        <w:rPr>
          <w:rFonts w:ascii="Times New Roman" w:hAnsi="Times New Roman" w:cs="Times New Roman"/>
          <w:sz w:val="24"/>
          <w:szCs w:val="24"/>
        </w:rPr>
        <w:t xml:space="preserve"> </w:t>
      </w:r>
      <w:r w:rsidR="003414CA" w:rsidRPr="009218D1">
        <w:rPr>
          <w:rFonts w:ascii="Times New Roman" w:hAnsi="Times New Roman" w:cs="Times New Roman"/>
          <w:sz w:val="24"/>
          <w:szCs w:val="24"/>
        </w:rPr>
        <w:t>2</w:t>
      </w:r>
      <w:r w:rsidR="00FE662D" w:rsidRPr="009218D1">
        <w:rPr>
          <w:rFonts w:ascii="Times New Roman" w:hAnsi="Times New Roman" w:cs="Times New Roman"/>
          <w:sz w:val="24"/>
          <w:szCs w:val="24"/>
        </w:rPr>
        <w:t>'</w:t>
      </w:r>
      <w:r w:rsidR="003414CA" w:rsidRPr="009218D1">
        <w:rPr>
          <w:rFonts w:ascii="Times New Roman" w:hAnsi="Times New Roman" w:cs="Times New Roman"/>
          <w:sz w:val="24"/>
          <w:szCs w:val="24"/>
        </w:rPr>
        <w:t xml:space="preserve">de </w:t>
      </w:r>
      <w:r w:rsidR="002F6A4C" w:rsidRPr="009218D1">
        <w:rPr>
          <w:rFonts w:ascii="Times New Roman" w:hAnsi="Times New Roman" w:cs="Times New Roman"/>
          <w:sz w:val="24"/>
          <w:szCs w:val="24"/>
        </w:rPr>
        <w:t>verilmiştir</w:t>
      </w:r>
      <w:r w:rsidR="00BE3467" w:rsidRPr="009218D1">
        <w:rPr>
          <w:rFonts w:ascii="Times New Roman" w:hAnsi="Times New Roman" w:cs="Times New Roman"/>
          <w:sz w:val="24"/>
          <w:szCs w:val="24"/>
        </w:rPr>
        <w:t>.</w:t>
      </w:r>
    </w:p>
    <w:p w:rsidR="003414CA" w:rsidRPr="009218D1" w:rsidRDefault="00837541" w:rsidP="00837541">
      <w:pPr>
        <w:spacing w:before="120" w:after="120" w:line="240" w:lineRule="auto"/>
        <w:jc w:val="center"/>
        <w:rPr>
          <w:rFonts w:ascii="Times New Roman" w:hAnsi="Times New Roman" w:cs="Times New Roman"/>
          <w:b/>
          <w:sz w:val="24"/>
          <w:szCs w:val="24"/>
        </w:rPr>
      </w:pPr>
      <w:r w:rsidRPr="009218D1">
        <w:rPr>
          <w:rFonts w:ascii="Times New Roman" w:hAnsi="Times New Roman" w:cs="Times New Roman"/>
          <w:b/>
          <w:sz w:val="24"/>
          <w:szCs w:val="24"/>
        </w:rPr>
        <w:t>Çizelge</w:t>
      </w:r>
      <w:r w:rsidR="003414CA" w:rsidRPr="009218D1">
        <w:rPr>
          <w:rFonts w:ascii="Times New Roman" w:hAnsi="Times New Roman" w:cs="Times New Roman"/>
          <w:b/>
          <w:sz w:val="24"/>
          <w:szCs w:val="24"/>
        </w:rPr>
        <w:t xml:space="preserve"> 2</w:t>
      </w:r>
      <w:r w:rsidR="00BE3467" w:rsidRPr="009218D1">
        <w:rPr>
          <w:rFonts w:ascii="Times New Roman" w:hAnsi="Times New Roman" w:cs="Times New Roman"/>
          <w:b/>
          <w:sz w:val="24"/>
          <w:szCs w:val="24"/>
        </w:rPr>
        <w:t>.</w:t>
      </w:r>
      <w:r w:rsidR="003414CA" w:rsidRPr="009218D1">
        <w:rPr>
          <w:rFonts w:ascii="Times New Roman" w:hAnsi="Times New Roman" w:cs="Times New Roman"/>
          <w:b/>
          <w:sz w:val="24"/>
          <w:szCs w:val="24"/>
        </w:rPr>
        <w:t xml:space="preserve"> Çalışma Kapsamındaki Sektörler</w:t>
      </w:r>
    </w:p>
    <w:tbl>
      <w:tblPr>
        <w:tblW w:w="492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1"/>
        <w:gridCol w:w="5898"/>
        <w:gridCol w:w="1797"/>
        <w:gridCol w:w="879"/>
      </w:tblGrid>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b/>
                <w:sz w:val="24"/>
                <w:szCs w:val="24"/>
              </w:rPr>
            </w:pPr>
            <w:r w:rsidRPr="009218D1">
              <w:rPr>
                <w:rFonts w:ascii="Times New Roman" w:eastAsia="Times New Roman" w:hAnsi="Times New Roman" w:cs="Times New Roman"/>
                <w:b/>
                <w:sz w:val="24"/>
                <w:szCs w:val="24"/>
              </w:rPr>
              <w:t>No</w:t>
            </w:r>
          </w:p>
        </w:tc>
        <w:tc>
          <w:tcPr>
            <w:tcW w:w="3253"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b/>
                <w:sz w:val="24"/>
                <w:szCs w:val="24"/>
              </w:rPr>
            </w:pPr>
            <w:r w:rsidRPr="009218D1">
              <w:rPr>
                <w:rFonts w:ascii="Times New Roman" w:eastAsia="Times New Roman" w:hAnsi="Times New Roman" w:cs="Times New Roman"/>
                <w:b/>
                <w:sz w:val="24"/>
                <w:szCs w:val="24"/>
              </w:rPr>
              <w:t>Ana Sektör Adı</w:t>
            </w:r>
          </w:p>
        </w:tc>
        <w:tc>
          <w:tcPr>
            <w:tcW w:w="991" w:type="pct"/>
            <w:shd w:val="clear" w:color="auto" w:fill="auto"/>
            <w:noWrap/>
            <w:vAlign w:val="center"/>
          </w:tcPr>
          <w:p w:rsidR="003414CA" w:rsidRPr="009218D1" w:rsidRDefault="00B82D44" w:rsidP="002A3FD0">
            <w:pPr>
              <w:spacing w:after="0" w:line="240" w:lineRule="auto"/>
              <w:jc w:val="center"/>
              <w:rPr>
                <w:rFonts w:ascii="Times New Roman" w:eastAsia="Times New Roman" w:hAnsi="Times New Roman" w:cs="Times New Roman"/>
                <w:b/>
                <w:sz w:val="24"/>
                <w:szCs w:val="24"/>
              </w:rPr>
            </w:pPr>
            <w:r w:rsidRPr="009218D1">
              <w:rPr>
                <w:rFonts w:ascii="Times New Roman" w:eastAsia="Times New Roman" w:hAnsi="Times New Roman" w:cs="Times New Roman"/>
                <w:b/>
                <w:sz w:val="24"/>
                <w:szCs w:val="24"/>
              </w:rPr>
              <w:t>Firma</w:t>
            </w:r>
            <w:r w:rsidR="00400DD0" w:rsidRPr="009218D1">
              <w:rPr>
                <w:rFonts w:ascii="Times New Roman" w:eastAsia="Times New Roman" w:hAnsi="Times New Roman" w:cs="Times New Roman"/>
                <w:b/>
                <w:sz w:val="24"/>
                <w:szCs w:val="24"/>
              </w:rPr>
              <w:t xml:space="preserve"> </w:t>
            </w:r>
            <w:r w:rsidR="003414CA" w:rsidRPr="009218D1">
              <w:rPr>
                <w:rFonts w:ascii="Times New Roman" w:eastAsia="Times New Roman" w:hAnsi="Times New Roman" w:cs="Times New Roman"/>
                <w:b/>
                <w:sz w:val="24"/>
                <w:szCs w:val="24"/>
              </w:rPr>
              <w:t>Sayısı</w:t>
            </w:r>
          </w:p>
        </w:tc>
        <w:tc>
          <w:tcPr>
            <w:tcW w:w="485" w:type="pct"/>
            <w:vAlign w:val="center"/>
          </w:tcPr>
          <w:p w:rsidR="003414CA" w:rsidRPr="009218D1" w:rsidRDefault="003414CA" w:rsidP="002A3FD0">
            <w:pPr>
              <w:spacing w:after="0" w:line="240" w:lineRule="auto"/>
              <w:jc w:val="center"/>
              <w:rPr>
                <w:rFonts w:ascii="Times New Roman" w:eastAsia="Times New Roman" w:hAnsi="Times New Roman" w:cs="Times New Roman"/>
                <w:b/>
                <w:sz w:val="24"/>
                <w:szCs w:val="24"/>
              </w:rPr>
            </w:pPr>
            <w:r w:rsidRPr="009218D1">
              <w:rPr>
                <w:rFonts w:ascii="Times New Roman" w:eastAsia="Times New Roman" w:hAnsi="Times New Roman" w:cs="Times New Roman"/>
                <w:b/>
                <w:sz w:val="24"/>
                <w:szCs w:val="24"/>
              </w:rPr>
              <w:t>%</w:t>
            </w:r>
          </w:p>
        </w:tc>
      </w:tr>
      <w:tr w:rsidR="003414CA" w:rsidRPr="009218D1" w:rsidTr="00426793">
        <w:trPr>
          <w:cantSplit/>
          <w:trHeight w:val="170"/>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1</w:t>
            </w:r>
          </w:p>
        </w:tc>
        <w:tc>
          <w:tcPr>
            <w:tcW w:w="3253" w:type="pct"/>
            <w:shd w:val="clear" w:color="auto" w:fill="auto"/>
            <w:noWrap/>
            <w:vAlign w:val="center"/>
            <w:hideMark/>
          </w:tcPr>
          <w:p w:rsidR="003414CA" w:rsidRPr="009218D1" w:rsidRDefault="003414CA" w:rsidP="002A3FD0">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ELEKTRİK</w:t>
            </w:r>
            <w:r w:rsidR="00BE3467" w:rsidRPr="009218D1">
              <w:rPr>
                <w:rFonts w:ascii="Times New Roman" w:eastAsia="Times New Roman" w:hAnsi="Times New Roman" w:cs="Times New Roman"/>
                <w:sz w:val="24"/>
                <w:szCs w:val="24"/>
              </w:rPr>
              <w:t>.</w:t>
            </w:r>
            <w:r w:rsidRPr="009218D1">
              <w:rPr>
                <w:rFonts w:ascii="Times New Roman" w:eastAsia="Times New Roman" w:hAnsi="Times New Roman" w:cs="Times New Roman"/>
                <w:sz w:val="24"/>
                <w:szCs w:val="24"/>
              </w:rPr>
              <w:t xml:space="preserve"> GAZ VE SU KAYNAKLARI</w:t>
            </w:r>
          </w:p>
        </w:tc>
        <w:tc>
          <w:tcPr>
            <w:tcW w:w="991" w:type="pct"/>
            <w:shd w:val="clear" w:color="auto" w:fill="auto"/>
            <w:noWrap/>
            <w:vAlign w:val="center"/>
            <w:hideMark/>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4</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2</w:t>
            </w:r>
          </w:p>
        </w:tc>
      </w:tr>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2</w:t>
            </w:r>
          </w:p>
        </w:tc>
        <w:tc>
          <w:tcPr>
            <w:tcW w:w="3253" w:type="pct"/>
            <w:shd w:val="clear" w:color="auto" w:fill="auto"/>
            <w:noWrap/>
            <w:vAlign w:val="center"/>
          </w:tcPr>
          <w:p w:rsidR="003414CA" w:rsidRPr="009218D1" w:rsidRDefault="003414CA" w:rsidP="002A3FD0">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İNŞAAT VE BAYINDIRLIK</w:t>
            </w:r>
          </w:p>
        </w:tc>
        <w:tc>
          <w:tcPr>
            <w:tcW w:w="991"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2</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1</w:t>
            </w:r>
          </w:p>
        </w:tc>
      </w:tr>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3</w:t>
            </w:r>
          </w:p>
        </w:tc>
        <w:tc>
          <w:tcPr>
            <w:tcW w:w="3253" w:type="pct"/>
            <w:shd w:val="clear" w:color="auto" w:fill="auto"/>
            <w:noWrap/>
            <w:vAlign w:val="center"/>
          </w:tcPr>
          <w:p w:rsidR="003414CA" w:rsidRPr="009218D1" w:rsidRDefault="003414CA" w:rsidP="002A3FD0">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MADENCİLİK</w:t>
            </w:r>
          </w:p>
        </w:tc>
        <w:tc>
          <w:tcPr>
            <w:tcW w:w="991"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3</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2</w:t>
            </w:r>
          </w:p>
        </w:tc>
      </w:tr>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4</w:t>
            </w:r>
          </w:p>
        </w:tc>
        <w:tc>
          <w:tcPr>
            <w:tcW w:w="3253" w:type="pct"/>
            <w:shd w:val="clear" w:color="auto" w:fill="auto"/>
            <w:noWrap/>
            <w:vAlign w:val="center"/>
          </w:tcPr>
          <w:p w:rsidR="003414CA" w:rsidRPr="009218D1" w:rsidRDefault="003414CA" w:rsidP="002A3FD0">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TEKNOLOJİ</w:t>
            </w:r>
          </w:p>
        </w:tc>
        <w:tc>
          <w:tcPr>
            <w:tcW w:w="991"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14</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8</w:t>
            </w:r>
          </w:p>
        </w:tc>
      </w:tr>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5</w:t>
            </w:r>
          </w:p>
        </w:tc>
        <w:tc>
          <w:tcPr>
            <w:tcW w:w="3253" w:type="pct"/>
            <w:shd w:val="clear" w:color="auto" w:fill="auto"/>
            <w:noWrap/>
            <w:vAlign w:val="center"/>
          </w:tcPr>
          <w:p w:rsidR="003414CA" w:rsidRPr="009218D1" w:rsidRDefault="003414CA" w:rsidP="002A3FD0">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TOPTAN VE PERAKENDE TİC</w:t>
            </w:r>
            <w:r w:rsidR="00E7303F" w:rsidRPr="009218D1">
              <w:rPr>
                <w:rFonts w:ascii="Times New Roman" w:eastAsia="Times New Roman" w:hAnsi="Times New Roman" w:cs="Times New Roman"/>
                <w:sz w:val="24"/>
                <w:szCs w:val="24"/>
              </w:rPr>
              <w:t>.</w:t>
            </w:r>
            <w:r w:rsidRPr="009218D1">
              <w:rPr>
                <w:rFonts w:ascii="Times New Roman" w:eastAsia="Times New Roman" w:hAnsi="Times New Roman" w:cs="Times New Roman"/>
                <w:sz w:val="24"/>
                <w:szCs w:val="24"/>
              </w:rPr>
              <w:t xml:space="preserve"> OTEL VE LOKANTALAR</w:t>
            </w:r>
          </w:p>
        </w:tc>
        <w:tc>
          <w:tcPr>
            <w:tcW w:w="991"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15</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9</w:t>
            </w:r>
          </w:p>
        </w:tc>
      </w:tr>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6</w:t>
            </w:r>
          </w:p>
        </w:tc>
        <w:tc>
          <w:tcPr>
            <w:tcW w:w="3253" w:type="pct"/>
            <w:shd w:val="clear" w:color="auto" w:fill="auto"/>
            <w:noWrap/>
            <w:vAlign w:val="center"/>
          </w:tcPr>
          <w:p w:rsidR="003414CA" w:rsidRPr="009218D1" w:rsidRDefault="003414CA" w:rsidP="00426793">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ULAŞTIRMA</w:t>
            </w:r>
            <w:r w:rsidR="00426793" w:rsidRPr="009218D1">
              <w:rPr>
                <w:rFonts w:ascii="Times New Roman" w:eastAsia="Times New Roman" w:hAnsi="Times New Roman" w:cs="Times New Roman"/>
                <w:sz w:val="24"/>
                <w:szCs w:val="24"/>
              </w:rPr>
              <w:t>,</w:t>
            </w:r>
            <w:r w:rsidRPr="009218D1">
              <w:rPr>
                <w:rFonts w:ascii="Times New Roman" w:eastAsia="Times New Roman" w:hAnsi="Times New Roman" w:cs="Times New Roman"/>
                <w:sz w:val="24"/>
                <w:szCs w:val="24"/>
              </w:rPr>
              <w:t xml:space="preserve"> HABERLEŞME VE DEPOLAMA</w:t>
            </w:r>
          </w:p>
        </w:tc>
        <w:tc>
          <w:tcPr>
            <w:tcW w:w="991"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5</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3</w:t>
            </w:r>
          </w:p>
        </w:tc>
      </w:tr>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7</w:t>
            </w:r>
          </w:p>
        </w:tc>
        <w:tc>
          <w:tcPr>
            <w:tcW w:w="3253" w:type="pct"/>
            <w:shd w:val="clear" w:color="auto" w:fill="auto"/>
            <w:noWrap/>
            <w:vAlign w:val="center"/>
          </w:tcPr>
          <w:p w:rsidR="003414CA" w:rsidRPr="009218D1" w:rsidRDefault="003414CA" w:rsidP="002A3FD0">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İMALAT</w:t>
            </w:r>
          </w:p>
        </w:tc>
        <w:tc>
          <w:tcPr>
            <w:tcW w:w="991"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126</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75</w:t>
            </w:r>
          </w:p>
        </w:tc>
      </w:tr>
      <w:tr w:rsidR="003414CA" w:rsidRPr="009218D1" w:rsidTr="003414CA">
        <w:trPr>
          <w:cantSplit/>
          <w:trHeight w:val="151"/>
        </w:trPr>
        <w:tc>
          <w:tcPr>
            <w:tcW w:w="271" w:type="pct"/>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p>
        </w:tc>
        <w:tc>
          <w:tcPr>
            <w:tcW w:w="3253" w:type="pct"/>
            <w:shd w:val="clear" w:color="auto" w:fill="auto"/>
            <w:noWrap/>
            <w:vAlign w:val="center"/>
          </w:tcPr>
          <w:p w:rsidR="003414CA" w:rsidRPr="009218D1" w:rsidRDefault="003414CA" w:rsidP="002A3FD0">
            <w:pPr>
              <w:spacing w:after="0" w:line="240" w:lineRule="auto"/>
              <w:rPr>
                <w:rFonts w:ascii="Times New Roman" w:eastAsia="Times New Roman" w:hAnsi="Times New Roman" w:cs="Times New Roman"/>
                <w:sz w:val="24"/>
                <w:szCs w:val="24"/>
              </w:rPr>
            </w:pPr>
            <w:r w:rsidRPr="009218D1">
              <w:rPr>
                <w:rFonts w:ascii="Times New Roman" w:eastAsia="Times New Roman" w:hAnsi="Times New Roman" w:cs="Times New Roman"/>
                <w:b/>
                <w:sz w:val="24"/>
                <w:szCs w:val="24"/>
              </w:rPr>
              <w:t>TOPLAM</w:t>
            </w:r>
          </w:p>
        </w:tc>
        <w:tc>
          <w:tcPr>
            <w:tcW w:w="991" w:type="pct"/>
            <w:shd w:val="clear" w:color="auto" w:fill="auto"/>
            <w:noWrap/>
            <w:vAlign w:val="center"/>
          </w:tcPr>
          <w:p w:rsidR="003414CA" w:rsidRPr="009218D1" w:rsidRDefault="003414CA" w:rsidP="002A3FD0">
            <w:pPr>
              <w:spacing w:after="0" w:line="240" w:lineRule="auto"/>
              <w:jc w:val="center"/>
              <w:rPr>
                <w:rFonts w:ascii="Times New Roman" w:eastAsia="Times New Roman" w:hAnsi="Times New Roman" w:cs="Times New Roman"/>
                <w:sz w:val="24"/>
                <w:szCs w:val="24"/>
              </w:rPr>
            </w:pPr>
            <w:r w:rsidRPr="009218D1">
              <w:rPr>
                <w:rFonts w:ascii="Times New Roman" w:eastAsia="Times New Roman" w:hAnsi="Times New Roman" w:cs="Times New Roman"/>
                <w:sz w:val="24"/>
                <w:szCs w:val="24"/>
              </w:rPr>
              <w:t>169</w:t>
            </w:r>
          </w:p>
        </w:tc>
        <w:tc>
          <w:tcPr>
            <w:tcW w:w="485" w:type="pct"/>
            <w:vAlign w:val="center"/>
          </w:tcPr>
          <w:p w:rsidR="003414CA" w:rsidRPr="009218D1" w:rsidRDefault="003414CA" w:rsidP="002A3FD0">
            <w:pPr>
              <w:spacing w:after="0" w:line="240" w:lineRule="auto"/>
              <w:jc w:val="center"/>
              <w:rPr>
                <w:rFonts w:ascii="Times New Roman" w:hAnsi="Times New Roman" w:cs="Times New Roman"/>
                <w:sz w:val="24"/>
                <w:szCs w:val="24"/>
              </w:rPr>
            </w:pPr>
            <w:r w:rsidRPr="009218D1">
              <w:rPr>
                <w:rFonts w:ascii="Times New Roman" w:hAnsi="Times New Roman" w:cs="Times New Roman"/>
                <w:sz w:val="24"/>
                <w:szCs w:val="24"/>
              </w:rPr>
              <w:t>100</w:t>
            </w:r>
          </w:p>
        </w:tc>
      </w:tr>
    </w:tbl>
    <w:p w:rsidR="00B83D8F" w:rsidRPr="009218D1" w:rsidRDefault="00400DD0"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Bu çalışmanın ana amacı firmaların gerçek hayattaki davranışlarını ortaya koymak ve sermaye yapısı teorilerini test etmektir. Bu kapsamda; </w:t>
      </w:r>
      <w:r w:rsidR="00B83D8F" w:rsidRPr="009218D1">
        <w:rPr>
          <w:rFonts w:ascii="Times New Roman" w:hAnsi="Times New Roman" w:cs="Times New Roman"/>
          <w:sz w:val="24"/>
          <w:szCs w:val="24"/>
        </w:rPr>
        <w:t>Borsa İstanbul’da faaliyet gösteren reel sektör işletmelerinin sermaye yapısını açıklamaya yönelik belirlenen değişkenlerin etki düzeyleri ortaya konmuştur</w:t>
      </w:r>
      <w:r w:rsidR="00BE3467" w:rsidRPr="009218D1">
        <w:rPr>
          <w:rFonts w:ascii="Times New Roman" w:hAnsi="Times New Roman" w:cs="Times New Roman"/>
          <w:sz w:val="24"/>
          <w:szCs w:val="24"/>
        </w:rPr>
        <w:t>.</w:t>
      </w:r>
      <w:r w:rsidR="00B83D8F" w:rsidRPr="009218D1">
        <w:rPr>
          <w:rFonts w:ascii="Times New Roman" w:hAnsi="Times New Roman" w:cs="Times New Roman"/>
          <w:sz w:val="24"/>
          <w:szCs w:val="24"/>
        </w:rPr>
        <w:t xml:space="preserve"> Elde edilen sonuçlar</w:t>
      </w:r>
      <w:r w:rsidRPr="009218D1">
        <w:rPr>
          <w:rFonts w:ascii="Times New Roman" w:hAnsi="Times New Roman" w:cs="Times New Roman"/>
          <w:sz w:val="24"/>
          <w:szCs w:val="24"/>
        </w:rPr>
        <w:t>,</w:t>
      </w:r>
      <w:r w:rsidR="00B83D8F" w:rsidRPr="009218D1">
        <w:rPr>
          <w:rFonts w:ascii="Times New Roman" w:hAnsi="Times New Roman" w:cs="Times New Roman"/>
          <w:sz w:val="24"/>
          <w:szCs w:val="24"/>
        </w:rPr>
        <w:t xml:space="preserve"> sermaye yapısı teorilerinin beklenen sonuçları ve daha önce yapılmış olan çalışmalar ile karşılaştırılmıştır</w:t>
      </w:r>
      <w:r w:rsidR="00BE3467" w:rsidRPr="009218D1">
        <w:rPr>
          <w:rFonts w:ascii="Times New Roman" w:hAnsi="Times New Roman" w:cs="Times New Roman"/>
          <w:sz w:val="24"/>
          <w:szCs w:val="24"/>
        </w:rPr>
        <w:t>.</w:t>
      </w:r>
      <w:r w:rsidR="00B83D8F" w:rsidRPr="009218D1">
        <w:rPr>
          <w:rFonts w:ascii="Times New Roman" w:hAnsi="Times New Roman" w:cs="Times New Roman"/>
          <w:sz w:val="24"/>
          <w:szCs w:val="24"/>
        </w:rPr>
        <w:t xml:space="preserve"> </w:t>
      </w:r>
    </w:p>
    <w:p w:rsidR="00C55ED9" w:rsidRPr="009218D1" w:rsidRDefault="00B83D8F"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Bevan ve Danbolt</w:t>
      </w:r>
      <w:r w:rsidR="00B864F9" w:rsidRPr="009218D1">
        <w:rPr>
          <w:rFonts w:ascii="Times New Roman" w:hAnsi="Times New Roman" w:cs="Times New Roman"/>
          <w:sz w:val="24"/>
          <w:szCs w:val="24"/>
        </w:rPr>
        <w:t>,</w:t>
      </w:r>
      <w:r w:rsidRPr="009218D1">
        <w:rPr>
          <w:rFonts w:ascii="Times New Roman" w:hAnsi="Times New Roman" w:cs="Times New Roman"/>
          <w:sz w:val="24"/>
          <w:szCs w:val="24"/>
        </w:rPr>
        <w:t xml:space="preserve"> (2002); Harris ve Raviv</w:t>
      </w:r>
      <w:r w:rsidR="00B864F9" w:rsidRPr="009218D1">
        <w:rPr>
          <w:rFonts w:ascii="Times New Roman" w:hAnsi="Times New Roman" w:cs="Times New Roman"/>
          <w:sz w:val="24"/>
          <w:szCs w:val="24"/>
        </w:rPr>
        <w:t>,</w:t>
      </w:r>
      <w:r w:rsidRPr="009218D1">
        <w:rPr>
          <w:rFonts w:ascii="Times New Roman" w:hAnsi="Times New Roman" w:cs="Times New Roman"/>
          <w:sz w:val="24"/>
          <w:szCs w:val="24"/>
        </w:rPr>
        <w:t xml:space="preserve"> (1991); Titman ve Wessels</w:t>
      </w:r>
      <w:r w:rsidR="00B864F9" w:rsidRPr="009218D1">
        <w:rPr>
          <w:rFonts w:ascii="Times New Roman" w:hAnsi="Times New Roman" w:cs="Times New Roman"/>
          <w:sz w:val="24"/>
          <w:szCs w:val="24"/>
        </w:rPr>
        <w:t>,</w:t>
      </w:r>
      <w:r w:rsidRPr="009218D1">
        <w:rPr>
          <w:rFonts w:ascii="Times New Roman" w:hAnsi="Times New Roman" w:cs="Times New Roman"/>
          <w:sz w:val="24"/>
          <w:szCs w:val="24"/>
        </w:rPr>
        <w:t xml:space="preserve"> (1988) uygun açıklayıc</w:t>
      </w:r>
      <w:r w:rsidR="003414CA" w:rsidRPr="009218D1">
        <w:rPr>
          <w:rFonts w:ascii="Times New Roman" w:hAnsi="Times New Roman" w:cs="Times New Roman"/>
          <w:sz w:val="24"/>
          <w:szCs w:val="24"/>
        </w:rPr>
        <w:t>ı değişkenlerin seçiminin tartış</w:t>
      </w:r>
      <w:r w:rsidRPr="009218D1">
        <w:rPr>
          <w:rFonts w:ascii="Times New Roman" w:hAnsi="Times New Roman" w:cs="Times New Roman"/>
          <w:sz w:val="24"/>
          <w:szCs w:val="24"/>
        </w:rPr>
        <w:t>malı olduğunu ancak kârlılık</w:t>
      </w:r>
      <w:r w:rsidR="00B864F9" w:rsidRPr="009218D1">
        <w:rPr>
          <w:rFonts w:ascii="Times New Roman" w:hAnsi="Times New Roman" w:cs="Times New Roman"/>
          <w:sz w:val="24"/>
          <w:szCs w:val="24"/>
        </w:rPr>
        <w:t>,</w:t>
      </w:r>
      <w:r w:rsidRPr="009218D1">
        <w:rPr>
          <w:rFonts w:ascii="Times New Roman" w:hAnsi="Times New Roman" w:cs="Times New Roman"/>
          <w:sz w:val="24"/>
          <w:szCs w:val="24"/>
        </w:rPr>
        <w:t xml:space="preserve"> varlık yapısı</w:t>
      </w:r>
      <w:r w:rsidR="00B864F9" w:rsidRPr="009218D1">
        <w:rPr>
          <w:rFonts w:ascii="Times New Roman" w:hAnsi="Times New Roman" w:cs="Times New Roman"/>
          <w:sz w:val="24"/>
          <w:szCs w:val="24"/>
        </w:rPr>
        <w:t>,</w:t>
      </w:r>
      <w:r w:rsidRPr="009218D1">
        <w:rPr>
          <w:rFonts w:ascii="Times New Roman" w:hAnsi="Times New Roman" w:cs="Times New Roman"/>
          <w:sz w:val="24"/>
          <w:szCs w:val="24"/>
        </w:rPr>
        <w:t xml:space="preserve"> vergiler</w:t>
      </w:r>
      <w:r w:rsidR="00B864F9" w:rsidRPr="009218D1">
        <w:rPr>
          <w:rFonts w:ascii="Times New Roman" w:hAnsi="Times New Roman" w:cs="Times New Roman"/>
          <w:sz w:val="24"/>
          <w:szCs w:val="24"/>
        </w:rPr>
        <w:t>,</w:t>
      </w:r>
      <w:r w:rsidRPr="009218D1">
        <w:rPr>
          <w:rFonts w:ascii="Times New Roman" w:hAnsi="Times New Roman" w:cs="Times New Roman"/>
          <w:sz w:val="24"/>
          <w:szCs w:val="24"/>
        </w:rPr>
        <w:t xml:space="preserve"> sektörler arasında farklılıklar gibi unsurların sermaye yapısı ile ilgili kararlar alınırken dikkate alınması gerektiğini belirtmişlerdir</w:t>
      </w:r>
      <w:r w:rsidR="00BE3467" w:rsidRPr="009218D1">
        <w:rPr>
          <w:rFonts w:ascii="Times New Roman" w:hAnsi="Times New Roman" w:cs="Times New Roman"/>
          <w:sz w:val="24"/>
          <w:szCs w:val="24"/>
        </w:rPr>
        <w:t>.</w:t>
      </w:r>
      <w:r w:rsidR="00AD465A" w:rsidRPr="009218D1">
        <w:rPr>
          <w:rFonts w:ascii="Times New Roman" w:hAnsi="Times New Roman" w:cs="Times New Roman"/>
          <w:sz w:val="24"/>
          <w:szCs w:val="24"/>
        </w:rPr>
        <w:t xml:space="preserve"> </w:t>
      </w:r>
      <w:r w:rsidRPr="009218D1">
        <w:rPr>
          <w:rFonts w:ascii="Times New Roman" w:hAnsi="Times New Roman" w:cs="Times New Roman"/>
          <w:sz w:val="24"/>
          <w:szCs w:val="24"/>
        </w:rPr>
        <w:t>Sermaye yapısı ve açıklayıcı değişkenleri için tek bir evrensel gerçeklik yoktur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Kaldıraç oranlarının farklı tanımları sermaye yapısını farklı açılardan yansıtacaktır (Bevan ve Danbolt</w:t>
      </w:r>
      <w:r w:rsidR="00AD465A" w:rsidRPr="009218D1">
        <w:rPr>
          <w:rFonts w:ascii="Times New Roman" w:hAnsi="Times New Roman" w:cs="Times New Roman"/>
          <w:sz w:val="24"/>
          <w:szCs w:val="24"/>
        </w:rPr>
        <w:t>,</w:t>
      </w:r>
      <w:r w:rsidRPr="009218D1">
        <w:rPr>
          <w:rFonts w:ascii="Times New Roman" w:hAnsi="Times New Roman" w:cs="Times New Roman"/>
          <w:sz w:val="24"/>
          <w:szCs w:val="24"/>
        </w:rPr>
        <w:t xml:space="preserve"> 2002)</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Çalışmada bağım</w:t>
      </w:r>
      <w:r w:rsidR="00714CEF" w:rsidRPr="009218D1">
        <w:rPr>
          <w:rFonts w:ascii="Times New Roman" w:hAnsi="Times New Roman" w:cs="Times New Roman"/>
          <w:sz w:val="24"/>
          <w:szCs w:val="24"/>
        </w:rPr>
        <w:t>lı değişken olarak Toplam borç/</w:t>
      </w:r>
      <w:r w:rsidRPr="009218D1">
        <w:rPr>
          <w:rFonts w:ascii="Times New Roman" w:hAnsi="Times New Roman" w:cs="Times New Roman"/>
          <w:sz w:val="24"/>
          <w:szCs w:val="24"/>
        </w:rPr>
        <w:t>Toplam varlıklar oranı ele alınmış olup</w:t>
      </w:r>
      <w:r w:rsidR="00AD465A" w:rsidRPr="009218D1">
        <w:rPr>
          <w:rFonts w:ascii="Times New Roman" w:hAnsi="Times New Roman" w:cs="Times New Roman"/>
          <w:sz w:val="24"/>
          <w:szCs w:val="24"/>
        </w:rPr>
        <w:t>,</w:t>
      </w:r>
      <w:r w:rsidRPr="009218D1">
        <w:rPr>
          <w:rFonts w:ascii="Times New Roman" w:hAnsi="Times New Roman" w:cs="Times New Roman"/>
          <w:sz w:val="24"/>
          <w:szCs w:val="24"/>
        </w:rPr>
        <w:t xml:space="preserve"> bu oran toplam varlıkların ne kadarlık kısmının yabancı kaynaklardan fonlandığını göstermektedir</w:t>
      </w:r>
      <w:r w:rsidR="00BE3467" w:rsidRPr="009218D1">
        <w:rPr>
          <w:rFonts w:ascii="Times New Roman" w:hAnsi="Times New Roman" w:cs="Times New Roman"/>
          <w:sz w:val="24"/>
          <w:szCs w:val="24"/>
        </w:rPr>
        <w:t>.</w:t>
      </w:r>
      <w:r w:rsidR="00DC4F72" w:rsidRPr="009218D1">
        <w:rPr>
          <w:rFonts w:ascii="Times New Roman" w:hAnsi="Times New Roman" w:cs="Times New Roman"/>
          <w:sz w:val="24"/>
          <w:szCs w:val="24"/>
        </w:rPr>
        <w:t xml:space="preserve"> </w:t>
      </w:r>
      <w:r w:rsidR="00AE4B0F" w:rsidRPr="009218D1">
        <w:rPr>
          <w:rFonts w:ascii="Times New Roman" w:hAnsi="Times New Roman" w:cs="Times New Roman"/>
          <w:sz w:val="24"/>
          <w:szCs w:val="24"/>
        </w:rPr>
        <w:t>Bu durum çalışmada LEV sembolü ile gösterilmiştir.</w:t>
      </w:r>
      <w:r w:rsidR="00AE4B0F" w:rsidRPr="009218D1">
        <w:rPr>
          <w:rFonts w:ascii="Times New Roman" w:hAnsi="Times New Roman" w:cs="Times New Roman"/>
          <w:sz w:val="20"/>
          <w:szCs w:val="20"/>
        </w:rPr>
        <w:t xml:space="preserve"> </w:t>
      </w:r>
      <w:r w:rsidR="00BB1BAB" w:rsidRPr="009218D1">
        <w:rPr>
          <w:rFonts w:ascii="Times New Roman" w:hAnsi="Times New Roman" w:cs="Times New Roman"/>
          <w:sz w:val="24"/>
          <w:szCs w:val="24"/>
        </w:rPr>
        <w:t>Sermaye yapısı teorilerinden yola çıkarak</w:t>
      </w:r>
      <w:r w:rsidR="00DC4F72" w:rsidRPr="009218D1">
        <w:rPr>
          <w:rFonts w:ascii="Times New Roman" w:hAnsi="Times New Roman" w:cs="Times New Roman"/>
          <w:sz w:val="24"/>
          <w:szCs w:val="24"/>
        </w:rPr>
        <w:t>,</w:t>
      </w:r>
      <w:r w:rsidR="00BB1BAB" w:rsidRPr="009218D1">
        <w:rPr>
          <w:rFonts w:ascii="Times New Roman" w:hAnsi="Times New Roman" w:cs="Times New Roman"/>
          <w:sz w:val="24"/>
          <w:szCs w:val="24"/>
        </w:rPr>
        <w:t xml:space="preserve"> s</w:t>
      </w:r>
      <w:r w:rsidR="00433695" w:rsidRPr="009218D1">
        <w:rPr>
          <w:rFonts w:ascii="Times New Roman" w:hAnsi="Times New Roman" w:cs="Times New Roman"/>
          <w:sz w:val="24"/>
          <w:szCs w:val="24"/>
        </w:rPr>
        <w:t>ermaye</w:t>
      </w:r>
      <w:r w:rsidR="00C55ED9" w:rsidRPr="009218D1">
        <w:rPr>
          <w:rFonts w:ascii="Times New Roman" w:hAnsi="Times New Roman" w:cs="Times New Roman"/>
          <w:sz w:val="24"/>
          <w:szCs w:val="24"/>
        </w:rPr>
        <w:t xml:space="preserve"> yapısını etkilediği öngörülen ve çalışmada kullanılan </w:t>
      </w:r>
      <w:r w:rsidR="00714CEF" w:rsidRPr="009218D1">
        <w:rPr>
          <w:rFonts w:ascii="Times New Roman" w:hAnsi="Times New Roman" w:cs="Times New Roman"/>
          <w:sz w:val="24"/>
          <w:szCs w:val="24"/>
        </w:rPr>
        <w:t>açıklayıcı</w:t>
      </w:r>
      <w:r w:rsidR="00C55ED9" w:rsidRPr="009218D1">
        <w:rPr>
          <w:rFonts w:ascii="Times New Roman" w:hAnsi="Times New Roman" w:cs="Times New Roman"/>
          <w:sz w:val="24"/>
          <w:szCs w:val="24"/>
        </w:rPr>
        <w:t xml:space="preserve"> değişkenler sıra</w:t>
      </w:r>
      <w:r w:rsidR="00165618" w:rsidRPr="009218D1">
        <w:rPr>
          <w:rFonts w:ascii="Times New Roman" w:hAnsi="Times New Roman" w:cs="Times New Roman"/>
          <w:sz w:val="24"/>
          <w:szCs w:val="24"/>
        </w:rPr>
        <w:t xml:space="preserve">sıyla </w:t>
      </w:r>
      <w:r w:rsidR="008B48CD" w:rsidRPr="009218D1">
        <w:rPr>
          <w:rFonts w:ascii="Times New Roman" w:hAnsi="Times New Roman" w:cs="Times New Roman"/>
          <w:sz w:val="24"/>
          <w:szCs w:val="24"/>
        </w:rPr>
        <w:t>Çizelge</w:t>
      </w:r>
      <w:r w:rsidR="00165618" w:rsidRPr="009218D1">
        <w:rPr>
          <w:rFonts w:ascii="Times New Roman" w:hAnsi="Times New Roman" w:cs="Times New Roman"/>
          <w:sz w:val="24"/>
          <w:szCs w:val="24"/>
        </w:rPr>
        <w:t xml:space="preserve"> </w:t>
      </w:r>
      <w:r w:rsidR="005B70AB" w:rsidRPr="009218D1">
        <w:rPr>
          <w:rFonts w:ascii="Times New Roman" w:hAnsi="Times New Roman" w:cs="Times New Roman"/>
          <w:sz w:val="24"/>
          <w:szCs w:val="24"/>
        </w:rPr>
        <w:t>3</w:t>
      </w:r>
      <w:r w:rsidR="00165618" w:rsidRPr="009218D1">
        <w:rPr>
          <w:rFonts w:ascii="Times New Roman" w:hAnsi="Times New Roman" w:cs="Times New Roman"/>
          <w:sz w:val="24"/>
          <w:szCs w:val="24"/>
        </w:rPr>
        <w:t>’</w:t>
      </w:r>
      <w:r w:rsidR="00DC4F72" w:rsidRPr="009218D1">
        <w:rPr>
          <w:rFonts w:ascii="Times New Roman" w:hAnsi="Times New Roman" w:cs="Times New Roman"/>
          <w:sz w:val="24"/>
          <w:szCs w:val="24"/>
        </w:rPr>
        <w:t>d</w:t>
      </w:r>
      <w:r w:rsidR="00165618" w:rsidRPr="009218D1">
        <w:rPr>
          <w:rFonts w:ascii="Times New Roman" w:hAnsi="Times New Roman" w:cs="Times New Roman"/>
          <w:sz w:val="24"/>
          <w:szCs w:val="24"/>
        </w:rPr>
        <w:t>e verilmiştir</w:t>
      </w:r>
      <w:r w:rsidR="00BE3467" w:rsidRPr="009218D1">
        <w:rPr>
          <w:rFonts w:ascii="Times New Roman" w:hAnsi="Times New Roman" w:cs="Times New Roman"/>
          <w:sz w:val="24"/>
          <w:szCs w:val="24"/>
        </w:rPr>
        <w:t>.</w:t>
      </w:r>
      <w:r w:rsidR="00165618" w:rsidRPr="009218D1">
        <w:rPr>
          <w:rFonts w:ascii="Times New Roman" w:hAnsi="Times New Roman" w:cs="Times New Roman"/>
          <w:sz w:val="24"/>
          <w:szCs w:val="24"/>
        </w:rPr>
        <w:t xml:space="preserve"> </w:t>
      </w:r>
    </w:p>
    <w:p w:rsidR="00A77D15" w:rsidRPr="009218D1" w:rsidRDefault="00837541" w:rsidP="00837541">
      <w:pPr>
        <w:autoSpaceDE w:val="0"/>
        <w:autoSpaceDN w:val="0"/>
        <w:adjustRightInd w:val="0"/>
        <w:spacing w:before="120" w:after="120" w:line="240" w:lineRule="auto"/>
        <w:jc w:val="center"/>
        <w:rPr>
          <w:rFonts w:ascii="Times New Roman" w:hAnsi="Times New Roman" w:cs="Times New Roman"/>
          <w:b/>
          <w:bCs/>
          <w:sz w:val="24"/>
          <w:szCs w:val="24"/>
        </w:rPr>
      </w:pPr>
      <w:r w:rsidRPr="009218D1">
        <w:rPr>
          <w:rFonts w:ascii="Times New Roman" w:hAnsi="Times New Roman" w:cs="Times New Roman"/>
          <w:b/>
          <w:bCs/>
          <w:sz w:val="24"/>
          <w:szCs w:val="24"/>
        </w:rPr>
        <w:t>Çizelge</w:t>
      </w:r>
      <w:r w:rsidR="00A77D15" w:rsidRPr="009218D1">
        <w:rPr>
          <w:rFonts w:ascii="Times New Roman" w:hAnsi="Times New Roman" w:cs="Times New Roman"/>
          <w:b/>
          <w:bCs/>
          <w:sz w:val="24"/>
          <w:szCs w:val="24"/>
        </w:rPr>
        <w:t xml:space="preserve"> </w:t>
      </w:r>
      <w:r w:rsidR="00714CEF" w:rsidRPr="009218D1">
        <w:rPr>
          <w:rFonts w:ascii="Times New Roman" w:hAnsi="Times New Roman" w:cs="Times New Roman"/>
          <w:b/>
          <w:bCs/>
          <w:sz w:val="24"/>
          <w:szCs w:val="24"/>
        </w:rPr>
        <w:t>3</w:t>
      </w:r>
      <w:r w:rsidR="00BE3467" w:rsidRPr="009218D1">
        <w:rPr>
          <w:rFonts w:ascii="Times New Roman" w:hAnsi="Times New Roman" w:cs="Times New Roman"/>
          <w:b/>
          <w:bCs/>
          <w:sz w:val="24"/>
          <w:szCs w:val="24"/>
        </w:rPr>
        <w:t>.</w:t>
      </w:r>
      <w:r w:rsidR="00A77D15" w:rsidRPr="009218D1">
        <w:rPr>
          <w:rFonts w:ascii="Times New Roman" w:hAnsi="Times New Roman" w:cs="Times New Roman"/>
          <w:b/>
          <w:bCs/>
          <w:sz w:val="24"/>
          <w:szCs w:val="24"/>
        </w:rPr>
        <w:t xml:space="preserve"> </w:t>
      </w:r>
      <w:r w:rsidR="00714CEF" w:rsidRPr="009218D1">
        <w:rPr>
          <w:rFonts w:ascii="Times New Roman" w:hAnsi="Times New Roman" w:cs="Times New Roman"/>
          <w:b/>
          <w:bCs/>
          <w:sz w:val="24"/>
          <w:szCs w:val="24"/>
        </w:rPr>
        <w:t>Açıklayıcı Değişkenler ve Simgeleri</w:t>
      </w:r>
    </w:p>
    <w:tbl>
      <w:tblPr>
        <w:tblStyle w:val="TabloKlavuzu"/>
        <w:tblW w:w="5000" w:type="pct"/>
        <w:tblLook w:val="04A0" w:firstRow="1" w:lastRow="0" w:firstColumn="1" w:lastColumn="0" w:noHBand="0" w:noVBand="1"/>
      </w:tblPr>
      <w:tblGrid>
        <w:gridCol w:w="4276"/>
        <w:gridCol w:w="2506"/>
        <w:gridCol w:w="2506"/>
      </w:tblGrid>
      <w:tr w:rsidR="000B3224" w:rsidRPr="009218D1" w:rsidTr="000B3224">
        <w:trPr>
          <w:trHeight w:val="170"/>
        </w:trPr>
        <w:tc>
          <w:tcPr>
            <w:tcW w:w="3651" w:type="pct"/>
            <w:gridSpan w:val="2"/>
            <w:vAlign w:val="center"/>
          </w:tcPr>
          <w:p w:rsidR="000B3224" w:rsidRPr="009218D1" w:rsidRDefault="000B3224" w:rsidP="002A3FD0">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Açıklayıcı Değişken</w:t>
            </w:r>
          </w:p>
        </w:tc>
        <w:tc>
          <w:tcPr>
            <w:tcW w:w="1349" w:type="pct"/>
            <w:vAlign w:val="center"/>
          </w:tcPr>
          <w:p w:rsidR="000B3224" w:rsidRPr="009218D1" w:rsidRDefault="000B3224" w:rsidP="002A3FD0">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Sembol</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Büyüme Fırsatları</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Toplam satışlardaki yüzde değişim</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GROWTH</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Varlık Yapısı</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 xml:space="preserve">Maddi duran varlıklar/Toplam varlıklar                                                                                                                                                                                                                             </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TANG</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lastRenderedPageBreak/>
              <w:t>Kârlılık</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Net kâr/Toplam varlıklar</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PROF</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K</w:t>
            </w:r>
            <w:r w:rsidRPr="009218D1">
              <w:rPr>
                <w:rFonts w:ascii="Times New Roman" w:hAnsi="Times New Roman" w:cs="Times New Roman"/>
                <w:sz w:val="24"/>
                <w:szCs w:val="24"/>
                <w:lang w:val="en-US"/>
              </w:rPr>
              <w:t>âr Payı Dağıtımı</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Temettü ödemesi/Özsermaye</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PAYOUT</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Borsanın Gelişmişlik Düzeyi</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Borsa İstanbul’da işlem gören hisse senetlerinin piyasa değeri/Nominal gayri safi yurtiçi hâsıla</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STOCK MARKET</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Kamu İç Borç Stoku</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Kamu iç borç stoku/Nominal gayri safi yurtiçi hâsıla</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PUBLIC DEBT</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Vergi Düzeyi</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Ödenecek vergi/Vergi öncesi kâr</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TAX</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Bankacılık Sektörünün Gelişmişlik Düzeyi</w:t>
            </w:r>
          </w:p>
        </w:tc>
        <w:tc>
          <w:tcPr>
            <w:tcW w:w="1349" w:type="pct"/>
          </w:tcPr>
          <w:p w:rsidR="000D4C0A" w:rsidRPr="009218D1" w:rsidRDefault="000D4C0A" w:rsidP="005B35DB">
            <w:pPr>
              <w:pStyle w:val="ListeParagraf"/>
              <w:ind w:left="0"/>
              <w:jc w:val="center"/>
              <w:rPr>
                <w:rFonts w:asciiTheme="majorBidi" w:hAnsiTheme="majorBidi" w:cstheme="majorBidi"/>
                <w:sz w:val="24"/>
                <w:szCs w:val="24"/>
              </w:rPr>
            </w:pPr>
            <w:r w:rsidRPr="009218D1">
              <w:rPr>
                <w:rFonts w:ascii="Times New Roman" w:hAnsi="Times New Roman" w:cs="Times New Roman"/>
                <w:sz w:val="24"/>
                <w:szCs w:val="24"/>
              </w:rPr>
              <w:t>Ulusal bankalar tarafından özel sektöre verilen krediler/Nominal gayri safi yurtiçi hâsıla</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BANK</w:t>
            </w:r>
          </w:p>
        </w:tc>
      </w:tr>
      <w:tr w:rsidR="000D4C0A" w:rsidRPr="009218D1" w:rsidTr="000D4C0A">
        <w:trPr>
          <w:trHeight w:val="170"/>
        </w:trPr>
        <w:tc>
          <w:tcPr>
            <w:tcW w:w="2302" w:type="pct"/>
            <w:vAlign w:val="center"/>
          </w:tcPr>
          <w:p w:rsidR="000D4C0A" w:rsidRPr="009218D1" w:rsidRDefault="000D4C0A" w:rsidP="002A3FD0">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İşletme Riski</w:t>
            </w:r>
          </w:p>
        </w:tc>
        <w:tc>
          <w:tcPr>
            <w:tcW w:w="1349" w:type="pct"/>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heme="majorBidi" w:hAnsiTheme="majorBidi" w:cstheme="majorBidi"/>
                <w:sz w:val="24"/>
                <w:szCs w:val="24"/>
              </w:rPr>
              <w:t>Faaliyet kârında yüzde değişim</w:t>
            </w:r>
          </w:p>
        </w:tc>
        <w:tc>
          <w:tcPr>
            <w:tcW w:w="1349" w:type="pct"/>
            <w:vAlign w:val="center"/>
          </w:tcPr>
          <w:p w:rsidR="000D4C0A" w:rsidRPr="009218D1" w:rsidRDefault="000D4C0A" w:rsidP="002A3FD0">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RISK</w:t>
            </w:r>
          </w:p>
        </w:tc>
      </w:tr>
    </w:tbl>
    <w:p w:rsidR="009A1B8E" w:rsidRPr="009218D1" w:rsidRDefault="009A1B8E" w:rsidP="009A1B8E">
      <w:pPr>
        <w:spacing w:before="120" w:after="120" w:line="240" w:lineRule="auto"/>
        <w:jc w:val="both"/>
        <w:rPr>
          <w:rFonts w:asciiTheme="majorBidi" w:hAnsiTheme="majorBidi" w:cstheme="majorBidi"/>
          <w:sz w:val="24"/>
          <w:szCs w:val="24"/>
        </w:rPr>
      </w:pPr>
      <w:r w:rsidRPr="009218D1">
        <w:rPr>
          <w:rFonts w:ascii="Times New Roman" w:hAnsi="Times New Roman" w:cs="Times New Roman"/>
          <w:sz w:val="24"/>
          <w:szCs w:val="24"/>
        </w:rPr>
        <w:t xml:space="preserve">Büyüme fırsatları değişkeni, toplam satışlardaki yüzde değişim ile </w:t>
      </w:r>
      <w:r w:rsidRPr="009218D1">
        <w:rPr>
          <w:rFonts w:asciiTheme="majorBidi" w:hAnsiTheme="majorBidi" w:cstheme="majorBidi"/>
          <w:sz w:val="24"/>
          <w:szCs w:val="24"/>
        </w:rPr>
        <w:t>ölçülmüştür (Sarıoğlu vd., 2013; Köksal vd., 2013; Ata ve Ağ, 2010; Frank ve Goyal, 2009; Crnigoj ve Mramor, 2009; Qian vd., 2007; Mazur, 2007; Kabakçı, 2007; Schoubben ve Van Hulle, 2004; Cassar ve Holmes, 2003; Chen vd., 1998).</w:t>
      </w:r>
      <w:r w:rsidRPr="009218D1">
        <w:rPr>
          <w:sz w:val="24"/>
          <w:szCs w:val="24"/>
        </w:rPr>
        <w:t xml:space="preserve"> </w:t>
      </w:r>
      <w:r w:rsidRPr="009218D1">
        <w:rPr>
          <w:rFonts w:asciiTheme="majorBidi" w:hAnsiTheme="majorBidi" w:cstheme="majorBidi"/>
          <w:sz w:val="24"/>
          <w:szCs w:val="24"/>
        </w:rPr>
        <w:t>Ödünleşme Hipotezine göre işletmenin büyüme fırsatlarıyla borçlanması arasında negatif ilişki vardır. Çünkü işletmenin daha fazla sayıda büyüme fırsatı ile karşılaşması, işletmenin iflas riskini arttırmaktadır. Finansal Hiyerarşi Teorisine göre ise işletmenin büyüme fırsatları ile borçlanması arasında pozitif yönlü bir ilişki vardır. Hızlı büyüyen firmalar daha yüksek kaldıraç oranına sahip olmalıdır.</w:t>
      </w:r>
    </w:p>
    <w:p w:rsidR="009A1B8E" w:rsidRPr="009218D1" w:rsidRDefault="009A1B8E" w:rsidP="009A1B8E">
      <w:pPr>
        <w:spacing w:before="120" w:after="120" w:line="240" w:lineRule="auto"/>
        <w:jc w:val="both"/>
        <w:rPr>
          <w:rFonts w:asciiTheme="majorBidi" w:hAnsiTheme="majorBidi" w:cstheme="majorBidi"/>
          <w:sz w:val="24"/>
          <w:szCs w:val="24"/>
        </w:rPr>
      </w:pPr>
      <w:r w:rsidRPr="009218D1">
        <w:rPr>
          <w:rFonts w:asciiTheme="majorBidi" w:hAnsiTheme="majorBidi" w:cstheme="majorBidi"/>
          <w:sz w:val="24"/>
          <w:szCs w:val="24"/>
        </w:rPr>
        <w:t>Varlık yapısı, borç verenler için maddi duran varlıklar teminat olarak görüldüğünden, maddi duran varlıkların toplam varlıklara oranı olarak alınmıştır (Nguyen vd., 2014; Sarıoğlu vd., 2013; Öztürk ve Şahin, 2013; Elitaş ve Doğan, 2013; Dinçerkök, 2010; Demirhan, 2009; Psillaki ve Daskalakis, 2009; Akkaya, 2008; Başaran, 2008; Huang ve Song, 2006; Fıratoğlu, 2005; Padron, 2005; Deesomsak, 2004; Gönenç ve Arslan, 2003; Wiwattanakantang, 1999; Rajan ve Zinagales, 1995; Friend ve Lang, 1988). Temsil teorisine göre; maddi duran varlıklar teminat olarak gösterildiğinde, firmalar yüksek maliyetle borçlanmaktan ve hisse senedi ihraç etmekten kurtulurlar.</w:t>
      </w:r>
    </w:p>
    <w:p w:rsidR="009A1B8E" w:rsidRPr="009218D1" w:rsidRDefault="009A1B8E" w:rsidP="009A1B8E">
      <w:pPr>
        <w:shd w:val="clear" w:color="auto" w:fill="FFFFFF"/>
        <w:spacing w:line="270" w:lineRule="atLeast"/>
        <w:jc w:val="both"/>
        <w:rPr>
          <w:rFonts w:asciiTheme="majorBidi" w:eastAsia="Times New Roman" w:hAnsiTheme="majorBidi" w:cstheme="majorBidi"/>
          <w:color w:val="555555"/>
          <w:sz w:val="24"/>
          <w:szCs w:val="24"/>
          <w:lang w:eastAsia="tr-TR"/>
        </w:rPr>
      </w:pPr>
      <w:r w:rsidRPr="009218D1">
        <w:rPr>
          <w:rFonts w:asciiTheme="majorBidi" w:hAnsiTheme="majorBidi" w:cstheme="majorBidi"/>
          <w:sz w:val="24"/>
          <w:szCs w:val="24"/>
        </w:rPr>
        <w:t xml:space="preserve">Kârlılık, </w:t>
      </w:r>
      <w:r w:rsidR="00E5044D" w:rsidRPr="009218D1">
        <w:rPr>
          <w:rFonts w:asciiTheme="majorBidi" w:hAnsiTheme="majorBidi" w:cstheme="majorBidi"/>
          <w:sz w:val="24"/>
          <w:szCs w:val="24"/>
        </w:rPr>
        <w:t xml:space="preserve">yani </w:t>
      </w:r>
      <w:r w:rsidRPr="009218D1">
        <w:rPr>
          <w:rFonts w:asciiTheme="majorBidi" w:hAnsiTheme="majorBidi" w:cstheme="majorBidi"/>
          <w:sz w:val="24"/>
          <w:szCs w:val="24"/>
        </w:rPr>
        <w:t>toplam aktif kârlılığı</w:t>
      </w:r>
      <w:r w:rsidR="00E5044D" w:rsidRPr="009218D1">
        <w:rPr>
          <w:rFonts w:asciiTheme="majorBidi" w:hAnsiTheme="majorBidi" w:cstheme="majorBidi"/>
          <w:sz w:val="24"/>
          <w:szCs w:val="24"/>
        </w:rPr>
        <w:t>,</w:t>
      </w:r>
      <w:r w:rsidRPr="009218D1">
        <w:rPr>
          <w:rFonts w:asciiTheme="majorBidi" w:hAnsiTheme="majorBidi" w:cstheme="majorBidi"/>
          <w:sz w:val="24"/>
          <w:szCs w:val="24"/>
        </w:rPr>
        <w:t xml:space="preserve"> </w:t>
      </w:r>
      <w:r w:rsidR="00E5044D" w:rsidRPr="009218D1">
        <w:rPr>
          <w:rFonts w:asciiTheme="majorBidi" w:hAnsiTheme="majorBidi" w:cstheme="majorBidi"/>
          <w:sz w:val="24"/>
          <w:szCs w:val="24"/>
        </w:rPr>
        <w:t>N</w:t>
      </w:r>
      <w:r w:rsidRPr="009218D1">
        <w:rPr>
          <w:rFonts w:asciiTheme="majorBidi" w:hAnsiTheme="majorBidi" w:cstheme="majorBidi"/>
          <w:sz w:val="24"/>
          <w:szCs w:val="24"/>
        </w:rPr>
        <w:t>et kârın</w:t>
      </w:r>
      <w:r w:rsidR="00E5044D" w:rsidRPr="009218D1">
        <w:rPr>
          <w:rFonts w:asciiTheme="majorBidi" w:hAnsiTheme="majorBidi" w:cstheme="majorBidi"/>
          <w:sz w:val="24"/>
          <w:szCs w:val="24"/>
        </w:rPr>
        <w:t>/T</w:t>
      </w:r>
      <w:r w:rsidRPr="009218D1">
        <w:rPr>
          <w:rFonts w:asciiTheme="majorBidi" w:hAnsiTheme="majorBidi" w:cstheme="majorBidi"/>
          <w:sz w:val="24"/>
          <w:szCs w:val="24"/>
        </w:rPr>
        <w:t xml:space="preserve">oplam varlıklara oranı ile ölçülmüştür (Öztürk ve Şahin, 2013; Elitaş ve Doğan, 2013; Demirhan, 2009; Kandır, 2009;  Karadeniz, 2008; Albayrak ve Akbulut, 2008; Kabakçı, 2007; Turan, 2006; Tang ve Jang, 2005; Acaravcı, 2004; Acaravcı ve Doğukanlı, 2004; Güloğlu ve Bekçioğlu, 2001; Durukan, 1997; Rajan ve Zingales, 1995). Bu oran, </w:t>
      </w:r>
      <w:r w:rsidRPr="009218D1">
        <w:rPr>
          <w:rFonts w:asciiTheme="majorBidi" w:eastAsia="Times New Roman" w:hAnsiTheme="majorBidi" w:cstheme="majorBidi"/>
          <w:sz w:val="24"/>
          <w:szCs w:val="24"/>
          <w:lang w:eastAsia="tr-TR"/>
        </w:rPr>
        <w:t>i</w:t>
      </w:r>
      <w:r w:rsidRPr="009218D1">
        <w:rPr>
          <w:rFonts w:asciiTheme="majorBidi" w:eastAsia="Times New Roman" w:hAnsiTheme="majorBidi" w:cstheme="majorBidi" w:hint="eastAsia"/>
          <w:sz w:val="24"/>
          <w:szCs w:val="24"/>
          <w:lang w:eastAsia="tr-TR"/>
        </w:rPr>
        <w:t>ş</w:t>
      </w:r>
      <w:r w:rsidRPr="009218D1">
        <w:rPr>
          <w:rFonts w:asciiTheme="majorBidi" w:eastAsia="Times New Roman" w:hAnsiTheme="majorBidi" w:cstheme="majorBidi"/>
          <w:sz w:val="24"/>
          <w:szCs w:val="24"/>
          <w:lang w:eastAsia="tr-TR"/>
        </w:rPr>
        <w:t>letmenin yapt</w:t>
      </w:r>
      <w:r w:rsidRPr="009218D1">
        <w:rPr>
          <w:rFonts w:asciiTheme="majorBidi" w:eastAsia="Times New Roman" w:hAnsiTheme="majorBidi" w:cstheme="majorBidi" w:hint="eastAsia"/>
          <w:sz w:val="24"/>
          <w:szCs w:val="24"/>
          <w:lang w:eastAsia="tr-TR"/>
        </w:rPr>
        <w:t>ığı</w:t>
      </w:r>
      <w:r w:rsidRPr="009218D1">
        <w:rPr>
          <w:rFonts w:asciiTheme="majorBidi" w:eastAsia="Times New Roman" w:hAnsiTheme="majorBidi" w:cstheme="majorBidi"/>
          <w:sz w:val="24"/>
          <w:szCs w:val="24"/>
          <w:lang w:eastAsia="tr-TR"/>
        </w:rPr>
        <w:t xml:space="preserve"> t</w:t>
      </w:r>
      <w:r w:rsidRPr="009218D1">
        <w:rPr>
          <w:rFonts w:asciiTheme="majorBidi" w:eastAsia="Times New Roman" w:hAnsiTheme="majorBidi" w:cstheme="majorBidi" w:hint="eastAsia"/>
          <w:sz w:val="24"/>
          <w:szCs w:val="24"/>
          <w:lang w:eastAsia="tr-TR"/>
        </w:rPr>
        <w:t>ü</w:t>
      </w:r>
      <w:r w:rsidRPr="009218D1">
        <w:rPr>
          <w:rFonts w:asciiTheme="majorBidi" w:eastAsia="Times New Roman" w:hAnsiTheme="majorBidi" w:cstheme="majorBidi"/>
          <w:sz w:val="24"/>
          <w:szCs w:val="24"/>
          <w:lang w:eastAsia="tr-TR"/>
        </w:rPr>
        <w:t>m yat</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r</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mlara kar</w:t>
      </w:r>
      <w:r w:rsidRPr="009218D1">
        <w:rPr>
          <w:rFonts w:asciiTheme="majorBidi" w:eastAsia="Times New Roman" w:hAnsiTheme="majorBidi" w:cstheme="majorBidi" w:hint="eastAsia"/>
          <w:sz w:val="24"/>
          <w:szCs w:val="24"/>
          <w:lang w:eastAsia="tr-TR"/>
        </w:rPr>
        <w:t>şı</w:t>
      </w:r>
      <w:r w:rsidRPr="009218D1">
        <w:rPr>
          <w:rFonts w:asciiTheme="majorBidi" w:eastAsia="Times New Roman" w:hAnsiTheme="majorBidi" w:cstheme="majorBidi"/>
          <w:sz w:val="24"/>
          <w:szCs w:val="24"/>
          <w:lang w:eastAsia="tr-TR"/>
        </w:rPr>
        <w:t>l</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k vergiden sonra ne kazand</w:t>
      </w:r>
      <w:r w:rsidRPr="009218D1">
        <w:rPr>
          <w:rFonts w:asciiTheme="majorBidi" w:eastAsia="Times New Roman" w:hAnsiTheme="majorBidi" w:cstheme="majorBidi" w:hint="eastAsia"/>
          <w:sz w:val="24"/>
          <w:szCs w:val="24"/>
          <w:lang w:eastAsia="tr-TR"/>
        </w:rPr>
        <w:t>ığı</w:t>
      </w:r>
      <w:r w:rsidRPr="009218D1">
        <w:rPr>
          <w:rFonts w:asciiTheme="majorBidi" w:eastAsia="Times New Roman" w:hAnsiTheme="majorBidi" w:cstheme="majorBidi"/>
          <w:sz w:val="24"/>
          <w:szCs w:val="24"/>
          <w:lang w:eastAsia="tr-TR"/>
        </w:rPr>
        <w:t>n</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 bir di</w:t>
      </w:r>
      <w:r w:rsidRPr="009218D1">
        <w:rPr>
          <w:rFonts w:asciiTheme="majorBidi" w:eastAsia="Times New Roman" w:hAnsiTheme="majorBidi" w:cstheme="majorBidi" w:hint="eastAsia"/>
          <w:sz w:val="24"/>
          <w:szCs w:val="24"/>
          <w:lang w:eastAsia="tr-TR"/>
        </w:rPr>
        <w:t>ğ</w:t>
      </w:r>
      <w:r w:rsidRPr="009218D1">
        <w:rPr>
          <w:rFonts w:asciiTheme="majorBidi" w:eastAsia="Times New Roman" w:hAnsiTheme="majorBidi" w:cstheme="majorBidi"/>
          <w:sz w:val="24"/>
          <w:szCs w:val="24"/>
          <w:lang w:eastAsia="tr-TR"/>
        </w:rPr>
        <w:t>er de</w:t>
      </w:r>
      <w:r w:rsidRPr="009218D1">
        <w:rPr>
          <w:rFonts w:asciiTheme="majorBidi" w:eastAsia="Times New Roman" w:hAnsiTheme="majorBidi" w:cstheme="majorBidi" w:hint="eastAsia"/>
          <w:sz w:val="24"/>
          <w:szCs w:val="24"/>
          <w:lang w:eastAsia="tr-TR"/>
        </w:rPr>
        <w:t>ğ</w:t>
      </w:r>
      <w:r w:rsidRPr="009218D1">
        <w:rPr>
          <w:rFonts w:asciiTheme="majorBidi" w:eastAsia="Times New Roman" w:hAnsiTheme="majorBidi" w:cstheme="majorBidi"/>
          <w:sz w:val="24"/>
          <w:szCs w:val="24"/>
          <w:lang w:eastAsia="tr-TR"/>
        </w:rPr>
        <w:t>i</w:t>
      </w:r>
      <w:r w:rsidRPr="009218D1">
        <w:rPr>
          <w:rFonts w:asciiTheme="majorBidi" w:eastAsia="Times New Roman" w:hAnsiTheme="majorBidi" w:cstheme="majorBidi" w:hint="eastAsia"/>
          <w:sz w:val="24"/>
          <w:szCs w:val="24"/>
          <w:lang w:eastAsia="tr-TR"/>
        </w:rPr>
        <w:t>ş</w:t>
      </w:r>
      <w:r w:rsidRPr="009218D1">
        <w:rPr>
          <w:rFonts w:asciiTheme="majorBidi" w:eastAsia="Times New Roman" w:hAnsiTheme="majorBidi" w:cstheme="majorBidi"/>
          <w:sz w:val="24"/>
          <w:szCs w:val="24"/>
          <w:lang w:eastAsia="tr-TR"/>
        </w:rPr>
        <w:t>le i</w:t>
      </w:r>
      <w:r w:rsidRPr="009218D1">
        <w:rPr>
          <w:rFonts w:asciiTheme="majorBidi" w:eastAsia="Times New Roman" w:hAnsiTheme="majorBidi" w:cstheme="majorBidi" w:hint="eastAsia"/>
          <w:sz w:val="24"/>
          <w:szCs w:val="24"/>
          <w:lang w:eastAsia="tr-TR"/>
        </w:rPr>
        <w:t>ş</w:t>
      </w:r>
      <w:r w:rsidRPr="009218D1">
        <w:rPr>
          <w:rFonts w:asciiTheme="majorBidi" w:eastAsia="Times New Roman" w:hAnsiTheme="majorBidi" w:cstheme="majorBidi"/>
          <w:sz w:val="24"/>
          <w:szCs w:val="24"/>
          <w:lang w:eastAsia="tr-TR"/>
        </w:rPr>
        <w:t>letmenin yat</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r</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mlar</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ndan ne oranda getiri sa</w:t>
      </w:r>
      <w:r w:rsidRPr="009218D1">
        <w:rPr>
          <w:rFonts w:asciiTheme="majorBidi" w:eastAsia="Times New Roman" w:hAnsiTheme="majorBidi" w:cstheme="majorBidi" w:hint="eastAsia"/>
          <w:sz w:val="24"/>
          <w:szCs w:val="24"/>
          <w:lang w:eastAsia="tr-TR"/>
        </w:rPr>
        <w:t>ğ</w:t>
      </w:r>
      <w:r w:rsidRPr="009218D1">
        <w:rPr>
          <w:rFonts w:asciiTheme="majorBidi" w:eastAsia="Times New Roman" w:hAnsiTheme="majorBidi" w:cstheme="majorBidi"/>
          <w:sz w:val="24"/>
          <w:szCs w:val="24"/>
          <w:lang w:eastAsia="tr-TR"/>
        </w:rPr>
        <w:t>lad</w:t>
      </w:r>
      <w:r w:rsidRPr="009218D1">
        <w:rPr>
          <w:rFonts w:asciiTheme="majorBidi" w:eastAsia="Times New Roman" w:hAnsiTheme="majorBidi" w:cstheme="majorBidi" w:hint="eastAsia"/>
          <w:sz w:val="24"/>
          <w:szCs w:val="24"/>
          <w:lang w:eastAsia="tr-TR"/>
        </w:rPr>
        <w:t>ığı</w:t>
      </w:r>
      <w:r w:rsidRPr="009218D1">
        <w:rPr>
          <w:rFonts w:asciiTheme="majorBidi" w:eastAsia="Times New Roman" w:hAnsiTheme="majorBidi" w:cstheme="majorBidi"/>
          <w:sz w:val="24"/>
          <w:szCs w:val="24"/>
          <w:lang w:eastAsia="tr-TR"/>
        </w:rPr>
        <w:t>n</w:t>
      </w:r>
      <w:r w:rsidRPr="009218D1">
        <w:rPr>
          <w:rFonts w:asciiTheme="majorBidi" w:eastAsia="Times New Roman" w:hAnsiTheme="majorBidi" w:cstheme="majorBidi" w:hint="eastAsia"/>
          <w:sz w:val="24"/>
          <w:szCs w:val="24"/>
          <w:lang w:eastAsia="tr-TR"/>
        </w:rPr>
        <w:t>ı</w:t>
      </w:r>
      <w:r w:rsidRPr="009218D1">
        <w:rPr>
          <w:rFonts w:asciiTheme="majorBidi" w:eastAsia="Times New Roman" w:hAnsiTheme="majorBidi" w:cstheme="majorBidi"/>
          <w:sz w:val="24"/>
          <w:szCs w:val="24"/>
          <w:lang w:eastAsia="tr-TR"/>
        </w:rPr>
        <w:t xml:space="preserve"> </w:t>
      </w:r>
      <w:r w:rsidRPr="009218D1">
        <w:rPr>
          <w:rFonts w:asciiTheme="majorBidi" w:eastAsia="Times New Roman" w:hAnsiTheme="majorBidi" w:cstheme="majorBidi" w:hint="eastAsia"/>
          <w:sz w:val="24"/>
          <w:szCs w:val="24"/>
          <w:lang w:eastAsia="tr-TR"/>
        </w:rPr>
        <w:t>ö</w:t>
      </w:r>
      <w:r w:rsidRPr="009218D1">
        <w:rPr>
          <w:rFonts w:asciiTheme="majorBidi" w:eastAsia="Times New Roman" w:hAnsiTheme="majorBidi" w:cstheme="majorBidi"/>
          <w:sz w:val="24"/>
          <w:szCs w:val="24"/>
          <w:lang w:eastAsia="tr-TR"/>
        </w:rPr>
        <w:t>l</w:t>
      </w:r>
      <w:r w:rsidRPr="009218D1">
        <w:rPr>
          <w:rFonts w:asciiTheme="majorBidi" w:eastAsia="Times New Roman" w:hAnsiTheme="majorBidi" w:cstheme="majorBidi" w:hint="eastAsia"/>
          <w:sz w:val="24"/>
          <w:szCs w:val="24"/>
          <w:lang w:eastAsia="tr-TR"/>
        </w:rPr>
        <w:t>ç</w:t>
      </w:r>
      <w:r w:rsidRPr="009218D1">
        <w:rPr>
          <w:rFonts w:asciiTheme="majorBidi" w:eastAsia="Times New Roman" w:hAnsiTheme="majorBidi" w:cstheme="majorBidi"/>
          <w:sz w:val="24"/>
          <w:szCs w:val="24"/>
          <w:lang w:eastAsia="tr-TR"/>
        </w:rPr>
        <w:t>en bir rasyodur.</w:t>
      </w:r>
    </w:p>
    <w:p w:rsidR="009A1B8E" w:rsidRPr="009218D1" w:rsidRDefault="009A1B8E" w:rsidP="009A1B8E">
      <w:pPr>
        <w:spacing w:before="120" w:after="120" w:line="240" w:lineRule="auto"/>
        <w:jc w:val="both"/>
        <w:rPr>
          <w:rFonts w:asciiTheme="majorBidi" w:hAnsiTheme="majorBidi" w:cstheme="majorBidi"/>
          <w:sz w:val="24"/>
          <w:szCs w:val="24"/>
        </w:rPr>
      </w:pPr>
      <w:r w:rsidRPr="009218D1">
        <w:rPr>
          <w:rFonts w:asciiTheme="majorBidi" w:hAnsiTheme="majorBidi" w:cstheme="majorBidi"/>
          <w:sz w:val="24"/>
          <w:szCs w:val="24"/>
        </w:rPr>
        <w:t xml:space="preserve">Dağıtılan temettüler, temettü ödemesinin özsermaye oranıdır (Gülşen ve Ülkütaş, 2012). Finansal Hiyerarşi Teorisine göre, işletmenin geçmiş yıllarda ödenen temettüleriyle, mevcut borçluluğu arasında pozitif yönlü bir ilişki vardır. İşletmeler mevcut fonlarını kâr dağıtımında kullandıklarından dışsal kaynağa ihtiyaç duymaktadırlar. Ancak Ödünleşme Teorisine göre; temettü ödemeleri ile kaldıraç oranı arasında negatif bir ilişki mevcuttur. Firmanın yüksek </w:t>
      </w:r>
      <w:r w:rsidRPr="009218D1">
        <w:rPr>
          <w:rFonts w:asciiTheme="majorBidi" w:hAnsiTheme="majorBidi" w:cstheme="majorBidi"/>
          <w:sz w:val="24"/>
          <w:szCs w:val="24"/>
        </w:rPr>
        <w:lastRenderedPageBreak/>
        <w:t>temettü ödemiş olması, dışsal finansman ihtiyacının düşük olduğu sinyali vermektedir (Gülşen ve Ülkütaş, 2012).</w:t>
      </w:r>
    </w:p>
    <w:p w:rsidR="009A1B8E" w:rsidRPr="009218D1" w:rsidRDefault="009A1B8E" w:rsidP="009A1B8E">
      <w:pPr>
        <w:spacing w:before="120" w:after="120" w:line="240" w:lineRule="auto"/>
        <w:jc w:val="both"/>
        <w:rPr>
          <w:rFonts w:asciiTheme="majorBidi" w:hAnsiTheme="majorBidi" w:cstheme="majorBidi"/>
          <w:sz w:val="24"/>
          <w:szCs w:val="24"/>
        </w:rPr>
      </w:pPr>
      <w:r w:rsidRPr="009218D1">
        <w:rPr>
          <w:rFonts w:asciiTheme="majorBidi" w:hAnsiTheme="majorBidi" w:cstheme="majorBidi"/>
          <w:sz w:val="24"/>
          <w:szCs w:val="24"/>
        </w:rPr>
        <w:t>Borsanın gelişmişlik düzeyi, Borsa İstanbul’da işlem gören hisse senetlerinin piyasa</w:t>
      </w:r>
      <w:r w:rsidR="00E5044D" w:rsidRPr="009218D1">
        <w:rPr>
          <w:rFonts w:asciiTheme="majorBidi" w:hAnsiTheme="majorBidi" w:cstheme="majorBidi"/>
          <w:sz w:val="24"/>
          <w:szCs w:val="24"/>
        </w:rPr>
        <w:t xml:space="preserve"> değeri/Nominal gayri safi yurt</w:t>
      </w:r>
      <w:r w:rsidRPr="009218D1">
        <w:rPr>
          <w:rFonts w:asciiTheme="majorBidi" w:hAnsiTheme="majorBidi" w:cstheme="majorBidi"/>
          <w:sz w:val="24"/>
          <w:szCs w:val="24"/>
        </w:rPr>
        <w:t>içi hâsıla oranı ile ölçülmüştür (Demirgüç-Kunt ve Maksimoviç 1996; Acaravcı, 2004). Borsa ne kadar aktifse, firmalar hisse senedi ihracını borçlanmaya tercih edeceklerdir. Borsanın gelişmesi firmaların kaldıraç oranlarına pozitif etki eder. Borsa gelişmeye başlayınca, firmalar sadece hisse senedi yoluyla finansman kaynağı sağlamamakta aynı zamanda bankalar ve diğer finansal kurumlardan da borç almaya devam etmektedirler (Güloğlu ve Bekçioğlu, 2001).</w:t>
      </w:r>
    </w:p>
    <w:p w:rsidR="009A1B8E" w:rsidRPr="009218D1" w:rsidRDefault="009A1B8E" w:rsidP="009A1B8E">
      <w:pPr>
        <w:spacing w:before="120" w:after="120" w:line="240" w:lineRule="auto"/>
        <w:jc w:val="both"/>
        <w:rPr>
          <w:rFonts w:asciiTheme="majorBidi" w:hAnsiTheme="majorBidi" w:cstheme="majorBidi"/>
          <w:sz w:val="24"/>
          <w:szCs w:val="24"/>
        </w:rPr>
      </w:pPr>
      <w:r w:rsidRPr="009218D1">
        <w:rPr>
          <w:rFonts w:asciiTheme="majorBidi" w:hAnsiTheme="majorBidi" w:cstheme="majorBidi"/>
          <w:sz w:val="24"/>
          <w:szCs w:val="24"/>
        </w:rPr>
        <w:t xml:space="preserve">Bankacılık </w:t>
      </w:r>
      <w:r w:rsidR="00E5044D" w:rsidRPr="009218D1">
        <w:rPr>
          <w:rFonts w:asciiTheme="majorBidi" w:hAnsiTheme="majorBidi" w:cstheme="majorBidi"/>
          <w:sz w:val="24"/>
          <w:szCs w:val="24"/>
        </w:rPr>
        <w:t>sektörünün gelişmişlik düzeyi, U</w:t>
      </w:r>
      <w:r w:rsidRPr="009218D1">
        <w:rPr>
          <w:rFonts w:asciiTheme="majorBidi" w:hAnsiTheme="majorBidi" w:cstheme="majorBidi"/>
          <w:sz w:val="24"/>
          <w:szCs w:val="24"/>
        </w:rPr>
        <w:t>lusal bankalar tarafından özel sektöre verilen k</w:t>
      </w:r>
      <w:r w:rsidR="00E5044D" w:rsidRPr="009218D1">
        <w:rPr>
          <w:rFonts w:asciiTheme="majorBidi" w:hAnsiTheme="majorBidi" w:cstheme="majorBidi"/>
          <w:sz w:val="24"/>
          <w:szCs w:val="24"/>
        </w:rPr>
        <w:t>rediler/Nominal gayri safi yurt</w:t>
      </w:r>
      <w:r w:rsidRPr="009218D1">
        <w:rPr>
          <w:rFonts w:asciiTheme="majorBidi" w:hAnsiTheme="majorBidi" w:cstheme="majorBidi"/>
          <w:sz w:val="24"/>
          <w:szCs w:val="24"/>
        </w:rPr>
        <w:t>içi hâsıla oranı ile ölçülmüştür (Acaravcı ve Doğukanlı, 2004). Gelişmiş bankacılık sektörü büyümeyi, sermaye birikimini ve verimlilik artışını pozitif şekilde etkilemektedir. Demirgüç-Kunt ve Maksimoviç (1996), bankacılık sektörünün gelişmişliği ve kaldıraç arasında pozitif anlamlı bir ilişki tespit etmişlerdir. Özel sektöre verilen krediler ile ekonomik büyüme arasında uzun dönemde önemli bir ilişki vardır (Beck vd., 1999; Levine ve Zervos, 1998; Caporale vd., 2009). Mevduat ve kredi değişkenlerindeki gelişme, ekonomik büyümeyi olumlu etkiler ve ekonomik büyümeyle birlikte özel sektör kredilerindeki gelişme artar (Agu ve Chukwu, 2008).</w:t>
      </w:r>
    </w:p>
    <w:p w:rsidR="009A1B8E" w:rsidRPr="009218D1" w:rsidRDefault="009A1B8E" w:rsidP="009A1B8E">
      <w:pPr>
        <w:spacing w:before="120" w:after="120" w:line="240" w:lineRule="auto"/>
        <w:jc w:val="both"/>
        <w:rPr>
          <w:rFonts w:asciiTheme="majorBidi" w:hAnsiTheme="majorBidi" w:cstheme="majorBidi"/>
          <w:sz w:val="24"/>
          <w:szCs w:val="24"/>
        </w:rPr>
      </w:pPr>
      <w:r w:rsidRPr="009218D1">
        <w:rPr>
          <w:rFonts w:asciiTheme="majorBidi" w:hAnsiTheme="majorBidi" w:cstheme="majorBidi"/>
          <w:sz w:val="24"/>
          <w:szCs w:val="24"/>
        </w:rPr>
        <w:t>Kamu iç borç stoku, Kamu iç bor</w:t>
      </w:r>
      <w:r w:rsidR="00E5044D" w:rsidRPr="009218D1">
        <w:rPr>
          <w:rFonts w:asciiTheme="majorBidi" w:hAnsiTheme="majorBidi" w:cstheme="majorBidi"/>
          <w:sz w:val="24"/>
          <w:szCs w:val="24"/>
        </w:rPr>
        <w:t>ç stoku/Nominal gayri safi yurt</w:t>
      </w:r>
      <w:r w:rsidRPr="009218D1">
        <w:rPr>
          <w:rFonts w:asciiTheme="majorBidi" w:hAnsiTheme="majorBidi" w:cstheme="majorBidi"/>
          <w:sz w:val="24"/>
          <w:szCs w:val="24"/>
        </w:rPr>
        <w:t>içi hâsıla oranı ile ölçülmüştür (Acaravcı, 2004). Kamu iç borç stoku, özel sektör borçlanması üzerinde negatif etki yapar çünkü finansal piyasalardaki birikimlere el koyar ve yatırımlara yöneltilecek kaynakların azalmasına ve faiz oranlarının yükselmesine neden olur (Acaravcı, 2004). Borçlanma ile satın alma gücü özel kesim ve kamu kesimi arasında el değiştirir. İç borçların en büyük alıcısı durumunda olan bankaların toplamış oldukları mevduatı krediye dönüştürme eğilimini düşürür, yüksek kredi faizlerinin oluşması neticesinde yatırımlar üzerinde caydırıcı bir etkisi olur. Banka sisteminin yatırımların finansmanına katkı sağlamasına engel olur (Karluk vd., 2010).</w:t>
      </w:r>
    </w:p>
    <w:p w:rsidR="009A1B8E" w:rsidRPr="009218D1" w:rsidRDefault="00E5044D" w:rsidP="009A1B8E">
      <w:pPr>
        <w:spacing w:before="120" w:after="120" w:line="240" w:lineRule="auto"/>
        <w:jc w:val="both"/>
        <w:rPr>
          <w:rFonts w:asciiTheme="majorBidi" w:hAnsiTheme="majorBidi" w:cstheme="majorBidi"/>
          <w:sz w:val="24"/>
          <w:szCs w:val="24"/>
        </w:rPr>
      </w:pPr>
      <w:r w:rsidRPr="009218D1">
        <w:rPr>
          <w:rFonts w:asciiTheme="majorBidi" w:hAnsiTheme="majorBidi" w:cstheme="majorBidi"/>
          <w:sz w:val="24"/>
          <w:szCs w:val="24"/>
        </w:rPr>
        <w:t>Vergi düzeyi, Ödenecek vergi/V</w:t>
      </w:r>
      <w:r w:rsidR="009A1B8E" w:rsidRPr="009218D1">
        <w:rPr>
          <w:rFonts w:asciiTheme="majorBidi" w:hAnsiTheme="majorBidi" w:cstheme="majorBidi"/>
          <w:sz w:val="24"/>
          <w:szCs w:val="24"/>
        </w:rPr>
        <w:t>ergi öncesi kâr oranı ile ölçülmüştür (Demirhan, 2009; Kandır vd., 2009; Fıratoğlu, 2005; Durukan, 1997). Vergi öncesi kârın ne kadarının vergi olarak ödendiğini gösterir.</w:t>
      </w:r>
    </w:p>
    <w:p w:rsidR="009A1B8E" w:rsidRPr="009218D1" w:rsidRDefault="009A1B8E" w:rsidP="009A1B8E">
      <w:pPr>
        <w:spacing w:before="120" w:after="120" w:line="240" w:lineRule="auto"/>
        <w:jc w:val="both"/>
        <w:rPr>
          <w:rFonts w:asciiTheme="majorBidi" w:hAnsiTheme="majorBidi" w:cstheme="majorBidi"/>
          <w:sz w:val="24"/>
          <w:szCs w:val="24"/>
        </w:rPr>
      </w:pPr>
      <w:r w:rsidRPr="009218D1">
        <w:rPr>
          <w:rFonts w:asciiTheme="majorBidi" w:hAnsiTheme="majorBidi" w:cstheme="majorBidi"/>
          <w:sz w:val="24"/>
          <w:szCs w:val="24"/>
        </w:rPr>
        <w:t>İşletme riski, faaliyet kârında yüzde değişim</w:t>
      </w:r>
      <w:r w:rsidR="00A00AD8" w:rsidRPr="009218D1">
        <w:rPr>
          <w:rFonts w:asciiTheme="majorBidi" w:hAnsiTheme="majorBidi" w:cstheme="majorBidi"/>
          <w:sz w:val="24"/>
          <w:szCs w:val="24"/>
        </w:rPr>
        <w:t>i</w:t>
      </w:r>
      <w:r w:rsidRPr="009218D1">
        <w:rPr>
          <w:rFonts w:asciiTheme="majorBidi" w:hAnsiTheme="majorBidi" w:cstheme="majorBidi"/>
          <w:sz w:val="24"/>
          <w:szCs w:val="24"/>
        </w:rPr>
        <w:t xml:space="preserve"> ile ölçülmüştür (Sayılgan ve Uysal, 2011; Demirhan, 2009; Turan, 2006).</w:t>
      </w:r>
      <w:r w:rsidR="00A00AD8" w:rsidRPr="009218D1">
        <w:rPr>
          <w:rFonts w:asciiTheme="majorBidi" w:hAnsiTheme="majorBidi" w:cstheme="majorBidi"/>
          <w:sz w:val="24"/>
          <w:szCs w:val="24"/>
        </w:rPr>
        <w:t xml:space="preserve"> </w:t>
      </w:r>
      <w:r w:rsidRPr="009218D1">
        <w:rPr>
          <w:rFonts w:asciiTheme="majorBidi" w:hAnsiTheme="majorBidi" w:cstheme="majorBidi"/>
          <w:sz w:val="24"/>
          <w:szCs w:val="24"/>
        </w:rPr>
        <w:t xml:space="preserve">Firmanın gelirlerinde görülen </w:t>
      </w:r>
      <w:r w:rsidR="00A00AD8" w:rsidRPr="009218D1">
        <w:rPr>
          <w:rFonts w:asciiTheme="majorBidi" w:hAnsiTheme="majorBidi" w:cstheme="majorBidi"/>
          <w:sz w:val="24"/>
          <w:szCs w:val="24"/>
        </w:rPr>
        <w:t>değişkenlik</w:t>
      </w:r>
      <w:r w:rsidRPr="009218D1">
        <w:rPr>
          <w:rFonts w:asciiTheme="majorBidi" w:hAnsiTheme="majorBidi" w:cstheme="majorBidi"/>
          <w:sz w:val="24"/>
          <w:szCs w:val="24"/>
        </w:rPr>
        <w:t>, finansal sıkıntıya düşme olasılığını artırmakta ve firmanın borçlanmanın getirdiği yükümlülükleri yerine getirememesine neden olabilmektedir. Bu durumda firmanın borçlanma kapasitesi azalmaktadır.</w:t>
      </w:r>
    </w:p>
    <w:p w:rsidR="00421696" w:rsidRPr="009218D1" w:rsidRDefault="00421696" w:rsidP="00421696">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Değişkenler arasında korelasyon matrisi ise Çizelge 4’te verilmiştir. Değişkenler arasında korelasyon % 50’nin altında olup, bağımsız değişkenler arasında çoklu doğrusallık problemi olmadığının bir göstergesidir. </w:t>
      </w:r>
    </w:p>
    <w:p w:rsidR="009A1B8E" w:rsidRPr="009218D1" w:rsidRDefault="009A1B8E" w:rsidP="009A1B8E">
      <w:pPr>
        <w:spacing w:before="120" w:after="120" w:line="240" w:lineRule="auto"/>
        <w:jc w:val="both"/>
        <w:rPr>
          <w:rFonts w:asciiTheme="majorBidi" w:hAnsiTheme="majorBidi" w:cstheme="majorBidi"/>
          <w:sz w:val="20"/>
          <w:szCs w:val="20"/>
        </w:rPr>
      </w:pPr>
    </w:p>
    <w:p w:rsidR="00433695" w:rsidRPr="009218D1" w:rsidRDefault="00837541" w:rsidP="00837541">
      <w:pPr>
        <w:autoSpaceDE w:val="0"/>
        <w:autoSpaceDN w:val="0"/>
        <w:adjustRightInd w:val="0"/>
        <w:spacing w:after="0" w:line="240" w:lineRule="auto"/>
        <w:jc w:val="center"/>
        <w:rPr>
          <w:rFonts w:ascii="Times New Roman" w:hAnsi="Times New Roman" w:cs="Times New Roman"/>
          <w:b/>
          <w:bCs/>
          <w:sz w:val="24"/>
          <w:szCs w:val="24"/>
        </w:rPr>
      </w:pPr>
      <w:r w:rsidRPr="009218D1">
        <w:rPr>
          <w:rFonts w:ascii="Times New Roman" w:hAnsi="Times New Roman" w:cs="Times New Roman"/>
          <w:b/>
          <w:bCs/>
          <w:sz w:val="24"/>
          <w:szCs w:val="24"/>
        </w:rPr>
        <w:t>Çizelge</w:t>
      </w:r>
      <w:r w:rsidR="00433695" w:rsidRPr="009218D1">
        <w:rPr>
          <w:rFonts w:ascii="Times New Roman" w:hAnsi="Times New Roman" w:cs="Times New Roman"/>
          <w:b/>
          <w:bCs/>
          <w:sz w:val="24"/>
          <w:szCs w:val="24"/>
        </w:rPr>
        <w:t xml:space="preserve"> </w:t>
      </w:r>
      <w:r w:rsidR="005B70AB" w:rsidRPr="009218D1">
        <w:rPr>
          <w:rFonts w:ascii="Times New Roman" w:hAnsi="Times New Roman" w:cs="Times New Roman"/>
          <w:b/>
          <w:bCs/>
          <w:sz w:val="24"/>
          <w:szCs w:val="24"/>
        </w:rPr>
        <w:t>4</w:t>
      </w:r>
      <w:r w:rsidR="00BE3467" w:rsidRPr="009218D1">
        <w:rPr>
          <w:rFonts w:ascii="Times New Roman" w:hAnsi="Times New Roman" w:cs="Times New Roman"/>
          <w:b/>
          <w:bCs/>
          <w:sz w:val="24"/>
          <w:szCs w:val="24"/>
        </w:rPr>
        <w:t>.</w:t>
      </w:r>
      <w:r w:rsidR="00433695" w:rsidRPr="009218D1">
        <w:rPr>
          <w:rFonts w:ascii="Times New Roman" w:hAnsi="Times New Roman" w:cs="Times New Roman"/>
          <w:b/>
          <w:bCs/>
          <w:sz w:val="24"/>
          <w:szCs w:val="24"/>
        </w:rPr>
        <w:t xml:space="preserve"> Değişkenler Arasında Korelasyon Matrisi</w:t>
      </w:r>
    </w:p>
    <w:p w:rsidR="00837541" w:rsidRPr="009218D1" w:rsidRDefault="00837541" w:rsidP="00837541">
      <w:pPr>
        <w:autoSpaceDE w:val="0"/>
        <w:autoSpaceDN w:val="0"/>
        <w:adjustRightInd w:val="0"/>
        <w:spacing w:after="0" w:line="240" w:lineRule="auto"/>
        <w:jc w:val="center"/>
        <w:rPr>
          <w:rFonts w:ascii="Times New Roman" w:hAnsi="Times New Roman" w:cs="Times New Roman"/>
          <w:b/>
          <w:bCs/>
          <w:sz w:val="24"/>
          <w:szCs w:val="24"/>
        </w:rPr>
      </w:pPr>
    </w:p>
    <w:tbl>
      <w:tblPr>
        <w:tblStyle w:val="TabloKlavuzu"/>
        <w:tblW w:w="4225" w:type="pct"/>
        <w:tblInd w:w="108" w:type="dxa"/>
        <w:tblLook w:val="04A0" w:firstRow="1" w:lastRow="0" w:firstColumn="1" w:lastColumn="0" w:noHBand="0" w:noVBand="1"/>
      </w:tblPr>
      <w:tblGrid>
        <w:gridCol w:w="1161"/>
        <w:gridCol w:w="976"/>
        <w:gridCol w:w="1067"/>
        <w:gridCol w:w="706"/>
        <w:gridCol w:w="737"/>
        <w:gridCol w:w="897"/>
        <w:gridCol w:w="857"/>
        <w:gridCol w:w="766"/>
        <w:gridCol w:w="1026"/>
        <w:gridCol w:w="597"/>
      </w:tblGrid>
      <w:tr w:rsidR="00F3619D" w:rsidRPr="009218D1" w:rsidTr="00F3619D">
        <w:trPr>
          <w:cantSplit/>
          <w:trHeight w:val="333"/>
        </w:trPr>
        <w:tc>
          <w:tcPr>
            <w:tcW w:w="654" w:type="pct"/>
            <w:vAlign w:val="center"/>
          </w:tcPr>
          <w:p w:rsidR="00F3619D" w:rsidRPr="009218D1" w:rsidRDefault="00F3619D" w:rsidP="002A3FD0">
            <w:pPr>
              <w:rPr>
                <w:rFonts w:ascii="Times New Roman" w:hAnsi="Times New Roman" w:cs="Times New Roman"/>
                <w:b/>
                <w:sz w:val="18"/>
                <w:szCs w:val="18"/>
              </w:rPr>
            </w:pPr>
            <w:r w:rsidRPr="009218D1">
              <w:rPr>
                <w:rFonts w:ascii="Times New Roman" w:hAnsi="Times New Roman" w:cs="Times New Roman"/>
                <w:b/>
                <w:sz w:val="18"/>
                <w:szCs w:val="18"/>
              </w:rPr>
              <w:t>Değişkenler</w:t>
            </w:r>
          </w:p>
        </w:tc>
        <w:tc>
          <w:tcPr>
            <w:tcW w:w="466"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PAYOUT</w:t>
            </w:r>
          </w:p>
        </w:tc>
        <w:tc>
          <w:tcPr>
            <w:tcW w:w="499"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GROWTH</w:t>
            </w:r>
          </w:p>
        </w:tc>
        <w:tc>
          <w:tcPr>
            <w:tcW w:w="466"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PROF</w:t>
            </w:r>
          </w:p>
        </w:tc>
        <w:tc>
          <w:tcPr>
            <w:tcW w:w="466"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TANG</w:t>
            </w:r>
          </w:p>
        </w:tc>
        <w:tc>
          <w:tcPr>
            <w:tcW w:w="561"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PUBLIC DEBT</w:t>
            </w:r>
          </w:p>
        </w:tc>
        <w:tc>
          <w:tcPr>
            <w:tcW w:w="562"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VOLAT</w:t>
            </w:r>
          </w:p>
        </w:tc>
        <w:tc>
          <w:tcPr>
            <w:tcW w:w="467"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BANK</w:t>
            </w:r>
          </w:p>
        </w:tc>
        <w:tc>
          <w:tcPr>
            <w:tcW w:w="482"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STOCK MARKET</w:t>
            </w:r>
          </w:p>
        </w:tc>
        <w:tc>
          <w:tcPr>
            <w:tcW w:w="377" w:type="pct"/>
            <w:vAlign w:val="center"/>
          </w:tcPr>
          <w:p w:rsidR="00F3619D" w:rsidRPr="009218D1" w:rsidRDefault="00F3619D" w:rsidP="002A3FD0">
            <w:pPr>
              <w:jc w:val="center"/>
              <w:rPr>
                <w:rFonts w:ascii="Times New Roman" w:hAnsi="Times New Roman" w:cs="Times New Roman"/>
                <w:b/>
                <w:sz w:val="18"/>
                <w:szCs w:val="18"/>
              </w:rPr>
            </w:pPr>
            <w:r w:rsidRPr="009218D1">
              <w:rPr>
                <w:rFonts w:ascii="Times New Roman" w:hAnsi="Times New Roman" w:cs="Times New Roman"/>
                <w:b/>
                <w:sz w:val="18"/>
                <w:szCs w:val="18"/>
              </w:rPr>
              <w:t>TAX</w:t>
            </w: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PAYOUT</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499" w:type="pct"/>
            <w:vAlign w:val="center"/>
          </w:tcPr>
          <w:p w:rsidR="00F3619D" w:rsidRPr="009218D1" w:rsidRDefault="00F3619D" w:rsidP="002A3FD0">
            <w:pPr>
              <w:rPr>
                <w:rFonts w:ascii="Times New Roman" w:hAnsi="Times New Roman" w:cs="Times New Roman"/>
                <w:b/>
                <w:sz w:val="20"/>
                <w:szCs w:val="20"/>
              </w:rPr>
            </w:pPr>
          </w:p>
        </w:tc>
        <w:tc>
          <w:tcPr>
            <w:tcW w:w="466" w:type="pct"/>
            <w:vAlign w:val="center"/>
          </w:tcPr>
          <w:p w:rsidR="00F3619D" w:rsidRPr="009218D1" w:rsidRDefault="00F3619D" w:rsidP="002A3FD0">
            <w:pPr>
              <w:rPr>
                <w:rFonts w:ascii="Times New Roman" w:hAnsi="Times New Roman" w:cs="Times New Roman"/>
                <w:b/>
                <w:sz w:val="20"/>
                <w:szCs w:val="20"/>
              </w:rPr>
            </w:pPr>
          </w:p>
        </w:tc>
        <w:tc>
          <w:tcPr>
            <w:tcW w:w="466" w:type="pct"/>
            <w:vAlign w:val="center"/>
          </w:tcPr>
          <w:p w:rsidR="00F3619D" w:rsidRPr="009218D1" w:rsidRDefault="00F3619D" w:rsidP="002A3FD0">
            <w:pPr>
              <w:rPr>
                <w:rFonts w:ascii="Times New Roman" w:hAnsi="Times New Roman" w:cs="Times New Roman"/>
                <w:b/>
                <w:sz w:val="20"/>
                <w:szCs w:val="20"/>
              </w:rPr>
            </w:pPr>
          </w:p>
        </w:tc>
        <w:tc>
          <w:tcPr>
            <w:tcW w:w="561" w:type="pct"/>
            <w:vAlign w:val="center"/>
          </w:tcPr>
          <w:p w:rsidR="00F3619D" w:rsidRPr="009218D1" w:rsidRDefault="00F3619D" w:rsidP="002A3FD0">
            <w:pPr>
              <w:rPr>
                <w:rFonts w:ascii="Times New Roman" w:hAnsi="Times New Roman" w:cs="Times New Roman"/>
                <w:b/>
                <w:sz w:val="20"/>
                <w:szCs w:val="20"/>
              </w:rPr>
            </w:pPr>
          </w:p>
        </w:tc>
        <w:tc>
          <w:tcPr>
            <w:tcW w:w="562" w:type="pct"/>
            <w:vAlign w:val="center"/>
          </w:tcPr>
          <w:p w:rsidR="00F3619D" w:rsidRPr="009218D1" w:rsidRDefault="00F3619D" w:rsidP="002A3FD0">
            <w:pPr>
              <w:rPr>
                <w:rFonts w:ascii="Times New Roman" w:hAnsi="Times New Roman" w:cs="Times New Roman"/>
                <w:b/>
                <w:sz w:val="20"/>
                <w:szCs w:val="20"/>
              </w:rPr>
            </w:pPr>
          </w:p>
        </w:tc>
        <w:tc>
          <w:tcPr>
            <w:tcW w:w="467" w:type="pct"/>
            <w:vAlign w:val="center"/>
          </w:tcPr>
          <w:p w:rsidR="00F3619D" w:rsidRPr="009218D1" w:rsidRDefault="00F3619D" w:rsidP="002A3FD0">
            <w:pPr>
              <w:rPr>
                <w:rFonts w:ascii="Times New Roman" w:hAnsi="Times New Roman" w:cs="Times New Roman"/>
                <w:b/>
                <w:sz w:val="20"/>
                <w:szCs w:val="20"/>
              </w:rPr>
            </w:pPr>
          </w:p>
        </w:tc>
        <w:tc>
          <w:tcPr>
            <w:tcW w:w="482" w:type="pct"/>
            <w:vAlign w:val="center"/>
          </w:tcPr>
          <w:p w:rsidR="00F3619D" w:rsidRPr="009218D1" w:rsidRDefault="00F3619D" w:rsidP="002A3FD0">
            <w:pPr>
              <w:rPr>
                <w:rFonts w:ascii="Times New Roman" w:hAnsi="Times New Roman" w:cs="Times New Roman"/>
                <w:b/>
                <w:sz w:val="20"/>
                <w:szCs w:val="20"/>
              </w:rPr>
            </w:pP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GROWTH</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043</w:t>
            </w:r>
          </w:p>
        </w:tc>
        <w:tc>
          <w:tcPr>
            <w:tcW w:w="499"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466" w:type="pct"/>
            <w:vAlign w:val="center"/>
          </w:tcPr>
          <w:p w:rsidR="00F3619D" w:rsidRPr="009218D1" w:rsidRDefault="00F3619D" w:rsidP="002A3FD0">
            <w:pPr>
              <w:rPr>
                <w:rFonts w:ascii="Times New Roman" w:hAnsi="Times New Roman" w:cs="Times New Roman"/>
                <w:b/>
                <w:sz w:val="20"/>
                <w:szCs w:val="20"/>
              </w:rPr>
            </w:pPr>
          </w:p>
        </w:tc>
        <w:tc>
          <w:tcPr>
            <w:tcW w:w="466" w:type="pct"/>
            <w:vAlign w:val="center"/>
          </w:tcPr>
          <w:p w:rsidR="00F3619D" w:rsidRPr="009218D1" w:rsidRDefault="00F3619D" w:rsidP="002A3FD0">
            <w:pPr>
              <w:rPr>
                <w:rFonts w:ascii="Times New Roman" w:hAnsi="Times New Roman" w:cs="Times New Roman"/>
                <w:b/>
                <w:sz w:val="20"/>
                <w:szCs w:val="20"/>
              </w:rPr>
            </w:pPr>
          </w:p>
        </w:tc>
        <w:tc>
          <w:tcPr>
            <w:tcW w:w="561" w:type="pct"/>
            <w:vAlign w:val="center"/>
          </w:tcPr>
          <w:p w:rsidR="00F3619D" w:rsidRPr="009218D1" w:rsidRDefault="00F3619D" w:rsidP="002A3FD0">
            <w:pPr>
              <w:rPr>
                <w:rFonts w:ascii="Times New Roman" w:hAnsi="Times New Roman" w:cs="Times New Roman"/>
                <w:b/>
                <w:sz w:val="20"/>
                <w:szCs w:val="20"/>
              </w:rPr>
            </w:pPr>
          </w:p>
        </w:tc>
        <w:tc>
          <w:tcPr>
            <w:tcW w:w="562" w:type="pct"/>
            <w:vAlign w:val="center"/>
          </w:tcPr>
          <w:p w:rsidR="00F3619D" w:rsidRPr="009218D1" w:rsidRDefault="00F3619D" w:rsidP="002A3FD0">
            <w:pPr>
              <w:rPr>
                <w:rFonts w:ascii="Times New Roman" w:hAnsi="Times New Roman" w:cs="Times New Roman"/>
                <w:b/>
                <w:sz w:val="20"/>
                <w:szCs w:val="20"/>
              </w:rPr>
            </w:pPr>
          </w:p>
        </w:tc>
        <w:tc>
          <w:tcPr>
            <w:tcW w:w="467" w:type="pct"/>
            <w:vAlign w:val="center"/>
          </w:tcPr>
          <w:p w:rsidR="00F3619D" w:rsidRPr="009218D1" w:rsidRDefault="00F3619D" w:rsidP="002A3FD0">
            <w:pPr>
              <w:rPr>
                <w:rFonts w:ascii="Times New Roman" w:hAnsi="Times New Roman" w:cs="Times New Roman"/>
                <w:b/>
                <w:sz w:val="20"/>
                <w:szCs w:val="20"/>
              </w:rPr>
            </w:pPr>
          </w:p>
        </w:tc>
        <w:tc>
          <w:tcPr>
            <w:tcW w:w="482" w:type="pct"/>
            <w:vAlign w:val="center"/>
          </w:tcPr>
          <w:p w:rsidR="00F3619D" w:rsidRPr="009218D1" w:rsidRDefault="00F3619D" w:rsidP="002A3FD0">
            <w:pPr>
              <w:rPr>
                <w:rFonts w:ascii="Times New Roman" w:hAnsi="Times New Roman" w:cs="Times New Roman"/>
                <w:b/>
                <w:sz w:val="20"/>
                <w:szCs w:val="20"/>
              </w:rPr>
            </w:pP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PROF</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301</w:t>
            </w:r>
          </w:p>
        </w:tc>
        <w:tc>
          <w:tcPr>
            <w:tcW w:w="499"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193</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466" w:type="pct"/>
            <w:vAlign w:val="center"/>
          </w:tcPr>
          <w:p w:rsidR="00F3619D" w:rsidRPr="009218D1" w:rsidRDefault="00F3619D" w:rsidP="002A3FD0">
            <w:pPr>
              <w:rPr>
                <w:rFonts w:ascii="Times New Roman" w:hAnsi="Times New Roman" w:cs="Times New Roman"/>
                <w:b/>
                <w:sz w:val="20"/>
                <w:szCs w:val="20"/>
              </w:rPr>
            </w:pPr>
          </w:p>
        </w:tc>
        <w:tc>
          <w:tcPr>
            <w:tcW w:w="561" w:type="pct"/>
            <w:vAlign w:val="center"/>
          </w:tcPr>
          <w:p w:rsidR="00F3619D" w:rsidRPr="009218D1" w:rsidRDefault="00F3619D" w:rsidP="002A3FD0">
            <w:pPr>
              <w:rPr>
                <w:rFonts w:ascii="Times New Roman" w:hAnsi="Times New Roman" w:cs="Times New Roman"/>
                <w:b/>
                <w:sz w:val="20"/>
                <w:szCs w:val="20"/>
              </w:rPr>
            </w:pPr>
          </w:p>
        </w:tc>
        <w:tc>
          <w:tcPr>
            <w:tcW w:w="562" w:type="pct"/>
            <w:vAlign w:val="center"/>
          </w:tcPr>
          <w:p w:rsidR="00F3619D" w:rsidRPr="009218D1" w:rsidRDefault="00F3619D" w:rsidP="002A3FD0">
            <w:pPr>
              <w:rPr>
                <w:rFonts w:ascii="Times New Roman" w:hAnsi="Times New Roman" w:cs="Times New Roman"/>
                <w:b/>
                <w:sz w:val="20"/>
                <w:szCs w:val="20"/>
              </w:rPr>
            </w:pPr>
          </w:p>
        </w:tc>
        <w:tc>
          <w:tcPr>
            <w:tcW w:w="467" w:type="pct"/>
            <w:vAlign w:val="center"/>
          </w:tcPr>
          <w:p w:rsidR="00F3619D" w:rsidRPr="009218D1" w:rsidRDefault="00F3619D" w:rsidP="002A3FD0">
            <w:pPr>
              <w:rPr>
                <w:rFonts w:ascii="Times New Roman" w:hAnsi="Times New Roman" w:cs="Times New Roman"/>
                <w:b/>
                <w:sz w:val="20"/>
                <w:szCs w:val="20"/>
              </w:rPr>
            </w:pPr>
          </w:p>
        </w:tc>
        <w:tc>
          <w:tcPr>
            <w:tcW w:w="482" w:type="pct"/>
            <w:vAlign w:val="center"/>
          </w:tcPr>
          <w:p w:rsidR="00F3619D" w:rsidRPr="009218D1" w:rsidRDefault="00F3619D" w:rsidP="002A3FD0">
            <w:pPr>
              <w:rPr>
                <w:rFonts w:ascii="Times New Roman" w:hAnsi="Times New Roman" w:cs="Times New Roman"/>
                <w:b/>
                <w:sz w:val="20"/>
                <w:szCs w:val="20"/>
              </w:rPr>
            </w:pP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lastRenderedPageBreak/>
              <w:t>TANG</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003</w:t>
            </w:r>
          </w:p>
        </w:tc>
        <w:tc>
          <w:tcPr>
            <w:tcW w:w="499"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076</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167</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561" w:type="pct"/>
            <w:vAlign w:val="center"/>
          </w:tcPr>
          <w:p w:rsidR="00F3619D" w:rsidRPr="009218D1" w:rsidRDefault="00F3619D" w:rsidP="002A3FD0">
            <w:pPr>
              <w:rPr>
                <w:rFonts w:ascii="Times New Roman" w:hAnsi="Times New Roman" w:cs="Times New Roman"/>
                <w:b/>
                <w:sz w:val="20"/>
                <w:szCs w:val="20"/>
              </w:rPr>
            </w:pPr>
          </w:p>
        </w:tc>
        <w:tc>
          <w:tcPr>
            <w:tcW w:w="562" w:type="pct"/>
            <w:vAlign w:val="center"/>
          </w:tcPr>
          <w:p w:rsidR="00F3619D" w:rsidRPr="009218D1" w:rsidRDefault="00F3619D" w:rsidP="002A3FD0">
            <w:pPr>
              <w:rPr>
                <w:rFonts w:ascii="Times New Roman" w:hAnsi="Times New Roman" w:cs="Times New Roman"/>
                <w:b/>
                <w:sz w:val="20"/>
                <w:szCs w:val="20"/>
              </w:rPr>
            </w:pPr>
          </w:p>
        </w:tc>
        <w:tc>
          <w:tcPr>
            <w:tcW w:w="467" w:type="pct"/>
            <w:vAlign w:val="center"/>
          </w:tcPr>
          <w:p w:rsidR="00F3619D" w:rsidRPr="009218D1" w:rsidRDefault="00F3619D" w:rsidP="002A3FD0">
            <w:pPr>
              <w:rPr>
                <w:rFonts w:ascii="Times New Roman" w:hAnsi="Times New Roman" w:cs="Times New Roman"/>
                <w:b/>
                <w:sz w:val="20"/>
                <w:szCs w:val="20"/>
              </w:rPr>
            </w:pPr>
          </w:p>
        </w:tc>
        <w:tc>
          <w:tcPr>
            <w:tcW w:w="482" w:type="pct"/>
            <w:vAlign w:val="center"/>
          </w:tcPr>
          <w:p w:rsidR="00F3619D" w:rsidRPr="009218D1" w:rsidRDefault="00F3619D" w:rsidP="002A3FD0">
            <w:pPr>
              <w:rPr>
                <w:rFonts w:ascii="Times New Roman" w:hAnsi="Times New Roman" w:cs="Times New Roman"/>
                <w:b/>
                <w:sz w:val="20"/>
                <w:szCs w:val="20"/>
              </w:rPr>
            </w:pP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PUBLIC DEBT</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0297</w:t>
            </w:r>
          </w:p>
        </w:tc>
        <w:tc>
          <w:tcPr>
            <w:tcW w:w="499" w:type="pct"/>
            <w:vAlign w:val="center"/>
          </w:tcPr>
          <w:p w:rsidR="00F3619D" w:rsidRPr="009218D1" w:rsidRDefault="00F3619D" w:rsidP="009A17E6">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208</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015</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023</w:t>
            </w:r>
          </w:p>
        </w:tc>
        <w:tc>
          <w:tcPr>
            <w:tcW w:w="561"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562" w:type="pct"/>
            <w:vAlign w:val="center"/>
          </w:tcPr>
          <w:p w:rsidR="00F3619D" w:rsidRPr="009218D1" w:rsidRDefault="00F3619D" w:rsidP="002A3FD0">
            <w:pPr>
              <w:rPr>
                <w:rFonts w:ascii="Times New Roman" w:hAnsi="Times New Roman" w:cs="Times New Roman"/>
                <w:b/>
                <w:sz w:val="20"/>
                <w:szCs w:val="20"/>
              </w:rPr>
            </w:pPr>
          </w:p>
        </w:tc>
        <w:tc>
          <w:tcPr>
            <w:tcW w:w="467" w:type="pct"/>
            <w:vAlign w:val="center"/>
          </w:tcPr>
          <w:p w:rsidR="00F3619D" w:rsidRPr="009218D1" w:rsidRDefault="00F3619D" w:rsidP="002A3FD0">
            <w:pPr>
              <w:rPr>
                <w:rFonts w:ascii="Times New Roman" w:hAnsi="Times New Roman" w:cs="Times New Roman"/>
                <w:b/>
                <w:sz w:val="20"/>
                <w:szCs w:val="20"/>
              </w:rPr>
            </w:pPr>
          </w:p>
        </w:tc>
        <w:tc>
          <w:tcPr>
            <w:tcW w:w="482" w:type="pct"/>
            <w:vAlign w:val="center"/>
          </w:tcPr>
          <w:p w:rsidR="00F3619D" w:rsidRPr="009218D1" w:rsidRDefault="00F3619D" w:rsidP="002A3FD0">
            <w:pPr>
              <w:rPr>
                <w:rFonts w:ascii="Times New Roman" w:hAnsi="Times New Roman" w:cs="Times New Roman"/>
                <w:b/>
                <w:sz w:val="20"/>
                <w:szCs w:val="20"/>
              </w:rPr>
            </w:pP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VOLAT</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026</w:t>
            </w:r>
          </w:p>
        </w:tc>
        <w:tc>
          <w:tcPr>
            <w:tcW w:w="499"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322</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181</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041</w:t>
            </w:r>
          </w:p>
        </w:tc>
        <w:tc>
          <w:tcPr>
            <w:tcW w:w="561"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064</w:t>
            </w:r>
          </w:p>
        </w:tc>
        <w:tc>
          <w:tcPr>
            <w:tcW w:w="562"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467" w:type="pct"/>
            <w:vAlign w:val="center"/>
          </w:tcPr>
          <w:p w:rsidR="00F3619D" w:rsidRPr="009218D1" w:rsidRDefault="00F3619D" w:rsidP="002A3FD0">
            <w:pPr>
              <w:rPr>
                <w:rFonts w:ascii="Times New Roman" w:hAnsi="Times New Roman" w:cs="Times New Roman"/>
                <w:b/>
                <w:sz w:val="20"/>
                <w:szCs w:val="20"/>
              </w:rPr>
            </w:pPr>
          </w:p>
        </w:tc>
        <w:tc>
          <w:tcPr>
            <w:tcW w:w="482" w:type="pct"/>
            <w:vAlign w:val="center"/>
          </w:tcPr>
          <w:p w:rsidR="00F3619D" w:rsidRPr="009218D1" w:rsidRDefault="00F3619D" w:rsidP="002A3FD0">
            <w:pPr>
              <w:rPr>
                <w:rFonts w:ascii="Times New Roman" w:hAnsi="Times New Roman" w:cs="Times New Roman"/>
                <w:b/>
                <w:sz w:val="20"/>
                <w:szCs w:val="20"/>
              </w:rPr>
            </w:pP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BANK</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025</w:t>
            </w:r>
          </w:p>
        </w:tc>
        <w:tc>
          <w:tcPr>
            <w:tcW w:w="499"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029</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063</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018</w:t>
            </w:r>
          </w:p>
        </w:tc>
        <w:tc>
          <w:tcPr>
            <w:tcW w:w="561"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188</w:t>
            </w:r>
          </w:p>
        </w:tc>
        <w:tc>
          <w:tcPr>
            <w:tcW w:w="562"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024</w:t>
            </w:r>
          </w:p>
        </w:tc>
        <w:tc>
          <w:tcPr>
            <w:tcW w:w="467"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482" w:type="pct"/>
            <w:vAlign w:val="center"/>
          </w:tcPr>
          <w:p w:rsidR="00F3619D" w:rsidRPr="009218D1" w:rsidRDefault="00F3619D" w:rsidP="002A3FD0">
            <w:pPr>
              <w:rPr>
                <w:rFonts w:ascii="Times New Roman" w:hAnsi="Times New Roman" w:cs="Times New Roman"/>
                <w:b/>
                <w:sz w:val="20"/>
                <w:szCs w:val="20"/>
              </w:rPr>
            </w:pP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STOCK MARKET</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017</w:t>
            </w:r>
          </w:p>
        </w:tc>
        <w:tc>
          <w:tcPr>
            <w:tcW w:w="499"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035</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059</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04</w:t>
            </w:r>
          </w:p>
        </w:tc>
        <w:tc>
          <w:tcPr>
            <w:tcW w:w="561"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27</w:t>
            </w:r>
          </w:p>
        </w:tc>
        <w:tc>
          <w:tcPr>
            <w:tcW w:w="562"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036</w:t>
            </w:r>
          </w:p>
        </w:tc>
        <w:tc>
          <w:tcPr>
            <w:tcW w:w="467"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228</w:t>
            </w:r>
          </w:p>
        </w:tc>
        <w:tc>
          <w:tcPr>
            <w:tcW w:w="482"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c>
          <w:tcPr>
            <w:tcW w:w="377" w:type="pct"/>
            <w:vAlign w:val="center"/>
          </w:tcPr>
          <w:p w:rsidR="00F3619D" w:rsidRPr="009218D1" w:rsidRDefault="00F3619D" w:rsidP="002A3FD0">
            <w:pPr>
              <w:rPr>
                <w:rFonts w:ascii="Times New Roman" w:hAnsi="Times New Roman" w:cs="Times New Roman"/>
                <w:b/>
                <w:sz w:val="20"/>
                <w:szCs w:val="20"/>
              </w:rPr>
            </w:pPr>
          </w:p>
        </w:tc>
      </w:tr>
      <w:tr w:rsidR="00F3619D" w:rsidRPr="009218D1" w:rsidTr="00F3619D">
        <w:trPr>
          <w:cantSplit/>
          <w:trHeight w:val="333"/>
        </w:trPr>
        <w:tc>
          <w:tcPr>
            <w:tcW w:w="654" w:type="pct"/>
            <w:vAlign w:val="center"/>
          </w:tcPr>
          <w:p w:rsidR="00F3619D" w:rsidRPr="009218D1" w:rsidRDefault="00F3619D" w:rsidP="002A3FD0">
            <w:pPr>
              <w:jc w:val="center"/>
              <w:rPr>
                <w:rFonts w:ascii="Times New Roman" w:hAnsi="Times New Roman" w:cs="Times New Roman"/>
                <w:b/>
                <w:sz w:val="20"/>
                <w:szCs w:val="20"/>
              </w:rPr>
            </w:pPr>
            <w:r w:rsidRPr="009218D1">
              <w:rPr>
                <w:rFonts w:ascii="Times New Roman" w:hAnsi="Times New Roman" w:cs="Times New Roman"/>
                <w:b/>
                <w:sz w:val="20"/>
                <w:szCs w:val="20"/>
              </w:rPr>
              <w:t>TAX</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028</w:t>
            </w:r>
          </w:p>
        </w:tc>
        <w:tc>
          <w:tcPr>
            <w:tcW w:w="499"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005</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015</w:t>
            </w:r>
          </w:p>
        </w:tc>
        <w:tc>
          <w:tcPr>
            <w:tcW w:w="466"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004</w:t>
            </w:r>
          </w:p>
        </w:tc>
        <w:tc>
          <w:tcPr>
            <w:tcW w:w="561"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0025</w:t>
            </w:r>
          </w:p>
        </w:tc>
        <w:tc>
          <w:tcPr>
            <w:tcW w:w="562"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0011</w:t>
            </w:r>
          </w:p>
        </w:tc>
        <w:tc>
          <w:tcPr>
            <w:tcW w:w="467"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0399</w:t>
            </w:r>
          </w:p>
        </w:tc>
        <w:tc>
          <w:tcPr>
            <w:tcW w:w="482"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-0</w:t>
            </w:r>
            <w:r w:rsidR="009A17E6" w:rsidRPr="009218D1">
              <w:rPr>
                <w:rFonts w:ascii="Times New Roman" w:hAnsi="Times New Roman" w:cs="Times New Roman"/>
                <w:b/>
                <w:sz w:val="20"/>
                <w:szCs w:val="20"/>
              </w:rPr>
              <w:t>,</w:t>
            </w:r>
            <w:r w:rsidRPr="009218D1">
              <w:rPr>
                <w:rFonts w:ascii="Times New Roman" w:hAnsi="Times New Roman" w:cs="Times New Roman"/>
                <w:b/>
                <w:sz w:val="20"/>
                <w:szCs w:val="20"/>
              </w:rPr>
              <w:t>009</w:t>
            </w:r>
          </w:p>
        </w:tc>
        <w:tc>
          <w:tcPr>
            <w:tcW w:w="377" w:type="pct"/>
            <w:vAlign w:val="center"/>
          </w:tcPr>
          <w:p w:rsidR="00F3619D" w:rsidRPr="009218D1" w:rsidRDefault="00F3619D" w:rsidP="002A3FD0">
            <w:pPr>
              <w:rPr>
                <w:rFonts w:ascii="Times New Roman" w:hAnsi="Times New Roman" w:cs="Times New Roman"/>
                <w:b/>
                <w:sz w:val="20"/>
                <w:szCs w:val="20"/>
              </w:rPr>
            </w:pPr>
            <w:r w:rsidRPr="009218D1">
              <w:rPr>
                <w:rFonts w:ascii="Times New Roman" w:hAnsi="Times New Roman" w:cs="Times New Roman"/>
                <w:b/>
                <w:sz w:val="20"/>
                <w:szCs w:val="20"/>
              </w:rPr>
              <w:t>1</w:t>
            </w:r>
          </w:p>
        </w:tc>
      </w:tr>
    </w:tbl>
    <w:p w:rsidR="00433695" w:rsidRPr="009218D1" w:rsidRDefault="00E71A6D" w:rsidP="00AD17A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sz w:val="24"/>
          <w:szCs w:val="24"/>
        </w:rPr>
        <w:t xml:space="preserve">Bir bağımlı değişken ve dokuz bağımsız değişkenin istatistikleri </w:t>
      </w:r>
      <w:r w:rsidR="00376D33" w:rsidRPr="009218D1">
        <w:rPr>
          <w:rFonts w:ascii="Times New Roman" w:hAnsi="Times New Roman" w:cs="Times New Roman"/>
          <w:sz w:val="24"/>
          <w:szCs w:val="24"/>
        </w:rPr>
        <w:t>Çizelge</w:t>
      </w:r>
      <w:r w:rsidR="0009670D" w:rsidRPr="009218D1">
        <w:rPr>
          <w:rFonts w:ascii="Times New Roman" w:hAnsi="Times New Roman" w:cs="Times New Roman"/>
          <w:sz w:val="24"/>
          <w:szCs w:val="24"/>
        </w:rPr>
        <w:t xml:space="preserve"> 5’de verilmiştir. Ortalama borçluluk oranının %</w:t>
      </w:r>
      <w:r w:rsidR="00376D33" w:rsidRPr="009218D1">
        <w:rPr>
          <w:rFonts w:ascii="Times New Roman" w:hAnsi="Times New Roman" w:cs="Times New Roman"/>
          <w:sz w:val="24"/>
          <w:szCs w:val="24"/>
        </w:rPr>
        <w:t xml:space="preserve"> </w:t>
      </w:r>
      <w:r w:rsidR="0009670D" w:rsidRPr="009218D1">
        <w:rPr>
          <w:rFonts w:ascii="Times New Roman" w:hAnsi="Times New Roman" w:cs="Times New Roman"/>
          <w:sz w:val="24"/>
          <w:szCs w:val="24"/>
        </w:rPr>
        <w:t xml:space="preserve">50 ve üzerinde olması kritiktir. Çalışmanın örneklemini oluşturan firmaların ortalama borçluluk oranı değeri </w:t>
      </w:r>
      <w:r w:rsidR="00161498" w:rsidRPr="009218D1">
        <w:rPr>
          <w:rFonts w:ascii="Times New Roman" w:hAnsi="Times New Roman" w:cs="Times New Roman"/>
          <w:sz w:val="24"/>
          <w:szCs w:val="24"/>
        </w:rPr>
        <w:t xml:space="preserve">ise </w:t>
      </w:r>
      <w:r w:rsidR="00655A72" w:rsidRPr="009218D1">
        <w:rPr>
          <w:rFonts w:ascii="Times New Roman" w:hAnsi="Times New Roman" w:cs="Times New Roman"/>
          <w:sz w:val="24"/>
          <w:szCs w:val="24"/>
        </w:rPr>
        <w:t>0,</w:t>
      </w:r>
      <w:r w:rsidR="008A2168" w:rsidRPr="009218D1">
        <w:rPr>
          <w:rFonts w:ascii="Times New Roman" w:hAnsi="Times New Roman" w:cs="Times New Roman"/>
          <w:sz w:val="24"/>
          <w:szCs w:val="24"/>
        </w:rPr>
        <w:t>46</w:t>
      </w:r>
      <w:r w:rsidR="0009670D" w:rsidRPr="009218D1">
        <w:rPr>
          <w:rFonts w:ascii="Times New Roman" w:hAnsi="Times New Roman" w:cs="Times New Roman"/>
          <w:sz w:val="24"/>
          <w:szCs w:val="24"/>
        </w:rPr>
        <w:t xml:space="preserve"> olup, yüksek bir değer olmakla birlikte kritik değerin altındadır. Firmaların kârlılık oranları ise oldukça düşük olup, 0,04 bulunmuştur. </w:t>
      </w:r>
    </w:p>
    <w:p w:rsidR="00575BA3" w:rsidRPr="009218D1" w:rsidRDefault="00235067" w:rsidP="00FA471A">
      <w:pPr>
        <w:spacing w:before="120" w:after="120" w:line="240" w:lineRule="auto"/>
        <w:jc w:val="center"/>
        <w:rPr>
          <w:rFonts w:ascii="Times New Roman" w:hAnsi="Times New Roman" w:cs="Times New Roman"/>
          <w:b/>
          <w:sz w:val="24"/>
          <w:szCs w:val="24"/>
        </w:rPr>
      </w:pPr>
      <w:r w:rsidRPr="009218D1">
        <w:rPr>
          <w:rFonts w:ascii="Times New Roman" w:hAnsi="Times New Roman" w:cs="Times New Roman"/>
          <w:b/>
          <w:sz w:val="24"/>
          <w:szCs w:val="24"/>
        </w:rPr>
        <w:t>Çizelge</w:t>
      </w:r>
      <w:r w:rsidR="00575BA3" w:rsidRPr="009218D1">
        <w:rPr>
          <w:rFonts w:ascii="Times New Roman" w:hAnsi="Times New Roman" w:cs="Times New Roman"/>
          <w:b/>
          <w:sz w:val="24"/>
          <w:szCs w:val="24"/>
        </w:rPr>
        <w:t xml:space="preserve"> 5</w:t>
      </w:r>
      <w:r w:rsidR="00BE3467" w:rsidRPr="009218D1">
        <w:rPr>
          <w:rFonts w:ascii="Times New Roman" w:hAnsi="Times New Roman" w:cs="Times New Roman"/>
          <w:b/>
          <w:sz w:val="24"/>
          <w:szCs w:val="24"/>
        </w:rPr>
        <w:t>.</w:t>
      </w:r>
      <w:r w:rsidR="00575BA3" w:rsidRPr="009218D1">
        <w:rPr>
          <w:rFonts w:ascii="Times New Roman" w:hAnsi="Times New Roman" w:cs="Times New Roman"/>
          <w:b/>
          <w:sz w:val="24"/>
          <w:szCs w:val="24"/>
        </w:rPr>
        <w:t xml:space="preserve"> Bağımlı ve Bağımsız Değişkenlerin </w:t>
      </w:r>
      <w:r w:rsidR="00F57C20" w:rsidRPr="009218D1">
        <w:rPr>
          <w:rFonts w:ascii="Times New Roman" w:hAnsi="Times New Roman" w:cs="Times New Roman"/>
          <w:b/>
          <w:sz w:val="24"/>
          <w:szCs w:val="24"/>
        </w:rPr>
        <w:t>İstatistikleri</w:t>
      </w:r>
    </w:p>
    <w:tbl>
      <w:tblPr>
        <w:tblStyle w:val="TabloKlavuzu"/>
        <w:tblW w:w="0" w:type="auto"/>
        <w:tblLook w:val="04A0" w:firstRow="1" w:lastRow="0" w:firstColumn="1" w:lastColumn="0" w:noHBand="0" w:noVBand="1"/>
      </w:tblPr>
      <w:tblGrid>
        <w:gridCol w:w="2201"/>
        <w:gridCol w:w="1643"/>
        <w:gridCol w:w="1636"/>
        <w:gridCol w:w="1636"/>
        <w:gridCol w:w="1636"/>
      </w:tblGrid>
      <w:tr w:rsidR="00F74916" w:rsidRPr="009218D1" w:rsidTr="005B35DB">
        <w:tc>
          <w:tcPr>
            <w:tcW w:w="2201" w:type="dxa"/>
          </w:tcPr>
          <w:p w:rsidR="00F74916" w:rsidRPr="009218D1" w:rsidRDefault="00F74916" w:rsidP="004B5760">
            <w:pPr>
              <w:autoSpaceDE w:val="0"/>
              <w:autoSpaceDN w:val="0"/>
              <w:adjustRightInd w:val="0"/>
              <w:jc w:val="both"/>
              <w:rPr>
                <w:rFonts w:ascii="Times New Roman" w:hAnsi="Times New Roman" w:cs="Times New Roman"/>
                <w:b/>
              </w:rPr>
            </w:pPr>
            <w:r w:rsidRPr="009218D1">
              <w:rPr>
                <w:rFonts w:ascii="Times New Roman" w:hAnsi="Times New Roman" w:cs="Times New Roman"/>
                <w:b/>
              </w:rPr>
              <w:t xml:space="preserve">DEĞİŞKEN </w:t>
            </w:r>
          </w:p>
        </w:tc>
        <w:tc>
          <w:tcPr>
            <w:tcW w:w="1643" w:type="dxa"/>
          </w:tcPr>
          <w:p w:rsidR="00F74916" w:rsidRPr="009218D1" w:rsidRDefault="00F74916" w:rsidP="004B5760">
            <w:pPr>
              <w:autoSpaceDE w:val="0"/>
              <w:autoSpaceDN w:val="0"/>
              <w:adjustRightInd w:val="0"/>
              <w:jc w:val="both"/>
              <w:rPr>
                <w:rFonts w:ascii="Times New Roman" w:hAnsi="Times New Roman" w:cs="Times New Roman"/>
                <w:b/>
              </w:rPr>
            </w:pPr>
            <w:r w:rsidRPr="009218D1">
              <w:rPr>
                <w:rFonts w:ascii="Times New Roman" w:hAnsi="Times New Roman" w:cs="Times New Roman"/>
                <w:b/>
              </w:rPr>
              <w:t>ORTALAMA</w:t>
            </w:r>
          </w:p>
        </w:tc>
        <w:tc>
          <w:tcPr>
            <w:tcW w:w="1636" w:type="dxa"/>
          </w:tcPr>
          <w:p w:rsidR="00F74916" w:rsidRPr="009218D1" w:rsidRDefault="00F74916" w:rsidP="004B5760">
            <w:pPr>
              <w:autoSpaceDE w:val="0"/>
              <w:autoSpaceDN w:val="0"/>
              <w:adjustRightInd w:val="0"/>
              <w:jc w:val="both"/>
              <w:rPr>
                <w:rFonts w:ascii="Times New Roman" w:hAnsi="Times New Roman" w:cs="Times New Roman"/>
                <w:b/>
              </w:rPr>
            </w:pPr>
            <w:r w:rsidRPr="009218D1">
              <w:rPr>
                <w:rFonts w:ascii="Times New Roman" w:hAnsi="Times New Roman" w:cs="Times New Roman"/>
                <w:b/>
              </w:rPr>
              <w:t>STANDART SAPMA</w:t>
            </w:r>
          </w:p>
        </w:tc>
        <w:tc>
          <w:tcPr>
            <w:tcW w:w="1636" w:type="dxa"/>
          </w:tcPr>
          <w:p w:rsidR="00F74916" w:rsidRPr="009218D1" w:rsidRDefault="00D53F57" w:rsidP="004B5760">
            <w:pPr>
              <w:autoSpaceDE w:val="0"/>
              <w:autoSpaceDN w:val="0"/>
              <w:adjustRightInd w:val="0"/>
              <w:jc w:val="both"/>
              <w:rPr>
                <w:rFonts w:ascii="Times New Roman" w:hAnsi="Times New Roman" w:cs="Times New Roman"/>
                <w:b/>
              </w:rPr>
            </w:pPr>
            <w:r w:rsidRPr="009218D1">
              <w:rPr>
                <w:rFonts w:ascii="Times New Roman" w:hAnsi="Times New Roman" w:cs="Times New Roman"/>
                <w:b/>
              </w:rPr>
              <w:t>MİNİMUM</w:t>
            </w:r>
          </w:p>
        </w:tc>
        <w:tc>
          <w:tcPr>
            <w:tcW w:w="1636" w:type="dxa"/>
          </w:tcPr>
          <w:p w:rsidR="00F74916" w:rsidRPr="009218D1" w:rsidRDefault="00D53F57" w:rsidP="004B5760">
            <w:pPr>
              <w:autoSpaceDE w:val="0"/>
              <w:autoSpaceDN w:val="0"/>
              <w:adjustRightInd w:val="0"/>
              <w:jc w:val="both"/>
              <w:rPr>
                <w:rFonts w:ascii="Times New Roman" w:hAnsi="Times New Roman" w:cs="Times New Roman"/>
                <w:b/>
              </w:rPr>
            </w:pPr>
            <w:r w:rsidRPr="009218D1">
              <w:rPr>
                <w:rFonts w:ascii="Times New Roman" w:hAnsi="Times New Roman" w:cs="Times New Roman"/>
                <w:b/>
              </w:rPr>
              <w:t>MAKSİMUM</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LEV</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0,46</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0,24</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0,02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1,88</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GROWTH</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0,13</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0,29</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-1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2,4</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PROF</w:t>
            </w:r>
          </w:p>
        </w:tc>
        <w:tc>
          <w:tcPr>
            <w:tcW w:w="1643" w:type="dxa"/>
          </w:tcPr>
          <w:p w:rsidR="00D53F57" w:rsidRPr="009218D1" w:rsidRDefault="00D53F57" w:rsidP="008F6086">
            <w:pPr>
              <w:autoSpaceDE w:val="0"/>
              <w:autoSpaceDN w:val="0"/>
              <w:adjustRightInd w:val="0"/>
              <w:jc w:val="both"/>
              <w:rPr>
                <w:rFonts w:ascii="Times New Roman" w:hAnsi="Times New Roman" w:cs="Times New Roman"/>
              </w:rPr>
            </w:pPr>
            <w:r w:rsidRPr="009218D1">
              <w:rPr>
                <w:rFonts w:ascii="Times New Roman" w:hAnsi="Times New Roman" w:cs="Times New Roman"/>
              </w:rPr>
              <w:t>0,04</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0,1</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-0,54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0,56</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TANG</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0,36</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0,2</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0,0002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0,98</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TAX</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0,15</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0,35</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-2,1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2,8</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PAYOUT</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0,03</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0,08</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0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0,9</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RISK</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0,24</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1,73</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-8,8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9,3</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BANK</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0,3</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0,11</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0,11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0,52</w:t>
            </w:r>
          </w:p>
        </w:tc>
      </w:tr>
      <w:tr w:rsidR="00D53F57" w:rsidRPr="009218D1" w:rsidTr="005B35DB">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STOCK MARKET</w:t>
            </w:r>
          </w:p>
        </w:tc>
        <w:tc>
          <w:tcPr>
            <w:tcW w:w="1643" w:type="dxa"/>
          </w:tcPr>
          <w:p w:rsidR="00D53F57" w:rsidRPr="009218D1" w:rsidRDefault="00D53F57" w:rsidP="008F6086">
            <w:pPr>
              <w:autoSpaceDE w:val="0"/>
              <w:autoSpaceDN w:val="0"/>
              <w:adjustRightInd w:val="0"/>
              <w:jc w:val="both"/>
              <w:rPr>
                <w:rFonts w:ascii="Times New Roman" w:hAnsi="Times New Roman" w:cs="Times New Roman"/>
              </w:rPr>
            </w:pPr>
            <w:r w:rsidRPr="009218D1">
              <w:rPr>
                <w:rFonts w:ascii="Times New Roman" w:hAnsi="Times New Roman" w:cs="Times New Roman"/>
              </w:rPr>
              <w:t>0,32</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0,07</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0,19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0,43</w:t>
            </w:r>
          </w:p>
        </w:tc>
      </w:tr>
      <w:tr w:rsidR="00D53F57" w:rsidRPr="009218D1" w:rsidTr="005B35DB">
        <w:trPr>
          <w:trHeight w:val="64"/>
        </w:trPr>
        <w:tc>
          <w:tcPr>
            <w:tcW w:w="2201"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PUBLIC DEBT</w:t>
            </w:r>
          </w:p>
        </w:tc>
        <w:tc>
          <w:tcPr>
            <w:tcW w:w="1643"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0,3</w:t>
            </w:r>
          </w:p>
        </w:tc>
        <w:tc>
          <w:tcPr>
            <w:tcW w:w="1636" w:type="dxa"/>
          </w:tcPr>
          <w:p w:rsidR="00D53F57" w:rsidRPr="009218D1" w:rsidRDefault="00D53F57" w:rsidP="004B5760">
            <w:pPr>
              <w:autoSpaceDE w:val="0"/>
              <w:autoSpaceDN w:val="0"/>
              <w:adjustRightInd w:val="0"/>
              <w:jc w:val="both"/>
              <w:rPr>
                <w:rFonts w:ascii="Times New Roman" w:hAnsi="Times New Roman" w:cs="Times New Roman"/>
              </w:rPr>
            </w:pPr>
            <w:r w:rsidRPr="009218D1">
              <w:rPr>
                <w:rFonts w:ascii="Times New Roman" w:hAnsi="Times New Roman" w:cs="Times New Roman"/>
              </w:rPr>
              <w:t>0,13</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 xml:space="preserve">0,11 </w:t>
            </w:r>
          </w:p>
        </w:tc>
        <w:tc>
          <w:tcPr>
            <w:tcW w:w="1636" w:type="dxa"/>
          </w:tcPr>
          <w:p w:rsidR="00D53F57" w:rsidRPr="009218D1" w:rsidRDefault="00D53F57" w:rsidP="005B35DB">
            <w:pPr>
              <w:autoSpaceDE w:val="0"/>
              <w:autoSpaceDN w:val="0"/>
              <w:adjustRightInd w:val="0"/>
              <w:jc w:val="both"/>
              <w:rPr>
                <w:rFonts w:asciiTheme="majorBidi" w:hAnsiTheme="majorBidi" w:cstheme="majorBidi"/>
                <w:sz w:val="24"/>
                <w:szCs w:val="24"/>
              </w:rPr>
            </w:pPr>
            <w:r w:rsidRPr="009218D1">
              <w:rPr>
                <w:rFonts w:asciiTheme="majorBidi" w:hAnsiTheme="majorBidi" w:cstheme="majorBidi"/>
                <w:sz w:val="24"/>
                <w:szCs w:val="24"/>
              </w:rPr>
              <w:t>0,55</w:t>
            </w:r>
          </w:p>
        </w:tc>
      </w:tr>
    </w:tbl>
    <w:p w:rsidR="00D477E9" w:rsidRPr="009218D1" w:rsidRDefault="00D477E9"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Analizde</w:t>
      </w:r>
      <w:r w:rsidR="00D01297" w:rsidRPr="009218D1">
        <w:rPr>
          <w:rFonts w:ascii="Times New Roman" w:hAnsi="Times New Roman" w:cs="Times New Roman"/>
          <w:sz w:val="24"/>
          <w:szCs w:val="24"/>
        </w:rPr>
        <w:t>,</w:t>
      </w:r>
      <w:r w:rsidRPr="009218D1">
        <w:rPr>
          <w:rFonts w:ascii="Times New Roman" w:hAnsi="Times New Roman" w:cs="Times New Roman"/>
          <w:sz w:val="24"/>
          <w:szCs w:val="24"/>
        </w:rPr>
        <w:t xml:space="preserve"> aynı yatay kesit birimlerin belirli zaman aralığında incelendiği panel veri yöntemi kullanılmıştır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N sayıda birimin ve her birime ait T sayıda gözlemin birlikte ele alındığı panel veri modeli;</w:t>
      </w:r>
    </w:p>
    <w:p w:rsidR="00D477E9" w:rsidRPr="009218D1" w:rsidRDefault="00D477E9" w:rsidP="00357124">
      <w:pPr>
        <w:spacing w:before="120" w:after="120" w:line="240" w:lineRule="auto"/>
        <w:ind w:left="284"/>
        <w:jc w:val="both"/>
        <w:rPr>
          <w:rFonts w:ascii="Times New Roman" w:hAnsi="Times New Roman" w:cs="Times New Roman"/>
          <w:sz w:val="24"/>
          <w:szCs w:val="24"/>
          <w:vertAlign w:val="subscript"/>
        </w:rPr>
      </w:pPr>
      <w:r w:rsidRPr="009218D1">
        <w:rPr>
          <w:rFonts w:ascii="Times New Roman" w:hAnsi="Times New Roman" w:cs="Times New Roman"/>
          <w:sz w:val="24"/>
          <w:szCs w:val="24"/>
        </w:rPr>
        <w:t>LEV</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=β</w:t>
      </w:r>
      <w:r w:rsidRPr="009218D1">
        <w:rPr>
          <w:rFonts w:ascii="Times New Roman" w:hAnsi="Times New Roman" w:cs="Times New Roman"/>
          <w:sz w:val="24"/>
          <w:szCs w:val="24"/>
          <w:vertAlign w:val="subscript"/>
        </w:rPr>
        <w:t>0it</w:t>
      </w:r>
      <w:r w:rsidRPr="009218D1">
        <w:rPr>
          <w:rFonts w:ascii="Times New Roman" w:hAnsi="Times New Roman" w:cs="Times New Roman"/>
          <w:sz w:val="24"/>
          <w:szCs w:val="24"/>
        </w:rPr>
        <w:t xml:space="preserve"> + β</w:t>
      </w:r>
      <w:r w:rsidRPr="009218D1">
        <w:rPr>
          <w:rFonts w:ascii="Times New Roman" w:hAnsi="Times New Roman" w:cs="Times New Roman"/>
          <w:sz w:val="24"/>
          <w:szCs w:val="24"/>
          <w:vertAlign w:val="subscript"/>
        </w:rPr>
        <w:t>1it</w:t>
      </w:r>
      <w:r w:rsidRPr="009218D1">
        <w:rPr>
          <w:rFonts w:ascii="Times New Roman" w:hAnsi="Times New Roman" w:cs="Times New Roman"/>
          <w:sz w:val="24"/>
          <w:szCs w:val="24"/>
        </w:rPr>
        <w:t xml:space="preserve"> STOCK MARKET</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β</w:t>
      </w:r>
      <w:r w:rsidRPr="009218D1">
        <w:rPr>
          <w:rFonts w:ascii="Times New Roman" w:hAnsi="Times New Roman" w:cs="Times New Roman"/>
          <w:sz w:val="24"/>
          <w:szCs w:val="24"/>
          <w:vertAlign w:val="subscript"/>
        </w:rPr>
        <w:t>2it</w:t>
      </w:r>
      <w:r w:rsidRPr="009218D1">
        <w:rPr>
          <w:rFonts w:ascii="Times New Roman" w:hAnsi="Times New Roman" w:cs="Times New Roman"/>
          <w:sz w:val="24"/>
          <w:szCs w:val="24"/>
        </w:rPr>
        <w:t xml:space="preserve"> PROF</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β</w:t>
      </w:r>
      <w:r w:rsidRPr="009218D1">
        <w:rPr>
          <w:rFonts w:ascii="Times New Roman" w:hAnsi="Times New Roman" w:cs="Times New Roman"/>
          <w:sz w:val="24"/>
          <w:szCs w:val="24"/>
          <w:vertAlign w:val="subscript"/>
        </w:rPr>
        <w:t>3it</w:t>
      </w:r>
      <w:r w:rsidRPr="009218D1">
        <w:rPr>
          <w:rFonts w:ascii="Times New Roman" w:hAnsi="Times New Roman" w:cs="Times New Roman"/>
          <w:sz w:val="24"/>
          <w:szCs w:val="24"/>
        </w:rPr>
        <w:t xml:space="preserve"> BANK</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 β</w:t>
      </w:r>
      <w:r w:rsidR="004954F0" w:rsidRPr="009218D1">
        <w:rPr>
          <w:rFonts w:ascii="Times New Roman" w:hAnsi="Times New Roman" w:cs="Times New Roman"/>
          <w:sz w:val="24"/>
          <w:szCs w:val="24"/>
          <w:vertAlign w:val="subscript"/>
        </w:rPr>
        <w:t>4</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TANG</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β</w:t>
      </w:r>
      <w:r w:rsidR="004954F0" w:rsidRPr="009218D1">
        <w:rPr>
          <w:rFonts w:ascii="Times New Roman" w:hAnsi="Times New Roman" w:cs="Times New Roman"/>
          <w:sz w:val="24"/>
          <w:szCs w:val="24"/>
          <w:vertAlign w:val="subscript"/>
        </w:rPr>
        <w:t>5</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TAX</w:t>
      </w:r>
      <w:r w:rsidRPr="009218D1">
        <w:rPr>
          <w:rFonts w:ascii="Times New Roman" w:hAnsi="Times New Roman" w:cs="Times New Roman"/>
          <w:sz w:val="24"/>
          <w:szCs w:val="24"/>
          <w:vertAlign w:val="subscript"/>
        </w:rPr>
        <w:t>it</w:t>
      </w:r>
      <w:r w:rsidR="004954F0" w:rsidRPr="009218D1">
        <w:rPr>
          <w:rFonts w:ascii="Times New Roman" w:hAnsi="Times New Roman" w:cs="Times New Roman"/>
          <w:sz w:val="24"/>
          <w:szCs w:val="24"/>
        </w:rPr>
        <w:t xml:space="preserve"> + β</w:t>
      </w:r>
      <w:r w:rsidR="004954F0" w:rsidRPr="009218D1">
        <w:rPr>
          <w:rFonts w:ascii="Times New Roman" w:hAnsi="Times New Roman" w:cs="Times New Roman"/>
          <w:sz w:val="24"/>
          <w:szCs w:val="24"/>
          <w:vertAlign w:val="subscript"/>
        </w:rPr>
        <w:t>6</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PAYOUT</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β</w:t>
      </w:r>
      <w:r w:rsidR="004954F0" w:rsidRPr="009218D1">
        <w:rPr>
          <w:rFonts w:ascii="Times New Roman" w:hAnsi="Times New Roman" w:cs="Times New Roman"/>
          <w:sz w:val="24"/>
          <w:szCs w:val="24"/>
          <w:vertAlign w:val="subscript"/>
        </w:rPr>
        <w:t>7</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GROWTH</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β</w:t>
      </w:r>
      <w:r w:rsidR="004954F0" w:rsidRPr="009218D1">
        <w:rPr>
          <w:rFonts w:ascii="Times New Roman" w:hAnsi="Times New Roman" w:cs="Times New Roman"/>
          <w:sz w:val="24"/>
          <w:szCs w:val="24"/>
          <w:vertAlign w:val="subscript"/>
        </w:rPr>
        <w:t>8</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RISK</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β</w:t>
      </w:r>
      <w:r w:rsidR="004954F0" w:rsidRPr="009218D1">
        <w:rPr>
          <w:rFonts w:ascii="Times New Roman" w:hAnsi="Times New Roman" w:cs="Times New Roman"/>
          <w:sz w:val="24"/>
          <w:szCs w:val="24"/>
          <w:vertAlign w:val="subscript"/>
        </w:rPr>
        <w:t>9</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PUBLIC DEBT</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ε</w:t>
      </w:r>
      <w:r w:rsidRPr="009218D1">
        <w:rPr>
          <w:rFonts w:ascii="Times New Roman" w:hAnsi="Times New Roman" w:cs="Times New Roman"/>
          <w:sz w:val="24"/>
          <w:szCs w:val="24"/>
          <w:vertAlign w:val="subscript"/>
        </w:rPr>
        <w:t>it</w:t>
      </w:r>
    </w:p>
    <w:p w:rsidR="00926332" w:rsidRPr="009218D1" w:rsidRDefault="00926332" w:rsidP="00357124">
      <w:pPr>
        <w:spacing w:before="120" w:after="120" w:line="240" w:lineRule="auto"/>
        <w:ind w:firstLine="284"/>
        <w:jc w:val="both"/>
        <w:rPr>
          <w:rFonts w:ascii="Times New Roman" w:hAnsi="Times New Roman" w:cs="Times New Roman"/>
          <w:sz w:val="24"/>
          <w:szCs w:val="24"/>
        </w:rPr>
      </w:pPr>
      <w:r w:rsidRPr="009218D1">
        <w:rPr>
          <w:rFonts w:ascii="Times New Roman" w:hAnsi="Times New Roman" w:cs="Times New Roman"/>
          <w:sz w:val="24"/>
          <w:szCs w:val="24"/>
        </w:rPr>
        <w:t>i=1</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…N;  t=1</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…T olmak üzere yukarıda verildiği gibi oluşturulmuştur</w:t>
      </w:r>
      <w:r w:rsidR="00BE3467" w:rsidRPr="009218D1">
        <w:rPr>
          <w:rFonts w:ascii="Times New Roman" w:hAnsi="Times New Roman" w:cs="Times New Roman"/>
          <w:sz w:val="24"/>
          <w:szCs w:val="24"/>
        </w:rPr>
        <w:t>.</w:t>
      </w:r>
    </w:p>
    <w:p w:rsidR="005E5DB3" w:rsidRPr="009218D1" w:rsidRDefault="00D5045B" w:rsidP="00950B7E">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Birim kök testlerine göre; durağan olmadıkları tespit edilen BANK ve PULIC DEBT değişkenleri durağanlaştırılmıştır</w:t>
      </w:r>
      <w:r w:rsidR="00BE3467" w:rsidRPr="009218D1">
        <w:rPr>
          <w:rFonts w:ascii="Times New Roman" w:hAnsi="Times New Roman" w:cs="Times New Roman"/>
          <w:sz w:val="24"/>
          <w:szCs w:val="24"/>
        </w:rPr>
        <w:t>.</w:t>
      </w:r>
      <w:r w:rsidR="007A2537" w:rsidRPr="009218D1">
        <w:rPr>
          <w:rFonts w:ascii="Times New Roman" w:hAnsi="Times New Roman" w:cs="Times New Roman"/>
          <w:sz w:val="24"/>
          <w:szCs w:val="24"/>
        </w:rPr>
        <w:t xml:space="preserve"> Birim kök testlerinin yapılmasının ardından</w:t>
      </w:r>
      <w:r w:rsidR="00153E9F" w:rsidRPr="009218D1">
        <w:rPr>
          <w:rFonts w:ascii="Times New Roman" w:hAnsi="Times New Roman" w:cs="Times New Roman"/>
          <w:sz w:val="24"/>
          <w:szCs w:val="24"/>
        </w:rPr>
        <w:t>,</w:t>
      </w:r>
      <w:r w:rsidR="007A2537" w:rsidRPr="009218D1">
        <w:rPr>
          <w:rFonts w:ascii="Times New Roman" w:hAnsi="Times New Roman" w:cs="Times New Roman"/>
          <w:sz w:val="24"/>
          <w:szCs w:val="24"/>
        </w:rPr>
        <w:t xml:space="preserve"> veri setinin panel veri için araştırmaya uygun olup olmadığı</w:t>
      </w:r>
      <w:r w:rsidR="00153E9F" w:rsidRPr="009218D1">
        <w:rPr>
          <w:rFonts w:ascii="Times New Roman" w:hAnsi="Times New Roman" w:cs="Times New Roman"/>
          <w:sz w:val="24"/>
          <w:szCs w:val="24"/>
        </w:rPr>
        <w:t>,</w:t>
      </w:r>
      <w:r w:rsidR="007A2537" w:rsidRPr="009218D1">
        <w:rPr>
          <w:rFonts w:ascii="Times New Roman" w:hAnsi="Times New Roman" w:cs="Times New Roman"/>
          <w:sz w:val="24"/>
          <w:szCs w:val="24"/>
        </w:rPr>
        <w:t xml:space="preserve"> birim ve zaman etkileri testiyle (Redundant Fixed Effects-Likelihood) test edilmiştir</w:t>
      </w:r>
      <w:r w:rsidR="00BE3467" w:rsidRPr="009218D1">
        <w:rPr>
          <w:rFonts w:ascii="Times New Roman" w:hAnsi="Times New Roman" w:cs="Times New Roman"/>
          <w:sz w:val="24"/>
          <w:szCs w:val="24"/>
        </w:rPr>
        <w:t>.</w:t>
      </w:r>
      <w:r w:rsidR="007A2537" w:rsidRPr="009218D1">
        <w:rPr>
          <w:rFonts w:ascii="Times New Roman" w:hAnsi="Times New Roman" w:cs="Times New Roman"/>
          <w:sz w:val="24"/>
          <w:szCs w:val="24"/>
        </w:rPr>
        <w:t xml:space="preserve"> Redundant Likelihood (Olasılık) Testi aracılığıyla sabit etkiler modelinin tercih edilmesi gerektiği belirlenmiştir</w:t>
      </w:r>
      <w:r w:rsidR="00BE3467" w:rsidRPr="009218D1">
        <w:rPr>
          <w:rFonts w:ascii="Times New Roman" w:hAnsi="Times New Roman" w:cs="Times New Roman"/>
          <w:sz w:val="24"/>
          <w:szCs w:val="24"/>
        </w:rPr>
        <w:t>.</w:t>
      </w:r>
      <w:r w:rsidR="007A2537" w:rsidRPr="009218D1">
        <w:rPr>
          <w:rFonts w:ascii="Times New Roman" w:hAnsi="Times New Roman" w:cs="Times New Roman"/>
          <w:sz w:val="24"/>
          <w:szCs w:val="24"/>
        </w:rPr>
        <w:t xml:space="preserve"> Hausman Testi ile de modelde rassal etkiler olmadığı</w:t>
      </w:r>
      <w:r w:rsidR="00153E9F" w:rsidRPr="009218D1">
        <w:rPr>
          <w:rFonts w:ascii="Times New Roman" w:hAnsi="Times New Roman" w:cs="Times New Roman"/>
          <w:sz w:val="24"/>
          <w:szCs w:val="24"/>
        </w:rPr>
        <w:t>,</w:t>
      </w:r>
      <w:r w:rsidR="007A2537" w:rsidRPr="009218D1">
        <w:rPr>
          <w:rFonts w:ascii="Times New Roman" w:hAnsi="Times New Roman" w:cs="Times New Roman"/>
          <w:sz w:val="24"/>
          <w:szCs w:val="24"/>
        </w:rPr>
        <w:t xml:space="preserve"> aksine modelde sabit etkilerin söz konusu olduğu belirlenmiştir</w:t>
      </w:r>
      <w:r w:rsidR="00BE3467" w:rsidRPr="009218D1">
        <w:rPr>
          <w:rFonts w:ascii="Times New Roman" w:hAnsi="Times New Roman" w:cs="Times New Roman"/>
          <w:sz w:val="24"/>
          <w:szCs w:val="24"/>
        </w:rPr>
        <w:t>.</w:t>
      </w:r>
      <w:r w:rsidR="007A2537" w:rsidRPr="009218D1">
        <w:rPr>
          <w:rFonts w:ascii="Times New Roman" w:hAnsi="Times New Roman" w:cs="Times New Roman"/>
          <w:sz w:val="24"/>
          <w:szCs w:val="24"/>
        </w:rPr>
        <w:t xml:space="preserve"> Redundant Likelihood (Olasılık) Testi sonucu </w:t>
      </w:r>
      <w:r w:rsidR="003C6050" w:rsidRPr="009218D1">
        <w:rPr>
          <w:rFonts w:ascii="Times New Roman" w:hAnsi="Times New Roman" w:cs="Times New Roman"/>
          <w:sz w:val="24"/>
          <w:szCs w:val="24"/>
        </w:rPr>
        <w:t>Çizelge</w:t>
      </w:r>
      <w:r w:rsidR="007A2537" w:rsidRPr="009218D1">
        <w:rPr>
          <w:rFonts w:ascii="Times New Roman" w:hAnsi="Times New Roman" w:cs="Times New Roman"/>
          <w:sz w:val="24"/>
          <w:szCs w:val="24"/>
        </w:rPr>
        <w:t xml:space="preserve"> </w:t>
      </w:r>
      <w:r w:rsidR="004B5760" w:rsidRPr="009218D1">
        <w:rPr>
          <w:rFonts w:ascii="Times New Roman" w:hAnsi="Times New Roman" w:cs="Times New Roman"/>
          <w:sz w:val="24"/>
          <w:szCs w:val="24"/>
        </w:rPr>
        <w:t>6</w:t>
      </w:r>
      <w:r w:rsidR="007A2537" w:rsidRPr="009218D1">
        <w:rPr>
          <w:rFonts w:ascii="Times New Roman" w:hAnsi="Times New Roman" w:cs="Times New Roman"/>
          <w:sz w:val="24"/>
          <w:szCs w:val="24"/>
        </w:rPr>
        <w:t>’d</w:t>
      </w:r>
      <w:r w:rsidR="004B5760" w:rsidRPr="009218D1">
        <w:rPr>
          <w:rFonts w:ascii="Times New Roman" w:hAnsi="Times New Roman" w:cs="Times New Roman"/>
          <w:sz w:val="24"/>
          <w:szCs w:val="24"/>
        </w:rPr>
        <w:t>a</w:t>
      </w:r>
      <w:r w:rsidR="007A2537" w:rsidRPr="009218D1">
        <w:rPr>
          <w:rFonts w:ascii="Times New Roman" w:hAnsi="Times New Roman" w:cs="Times New Roman"/>
          <w:sz w:val="24"/>
          <w:szCs w:val="24"/>
        </w:rPr>
        <w:t xml:space="preserve"> ve Hausman Testi sonucu </w:t>
      </w:r>
      <w:r w:rsidR="003C6050" w:rsidRPr="009218D1">
        <w:rPr>
          <w:rFonts w:ascii="Times New Roman" w:hAnsi="Times New Roman" w:cs="Times New Roman"/>
          <w:sz w:val="24"/>
          <w:szCs w:val="24"/>
        </w:rPr>
        <w:t xml:space="preserve">Çizelge </w:t>
      </w:r>
      <w:r w:rsidR="004B5760" w:rsidRPr="009218D1">
        <w:rPr>
          <w:rFonts w:ascii="Times New Roman" w:hAnsi="Times New Roman" w:cs="Times New Roman"/>
          <w:sz w:val="24"/>
          <w:szCs w:val="24"/>
        </w:rPr>
        <w:t>7</w:t>
      </w:r>
      <w:r w:rsidR="007A2537" w:rsidRPr="009218D1">
        <w:rPr>
          <w:rFonts w:ascii="Times New Roman" w:hAnsi="Times New Roman" w:cs="Times New Roman"/>
          <w:sz w:val="24"/>
          <w:szCs w:val="24"/>
        </w:rPr>
        <w:t>’d</w:t>
      </w:r>
      <w:r w:rsidR="004B5760" w:rsidRPr="009218D1">
        <w:rPr>
          <w:rFonts w:ascii="Times New Roman" w:hAnsi="Times New Roman" w:cs="Times New Roman"/>
          <w:sz w:val="24"/>
          <w:szCs w:val="24"/>
        </w:rPr>
        <w:t>e</w:t>
      </w:r>
      <w:r w:rsidR="007A2537" w:rsidRPr="009218D1">
        <w:rPr>
          <w:rFonts w:ascii="Times New Roman" w:hAnsi="Times New Roman" w:cs="Times New Roman"/>
          <w:sz w:val="24"/>
          <w:szCs w:val="24"/>
        </w:rPr>
        <w:t xml:space="preserve"> verilmiştir</w:t>
      </w:r>
      <w:r w:rsidR="00BE3467" w:rsidRPr="009218D1">
        <w:rPr>
          <w:rFonts w:ascii="Times New Roman" w:hAnsi="Times New Roman" w:cs="Times New Roman"/>
          <w:sz w:val="24"/>
          <w:szCs w:val="24"/>
        </w:rPr>
        <w:t>.</w:t>
      </w:r>
      <w:r w:rsidR="001B403D" w:rsidRPr="009218D1">
        <w:rPr>
          <w:rFonts w:ascii="Times New Roman" w:hAnsi="Times New Roman" w:cs="Times New Roman"/>
          <w:sz w:val="24"/>
          <w:szCs w:val="24"/>
        </w:rPr>
        <w:t xml:space="preserve"> Çalışmada uygulanan modelin ekonometrik analiz sonucu ise </w:t>
      </w:r>
      <w:r w:rsidR="003C6050" w:rsidRPr="009218D1">
        <w:rPr>
          <w:rFonts w:ascii="Times New Roman" w:hAnsi="Times New Roman" w:cs="Times New Roman"/>
          <w:sz w:val="24"/>
          <w:szCs w:val="24"/>
        </w:rPr>
        <w:t>Çizelge</w:t>
      </w:r>
      <w:r w:rsidR="001B403D" w:rsidRPr="009218D1">
        <w:rPr>
          <w:rFonts w:ascii="Times New Roman" w:hAnsi="Times New Roman" w:cs="Times New Roman"/>
          <w:sz w:val="24"/>
          <w:szCs w:val="24"/>
        </w:rPr>
        <w:t xml:space="preserve"> </w:t>
      </w:r>
      <w:r w:rsidR="004B5760" w:rsidRPr="009218D1">
        <w:rPr>
          <w:rFonts w:ascii="Times New Roman" w:hAnsi="Times New Roman" w:cs="Times New Roman"/>
          <w:sz w:val="24"/>
          <w:szCs w:val="24"/>
        </w:rPr>
        <w:t>8</w:t>
      </w:r>
      <w:r w:rsidR="001B403D" w:rsidRPr="009218D1">
        <w:rPr>
          <w:rFonts w:ascii="Times New Roman" w:hAnsi="Times New Roman" w:cs="Times New Roman"/>
          <w:sz w:val="24"/>
          <w:szCs w:val="24"/>
        </w:rPr>
        <w:t>’de verilmiştir</w:t>
      </w:r>
      <w:r w:rsidR="00BE3467" w:rsidRPr="009218D1">
        <w:rPr>
          <w:rFonts w:ascii="Times New Roman" w:hAnsi="Times New Roman" w:cs="Times New Roman"/>
          <w:sz w:val="24"/>
          <w:szCs w:val="24"/>
        </w:rPr>
        <w:t>.</w:t>
      </w:r>
      <w:r w:rsidR="00615A11" w:rsidRPr="009218D1">
        <w:rPr>
          <w:rFonts w:ascii="Times New Roman" w:hAnsi="Times New Roman" w:cs="Times New Roman"/>
          <w:sz w:val="24"/>
          <w:szCs w:val="24"/>
        </w:rPr>
        <w:t xml:space="preserve"> </w:t>
      </w:r>
      <w:r w:rsidR="006A56C2" w:rsidRPr="009218D1">
        <w:rPr>
          <w:rFonts w:ascii="Times New Roman" w:hAnsi="Times New Roman" w:cs="Times New Roman"/>
          <w:sz w:val="24"/>
          <w:szCs w:val="24"/>
        </w:rPr>
        <w:t>Değişen varyans ve otokorelasyon sorununu bertaraf etmek için katsa</w:t>
      </w:r>
      <w:r w:rsidR="00374986">
        <w:rPr>
          <w:rFonts w:ascii="Times New Roman" w:hAnsi="Times New Roman" w:cs="Times New Roman"/>
          <w:sz w:val="24"/>
          <w:szCs w:val="24"/>
        </w:rPr>
        <w:t>yı kovaryans matris yöntemi ve w</w:t>
      </w:r>
      <w:bookmarkStart w:id="0" w:name="_GoBack"/>
      <w:bookmarkEnd w:id="0"/>
      <w:r w:rsidR="006A56C2" w:rsidRPr="009218D1">
        <w:rPr>
          <w:rFonts w:ascii="Times New Roman" w:hAnsi="Times New Roman" w:cs="Times New Roman"/>
          <w:sz w:val="24"/>
          <w:szCs w:val="24"/>
        </w:rPr>
        <w:t>hite standart hatalar kullanılmıştır</w:t>
      </w:r>
      <w:r w:rsidR="00BE3467" w:rsidRPr="009218D1">
        <w:rPr>
          <w:rFonts w:ascii="Times New Roman" w:hAnsi="Times New Roman" w:cs="Times New Roman"/>
          <w:sz w:val="24"/>
          <w:szCs w:val="24"/>
        </w:rPr>
        <w:t>.</w:t>
      </w:r>
      <w:r w:rsidR="005E5DB3" w:rsidRPr="009218D1">
        <w:rPr>
          <w:rFonts w:ascii="Times New Roman" w:hAnsi="Times New Roman" w:cs="Times New Roman"/>
          <w:sz w:val="24"/>
          <w:szCs w:val="24"/>
        </w:rPr>
        <w:t xml:space="preserve"> </w:t>
      </w:r>
    </w:p>
    <w:p w:rsidR="00E42BA2" w:rsidRPr="009218D1" w:rsidRDefault="00463C2F" w:rsidP="00463C2F">
      <w:pPr>
        <w:autoSpaceDE w:val="0"/>
        <w:autoSpaceDN w:val="0"/>
        <w:adjustRightInd w:val="0"/>
        <w:spacing w:after="0" w:line="240" w:lineRule="auto"/>
        <w:jc w:val="center"/>
        <w:rPr>
          <w:rFonts w:ascii="Times New Roman" w:hAnsi="Times New Roman" w:cs="Times New Roman"/>
          <w:b/>
          <w:bCs/>
          <w:sz w:val="24"/>
          <w:szCs w:val="24"/>
        </w:rPr>
      </w:pPr>
      <w:r w:rsidRPr="009218D1">
        <w:rPr>
          <w:rFonts w:ascii="Times New Roman" w:hAnsi="Times New Roman" w:cs="Times New Roman"/>
          <w:b/>
          <w:bCs/>
          <w:sz w:val="24"/>
          <w:szCs w:val="24"/>
        </w:rPr>
        <w:t>Çizelge</w:t>
      </w:r>
      <w:r w:rsidR="00E42BA2" w:rsidRPr="009218D1">
        <w:rPr>
          <w:rFonts w:ascii="Times New Roman" w:hAnsi="Times New Roman" w:cs="Times New Roman"/>
          <w:b/>
          <w:bCs/>
          <w:sz w:val="24"/>
          <w:szCs w:val="24"/>
        </w:rPr>
        <w:t xml:space="preserve"> </w:t>
      </w:r>
      <w:r w:rsidR="004B5760" w:rsidRPr="009218D1">
        <w:rPr>
          <w:rFonts w:ascii="Times New Roman" w:hAnsi="Times New Roman" w:cs="Times New Roman"/>
          <w:b/>
          <w:bCs/>
          <w:sz w:val="24"/>
          <w:szCs w:val="24"/>
        </w:rPr>
        <w:t>6</w:t>
      </w:r>
      <w:r w:rsidR="00BE3467" w:rsidRPr="009218D1">
        <w:rPr>
          <w:rFonts w:ascii="Times New Roman" w:hAnsi="Times New Roman" w:cs="Times New Roman"/>
          <w:b/>
          <w:bCs/>
          <w:sz w:val="24"/>
          <w:szCs w:val="24"/>
        </w:rPr>
        <w:t>.</w:t>
      </w:r>
      <w:r w:rsidR="00E42BA2" w:rsidRPr="009218D1">
        <w:rPr>
          <w:rFonts w:ascii="Times New Roman" w:hAnsi="Times New Roman" w:cs="Times New Roman"/>
          <w:b/>
          <w:bCs/>
          <w:sz w:val="24"/>
          <w:szCs w:val="24"/>
        </w:rPr>
        <w:t xml:space="preserve"> Redundant Likelihood Test Sonucu</w:t>
      </w:r>
    </w:p>
    <w:tbl>
      <w:tblPr>
        <w:tblStyle w:val="TabloKlavuzu"/>
        <w:tblpPr w:leftFromText="141" w:rightFromText="141" w:vertAnchor="text" w:horzAnchor="margin" w:tblpY="187"/>
        <w:tblW w:w="0" w:type="auto"/>
        <w:tblLook w:val="04A0" w:firstRow="1" w:lastRow="0" w:firstColumn="1" w:lastColumn="0" w:noHBand="0" w:noVBand="1"/>
      </w:tblPr>
      <w:tblGrid>
        <w:gridCol w:w="3119"/>
        <w:gridCol w:w="2410"/>
        <w:gridCol w:w="1559"/>
        <w:gridCol w:w="1164"/>
      </w:tblGrid>
      <w:tr w:rsidR="00463C2F" w:rsidRPr="009218D1" w:rsidTr="00463C2F">
        <w:tc>
          <w:tcPr>
            <w:tcW w:w="8252" w:type="dxa"/>
            <w:gridSpan w:val="4"/>
            <w:vAlign w:val="center"/>
          </w:tcPr>
          <w:p w:rsidR="00463C2F" w:rsidRPr="009218D1" w:rsidRDefault="00463C2F" w:rsidP="00463C2F">
            <w:pPr>
              <w:autoSpaceDE w:val="0"/>
              <w:autoSpaceDN w:val="0"/>
              <w:adjustRightInd w:val="0"/>
              <w:jc w:val="both"/>
              <w:rPr>
                <w:rFonts w:ascii="Times New Roman" w:hAnsi="Times New Roman" w:cs="Times New Roman"/>
                <w:sz w:val="24"/>
                <w:szCs w:val="24"/>
              </w:rPr>
            </w:pPr>
            <w:r w:rsidRPr="009218D1">
              <w:rPr>
                <w:rFonts w:ascii="Times New Roman" w:hAnsi="Times New Roman" w:cs="Times New Roman"/>
                <w:sz w:val="24"/>
                <w:szCs w:val="24"/>
              </w:rPr>
              <w:t>Redundant Fixed Effects Tests</w:t>
            </w:r>
          </w:p>
        </w:tc>
      </w:tr>
      <w:tr w:rsidR="00463C2F" w:rsidRPr="009218D1" w:rsidTr="00463C2F">
        <w:tc>
          <w:tcPr>
            <w:tcW w:w="8252" w:type="dxa"/>
            <w:gridSpan w:val="4"/>
            <w:vAlign w:val="center"/>
          </w:tcPr>
          <w:p w:rsidR="00463C2F" w:rsidRPr="009218D1" w:rsidRDefault="00463C2F" w:rsidP="00463C2F">
            <w:pPr>
              <w:autoSpaceDE w:val="0"/>
              <w:autoSpaceDN w:val="0"/>
              <w:adjustRightInd w:val="0"/>
              <w:jc w:val="both"/>
              <w:rPr>
                <w:rFonts w:ascii="Times New Roman" w:hAnsi="Times New Roman" w:cs="Times New Roman"/>
                <w:sz w:val="24"/>
                <w:szCs w:val="24"/>
              </w:rPr>
            </w:pPr>
            <w:r w:rsidRPr="009218D1">
              <w:rPr>
                <w:rFonts w:ascii="Times New Roman" w:hAnsi="Times New Roman" w:cs="Times New Roman"/>
                <w:sz w:val="24"/>
                <w:szCs w:val="24"/>
              </w:rPr>
              <w:t>Test Cross-Section Fixed Effects</w:t>
            </w:r>
          </w:p>
        </w:tc>
      </w:tr>
      <w:tr w:rsidR="00463C2F" w:rsidRPr="009218D1" w:rsidTr="00463C2F">
        <w:tc>
          <w:tcPr>
            <w:tcW w:w="3119" w:type="dxa"/>
            <w:vAlign w:val="center"/>
          </w:tcPr>
          <w:p w:rsidR="00463C2F" w:rsidRPr="009218D1" w:rsidRDefault="00463C2F" w:rsidP="00463C2F">
            <w:pPr>
              <w:autoSpaceDE w:val="0"/>
              <w:autoSpaceDN w:val="0"/>
              <w:adjustRightInd w:val="0"/>
              <w:jc w:val="center"/>
              <w:rPr>
                <w:rFonts w:ascii="Times New Roman" w:hAnsi="Times New Roman" w:cs="Times New Roman"/>
                <w:b/>
                <w:bCs/>
                <w:sz w:val="24"/>
                <w:szCs w:val="24"/>
              </w:rPr>
            </w:pPr>
            <w:r w:rsidRPr="009218D1">
              <w:rPr>
                <w:rFonts w:ascii="Times New Roman" w:hAnsi="Times New Roman" w:cs="Times New Roman"/>
                <w:b/>
                <w:bCs/>
                <w:sz w:val="24"/>
                <w:szCs w:val="24"/>
              </w:rPr>
              <w:lastRenderedPageBreak/>
              <w:t>Effects Test</w:t>
            </w:r>
          </w:p>
        </w:tc>
        <w:tc>
          <w:tcPr>
            <w:tcW w:w="2410" w:type="dxa"/>
            <w:vAlign w:val="center"/>
          </w:tcPr>
          <w:p w:rsidR="00463C2F" w:rsidRPr="009218D1" w:rsidRDefault="00463C2F" w:rsidP="00463C2F">
            <w:pPr>
              <w:autoSpaceDE w:val="0"/>
              <w:autoSpaceDN w:val="0"/>
              <w:adjustRightInd w:val="0"/>
              <w:jc w:val="center"/>
              <w:rPr>
                <w:rFonts w:ascii="Times New Roman" w:hAnsi="Times New Roman" w:cs="Times New Roman"/>
                <w:b/>
                <w:bCs/>
                <w:sz w:val="24"/>
                <w:szCs w:val="24"/>
              </w:rPr>
            </w:pPr>
            <w:r w:rsidRPr="009218D1">
              <w:rPr>
                <w:rFonts w:ascii="Times New Roman" w:hAnsi="Times New Roman" w:cs="Times New Roman"/>
                <w:b/>
                <w:bCs/>
                <w:sz w:val="24"/>
                <w:szCs w:val="24"/>
              </w:rPr>
              <w:t>Statistic</w:t>
            </w:r>
          </w:p>
        </w:tc>
        <w:tc>
          <w:tcPr>
            <w:tcW w:w="1559" w:type="dxa"/>
            <w:vAlign w:val="center"/>
          </w:tcPr>
          <w:p w:rsidR="00463C2F" w:rsidRPr="009218D1" w:rsidRDefault="00463C2F" w:rsidP="00463C2F">
            <w:pPr>
              <w:autoSpaceDE w:val="0"/>
              <w:autoSpaceDN w:val="0"/>
              <w:adjustRightInd w:val="0"/>
              <w:jc w:val="center"/>
              <w:rPr>
                <w:rFonts w:ascii="Times New Roman" w:hAnsi="Times New Roman" w:cs="Times New Roman"/>
                <w:b/>
                <w:bCs/>
                <w:sz w:val="24"/>
                <w:szCs w:val="24"/>
              </w:rPr>
            </w:pPr>
            <w:r w:rsidRPr="009218D1">
              <w:rPr>
                <w:rFonts w:ascii="Times New Roman" w:hAnsi="Times New Roman" w:cs="Times New Roman"/>
                <w:b/>
                <w:bCs/>
                <w:sz w:val="24"/>
                <w:szCs w:val="24"/>
              </w:rPr>
              <w:t>d.f</w:t>
            </w:r>
          </w:p>
        </w:tc>
        <w:tc>
          <w:tcPr>
            <w:tcW w:w="1164" w:type="dxa"/>
            <w:vAlign w:val="center"/>
          </w:tcPr>
          <w:p w:rsidR="00463C2F" w:rsidRPr="009218D1" w:rsidRDefault="00463C2F" w:rsidP="00463C2F">
            <w:pPr>
              <w:autoSpaceDE w:val="0"/>
              <w:autoSpaceDN w:val="0"/>
              <w:adjustRightInd w:val="0"/>
              <w:jc w:val="center"/>
              <w:rPr>
                <w:rFonts w:ascii="Times New Roman" w:hAnsi="Times New Roman" w:cs="Times New Roman"/>
                <w:b/>
                <w:bCs/>
                <w:sz w:val="24"/>
                <w:szCs w:val="24"/>
              </w:rPr>
            </w:pPr>
            <w:r w:rsidRPr="009218D1">
              <w:rPr>
                <w:rFonts w:ascii="Times New Roman" w:hAnsi="Times New Roman" w:cs="Times New Roman"/>
                <w:b/>
                <w:bCs/>
                <w:sz w:val="24"/>
                <w:szCs w:val="24"/>
              </w:rPr>
              <w:t>Prob.</w:t>
            </w:r>
          </w:p>
        </w:tc>
      </w:tr>
      <w:tr w:rsidR="00463C2F" w:rsidRPr="009218D1" w:rsidTr="00463C2F">
        <w:tc>
          <w:tcPr>
            <w:tcW w:w="3119" w:type="dxa"/>
            <w:vAlign w:val="center"/>
          </w:tcPr>
          <w:p w:rsidR="00463C2F" w:rsidRPr="009218D1" w:rsidRDefault="00463C2F" w:rsidP="00463C2F">
            <w:pPr>
              <w:autoSpaceDE w:val="0"/>
              <w:autoSpaceDN w:val="0"/>
              <w:adjustRightInd w:val="0"/>
              <w:rPr>
                <w:rFonts w:ascii="Times New Roman" w:hAnsi="Times New Roman" w:cs="Times New Roman"/>
                <w:sz w:val="24"/>
                <w:szCs w:val="24"/>
              </w:rPr>
            </w:pPr>
            <w:r w:rsidRPr="009218D1">
              <w:rPr>
                <w:rFonts w:ascii="Times New Roman" w:hAnsi="Times New Roman" w:cs="Times New Roman"/>
                <w:sz w:val="24"/>
                <w:szCs w:val="24"/>
              </w:rPr>
              <w:t>Cross-Section F</w:t>
            </w:r>
          </w:p>
        </w:tc>
        <w:tc>
          <w:tcPr>
            <w:tcW w:w="2410" w:type="dxa"/>
            <w:vAlign w:val="center"/>
          </w:tcPr>
          <w:p w:rsidR="00463C2F" w:rsidRPr="009218D1" w:rsidRDefault="00463C2F" w:rsidP="00463C2F">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28,703893</w:t>
            </w:r>
          </w:p>
        </w:tc>
        <w:tc>
          <w:tcPr>
            <w:tcW w:w="1559" w:type="dxa"/>
            <w:vAlign w:val="center"/>
          </w:tcPr>
          <w:p w:rsidR="00463C2F" w:rsidRPr="009218D1" w:rsidRDefault="00463C2F" w:rsidP="00463C2F">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(168,1344)</w:t>
            </w:r>
          </w:p>
        </w:tc>
        <w:tc>
          <w:tcPr>
            <w:tcW w:w="1164" w:type="dxa"/>
            <w:vAlign w:val="center"/>
          </w:tcPr>
          <w:p w:rsidR="00463C2F" w:rsidRPr="009218D1" w:rsidRDefault="00463C2F" w:rsidP="00463C2F">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0,0000</w:t>
            </w:r>
          </w:p>
        </w:tc>
      </w:tr>
      <w:tr w:rsidR="00463C2F" w:rsidRPr="009218D1" w:rsidTr="00463C2F">
        <w:tc>
          <w:tcPr>
            <w:tcW w:w="3119" w:type="dxa"/>
            <w:vAlign w:val="center"/>
          </w:tcPr>
          <w:p w:rsidR="00463C2F" w:rsidRPr="009218D1" w:rsidRDefault="00463C2F" w:rsidP="00463C2F">
            <w:pPr>
              <w:autoSpaceDE w:val="0"/>
              <w:autoSpaceDN w:val="0"/>
              <w:adjustRightInd w:val="0"/>
              <w:rPr>
                <w:rFonts w:ascii="Times New Roman" w:hAnsi="Times New Roman" w:cs="Times New Roman"/>
                <w:sz w:val="24"/>
                <w:szCs w:val="24"/>
              </w:rPr>
            </w:pPr>
            <w:r w:rsidRPr="009218D1">
              <w:rPr>
                <w:rFonts w:ascii="Times New Roman" w:hAnsi="Times New Roman" w:cs="Times New Roman"/>
                <w:sz w:val="24"/>
                <w:szCs w:val="24"/>
              </w:rPr>
              <w:t>Cross-Section Chi-Square</w:t>
            </w:r>
          </w:p>
        </w:tc>
        <w:tc>
          <w:tcPr>
            <w:tcW w:w="2410" w:type="dxa"/>
            <w:vAlign w:val="center"/>
          </w:tcPr>
          <w:p w:rsidR="00463C2F" w:rsidRPr="009218D1" w:rsidRDefault="00463C2F" w:rsidP="00463C2F">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2320,201082</w:t>
            </w:r>
          </w:p>
        </w:tc>
        <w:tc>
          <w:tcPr>
            <w:tcW w:w="1559" w:type="dxa"/>
            <w:vAlign w:val="center"/>
          </w:tcPr>
          <w:p w:rsidR="00463C2F" w:rsidRPr="009218D1" w:rsidRDefault="00463C2F" w:rsidP="00463C2F">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168</w:t>
            </w:r>
          </w:p>
        </w:tc>
        <w:tc>
          <w:tcPr>
            <w:tcW w:w="1164" w:type="dxa"/>
            <w:vAlign w:val="center"/>
          </w:tcPr>
          <w:p w:rsidR="00463C2F" w:rsidRPr="009218D1" w:rsidRDefault="00463C2F" w:rsidP="00463C2F">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0,0000</w:t>
            </w:r>
          </w:p>
        </w:tc>
      </w:tr>
    </w:tbl>
    <w:p w:rsidR="00463C2F" w:rsidRPr="009218D1" w:rsidRDefault="00463C2F" w:rsidP="00463C2F">
      <w:pPr>
        <w:autoSpaceDE w:val="0"/>
        <w:autoSpaceDN w:val="0"/>
        <w:adjustRightInd w:val="0"/>
        <w:spacing w:after="0" w:line="240" w:lineRule="auto"/>
        <w:jc w:val="center"/>
        <w:rPr>
          <w:rFonts w:ascii="Times New Roman" w:hAnsi="Times New Roman" w:cs="Times New Roman"/>
          <w:b/>
          <w:bCs/>
          <w:sz w:val="24"/>
          <w:szCs w:val="24"/>
        </w:rPr>
      </w:pPr>
    </w:p>
    <w:p w:rsidR="00E42BA2" w:rsidRPr="009218D1" w:rsidRDefault="00E42BA2" w:rsidP="00AD17AB">
      <w:pPr>
        <w:spacing w:before="120" w:after="120" w:line="240" w:lineRule="auto"/>
        <w:jc w:val="both"/>
        <w:rPr>
          <w:rFonts w:ascii="Times New Roman" w:hAnsi="Times New Roman" w:cs="Times New Roman"/>
          <w:sz w:val="24"/>
          <w:szCs w:val="24"/>
        </w:rPr>
      </w:pPr>
    </w:p>
    <w:p w:rsidR="00463C2F" w:rsidRPr="009218D1" w:rsidRDefault="00463C2F" w:rsidP="00E42BA2">
      <w:pPr>
        <w:autoSpaceDE w:val="0"/>
        <w:autoSpaceDN w:val="0"/>
        <w:adjustRightInd w:val="0"/>
        <w:spacing w:after="0" w:line="240" w:lineRule="auto"/>
        <w:jc w:val="both"/>
        <w:rPr>
          <w:rFonts w:ascii="Times New Roman" w:hAnsi="Times New Roman" w:cs="Times New Roman"/>
          <w:b/>
          <w:bCs/>
          <w:sz w:val="24"/>
          <w:szCs w:val="24"/>
        </w:rPr>
      </w:pPr>
    </w:p>
    <w:p w:rsidR="00463C2F" w:rsidRPr="009218D1" w:rsidRDefault="00463C2F" w:rsidP="00E42BA2">
      <w:pPr>
        <w:autoSpaceDE w:val="0"/>
        <w:autoSpaceDN w:val="0"/>
        <w:adjustRightInd w:val="0"/>
        <w:spacing w:after="0" w:line="240" w:lineRule="auto"/>
        <w:jc w:val="both"/>
        <w:rPr>
          <w:rFonts w:ascii="Times New Roman" w:hAnsi="Times New Roman" w:cs="Times New Roman"/>
          <w:b/>
          <w:bCs/>
          <w:sz w:val="24"/>
          <w:szCs w:val="24"/>
        </w:rPr>
      </w:pPr>
    </w:p>
    <w:p w:rsidR="00463C2F" w:rsidRPr="009218D1" w:rsidRDefault="00463C2F" w:rsidP="00E42BA2">
      <w:pPr>
        <w:autoSpaceDE w:val="0"/>
        <w:autoSpaceDN w:val="0"/>
        <w:adjustRightInd w:val="0"/>
        <w:spacing w:after="0" w:line="240" w:lineRule="auto"/>
        <w:jc w:val="both"/>
        <w:rPr>
          <w:rFonts w:ascii="Times New Roman" w:hAnsi="Times New Roman" w:cs="Times New Roman"/>
          <w:b/>
          <w:bCs/>
          <w:sz w:val="24"/>
          <w:szCs w:val="24"/>
        </w:rPr>
      </w:pPr>
    </w:p>
    <w:p w:rsidR="00463C2F" w:rsidRPr="009218D1" w:rsidRDefault="00463C2F" w:rsidP="00E42BA2">
      <w:pPr>
        <w:autoSpaceDE w:val="0"/>
        <w:autoSpaceDN w:val="0"/>
        <w:adjustRightInd w:val="0"/>
        <w:spacing w:after="0" w:line="240" w:lineRule="auto"/>
        <w:jc w:val="both"/>
        <w:rPr>
          <w:rFonts w:ascii="Times New Roman" w:hAnsi="Times New Roman" w:cs="Times New Roman"/>
          <w:b/>
          <w:bCs/>
          <w:sz w:val="24"/>
          <w:szCs w:val="24"/>
        </w:rPr>
      </w:pPr>
    </w:p>
    <w:p w:rsidR="00E42BA2" w:rsidRPr="009218D1" w:rsidRDefault="00463C2F" w:rsidP="00DA0426">
      <w:pPr>
        <w:autoSpaceDE w:val="0"/>
        <w:autoSpaceDN w:val="0"/>
        <w:adjustRightInd w:val="0"/>
        <w:spacing w:before="120" w:after="120" w:line="240" w:lineRule="auto"/>
        <w:jc w:val="center"/>
        <w:rPr>
          <w:rFonts w:ascii="Times New Roman" w:hAnsi="Times New Roman" w:cs="Times New Roman"/>
          <w:b/>
          <w:bCs/>
          <w:sz w:val="24"/>
          <w:szCs w:val="24"/>
        </w:rPr>
      </w:pPr>
      <w:r w:rsidRPr="009218D1">
        <w:rPr>
          <w:rFonts w:ascii="Times New Roman" w:hAnsi="Times New Roman" w:cs="Times New Roman"/>
          <w:b/>
          <w:bCs/>
          <w:sz w:val="24"/>
          <w:szCs w:val="24"/>
        </w:rPr>
        <w:t>Çizelge</w:t>
      </w:r>
      <w:r w:rsidR="00E42BA2" w:rsidRPr="009218D1">
        <w:rPr>
          <w:rFonts w:ascii="Times New Roman" w:hAnsi="Times New Roman" w:cs="Times New Roman"/>
          <w:b/>
          <w:bCs/>
          <w:sz w:val="24"/>
          <w:szCs w:val="24"/>
        </w:rPr>
        <w:t xml:space="preserve"> </w:t>
      </w:r>
      <w:r w:rsidR="004B5760" w:rsidRPr="009218D1">
        <w:rPr>
          <w:rFonts w:ascii="Times New Roman" w:hAnsi="Times New Roman" w:cs="Times New Roman"/>
          <w:b/>
          <w:bCs/>
          <w:sz w:val="24"/>
          <w:szCs w:val="24"/>
        </w:rPr>
        <w:t>7</w:t>
      </w:r>
      <w:r w:rsidR="00BE3467" w:rsidRPr="009218D1">
        <w:rPr>
          <w:rFonts w:ascii="Times New Roman" w:hAnsi="Times New Roman" w:cs="Times New Roman"/>
          <w:b/>
          <w:bCs/>
          <w:sz w:val="24"/>
          <w:szCs w:val="24"/>
        </w:rPr>
        <w:t>.</w:t>
      </w:r>
      <w:r w:rsidR="00E42BA2" w:rsidRPr="009218D1">
        <w:rPr>
          <w:rFonts w:ascii="Times New Roman" w:hAnsi="Times New Roman" w:cs="Times New Roman"/>
          <w:b/>
          <w:bCs/>
          <w:sz w:val="24"/>
          <w:szCs w:val="24"/>
        </w:rPr>
        <w:t xml:space="preserve"> Hausman Test Sonucu</w:t>
      </w:r>
    </w:p>
    <w:tbl>
      <w:tblPr>
        <w:tblW w:w="45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8"/>
        <w:gridCol w:w="1701"/>
        <w:gridCol w:w="1557"/>
        <w:gridCol w:w="1847"/>
      </w:tblGrid>
      <w:tr w:rsidR="00E42BA2" w:rsidRPr="009218D1" w:rsidTr="00E42BA2">
        <w:trPr>
          <w:trHeight w:val="225"/>
        </w:trPr>
        <w:tc>
          <w:tcPr>
            <w:tcW w:w="5000" w:type="pct"/>
            <w:gridSpan w:val="4"/>
            <w:vAlign w:val="bottom"/>
          </w:tcPr>
          <w:p w:rsidR="00E42BA2" w:rsidRPr="009218D1" w:rsidRDefault="00E42BA2" w:rsidP="002A3FD0">
            <w:pPr>
              <w:autoSpaceDE w:val="0"/>
              <w:autoSpaceDN w:val="0"/>
              <w:adjustRightInd w:val="0"/>
              <w:spacing w:after="0"/>
              <w:rPr>
                <w:rFonts w:ascii="Times New Roman" w:hAnsi="Times New Roman" w:cs="Times New Roman"/>
                <w:sz w:val="24"/>
                <w:szCs w:val="24"/>
              </w:rPr>
            </w:pPr>
            <w:r w:rsidRPr="009218D1">
              <w:rPr>
                <w:rFonts w:ascii="Times New Roman" w:hAnsi="Times New Roman" w:cs="Times New Roman"/>
                <w:sz w:val="24"/>
                <w:szCs w:val="24"/>
              </w:rPr>
              <w:t>Correlated Random Effects - Hausman Test</w:t>
            </w:r>
          </w:p>
        </w:tc>
      </w:tr>
      <w:tr w:rsidR="00E42BA2" w:rsidRPr="009218D1" w:rsidTr="00E42BA2">
        <w:trPr>
          <w:trHeight w:val="225"/>
        </w:trPr>
        <w:tc>
          <w:tcPr>
            <w:tcW w:w="5000" w:type="pct"/>
            <w:gridSpan w:val="4"/>
            <w:vAlign w:val="bottom"/>
          </w:tcPr>
          <w:p w:rsidR="00E42BA2" w:rsidRPr="009218D1" w:rsidRDefault="00E42BA2" w:rsidP="002A3FD0">
            <w:pPr>
              <w:autoSpaceDE w:val="0"/>
              <w:autoSpaceDN w:val="0"/>
              <w:adjustRightInd w:val="0"/>
              <w:spacing w:after="0"/>
              <w:rPr>
                <w:rFonts w:ascii="Times New Roman" w:hAnsi="Times New Roman" w:cs="Times New Roman"/>
                <w:sz w:val="24"/>
                <w:szCs w:val="24"/>
              </w:rPr>
            </w:pPr>
            <w:r w:rsidRPr="009218D1">
              <w:rPr>
                <w:rFonts w:ascii="Times New Roman" w:hAnsi="Times New Roman" w:cs="Times New Roman"/>
                <w:sz w:val="24"/>
                <w:szCs w:val="24"/>
              </w:rPr>
              <w:t>Test Cross-Section Random Effects</w:t>
            </w:r>
          </w:p>
        </w:tc>
      </w:tr>
      <w:tr w:rsidR="00E42BA2" w:rsidRPr="009218D1" w:rsidTr="00E42BA2">
        <w:trPr>
          <w:trHeight w:val="225"/>
        </w:trPr>
        <w:tc>
          <w:tcPr>
            <w:tcW w:w="1896" w:type="pct"/>
            <w:vAlign w:val="bottom"/>
          </w:tcPr>
          <w:p w:rsidR="00E42BA2" w:rsidRPr="009218D1" w:rsidRDefault="00E42BA2" w:rsidP="002A3FD0">
            <w:pPr>
              <w:autoSpaceDE w:val="0"/>
              <w:autoSpaceDN w:val="0"/>
              <w:adjustRightInd w:val="0"/>
              <w:spacing w:after="0"/>
              <w:rPr>
                <w:rFonts w:ascii="Times New Roman" w:hAnsi="Times New Roman" w:cs="Times New Roman"/>
                <w:b/>
                <w:sz w:val="24"/>
                <w:szCs w:val="24"/>
              </w:rPr>
            </w:pPr>
            <w:r w:rsidRPr="009218D1">
              <w:rPr>
                <w:rFonts w:ascii="Times New Roman" w:hAnsi="Times New Roman" w:cs="Times New Roman"/>
                <w:b/>
                <w:sz w:val="24"/>
                <w:szCs w:val="24"/>
              </w:rPr>
              <w:t>Test Summary</w:t>
            </w:r>
          </w:p>
        </w:tc>
        <w:tc>
          <w:tcPr>
            <w:tcW w:w="1034" w:type="pct"/>
            <w:vAlign w:val="bottom"/>
          </w:tcPr>
          <w:p w:rsidR="00E42BA2" w:rsidRPr="009218D1" w:rsidRDefault="00E42BA2" w:rsidP="002A3FD0">
            <w:pPr>
              <w:autoSpaceDE w:val="0"/>
              <w:autoSpaceDN w:val="0"/>
              <w:adjustRightInd w:val="0"/>
              <w:spacing w:after="0"/>
              <w:ind w:right="10"/>
              <w:jc w:val="right"/>
              <w:rPr>
                <w:rFonts w:ascii="Times New Roman" w:hAnsi="Times New Roman" w:cs="Times New Roman"/>
                <w:b/>
                <w:sz w:val="24"/>
                <w:szCs w:val="24"/>
              </w:rPr>
            </w:pPr>
            <w:r w:rsidRPr="009218D1">
              <w:rPr>
                <w:rFonts w:ascii="Times New Roman" w:hAnsi="Times New Roman" w:cs="Times New Roman"/>
                <w:b/>
                <w:sz w:val="24"/>
                <w:szCs w:val="24"/>
              </w:rPr>
              <w:t>Chi-Sq</w:t>
            </w:r>
            <w:r w:rsidR="00BE3467" w:rsidRPr="009218D1">
              <w:rPr>
                <w:rFonts w:ascii="Times New Roman" w:hAnsi="Times New Roman" w:cs="Times New Roman"/>
                <w:b/>
                <w:sz w:val="24"/>
                <w:szCs w:val="24"/>
              </w:rPr>
              <w:t>.</w:t>
            </w:r>
            <w:r w:rsidRPr="009218D1">
              <w:rPr>
                <w:rFonts w:ascii="Times New Roman" w:hAnsi="Times New Roman" w:cs="Times New Roman"/>
                <w:b/>
                <w:sz w:val="24"/>
                <w:szCs w:val="24"/>
              </w:rPr>
              <w:t xml:space="preserve"> Statistic</w:t>
            </w:r>
          </w:p>
        </w:tc>
        <w:tc>
          <w:tcPr>
            <w:tcW w:w="947" w:type="pct"/>
            <w:vAlign w:val="bottom"/>
          </w:tcPr>
          <w:p w:rsidR="00E42BA2" w:rsidRPr="009218D1" w:rsidRDefault="00E42BA2" w:rsidP="002A3FD0">
            <w:pPr>
              <w:autoSpaceDE w:val="0"/>
              <w:autoSpaceDN w:val="0"/>
              <w:adjustRightInd w:val="0"/>
              <w:spacing w:after="0"/>
              <w:ind w:right="10"/>
              <w:jc w:val="right"/>
              <w:rPr>
                <w:rFonts w:ascii="Times New Roman" w:hAnsi="Times New Roman" w:cs="Times New Roman"/>
                <w:b/>
                <w:sz w:val="24"/>
                <w:szCs w:val="24"/>
              </w:rPr>
            </w:pPr>
            <w:r w:rsidRPr="009218D1">
              <w:rPr>
                <w:rFonts w:ascii="Times New Roman" w:hAnsi="Times New Roman" w:cs="Times New Roman"/>
                <w:b/>
                <w:sz w:val="24"/>
                <w:szCs w:val="24"/>
              </w:rPr>
              <w:t>Chi-Sq</w:t>
            </w:r>
            <w:r w:rsidR="00BE3467" w:rsidRPr="009218D1">
              <w:rPr>
                <w:rFonts w:ascii="Times New Roman" w:hAnsi="Times New Roman" w:cs="Times New Roman"/>
                <w:b/>
                <w:sz w:val="24"/>
                <w:szCs w:val="24"/>
              </w:rPr>
              <w:t>.</w:t>
            </w:r>
            <w:r w:rsidRPr="009218D1">
              <w:rPr>
                <w:rFonts w:ascii="Times New Roman" w:hAnsi="Times New Roman" w:cs="Times New Roman"/>
                <w:b/>
                <w:sz w:val="24"/>
                <w:szCs w:val="24"/>
              </w:rPr>
              <w:t xml:space="preserve"> d</w:t>
            </w:r>
            <w:r w:rsidR="00BE3467" w:rsidRPr="009218D1">
              <w:rPr>
                <w:rFonts w:ascii="Times New Roman" w:hAnsi="Times New Roman" w:cs="Times New Roman"/>
                <w:b/>
                <w:sz w:val="24"/>
                <w:szCs w:val="24"/>
              </w:rPr>
              <w:t>.</w:t>
            </w:r>
            <w:r w:rsidRPr="009218D1">
              <w:rPr>
                <w:rFonts w:ascii="Times New Roman" w:hAnsi="Times New Roman" w:cs="Times New Roman"/>
                <w:b/>
                <w:sz w:val="24"/>
                <w:szCs w:val="24"/>
              </w:rPr>
              <w:t>f</w:t>
            </w:r>
            <w:r w:rsidR="00BE3467" w:rsidRPr="009218D1">
              <w:rPr>
                <w:rFonts w:ascii="Times New Roman" w:hAnsi="Times New Roman" w:cs="Times New Roman"/>
                <w:b/>
                <w:sz w:val="24"/>
                <w:szCs w:val="24"/>
              </w:rPr>
              <w:t>.</w:t>
            </w:r>
          </w:p>
        </w:tc>
        <w:tc>
          <w:tcPr>
            <w:tcW w:w="1123" w:type="pct"/>
            <w:vAlign w:val="bottom"/>
          </w:tcPr>
          <w:p w:rsidR="00E42BA2" w:rsidRPr="009218D1" w:rsidRDefault="00E42BA2" w:rsidP="002A3FD0">
            <w:pPr>
              <w:autoSpaceDE w:val="0"/>
              <w:autoSpaceDN w:val="0"/>
              <w:adjustRightInd w:val="0"/>
              <w:spacing w:after="0"/>
              <w:ind w:right="10"/>
              <w:jc w:val="right"/>
              <w:rPr>
                <w:rFonts w:ascii="Times New Roman" w:hAnsi="Times New Roman" w:cs="Times New Roman"/>
                <w:b/>
                <w:sz w:val="24"/>
                <w:szCs w:val="24"/>
              </w:rPr>
            </w:pPr>
            <w:r w:rsidRPr="009218D1">
              <w:rPr>
                <w:rFonts w:ascii="Times New Roman" w:hAnsi="Times New Roman" w:cs="Times New Roman"/>
                <w:b/>
                <w:sz w:val="24"/>
                <w:szCs w:val="24"/>
              </w:rPr>
              <w:t>Prob</w:t>
            </w:r>
            <w:r w:rsidR="00BE3467" w:rsidRPr="009218D1">
              <w:rPr>
                <w:rFonts w:ascii="Times New Roman" w:hAnsi="Times New Roman" w:cs="Times New Roman"/>
                <w:b/>
                <w:sz w:val="24"/>
                <w:szCs w:val="24"/>
              </w:rPr>
              <w:t>.</w:t>
            </w:r>
            <w:r w:rsidRPr="009218D1">
              <w:rPr>
                <w:rFonts w:ascii="Times New Roman" w:hAnsi="Times New Roman" w:cs="Times New Roman"/>
                <w:b/>
                <w:sz w:val="24"/>
                <w:szCs w:val="24"/>
              </w:rPr>
              <w:t> </w:t>
            </w:r>
          </w:p>
        </w:tc>
      </w:tr>
      <w:tr w:rsidR="00E42BA2" w:rsidRPr="009218D1" w:rsidTr="00E42BA2">
        <w:trPr>
          <w:trHeight w:val="225"/>
        </w:trPr>
        <w:tc>
          <w:tcPr>
            <w:tcW w:w="1896" w:type="pct"/>
            <w:vAlign w:val="bottom"/>
          </w:tcPr>
          <w:p w:rsidR="00E42BA2" w:rsidRPr="009218D1" w:rsidRDefault="00E42BA2" w:rsidP="002A3FD0">
            <w:pPr>
              <w:autoSpaceDE w:val="0"/>
              <w:autoSpaceDN w:val="0"/>
              <w:adjustRightInd w:val="0"/>
              <w:spacing w:after="0"/>
              <w:rPr>
                <w:rFonts w:ascii="Times New Roman" w:hAnsi="Times New Roman" w:cs="Times New Roman"/>
                <w:sz w:val="24"/>
                <w:szCs w:val="24"/>
              </w:rPr>
            </w:pPr>
            <w:r w:rsidRPr="009218D1">
              <w:rPr>
                <w:rFonts w:ascii="Times New Roman" w:hAnsi="Times New Roman" w:cs="Times New Roman"/>
                <w:sz w:val="24"/>
                <w:szCs w:val="24"/>
              </w:rPr>
              <w:t>Cross-Section Random</w:t>
            </w:r>
          </w:p>
        </w:tc>
        <w:tc>
          <w:tcPr>
            <w:tcW w:w="1034" w:type="pct"/>
            <w:vAlign w:val="bottom"/>
          </w:tcPr>
          <w:p w:rsidR="00E42BA2" w:rsidRPr="009218D1" w:rsidRDefault="00E42BA2" w:rsidP="002A3FD0">
            <w:pPr>
              <w:autoSpaceDE w:val="0"/>
              <w:autoSpaceDN w:val="0"/>
              <w:adjustRightInd w:val="0"/>
              <w:spacing w:after="0"/>
              <w:ind w:right="10"/>
              <w:jc w:val="right"/>
              <w:rPr>
                <w:rFonts w:ascii="Times New Roman" w:hAnsi="Times New Roman" w:cs="Times New Roman"/>
                <w:sz w:val="24"/>
                <w:szCs w:val="24"/>
              </w:rPr>
            </w:pPr>
            <w:r w:rsidRPr="009218D1">
              <w:rPr>
                <w:rFonts w:ascii="Times New Roman" w:hAnsi="Times New Roman" w:cs="Times New Roman"/>
                <w:sz w:val="24"/>
                <w:szCs w:val="24"/>
              </w:rPr>
              <w:t>63</w:t>
            </w:r>
            <w:r w:rsidR="00463C2F" w:rsidRPr="009218D1">
              <w:rPr>
                <w:rFonts w:ascii="Times New Roman" w:hAnsi="Times New Roman" w:cs="Times New Roman"/>
                <w:sz w:val="24"/>
                <w:szCs w:val="24"/>
              </w:rPr>
              <w:t>,</w:t>
            </w:r>
            <w:r w:rsidRPr="009218D1">
              <w:rPr>
                <w:rFonts w:ascii="Times New Roman" w:hAnsi="Times New Roman" w:cs="Times New Roman"/>
                <w:sz w:val="24"/>
                <w:szCs w:val="24"/>
              </w:rPr>
              <w:t>864254</w:t>
            </w:r>
          </w:p>
        </w:tc>
        <w:tc>
          <w:tcPr>
            <w:tcW w:w="947" w:type="pct"/>
            <w:vAlign w:val="bottom"/>
          </w:tcPr>
          <w:p w:rsidR="00E42BA2" w:rsidRPr="009218D1" w:rsidRDefault="00E42BA2" w:rsidP="002A3FD0">
            <w:pPr>
              <w:autoSpaceDE w:val="0"/>
              <w:autoSpaceDN w:val="0"/>
              <w:adjustRightInd w:val="0"/>
              <w:spacing w:after="0"/>
              <w:ind w:right="10"/>
              <w:jc w:val="right"/>
              <w:rPr>
                <w:rFonts w:ascii="Times New Roman" w:hAnsi="Times New Roman" w:cs="Times New Roman"/>
                <w:sz w:val="24"/>
                <w:szCs w:val="24"/>
              </w:rPr>
            </w:pPr>
            <w:r w:rsidRPr="009218D1">
              <w:rPr>
                <w:rFonts w:ascii="Times New Roman" w:hAnsi="Times New Roman" w:cs="Times New Roman"/>
                <w:sz w:val="24"/>
                <w:szCs w:val="24"/>
              </w:rPr>
              <w:t>10</w:t>
            </w:r>
          </w:p>
        </w:tc>
        <w:tc>
          <w:tcPr>
            <w:tcW w:w="1123" w:type="pct"/>
            <w:vAlign w:val="bottom"/>
          </w:tcPr>
          <w:p w:rsidR="00E42BA2" w:rsidRPr="009218D1" w:rsidRDefault="00E42BA2" w:rsidP="002A3FD0">
            <w:pPr>
              <w:autoSpaceDE w:val="0"/>
              <w:autoSpaceDN w:val="0"/>
              <w:adjustRightInd w:val="0"/>
              <w:spacing w:after="0"/>
              <w:ind w:right="10"/>
              <w:jc w:val="right"/>
              <w:rPr>
                <w:rFonts w:ascii="Times New Roman" w:hAnsi="Times New Roman" w:cs="Times New Roman"/>
                <w:sz w:val="24"/>
                <w:szCs w:val="24"/>
              </w:rPr>
            </w:pPr>
            <w:r w:rsidRPr="009218D1">
              <w:rPr>
                <w:rFonts w:ascii="Times New Roman" w:hAnsi="Times New Roman" w:cs="Times New Roman"/>
                <w:sz w:val="24"/>
                <w:szCs w:val="24"/>
              </w:rPr>
              <w:t>0</w:t>
            </w:r>
            <w:r w:rsidR="00463C2F" w:rsidRPr="009218D1">
              <w:rPr>
                <w:rFonts w:ascii="Times New Roman" w:hAnsi="Times New Roman" w:cs="Times New Roman"/>
                <w:sz w:val="24"/>
                <w:szCs w:val="24"/>
              </w:rPr>
              <w:t>,</w:t>
            </w:r>
            <w:r w:rsidRPr="009218D1">
              <w:rPr>
                <w:rFonts w:ascii="Times New Roman" w:hAnsi="Times New Roman" w:cs="Times New Roman"/>
                <w:sz w:val="24"/>
                <w:szCs w:val="24"/>
              </w:rPr>
              <w:t>0000</w:t>
            </w:r>
          </w:p>
        </w:tc>
      </w:tr>
    </w:tbl>
    <w:p w:rsidR="00950B7E" w:rsidRPr="009218D1" w:rsidRDefault="00950B7E" w:rsidP="00950B7E">
      <w:pPr>
        <w:spacing w:before="120" w:after="120" w:line="240" w:lineRule="auto"/>
        <w:jc w:val="both"/>
        <w:rPr>
          <w:rFonts w:ascii="Times New Roman" w:hAnsi="Times New Roman" w:cs="Times New Roman"/>
          <w:sz w:val="24"/>
          <w:szCs w:val="24"/>
        </w:rPr>
      </w:pPr>
    </w:p>
    <w:p w:rsidR="00950B7E" w:rsidRPr="009218D1" w:rsidRDefault="00950B7E" w:rsidP="00950B7E">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Bu kapsamda çalışmada kullanılması uygun bulunan sabit etkiler modeli aşağıda verilmiştir;</w:t>
      </w:r>
    </w:p>
    <w:p w:rsidR="000A4BC3" w:rsidRPr="009218D1" w:rsidRDefault="00950B7E" w:rsidP="00466D11">
      <w:pPr>
        <w:spacing w:before="120" w:after="120" w:line="240" w:lineRule="auto"/>
        <w:ind w:left="426" w:right="850"/>
        <w:jc w:val="both"/>
        <w:rPr>
          <w:rFonts w:ascii="Times New Roman" w:hAnsi="Times New Roman" w:cs="Times New Roman"/>
          <w:sz w:val="24"/>
          <w:szCs w:val="24"/>
        </w:rPr>
      </w:pPr>
      <w:r w:rsidRPr="009218D1">
        <w:rPr>
          <w:rFonts w:ascii="Times New Roman" w:hAnsi="Times New Roman" w:cs="Times New Roman"/>
          <w:sz w:val="24"/>
          <w:szCs w:val="24"/>
        </w:rPr>
        <w:t>LEVit= α</w:t>
      </w:r>
      <w:r w:rsidRPr="009218D1">
        <w:rPr>
          <w:rFonts w:ascii="Times New Roman" w:hAnsi="Times New Roman" w:cs="Times New Roman"/>
          <w:sz w:val="24"/>
          <w:szCs w:val="24"/>
          <w:vertAlign w:val="subscript"/>
        </w:rPr>
        <w:t>i</w:t>
      </w:r>
      <w:r w:rsidRPr="009218D1">
        <w:rPr>
          <w:rFonts w:ascii="Times New Roman" w:hAnsi="Times New Roman" w:cs="Times New Roman"/>
          <w:sz w:val="24"/>
          <w:szCs w:val="24"/>
        </w:rPr>
        <w:t xml:space="preserve"> + β STOCK MARKET</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β PROF</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β BANK</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 β TANG</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β TAX</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β PAYOUT</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β GROWTH</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β RISK</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β PUBLIC DEBT</w:t>
      </w:r>
      <w:r w:rsidRPr="009218D1">
        <w:rPr>
          <w:rFonts w:ascii="Times New Roman" w:hAnsi="Times New Roman" w:cs="Times New Roman"/>
          <w:sz w:val="24"/>
          <w:szCs w:val="24"/>
          <w:vertAlign w:val="subscript"/>
        </w:rPr>
        <w:t>it</w:t>
      </w:r>
      <w:r w:rsidRPr="009218D1">
        <w:rPr>
          <w:rFonts w:ascii="Times New Roman" w:hAnsi="Times New Roman" w:cs="Times New Roman"/>
          <w:sz w:val="24"/>
          <w:szCs w:val="24"/>
        </w:rPr>
        <w:t xml:space="preserve"> + ε</w:t>
      </w:r>
      <w:r w:rsidRPr="009218D1">
        <w:rPr>
          <w:rFonts w:ascii="Times New Roman" w:hAnsi="Times New Roman" w:cs="Times New Roman"/>
          <w:sz w:val="24"/>
          <w:szCs w:val="24"/>
          <w:vertAlign w:val="subscript"/>
        </w:rPr>
        <w:t xml:space="preserve">it </w:t>
      </w:r>
      <w:r w:rsidRPr="009218D1">
        <w:rPr>
          <w:rFonts w:ascii="Times New Roman" w:hAnsi="Times New Roman" w:cs="Times New Roman"/>
          <w:sz w:val="24"/>
          <w:szCs w:val="24"/>
        </w:rPr>
        <w:t xml:space="preserve"> </w:t>
      </w:r>
    </w:p>
    <w:p w:rsidR="00817311" w:rsidRPr="009218D1" w:rsidRDefault="00817311" w:rsidP="00463C2F">
      <w:pPr>
        <w:spacing w:after="0" w:line="240" w:lineRule="auto"/>
        <w:jc w:val="center"/>
        <w:rPr>
          <w:rFonts w:ascii="Times New Roman" w:hAnsi="Times New Roman" w:cs="Times New Roman"/>
          <w:b/>
          <w:sz w:val="24"/>
          <w:szCs w:val="24"/>
        </w:rPr>
      </w:pPr>
    </w:p>
    <w:p w:rsidR="00E42BA2" w:rsidRPr="009218D1" w:rsidRDefault="00463C2F" w:rsidP="00817311">
      <w:pPr>
        <w:spacing w:before="120" w:after="120" w:line="240" w:lineRule="auto"/>
        <w:jc w:val="center"/>
        <w:rPr>
          <w:rFonts w:ascii="Times New Roman" w:hAnsi="Times New Roman" w:cs="Times New Roman"/>
          <w:b/>
          <w:sz w:val="24"/>
          <w:szCs w:val="24"/>
        </w:rPr>
      </w:pPr>
      <w:r w:rsidRPr="009218D1">
        <w:rPr>
          <w:rFonts w:ascii="Times New Roman" w:hAnsi="Times New Roman" w:cs="Times New Roman"/>
          <w:b/>
          <w:sz w:val="24"/>
          <w:szCs w:val="24"/>
        </w:rPr>
        <w:t>Çizelge</w:t>
      </w:r>
      <w:r w:rsidR="000A4BC3" w:rsidRPr="009218D1">
        <w:rPr>
          <w:rFonts w:ascii="Times New Roman" w:hAnsi="Times New Roman" w:cs="Times New Roman"/>
          <w:b/>
          <w:sz w:val="24"/>
          <w:szCs w:val="24"/>
        </w:rPr>
        <w:t xml:space="preserve"> </w:t>
      </w:r>
      <w:r w:rsidR="004B5760" w:rsidRPr="009218D1">
        <w:rPr>
          <w:rFonts w:ascii="Times New Roman" w:hAnsi="Times New Roman" w:cs="Times New Roman"/>
          <w:b/>
          <w:sz w:val="24"/>
          <w:szCs w:val="24"/>
        </w:rPr>
        <w:t>8</w:t>
      </w:r>
      <w:r w:rsidR="00BE3467" w:rsidRPr="009218D1">
        <w:rPr>
          <w:rFonts w:ascii="Times New Roman" w:hAnsi="Times New Roman" w:cs="Times New Roman"/>
          <w:b/>
          <w:sz w:val="24"/>
          <w:szCs w:val="24"/>
        </w:rPr>
        <w:t>.</w:t>
      </w:r>
      <w:r w:rsidR="000A4BC3" w:rsidRPr="009218D1">
        <w:rPr>
          <w:rFonts w:ascii="Times New Roman" w:hAnsi="Times New Roman" w:cs="Times New Roman"/>
          <w:b/>
          <w:sz w:val="24"/>
          <w:szCs w:val="24"/>
        </w:rPr>
        <w:t xml:space="preserve"> Analiz Sonucu</w:t>
      </w:r>
    </w:p>
    <w:tbl>
      <w:tblPr>
        <w:tblStyle w:val="TabloKlavuzu"/>
        <w:tblW w:w="8293" w:type="dxa"/>
        <w:tblInd w:w="108" w:type="dxa"/>
        <w:tblLook w:val="04A0" w:firstRow="1" w:lastRow="0" w:firstColumn="1" w:lastColumn="0" w:noHBand="0" w:noVBand="1"/>
      </w:tblPr>
      <w:tblGrid>
        <w:gridCol w:w="2141"/>
        <w:gridCol w:w="1363"/>
        <w:gridCol w:w="1810"/>
        <w:gridCol w:w="1483"/>
        <w:gridCol w:w="1496"/>
      </w:tblGrid>
      <w:tr w:rsidR="00E42BA2" w:rsidRPr="009218D1" w:rsidTr="00E42BA2">
        <w:trPr>
          <w:trHeight w:val="170"/>
        </w:trPr>
        <w:tc>
          <w:tcPr>
            <w:tcW w:w="2141" w:type="dxa"/>
            <w:vAlign w:val="center"/>
          </w:tcPr>
          <w:p w:rsidR="00E42BA2" w:rsidRPr="009218D1" w:rsidRDefault="00E42BA2" w:rsidP="002A3FD0">
            <w:pPr>
              <w:rPr>
                <w:rFonts w:ascii="Times New Roman" w:hAnsi="Times New Roman" w:cs="Times New Roman"/>
                <w:b/>
                <w:sz w:val="24"/>
                <w:szCs w:val="24"/>
              </w:rPr>
            </w:pPr>
            <w:r w:rsidRPr="009218D1">
              <w:rPr>
                <w:rFonts w:ascii="Times New Roman" w:hAnsi="Times New Roman" w:cs="Times New Roman"/>
                <w:b/>
                <w:sz w:val="24"/>
                <w:szCs w:val="24"/>
              </w:rPr>
              <w:t>Değişken</w:t>
            </w:r>
          </w:p>
        </w:tc>
        <w:tc>
          <w:tcPr>
            <w:tcW w:w="1363" w:type="dxa"/>
            <w:vAlign w:val="center"/>
          </w:tcPr>
          <w:p w:rsidR="00E42BA2" w:rsidRPr="009218D1" w:rsidRDefault="00E42BA2" w:rsidP="002A3FD0">
            <w:pPr>
              <w:rPr>
                <w:rFonts w:ascii="Times New Roman" w:hAnsi="Times New Roman" w:cs="Times New Roman"/>
                <w:b/>
                <w:sz w:val="24"/>
                <w:szCs w:val="24"/>
              </w:rPr>
            </w:pPr>
            <w:r w:rsidRPr="009218D1">
              <w:rPr>
                <w:rFonts w:ascii="Times New Roman" w:hAnsi="Times New Roman" w:cs="Times New Roman"/>
                <w:b/>
                <w:sz w:val="24"/>
                <w:szCs w:val="24"/>
              </w:rPr>
              <w:t>Katsayı</w:t>
            </w:r>
          </w:p>
        </w:tc>
        <w:tc>
          <w:tcPr>
            <w:tcW w:w="1810" w:type="dxa"/>
            <w:vAlign w:val="center"/>
          </w:tcPr>
          <w:p w:rsidR="00E42BA2" w:rsidRPr="009218D1" w:rsidRDefault="00E42BA2" w:rsidP="002A3FD0">
            <w:pPr>
              <w:rPr>
                <w:rFonts w:ascii="Times New Roman" w:hAnsi="Times New Roman" w:cs="Times New Roman"/>
                <w:b/>
                <w:sz w:val="24"/>
                <w:szCs w:val="24"/>
              </w:rPr>
            </w:pPr>
            <w:r w:rsidRPr="009218D1">
              <w:rPr>
                <w:rFonts w:ascii="Times New Roman" w:hAnsi="Times New Roman" w:cs="Times New Roman"/>
                <w:b/>
                <w:sz w:val="24"/>
                <w:szCs w:val="24"/>
              </w:rPr>
              <w:t>Standart Hata</w:t>
            </w:r>
          </w:p>
        </w:tc>
        <w:tc>
          <w:tcPr>
            <w:tcW w:w="1483" w:type="dxa"/>
            <w:vAlign w:val="center"/>
          </w:tcPr>
          <w:p w:rsidR="00E42BA2" w:rsidRPr="009218D1" w:rsidRDefault="00897F9B" w:rsidP="002A3FD0">
            <w:pPr>
              <w:rPr>
                <w:rFonts w:ascii="Times New Roman" w:hAnsi="Times New Roman" w:cs="Times New Roman"/>
                <w:b/>
                <w:sz w:val="24"/>
                <w:szCs w:val="24"/>
              </w:rPr>
            </w:pPr>
            <w:r w:rsidRPr="009218D1">
              <w:rPr>
                <w:rFonts w:ascii="Times New Roman" w:hAnsi="Times New Roman" w:cs="Times New Roman"/>
                <w:b/>
                <w:sz w:val="24"/>
                <w:szCs w:val="24"/>
              </w:rPr>
              <w:t>t-İ</w:t>
            </w:r>
            <w:r w:rsidR="00E42BA2" w:rsidRPr="009218D1">
              <w:rPr>
                <w:rFonts w:ascii="Times New Roman" w:hAnsi="Times New Roman" w:cs="Times New Roman"/>
                <w:b/>
                <w:sz w:val="24"/>
                <w:szCs w:val="24"/>
              </w:rPr>
              <w:t>statistiği</w:t>
            </w:r>
          </w:p>
        </w:tc>
        <w:tc>
          <w:tcPr>
            <w:tcW w:w="1496" w:type="dxa"/>
            <w:vAlign w:val="center"/>
          </w:tcPr>
          <w:p w:rsidR="00E42BA2" w:rsidRPr="009218D1" w:rsidRDefault="00E42BA2" w:rsidP="002A3FD0">
            <w:pPr>
              <w:rPr>
                <w:rFonts w:ascii="Times New Roman" w:hAnsi="Times New Roman" w:cs="Times New Roman"/>
                <w:b/>
                <w:sz w:val="24"/>
                <w:szCs w:val="24"/>
              </w:rPr>
            </w:pPr>
            <w:r w:rsidRPr="009218D1">
              <w:rPr>
                <w:rFonts w:ascii="Times New Roman" w:hAnsi="Times New Roman" w:cs="Times New Roman"/>
                <w:b/>
                <w:sz w:val="24"/>
                <w:szCs w:val="24"/>
              </w:rPr>
              <w:t>P-Değeri</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C</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520936</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018130</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28</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73374</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0000</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PAYOUT</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004614</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038922</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118540</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9057</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GROWTH</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057936</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011554</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5</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014497</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0000</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PROF</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614812</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049310</w:t>
            </w:r>
          </w:p>
        </w:tc>
        <w:tc>
          <w:tcPr>
            <w:tcW w:w="1483" w:type="dxa"/>
            <w:vAlign w:val="bottom"/>
          </w:tcPr>
          <w:p w:rsidR="005317DA" w:rsidRPr="009218D1" w:rsidRDefault="005317DA" w:rsidP="00463C2F">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-12</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46830</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0000</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TANG</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121056</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037602</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-3</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219395</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0013</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RISK</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005065</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001512</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3</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350214</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0008</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PUBLIC DEBT</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119833</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056513</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2</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120466</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0341</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BANK</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006009</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046429</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129413</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8970</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STOCK MARKET</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007192</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033448</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215006</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8298</w:t>
            </w:r>
          </w:p>
        </w:tc>
      </w:tr>
      <w:tr w:rsidR="005317DA" w:rsidRPr="009218D1" w:rsidTr="002A3FD0">
        <w:trPr>
          <w:trHeight w:val="170"/>
        </w:trPr>
        <w:tc>
          <w:tcPr>
            <w:tcW w:w="2141" w:type="dxa"/>
            <w:vAlign w:val="center"/>
          </w:tcPr>
          <w:p w:rsidR="005317DA" w:rsidRPr="009218D1" w:rsidRDefault="005317DA" w:rsidP="002A3FD0">
            <w:pPr>
              <w:rPr>
                <w:rFonts w:ascii="Times New Roman" w:hAnsi="Times New Roman" w:cs="Times New Roman"/>
                <w:sz w:val="24"/>
                <w:szCs w:val="24"/>
              </w:rPr>
            </w:pPr>
            <w:r w:rsidRPr="009218D1">
              <w:rPr>
                <w:rFonts w:ascii="Times New Roman" w:hAnsi="Times New Roman" w:cs="Times New Roman"/>
                <w:sz w:val="24"/>
                <w:szCs w:val="24"/>
              </w:rPr>
              <w:t>TAX</w:t>
            </w:r>
          </w:p>
        </w:tc>
        <w:tc>
          <w:tcPr>
            <w:tcW w:w="136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001068</w:t>
            </w:r>
          </w:p>
        </w:tc>
        <w:tc>
          <w:tcPr>
            <w:tcW w:w="1810"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001090</w:t>
            </w:r>
          </w:p>
        </w:tc>
        <w:tc>
          <w:tcPr>
            <w:tcW w:w="1483"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979961</w:t>
            </w:r>
          </w:p>
        </w:tc>
        <w:tc>
          <w:tcPr>
            <w:tcW w:w="1496" w:type="dxa"/>
            <w:vAlign w:val="bottom"/>
          </w:tcPr>
          <w:p w:rsidR="005317DA" w:rsidRPr="009218D1" w:rsidRDefault="005317DA" w:rsidP="002A3FD0">
            <w:pPr>
              <w:autoSpaceDE w:val="0"/>
              <w:autoSpaceDN w:val="0"/>
              <w:adjustRightInd w:val="0"/>
              <w:ind w:right="10"/>
              <w:jc w:val="right"/>
              <w:rPr>
                <w:rFonts w:ascii="Times New Roman" w:hAnsi="Times New Roman" w:cs="Times New Roman"/>
                <w:color w:val="000000"/>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3273</w:t>
            </w:r>
          </w:p>
        </w:tc>
      </w:tr>
      <w:tr w:rsidR="00E42BA2" w:rsidRPr="009218D1" w:rsidTr="00E42BA2">
        <w:trPr>
          <w:trHeight w:val="170"/>
        </w:trPr>
        <w:tc>
          <w:tcPr>
            <w:tcW w:w="2141" w:type="dxa"/>
            <w:vAlign w:val="center"/>
          </w:tcPr>
          <w:p w:rsidR="00E42BA2" w:rsidRPr="009218D1" w:rsidRDefault="00E42BA2" w:rsidP="002A3FD0">
            <w:pPr>
              <w:rPr>
                <w:rFonts w:ascii="Times New Roman" w:hAnsi="Times New Roman" w:cs="Times New Roman"/>
                <w:sz w:val="24"/>
                <w:szCs w:val="24"/>
                <w:vertAlign w:val="superscript"/>
              </w:rPr>
            </w:pPr>
            <w:r w:rsidRPr="009218D1">
              <w:rPr>
                <w:rFonts w:ascii="Times New Roman" w:hAnsi="Times New Roman" w:cs="Times New Roman"/>
                <w:sz w:val="24"/>
                <w:szCs w:val="24"/>
              </w:rPr>
              <w:t>R</w:t>
            </w:r>
            <w:r w:rsidRPr="009218D1">
              <w:rPr>
                <w:rFonts w:ascii="Times New Roman" w:hAnsi="Times New Roman" w:cs="Times New Roman"/>
                <w:sz w:val="24"/>
                <w:szCs w:val="24"/>
                <w:vertAlign w:val="superscript"/>
              </w:rPr>
              <w:t>2</w:t>
            </w:r>
          </w:p>
        </w:tc>
        <w:tc>
          <w:tcPr>
            <w:tcW w:w="1363"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837101</w:t>
            </w:r>
          </w:p>
        </w:tc>
        <w:tc>
          <w:tcPr>
            <w:tcW w:w="3293" w:type="dxa"/>
            <w:gridSpan w:val="2"/>
            <w:vAlign w:val="center"/>
          </w:tcPr>
          <w:p w:rsidR="00E42BA2" w:rsidRPr="009218D1" w:rsidRDefault="00E42BA2" w:rsidP="002A3FD0">
            <w:pPr>
              <w:autoSpaceDE w:val="0"/>
              <w:autoSpaceDN w:val="0"/>
              <w:adjustRightInd w:val="0"/>
              <w:ind w:right="10"/>
              <w:rPr>
                <w:rFonts w:ascii="Times New Roman" w:hAnsi="Times New Roman" w:cs="Times New Roman"/>
                <w:sz w:val="24"/>
                <w:szCs w:val="24"/>
              </w:rPr>
            </w:pPr>
            <w:r w:rsidRPr="009218D1">
              <w:rPr>
                <w:rFonts w:ascii="Times New Roman" w:hAnsi="Times New Roman" w:cs="Times New Roman"/>
                <w:sz w:val="24"/>
                <w:szCs w:val="24"/>
              </w:rPr>
              <w:t>Mean dependent var</w:t>
            </w:r>
          </w:p>
        </w:tc>
        <w:tc>
          <w:tcPr>
            <w:tcW w:w="1496"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466354</w:t>
            </w:r>
          </w:p>
        </w:tc>
      </w:tr>
      <w:tr w:rsidR="00E42BA2" w:rsidRPr="009218D1" w:rsidTr="00E42BA2">
        <w:trPr>
          <w:trHeight w:val="170"/>
        </w:trPr>
        <w:tc>
          <w:tcPr>
            <w:tcW w:w="2141" w:type="dxa"/>
            <w:vAlign w:val="center"/>
          </w:tcPr>
          <w:p w:rsidR="00E42BA2" w:rsidRPr="009218D1" w:rsidRDefault="00E42BA2" w:rsidP="002A3FD0">
            <w:pPr>
              <w:rPr>
                <w:rFonts w:ascii="Times New Roman" w:hAnsi="Times New Roman" w:cs="Times New Roman"/>
                <w:sz w:val="24"/>
                <w:szCs w:val="24"/>
              </w:rPr>
            </w:pPr>
            <w:r w:rsidRPr="009218D1">
              <w:rPr>
                <w:rFonts w:ascii="Times New Roman" w:hAnsi="Times New Roman" w:cs="Times New Roman"/>
                <w:sz w:val="24"/>
                <w:szCs w:val="24"/>
              </w:rPr>
              <w:t>Adjusted R-squared</w:t>
            </w:r>
          </w:p>
        </w:tc>
        <w:tc>
          <w:tcPr>
            <w:tcW w:w="1363"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815696</w:t>
            </w:r>
          </w:p>
        </w:tc>
        <w:tc>
          <w:tcPr>
            <w:tcW w:w="3293" w:type="dxa"/>
            <w:gridSpan w:val="2"/>
            <w:vAlign w:val="center"/>
          </w:tcPr>
          <w:p w:rsidR="00E42BA2" w:rsidRPr="009218D1" w:rsidRDefault="00E42BA2" w:rsidP="002A3FD0">
            <w:pPr>
              <w:autoSpaceDE w:val="0"/>
              <w:autoSpaceDN w:val="0"/>
              <w:adjustRightInd w:val="0"/>
              <w:ind w:right="10"/>
              <w:rPr>
                <w:rFonts w:ascii="Times New Roman" w:hAnsi="Times New Roman" w:cs="Times New Roman"/>
                <w:sz w:val="24"/>
                <w:szCs w:val="24"/>
              </w:rPr>
            </w:pPr>
            <w:r w:rsidRPr="009218D1">
              <w:rPr>
                <w:rFonts w:ascii="Times New Roman" w:hAnsi="Times New Roman" w:cs="Times New Roman"/>
                <w:sz w:val="24"/>
                <w:szCs w:val="24"/>
              </w:rPr>
              <w:t>S</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D</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dependent var</w:t>
            </w:r>
          </w:p>
        </w:tc>
        <w:tc>
          <w:tcPr>
            <w:tcW w:w="1496"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238544</w:t>
            </w:r>
          </w:p>
        </w:tc>
      </w:tr>
      <w:tr w:rsidR="00E42BA2" w:rsidRPr="009218D1" w:rsidTr="00E42BA2">
        <w:trPr>
          <w:trHeight w:val="170"/>
        </w:trPr>
        <w:tc>
          <w:tcPr>
            <w:tcW w:w="2141" w:type="dxa"/>
            <w:vAlign w:val="center"/>
          </w:tcPr>
          <w:p w:rsidR="00E42BA2" w:rsidRPr="009218D1" w:rsidRDefault="00E42BA2" w:rsidP="002A3FD0">
            <w:pPr>
              <w:rPr>
                <w:rFonts w:ascii="Times New Roman" w:hAnsi="Times New Roman" w:cs="Times New Roman"/>
                <w:sz w:val="24"/>
                <w:szCs w:val="24"/>
              </w:rPr>
            </w:pPr>
            <w:r w:rsidRPr="009218D1">
              <w:rPr>
                <w:rFonts w:ascii="Times New Roman" w:hAnsi="Times New Roman" w:cs="Times New Roman"/>
                <w:sz w:val="24"/>
                <w:szCs w:val="24"/>
              </w:rPr>
              <w:t>F-statistic</w:t>
            </w:r>
          </w:p>
        </w:tc>
        <w:tc>
          <w:tcPr>
            <w:tcW w:w="1363"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39</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10705</w:t>
            </w:r>
          </w:p>
        </w:tc>
        <w:tc>
          <w:tcPr>
            <w:tcW w:w="3293" w:type="dxa"/>
            <w:gridSpan w:val="2"/>
            <w:vAlign w:val="center"/>
          </w:tcPr>
          <w:p w:rsidR="00E42BA2" w:rsidRPr="009218D1" w:rsidRDefault="00E42BA2" w:rsidP="002A3FD0">
            <w:pPr>
              <w:autoSpaceDE w:val="0"/>
              <w:autoSpaceDN w:val="0"/>
              <w:adjustRightInd w:val="0"/>
              <w:ind w:right="10"/>
              <w:rPr>
                <w:rFonts w:ascii="Times New Roman" w:hAnsi="Times New Roman" w:cs="Times New Roman"/>
                <w:sz w:val="24"/>
                <w:szCs w:val="24"/>
              </w:rPr>
            </w:pPr>
            <w:r w:rsidRPr="009218D1">
              <w:rPr>
                <w:rFonts w:ascii="Times New Roman" w:hAnsi="Times New Roman" w:cs="Times New Roman"/>
                <w:sz w:val="24"/>
                <w:szCs w:val="24"/>
              </w:rPr>
              <w:t>Sum squared resid</w:t>
            </w:r>
          </w:p>
        </w:tc>
        <w:tc>
          <w:tcPr>
            <w:tcW w:w="1496"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14</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12660</w:t>
            </w:r>
          </w:p>
        </w:tc>
      </w:tr>
      <w:tr w:rsidR="00E42BA2" w:rsidRPr="009218D1" w:rsidTr="00E42BA2">
        <w:trPr>
          <w:trHeight w:val="170"/>
        </w:trPr>
        <w:tc>
          <w:tcPr>
            <w:tcW w:w="2141" w:type="dxa"/>
            <w:vAlign w:val="center"/>
          </w:tcPr>
          <w:p w:rsidR="00E42BA2" w:rsidRPr="009218D1" w:rsidRDefault="00E42BA2" w:rsidP="002A3FD0">
            <w:pPr>
              <w:rPr>
                <w:rFonts w:ascii="Times New Roman" w:hAnsi="Times New Roman" w:cs="Times New Roman"/>
                <w:sz w:val="24"/>
                <w:szCs w:val="24"/>
              </w:rPr>
            </w:pPr>
            <w:r w:rsidRPr="009218D1">
              <w:rPr>
                <w:rFonts w:ascii="Times New Roman" w:hAnsi="Times New Roman" w:cs="Times New Roman"/>
                <w:sz w:val="24"/>
                <w:szCs w:val="24"/>
              </w:rPr>
              <w:t>Prob(F-statistic)</w:t>
            </w:r>
          </w:p>
        </w:tc>
        <w:tc>
          <w:tcPr>
            <w:tcW w:w="1363" w:type="dxa"/>
            <w:vAlign w:val="center"/>
          </w:tcPr>
          <w:p w:rsidR="00E42BA2" w:rsidRPr="009218D1" w:rsidRDefault="00E42BA2"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0</w:t>
            </w:r>
            <w:r w:rsidR="00463C2F" w:rsidRPr="009218D1">
              <w:rPr>
                <w:rFonts w:ascii="Times New Roman" w:hAnsi="Times New Roman" w:cs="Times New Roman"/>
                <w:sz w:val="24"/>
                <w:szCs w:val="24"/>
              </w:rPr>
              <w:t>,</w:t>
            </w:r>
            <w:r w:rsidRPr="009218D1">
              <w:rPr>
                <w:rFonts w:ascii="Times New Roman" w:hAnsi="Times New Roman" w:cs="Times New Roman"/>
                <w:sz w:val="24"/>
                <w:szCs w:val="24"/>
              </w:rPr>
              <w:t>000000</w:t>
            </w:r>
          </w:p>
        </w:tc>
        <w:tc>
          <w:tcPr>
            <w:tcW w:w="3293" w:type="dxa"/>
            <w:gridSpan w:val="2"/>
            <w:vAlign w:val="center"/>
          </w:tcPr>
          <w:p w:rsidR="00E42BA2" w:rsidRPr="009218D1" w:rsidRDefault="00E42BA2" w:rsidP="002A3FD0">
            <w:pPr>
              <w:autoSpaceDE w:val="0"/>
              <w:autoSpaceDN w:val="0"/>
              <w:adjustRightInd w:val="0"/>
              <w:rPr>
                <w:rFonts w:ascii="Times New Roman" w:hAnsi="Times New Roman" w:cs="Times New Roman"/>
                <w:sz w:val="24"/>
                <w:szCs w:val="24"/>
              </w:rPr>
            </w:pPr>
            <w:r w:rsidRPr="009218D1">
              <w:rPr>
                <w:rFonts w:ascii="Times New Roman" w:hAnsi="Times New Roman" w:cs="Times New Roman"/>
                <w:sz w:val="24"/>
                <w:szCs w:val="24"/>
              </w:rPr>
              <w:t>S</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E</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of regression</w:t>
            </w:r>
          </w:p>
        </w:tc>
        <w:tc>
          <w:tcPr>
            <w:tcW w:w="1496"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0</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102408</w:t>
            </w:r>
          </w:p>
        </w:tc>
      </w:tr>
      <w:tr w:rsidR="00E42BA2" w:rsidRPr="009218D1" w:rsidTr="00E42BA2">
        <w:trPr>
          <w:trHeight w:val="170"/>
        </w:trPr>
        <w:tc>
          <w:tcPr>
            <w:tcW w:w="2141" w:type="dxa"/>
            <w:vAlign w:val="center"/>
          </w:tcPr>
          <w:p w:rsidR="00E42BA2" w:rsidRPr="009218D1" w:rsidRDefault="00E42BA2" w:rsidP="002A3FD0">
            <w:pPr>
              <w:rPr>
                <w:rFonts w:ascii="Times New Roman" w:hAnsi="Times New Roman" w:cs="Times New Roman"/>
                <w:sz w:val="24"/>
                <w:szCs w:val="24"/>
              </w:rPr>
            </w:pPr>
            <w:r w:rsidRPr="009218D1">
              <w:rPr>
                <w:rFonts w:ascii="Times New Roman" w:hAnsi="Times New Roman" w:cs="Times New Roman"/>
                <w:sz w:val="24"/>
                <w:szCs w:val="24"/>
              </w:rPr>
              <w:t>Durbin-Watson stat</w:t>
            </w:r>
          </w:p>
        </w:tc>
        <w:tc>
          <w:tcPr>
            <w:tcW w:w="1363" w:type="dxa"/>
            <w:vAlign w:val="center"/>
          </w:tcPr>
          <w:p w:rsidR="00E42BA2" w:rsidRPr="009218D1" w:rsidRDefault="00E42BA2"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sz w:val="24"/>
                <w:szCs w:val="24"/>
              </w:rPr>
              <w:t>0</w:t>
            </w:r>
            <w:r w:rsidR="00463C2F" w:rsidRPr="009218D1">
              <w:rPr>
                <w:rFonts w:ascii="Times New Roman" w:hAnsi="Times New Roman" w:cs="Times New Roman"/>
                <w:sz w:val="24"/>
                <w:szCs w:val="24"/>
              </w:rPr>
              <w:t>,</w:t>
            </w:r>
            <w:r w:rsidRPr="009218D1">
              <w:rPr>
                <w:rFonts w:ascii="Times New Roman" w:hAnsi="Times New Roman" w:cs="Times New Roman"/>
                <w:sz w:val="24"/>
                <w:szCs w:val="24"/>
              </w:rPr>
              <w:t>871062</w:t>
            </w:r>
          </w:p>
        </w:tc>
        <w:tc>
          <w:tcPr>
            <w:tcW w:w="3293" w:type="dxa"/>
            <w:gridSpan w:val="2"/>
            <w:vAlign w:val="center"/>
          </w:tcPr>
          <w:p w:rsidR="00E42BA2" w:rsidRPr="009218D1" w:rsidRDefault="00E42BA2" w:rsidP="002A3FD0">
            <w:pPr>
              <w:autoSpaceDE w:val="0"/>
              <w:autoSpaceDN w:val="0"/>
              <w:adjustRightInd w:val="0"/>
              <w:rPr>
                <w:rFonts w:ascii="Times New Roman" w:hAnsi="Times New Roman" w:cs="Times New Roman"/>
                <w:sz w:val="24"/>
                <w:szCs w:val="24"/>
              </w:rPr>
            </w:pPr>
            <w:r w:rsidRPr="009218D1">
              <w:rPr>
                <w:rFonts w:ascii="Times New Roman" w:hAnsi="Times New Roman" w:cs="Times New Roman"/>
                <w:sz w:val="24"/>
                <w:szCs w:val="24"/>
              </w:rPr>
              <w:t>Log likelihood</w:t>
            </w:r>
          </w:p>
        </w:tc>
        <w:tc>
          <w:tcPr>
            <w:tcW w:w="1496" w:type="dxa"/>
            <w:vAlign w:val="center"/>
          </w:tcPr>
          <w:p w:rsidR="00E42BA2" w:rsidRPr="009218D1" w:rsidRDefault="005317DA" w:rsidP="002A3FD0">
            <w:pPr>
              <w:autoSpaceDE w:val="0"/>
              <w:autoSpaceDN w:val="0"/>
              <w:adjustRightInd w:val="0"/>
              <w:ind w:right="10"/>
              <w:jc w:val="right"/>
              <w:rPr>
                <w:rFonts w:ascii="Times New Roman" w:hAnsi="Times New Roman" w:cs="Times New Roman"/>
                <w:sz w:val="24"/>
                <w:szCs w:val="24"/>
              </w:rPr>
            </w:pPr>
            <w:r w:rsidRPr="009218D1">
              <w:rPr>
                <w:rFonts w:ascii="Times New Roman" w:hAnsi="Times New Roman" w:cs="Times New Roman"/>
                <w:color w:val="000000"/>
                <w:sz w:val="24"/>
                <w:szCs w:val="24"/>
              </w:rPr>
              <w:t>1405</w:t>
            </w:r>
            <w:r w:rsidR="00463C2F" w:rsidRPr="009218D1">
              <w:rPr>
                <w:rFonts w:ascii="Times New Roman" w:hAnsi="Times New Roman" w:cs="Times New Roman"/>
                <w:color w:val="000000"/>
                <w:sz w:val="24"/>
                <w:szCs w:val="24"/>
              </w:rPr>
              <w:t>,</w:t>
            </w:r>
            <w:r w:rsidRPr="009218D1">
              <w:rPr>
                <w:rFonts w:ascii="Times New Roman" w:hAnsi="Times New Roman" w:cs="Times New Roman"/>
                <w:color w:val="000000"/>
                <w:sz w:val="24"/>
                <w:szCs w:val="24"/>
              </w:rPr>
              <w:t>907</w:t>
            </w:r>
          </w:p>
        </w:tc>
      </w:tr>
    </w:tbl>
    <w:p w:rsidR="00B20FF9" w:rsidRPr="009218D1" w:rsidRDefault="00B20FF9"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Çalışmada kullanılan firmaya özgü değişkenlerin </w:t>
      </w:r>
      <w:r w:rsidR="007D1BA0" w:rsidRPr="009218D1">
        <w:rPr>
          <w:rFonts w:ascii="Times New Roman" w:hAnsi="Times New Roman" w:cs="Times New Roman"/>
          <w:sz w:val="24"/>
          <w:szCs w:val="24"/>
        </w:rPr>
        <w:t>Finansal Hiyerarşi ve</w:t>
      </w:r>
      <w:r w:rsidRPr="009218D1">
        <w:rPr>
          <w:rFonts w:ascii="Times New Roman" w:hAnsi="Times New Roman" w:cs="Times New Roman"/>
          <w:sz w:val="24"/>
          <w:szCs w:val="24"/>
        </w:rPr>
        <w:t xml:space="preserve"> Ödünleşme Teorilerine göre kaldıraç oranına etkileri </w:t>
      </w:r>
      <w:r w:rsidR="00964A5D" w:rsidRPr="009218D1">
        <w:rPr>
          <w:rFonts w:ascii="Times New Roman" w:hAnsi="Times New Roman" w:cs="Times New Roman"/>
          <w:sz w:val="24"/>
          <w:szCs w:val="24"/>
        </w:rPr>
        <w:t>Çizelge</w:t>
      </w:r>
      <w:r w:rsidRPr="009218D1">
        <w:rPr>
          <w:rFonts w:ascii="Times New Roman" w:hAnsi="Times New Roman" w:cs="Times New Roman"/>
          <w:sz w:val="24"/>
          <w:szCs w:val="24"/>
        </w:rPr>
        <w:t xml:space="preserve"> </w:t>
      </w:r>
      <w:r w:rsidR="004B5760" w:rsidRPr="009218D1">
        <w:rPr>
          <w:rFonts w:ascii="Times New Roman" w:hAnsi="Times New Roman" w:cs="Times New Roman"/>
          <w:sz w:val="24"/>
          <w:szCs w:val="24"/>
        </w:rPr>
        <w:t>9</w:t>
      </w:r>
      <w:r w:rsidRPr="009218D1">
        <w:rPr>
          <w:rFonts w:ascii="Times New Roman" w:hAnsi="Times New Roman" w:cs="Times New Roman"/>
          <w:sz w:val="24"/>
          <w:szCs w:val="24"/>
        </w:rPr>
        <w:t>’de verilmiştir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p>
    <w:p w:rsidR="00E42BA2" w:rsidRPr="009218D1" w:rsidRDefault="006A13D8" w:rsidP="006A13D8">
      <w:pPr>
        <w:spacing w:before="120" w:after="120" w:line="240" w:lineRule="auto"/>
        <w:jc w:val="center"/>
        <w:rPr>
          <w:rFonts w:ascii="Times New Roman" w:hAnsi="Times New Roman" w:cs="Times New Roman"/>
          <w:b/>
          <w:sz w:val="24"/>
          <w:szCs w:val="24"/>
        </w:rPr>
      </w:pPr>
      <w:r w:rsidRPr="009218D1">
        <w:rPr>
          <w:rFonts w:ascii="Times New Roman" w:hAnsi="Times New Roman" w:cs="Times New Roman"/>
          <w:b/>
          <w:sz w:val="24"/>
          <w:szCs w:val="24"/>
        </w:rPr>
        <w:t>Çizelge</w:t>
      </w:r>
      <w:r w:rsidR="00FE5611" w:rsidRPr="009218D1">
        <w:rPr>
          <w:rFonts w:ascii="Times New Roman" w:hAnsi="Times New Roman" w:cs="Times New Roman"/>
          <w:b/>
          <w:sz w:val="24"/>
          <w:szCs w:val="24"/>
        </w:rPr>
        <w:t xml:space="preserve"> </w:t>
      </w:r>
      <w:r w:rsidR="004B5760" w:rsidRPr="009218D1">
        <w:rPr>
          <w:rFonts w:ascii="Times New Roman" w:hAnsi="Times New Roman" w:cs="Times New Roman"/>
          <w:b/>
          <w:sz w:val="24"/>
          <w:szCs w:val="24"/>
        </w:rPr>
        <w:t>9</w:t>
      </w:r>
      <w:r w:rsidR="00BE3467" w:rsidRPr="009218D1">
        <w:rPr>
          <w:rFonts w:ascii="Times New Roman" w:hAnsi="Times New Roman" w:cs="Times New Roman"/>
          <w:b/>
          <w:sz w:val="24"/>
          <w:szCs w:val="24"/>
        </w:rPr>
        <w:t>.</w:t>
      </w:r>
      <w:r w:rsidR="00FE5611" w:rsidRPr="009218D1">
        <w:rPr>
          <w:rFonts w:ascii="Times New Roman" w:hAnsi="Times New Roman" w:cs="Times New Roman"/>
          <w:b/>
          <w:sz w:val="24"/>
          <w:szCs w:val="24"/>
        </w:rPr>
        <w:t xml:space="preserve"> Değişkenlerin Teorilere Göre Kaldıraç Oranına Etkileri</w:t>
      </w:r>
    </w:p>
    <w:tbl>
      <w:tblPr>
        <w:tblStyle w:val="TabloKlavuzu"/>
        <w:tblW w:w="0" w:type="auto"/>
        <w:tblInd w:w="718" w:type="dxa"/>
        <w:tblLook w:val="04A0" w:firstRow="1" w:lastRow="0" w:firstColumn="1" w:lastColumn="0" w:noHBand="0" w:noVBand="1"/>
      </w:tblPr>
      <w:tblGrid>
        <w:gridCol w:w="2552"/>
        <w:gridCol w:w="2693"/>
        <w:gridCol w:w="2410"/>
      </w:tblGrid>
      <w:tr w:rsidR="005E5DB3" w:rsidRPr="009218D1" w:rsidTr="006A13D8">
        <w:trPr>
          <w:trHeight w:val="497"/>
        </w:trPr>
        <w:tc>
          <w:tcPr>
            <w:tcW w:w="2552" w:type="dxa"/>
          </w:tcPr>
          <w:p w:rsidR="005E5DB3" w:rsidRPr="009218D1" w:rsidRDefault="005E5DB3" w:rsidP="005E5DB3">
            <w:pPr>
              <w:spacing w:before="120" w:after="120"/>
              <w:jc w:val="center"/>
              <w:rPr>
                <w:rFonts w:ascii="Times New Roman" w:hAnsi="Times New Roman" w:cs="Times New Roman"/>
                <w:b/>
                <w:sz w:val="24"/>
                <w:szCs w:val="24"/>
              </w:rPr>
            </w:pPr>
          </w:p>
        </w:tc>
        <w:tc>
          <w:tcPr>
            <w:tcW w:w="5103" w:type="dxa"/>
            <w:gridSpan w:val="2"/>
          </w:tcPr>
          <w:p w:rsidR="005E5DB3" w:rsidRPr="009218D1" w:rsidRDefault="005E5DB3" w:rsidP="005E5DB3">
            <w:pPr>
              <w:spacing w:before="120" w:after="120"/>
              <w:jc w:val="center"/>
              <w:rPr>
                <w:rFonts w:ascii="Times New Roman" w:hAnsi="Times New Roman" w:cs="Times New Roman"/>
                <w:b/>
                <w:sz w:val="24"/>
                <w:szCs w:val="24"/>
              </w:rPr>
            </w:pPr>
            <w:r w:rsidRPr="009218D1">
              <w:rPr>
                <w:rFonts w:ascii="Times New Roman" w:hAnsi="Times New Roman" w:cs="Times New Roman"/>
                <w:b/>
                <w:sz w:val="24"/>
                <w:szCs w:val="24"/>
              </w:rPr>
              <w:t>Teorilere Göre Kaldıraç Oranına Etkisinin Yönü</w:t>
            </w:r>
          </w:p>
        </w:tc>
      </w:tr>
      <w:tr w:rsidR="00021FFD" w:rsidRPr="009218D1" w:rsidTr="006A13D8">
        <w:trPr>
          <w:trHeight w:val="13"/>
        </w:trPr>
        <w:tc>
          <w:tcPr>
            <w:tcW w:w="2552" w:type="dxa"/>
          </w:tcPr>
          <w:p w:rsidR="00021FFD" w:rsidRPr="009218D1" w:rsidRDefault="00021FFD" w:rsidP="004F556E">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Değişken</w:t>
            </w:r>
          </w:p>
        </w:tc>
        <w:tc>
          <w:tcPr>
            <w:tcW w:w="2693" w:type="dxa"/>
          </w:tcPr>
          <w:p w:rsidR="00021FFD" w:rsidRPr="009218D1" w:rsidRDefault="007D1BA0" w:rsidP="004F556E">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Finansal Hiyerarşi</w:t>
            </w:r>
          </w:p>
        </w:tc>
        <w:tc>
          <w:tcPr>
            <w:tcW w:w="2410" w:type="dxa"/>
          </w:tcPr>
          <w:p w:rsidR="00021FFD" w:rsidRPr="009218D1" w:rsidRDefault="00021FFD" w:rsidP="004F556E">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Ödünleşme</w:t>
            </w:r>
          </w:p>
        </w:tc>
      </w:tr>
      <w:tr w:rsidR="00021FFD" w:rsidRPr="009218D1" w:rsidTr="006A13D8">
        <w:trPr>
          <w:trHeight w:val="13"/>
        </w:trPr>
        <w:tc>
          <w:tcPr>
            <w:tcW w:w="2552" w:type="dxa"/>
          </w:tcPr>
          <w:p w:rsidR="00021FFD" w:rsidRPr="009218D1" w:rsidRDefault="00021FFD" w:rsidP="008D79B4">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Kârlılık</w:t>
            </w:r>
          </w:p>
        </w:tc>
        <w:tc>
          <w:tcPr>
            <w:tcW w:w="2693"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c>
          <w:tcPr>
            <w:tcW w:w="2410"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r>
      <w:tr w:rsidR="00021FFD" w:rsidRPr="009218D1" w:rsidTr="006A13D8">
        <w:trPr>
          <w:trHeight w:val="13"/>
        </w:trPr>
        <w:tc>
          <w:tcPr>
            <w:tcW w:w="2552" w:type="dxa"/>
          </w:tcPr>
          <w:p w:rsidR="00021FFD" w:rsidRPr="009218D1" w:rsidRDefault="00021FFD" w:rsidP="008D79B4">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Varlık yapısı</w:t>
            </w:r>
          </w:p>
        </w:tc>
        <w:tc>
          <w:tcPr>
            <w:tcW w:w="2693"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c>
          <w:tcPr>
            <w:tcW w:w="2410"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r>
      <w:tr w:rsidR="00021FFD" w:rsidRPr="009218D1" w:rsidTr="006A13D8">
        <w:trPr>
          <w:trHeight w:val="13"/>
        </w:trPr>
        <w:tc>
          <w:tcPr>
            <w:tcW w:w="2552" w:type="dxa"/>
          </w:tcPr>
          <w:p w:rsidR="00021FFD" w:rsidRPr="009218D1" w:rsidRDefault="00021FFD" w:rsidP="008D79B4">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Büyüme Fırsatları</w:t>
            </w:r>
          </w:p>
        </w:tc>
        <w:tc>
          <w:tcPr>
            <w:tcW w:w="2693"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c>
          <w:tcPr>
            <w:tcW w:w="2410"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r>
      <w:tr w:rsidR="00021FFD" w:rsidRPr="009218D1" w:rsidTr="006A13D8">
        <w:trPr>
          <w:trHeight w:val="13"/>
        </w:trPr>
        <w:tc>
          <w:tcPr>
            <w:tcW w:w="2552" w:type="dxa"/>
          </w:tcPr>
          <w:p w:rsidR="00021FFD" w:rsidRPr="009218D1" w:rsidRDefault="00021FFD" w:rsidP="008D79B4">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lastRenderedPageBreak/>
              <w:t>İşletme Riski</w:t>
            </w:r>
          </w:p>
        </w:tc>
        <w:tc>
          <w:tcPr>
            <w:tcW w:w="2693"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c>
          <w:tcPr>
            <w:tcW w:w="2410"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r>
      <w:tr w:rsidR="00021FFD" w:rsidRPr="009218D1" w:rsidTr="006A13D8">
        <w:trPr>
          <w:trHeight w:val="13"/>
        </w:trPr>
        <w:tc>
          <w:tcPr>
            <w:tcW w:w="2552" w:type="dxa"/>
          </w:tcPr>
          <w:p w:rsidR="00021FFD" w:rsidRPr="009218D1" w:rsidRDefault="00021FFD" w:rsidP="008D79B4">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Vergi Düzeyi</w:t>
            </w:r>
          </w:p>
        </w:tc>
        <w:tc>
          <w:tcPr>
            <w:tcW w:w="2693" w:type="dxa"/>
          </w:tcPr>
          <w:p w:rsidR="00021FFD" w:rsidRPr="009218D1" w:rsidRDefault="00021FFD" w:rsidP="008D79B4">
            <w:pPr>
              <w:pStyle w:val="ListeParagraf"/>
              <w:ind w:left="0"/>
              <w:jc w:val="center"/>
              <w:rPr>
                <w:rFonts w:ascii="Times New Roman" w:hAnsi="Times New Roman" w:cs="Times New Roman"/>
                <w:sz w:val="24"/>
                <w:szCs w:val="24"/>
              </w:rPr>
            </w:pPr>
          </w:p>
        </w:tc>
        <w:tc>
          <w:tcPr>
            <w:tcW w:w="2410"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r>
      <w:tr w:rsidR="00021FFD" w:rsidRPr="009218D1" w:rsidTr="006A13D8">
        <w:trPr>
          <w:trHeight w:val="13"/>
        </w:trPr>
        <w:tc>
          <w:tcPr>
            <w:tcW w:w="2552" w:type="dxa"/>
          </w:tcPr>
          <w:p w:rsidR="00021FFD" w:rsidRPr="009218D1" w:rsidRDefault="00021FFD" w:rsidP="008D79B4">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Dağıtılan Temettüler</w:t>
            </w:r>
          </w:p>
        </w:tc>
        <w:tc>
          <w:tcPr>
            <w:tcW w:w="2693"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c>
          <w:tcPr>
            <w:tcW w:w="2410" w:type="dxa"/>
          </w:tcPr>
          <w:p w:rsidR="00021FFD" w:rsidRPr="009218D1" w:rsidRDefault="00021FFD" w:rsidP="008D79B4">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w:t>
            </w:r>
          </w:p>
        </w:tc>
      </w:tr>
    </w:tbl>
    <w:p w:rsidR="006B41FA" w:rsidRPr="009218D1" w:rsidRDefault="00615A11"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Modelin sonuçlarına göre; anlamlı olan değişkenler sırasıyla kârlılık</w:t>
      </w:r>
      <w:r w:rsidR="00722376" w:rsidRPr="009218D1">
        <w:rPr>
          <w:rFonts w:ascii="Times New Roman" w:hAnsi="Times New Roman" w:cs="Times New Roman"/>
          <w:sz w:val="24"/>
          <w:szCs w:val="24"/>
        </w:rPr>
        <w:t>,</w:t>
      </w:r>
      <w:r w:rsidRPr="009218D1">
        <w:rPr>
          <w:rFonts w:ascii="Times New Roman" w:hAnsi="Times New Roman" w:cs="Times New Roman"/>
          <w:sz w:val="24"/>
          <w:szCs w:val="24"/>
        </w:rPr>
        <w:t xml:space="preserve"> varlık yapısı</w:t>
      </w:r>
      <w:r w:rsidR="00722376" w:rsidRPr="009218D1">
        <w:rPr>
          <w:rFonts w:ascii="Times New Roman" w:hAnsi="Times New Roman" w:cs="Times New Roman"/>
          <w:sz w:val="24"/>
          <w:szCs w:val="24"/>
        </w:rPr>
        <w:t>,</w:t>
      </w:r>
      <w:r w:rsidRPr="009218D1">
        <w:rPr>
          <w:rFonts w:ascii="Times New Roman" w:hAnsi="Times New Roman" w:cs="Times New Roman"/>
          <w:sz w:val="24"/>
          <w:szCs w:val="24"/>
        </w:rPr>
        <w:t xml:space="preserve"> büyüme fırsatları</w:t>
      </w:r>
      <w:r w:rsidR="00722376" w:rsidRPr="009218D1">
        <w:rPr>
          <w:rFonts w:ascii="Times New Roman" w:hAnsi="Times New Roman" w:cs="Times New Roman"/>
          <w:sz w:val="24"/>
          <w:szCs w:val="24"/>
        </w:rPr>
        <w:t>,</w:t>
      </w:r>
      <w:r w:rsidRPr="009218D1">
        <w:rPr>
          <w:rFonts w:ascii="Times New Roman" w:hAnsi="Times New Roman" w:cs="Times New Roman"/>
          <w:sz w:val="24"/>
          <w:szCs w:val="24"/>
        </w:rPr>
        <w:t xml:space="preserve"> kamu iç borç stoku ve işletme riskidir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EA3786" w:rsidRPr="009218D1">
        <w:rPr>
          <w:rFonts w:ascii="Times New Roman" w:hAnsi="Times New Roman" w:cs="Times New Roman"/>
          <w:sz w:val="24"/>
          <w:szCs w:val="24"/>
        </w:rPr>
        <w:t>İstatistiksel olarak anlamlı bulunmayan değişkenler ise sırasıyla borsanın gelişmişlik düzeyi</w:t>
      </w:r>
      <w:r w:rsidR="00722376" w:rsidRPr="009218D1">
        <w:rPr>
          <w:rFonts w:ascii="Times New Roman" w:hAnsi="Times New Roman" w:cs="Times New Roman"/>
          <w:sz w:val="24"/>
          <w:szCs w:val="24"/>
        </w:rPr>
        <w:t>,</w:t>
      </w:r>
      <w:r w:rsidR="00EA3786" w:rsidRPr="009218D1">
        <w:rPr>
          <w:rFonts w:ascii="Times New Roman" w:hAnsi="Times New Roman" w:cs="Times New Roman"/>
          <w:sz w:val="24"/>
          <w:szCs w:val="24"/>
        </w:rPr>
        <w:t xml:space="preserve"> bankacılık sektörünün gelişmişli</w:t>
      </w:r>
      <w:r w:rsidR="00C34B31" w:rsidRPr="009218D1">
        <w:rPr>
          <w:rFonts w:ascii="Times New Roman" w:hAnsi="Times New Roman" w:cs="Times New Roman"/>
          <w:sz w:val="24"/>
          <w:szCs w:val="24"/>
        </w:rPr>
        <w:t>k düzeyi</w:t>
      </w:r>
      <w:r w:rsidR="00722376" w:rsidRPr="009218D1">
        <w:rPr>
          <w:rFonts w:ascii="Times New Roman" w:hAnsi="Times New Roman" w:cs="Times New Roman"/>
          <w:sz w:val="24"/>
          <w:szCs w:val="24"/>
        </w:rPr>
        <w:t>,</w:t>
      </w:r>
      <w:r w:rsidR="00C34B31" w:rsidRPr="009218D1">
        <w:rPr>
          <w:rFonts w:ascii="Times New Roman" w:hAnsi="Times New Roman" w:cs="Times New Roman"/>
          <w:sz w:val="24"/>
          <w:szCs w:val="24"/>
        </w:rPr>
        <w:t xml:space="preserve"> dağıtılan temettüler ve </w:t>
      </w:r>
      <w:r w:rsidR="00EA3786" w:rsidRPr="009218D1">
        <w:rPr>
          <w:rFonts w:ascii="Times New Roman" w:hAnsi="Times New Roman" w:cs="Times New Roman"/>
          <w:sz w:val="24"/>
          <w:szCs w:val="24"/>
        </w:rPr>
        <w:t>vergi düzeyi</w:t>
      </w:r>
      <w:r w:rsidR="00C34B31" w:rsidRPr="009218D1">
        <w:rPr>
          <w:rFonts w:ascii="Times New Roman" w:hAnsi="Times New Roman" w:cs="Times New Roman"/>
          <w:sz w:val="24"/>
          <w:szCs w:val="24"/>
        </w:rPr>
        <w:t>dir</w:t>
      </w:r>
      <w:r w:rsidR="00BE3467" w:rsidRPr="009218D1">
        <w:rPr>
          <w:rFonts w:ascii="Times New Roman" w:hAnsi="Times New Roman" w:cs="Times New Roman"/>
          <w:sz w:val="24"/>
          <w:szCs w:val="24"/>
        </w:rPr>
        <w:t>.</w:t>
      </w:r>
      <w:r w:rsidR="00EA3786" w:rsidRPr="009218D1">
        <w:rPr>
          <w:rFonts w:ascii="Times New Roman" w:hAnsi="Times New Roman" w:cs="Times New Roman"/>
          <w:sz w:val="24"/>
          <w:szCs w:val="24"/>
        </w:rPr>
        <w:t xml:space="preserve"> </w:t>
      </w:r>
      <w:r w:rsidRPr="009218D1">
        <w:rPr>
          <w:rFonts w:ascii="Times New Roman" w:hAnsi="Times New Roman" w:cs="Times New Roman"/>
          <w:sz w:val="24"/>
          <w:szCs w:val="24"/>
        </w:rPr>
        <w:t xml:space="preserve">Kaldıraç oranı ile arasında istatistiksel olarak anlamlı bir ilişki olduğu tespit edilen açıklayıcı değişkenlerin etkileri ve uygun bulunan sermaye yapısı teorileri </w:t>
      </w:r>
      <w:r w:rsidR="006A13D8" w:rsidRPr="009218D1">
        <w:rPr>
          <w:rFonts w:ascii="Times New Roman" w:hAnsi="Times New Roman" w:cs="Times New Roman"/>
          <w:sz w:val="24"/>
          <w:szCs w:val="24"/>
        </w:rPr>
        <w:t>Çizelge</w:t>
      </w:r>
      <w:r w:rsidRPr="009218D1">
        <w:rPr>
          <w:rFonts w:ascii="Times New Roman" w:hAnsi="Times New Roman" w:cs="Times New Roman"/>
          <w:sz w:val="24"/>
          <w:szCs w:val="24"/>
        </w:rPr>
        <w:t xml:space="preserve"> </w:t>
      </w:r>
      <w:r w:rsidR="004B5760" w:rsidRPr="009218D1">
        <w:rPr>
          <w:rFonts w:ascii="Times New Roman" w:hAnsi="Times New Roman" w:cs="Times New Roman"/>
          <w:sz w:val="24"/>
          <w:szCs w:val="24"/>
        </w:rPr>
        <w:t>10</w:t>
      </w:r>
      <w:r w:rsidRPr="009218D1">
        <w:rPr>
          <w:rFonts w:ascii="Times New Roman" w:hAnsi="Times New Roman" w:cs="Times New Roman"/>
          <w:sz w:val="24"/>
          <w:szCs w:val="24"/>
        </w:rPr>
        <w:t>’d</w:t>
      </w:r>
      <w:r w:rsidR="00FE5611" w:rsidRPr="009218D1">
        <w:rPr>
          <w:rFonts w:ascii="Times New Roman" w:hAnsi="Times New Roman" w:cs="Times New Roman"/>
          <w:sz w:val="24"/>
          <w:szCs w:val="24"/>
        </w:rPr>
        <w:t>a</w:t>
      </w:r>
      <w:r w:rsidRPr="009218D1">
        <w:rPr>
          <w:rFonts w:ascii="Times New Roman" w:hAnsi="Times New Roman" w:cs="Times New Roman"/>
          <w:sz w:val="24"/>
          <w:szCs w:val="24"/>
        </w:rPr>
        <w:t xml:space="preserve"> verilmiştir</w:t>
      </w:r>
      <w:r w:rsidR="00BE3467" w:rsidRPr="009218D1">
        <w:rPr>
          <w:rFonts w:ascii="Times New Roman" w:hAnsi="Times New Roman" w:cs="Times New Roman"/>
          <w:sz w:val="24"/>
          <w:szCs w:val="24"/>
        </w:rPr>
        <w:t>.</w:t>
      </w:r>
    </w:p>
    <w:p w:rsidR="00FE5611" w:rsidRPr="009218D1" w:rsidRDefault="006A13D8" w:rsidP="006A13D8">
      <w:pPr>
        <w:spacing w:before="120" w:after="120" w:line="240" w:lineRule="auto"/>
        <w:jc w:val="center"/>
        <w:rPr>
          <w:rFonts w:ascii="Times New Roman" w:hAnsi="Times New Roman" w:cs="Times New Roman"/>
          <w:b/>
          <w:sz w:val="24"/>
          <w:szCs w:val="24"/>
        </w:rPr>
      </w:pPr>
      <w:r w:rsidRPr="009218D1">
        <w:rPr>
          <w:rFonts w:ascii="Times New Roman" w:hAnsi="Times New Roman" w:cs="Times New Roman"/>
          <w:b/>
          <w:sz w:val="24"/>
          <w:szCs w:val="24"/>
        </w:rPr>
        <w:t>Çizelge</w:t>
      </w:r>
      <w:r w:rsidR="00FE5611" w:rsidRPr="009218D1">
        <w:rPr>
          <w:rFonts w:ascii="Times New Roman" w:hAnsi="Times New Roman" w:cs="Times New Roman"/>
          <w:b/>
          <w:sz w:val="24"/>
          <w:szCs w:val="24"/>
        </w:rPr>
        <w:t xml:space="preserve"> </w:t>
      </w:r>
      <w:r w:rsidR="004B5760" w:rsidRPr="009218D1">
        <w:rPr>
          <w:rFonts w:ascii="Times New Roman" w:hAnsi="Times New Roman" w:cs="Times New Roman"/>
          <w:b/>
          <w:sz w:val="24"/>
          <w:szCs w:val="24"/>
        </w:rPr>
        <w:t>10</w:t>
      </w:r>
      <w:r w:rsidR="00BE3467" w:rsidRPr="009218D1">
        <w:rPr>
          <w:rFonts w:ascii="Times New Roman" w:hAnsi="Times New Roman" w:cs="Times New Roman"/>
          <w:b/>
          <w:sz w:val="24"/>
          <w:szCs w:val="24"/>
        </w:rPr>
        <w:t>.</w:t>
      </w:r>
      <w:r w:rsidR="00FE5611" w:rsidRPr="009218D1">
        <w:rPr>
          <w:rFonts w:ascii="Times New Roman" w:hAnsi="Times New Roman" w:cs="Times New Roman"/>
          <w:b/>
          <w:sz w:val="24"/>
          <w:szCs w:val="24"/>
        </w:rPr>
        <w:t xml:space="preserve"> Değişkenlerin Kaldıraç Oranına Etkisi ve Elde Edilen Sonuçların Teorilere Uyumu</w:t>
      </w:r>
    </w:p>
    <w:tbl>
      <w:tblPr>
        <w:tblStyle w:val="TabloKlavuzu"/>
        <w:tblW w:w="0" w:type="auto"/>
        <w:tblInd w:w="328" w:type="dxa"/>
        <w:tblLook w:val="04A0" w:firstRow="1" w:lastRow="0" w:firstColumn="1" w:lastColumn="0" w:noHBand="0" w:noVBand="1"/>
      </w:tblPr>
      <w:tblGrid>
        <w:gridCol w:w="1843"/>
        <w:gridCol w:w="1843"/>
        <w:gridCol w:w="1559"/>
        <w:gridCol w:w="1377"/>
        <w:gridCol w:w="1807"/>
      </w:tblGrid>
      <w:tr w:rsidR="00FE5611" w:rsidRPr="009218D1" w:rsidTr="006A13D8">
        <w:trPr>
          <w:trHeight w:val="170"/>
        </w:trPr>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rPr>
                <w:rFonts w:ascii="Times New Roman" w:hAnsi="Times New Roman" w:cs="Times New Roman"/>
                <w:b/>
                <w:sz w:val="24"/>
                <w:szCs w:val="24"/>
              </w:rPr>
            </w:pPr>
            <w:r w:rsidRPr="009218D1">
              <w:rPr>
                <w:rFonts w:ascii="Times New Roman" w:hAnsi="Times New Roman" w:cs="Times New Roman"/>
                <w:b/>
                <w:sz w:val="24"/>
                <w:szCs w:val="24"/>
              </w:rPr>
              <w:t>Anlamlı Açıklayıcı Değişken</w:t>
            </w:r>
          </w:p>
        </w:tc>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Sembol</w:t>
            </w:r>
          </w:p>
        </w:tc>
        <w:tc>
          <w:tcPr>
            <w:tcW w:w="1559"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Kaldıraç Oranına Etkisi</w:t>
            </w:r>
          </w:p>
        </w:tc>
        <w:tc>
          <w:tcPr>
            <w:tcW w:w="137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rsidP="00B82E4B">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Ödünleşme Teorisi</w:t>
            </w:r>
          </w:p>
        </w:tc>
        <w:tc>
          <w:tcPr>
            <w:tcW w:w="180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1B3AA5">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Finansal Hiyerarşi</w:t>
            </w:r>
            <w:r w:rsidR="00FE5611" w:rsidRPr="009218D1">
              <w:rPr>
                <w:rFonts w:ascii="Times New Roman" w:hAnsi="Times New Roman" w:cs="Times New Roman"/>
                <w:b/>
                <w:sz w:val="24"/>
                <w:szCs w:val="24"/>
              </w:rPr>
              <w:t xml:space="preserve"> Teorisi</w:t>
            </w:r>
          </w:p>
        </w:tc>
      </w:tr>
      <w:tr w:rsidR="00FE5611" w:rsidRPr="009218D1" w:rsidTr="006A13D8">
        <w:trPr>
          <w:trHeight w:val="170"/>
        </w:trPr>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both"/>
              <w:rPr>
                <w:rFonts w:ascii="Times New Roman" w:hAnsi="Times New Roman" w:cs="Times New Roman"/>
                <w:sz w:val="24"/>
                <w:szCs w:val="24"/>
              </w:rPr>
            </w:pPr>
            <w:r w:rsidRPr="009218D1">
              <w:rPr>
                <w:rFonts w:ascii="Times New Roman" w:hAnsi="Times New Roman" w:cs="Times New Roman"/>
                <w:sz w:val="24"/>
                <w:szCs w:val="24"/>
              </w:rPr>
              <w:t>Kârlılık</w:t>
            </w:r>
          </w:p>
        </w:tc>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PROF</w:t>
            </w:r>
          </w:p>
        </w:tc>
        <w:tc>
          <w:tcPr>
            <w:tcW w:w="1559"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80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r>
      <w:tr w:rsidR="00FE5611" w:rsidRPr="009218D1" w:rsidTr="006A13D8">
        <w:trPr>
          <w:trHeight w:val="170"/>
        </w:trPr>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both"/>
              <w:rPr>
                <w:rFonts w:ascii="Times New Roman" w:hAnsi="Times New Roman" w:cs="Times New Roman"/>
                <w:sz w:val="24"/>
                <w:szCs w:val="24"/>
              </w:rPr>
            </w:pPr>
            <w:r w:rsidRPr="009218D1">
              <w:rPr>
                <w:rFonts w:ascii="Times New Roman" w:hAnsi="Times New Roman" w:cs="Times New Roman"/>
                <w:sz w:val="24"/>
                <w:szCs w:val="24"/>
              </w:rPr>
              <w:t>Varlık Yapısı</w:t>
            </w:r>
          </w:p>
        </w:tc>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TANG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80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r>
      <w:tr w:rsidR="00FE5611" w:rsidRPr="009218D1" w:rsidTr="006A13D8">
        <w:trPr>
          <w:trHeight w:val="170"/>
        </w:trPr>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both"/>
              <w:rPr>
                <w:rFonts w:ascii="Times New Roman" w:hAnsi="Times New Roman" w:cs="Times New Roman"/>
                <w:sz w:val="24"/>
                <w:szCs w:val="24"/>
              </w:rPr>
            </w:pPr>
            <w:r w:rsidRPr="009218D1">
              <w:rPr>
                <w:rFonts w:ascii="Times New Roman" w:hAnsi="Times New Roman" w:cs="Times New Roman"/>
                <w:sz w:val="24"/>
                <w:szCs w:val="24"/>
              </w:rPr>
              <w:t>Büyüme Fırsatları</w:t>
            </w:r>
          </w:p>
        </w:tc>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GROWTH</w:t>
            </w:r>
          </w:p>
        </w:tc>
        <w:tc>
          <w:tcPr>
            <w:tcW w:w="1559"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80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r>
      <w:tr w:rsidR="00FE5611" w:rsidRPr="009218D1" w:rsidTr="006A13D8">
        <w:trPr>
          <w:trHeight w:val="170"/>
        </w:trPr>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both"/>
              <w:rPr>
                <w:rFonts w:ascii="Times New Roman" w:hAnsi="Times New Roman" w:cs="Times New Roman"/>
                <w:sz w:val="24"/>
                <w:szCs w:val="24"/>
              </w:rPr>
            </w:pPr>
            <w:r w:rsidRPr="009218D1">
              <w:rPr>
                <w:rFonts w:ascii="Times New Roman" w:hAnsi="Times New Roman" w:cs="Times New Roman"/>
                <w:sz w:val="24"/>
                <w:szCs w:val="24"/>
              </w:rPr>
              <w:t>İşletme Riski</w:t>
            </w:r>
          </w:p>
        </w:tc>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RISK</w:t>
            </w:r>
          </w:p>
        </w:tc>
        <w:tc>
          <w:tcPr>
            <w:tcW w:w="1559"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807"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r>
      <w:tr w:rsidR="00FE5611" w:rsidRPr="009218D1" w:rsidTr="006A13D8">
        <w:trPr>
          <w:trHeight w:val="170"/>
        </w:trPr>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rPr>
                <w:rFonts w:ascii="Times New Roman" w:hAnsi="Times New Roman" w:cs="Times New Roman"/>
                <w:sz w:val="24"/>
                <w:szCs w:val="24"/>
              </w:rPr>
            </w:pPr>
            <w:r w:rsidRPr="009218D1">
              <w:rPr>
                <w:rFonts w:ascii="Times New Roman" w:hAnsi="Times New Roman" w:cs="Times New Roman"/>
                <w:sz w:val="24"/>
                <w:szCs w:val="24"/>
              </w:rPr>
              <w:t>Kamu İç Borç Stoku</w:t>
            </w:r>
          </w:p>
        </w:tc>
        <w:tc>
          <w:tcPr>
            <w:tcW w:w="1843"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sz w:val="24"/>
                <w:szCs w:val="24"/>
              </w:rPr>
            </w:pPr>
            <w:r w:rsidRPr="009218D1">
              <w:rPr>
                <w:rFonts w:ascii="Times New Roman" w:hAnsi="Times New Roman" w:cs="Times New Roman"/>
                <w:sz w:val="24"/>
                <w:szCs w:val="24"/>
              </w:rPr>
              <w:t>PUBLIC DEBT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E5611" w:rsidRPr="009218D1" w:rsidRDefault="00FE5611">
            <w:pPr>
              <w:pStyle w:val="ListeParagraf"/>
              <w:ind w:left="0"/>
              <w:jc w:val="center"/>
              <w:rPr>
                <w:rFonts w:ascii="Times New Roman" w:hAnsi="Times New Roman" w:cs="Times New Roman"/>
                <w:b/>
                <w:sz w:val="24"/>
                <w:szCs w:val="24"/>
              </w:rPr>
            </w:pPr>
            <w:r w:rsidRPr="009218D1">
              <w:rPr>
                <w:rFonts w:ascii="Times New Roman" w:hAnsi="Times New Roman" w:cs="Times New Roman"/>
                <w:b/>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tcPr>
          <w:p w:rsidR="00FE5611" w:rsidRPr="009218D1" w:rsidRDefault="00FE5611">
            <w:pPr>
              <w:pStyle w:val="ListeParagraf"/>
              <w:ind w:left="0"/>
              <w:jc w:val="center"/>
              <w:rPr>
                <w:rFonts w:ascii="Times New Roman" w:hAnsi="Times New Roman" w:cs="Times New Roman"/>
                <w:b/>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FE5611" w:rsidRPr="009218D1" w:rsidRDefault="00FE5611">
            <w:pPr>
              <w:pStyle w:val="ListeParagraf"/>
              <w:ind w:left="0"/>
              <w:jc w:val="center"/>
              <w:rPr>
                <w:rFonts w:ascii="Times New Roman" w:hAnsi="Times New Roman" w:cs="Times New Roman"/>
                <w:b/>
                <w:sz w:val="24"/>
                <w:szCs w:val="24"/>
              </w:rPr>
            </w:pPr>
          </w:p>
        </w:tc>
      </w:tr>
    </w:tbl>
    <w:p w:rsidR="00FE5611" w:rsidRPr="009218D1" w:rsidRDefault="00D2197B"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Çizelge</w:t>
      </w:r>
      <w:r w:rsidR="00722376" w:rsidRPr="009218D1">
        <w:rPr>
          <w:rFonts w:ascii="Times New Roman" w:hAnsi="Times New Roman" w:cs="Times New Roman"/>
          <w:sz w:val="24"/>
          <w:szCs w:val="24"/>
        </w:rPr>
        <w:t xml:space="preserve"> 10’da görüldüğü gibi elde edilen sonuçlar firm</w:t>
      </w:r>
      <w:r w:rsidR="004E0108" w:rsidRPr="009218D1">
        <w:rPr>
          <w:rFonts w:ascii="Times New Roman" w:hAnsi="Times New Roman" w:cs="Times New Roman"/>
          <w:sz w:val="24"/>
          <w:szCs w:val="24"/>
        </w:rPr>
        <w:t>a davranışlarının, Finansal Hiyerarşiyi</w:t>
      </w:r>
      <w:r w:rsidR="00722376" w:rsidRPr="009218D1">
        <w:rPr>
          <w:rFonts w:ascii="Times New Roman" w:hAnsi="Times New Roman" w:cs="Times New Roman"/>
          <w:sz w:val="24"/>
          <w:szCs w:val="24"/>
        </w:rPr>
        <w:t xml:space="preserve"> destekler nitelikte olduğunu göstermektedir. Finansal piyasalara özgü değişkenlerden sadece kamu iç borç stokunun kaldıraç oranına etkisi tespit edilmiştir. Genel olarak firmalara özgü değişkenlerin sermaye yapısını açıklamada daha etkin olduğu görülmektedir. </w:t>
      </w:r>
      <w:r w:rsidR="00110B53" w:rsidRPr="009218D1">
        <w:rPr>
          <w:rFonts w:ascii="Times New Roman" w:hAnsi="Times New Roman" w:cs="Times New Roman"/>
          <w:sz w:val="24"/>
          <w:szCs w:val="24"/>
        </w:rPr>
        <w:t xml:space="preserve">Örneklemi oluşturan firmaların </w:t>
      </w:r>
      <w:r w:rsidR="008C3C9F" w:rsidRPr="009218D1">
        <w:rPr>
          <w:rFonts w:ascii="Times New Roman" w:hAnsi="Times New Roman" w:cs="Times New Roman"/>
          <w:sz w:val="24"/>
          <w:szCs w:val="24"/>
        </w:rPr>
        <w:t>dâhil</w:t>
      </w:r>
      <w:r w:rsidR="00110B53" w:rsidRPr="009218D1">
        <w:rPr>
          <w:rFonts w:ascii="Times New Roman" w:hAnsi="Times New Roman" w:cs="Times New Roman"/>
          <w:sz w:val="24"/>
          <w:szCs w:val="24"/>
        </w:rPr>
        <w:t xml:space="preserve"> olduğu sektörlerin ortalama kaldıraç oranları Şekil 1’de verilmiştir. </w:t>
      </w:r>
    </w:p>
    <w:p w:rsidR="00575BA3" w:rsidRPr="009218D1" w:rsidRDefault="00575BA3" w:rsidP="00575BA3">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noProof/>
          <w:sz w:val="24"/>
          <w:szCs w:val="24"/>
          <w:lang w:eastAsia="tr-TR"/>
        </w:rPr>
        <w:drawing>
          <wp:inline distT="0" distB="0" distL="0" distR="0" wp14:anchorId="3F0AC710" wp14:editId="1B8399F0">
            <wp:extent cx="5270740" cy="1915064"/>
            <wp:effectExtent l="0" t="0" r="25400"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197B" w:rsidRPr="009218D1" w:rsidRDefault="00D2197B" w:rsidP="00D2197B">
      <w:pPr>
        <w:spacing w:before="120" w:after="120" w:line="240" w:lineRule="auto"/>
        <w:jc w:val="center"/>
        <w:rPr>
          <w:rFonts w:ascii="Times New Roman" w:hAnsi="Times New Roman" w:cs="Times New Roman"/>
          <w:b/>
          <w:sz w:val="24"/>
          <w:szCs w:val="24"/>
        </w:rPr>
      </w:pPr>
      <w:r w:rsidRPr="009218D1">
        <w:rPr>
          <w:rFonts w:ascii="Times New Roman" w:hAnsi="Times New Roman" w:cs="Times New Roman"/>
          <w:b/>
          <w:sz w:val="24"/>
          <w:szCs w:val="24"/>
        </w:rPr>
        <w:t>Şekil 1. Sektörlere Göre Firmaların 2003-2014 Yılları Arasında Ortalama Kaldıraç Oranları</w:t>
      </w:r>
    </w:p>
    <w:p w:rsidR="00D9054D" w:rsidRPr="009218D1" w:rsidRDefault="00D9054D" w:rsidP="00575BA3">
      <w:pPr>
        <w:pStyle w:val="ListeParagraf"/>
        <w:spacing w:after="0" w:line="240" w:lineRule="auto"/>
        <w:ind w:left="0"/>
        <w:jc w:val="both"/>
        <w:rPr>
          <w:rFonts w:ascii="Times New Roman" w:hAnsi="Times New Roman" w:cs="Times New Roman"/>
          <w:sz w:val="24"/>
          <w:szCs w:val="24"/>
        </w:rPr>
      </w:pPr>
    </w:p>
    <w:p w:rsidR="00575BA3" w:rsidRPr="009218D1" w:rsidRDefault="00575BA3" w:rsidP="00575BA3">
      <w:pPr>
        <w:pStyle w:val="ListeParagraf"/>
        <w:spacing w:after="0" w:line="240" w:lineRule="auto"/>
        <w:ind w:left="0"/>
        <w:jc w:val="both"/>
        <w:rPr>
          <w:rFonts w:ascii="Times New Roman" w:hAnsi="Times New Roman" w:cs="Times New Roman"/>
          <w:sz w:val="24"/>
          <w:szCs w:val="24"/>
        </w:rPr>
      </w:pPr>
      <w:r w:rsidRPr="009218D1">
        <w:rPr>
          <w:rFonts w:ascii="Times New Roman" w:hAnsi="Times New Roman" w:cs="Times New Roman"/>
          <w:sz w:val="24"/>
          <w:szCs w:val="24"/>
        </w:rPr>
        <w:t>Sektörlere göre ortalama kaldıraç oranlarını kıyaslayacak olursak</w:t>
      </w:r>
      <w:r w:rsidR="00110B53" w:rsidRPr="009218D1">
        <w:rPr>
          <w:rFonts w:ascii="Times New Roman" w:hAnsi="Times New Roman" w:cs="Times New Roman"/>
          <w:sz w:val="24"/>
          <w:szCs w:val="24"/>
        </w:rPr>
        <w:t>,</w:t>
      </w:r>
      <w:r w:rsidRPr="009218D1">
        <w:rPr>
          <w:rFonts w:ascii="Times New Roman" w:hAnsi="Times New Roman" w:cs="Times New Roman"/>
          <w:sz w:val="24"/>
          <w:szCs w:val="24"/>
        </w:rPr>
        <w:t xml:space="preserve"> 2003-2014 yılları arasında gıda</w:t>
      </w:r>
      <w:r w:rsidR="00110B53" w:rsidRPr="009218D1">
        <w:rPr>
          <w:rFonts w:ascii="Times New Roman" w:hAnsi="Times New Roman" w:cs="Times New Roman"/>
          <w:sz w:val="24"/>
          <w:szCs w:val="24"/>
        </w:rPr>
        <w:t xml:space="preserve">, </w:t>
      </w:r>
      <w:r w:rsidRPr="009218D1">
        <w:rPr>
          <w:rFonts w:ascii="Times New Roman" w:hAnsi="Times New Roman" w:cs="Times New Roman"/>
          <w:sz w:val="24"/>
          <w:szCs w:val="24"/>
        </w:rPr>
        <w:t>içki ve tütün alt sektörü en yüksek borçluluk oranına sahiptir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İhracat oranı yüksek olan gıda</w:t>
      </w:r>
      <w:r w:rsidR="00110B53" w:rsidRPr="009218D1">
        <w:rPr>
          <w:rFonts w:ascii="Times New Roman" w:hAnsi="Times New Roman" w:cs="Times New Roman"/>
          <w:sz w:val="24"/>
          <w:szCs w:val="24"/>
        </w:rPr>
        <w:t>,</w:t>
      </w:r>
      <w:r w:rsidRPr="009218D1">
        <w:rPr>
          <w:rFonts w:ascii="Times New Roman" w:hAnsi="Times New Roman" w:cs="Times New Roman"/>
          <w:sz w:val="24"/>
          <w:szCs w:val="24"/>
        </w:rPr>
        <w:t xml:space="preserve"> içki ve tütün sektörü dövizde yaşanan artış ve azalışlardan doğrudan etkilenmektedir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İhracatta ilk sıralarda yer almasa da elde edilen sonuçlara göre borçluluk oranında ilk sırada yer almaktadır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Bunun olası nedenleri; sektörün kârlılığının</w:t>
      </w:r>
      <w:r w:rsidR="00110B53" w:rsidRPr="009218D1">
        <w:rPr>
          <w:rFonts w:ascii="Times New Roman" w:hAnsi="Times New Roman" w:cs="Times New Roman"/>
          <w:sz w:val="24"/>
          <w:szCs w:val="24"/>
        </w:rPr>
        <w:t xml:space="preserve"> ve</w:t>
      </w:r>
      <w:r w:rsidR="00A00AD8" w:rsidRPr="009218D1">
        <w:rPr>
          <w:rFonts w:ascii="Times New Roman" w:hAnsi="Times New Roman" w:cs="Times New Roman"/>
          <w:sz w:val="24"/>
          <w:szCs w:val="24"/>
        </w:rPr>
        <w:t xml:space="preserve"> yurt</w:t>
      </w:r>
      <w:r w:rsidRPr="009218D1">
        <w:rPr>
          <w:rFonts w:ascii="Times New Roman" w:hAnsi="Times New Roman" w:cs="Times New Roman"/>
          <w:sz w:val="24"/>
          <w:szCs w:val="24"/>
        </w:rPr>
        <w:t xml:space="preserve">dışı cirosunun kurlarda yaşanan artıştan olumlu etkilendiği dönemlerde bile düşük olması ve firma hasılatlarının mevsimsel etkilerden </w:t>
      </w:r>
      <w:r w:rsidR="00110B53" w:rsidRPr="009218D1">
        <w:rPr>
          <w:rFonts w:ascii="Times New Roman" w:hAnsi="Times New Roman" w:cs="Times New Roman"/>
          <w:sz w:val="24"/>
          <w:szCs w:val="24"/>
        </w:rPr>
        <w:t xml:space="preserve">yüksek oranda </w:t>
      </w:r>
      <w:r w:rsidRPr="009218D1">
        <w:rPr>
          <w:rFonts w:ascii="Times New Roman" w:hAnsi="Times New Roman" w:cs="Times New Roman"/>
          <w:sz w:val="24"/>
          <w:szCs w:val="24"/>
        </w:rPr>
        <w:t>etkilenmesidir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Yüksek finansman giderleri</w:t>
      </w:r>
      <w:r w:rsidR="00D26D41" w:rsidRPr="009218D1">
        <w:rPr>
          <w:rFonts w:ascii="Times New Roman" w:hAnsi="Times New Roman" w:cs="Times New Roman"/>
          <w:sz w:val="24"/>
          <w:szCs w:val="24"/>
        </w:rPr>
        <w:t>,</w:t>
      </w:r>
      <w:r w:rsidRPr="009218D1">
        <w:rPr>
          <w:rFonts w:ascii="Times New Roman" w:hAnsi="Times New Roman" w:cs="Times New Roman"/>
          <w:sz w:val="24"/>
          <w:szCs w:val="24"/>
        </w:rPr>
        <w:t xml:space="preserve"> kambiyo </w:t>
      </w:r>
      <w:r w:rsidRPr="009218D1">
        <w:rPr>
          <w:rFonts w:ascii="Times New Roman" w:hAnsi="Times New Roman" w:cs="Times New Roman"/>
          <w:sz w:val="24"/>
          <w:szCs w:val="24"/>
        </w:rPr>
        <w:lastRenderedPageBreak/>
        <w:t xml:space="preserve">zararları ve fiyatların dalgalı </w:t>
      </w:r>
      <w:r w:rsidR="00D26D41" w:rsidRPr="009218D1">
        <w:rPr>
          <w:rFonts w:ascii="Times New Roman" w:hAnsi="Times New Roman" w:cs="Times New Roman"/>
          <w:sz w:val="24"/>
          <w:szCs w:val="24"/>
        </w:rPr>
        <w:t xml:space="preserve">seyri </w:t>
      </w:r>
      <w:r w:rsidRPr="009218D1">
        <w:rPr>
          <w:rFonts w:ascii="Times New Roman" w:hAnsi="Times New Roman" w:cs="Times New Roman"/>
          <w:sz w:val="24"/>
          <w:szCs w:val="24"/>
        </w:rPr>
        <w:t>nedeniyle hasılatlar istikrarlı olmamaktadır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Ayrıca sektör kârlılığı düşük olsa bile</w:t>
      </w:r>
      <w:r w:rsidR="00D26D41" w:rsidRPr="009218D1">
        <w:rPr>
          <w:rFonts w:ascii="Times New Roman" w:hAnsi="Times New Roman" w:cs="Times New Roman"/>
          <w:sz w:val="24"/>
          <w:szCs w:val="24"/>
        </w:rPr>
        <w:t>,</w:t>
      </w:r>
      <w:r w:rsidRPr="009218D1">
        <w:rPr>
          <w:rFonts w:ascii="Times New Roman" w:hAnsi="Times New Roman" w:cs="Times New Roman"/>
          <w:sz w:val="24"/>
          <w:szCs w:val="24"/>
        </w:rPr>
        <w:t xml:space="preserve"> büyüyen bir sektör olduğundan finansman ihtiyacı oldukça yüksek olan bir sektördür</w:t>
      </w:r>
      <w:r w:rsidR="00BE3467" w:rsidRPr="009218D1">
        <w:rPr>
          <w:rFonts w:ascii="Times New Roman" w:hAnsi="Times New Roman" w:cs="Times New Roman"/>
          <w:sz w:val="24"/>
          <w:szCs w:val="24"/>
        </w:rPr>
        <w:t>.</w:t>
      </w:r>
      <w:r w:rsidR="00D26D41" w:rsidRPr="009218D1">
        <w:rPr>
          <w:rFonts w:ascii="Times New Roman" w:hAnsi="Times New Roman" w:cs="Times New Roman"/>
          <w:sz w:val="24"/>
          <w:szCs w:val="24"/>
        </w:rPr>
        <w:t xml:space="preserve"> Finans</w:t>
      </w:r>
      <w:r w:rsidR="00380657" w:rsidRPr="009218D1">
        <w:rPr>
          <w:rFonts w:ascii="Times New Roman" w:hAnsi="Times New Roman" w:cs="Times New Roman"/>
          <w:sz w:val="24"/>
          <w:szCs w:val="24"/>
        </w:rPr>
        <w:t>al Hiyerarşi</w:t>
      </w:r>
      <w:r w:rsidR="00D26D41" w:rsidRPr="009218D1">
        <w:rPr>
          <w:rFonts w:ascii="Times New Roman" w:hAnsi="Times New Roman" w:cs="Times New Roman"/>
          <w:sz w:val="24"/>
          <w:szCs w:val="24"/>
        </w:rPr>
        <w:t xml:space="preserve"> Teorisine uygun olarak büyüyen firmaların borçluluk oranları artmaktadır.</w:t>
      </w:r>
      <w:r w:rsidRPr="009218D1">
        <w:rPr>
          <w:rFonts w:ascii="Times New Roman" w:hAnsi="Times New Roman" w:cs="Times New Roman"/>
          <w:sz w:val="24"/>
          <w:szCs w:val="24"/>
        </w:rPr>
        <w:t xml:space="preserve">  </w:t>
      </w:r>
    </w:p>
    <w:p w:rsidR="00226E97" w:rsidRPr="009218D1" w:rsidRDefault="00226E97" w:rsidP="00575BA3">
      <w:pPr>
        <w:pStyle w:val="ListeParagraf"/>
        <w:spacing w:after="0" w:line="240" w:lineRule="auto"/>
        <w:ind w:left="0"/>
        <w:jc w:val="both"/>
        <w:rPr>
          <w:rFonts w:ascii="Times New Roman" w:hAnsi="Times New Roman" w:cs="Times New Roman"/>
          <w:sz w:val="24"/>
          <w:szCs w:val="24"/>
        </w:rPr>
      </w:pPr>
    </w:p>
    <w:p w:rsidR="00CD2157" w:rsidRPr="009218D1" w:rsidRDefault="00CD2157"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noProof/>
          <w:sz w:val="24"/>
          <w:szCs w:val="24"/>
          <w:lang w:eastAsia="tr-TR"/>
        </w:rPr>
        <w:drawing>
          <wp:inline distT="0" distB="0" distL="0" distR="0" wp14:anchorId="22B55FF6" wp14:editId="232F16B1">
            <wp:extent cx="5112327" cy="1947553"/>
            <wp:effectExtent l="0" t="0" r="12700" b="1460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3AF7" w:rsidRPr="009218D1" w:rsidRDefault="007B3AF7" w:rsidP="007B3AF7">
      <w:pPr>
        <w:pStyle w:val="ListeParagraf"/>
        <w:spacing w:after="0" w:line="240" w:lineRule="auto"/>
        <w:ind w:left="0"/>
        <w:jc w:val="center"/>
        <w:rPr>
          <w:rFonts w:ascii="Times New Roman" w:hAnsi="Times New Roman" w:cs="Times New Roman"/>
          <w:b/>
          <w:sz w:val="24"/>
          <w:szCs w:val="24"/>
        </w:rPr>
      </w:pPr>
      <w:r w:rsidRPr="009218D1">
        <w:rPr>
          <w:rFonts w:ascii="Times New Roman" w:hAnsi="Times New Roman" w:cs="Times New Roman"/>
          <w:b/>
          <w:sz w:val="24"/>
          <w:szCs w:val="24"/>
        </w:rPr>
        <w:t>Şekil 2. 2003-2014 Yılları Arasında Kaldıraç Oranı ve Finansal Piyasalara Özgü Değişkenlerin Değerleri</w:t>
      </w:r>
    </w:p>
    <w:p w:rsidR="00743383" w:rsidRPr="009218D1" w:rsidRDefault="0010374D" w:rsidP="00743383">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Şekil 2’de görüldüğü gibi firmaların kaldıraç oranı giderek artan bir seyir izlemiştir. 2008 ve 2013 yıllarında en yüksek değere ulaşmıştır. Borsanın gelişmişlik düzeyi ise dalgalı bir seyir izlemiştir. Kamu iç borç stoku oranı azalan bir seyir izlerken</w:t>
      </w:r>
      <w:r w:rsidR="008C3C9F" w:rsidRPr="009218D1">
        <w:rPr>
          <w:rFonts w:ascii="Times New Roman" w:hAnsi="Times New Roman" w:cs="Times New Roman"/>
          <w:sz w:val="24"/>
          <w:szCs w:val="24"/>
        </w:rPr>
        <w:t>,</w:t>
      </w:r>
      <w:r w:rsidRPr="009218D1">
        <w:rPr>
          <w:rFonts w:ascii="Times New Roman" w:hAnsi="Times New Roman" w:cs="Times New Roman"/>
          <w:sz w:val="24"/>
          <w:szCs w:val="24"/>
        </w:rPr>
        <w:t xml:space="preserve"> bankacılık sektörünün gelişmişlik düzeyi giderek artmıştır. Bankacılık sektörünün gelişmişlik düzeyinin artış göstermesindeki en büyük neden bankaların kredi arzını artırması özellikle küçük ve orta ölçekli işletmelere verilen kredilerde görülen artıştır.</w:t>
      </w:r>
      <w:r w:rsidR="008C3C9F" w:rsidRPr="009218D1">
        <w:rPr>
          <w:rFonts w:ascii="Times New Roman" w:hAnsi="Times New Roman" w:cs="Times New Roman"/>
          <w:sz w:val="24"/>
          <w:szCs w:val="24"/>
        </w:rPr>
        <w:t xml:space="preserve"> </w:t>
      </w:r>
      <w:r w:rsidR="00743383" w:rsidRPr="009218D1">
        <w:rPr>
          <w:rFonts w:ascii="Times New Roman" w:hAnsi="Times New Roman" w:cs="Times New Roman"/>
          <w:sz w:val="24"/>
          <w:szCs w:val="24"/>
        </w:rPr>
        <w:t xml:space="preserve">Türkiye uyguladığı mali disiplin, para politikaları ve yapısal reformlarla, 2009 yılında negatif olan ekonomik büyümeyi 2010 yılında pozitife döndürmüştür. Ancak 2008 yılına kadar özel sektöre verilen banka kredilerinin payı oldukça düşüktür. 2002-2010 yılları arasında kredi talebinin arzdan oldukça fazla olduğu ancak firmaların </w:t>
      </w:r>
      <w:r w:rsidR="00DA0426" w:rsidRPr="009218D1">
        <w:rPr>
          <w:rFonts w:ascii="Times New Roman" w:hAnsi="Times New Roman" w:cs="Times New Roman"/>
          <w:sz w:val="24"/>
          <w:szCs w:val="24"/>
        </w:rPr>
        <w:t>finansman ihtiyaçları için yurt</w:t>
      </w:r>
      <w:r w:rsidR="00743383" w:rsidRPr="009218D1">
        <w:rPr>
          <w:rFonts w:ascii="Times New Roman" w:hAnsi="Times New Roman" w:cs="Times New Roman"/>
          <w:sz w:val="24"/>
          <w:szCs w:val="24"/>
        </w:rPr>
        <w:t>dışı kaynaklara yöneldikleri tespit edilmiştir (Yükseltürk, 2010).</w:t>
      </w:r>
    </w:p>
    <w:p w:rsidR="00E50913" w:rsidRPr="009218D1" w:rsidRDefault="00041623" w:rsidP="00743383">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1990’lı yıllardan itibaren kamunun borçlanma ihtiyacı dolayısıyla tahvil ve bono ihracında özel sektörün dışlanması ve devlet tahvilleriyle özel sektör tahvilleri arasındaki vergi farkı özel sektörün de tahvil ihracı yapabilmesine engel olmuştur. Hazinenin en önemli borç vereni de bankalar olmuştur.  Enflasyonun düşmesi ve kamu borçlanmasının azalması ile tahvil ihracı yapılabilir bir ortam oluşmuştur (Özatay vd.</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2006). Ancak 2003-2014 yılları arasında kamu iç borçlanma yükü azalan bir seyir izlemiştir.</w:t>
      </w:r>
      <w:r w:rsidR="00B50CF5" w:rsidRPr="009218D1">
        <w:rPr>
          <w:rFonts w:ascii="Times New Roman" w:hAnsi="Times New Roman" w:cs="Times New Roman"/>
          <w:sz w:val="24"/>
          <w:szCs w:val="24"/>
        </w:rPr>
        <w:t xml:space="preserve"> </w:t>
      </w:r>
      <w:r w:rsidR="00E50913" w:rsidRPr="009218D1">
        <w:rPr>
          <w:rFonts w:ascii="Times New Roman" w:hAnsi="Times New Roman" w:cs="Times New Roman"/>
          <w:sz w:val="24"/>
          <w:szCs w:val="24"/>
        </w:rPr>
        <w:t>Kamu özellikle bankalardan borçlanırken</w:t>
      </w:r>
      <w:r w:rsidR="00295321" w:rsidRPr="009218D1">
        <w:rPr>
          <w:rFonts w:ascii="Times New Roman" w:hAnsi="Times New Roman" w:cs="Times New Roman"/>
          <w:sz w:val="24"/>
          <w:szCs w:val="24"/>
        </w:rPr>
        <w:t>,</w:t>
      </w:r>
      <w:r w:rsidR="00E50913" w:rsidRPr="009218D1">
        <w:rPr>
          <w:rFonts w:ascii="Times New Roman" w:hAnsi="Times New Roman" w:cs="Times New Roman"/>
          <w:sz w:val="24"/>
          <w:szCs w:val="24"/>
        </w:rPr>
        <w:t xml:space="preserve"> dışlama etkisine rağmen reel sektörün de borçluluk oranı artmıştır. Firmaların kârlılıkları düşük ve bankaların sunduğu fonlar yetersiz olduğundan</w:t>
      </w:r>
      <w:r w:rsidR="00295321" w:rsidRPr="009218D1">
        <w:rPr>
          <w:rFonts w:ascii="Times New Roman" w:hAnsi="Times New Roman" w:cs="Times New Roman"/>
          <w:sz w:val="24"/>
          <w:szCs w:val="24"/>
        </w:rPr>
        <w:t>,</w:t>
      </w:r>
      <w:r w:rsidR="00E50913" w:rsidRPr="009218D1">
        <w:rPr>
          <w:rFonts w:ascii="Times New Roman" w:hAnsi="Times New Roman" w:cs="Times New Roman"/>
          <w:sz w:val="24"/>
          <w:szCs w:val="24"/>
        </w:rPr>
        <w:t xml:space="preserve"> firmalar fon ihtiyaçlarını bankalar dışındaki kaynaklardan temin etmişlerdir. Özellikle yabancı para ile borçlanmış</w:t>
      </w:r>
      <w:r w:rsidR="00295321" w:rsidRPr="009218D1">
        <w:rPr>
          <w:rFonts w:ascii="Times New Roman" w:hAnsi="Times New Roman" w:cs="Times New Roman"/>
          <w:sz w:val="24"/>
          <w:szCs w:val="24"/>
        </w:rPr>
        <w:t>,</w:t>
      </w:r>
      <w:r w:rsidR="00E50913" w:rsidRPr="009218D1">
        <w:rPr>
          <w:rFonts w:ascii="Times New Roman" w:hAnsi="Times New Roman" w:cs="Times New Roman"/>
          <w:sz w:val="24"/>
          <w:szCs w:val="24"/>
        </w:rPr>
        <w:t xml:space="preserve"> ticari kredilere yönelmişlerdir.</w:t>
      </w:r>
    </w:p>
    <w:p w:rsidR="002634C7" w:rsidRPr="009218D1" w:rsidRDefault="00481E32" w:rsidP="002634C7">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Türkiye banka temelli bir ülke olmasına ve sermaye piyasaları yeterince gelişmemiş olmasına rağmen çalışmada bankacılık sisteminin borçluluk oranı üzerine etkisinin olmadığı tespit edilmiştir.</w:t>
      </w:r>
      <w:r w:rsidR="002634C7" w:rsidRPr="009218D1">
        <w:rPr>
          <w:rFonts w:ascii="Times New Roman" w:hAnsi="Times New Roman" w:cs="Times New Roman"/>
          <w:sz w:val="24"/>
          <w:szCs w:val="24"/>
        </w:rPr>
        <w:t xml:space="preserve"> Hisse senedi piyasasının gelişmişliği değişkeninin kaldıraç ile anlamlı bir ilişkisinin olmaması</w:t>
      </w:r>
      <w:r w:rsidR="00295321" w:rsidRPr="009218D1">
        <w:rPr>
          <w:rFonts w:ascii="Times New Roman" w:hAnsi="Times New Roman" w:cs="Times New Roman"/>
          <w:sz w:val="24"/>
          <w:szCs w:val="24"/>
        </w:rPr>
        <w:t xml:space="preserve">, </w:t>
      </w:r>
      <w:r w:rsidR="002634C7" w:rsidRPr="009218D1">
        <w:rPr>
          <w:rFonts w:ascii="Times New Roman" w:hAnsi="Times New Roman" w:cs="Times New Roman"/>
          <w:sz w:val="24"/>
          <w:szCs w:val="24"/>
        </w:rPr>
        <w:t>sermaye piyasası gelişmiş ülkeler için elde edilen sonuç ile uyumsuzdur.</w:t>
      </w:r>
    </w:p>
    <w:p w:rsidR="003E4CA5" w:rsidRPr="009218D1" w:rsidRDefault="003E4CA5"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Çalışmada büyüme fırsatları ile kaldıraç oranı arasında pozitif yönlü bir ilişki tespit edilmiştir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Elde edilen sonuç</w:t>
      </w:r>
      <w:r w:rsidR="0014351F"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Hiyerarşi Teorisi ile uyumludur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Buna göre; büyüme fırsatları</w:t>
      </w:r>
      <w:r w:rsidR="00A063E8" w:rsidRPr="009218D1">
        <w:rPr>
          <w:rFonts w:ascii="Times New Roman" w:hAnsi="Times New Roman" w:cs="Times New Roman"/>
          <w:sz w:val="24"/>
          <w:szCs w:val="24"/>
        </w:rPr>
        <w:t>,</w:t>
      </w:r>
      <w:r w:rsidRPr="009218D1">
        <w:rPr>
          <w:rFonts w:ascii="Times New Roman" w:hAnsi="Times New Roman" w:cs="Times New Roman"/>
          <w:sz w:val="24"/>
          <w:szCs w:val="24"/>
        </w:rPr>
        <w:t xml:space="preserve"> firmaların borçlanma yeteneklerini arttıracaktır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Hızlı büyüyen firmalar daha yüksek kaldıraç oranlarına sahip olmalıdırlar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Bevan ve Danbolt (2002)</w:t>
      </w:r>
      <w:r w:rsidR="009B7E8C" w:rsidRPr="009218D1">
        <w:rPr>
          <w:rFonts w:ascii="Times New Roman" w:hAnsi="Times New Roman" w:cs="Times New Roman"/>
          <w:sz w:val="24"/>
          <w:szCs w:val="24"/>
        </w:rPr>
        <w:t>,</w:t>
      </w:r>
      <w:r w:rsidRPr="009218D1">
        <w:rPr>
          <w:rFonts w:ascii="Times New Roman" w:hAnsi="Times New Roman" w:cs="Times New Roman"/>
          <w:sz w:val="24"/>
          <w:szCs w:val="24"/>
        </w:rPr>
        <w:t xml:space="preserve"> Terim ve Kayalı (2009)</w:t>
      </w:r>
      <w:r w:rsidR="009B7E8C" w:rsidRPr="009218D1">
        <w:rPr>
          <w:rFonts w:ascii="Times New Roman" w:hAnsi="Times New Roman" w:cs="Times New Roman"/>
          <w:sz w:val="24"/>
          <w:szCs w:val="24"/>
        </w:rPr>
        <w:t>,</w:t>
      </w:r>
      <w:r w:rsidRPr="009218D1">
        <w:rPr>
          <w:rFonts w:ascii="Times New Roman" w:hAnsi="Times New Roman" w:cs="Times New Roman"/>
          <w:sz w:val="24"/>
          <w:szCs w:val="24"/>
        </w:rPr>
        <w:t xml:space="preserve"> Sayılgan </w:t>
      </w:r>
      <w:r w:rsidR="006049BE" w:rsidRPr="009218D1">
        <w:rPr>
          <w:rFonts w:ascii="Times New Roman" w:hAnsi="Times New Roman" w:cs="Times New Roman"/>
          <w:sz w:val="24"/>
          <w:szCs w:val="24"/>
        </w:rPr>
        <w:t>vd</w:t>
      </w:r>
      <w:r w:rsidR="00BE3467" w:rsidRPr="009218D1">
        <w:rPr>
          <w:rFonts w:ascii="Times New Roman" w:hAnsi="Times New Roman" w:cs="Times New Roman"/>
          <w:sz w:val="24"/>
          <w:szCs w:val="24"/>
        </w:rPr>
        <w:t>.</w:t>
      </w:r>
      <w:r w:rsidR="006049BE" w:rsidRPr="009218D1">
        <w:rPr>
          <w:rFonts w:ascii="Times New Roman" w:hAnsi="Times New Roman" w:cs="Times New Roman"/>
          <w:sz w:val="24"/>
          <w:szCs w:val="24"/>
        </w:rPr>
        <w:t xml:space="preserve"> </w:t>
      </w:r>
      <w:r w:rsidRPr="009218D1">
        <w:rPr>
          <w:rFonts w:ascii="Times New Roman" w:hAnsi="Times New Roman" w:cs="Times New Roman"/>
          <w:sz w:val="24"/>
          <w:szCs w:val="24"/>
        </w:rPr>
        <w:lastRenderedPageBreak/>
        <w:t>(2006)</w:t>
      </w:r>
      <w:r w:rsidR="009B7E8C" w:rsidRPr="009218D1">
        <w:rPr>
          <w:rFonts w:ascii="Times New Roman" w:hAnsi="Times New Roman" w:cs="Times New Roman"/>
          <w:sz w:val="24"/>
          <w:szCs w:val="24"/>
        </w:rPr>
        <w:t>,</w:t>
      </w:r>
      <w:r w:rsidRPr="009218D1">
        <w:rPr>
          <w:rFonts w:ascii="Times New Roman" w:hAnsi="Times New Roman" w:cs="Times New Roman"/>
          <w:sz w:val="24"/>
          <w:szCs w:val="24"/>
        </w:rPr>
        <w:t xml:space="preserve"> Sayılgan ve Uysal (2011) da çalışmalarında büyüme fırsatları ile kaldıraç oranı arasında pozitif ilişki tespit etmişlerdir</w:t>
      </w:r>
      <w:r w:rsidR="00BE3467" w:rsidRPr="009218D1">
        <w:rPr>
          <w:rFonts w:ascii="Times New Roman" w:hAnsi="Times New Roman" w:cs="Times New Roman"/>
          <w:sz w:val="24"/>
          <w:szCs w:val="24"/>
        </w:rPr>
        <w:t>.</w:t>
      </w:r>
    </w:p>
    <w:p w:rsidR="00954838" w:rsidRPr="009218D1" w:rsidRDefault="00954838"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Varlık yapısı ile kaldıraç oranı arasında negatif yönlü bir ili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ki tespit edilmi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Elde edilen sonuç</w:t>
      </w:r>
      <w:r w:rsidR="00CF7227"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Hiyerar</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i Teorisini destekler niteliktedir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Sayılgan </w:t>
      </w:r>
      <w:r w:rsidR="00BD6141" w:rsidRPr="009218D1">
        <w:rPr>
          <w:rFonts w:ascii="Times New Roman" w:hAnsi="Times New Roman" w:cs="Times New Roman"/>
          <w:sz w:val="24"/>
          <w:szCs w:val="24"/>
        </w:rPr>
        <w:t>vd</w:t>
      </w:r>
      <w:r w:rsidR="00BE3467" w:rsidRPr="009218D1">
        <w:rPr>
          <w:rFonts w:ascii="Times New Roman" w:hAnsi="Times New Roman" w:cs="Times New Roman"/>
          <w:sz w:val="24"/>
          <w:szCs w:val="24"/>
        </w:rPr>
        <w:t>.</w:t>
      </w:r>
      <w:r w:rsidR="00BD6141" w:rsidRPr="009218D1">
        <w:rPr>
          <w:rFonts w:ascii="Times New Roman" w:hAnsi="Times New Roman" w:cs="Times New Roman"/>
          <w:sz w:val="24"/>
          <w:szCs w:val="24"/>
        </w:rPr>
        <w:t xml:space="preserve"> </w:t>
      </w:r>
      <w:r w:rsidRPr="009218D1">
        <w:rPr>
          <w:rFonts w:ascii="Times New Roman" w:hAnsi="Times New Roman" w:cs="Times New Roman"/>
          <w:sz w:val="24"/>
          <w:szCs w:val="24"/>
        </w:rPr>
        <w:t>(2006)</w:t>
      </w:r>
      <w:r w:rsidR="00CF7227" w:rsidRPr="009218D1">
        <w:rPr>
          <w:rFonts w:ascii="Times New Roman" w:hAnsi="Times New Roman" w:cs="Times New Roman"/>
          <w:sz w:val="24"/>
          <w:szCs w:val="24"/>
        </w:rPr>
        <w:t>,</w:t>
      </w:r>
      <w:r w:rsidRPr="009218D1">
        <w:rPr>
          <w:rFonts w:ascii="Times New Roman" w:hAnsi="Times New Roman" w:cs="Times New Roman"/>
          <w:sz w:val="24"/>
          <w:szCs w:val="24"/>
        </w:rPr>
        <w:t xml:space="preserve"> Terim ve Kayalı (2009)</w:t>
      </w:r>
      <w:r w:rsidR="00CF7227" w:rsidRPr="009218D1">
        <w:rPr>
          <w:rFonts w:ascii="Times New Roman" w:hAnsi="Times New Roman" w:cs="Times New Roman"/>
          <w:sz w:val="24"/>
          <w:szCs w:val="24"/>
        </w:rPr>
        <w:t>,</w:t>
      </w:r>
      <w:r w:rsidRPr="009218D1">
        <w:rPr>
          <w:rFonts w:ascii="Times New Roman" w:hAnsi="Times New Roman" w:cs="Times New Roman"/>
          <w:sz w:val="24"/>
          <w:szCs w:val="24"/>
        </w:rPr>
        <w:t xml:space="preserve"> Demirhan (2009)</w:t>
      </w:r>
      <w:r w:rsidR="00BE3467" w:rsidRPr="009218D1">
        <w:rPr>
          <w:rFonts w:ascii="Times New Roman" w:hAnsi="Times New Roman" w:cs="Times New Roman"/>
          <w:sz w:val="24"/>
          <w:szCs w:val="24"/>
        </w:rPr>
        <w:t>.</w:t>
      </w:r>
      <w:r w:rsidR="00DA0426" w:rsidRPr="009218D1">
        <w:rPr>
          <w:rFonts w:ascii="Times New Roman" w:hAnsi="Times New Roman" w:cs="Times New Roman"/>
          <w:sz w:val="24"/>
          <w:szCs w:val="24"/>
        </w:rPr>
        <w:t xml:space="preserve"> Okuyan,</w:t>
      </w:r>
      <w:r w:rsidRPr="009218D1">
        <w:rPr>
          <w:rFonts w:ascii="Times New Roman" w:hAnsi="Times New Roman" w:cs="Times New Roman"/>
          <w:sz w:val="24"/>
          <w:szCs w:val="24"/>
        </w:rPr>
        <w:t xml:space="preserve"> Ta</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çı (2009) ve Karadeniz (2008) d</w:t>
      </w:r>
      <w:r w:rsidR="00CF7227" w:rsidRPr="009218D1">
        <w:rPr>
          <w:rFonts w:ascii="Times New Roman" w:hAnsi="Times New Roman" w:cs="Times New Roman"/>
          <w:sz w:val="24"/>
          <w:szCs w:val="24"/>
        </w:rPr>
        <w:t>e</w:t>
      </w:r>
      <w:r w:rsidRPr="009218D1">
        <w:rPr>
          <w:rFonts w:ascii="Times New Roman" w:hAnsi="Times New Roman" w:cs="Times New Roman"/>
          <w:sz w:val="24"/>
          <w:szCs w:val="24"/>
        </w:rPr>
        <w:t xml:space="preserve"> çalı</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malarında varlık yapısı ile kaldıraç oranı arasında negatif ili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ki tespit etmi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lerdir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Demirhan (2009) ve Karadeniz (2008)</w:t>
      </w:r>
      <w:r w:rsidR="00CF7227" w:rsidRPr="009218D1">
        <w:rPr>
          <w:rFonts w:ascii="Times New Roman" w:hAnsi="Times New Roman" w:cs="Times New Roman"/>
          <w:sz w:val="24"/>
          <w:szCs w:val="24"/>
        </w:rPr>
        <w:t xml:space="preserve">, </w:t>
      </w:r>
      <w:r w:rsidRPr="009218D1">
        <w:rPr>
          <w:rFonts w:ascii="Times New Roman" w:hAnsi="Times New Roman" w:cs="Times New Roman"/>
          <w:sz w:val="24"/>
          <w:szCs w:val="24"/>
        </w:rPr>
        <w:t>hizmet sektörü özelinde ara</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tırma yaptıklarından bu ili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kinin gerekçesi olarak hizmet sektöründe faaliyet gösteren 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letmelerden kredi teminatı olarak maddi teminat istenmiyor olmasını göstermi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lerdir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w:t>
      </w:r>
      <w:r w:rsidR="00DF42BB" w:rsidRPr="009218D1">
        <w:rPr>
          <w:rFonts w:ascii="Times New Roman" w:hAnsi="Times New Roman" w:cs="Times New Roman"/>
          <w:sz w:val="24"/>
          <w:szCs w:val="24"/>
        </w:rPr>
        <w:t>al</w:t>
      </w:r>
      <w:r w:rsidRPr="009218D1">
        <w:rPr>
          <w:rFonts w:ascii="Times New Roman" w:hAnsi="Times New Roman" w:cs="Times New Roman"/>
          <w:sz w:val="24"/>
          <w:szCs w:val="24"/>
        </w:rPr>
        <w:t xml:space="preserve"> Hiyerar</w:t>
      </w:r>
      <w:r w:rsidR="00746B4F" w:rsidRPr="009218D1">
        <w:rPr>
          <w:rFonts w:ascii="Times New Roman" w:hAnsi="Times New Roman" w:cs="Times New Roman"/>
          <w:sz w:val="24"/>
          <w:szCs w:val="24"/>
        </w:rPr>
        <w:t>ş</w:t>
      </w:r>
      <w:r w:rsidR="00DF42BB" w:rsidRPr="009218D1">
        <w:rPr>
          <w:rFonts w:ascii="Times New Roman" w:hAnsi="Times New Roman" w:cs="Times New Roman"/>
          <w:sz w:val="24"/>
          <w:szCs w:val="24"/>
        </w:rPr>
        <w:t>i</w:t>
      </w:r>
      <w:r w:rsidRPr="009218D1">
        <w:rPr>
          <w:rFonts w:ascii="Times New Roman" w:hAnsi="Times New Roman" w:cs="Times New Roman"/>
          <w:sz w:val="24"/>
          <w:szCs w:val="24"/>
        </w:rPr>
        <w:t xml:space="preserve"> Teorisine göre; sabit varlıklarla ilgili dü</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ük bilgi asimetrisi özsermayeyi daha az maliyetli yapmaktadır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 nedenle</w:t>
      </w:r>
      <w:r w:rsidR="00BC73BF" w:rsidRPr="009218D1">
        <w:rPr>
          <w:rFonts w:ascii="Times New Roman" w:hAnsi="Times New Roman" w:cs="Times New Roman"/>
          <w:sz w:val="24"/>
          <w:szCs w:val="24"/>
        </w:rPr>
        <w:t>,</w:t>
      </w:r>
      <w:r w:rsidRPr="009218D1">
        <w:rPr>
          <w:rFonts w:ascii="Times New Roman" w:hAnsi="Times New Roman" w:cs="Times New Roman"/>
          <w:sz w:val="24"/>
          <w:szCs w:val="24"/>
        </w:rPr>
        <w:t xml:space="preserve"> kaldıraç oranı ile varlık yapısı arasında negatif yönlü bir ili</w:t>
      </w:r>
      <w:r w:rsidR="00746B4F" w:rsidRPr="009218D1">
        <w:rPr>
          <w:rFonts w:ascii="Times New Roman" w:hAnsi="Times New Roman" w:cs="Times New Roman"/>
          <w:sz w:val="24"/>
          <w:szCs w:val="24"/>
        </w:rPr>
        <w:t>ş</w:t>
      </w:r>
      <w:r w:rsidRPr="009218D1">
        <w:rPr>
          <w:rFonts w:ascii="Times New Roman" w:hAnsi="Times New Roman" w:cs="Times New Roman"/>
          <w:sz w:val="24"/>
          <w:szCs w:val="24"/>
        </w:rPr>
        <w:t>ki söz konusudur</w:t>
      </w:r>
      <w:r w:rsidR="00BE3467" w:rsidRPr="009218D1">
        <w:rPr>
          <w:rFonts w:ascii="Times New Roman" w:hAnsi="Times New Roman" w:cs="Times New Roman"/>
          <w:sz w:val="24"/>
          <w:szCs w:val="24"/>
        </w:rPr>
        <w:t>.</w:t>
      </w:r>
    </w:p>
    <w:p w:rsidR="00746B4F" w:rsidRPr="009218D1" w:rsidRDefault="00331229"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Kârlılık</w:t>
      </w:r>
      <w:r w:rsidR="00746B4F" w:rsidRPr="009218D1">
        <w:rPr>
          <w:rFonts w:ascii="Times New Roman" w:hAnsi="Times New Roman" w:cs="Times New Roman"/>
          <w:sz w:val="24"/>
          <w:szCs w:val="24"/>
        </w:rPr>
        <w:t xml:space="preserve"> ile kaldıraç oranı arasında negatif yönlü ilişki tespit edilmiştir</w:t>
      </w:r>
      <w:r w:rsidR="00BE346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Elde edilen sonuç</w:t>
      </w:r>
      <w:r w:rsidR="00BC73BF"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Finansal Hiyerarşi Kuramı ile uyumludur</w:t>
      </w:r>
      <w:r w:rsidR="00BE346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Rajan ve Zingales (1995)</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Friend ve Lang</w:t>
      </w:r>
      <w:r w:rsidR="00CF7227" w:rsidRPr="009218D1">
        <w:rPr>
          <w:rFonts w:ascii="Times New Roman" w:hAnsi="Times New Roman" w:cs="Times New Roman"/>
          <w:sz w:val="24"/>
          <w:szCs w:val="24"/>
        </w:rPr>
        <w:t xml:space="preserve"> </w:t>
      </w:r>
      <w:r w:rsidR="00746B4F" w:rsidRPr="009218D1">
        <w:rPr>
          <w:rFonts w:ascii="Times New Roman" w:hAnsi="Times New Roman" w:cs="Times New Roman"/>
          <w:sz w:val="24"/>
          <w:szCs w:val="24"/>
        </w:rPr>
        <w:t>(1988)</w:t>
      </w:r>
      <w:r w:rsidR="00CF7227" w:rsidRPr="009218D1">
        <w:rPr>
          <w:rFonts w:ascii="Times New Roman" w:hAnsi="Times New Roman" w:cs="Times New Roman"/>
          <w:sz w:val="24"/>
          <w:szCs w:val="24"/>
        </w:rPr>
        <w:t xml:space="preserve">, </w:t>
      </w:r>
      <w:r w:rsidR="00746B4F" w:rsidRPr="009218D1">
        <w:rPr>
          <w:rFonts w:ascii="Times New Roman" w:hAnsi="Times New Roman" w:cs="Times New Roman"/>
          <w:sz w:val="24"/>
          <w:szCs w:val="24"/>
        </w:rPr>
        <w:t>Titman ve Wessels (1988)</w:t>
      </w:r>
      <w:r w:rsidR="00CF7227" w:rsidRPr="009218D1">
        <w:rPr>
          <w:rFonts w:ascii="Times New Roman" w:hAnsi="Times New Roman" w:cs="Times New Roman"/>
          <w:sz w:val="24"/>
          <w:szCs w:val="24"/>
        </w:rPr>
        <w:t xml:space="preserve">, </w:t>
      </w:r>
      <w:r w:rsidR="00746B4F" w:rsidRPr="009218D1">
        <w:rPr>
          <w:rFonts w:ascii="Times New Roman" w:hAnsi="Times New Roman" w:cs="Times New Roman"/>
          <w:sz w:val="24"/>
          <w:szCs w:val="24"/>
        </w:rPr>
        <w:t>Booth vd</w:t>
      </w:r>
      <w:r w:rsidR="00BE346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(2001)</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Fama ve French (2002)</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Deesomsak vd</w:t>
      </w:r>
      <w:r w:rsidR="00BE346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(2004)</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Huang ve Song (2006)</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Durukan (1997)</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Acaravcı ve Doğukanlı (2004)</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Fıratoğlu (2005)</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Chang vd</w:t>
      </w:r>
      <w:r w:rsidR="00BE346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(2009)</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Sayılgan vd</w:t>
      </w:r>
      <w:r w:rsidR="00BE346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(2006)</w:t>
      </w:r>
      <w:r w:rsidR="00CF722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Chakraborty (2010) ve Demirhan (2009) da çalışmalarında negatif yönlü bir ilişki tespit etmişlerdir</w:t>
      </w:r>
      <w:r w:rsidR="00BE3467" w:rsidRPr="009218D1">
        <w:rPr>
          <w:rFonts w:ascii="Times New Roman" w:hAnsi="Times New Roman" w:cs="Times New Roman"/>
          <w:sz w:val="24"/>
          <w:szCs w:val="24"/>
        </w:rPr>
        <w:t>.</w:t>
      </w:r>
      <w:r w:rsidR="00746B4F" w:rsidRPr="009218D1">
        <w:rPr>
          <w:rFonts w:ascii="Times New Roman" w:hAnsi="Times New Roman" w:cs="Times New Roman"/>
          <w:sz w:val="24"/>
          <w:szCs w:val="24"/>
        </w:rPr>
        <w:t xml:space="preserve"> Borsa İstanbul’da faaliyet gösteren reel sektör işletmeleri kârlı oldukları pozisyonda borçlanmayı daha az tercih etmişlerdir</w:t>
      </w:r>
      <w:r w:rsidR="00BE3467" w:rsidRPr="009218D1">
        <w:rPr>
          <w:rFonts w:ascii="Times New Roman" w:hAnsi="Times New Roman" w:cs="Times New Roman"/>
          <w:sz w:val="24"/>
          <w:szCs w:val="24"/>
        </w:rPr>
        <w:t>.</w:t>
      </w:r>
    </w:p>
    <w:p w:rsidR="00D132A4" w:rsidRPr="009218D1" w:rsidRDefault="00D132A4"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İşletme riski ile kaldıraç oranı arasında pozitif bir ilişki tespit edilmiştir</w:t>
      </w:r>
      <w:r w:rsidR="00BE3467" w:rsidRPr="009218D1">
        <w:rPr>
          <w:rFonts w:ascii="Times New Roman" w:hAnsi="Times New Roman" w:cs="Times New Roman"/>
          <w:sz w:val="24"/>
          <w:szCs w:val="24"/>
        </w:rPr>
        <w:t>.</w:t>
      </w:r>
      <w:r w:rsidR="00C225A2" w:rsidRPr="009218D1">
        <w:rPr>
          <w:rFonts w:ascii="Times New Roman" w:hAnsi="Times New Roman" w:cs="Times New Roman"/>
          <w:sz w:val="24"/>
          <w:szCs w:val="24"/>
        </w:rPr>
        <w:t xml:space="preserve"> Ancak Ödünleşme ve Finansal Hiyerarşi</w:t>
      </w:r>
      <w:r w:rsidRPr="009218D1">
        <w:rPr>
          <w:rFonts w:ascii="Times New Roman" w:hAnsi="Times New Roman" w:cs="Times New Roman"/>
          <w:sz w:val="24"/>
          <w:szCs w:val="24"/>
        </w:rPr>
        <w:t xml:space="preserve"> Teorilerine göre</w:t>
      </w:r>
      <w:r w:rsidR="00A063E8" w:rsidRPr="009218D1">
        <w:rPr>
          <w:rFonts w:ascii="Times New Roman" w:hAnsi="Times New Roman" w:cs="Times New Roman"/>
          <w:sz w:val="24"/>
          <w:szCs w:val="24"/>
        </w:rPr>
        <w:t>;</w:t>
      </w:r>
      <w:r w:rsidRPr="009218D1">
        <w:rPr>
          <w:rFonts w:ascii="Times New Roman" w:hAnsi="Times New Roman" w:cs="Times New Roman"/>
          <w:sz w:val="24"/>
          <w:szCs w:val="24"/>
        </w:rPr>
        <w:t xml:space="preserve"> işletme riskinin kaldıraç oranına negatif bir etkisinin olması gerekmektedir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Borç verenler de işletmenin finansal sıkıntı ile karşılaşabileceğini öngörerek işletme finansal sıkıntıda olmasa bile bu endişelerini işletme menkul kıymetlerinin piyasa değerine</w:t>
      </w:r>
      <w:r w:rsidR="00BC73BF" w:rsidRPr="009218D1">
        <w:rPr>
          <w:rFonts w:ascii="Times New Roman" w:hAnsi="Times New Roman" w:cs="Times New Roman"/>
          <w:sz w:val="24"/>
          <w:szCs w:val="24"/>
        </w:rPr>
        <w:t>,</w:t>
      </w:r>
      <w:r w:rsidRPr="009218D1">
        <w:rPr>
          <w:rFonts w:ascii="Times New Roman" w:hAnsi="Times New Roman" w:cs="Times New Roman"/>
          <w:sz w:val="24"/>
          <w:szCs w:val="24"/>
        </w:rPr>
        <w:t xml:space="preserve"> finansal sıkıntı maliyeti başka bir deyişle iflas maliyeti olarak yansıtırlar (Sayılgan ve Uysal</w:t>
      </w:r>
      <w:r w:rsidR="00BC73BF" w:rsidRPr="009218D1">
        <w:rPr>
          <w:rFonts w:ascii="Times New Roman" w:hAnsi="Times New Roman" w:cs="Times New Roman"/>
          <w:sz w:val="24"/>
          <w:szCs w:val="24"/>
        </w:rPr>
        <w:t>,</w:t>
      </w:r>
      <w:r w:rsidRPr="009218D1">
        <w:rPr>
          <w:rFonts w:ascii="Times New Roman" w:hAnsi="Times New Roman" w:cs="Times New Roman"/>
          <w:sz w:val="24"/>
          <w:szCs w:val="24"/>
        </w:rPr>
        <w:t xml:space="preserve"> 2011)</w:t>
      </w:r>
      <w:r w:rsidR="00BE3467" w:rsidRPr="009218D1">
        <w:rPr>
          <w:rFonts w:ascii="Times New Roman" w:hAnsi="Times New Roman" w:cs="Times New Roman"/>
          <w:sz w:val="24"/>
          <w:szCs w:val="24"/>
        </w:rPr>
        <w:t>.</w:t>
      </w:r>
    </w:p>
    <w:p w:rsidR="00D132A4" w:rsidRPr="009218D1" w:rsidRDefault="00D132A4"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Yapılan birçok çalışmada vergi oranının firmaların kaldıraç oranlarına pozitif yönde etki ettiği belirlenmiştir (Bradley vd</w:t>
      </w:r>
      <w:r w:rsidR="00BE3467" w:rsidRPr="009218D1">
        <w:rPr>
          <w:rFonts w:ascii="Times New Roman" w:hAnsi="Times New Roman" w:cs="Times New Roman"/>
          <w:sz w:val="24"/>
          <w:szCs w:val="24"/>
        </w:rPr>
        <w:t>.</w:t>
      </w:r>
      <w:r w:rsidR="00BF53EE" w:rsidRPr="009218D1">
        <w:rPr>
          <w:rFonts w:ascii="Times New Roman" w:hAnsi="Times New Roman" w:cs="Times New Roman"/>
          <w:sz w:val="24"/>
          <w:szCs w:val="24"/>
        </w:rPr>
        <w:t>,</w:t>
      </w:r>
      <w:r w:rsidRPr="009218D1">
        <w:rPr>
          <w:rFonts w:ascii="Times New Roman" w:hAnsi="Times New Roman" w:cs="Times New Roman"/>
          <w:sz w:val="24"/>
          <w:szCs w:val="24"/>
        </w:rPr>
        <w:t xml:space="preserve"> 1984; Pozdena</w:t>
      </w:r>
      <w:r w:rsidR="00BF53EE" w:rsidRPr="009218D1">
        <w:rPr>
          <w:rFonts w:ascii="Times New Roman" w:hAnsi="Times New Roman" w:cs="Times New Roman"/>
          <w:sz w:val="24"/>
          <w:szCs w:val="24"/>
        </w:rPr>
        <w:t>,</w:t>
      </w:r>
      <w:r w:rsidRPr="009218D1">
        <w:rPr>
          <w:rFonts w:ascii="Times New Roman" w:hAnsi="Times New Roman" w:cs="Times New Roman"/>
          <w:sz w:val="24"/>
          <w:szCs w:val="24"/>
        </w:rPr>
        <w:t xml:space="preserve"> 1987; Tit</w:t>
      </w:r>
      <w:r w:rsidR="00C44077" w:rsidRPr="009218D1">
        <w:rPr>
          <w:rFonts w:ascii="Times New Roman" w:hAnsi="Times New Roman" w:cs="Times New Roman"/>
          <w:sz w:val="24"/>
          <w:szCs w:val="24"/>
        </w:rPr>
        <w:t>man ve Wessels</w:t>
      </w:r>
      <w:r w:rsidR="00BF53EE" w:rsidRPr="009218D1">
        <w:rPr>
          <w:rFonts w:ascii="Times New Roman" w:hAnsi="Times New Roman" w:cs="Times New Roman"/>
          <w:sz w:val="24"/>
          <w:szCs w:val="24"/>
        </w:rPr>
        <w:t>,</w:t>
      </w:r>
      <w:r w:rsidR="00C44077" w:rsidRPr="009218D1">
        <w:rPr>
          <w:rFonts w:ascii="Times New Roman" w:hAnsi="Times New Roman" w:cs="Times New Roman"/>
          <w:sz w:val="24"/>
          <w:szCs w:val="24"/>
        </w:rPr>
        <w:t xml:space="preserve"> 1988)</w:t>
      </w:r>
      <w:r w:rsidR="00BE3467" w:rsidRPr="009218D1">
        <w:rPr>
          <w:rFonts w:ascii="Times New Roman" w:hAnsi="Times New Roman" w:cs="Times New Roman"/>
          <w:sz w:val="24"/>
          <w:szCs w:val="24"/>
        </w:rPr>
        <w:t>.</w:t>
      </w:r>
      <w:r w:rsidR="00C44077" w:rsidRPr="009218D1">
        <w:rPr>
          <w:rFonts w:ascii="Times New Roman" w:hAnsi="Times New Roman" w:cs="Times New Roman"/>
          <w:sz w:val="24"/>
          <w:szCs w:val="24"/>
        </w:rPr>
        <w:t xml:space="preserve"> Ancak bu çalınma</w:t>
      </w:r>
      <w:r w:rsidRPr="009218D1">
        <w:rPr>
          <w:rFonts w:ascii="Times New Roman" w:hAnsi="Times New Roman" w:cs="Times New Roman"/>
          <w:sz w:val="24"/>
          <w:szCs w:val="24"/>
        </w:rPr>
        <w:t>da kaldıraç oranı ile vergi düzeyi arasında anlamlı olmayan negatif bir ilişki tespit edilmiştir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Vergi oranı</w:t>
      </w:r>
      <w:r w:rsidR="00BF53EE" w:rsidRPr="009218D1">
        <w:rPr>
          <w:rFonts w:ascii="Times New Roman" w:hAnsi="Times New Roman" w:cs="Times New Roman"/>
          <w:sz w:val="24"/>
          <w:szCs w:val="24"/>
        </w:rPr>
        <w:t>,</w:t>
      </w:r>
      <w:r w:rsidRPr="009218D1">
        <w:rPr>
          <w:rFonts w:ascii="Times New Roman" w:hAnsi="Times New Roman" w:cs="Times New Roman"/>
          <w:sz w:val="24"/>
          <w:szCs w:val="24"/>
        </w:rPr>
        <w:t xml:space="preserve"> firmanın kaldıraç oranı ile doğrudan ilgilidir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Borcun vergi avantajından dolayı vergi oranındaki artış</w:t>
      </w:r>
      <w:r w:rsidR="00BF53EE" w:rsidRPr="009218D1">
        <w:rPr>
          <w:rFonts w:ascii="Times New Roman" w:hAnsi="Times New Roman" w:cs="Times New Roman"/>
          <w:sz w:val="24"/>
          <w:szCs w:val="24"/>
        </w:rPr>
        <w:t>,</w:t>
      </w:r>
      <w:r w:rsidRPr="009218D1">
        <w:rPr>
          <w:rFonts w:ascii="Times New Roman" w:hAnsi="Times New Roman" w:cs="Times New Roman"/>
          <w:sz w:val="24"/>
          <w:szCs w:val="24"/>
        </w:rPr>
        <w:t xml:space="preserve"> kaldıraç oranında da artışa neden olacaktır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Ancak firmanın faiz ve vergi öncesi kârının faiz indirimi yapacak kadar yüksek olması durumunda geçerlidir (Acaravcı</w:t>
      </w:r>
      <w:r w:rsidR="00BC73BF" w:rsidRPr="009218D1">
        <w:rPr>
          <w:rFonts w:ascii="Times New Roman" w:hAnsi="Times New Roman" w:cs="Times New Roman"/>
          <w:sz w:val="24"/>
          <w:szCs w:val="24"/>
        </w:rPr>
        <w:t>,</w:t>
      </w:r>
      <w:r w:rsidRPr="009218D1">
        <w:rPr>
          <w:rFonts w:ascii="Times New Roman" w:hAnsi="Times New Roman" w:cs="Times New Roman"/>
          <w:sz w:val="24"/>
          <w:szCs w:val="24"/>
        </w:rPr>
        <w:t xml:space="preserve"> 2004)</w:t>
      </w:r>
      <w:r w:rsidR="00BE3467" w:rsidRPr="009218D1">
        <w:rPr>
          <w:rFonts w:ascii="Times New Roman" w:hAnsi="Times New Roman" w:cs="Times New Roman"/>
          <w:sz w:val="24"/>
          <w:szCs w:val="24"/>
        </w:rPr>
        <w:t>.</w:t>
      </w:r>
      <w:r w:rsidR="008B026A" w:rsidRPr="009218D1">
        <w:rPr>
          <w:rFonts w:ascii="Times New Roman" w:hAnsi="Times New Roman" w:cs="Times New Roman"/>
          <w:sz w:val="24"/>
          <w:szCs w:val="24"/>
        </w:rPr>
        <w:t xml:space="preserve"> Çalışmanın örneklemini oluşturan firmaların %</w:t>
      </w:r>
      <w:r w:rsidR="00E5044D" w:rsidRPr="009218D1">
        <w:rPr>
          <w:rFonts w:ascii="Times New Roman" w:hAnsi="Times New Roman" w:cs="Times New Roman"/>
          <w:sz w:val="24"/>
          <w:szCs w:val="24"/>
        </w:rPr>
        <w:t xml:space="preserve"> </w:t>
      </w:r>
      <w:r w:rsidR="008B026A" w:rsidRPr="009218D1">
        <w:rPr>
          <w:rFonts w:ascii="Times New Roman" w:hAnsi="Times New Roman" w:cs="Times New Roman"/>
          <w:sz w:val="24"/>
          <w:szCs w:val="24"/>
        </w:rPr>
        <w:t>32’sinin faiz ve vergi öncesi kârı negatiftir</w:t>
      </w:r>
      <w:r w:rsidR="00BE3467" w:rsidRPr="009218D1">
        <w:rPr>
          <w:rFonts w:ascii="Times New Roman" w:hAnsi="Times New Roman" w:cs="Times New Roman"/>
          <w:sz w:val="24"/>
          <w:szCs w:val="24"/>
        </w:rPr>
        <w:t>.</w:t>
      </w:r>
    </w:p>
    <w:p w:rsidR="001E1271" w:rsidRPr="009218D1" w:rsidRDefault="001E1271"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T</w:t>
      </w:r>
      <w:r w:rsidR="00C4058E" w:rsidRPr="009218D1">
        <w:rPr>
          <w:rFonts w:ascii="Times New Roman" w:hAnsi="Times New Roman" w:cs="Times New Roman"/>
          <w:sz w:val="24"/>
          <w:szCs w:val="24"/>
        </w:rPr>
        <w:t>.</w:t>
      </w:r>
      <w:r w:rsidR="008D47C2">
        <w:rPr>
          <w:rFonts w:ascii="Times New Roman" w:hAnsi="Times New Roman" w:cs="Times New Roman"/>
          <w:sz w:val="24"/>
          <w:szCs w:val="24"/>
        </w:rPr>
        <w:t xml:space="preserve"> </w:t>
      </w:r>
      <w:r w:rsidRPr="009218D1">
        <w:rPr>
          <w:rFonts w:ascii="Times New Roman" w:hAnsi="Times New Roman" w:cs="Times New Roman"/>
          <w:sz w:val="24"/>
          <w:szCs w:val="24"/>
        </w:rPr>
        <w:t>C</w:t>
      </w:r>
      <w:r w:rsidR="00C4058E" w:rsidRPr="009218D1">
        <w:rPr>
          <w:rFonts w:ascii="Times New Roman" w:hAnsi="Times New Roman" w:cs="Times New Roman"/>
          <w:sz w:val="24"/>
          <w:szCs w:val="24"/>
        </w:rPr>
        <w:t>.</w:t>
      </w:r>
      <w:r w:rsidRPr="009218D1">
        <w:rPr>
          <w:rFonts w:ascii="Times New Roman" w:hAnsi="Times New Roman" w:cs="Times New Roman"/>
          <w:sz w:val="24"/>
          <w:szCs w:val="24"/>
        </w:rPr>
        <w:t xml:space="preserve"> Merkez Bankası verilerine göre</w:t>
      </w:r>
      <w:r w:rsidR="00B00E83" w:rsidRPr="009218D1">
        <w:rPr>
          <w:rFonts w:ascii="Times New Roman" w:hAnsi="Times New Roman" w:cs="Times New Roman"/>
          <w:sz w:val="24"/>
          <w:szCs w:val="24"/>
        </w:rPr>
        <w:t>,</w:t>
      </w:r>
      <w:r w:rsidRPr="009218D1">
        <w:rPr>
          <w:rFonts w:ascii="Times New Roman" w:hAnsi="Times New Roman" w:cs="Times New Roman"/>
          <w:sz w:val="24"/>
          <w:szCs w:val="24"/>
        </w:rPr>
        <w:t xml:space="preserve"> 2003-2014 yılları arasında Türkiye’de bankacılık sektörü gelişen bir seyir izlemiştir ancak tez çalışmasında reel sektör işletmelerinin sermaye yapısına anlamlı etki etmediği belirlenmiştir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Bankacılık sektörünün gelişmişlik düzeyi ile kaldıraç oranı arasında pozitif yönlü ancak anlamsız bir ilişki bulunmuştur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Bankacılık sektörünün gelişmiş olduğu ülkelerde firmalar daha kolay borçlanabilmektedir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Özellikle küçük firmaların dışsal finansman sağlamaları kolaylaşmaktadır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Borsanın gelişmişlik düzeyinin kaldıraç oranına anlamlı bir etkisinin olmadığı tespit edilmiştir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Kamu iç borç stoku oranı ile kaldıraç oranı arasında ise pozitif yönlü bir ilişki tespit edilmiştir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Genel görüşe göre; kaldıraç oranı ile kamu iç borç stoku arasında negatif bir ilişki vardır çünkü finansal piyasalarda birikimlere el koyar ve yatırımlara yöneltilecek kaynakların azalmasına neden olur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Ancak Borsa İstanbul’da işlem gören firmaların borçlanmaları üzerinde olumsuz bir etkisi olmamıştır</w:t>
      </w:r>
      <w:r w:rsidR="00BE3467" w:rsidRPr="009218D1">
        <w:rPr>
          <w:rFonts w:ascii="Times New Roman" w:hAnsi="Times New Roman" w:cs="Times New Roman"/>
          <w:sz w:val="24"/>
          <w:szCs w:val="24"/>
        </w:rPr>
        <w:t>.</w:t>
      </w:r>
    </w:p>
    <w:p w:rsidR="004A6DA3" w:rsidRPr="009218D1" w:rsidRDefault="004A6DA3"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Çalışmada dağıtılan temettüler ile kaldıraç oranı arasında anlamlı bir ilişki tespit edilememiştir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Borsa İstanbul’da faaliyet gösteren reel sektör işletmeleri otofinansman yerine temettü dağıttıklarında</w:t>
      </w:r>
      <w:r w:rsidR="000F0951" w:rsidRPr="009218D1">
        <w:rPr>
          <w:rFonts w:ascii="Times New Roman" w:hAnsi="Times New Roman" w:cs="Times New Roman"/>
          <w:sz w:val="24"/>
          <w:szCs w:val="24"/>
        </w:rPr>
        <w:t>,</w:t>
      </w:r>
      <w:r w:rsidRPr="009218D1">
        <w:rPr>
          <w:rFonts w:ascii="Times New Roman" w:hAnsi="Times New Roman" w:cs="Times New Roman"/>
          <w:sz w:val="24"/>
          <w:szCs w:val="24"/>
        </w:rPr>
        <w:t xml:space="preserve"> bunun sonucu olarak dışsal kaynağa ihtiyaç duydukları şeklinde bir yorum yapılamamaktadır</w:t>
      </w:r>
      <w:r w:rsidR="00BE3467" w:rsidRPr="009218D1">
        <w:rPr>
          <w:rFonts w:ascii="Times New Roman" w:hAnsi="Times New Roman" w:cs="Times New Roman"/>
          <w:sz w:val="24"/>
          <w:szCs w:val="24"/>
        </w:rPr>
        <w:t>.</w:t>
      </w:r>
    </w:p>
    <w:p w:rsidR="001B2B2F" w:rsidRPr="009218D1" w:rsidRDefault="00086E53" w:rsidP="00AD17A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lastRenderedPageBreak/>
        <w:t>5. SONUÇ</w:t>
      </w:r>
    </w:p>
    <w:p w:rsidR="001B2B2F" w:rsidRPr="009218D1" w:rsidRDefault="001B2B2F"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Çalışmanın örneklemin</w:t>
      </w:r>
      <w:r w:rsidR="00C14AA1" w:rsidRPr="009218D1">
        <w:rPr>
          <w:rFonts w:ascii="Times New Roman" w:hAnsi="Times New Roman" w:cs="Times New Roman"/>
          <w:sz w:val="24"/>
          <w:szCs w:val="24"/>
        </w:rPr>
        <w:t>i oluşturan firmaların Finansal Hiyerarşi</w:t>
      </w:r>
      <w:r w:rsidRPr="009218D1">
        <w:rPr>
          <w:rFonts w:ascii="Times New Roman" w:hAnsi="Times New Roman" w:cs="Times New Roman"/>
          <w:sz w:val="24"/>
          <w:szCs w:val="24"/>
        </w:rPr>
        <w:t xml:space="preserve"> Teorisine uygun davranışlar gösterdiği tespit edilmiştir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Elde edilen sonuç</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Gülşen ve Ülkütaş (2012)</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Kısakürek ve Aydın (2013)</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Yıldız vd</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(2009)</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Fettahoğlu ve Okuyan (2008)</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Demirhan (2009)</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Çağlayan (2006)</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Acaravcı ve Doğukanlı (2004) ve Durukan (1997) tarafından yapılan çalışmaları desteklemektedir</w:t>
      </w:r>
      <w:r w:rsidR="00BE3467" w:rsidRPr="009218D1">
        <w:rPr>
          <w:rFonts w:ascii="Times New Roman" w:hAnsi="Times New Roman" w:cs="Times New Roman"/>
          <w:sz w:val="24"/>
          <w:szCs w:val="24"/>
        </w:rPr>
        <w:t>.</w:t>
      </w:r>
      <w:r w:rsidR="005D4A48" w:rsidRPr="009218D1">
        <w:rPr>
          <w:rFonts w:ascii="Times New Roman" w:hAnsi="Times New Roman" w:cs="Times New Roman"/>
          <w:sz w:val="24"/>
          <w:szCs w:val="24"/>
        </w:rPr>
        <w:t xml:space="preserve"> </w:t>
      </w:r>
      <w:r w:rsidR="00273799" w:rsidRPr="009218D1">
        <w:rPr>
          <w:rFonts w:ascii="Times New Roman" w:hAnsi="Times New Roman" w:cs="Times New Roman"/>
          <w:sz w:val="24"/>
          <w:szCs w:val="24"/>
        </w:rPr>
        <w:t>Kaldıraç oranına firma içi değişkenlerin etki düzeyinin daha fazla olduğu belirlenmiştir</w:t>
      </w:r>
      <w:r w:rsidR="00BE3467" w:rsidRPr="009218D1">
        <w:rPr>
          <w:rFonts w:ascii="Times New Roman" w:hAnsi="Times New Roman" w:cs="Times New Roman"/>
          <w:sz w:val="24"/>
          <w:szCs w:val="24"/>
        </w:rPr>
        <w:t>.</w:t>
      </w:r>
      <w:r w:rsidR="00273799" w:rsidRPr="009218D1">
        <w:rPr>
          <w:rFonts w:ascii="Times New Roman" w:hAnsi="Times New Roman" w:cs="Times New Roman"/>
          <w:sz w:val="24"/>
          <w:szCs w:val="24"/>
        </w:rPr>
        <w:t xml:space="preserve"> Finans</w:t>
      </w:r>
      <w:r w:rsidR="00E94202" w:rsidRPr="009218D1">
        <w:rPr>
          <w:rFonts w:ascii="Times New Roman" w:hAnsi="Times New Roman" w:cs="Times New Roman"/>
          <w:sz w:val="24"/>
          <w:szCs w:val="24"/>
        </w:rPr>
        <w:t>al Hiyerarşi</w:t>
      </w:r>
      <w:r w:rsidR="00273799" w:rsidRPr="009218D1">
        <w:rPr>
          <w:rFonts w:ascii="Times New Roman" w:hAnsi="Times New Roman" w:cs="Times New Roman"/>
          <w:sz w:val="24"/>
          <w:szCs w:val="24"/>
        </w:rPr>
        <w:t xml:space="preserve"> Teorisini destekleyen sonuçları yorumlayacak olursak; </w:t>
      </w:r>
      <w:r w:rsidR="005D4A48" w:rsidRPr="009218D1">
        <w:rPr>
          <w:rFonts w:ascii="Times New Roman" w:hAnsi="Times New Roman" w:cs="Times New Roman"/>
          <w:sz w:val="24"/>
          <w:szCs w:val="24"/>
        </w:rPr>
        <w:t xml:space="preserve">büyüme fırsatı </w:t>
      </w:r>
      <w:r w:rsidR="00282A1A" w:rsidRPr="009218D1">
        <w:rPr>
          <w:rFonts w:ascii="Times New Roman" w:hAnsi="Times New Roman" w:cs="Times New Roman"/>
          <w:sz w:val="24"/>
          <w:szCs w:val="24"/>
        </w:rPr>
        <w:t>ile karşılaşan</w:t>
      </w:r>
      <w:r w:rsidR="005D4A48" w:rsidRPr="009218D1">
        <w:rPr>
          <w:rFonts w:ascii="Times New Roman" w:hAnsi="Times New Roman" w:cs="Times New Roman"/>
          <w:sz w:val="24"/>
          <w:szCs w:val="24"/>
        </w:rPr>
        <w:t xml:space="preserve"> </w:t>
      </w:r>
      <w:r w:rsidRPr="009218D1">
        <w:rPr>
          <w:rFonts w:ascii="Times New Roman" w:hAnsi="Times New Roman" w:cs="Times New Roman"/>
          <w:sz w:val="24"/>
          <w:szCs w:val="24"/>
        </w:rPr>
        <w:t>firmaların kaldıraç oranları artmaktadır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Yüksek tutar</w:t>
      </w:r>
      <w:r w:rsidR="005D4A48" w:rsidRPr="009218D1">
        <w:rPr>
          <w:rFonts w:ascii="Times New Roman" w:hAnsi="Times New Roman" w:cs="Times New Roman"/>
          <w:sz w:val="24"/>
          <w:szCs w:val="24"/>
        </w:rPr>
        <w:t xml:space="preserve">da maddi duran varlıkları olan </w:t>
      </w:r>
      <w:r w:rsidRPr="009218D1">
        <w:rPr>
          <w:rFonts w:ascii="Times New Roman" w:hAnsi="Times New Roman" w:cs="Times New Roman"/>
          <w:sz w:val="24"/>
          <w:szCs w:val="24"/>
        </w:rPr>
        <w:t>i</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letmeler özsermaye ile finansmana ağırlık verere</w:t>
      </w:r>
      <w:r w:rsidR="005D4A48" w:rsidRPr="009218D1">
        <w:rPr>
          <w:rFonts w:ascii="Times New Roman" w:hAnsi="Times New Roman" w:cs="Times New Roman"/>
          <w:sz w:val="24"/>
          <w:szCs w:val="24"/>
        </w:rPr>
        <w:t>k</w:t>
      </w:r>
      <w:r w:rsidR="000B17F7" w:rsidRPr="009218D1">
        <w:rPr>
          <w:rFonts w:ascii="Times New Roman" w:hAnsi="Times New Roman" w:cs="Times New Roman"/>
          <w:sz w:val="24"/>
          <w:szCs w:val="24"/>
        </w:rPr>
        <w:t>,</w:t>
      </w:r>
      <w:r w:rsidR="005D4A48" w:rsidRPr="009218D1">
        <w:rPr>
          <w:rFonts w:ascii="Times New Roman" w:hAnsi="Times New Roman" w:cs="Times New Roman"/>
          <w:sz w:val="24"/>
          <w:szCs w:val="24"/>
        </w:rPr>
        <w:t xml:space="preserve"> daha az borçlanmaktadırlar</w:t>
      </w:r>
      <w:r w:rsidR="00BE3467" w:rsidRPr="009218D1">
        <w:rPr>
          <w:rFonts w:ascii="Times New Roman" w:hAnsi="Times New Roman" w:cs="Times New Roman"/>
          <w:sz w:val="24"/>
          <w:szCs w:val="24"/>
        </w:rPr>
        <w:t>.</w:t>
      </w:r>
      <w:r w:rsidR="005D4A48" w:rsidRPr="009218D1">
        <w:rPr>
          <w:rFonts w:ascii="Times New Roman" w:hAnsi="Times New Roman" w:cs="Times New Roman"/>
          <w:sz w:val="24"/>
          <w:szCs w:val="24"/>
        </w:rPr>
        <w:t xml:space="preserve"> </w:t>
      </w:r>
      <w:r w:rsidRPr="009218D1">
        <w:rPr>
          <w:rFonts w:ascii="Times New Roman" w:hAnsi="Times New Roman" w:cs="Times New Roman"/>
          <w:sz w:val="24"/>
          <w:szCs w:val="24"/>
        </w:rPr>
        <w:t>Varlık yapısının negatif etkisi</w:t>
      </w:r>
      <w:r w:rsidR="00B00E83" w:rsidRPr="009218D1">
        <w:rPr>
          <w:rFonts w:ascii="Times New Roman" w:hAnsi="Times New Roman" w:cs="Times New Roman"/>
          <w:sz w:val="24"/>
          <w:szCs w:val="24"/>
        </w:rPr>
        <w:t>,</w:t>
      </w:r>
      <w:r w:rsidRPr="009218D1">
        <w:rPr>
          <w:rFonts w:ascii="Times New Roman" w:hAnsi="Times New Roman" w:cs="Times New Roman"/>
          <w:sz w:val="24"/>
          <w:szCs w:val="24"/>
        </w:rPr>
        <w:t xml:space="preserve"> varlıkların krediler için </w:t>
      </w:r>
      <w:r w:rsidR="005D4A48" w:rsidRPr="009218D1">
        <w:rPr>
          <w:rFonts w:ascii="Times New Roman" w:hAnsi="Times New Roman" w:cs="Times New Roman"/>
          <w:sz w:val="24"/>
          <w:szCs w:val="24"/>
        </w:rPr>
        <w:t xml:space="preserve">teminat olarak gösterilmesinin </w:t>
      </w:r>
      <w:r w:rsidRPr="009218D1">
        <w:rPr>
          <w:rFonts w:ascii="Times New Roman" w:hAnsi="Times New Roman" w:cs="Times New Roman"/>
          <w:sz w:val="24"/>
          <w:szCs w:val="24"/>
        </w:rPr>
        <w:t>baskın bir durum olmadığın</w:t>
      </w:r>
      <w:r w:rsidR="000B17F7" w:rsidRPr="009218D1">
        <w:rPr>
          <w:rFonts w:ascii="Times New Roman" w:hAnsi="Times New Roman" w:cs="Times New Roman"/>
          <w:sz w:val="24"/>
          <w:szCs w:val="24"/>
        </w:rPr>
        <w:t>a</w:t>
      </w:r>
      <w:r w:rsidRPr="009218D1">
        <w:rPr>
          <w:rFonts w:ascii="Times New Roman" w:hAnsi="Times New Roman" w:cs="Times New Roman"/>
          <w:sz w:val="24"/>
          <w:szCs w:val="24"/>
        </w:rPr>
        <w:t xml:space="preserve"> dair bir gösterge olarak </w:t>
      </w:r>
      <w:r w:rsidR="005D4A48" w:rsidRPr="009218D1">
        <w:rPr>
          <w:rFonts w:ascii="Times New Roman" w:hAnsi="Times New Roman" w:cs="Times New Roman"/>
          <w:sz w:val="24"/>
          <w:szCs w:val="24"/>
        </w:rPr>
        <w:t>algılanabilir</w:t>
      </w:r>
      <w:r w:rsidR="00BE3467" w:rsidRPr="009218D1">
        <w:rPr>
          <w:rFonts w:ascii="Times New Roman" w:hAnsi="Times New Roman" w:cs="Times New Roman"/>
          <w:sz w:val="24"/>
          <w:szCs w:val="24"/>
        </w:rPr>
        <w:t>.</w:t>
      </w:r>
      <w:r w:rsidR="005D4A48" w:rsidRPr="009218D1">
        <w:rPr>
          <w:rFonts w:ascii="Times New Roman" w:hAnsi="Times New Roman" w:cs="Times New Roman"/>
          <w:sz w:val="24"/>
          <w:szCs w:val="24"/>
        </w:rPr>
        <w:t xml:space="preserve"> Ayrıca Acaravcı </w:t>
      </w:r>
      <w:r w:rsidRPr="009218D1">
        <w:rPr>
          <w:rFonts w:ascii="Times New Roman" w:hAnsi="Times New Roman" w:cs="Times New Roman"/>
          <w:sz w:val="24"/>
          <w:szCs w:val="24"/>
        </w:rPr>
        <w:t>(2004)</w:t>
      </w:r>
      <w:r w:rsidR="000B17F7" w:rsidRPr="009218D1">
        <w:rPr>
          <w:rFonts w:ascii="Times New Roman" w:hAnsi="Times New Roman" w:cs="Times New Roman"/>
          <w:sz w:val="24"/>
          <w:szCs w:val="24"/>
        </w:rPr>
        <w:t xml:space="preserve">, </w:t>
      </w:r>
      <w:r w:rsidRPr="009218D1">
        <w:rPr>
          <w:rFonts w:ascii="Times New Roman" w:hAnsi="Times New Roman" w:cs="Times New Roman"/>
          <w:sz w:val="24"/>
          <w:szCs w:val="24"/>
        </w:rPr>
        <w:t>özsermaye içinde maddi duran varlık</w:t>
      </w:r>
      <w:r w:rsidR="00086E53" w:rsidRPr="009218D1">
        <w:rPr>
          <w:rFonts w:ascii="Times New Roman" w:hAnsi="Times New Roman" w:cs="Times New Roman"/>
          <w:sz w:val="24"/>
          <w:szCs w:val="24"/>
        </w:rPr>
        <w:t>ların</w:t>
      </w:r>
      <w:r w:rsidRPr="009218D1">
        <w:rPr>
          <w:rFonts w:ascii="Times New Roman" w:hAnsi="Times New Roman" w:cs="Times New Roman"/>
          <w:sz w:val="24"/>
          <w:szCs w:val="24"/>
        </w:rPr>
        <w:t xml:space="preserve"> yeni</w:t>
      </w:r>
      <w:r w:rsidR="005D4A48" w:rsidRPr="009218D1">
        <w:rPr>
          <w:rFonts w:ascii="Times New Roman" w:hAnsi="Times New Roman" w:cs="Times New Roman"/>
          <w:sz w:val="24"/>
          <w:szCs w:val="24"/>
        </w:rPr>
        <w:t>den değerlemelerindeki artı</w:t>
      </w:r>
      <w:r w:rsidR="00846FA7" w:rsidRPr="009218D1">
        <w:rPr>
          <w:rFonts w:ascii="Times New Roman" w:hAnsi="Times New Roman" w:cs="Times New Roman"/>
          <w:sz w:val="24"/>
          <w:szCs w:val="24"/>
        </w:rPr>
        <w:t>ş</w:t>
      </w:r>
      <w:r w:rsidR="005D4A48" w:rsidRPr="009218D1">
        <w:rPr>
          <w:rFonts w:ascii="Times New Roman" w:hAnsi="Times New Roman" w:cs="Times New Roman"/>
          <w:sz w:val="24"/>
          <w:szCs w:val="24"/>
        </w:rPr>
        <w:t xml:space="preserve">ın </w:t>
      </w:r>
      <w:r w:rsidRPr="009218D1">
        <w:rPr>
          <w:rFonts w:ascii="Times New Roman" w:hAnsi="Times New Roman" w:cs="Times New Roman"/>
          <w:sz w:val="24"/>
          <w:szCs w:val="24"/>
        </w:rPr>
        <w:t>borçluluk oranını azalttığını vurgulamı</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tır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p>
    <w:p w:rsidR="005D4A48" w:rsidRPr="009218D1" w:rsidRDefault="001B2B2F"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Temsil Teorisine uygun olarak büyüme fırsatı ola</w:t>
      </w:r>
      <w:r w:rsidR="005D4A48" w:rsidRPr="009218D1">
        <w:rPr>
          <w:rFonts w:ascii="Times New Roman" w:hAnsi="Times New Roman" w:cs="Times New Roman"/>
          <w:sz w:val="24"/>
          <w:szCs w:val="24"/>
        </w:rPr>
        <w:t xml:space="preserve">n firmalarda yöneticiler hisse </w:t>
      </w:r>
      <w:r w:rsidRPr="009218D1">
        <w:rPr>
          <w:rFonts w:ascii="Times New Roman" w:hAnsi="Times New Roman" w:cs="Times New Roman"/>
          <w:sz w:val="24"/>
          <w:szCs w:val="24"/>
        </w:rPr>
        <w:t>senedi ihraç etmektense borçlanmayı tercih etmektedir</w:t>
      </w:r>
      <w:r w:rsidR="005D4A48" w:rsidRPr="009218D1">
        <w:rPr>
          <w:rFonts w:ascii="Times New Roman" w:hAnsi="Times New Roman" w:cs="Times New Roman"/>
          <w:sz w:val="24"/>
          <w:szCs w:val="24"/>
        </w:rPr>
        <w:t xml:space="preserve">ler çünkü borç verenler sadece </w:t>
      </w:r>
      <w:r w:rsidRPr="009218D1">
        <w:rPr>
          <w:rFonts w:ascii="Times New Roman" w:hAnsi="Times New Roman" w:cs="Times New Roman"/>
          <w:sz w:val="24"/>
          <w:szCs w:val="24"/>
        </w:rPr>
        <w:t>finansal sıkıntı anında projeleri kontrol ederler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282A1A" w:rsidRPr="009218D1">
        <w:rPr>
          <w:rFonts w:ascii="Times New Roman" w:hAnsi="Times New Roman" w:cs="Times New Roman"/>
          <w:sz w:val="24"/>
          <w:szCs w:val="24"/>
        </w:rPr>
        <w:t>Ancak h</w:t>
      </w:r>
      <w:r w:rsidRPr="009218D1">
        <w:rPr>
          <w:rFonts w:ascii="Times New Roman" w:hAnsi="Times New Roman" w:cs="Times New Roman"/>
          <w:sz w:val="24"/>
          <w:szCs w:val="24"/>
        </w:rPr>
        <w:t xml:space="preserve">issedarlar </w:t>
      </w:r>
      <w:r w:rsidR="00282A1A" w:rsidRPr="009218D1">
        <w:rPr>
          <w:rFonts w:ascii="Times New Roman" w:hAnsi="Times New Roman" w:cs="Times New Roman"/>
          <w:sz w:val="24"/>
          <w:szCs w:val="24"/>
        </w:rPr>
        <w:t xml:space="preserve">projeleri </w:t>
      </w:r>
      <w:r w:rsidRPr="009218D1">
        <w:rPr>
          <w:rFonts w:ascii="Times New Roman" w:hAnsi="Times New Roman" w:cs="Times New Roman"/>
          <w:sz w:val="24"/>
          <w:szCs w:val="24"/>
        </w:rPr>
        <w:t>ba</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ta</w:t>
      </w:r>
      <w:r w:rsidR="005D4A48" w:rsidRPr="009218D1">
        <w:rPr>
          <w:rFonts w:ascii="Times New Roman" w:hAnsi="Times New Roman" w:cs="Times New Roman"/>
          <w:sz w:val="24"/>
          <w:szCs w:val="24"/>
        </w:rPr>
        <w:t xml:space="preserve">n sona kontrol </w:t>
      </w:r>
      <w:r w:rsidRPr="009218D1">
        <w:rPr>
          <w:rFonts w:ascii="Times New Roman" w:hAnsi="Times New Roman" w:cs="Times New Roman"/>
          <w:sz w:val="24"/>
          <w:szCs w:val="24"/>
        </w:rPr>
        <w:t>etmek isteyeceklerdir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Hissedarlar ve aile </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irketleri bo</w:t>
      </w:r>
      <w:r w:rsidR="005D4A48" w:rsidRPr="009218D1">
        <w:rPr>
          <w:rFonts w:ascii="Times New Roman" w:hAnsi="Times New Roman" w:cs="Times New Roman"/>
          <w:sz w:val="24"/>
          <w:szCs w:val="24"/>
        </w:rPr>
        <w:t xml:space="preserve">rcu tercih etmektedirler çünkü </w:t>
      </w:r>
      <w:r w:rsidRPr="009218D1">
        <w:rPr>
          <w:rFonts w:ascii="Times New Roman" w:hAnsi="Times New Roman" w:cs="Times New Roman"/>
          <w:sz w:val="24"/>
          <w:szCs w:val="24"/>
        </w:rPr>
        <w:t>hisse paylarının azalmasını istemezler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Ayrıca S</w:t>
      </w:r>
      <w:r w:rsidR="005D4A48" w:rsidRPr="009218D1">
        <w:rPr>
          <w:rFonts w:ascii="Times New Roman" w:hAnsi="Times New Roman" w:cs="Times New Roman"/>
          <w:sz w:val="24"/>
          <w:szCs w:val="24"/>
        </w:rPr>
        <w:t xml:space="preserve">ayılgan ve Uysal (2011)’a göre </w:t>
      </w:r>
      <w:r w:rsidRPr="009218D1">
        <w:rPr>
          <w:rFonts w:ascii="Times New Roman" w:hAnsi="Times New Roman" w:cs="Times New Roman"/>
          <w:sz w:val="24"/>
          <w:szCs w:val="24"/>
        </w:rPr>
        <w:t>firmalar kârlı olsalar dahi kârlarını faaliyetlerinde ku</w:t>
      </w:r>
      <w:r w:rsidR="005D4A48" w:rsidRPr="009218D1">
        <w:rPr>
          <w:rFonts w:ascii="Times New Roman" w:hAnsi="Times New Roman" w:cs="Times New Roman"/>
          <w:sz w:val="24"/>
          <w:szCs w:val="24"/>
        </w:rPr>
        <w:t xml:space="preserve">llanmazlar ve aile bireylerine </w:t>
      </w:r>
      <w:r w:rsidRPr="009218D1">
        <w:rPr>
          <w:rFonts w:ascii="Times New Roman" w:hAnsi="Times New Roman" w:cs="Times New Roman"/>
          <w:sz w:val="24"/>
          <w:szCs w:val="24"/>
        </w:rPr>
        <w:t>transfer ederler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Türkiye’de kârlı olsun ya da olmas</w:t>
      </w:r>
      <w:r w:rsidR="005D4A48" w:rsidRPr="009218D1">
        <w:rPr>
          <w:rFonts w:ascii="Times New Roman" w:hAnsi="Times New Roman" w:cs="Times New Roman"/>
          <w:sz w:val="24"/>
          <w:szCs w:val="24"/>
        </w:rPr>
        <w:t xml:space="preserve">ın büyüme fırsatına sahip olan </w:t>
      </w:r>
      <w:r w:rsidRPr="009218D1">
        <w:rPr>
          <w:rFonts w:ascii="Times New Roman" w:hAnsi="Times New Roman" w:cs="Times New Roman"/>
          <w:sz w:val="24"/>
          <w:szCs w:val="24"/>
        </w:rPr>
        <w:t>tüm firmalar için ilk akla gelen f</w:t>
      </w:r>
      <w:r w:rsidR="00846FA7" w:rsidRPr="009218D1">
        <w:rPr>
          <w:rFonts w:ascii="Times New Roman" w:hAnsi="Times New Roman" w:cs="Times New Roman"/>
          <w:sz w:val="24"/>
          <w:szCs w:val="24"/>
        </w:rPr>
        <w:t>inansman yöntemi borçlanmadır</w:t>
      </w:r>
      <w:r w:rsidR="00BE3467" w:rsidRPr="009218D1">
        <w:rPr>
          <w:rFonts w:ascii="Times New Roman" w:hAnsi="Times New Roman" w:cs="Times New Roman"/>
          <w:sz w:val="24"/>
          <w:szCs w:val="24"/>
        </w:rPr>
        <w:t>.</w:t>
      </w:r>
      <w:r w:rsidR="001F4E45" w:rsidRPr="009218D1">
        <w:rPr>
          <w:rFonts w:ascii="Times New Roman" w:hAnsi="Times New Roman" w:cs="Times New Roman"/>
          <w:sz w:val="24"/>
          <w:szCs w:val="24"/>
        </w:rPr>
        <w:t xml:space="preserve"> </w:t>
      </w:r>
    </w:p>
    <w:p w:rsidR="001C1151" w:rsidRPr="009218D1" w:rsidRDefault="005D4A48" w:rsidP="00AD17AB">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 xml:space="preserve">Borsa </w:t>
      </w:r>
      <w:r w:rsidR="00846FA7" w:rsidRPr="009218D1">
        <w:rPr>
          <w:rFonts w:ascii="Times New Roman" w:hAnsi="Times New Roman" w:cs="Times New Roman"/>
          <w:sz w:val="24"/>
          <w:szCs w:val="24"/>
        </w:rPr>
        <w:t>İ</w:t>
      </w:r>
      <w:r w:rsidRPr="009218D1">
        <w:rPr>
          <w:rFonts w:ascii="Times New Roman" w:hAnsi="Times New Roman" w:cs="Times New Roman"/>
          <w:sz w:val="24"/>
          <w:szCs w:val="24"/>
        </w:rPr>
        <w:t>stanbul’da i</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lem gören firmalar öncelikle iç fonları kullanmalarına rağmen</w:t>
      </w:r>
      <w:r w:rsidR="000B17F7" w:rsidRPr="009218D1">
        <w:rPr>
          <w:rFonts w:ascii="Times New Roman" w:hAnsi="Times New Roman" w:cs="Times New Roman"/>
          <w:sz w:val="24"/>
          <w:szCs w:val="24"/>
        </w:rPr>
        <w:t>,</w:t>
      </w:r>
      <w:r w:rsidRPr="009218D1">
        <w:rPr>
          <w:rFonts w:ascii="Times New Roman" w:hAnsi="Times New Roman" w:cs="Times New Roman"/>
          <w:sz w:val="24"/>
          <w:szCs w:val="24"/>
        </w:rPr>
        <w:t xml:space="preserve"> borçluluk oranlarının artı</w:t>
      </w:r>
      <w:r w:rsidR="001F4E45" w:rsidRPr="009218D1">
        <w:rPr>
          <w:rFonts w:ascii="Times New Roman" w:hAnsi="Times New Roman" w:cs="Times New Roman"/>
          <w:sz w:val="24"/>
          <w:szCs w:val="24"/>
        </w:rPr>
        <w:t>ş</w:t>
      </w:r>
      <w:r w:rsidRPr="009218D1">
        <w:rPr>
          <w:rFonts w:ascii="Times New Roman" w:hAnsi="Times New Roman" w:cs="Times New Roman"/>
          <w:sz w:val="24"/>
          <w:szCs w:val="24"/>
        </w:rPr>
        <w:t xml:space="preserve"> göstermesi kârlılığın yeterli olmadığını göstermektedir</w:t>
      </w:r>
      <w:r w:rsidR="00BE3467" w:rsidRPr="009218D1">
        <w:rPr>
          <w:rFonts w:ascii="Times New Roman" w:hAnsi="Times New Roman" w:cs="Times New Roman"/>
          <w:sz w:val="24"/>
          <w:szCs w:val="24"/>
        </w:rPr>
        <w:t>.</w:t>
      </w:r>
      <w:r w:rsidR="00282A1A" w:rsidRPr="009218D1">
        <w:rPr>
          <w:rFonts w:ascii="Times New Roman" w:hAnsi="Times New Roman" w:cs="Times New Roman"/>
          <w:sz w:val="24"/>
          <w:szCs w:val="24"/>
        </w:rPr>
        <w:t xml:space="preserve"> Örneklemi oluşturan</w:t>
      </w:r>
      <w:r w:rsidRPr="009218D1">
        <w:rPr>
          <w:rFonts w:ascii="Times New Roman" w:hAnsi="Times New Roman" w:cs="Times New Roman"/>
          <w:sz w:val="24"/>
          <w:szCs w:val="24"/>
        </w:rPr>
        <w:t xml:space="preserve"> </w:t>
      </w:r>
      <w:r w:rsidR="00282A1A" w:rsidRPr="009218D1">
        <w:rPr>
          <w:rFonts w:ascii="Times New Roman" w:hAnsi="Times New Roman" w:cs="Times New Roman"/>
          <w:sz w:val="24"/>
          <w:szCs w:val="24"/>
        </w:rPr>
        <w:t>f</w:t>
      </w:r>
      <w:r w:rsidRPr="009218D1">
        <w:rPr>
          <w:rFonts w:ascii="Times New Roman" w:hAnsi="Times New Roman" w:cs="Times New Roman"/>
          <w:sz w:val="24"/>
          <w:szCs w:val="24"/>
        </w:rPr>
        <w:t>irmaların ortalama kârlılık oranı 0</w:t>
      </w:r>
      <w:r w:rsidR="00086E53" w:rsidRPr="009218D1">
        <w:rPr>
          <w:rFonts w:ascii="Times New Roman" w:hAnsi="Times New Roman" w:cs="Times New Roman"/>
          <w:sz w:val="24"/>
          <w:szCs w:val="24"/>
        </w:rPr>
        <w:t>,</w:t>
      </w:r>
      <w:r w:rsidRPr="009218D1">
        <w:rPr>
          <w:rFonts w:ascii="Times New Roman" w:hAnsi="Times New Roman" w:cs="Times New Roman"/>
          <w:sz w:val="24"/>
          <w:szCs w:val="24"/>
        </w:rPr>
        <w:t>04’tür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Türkiye’de faktöring bankacılık dı</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ındaki önemli fon kaynaklarındandır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 çalı</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mada ortaya konan yetersiz iç kaynaklar sorununu destekler nitelikte bir tespittir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Bankaların özel sektöre verdiği kredilerinin fon kaynakları içindeki payı diğer ülkelere göre oldukça dü</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ük seyretmi</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ti</w:t>
      </w:r>
      <w:r w:rsidR="00086E53" w:rsidRPr="009218D1">
        <w:rPr>
          <w:rFonts w:ascii="Times New Roman" w:hAnsi="Times New Roman" w:cs="Times New Roman"/>
          <w:sz w:val="24"/>
          <w:szCs w:val="24"/>
        </w:rPr>
        <w:t>r çünkü bankacılık sektörü yurt</w:t>
      </w:r>
      <w:r w:rsidRPr="009218D1">
        <w:rPr>
          <w:rFonts w:ascii="Times New Roman" w:hAnsi="Times New Roman" w:cs="Times New Roman"/>
          <w:sz w:val="24"/>
          <w:szCs w:val="24"/>
        </w:rPr>
        <w:t>içi tasarruflardaki dü</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ü</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 xml:space="preserve">ün de etkisiyle </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irketlerin ihtiyacını kar</w:t>
      </w:r>
      <w:r w:rsidR="00846FA7" w:rsidRPr="009218D1">
        <w:rPr>
          <w:rFonts w:ascii="Times New Roman" w:hAnsi="Times New Roman" w:cs="Times New Roman"/>
          <w:sz w:val="24"/>
          <w:szCs w:val="24"/>
        </w:rPr>
        <w:t>ş</w:t>
      </w:r>
      <w:r w:rsidR="00086E53" w:rsidRPr="009218D1">
        <w:rPr>
          <w:rFonts w:ascii="Times New Roman" w:hAnsi="Times New Roman" w:cs="Times New Roman"/>
          <w:sz w:val="24"/>
          <w:szCs w:val="24"/>
        </w:rPr>
        <w:t>ılayacak düzeyde Türk L</w:t>
      </w:r>
      <w:r w:rsidRPr="009218D1">
        <w:rPr>
          <w:rFonts w:ascii="Times New Roman" w:hAnsi="Times New Roman" w:cs="Times New Roman"/>
          <w:sz w:val="24"/>
          <w:szCs w:val="24"/>
        </w:rPr>
        <w:t>irası cinsinden dü</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ük maliyetlerde kaynak üretememi</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tir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FE1802" w:rsidRPr="009218D1">
        <w:rPr>
          <w:rFonts w:ascii="Times New Roman" w:hAnsi="Times New Roman" w:cs="Times New Roman"/>
          <w:sz w:val="24"/>
          <w:szCs w:val="24"/>
        </w:rPr>
        <w:t xml:space="preserve">Bankacılık sektörünün gelişmişlik düzeyinin anlamsız çıkmasının nedeni </w:t>
      </w:r>
      <w:r w:rsidR="000B17F7" w:rsidRPr="009218D1">
        <w:rPr>
          <w:rFonts w:ascii="Times New Roman" w:hAnsi="Times New Roman" w:cs="Times New Roman"/>
          <w:sz w:val="24"/>
          <w:szCs w:val="24"/>
        </w:rPr>
        <w:t xml:space="preserve">olarak </w:t>
      </w:r>
      <w:r w:rsidR="00FE1802" w:rsidRPr="009218D1">
        <w:rPr>
          <w:rFonts w:ascii="Times New Roman" w:hAnsi="Times New Roman" w:cs="Times New Roman"/>
          <w:sz w:val="24"/>
          <w:szCs w:val="24"/>
        </w:rPr>
        <w:t>firmaların fon kaynakları içinde banka kredilerinin payının düşük olması gösterilebilir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Küçük i</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letmelerin borçluluk oranlarının daha fazla olması ve i</w:t>
      </w:r>
      <w:r w:rsidR="00846FA7" w:rsidRPr="009218D1">
        <w:rPr>
          <w:rFonts w:ascii="Times New Roman" w:hAnsi="Times New Roman" w:cs="Times New Roman"/>
          <w:sz w:val="24"/>
          <w:szCs w:val="24"/>
        </w:rPr>
        <w:t>ş</w:t>
      </w:r>
      <w:r w:rsidRPr="009218D1">
        <w:rPr>
          <w:rFonts w:ascii="Times New Roman" w:hAnsi="Times New Roman" w:cs="Times New Roman"/>
          <w:sz w:val="24"/>
          <w:szCs w:val="24"/>
        </w:rPr>
        <w:t>letme riskinin pozitif olması birbiriyle uyumludur</w:t>
      </w:r>
      <w:r w:rsidR="00BE3467" w:rsidRPr="009218D1">
        <w:rPr>
          <w:rFonts w:ascii="Times New Roman" w:hAnsi="Times New Roman" w:cs="Times New Roman"/>
          <w:sz w:val="24"/>
          <w:szCs w:val="24"/>
        </w:rPr>
        <w:t>.</w:t>
      </w:r>
      <w:r w:rsidR="00846FA7" w:rsidRPr="009218D1">
        <w:rPr>
          <w:rFonts w:ascii="Times New Roman" w:hAnsi="Times New Roman" w:cs="Times New Roman"/>
          <w:sz w:val="24"/>
          <w:szCs w:val="24"/>
        </w:rPr>
        <w:t xml:space="preserve"> </w:t>
      </w:r>
      <w:r w:rsidR="001502DB" w:rsidRPr="009218D1">
        <w:rPr>
          <w:rFonts w:ascii="Times New Roman" w:hAnsi="Times New Roman" w:cs="Times New Roman"/>
          <w:sz w:val="24"/>
          <w:szCs w:val="24"/>
        </w:rPr>
        <w:t>Firmaların kârlılıkları düşük olduğundan</w:t>
      </w:r>
      <w:r w:rsidR="00BF53EE" w:rsidRPr="009218D1">
        <w:rPr>
          <w:rFonts w:ascii="Times New Roman" w:hAnsi="Times New Roman" w:cs="Times New Roman"/>
          <w:sz w:val="24"/>
          <w:szCs w:val="24"/>
        </w:rPr>
        <w:t>,</w:t>
      </w:r>
      <w:r w:rsidR="001502DB" w:rsidRPr="009218D1">
        <w:rPr>
          <w:rFonts w:ascii="Times New Roman" w:hAnsi="Times New Roman" w:cs="Times New Roman"/>
          <w:sz w:val="24"/>
          <w:szCs w:val="24"/>
        </w:rPr>
        <w:t xml:space="preserve"> nakit ihtiyaçlarını yüksek maliyetler</w:t>
      </w:r>
      <w:r w:rsidR="00207DB4" w:rsidRPr="009218D1">
        <w:rPr>
          <w:rFonts w:ascii="Times New Roman" w:hAnsi="Times New Roman" w:cs="Times New Roman"/>
          <w:sz w:val="24"/>
          <w:szCs w:val="24"/>
        </w:rPr>
        <w:t>l</w:t>
      </w:r>
      <w:r w:rsidR="001502DB" w:rsidRPr="009218D1">
        <w:rPr>
          <w:rFonts w:ascii="Times New Roman" w:hAnsi="Times New Roman" w:cs="Times New Roman"/>
          <w:sz w:val="24"/>
          <w:szCs w:val="24"/>
        </w:rPr>
        <w:t>e de olsa borçlanarak karşılamak zorunda kalmışlardır</w:t>
      </w:r>
      <w:r w:rsidR="00BE3467" w:rsidRPr="009218D1">
        <w:rPr>
          <w:rFonts w:ascii="Times New Roman" w:hAnsi="Times New Roman" w:cs="Times New Roman"/>
          <w:sz w:val="24"/>
          <w:szCs w:val="24"/>
        </w:rPr>
        <w:t>.</w:t>
      </w:r>
      <w:r w:rsidR="001502DB" w:rsidRPr="009218D1">
        <w:rPr>
          <w:rFonts w:ascii="Times New Roman" w:hAnsi="Times New Roman" w:cs="Times New Roman"/>
          <w:sz w:val="24"/>
          <w:szCs w:val="24"/>
        </w:rPr>
        <w:t xml:space="preserve"> </w:t>
      </w:r>
      <w:r w:rsidR="001C1151" w:rsidRPr="009218D1">
        <w:rPr>
          <w:rFonts w:ascii="Times New Roman" w:hAnsi="Times New Roman" w:cs="Times New Roman"/>
          <w:sz w:val="24"/>
          <w:szCs w:val="24"/>
        </w:rPr>
        <w:t>Kamu iç borç stokunun uzun yıllar yüksek seyretmesi özel sektörün dı</w:t>
      </w:r>
      <w:r w:rsidR="00846FA7" w:rsidRPr="009218D1">
        <w:rPr>
          <w:rFonts w:ascii="Times New Roman" w:hAnsi="Times New Roman" w:cs="Times New Roman"/>
          <w:sz w:val="24"/>
          <w:szCs w:val="24"/>
        </w:rPr>
        <w:t>ş</w:t>
      </w:r>
      <w:r w:rsidR="001C1151" w:rsidRPr="009218D1">
        <w:rPr>
          <w:rFonts w:ascii="Times New Roman" w:hAnsi="Times New Roman" w:cs="Times New Roman"/>
          <w:sz w:val="24"/>
          <w:szCs w:val="24"/>
        </w:rPr>
        <w:t>lanmasına neden olmu</w:t>
      </w:r>
      <w:r w:rsidR="00846FA7" w:rsidRPr="009218D1">
        <w:rPr>
          <w:rFonts w:ascii="Times New Roman" w:hAnsi="Times New Roman" w:cs="Times New Roman"/>
          <w:sz w:val="24"/>
          <w:szCs w:val="24"/>
        </w:rPr>
        <w:t>ş</w:t>
      </w:r>
      <w:r w:rsidR="001C1151" w:rsidRPr="009218D1">
        <w:rPr>
          <w:rFonts w:ascii="Times New Roman" w:hAnsi="Times New Roman" w:cs="Times New Roman"/>
          <w:sz w:val="24"/>
          <w:szCs w:val="24"/>
        </w:rPr>
        <w:t>tur ancak firmalar özel sektör borçlanma araçlarından faydalanmadığından ve kamunun en önemli fon kaynağı olan bankalardan da dü</w:t>
      </w:r>
      <w:r w:rsidR="00846FA7" w:rsidRPr="009218D1">
        <w:rPr>
          <w:rFonts w:ascii="Times New Roman" w:hAnsi="Times New Roman" w:cs="Times New Roman"/>
          <w:sz w:val="24"/>
          <w:szCs w:val="24"/>
        </w:rPr>
        <w:t>ş</w:t>
      </w:r>
      <w:r w:rsidR="001C1151" w:rsidRPr="009218D1">
        <w:rPr>
          <w:rFonts w:ascii="Times New Roman" w:hAnsi="Times New Roman" w:cs="Times New Roman"/>
          <w:sz w:val="24"/>
          <w:szCs w:val="24"/>
        </w:rPr>
        <w:t>ük oranda kredi kullandıklarından firmalar nakit ihtiyaçlarını çoğunlukla yabancı para ile borçlanarak gidermeye çalı</w:t>
      </w:r>
      <w:r w:rsidR="00846FA7" w:rsidRPr="009218D1">
        <w:rPr>
          <w:rFonts w:ascii="Times New Roman" w:hAnsi="Times New Roman" w:cs="Times New Roman"/>
          <w:sz w:val="24"/>
          <w:szCs w:val="24"/>
        </w:rPr>
        <w:t>ş</w:t>
      </w:r>
      <w:r w:rsidR="001C1151" w:rsidRPr="009218D1">
        <w:rPr>
          <w:rFonts w:ascii="Times New Roman" w:hAnsi="Times New Roman" w:cs="Times New Roman"/>
          <w:sz w:val="24"/>
          <w:szCs w:val="24"/>
        </w:rPr>
        <w:t>mı</w:t>
      </w:r>
      <w:r w:rsidR="00846FA7" w:rsidRPr="009218D1">
        <w:rPr>
          <w:rFonts w:ascii="Times New Roman" w:hAnsi="Times New Roman" w:cs="Times New Roman"/>
          <w:sz w:val="24"/>
          <w:szCs w:val="24"/>
        </w:rPr>
        <w:t>ş</w:t>
      </w:r>
      <w:r w:rsidR="001C1151" w:rsidRPr="009218D1">
        <w:rPr>
          <w:rFonts w:ascii="Times New Roman" w:hAnsi="Times New Roman" w:cs="Times New Roman"/>
          <w:sz w:val="24"/>
          <w:szCs w:val="24"/>
        </w:rPr>
        <w:t>lardır</w:t>
      </w:r>
      <w:r w:rsidR="00BE3467" w:rsidRPr="009218D1">
        <w:rPr>
          <w:rFonts w:ascii="Times New Roman" w:hAnsi="Times New Roman" w:cs="Times New Roman"/>
          <w:sz w:val="24"/>
          <w:szCs w:val="24"/>
        </w:rPr>
        <w:t>.</w:t>
      </w:r>
      <w:r w:rsidR="001C1151" w:rsidRPr="009218D1">
        <w:rPr>
          <w:rFonts w:ascii="Times New Roman" w:hAnsi="Times New Roman" w:cs="Times New Roman"/>
          <w:sz w:val="24"/>
          <w:szCs w:val="24"/>
        </w:rPr>
        <w:t xml:space="preserve">  </w:t>
      </w:r>
    </w:p>
    <w:p w:rsidR="00B51010" w:rsidRPr="009218D1" w:rsidRDefault="00B51010" w:rsidP="00B51010">
      <w:p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Nguyen vd</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(2014)</w:t>
      </w:r>
      <w:r w:rsidR="00BF53EE" w:rsidRPr="009218D1">
        <w:rPr>
          <w:rFonts w:ascii="Times New Roman" w:hAnsi="Times New Roman" w:cs="Times New Roman"/>
          <w:sz w:val="24"/>
          <w:szCs w:val="24"/>
        </w:rPr>
        <w:t>,</w:t>
      </w:r>
      <w:r w:rsidRPr="009218D1">
        <w:rPr>
          <w:rFonts w:ascii="Times New Roman" w:hAnsi="Times New Roman" w:cs="Times New Roman"/>
          <w:sz w:val="24"/>
          <w:szCs w:val="24"/>
        </w:rPr>
        <w:t xml:space="preserve"> gelişmiş sermaye piyasaları ola</w:t>
      </w:r>
      <w:r w:rsidR="00772F0F" w:rsidRPr="009218D1">
        <w:rPr>
          <w:rFonts w:ascii="Times New Roman" w:hAnsi="Times New Roman" w:cs="Times New Roman"/>
          <w:sz w:val="24"/>
          <w:szCs w:val="24"/>
        </w:rPr>
        <w:t>n ülkelerde Finansal Hiyerarşi T</w:t>
      </w:r>
      <w:r w:rsidRPr="009218D1">
        <w:rPr>
          <w:rFonts w:ascii="Times New Roman" w:hAnsi="Times New Roman" w:cs="Times New Roman"/>
          <w:sz w:val="24"/>
          <w:szCs w:val="24"/>
        </w:rPr>
        <w:t>eorisini destekler bulgular bulunduğunu</w:t>
      </w:r>
      <w:r w:rsidR="00BF53EE" w:rsidRPr="009218D1">
        <w:rPr>
          <w:rFonts w:ascii="Times New Roman" w:hAnsi="Times New Roman" w:cs="Times New Roman"/>
          <w:sz w:val="24"/>
          <w:szCs w:val="24"/>
        </w:rPr>
        <w:t>,</w:t>
      </w:r>
      <w:r w:rsidRPr="009218D1">
        <w:rPr>
          <w:rFonts w:ascii="Times New Roman" w:hAnsi="Times New Roman" w:cs="Times New Roman"/>
          <w:sz w:val="24"/>
          <w:szCs w:val="24"/>
        </w:rPr>
        <w:t xml:space="preserve"> gelişmekte olan ülkelerde ise modifiye edilmiş Finansal Hiyerarşi</w:t>
      </w:r>
      <w:r w:rsidR="00A063E8" w:rsidRPr="009218D1">
        <w:rPr>
          <w:rFonts w:ascii="Times New Roman" w:hAnsi="Times New Roman" w:cs="Times New Roman"/>
          <w:sz w:val="24"/>
          <w:szCs w:val="24"/>
        </w:rPr>
        <w:t xml:space="preserve"> Teorisinin </w:t>
      </w:r>
      <w:r w:rsidRPr="009218D1">
        <w:rPr>
          <w:rFonts w:ascii="Times New Roman" w:hAnsi="Times New Roman" w:cs="Times New Roman"/>
          <w:sz w:val="24"/>
          <w:szCs w:val="24"/>
        </w:rPr>
        <w:t>tahminlerinin görüldüğü</w:t>
      </w:r>
      <w:r w:rsidR="00772F0F" w:rsidRPr="009218D1">
        <w:rPr>
          <w:rFonts w:ascii="Times New Roman" w:hAnsi="Times New Roman" w:cs="Times New Roman"/>
          <w:sz w:val="24"/>
          <w:szCs w:val="24"/>
        </w:rPr>
        <w:t>nü</w:t>
      </w:r>
      <w:r w:rsidRPr="009218D1">
        <w:rPr>
          <w:rFonts w:ascii="Times New Roman" w:hAnsi="Times New Roman" w:cs="Times New Roman"/>
          <w:sz w:val="24"/>
          <w:szCs w:val="24"/>
        </w:rPr>
        <w:t xml:space="preserve"> belirtmiştir</w:t>
      </w:r>
      <w:r w:rsidR="00BE3467" w:rsidRPr="009218D1">
        <w:rPr>
          <w:rFonts w:ascii="Times New Roman" w:hAnsi="Times New Roman" w:cs="Times New Roman"/>
          <w:sz w:val="24"/>
          <w:szCs w:val="24"/>
        </w:rPr>
        <w:t>.</w:t>
      </w:r>
      <w:r w:rsidR="0010096F" w:rsidRPr="009218D1">
        <w:rPr>
          <w:rFonts w:ascii="Times New Roman" w:hAnsi="Times New Roman" w:cs="Times New Roman"/>
          <w:sz w:val="24"/>
          <w:szCs w:val="24"/>
        </w:rPr>
        <w:t xml:space="preserve"> </w:t>
      </w:r>
      <w:r w:rsidRPr="009218D1">
        <w:rPr>
          <w:rFonts w:ascii="Times New Roman" w:hAnsi="Times New Roman" w:cs="Times New Roman"/>
          <w:sz w:val="24"/>
          <w:szCs w:val="24"/>
        </w:rPr>
        <w:t>Gelişmiş ülkelerde büyüme ve borç oranları arasında negatif ilişki belirlendiği</w:t>
      </w:r>
      <w:r w:rsidR="00A063E8" w:rsidRPr="009218D1">
        <w:rPr>
          <w:rFonts w:ascii="Times New Roman" w:hAnsi="Times New Roman" w:cs="Times New Roman"/>
          <w:sz w:val="24"/>
          <w:szCs w:val="24"/>
        </w:rPr>
        <w:t>,</w:t>
      </w:r>
      <w:r w:rsidRPr="009218D1">
        <w:rPr>
          <w:rFonts w:ascii="Times New Roman" w:hAnsi="Times New Roman" w:cs="Times New Roman"/>
          <w:sz w:val="24"/>
          <w:szCs w:val="24"/>
        </w:rPr>
        <w:t xml:space="preserve"> gelişmekte olan ülkelerde ise firmaların özellikle banka kredileri ile finansman sağladıkları vurgulanmıştır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Bu farklılığın sebebi gelişmiş ülkelerde güçlü finansal sistemlerin ve rekabetçi bankacılık sektörünün bulunmasıdır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65627D" w:rsidRPr="009218D1">
        <w:rPr>
          <w:rFonts w:ascii="Times New Roman" w:hAnsi="Times New Roman" w:cs="Times New Roman"/>
          <w:sz w:val="24"/>
          <w:szCs w:val="24"/>
        </w:rPr>
        <w:t>Bu çalışmada</w:t>
      </w:r>
      <w:r w:rsidR="00BF53EE" w:rsidRPr="009218D1">
        <w:rPr>
          <w:rFonts w:ascii="Times New Roman" w:hAnsi="Times New Roman" w:cs="Times New Roman"/>
          <w:sz w:val="24"/>
          <w:szCs w:val="24"/>
        </w:rPr>
        <w:t>,</w:t>
      </w:r>
      <w:r w:rsidR="0065627D" w:rsidRPr="009218D1">
        <w:rPr>
          <w:rFonts w:ascii="Times New Roman" w:hAnsi="Times New Roman" w:cs="Times New Roman"/>
          <w:sz w:val="24"/>
          <w:szCs w:val="24"/>
        </w:rPr>
        <w:t xml:space="preserve"> gelişmekte olan bir ülke olan Türkiye’de Finansal Hiyerarşi Teorisini destekleyen bulgular bulunmuştur</w:t>
      </w:r>
      <w:r w:rsidR="00BE3467" w:rsidRPr="009218D1">
        <w:rPr>
          <w:rFonts w:ascii="Times New Roman" w:hAnsi="Times New Roman" w:cs="Times New Roman"/>
          <w:sz w:val="24"/>
          <w:szCs w:val="24"/>
        </w:rPr>
        <w:t>.</w:t>
      </w:r>
      <w:r w:rsidR="0065627D" w:rsidRPr="009218D1">
        <w:rPr>
          <w:rFonts w:ascii="Times New Roman" w:hAnsi="Times New Roman" w:cs="Times New Roman"/>
          <w:sz w:val="24"/>
          <w:szCs w:val="24"/>
        </w:rPr>
        <w:t xml:space="preserve"> Büyüme ve kaldıraç oranı arasında pozitif ilişki tespit edilmiştir ve firmaların sağladıkları banka kredilerinin yabancı kaynaklar içindeki payı 2003-2014 yıllarında giderek artmıştır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p>
    <w:p w:rsidR="008D47C2" w:rsidRDefault="008D47C2" w:rsidP="00AD17AB">
      <w:pPr>
        <w:spacing w:before="120" w:after="120" w:line="240" w:lineRule="auto"/>
        <w:jc w:val="both"/>
        <w:rPr>
          <w:rFonts w:ascii="Times New Roman" w:hAnsi="Times New Roman" w:cs="Times New Roman"/>
          <w:b/>
          <w:sz w:val="24"/>
          <w:szCs w:val="24"/>
        </w:rPr>
      </w:pPr>
    </w:p>
    <w:p w:rsidR="008D47C2" w:rsidRDefault="008D47C2" w:rsidP="00AD17AB">
      <w:pPr>
        <w:spacing w:before="120" w:after="120" w:line="240" w:lineRule="auto"/>
        <w:jc w:val="both"/>
        <w:rPr>
          <w:rFonts w:ascii="Times New Roman" w:hAnsi="Times New Roman" w:cs="Times New Roman"/>
          <w:b/>
          <w:sz w:val="24"/>
          <w:szCs w:val="24"/>
        </w:rPr>
      </w:pPr>
    </w:p>
    <w:p w:rsidR="008D47C2" w:rsidRDefault="008D47C2" w:rsidP="00AD17AB">
      <w:pPr>
        <w:spacing w:before="120" w:after="120" w:line="240" w:lineRule="auto"/>
        <w:jc w:val="both"/>
        <w:rPr>
          <w:rFonts w:ascii="Times New Roman" w:hAnsi="Times New Roman" w:cs="Times New Roman"/>
          <w:b/>
          <w:sz w:val="24"/>
          <w:szCs w:val="24"/>
        </w:rPr>
      </w:pPr>
    </w:p>
    <w:p w:rsidR="00E42654" w:rsidRPr="009218D1" w:rsidRDefault="00772F0F" w:rsidP="00AD17AB">
      <w:pPr>
        <w:spacing w:before="120" w:after="120" w:line="240" w:lineRule="auto"/>
        <w:jc w:val="both"/>
        <w:rPr>
          <w:rFonts w:ascii="Times New Roman" w:hAnsi="Times New Roman" w:cs="Times New Roman"/>
          <w:b/>
          <w:sz w:val="24"/>
          <w:szCs w:val="24"/>
        </w:rPr>
      </w:pPr>
      <w:r w:rsidRPr="009218D1">
        <w:rPr>
          <w:rFonts w:ascii="Times New Roman" w:hAnsi="Times New Roman" w:cs="Times New Roman"/>
          <w:b/>
          <w:sz w:val="24"/>
          <w:szCs w:val="24"/>
        </w:rPr>
        <w:t>KAYNAKÇA</w:t>
      </w:r>
    </w:p>
    <w:p w:rsidR="00BD6141"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ACARAVCI,</w:t>
      </w:r>
      <w:r w:rsidR="00BD6141" w:rsidRPr="009218D1">
        <w:rPr>
          <w:rFonts w:ascii="Times New Roman" w:eastAsia="Times New Roman" w:hAnsi="Times New Roman" w:cs="Times New Roman"/>
          <w:color w:val="222222"/>
          <w:sz w:val="24"/>
          <w:szCs w:val="24"/>
          <w:lang w:eastAsia="tr-TR"/>
        </w:rPr>
        <w:t xml:space="preserve"> S</w:t>
      </w:r>
      <w:r w:rsidR="00BE3467" w:rsidRPr="009218D1">
        <w:rPr>
          <w:rFonts w:ascii="Times New Roman" w:eastAsia="Times New Roman" w:hAnsi="Times New Roman" w:cs="Times New Roman"/>
          <w:color w:val="222222"/>
          <w:sz w:val="24"/>
          <w:szCs w:val="24"/>
          <w:lang w:eastAsia="tr-TR"/>
        </w:rPr>
        <w:t>..</w:t>
      </w:r>
      <w:r w:rsidR="00BD6141"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DOĞUKANLI</w:t>
      </w:r>
      <w:r w:rsidR="000F77AE" w:rsidRPr="009218D1">
        <w:rPr>
          <w:rFonts w:ascii="Times New Roman" w:eastAsia="Times New Roman" w:hAnsi="Times New Roman" w:cs="Times New Roman"/>
          <w:color w:val="222222"/>
          <w:sz w:val="24"/>
          <w:szCs w:val="24"/>
          <w:lang w:eastAsia="tr-TR"/>
        </w:rPr>
        <w:t>,</w:t>
      </w:r>
      <w:r w:rsidR="00BD6141" w:rsidRPr="009218D1">
        <w:rPr>
          <w:rFonts w:ascii="Times New Roman" w:eastAsia="Times New Roman" w:hAnsi="Times New Roman" w:cs="Times New Roman"/>
          <w:color w:val="222222"/>
          <w:sz w:val="24"/>
          <w:szCs w:val="24"/>
          <w:lang w:eastAsia="tr-TR"/>
        </w:rPr>
        <w:t xml:space="preserve"> H</w:t>
      </w:r>
      <w:r w:rsidR="00BE3467"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w:t>
      </w:r>
      <w:r w:rsidR="00BD6141" w:rsidRPr="009218D1">
        <w:rPr>
          <w:rFonts w:ascii="Times New Roman" w:eastAsia="Times New Roman" w:hAnsi="Times New Roman" w:cs="Times New Roman"/>
          <w:color w:val="222222"/>
          <w:sz w:val="24"/>
          <w:szCs w:val="24"/>
          <w:lang w:eastAsia="tr-TR"/>
        </w:rPr>
        <w:t xml:space="preserve"> (2004)</w:t>
      </w:r>
      <w:r w:rsidR="00B361C9" w:rsidRPr="009218D1">
        <w:rPr>
          <w:rFonts w:ascii="Times New Roman" w:eastAsia="Times New Roman" w:hAnsi="Times New Roman" w:cs="Times New Roman"/>
          <w:color w:val="222222"/>
          <w:sz w:val="24"/>
          <w:szCs w:val="24"/>
          <w:lang w:eastAsia="tr-TR"/>
        </w:rPr>
        <w:t>,</w:t>
      </w:r>
      <w:r w:rsidR="00BD6141" w:rsidRPr="009218D1">
        <w:rPr>
          <w:rFonts w:ascii="Times New Roman" w:eastAsia="Times New Roman" w:hAnsi="Times New Roman" w:cs="Times New Roman"/>
          <w:color w:val="222222"/>
          <w:sz w:val="24"/>
          <w:szCs w:val="24"/>
          <w:lang w:eastAsia="tr-TR"/>
        </w:rPr>
        <w:t xml:space="preserve"> </w:t>
      </w:r>
      <w:r w:rsidR="00BD6141" w:rsidRPr="009218D1">
        <w:rPr>
          <w:rFonts w:ascii="Times New Roman" w:eastAsia="Times New Roman" w:hAnsi="Times New Roman" w:cs="Times New Roman"/>
          <w:b/>
          <w:color w:val="222222"/>
          <w:sz w:val="24"/>
          <w:szCs w:val="24"/>
          <w:lang w:eastAsia="tr-TR"/>
        </w:rPr>
        <w:t xml:space="preserve">Türkiye’de Sermaye Yapısını Etkileyen Faktörlerin </w:t>
      </w:r>
      <w:r w:rsidR="00E42654" w:rsidRPr="009218D1">
        <w:rPr>
          <w:rFonts w:ascii="Times New Roman" w:eastAsia="Times New Roman" w:hAnsi="Times New Roman" w:cs="Times New Roman"/>
          <w:b/>
          <w:color w:val="222222"/>
          <w:sz w:val="24"/>
          <w:szCs w:val="24"/>
          <w:lang w:eastAsia="tr-TR"/>
        </w:rPr>
        <w:t>İ</w:t>
      </w:r>
      <w:r w:rsidR="00BD6141" w:rsidRPr="009218D1">
        <w:rPr>
          <w:rFonts w:ascii="Times New Roman" w:eastAsia="Times New Roman" w:hAnsi="Times New Roman" w:cs="Times New Roman"/>
          <w:b/>
          <w:color w:val="222222"/>
          <w:sz w:val="24"/>
          <w:szCs w:val="24"/>
          <w:lang w:eastAsia="tr-TR"/>
        </w:rPr>
        <w:t>malat Sanayinde Sınanması</w:t>
      </w:r>
      <w:r w:rsidRPr="009218D1">
        <w:rPr>
          <w:rFonts w:ascii="Times New Roman" w:eastAsia="Times New Roman" w:hAnsi="Times New Roman" w:cs="Times New Roman"/>
          <w:color w:val="222222"/>
          <w:sz w:val="24"/>
          <w:szCs w:val="24"/>
          <w:lang w:eastAsia="tr-TR"/>
        </w:rPr>
        <w:t>,</w:t>
      </w:r>
      <w:r w:rsidR="00BD6141" w:rsidRPr="009218D1">
        <w:rPr>
          <w:rFonts w:ascii="Times New Roman" w:eastAsia="Times New Roman" w:hAnsi="Times New Roman" w:cs="Times New Roman"/>
          <w:color w:val="222222"/>
          <w:sz w:val="24"/>
          <w:szCs w:val="24"/>
          <w:lang w:eastAsia="tr-TR"/>
        </w:rPr>
        <w:t xml:space="preserve"> </w:t>
      </w:r>
      <w:r w:rsidR="00E42654" w:rsidRPr="009218D1">
        <w:rPr>
          <w:rFonts w:ascii="Times New Roman" w:eastAsia="Times New Roman" w:hAnsi="Times New Roman" w:cs="Times New Roman"/>
          <w:color w:val="222222"/>
          <w:sz w:val="24"/>
          <w:szCs w:val="24"/>
          <w:lang w:eastAsia="tr-TR"/>
        </w:rPr>
        <w:t>İ</w:t>
      </w:r>
      <w:r w:rsidR="00BD6141" w:rsidRPr="009218D1">
        <w:rPr>
          <w:rFonts w:ascii="Times New Roman" w:eastAsia="Times New Roman" w:hAnsi="Times New Roman" w:cs="Times New Roman"/>
          <w:color w:val="222222"/>
          <w:sz w:val="24"/>
          <w:szCs w:val="24"/>
          <w:lang w:eastAsia="tr-TR"/>
        </w:rPr>
        <w:t xml:space="preserve">ktisat </w:t>
      </w:r>
      <w:r w:rsidR="00E42654" w:rsidRPr="009218D1">
        <w:rPr>
          <w:rFonts w:ascii="Times New Roman" w:eastAsia="Times New Roman" w:hAnsi="Times New Roman" w:cs="Times New Roman"/>
          <w:color w:val="222222"/>
          <w:sz w:val="24"/>
          <w:szCs w:val="24"/>
          <w:lang w:eastAsia="tr-TR"/>
        </w:rPr>
        <w:t>İşletme ve Finans Dergisi</w:t>
      </w:r>
      <w:r w:rsidR="00B361C9" w:rsidRPr="009218D1">
        <w:rPr>
          <w:rFonts w:ascii="Times New Roman" w:eastAsia="Times New Roman" w:hAnsi="Times New Roman" w:cs="Times New Roman"/>
          <w:color w:val="222222"/>
          <w:sz w:val="24"/>
          <w:szCs w:val="24"/>
          <w:lang w:eastAsia="tr-TR"/>
        </w:rPr>
        <w:t>,</w:t>
      </w:r>
      <w:r w:rsidR="00E42654" w:rsidRPr="009218D1">
        <w:rPr>
          <w:rFonts w:ascii="Times New Roman" w:eastAsia="Times New Roman" w:hAnsi="Times New Roman" w:cs="Times New Roman"/>
          <w:color w:val="222222"/>
          <w:sz w:val="24"/>
          <w:szCs w:val="24"/>
          <w:lang w:eastAsia="tr-TR"/>
        </w:rPr>
        <w:t xml:space="preserve"> 19</w:t>
      </w:r>
      <w:r w:rsidR="00B361C9" w:rsidRPr="009218D1">
        <w:rPr>
          <w:rFonts w:ascii="Times New Roman" w:eastAsia="Times New Roman" w:hAnsi="Times New Roman" w:cs="Times New Roman"/>
          <w:color w:val="222222"/>
          <w:sz w:val="24"/>
          <w:szCs w:val="24"/>
          <w:lang w:eastAsia="tr-TR"/>
        </w:rPr>
        <w:t>,</w:t>
      </w:r>
      <w:r w:rsidR="00E42654" w:rsidRPr="009218D1">
        <w:rPr>
          <w:rFonts w:ascii="Times New Roman" w:eastAsia="Times New Roman" w:hAnsi="Times New Roman" w:cs="Times New Roman"/>
          <w:color w:val="222222"/>
          <w:sz w:val="24"/>
          <w:szCs w:val="24"/>
          <w:lang w:eastAsia="tr-TR"/>
        </w:rPr>
        <w:t xml:space="preserve"> </w:t>
      </w:r>
      <w:r w:rsidR="00BD6141" w:rsidRPr="009218D1">
        <w:rPr>
          <w:rFonts w:ascii="Times New Roman" w:eastAsia="Times New Roman" w:hAnsi="Times New Roman" w:cs="Times New Roman"/>
          <w:color w:val="222222"/>
          <w:sz w:val="24"/>
          <w:szCs w:val="24"/>
          <w:lang w:eastAsia="tr-TR"/>
        </w:rPr>
        <w:t>43-57</w:t>
      </w:r>
      <w:r w:rsidR="00BE3467" w:rsidRPr="009218D1">
        <w:rPr>
          <w:rFonts w:ascii="Times New Roman" w:eastAsia="Times New Roman" w:hAnsi="Times New Roman" w:cs="Times New Roman"/>
          <w:color w:val="222222"/>
          <w:sz w:val="24"/>
          <w:szCs w:val="24"/>
          <w:lang w:eastAsia="tr-TR"/>
        </w:rPr>
        <w:t>.</w:t>
      </w:r>
    </w:p>
    <w:p w:rsidR="007F4449" w:rsidRPr="009218D1" w:rsidRDefault="007F4449" w:rsidP="007F4449">
      <w:pPr>
        <w:pStyle w:val="ListeParagraf"/>
        <w:spacing w:after="0" w:line="240" w:lineRule="auto"/>
        <w:jc w:val="both"/>
        <w:rPr>
          <w:rFonts w:ascii="Times New Roman" w:eastAsia="Times New Roman" w:hAnsi="Times New Roman" w:cs="Times New Roman"/>
          <w:color w:val="222222"/>
          <w:sz w:val="24"/>
          <w:szCs w:val="24"/>
          <w:lang w:eastAsia="tr-TR"/>
        </w:rPr>
      </w:pPr>
    </w:p>
    <w:p w:rsidR="005F0F7F" w:rsidRPr="009218D1" w:rsidRDefault="00772F0F"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AKERLOF,</w:t>
      </w:r>
      <w:r w:rsidR="005F0F7F" w:rsidRPr="009218D1">
        <w:rPr>
          <w:rFonts w:ascii="Times New Roman" w:hAnsi="Times New Roman" w:cs="Times New Roman"/>
          <w:sz w:val="24"/>
          <w:szCs w:val="24"/>
        </w:rPr>
        <w:t xml:space="preserve"> G</w:t>
      </w:r>
      <w:r w:rsidR="00BE3467" w:rsidRPr="009218D1">
        <w:rPr>
          <w:rFonts w:ascii="Times New Roman" w:hAnsi="Times New Roman" w:cs="Times New Roman"/>
          <w:sz w:val="24"/>
          <w:szCs w:val="24"/>
        </w:rPr>
        <w:t>.</w:t>
      </w:r>
      <w:r w:rsidR="00B361C9" w:rsidRPr="009218D1">
        <w:rPr>
          <w:rFonts w:ascii="Times New Roman" w:hAnsi="Times New Roman" w:cs="Times New Roman"/>
          <w:sz w:val="24"/>
          <w:szCs w:val="24"/>
        </w:rPr>
        <w:t>,</w:t>
      </w:r>
      <w:r w:rsidR="005F0F7F" w:rsidRPr="009218D1">
        <w:rPr>
          <w:rFonts w:ascii="Times New Roman" w:hAnsi="Times New Roman" w:cs="Times New Roman"/>
          <w:sz w:val="24"/>
          <w:szCs w:val="24"/>
        </w:rPr>
        <w:t xml:space="preserve"> (1970)</w:t>
      </w:r>
      <w:r w:rsidR="00B361C9" w:rsidRPr="009218D1">
        <w:rPr>
          <w:rFonts w:ascii="Times New Roman" w:hAnsi="Times New Roman" w:cs="Times New Roman"/>
          <w:sz w:val="24"/>
          <w:szCs w:val="24"/>
        </w:rPr>
        <w:t>,</w:t>
      </w:r>
      <w:r w:rsidR="00E42654" w:rsidRPr="009218D1">
        <w:rPr>
          <w:rFonts w:ascii="Times New Roman" w:hAnsi="Times New Roman" w:cs="Times New Roman"/>
          <w:sz w:val="24"/>
          <w:szCs w:val="24"/>
        </w:rPr>
        <w:t xml:space="preserve"> </w:t>
      </w:r>
      <w:r w:rsidR="005F0F7F" w:rsidRPr="009218D1">
        <w:rPr>
          <w:rFonts w:ascii="Times New Roman" w:hAnsi="Times New Roman" w:cs="Times New Roman"/>
          <w:b/>
          <w:sz w:val="24"/>
          <w:szCs w:val="24"/>
        </w:rPr>
        <w:t>The Market For Lemons: Quality Uncertainity and the Market Mechanism</w:t>
      </w:r>
      <w:r w:rsidRPr="009218D1">
        <w:rPr>
          <w:rFonts w:ascii="Times New Roman" w:hAnsi="Times New Roman" w:cs="Times New Roman"/>
          <w:b/>
          <w:sz w:val="24"/>
          <w:szCs w:val="24"/>
        </w:rPr>
        <w:t>,</w:t>
      </w:r>
      <w:r w:rsidR="005F0F7F" w:rsidRPr="009218D1">
        <w:rPr>
          <w:rFonts w:ascii="Times New Roman" w:hAnsi="Times New Roman" w:cs="Times New Roman"/>
          <w:sz w:val="24"/>
          <w:szCs w:val="24"/>
        </w:rPr>
        <w:t xml:space="preserve"> The Qu</w:t>
      </w:r>
      <w:r w:rsidR="00E42654" w:rsidRPr="009218D1">
        <w:rPr>
          <w:rFonts w:ascii="Times New Roman" w:hAnsi="Times New Roman" w:cs="Times New Roman"/>
          <w:sz w:val="24"/>
          <w:szCs w:val="24"/>
        </w:rPr>
        <w:t>arterly Journal of Economics</w:t>
      </w:r>
      <w:r w:rsidR="00B361C9" w:rsidRPr="009218D1">
        <w:rPr>
          <w:rFonts w:ascii="Times New Roman" w:hAnsi="Times New Roman" w:cs="Times New Roman"/>
          <w:sz w:val="24"/>
          <w:szCs w:val="24"/>
        </w:rPr>
        <w:t>,</w:t>
      </w:r>
      <w:r w:rsidR="00E42654" w:rsidRPr="009218D1">
        <w:rPr>
          <w:rFonts w:ascii="Times New Roman" w:hAnsi="Times New Roman" w:cs="Times New Roman"/>
          <w:sz w:val="24"/>
          <w:szCs w:val="24"/>
        </w:rPr>
        <w:t xml:space="preserve"> 84 (</w:t>
      </w:r>
      <w:r w:rsidR="005F0F7F" w:rsidRPr="009218D1">
        <w:rPr>
          <w:rFonts w:ascii="Times New Roman" w:hAnsi="Times New Roman" w:cs="Times New Roman"/>
          <w:sz w:val="24"/>
          <w:szCs w:val="24"/>
        </w:rPr>
        <w:t>3</w:t>
      </w:r>
      <w:r w:rsidR="00E42654" w:rsidRPr="009218D1">
        <w:rPr>
          <w:rFonts w:ascii="Times New Roman" w:hAnsi="Times New Roman" w:cs="Times New Roman"/>
          <w:sz w:val="24"/>
          <w:szCs w:val="24"/>
        </w:rPr>
        <w:t>)</w:t>
      </w:r>
      <w:r w:rsidR="00B361C9" w:rsidRPr="009218D1">
        <w:rPr>
          <w:rFonts w:ascii="Times New Roman" w:hAnsi="Times New Roman" w:cs="Times New Roman"/>
          <w:sz w:val="24"/>
          <w:szCs w:val="24"/>
        </w:rPr>
        <w:t>,</w:t>
      </w:r>
      <w:r w:rsidR="00E42654" w:rsidRPr="009218D1">
        <w:rPr>
          <w:rFonts w:ascii="Times New Roman" w:hAnsi="Times New Roman" w:cs="Times New Roman"/>
          <w:sz w:val="24"/>
          <w:szCs w:val="24"/>
        </w:rPr>
        <w:t xml:space="preserve"> </w:t>
      </w:r>
      <w:r w:rsidR="005F0F7F" w:rsidRPr="009218D1">
        <w:rPr>
          <w:rFonts w:ascii="Times New Roman" w:hAnsi="Times New Roman" w:cs="Times New Roman"/>
          <w:sz w:val="24"/>
          <w:szCs w:val="24"/>
        </w:rPr>
        <w:t>488 – 501</w:t>
      </w:r>
      <w:r w:rsidR="00BE3467" w:rsidRPr="009218D1">
        <w:rPr>
          <w:rFonts w:ascii="Times New Roman" w:hAnsi="Times New Roman" w:cs="Times New Roman"/>
          <w:sz w:val="24"/>
          <w:szCs w:val="24"/>
        </w:rPr>
        <w:t>.</w:t>
      </w:r>
      <w:r w:rsidR="005F0F7F" w:rsidRPr="009218D1">
        <w:rPr>
          <w:rFonts w:ascii="Times New Roman" w:hAnsi="Times New Roman" w:cs="Times New Roman"/>
          <w:sz w:val="24"/>
          <w:szCs w:val="24"/>
        </w:rPr>
        <w:t xml:space="preserve">   </w:t>
      </w:r>
    </w:p>
    <w:p w:rsidR="007F4449" w:rsidRPr="009218D1" w:rsidRDefault="007F4449" w:rsidP="007F4449">
      <w:pPr>
        <w:pStyle w:val="ListeParagraf"/>
        <w:rPr>
          <w:rFonts w:ascii="Times New Roman" w:hAnsi="Times New Roman" w:cs="Times New Roman"/>
          <w:sz w:val="24"/>
          <w:szCs w:val="24"/>
        </w:rPr>
      </w:pPr>
    </w:p>
    <w:p w:rsidR="00432991"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AZHAGAIAH,</w:t>
      </w:r>
      <w:r w:rsidR="00432991" w:rsidRPr="009218D1">
        <w:rPr>
          <w:rFonts w:ascii="Times New Roman" w:eastAsia="Times New Roman" w:hAnsi="Times New Roman" w:cs="Times New Roman"/>
          <w:color w:val="222222"/>
          <w:sz w:val="24"/>
          <w:szCs w:val="24"/>
          <w:lang w:eastAsia="tr-TR"/>
        </w:rPr>
        <w:t xml:space="preserve"> R</w:t>
      </w:r>
      <w:r w:rsidR="00BE3467"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w:t>
      </w:r>
      <w:r w:rsidR="00432991"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GAVOURY</w:t>
      </w:r>
      <w:r w:rsidR="00432991" w:rsidRPr="009218D1">
        <w:rPr>
          <w:rFonts w:ascii="Times New Roman" w:eastAsia="Times New Roman" w:hAnsi="Times New Roman" w:cs="Times New Roman"/>
          <w:color w:val="222222"/>
          <w:sz w:val="24"/>
          <w:szCs w:val="24"/>
          <w:lang w:eastAsia="tr-TR"/>
        </w:rPr>
        <w:t xml:space="preserve"> C</w:t>
      </w:r>
      <w:r w:rsidR="00BE3467"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w:t>
      </w:r>
      <w:r w:rsidR="00432991" w:rsidRPr="009218D1">
        <w:rPr>
          <w:rFonts w:ascii="Times New Roman" w:eastAsia="Times New Roman" w:hAnsi="Times New Roman" w:cs="Times New Roman"/>
          <w:color w:val="222222"/>
          <w:sz w:val="24"/>
          <w:szCs w:val="24"/>
          <w:lang w:eastAsia="tr-TR"/>
        </w:rPr>
        <w:t xml:space="preserve"> (2011)</w:t>
      </w:r>
      <w:r w:rsidR="00B361C9" w:rsidRPr="009218D1">
        <w:rPr>
          <w:rFonts w:ascii="Times New Roman" w:eastAsia="Times New Roman" w:hAnsi="Times New Roman" w:cs="Times New Roman"/>
          <w:color w:val="222222"/>
          <w:sz w:val="24"/>
          <w:szCs w:val="24"/>
          <w:lang w:eastAsia="tr-TR"/>
        </w:rPr>
        <w:t>,</w:t>
      </w:r>
      <w:r w:rsidR="00432991" w:rsidRPr="009218D1">
        <w:rPr>
          <w:rFonts w:ascii="Times New Roman" w:eastAsia="Times New Roman" w:hAnsi="Times New Roman" w:cs="Times New Roman"/>
          <w:color w:val="222222"/>
          <w:sz w:val="24"/>
          <w:szCs w:val="24"/>
          <w:lang w:eastAsia="tr-TR"/>
        </w:rPr>
        <w:t xml:space="preserve"> </w:t>
      </w:r>
      <w:r w:rsidR="00432991" w:rsidRPr="009218D1">
        <w:rPr>
          <w:rFonts w:ascii="Times New Roman" w:eastAsia="Times New Roman" w:hAnsi="Times New Roman" w:cs="Times New Roman"/>
          <w:b/>
          <w:color w:val="222222"/>
          <w:sz w:val="24"/>
          <w:szCs w:val="24"/>
          <w:lang w:eastAsia="tr-TR"/>
        </w:rPr>
        <w:t>The Impact of Capital Structure on Profability with Special Reference to IT Industry in India</w:t>
      </w:r>
      <w:r w:rsidR="00B00E83" w:rsidRPr="009218D1">
        <w:rPr>
          <w:rFonts w:ascii="Times New Roman" w:eastAsia="Times New Roman" w:hAnsi="Times New Roman" w:cs="Times New Roman"/>
          <w:b/>
          <w:color w:val="222222"/>
          <w:sz w:val="24"/>
          <w:szCs w:val="24"/>
          <w:lang w:eastAsia="tr-TR"/>
        </w:rPr>
        <w:t>,</w:t>
      </w:r>
      <w:r w:rsidR="00432991" w:rsidRPr="009218D1">
        <w:rPr>
          <w:rFonts w:ascii="Times New Roman" w:eastAsia="Times New Roman" w:hAnsi="Times New Roman" w:cs="Times New Roman"/>
          <w:b/>
          <w:color w:val="222222"/>
          <w:sz w:val="24"/>
          <w:szCs w:val="24"/>
          <w:lang w:eastAsia="tr-TR"/>
        </w:rPr>
        <w:t xml:space="preserve"> </w:t>
      </w:r>
      <w:r w:rsidR="00E42654" w:rsidRPr="009218D1">
        <w:rPr>
          <w:rFonts w:ascii="Times New Roman" w:eastAsia="Times New Roman" w:hAnsi="Times New Roman" w:cs="Times New Roman"/>
          <w:color w:val="222222"/>
          <w:sz w:val="24"/>
          <w:szCs w:val="24"/>
          <w:lang w:eastAsia="tr-TR"/>
        </w:rPr>
        <w:t>Managing Global Transitions</w:t>
      </w:r>
      <w:r w:rsidR="00B361C9" w:rsidRPr="009218D1">
        <w:rPr>
          <w:rFonts w:ascii="Times New Roman" w:eastAsia="Times New Roman" w:hAnsi="Times New Roman" w:cs="Times New Roman"/>
          <w:color w:val="222222"/>
          <w:sz w:val="24"/>
          <w:szCs w:val="24"/>
          <w:lang w:eastAsia="tr-TR"/>
        </w:rPr>
        <w:t>,</w:t>
      </w:r>
      <w:r w:rsidR="00E42654" w:rsidRPr="009218D1">
        <w:rPr>
          <w:rFonts w:ascii="Times New Roman" w:eastAsia="Times New Roman" w:hAnsi="Times New Roman" w:cs="Times New Roman"/>
          <w:color w:val="222222"/>
          <w:sz w:val="24"/>
          <w:szCs w:val="24"/>
          <w:lang w:eastAsia="tr-TR"/>
        </w:rPr>
        <w:t xml:space="preserve"> 9 (</w:t>
      </w:r>
      <w:r w:rsidR="00432991" w:rsidRPr="009218D1">
        <w:rPr>
          <w:rFonts w:ascii="Times New Roman" w:eastAsia="Times New Roman" w:hAnsi="Times New Roman" w:cs="Times New Roman"/>
          <w:color w:val="222222"/>
          <w:sz w:val="24"/>
          <w:szCs w:val="24"/>
          <w:lang w:eastAsia="tr-TR"/>
        </w:rPr>
        <w:t>4</w:t>
      </w:r>
      <w:r w:rsidR="00E42654"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w:t>
      </w:r>
      <w:r w:rsidR="00E42654" w:rsidRPr="009218D1">
        <w:rPr>
          <w:rFonts w:ascii="Times New Roman" w:eastAsia="Times New Roman" w:hAnsi="Times New Roman" w:cs="Times New Roman"/>
          <w:color w:val="222222"/>
          <w:sz w:val="24"/>
          <w:szCs w:val="24"/>
          <w:lang w:eastAsia="tr-TR"/>
        </w:rPr>
        <w:t xml:space="preserve"> </w:t>
      </w:r>
      <w:r w:rsidR="00432991" w:rsidRPr="009218D1">
        <w:rPr>
          <w:rFonts w:ascii="Times New Roman" w:eastAsia="Times New Roman" w:hAnsi="Times New Roman" w:cs="Times New Roman"/>
          <w:color w:val="222222"/>
          <w:sz w:val="24"/>
          <w:szCs w:val="24"/>
          <w:lang w:eastAsia="tr-TR"/>
        </w:rPr>
        <w:t>371-392</w:t>
      </w:r>
      <w:r w:rsidR="00BE3467" w:rsidRPr="009218D1">
        <w:rPr>
          <w:rFonts w:ascii="Times New Roman" w:eastAsia="Times New Roman" w:hAnsi="Times New Roman" w:cs="Times New Roman"/>
          <w:color w:val="222222"/>
          <w:sz w:val="24"/>
          <w:szCs w:val="24"/>
          <w:lang w:eastAsia="tr-TR"/>
        </w:rPr>
        <w:t>.</w:t>
      </w:r>
    </w:p>
    <w:p w:rsidR="007F4449" w:rsidRPr="009218D1" w:rsidRDefault="007F4449" w:rsidP="007F4449">
      <w:pPr>
        <w:pStyle w:val="ListeParagraf"/>
        <w:rPr>
          <w:rFonts w:ascii="Times New Roman" w:eastAsia="Times New Roman" w:hAnsi="Times New Roman" w:cs="Times New Roman"/>
          <w:color w:val="222222"/>
          <w:sz w:val="24"/>
          <w:szCs w:val="24"/>
          <w:lang w:eastAsia="tr-TR"/>
        </w:rPr>
      </w:pPr>
    </w:p>
    <w:p w:rsidR="001E4703" w:rsidRPr="009218D1" w:rsidRDefault="00772F0F"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BAS</w:t>
      </w:r>
      <w:r w:rsidR="001E4703" w:rsidRPr="009218D1">
        <w:rPr>
          <w:rFonts w:ascii="Times New Roman" w:hAnsi="Times New Roman" w:cs="Times New Roman"/>
          <w:sz w:val="24"/>
          <w:szCs w:val="24"/>
        </w:rPr>
        <w:t xml:space="preserve"> T</w:t>
      </w:r>
      <w:r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w:t>
      </w:r>
      <w:r w:rsidRPr="009218D1">
        <w:rPr>
          <w:rFonts w:ascii="Times New Roman" w:hAnsi="Times New Roman" w:cs="Times New Roman"/>
          <w:sz w:val="24"/>
          <w:szCs w:val="24"/>
        </w:rPr>
        <w:t>MURADO</w:t>
      </w:r>
      <w:r w:rsidR="00A45DFC" w:rsidRPr="009218D1">
        <w:rPr>
          <w:rFonts w:ascii="Times New Roman" w:hAnsi="Times New Roman" w:cs="Times New Roman"/>
          <w:sz w:val="24"/>
          <w:szCs w:val="24"/>
        </w:rPr>
        <w:t>G</w:t>
      </w:r>
      <w:r w:rsidRPr="009218D1">
        <w:rPr>
          <w:rFonts w:ascii="Times New Roman" w:hAnsi="Times New Roman" w:cs="Times New Roman"/>
          <w:sz w:val="24"/>
          <w:szCs w:val="24"/>
        </w:rPr>
        <w:t>LU</w:t>
      </w:r>
      <w:r w:rsidR="001E4703" w:rsidRPr="009218D1">
        <w:rPr>
          <w:rFonts w:ascii="Times New Roman" w:hAnsi="Times New Roman" w:cs="Times New Roman"/>
          <w:sz w:val="24"/>
          <w:szCs w:val="24"/>
        </w:rPr>
        <w:t xml:space="preserve"> G</w:t>
      </w:r>
      <w:r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w:t>
      </w:r>
      <w:r w:rsidRPr="009218D1">
        <w:rPr>
          <w:rFonts w:ascii="Times New Roman" w:hAnsi="Times New Roman" w:cs="Times New Roman"/>
          <w:sz w:val="24"/>
          <w:szCs w:val="24"/>
        </w:rPr>
        <w:t xml:space="preserve">PHYLAKTIS </w:t>
      </w:r>
      <w:r w:rsidR="001E4703" w:rsidRPr="009218D1">
        <w:rPr>
          <w:rFonts w:ascii="Times New Roman" w:hAnsi="Times New Roman" w:cs="Times New Roman"/>
          <w:sz w:val="24"/>
          <w:szCs w:val="24"/>
        </w:rPr>
        <w:t>K</w:t>
      </w:r>
      <w:r w:rsidR="00BE3467" w:rsidRPr="009218D1">
        <w:rPr>
          <w:rFonts w:ascii="Times New Roman" w:hAnsi="Times New Roman" w:cs="Times New Roman"/>
          <w:sz w:val="24"/>
          <w:szCs w:val="24"/>
        </w:rPr>
        <w:t>.</w:t>
      </w:r>
      <w:r w:rsidR="00B00E83"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(2009)</w:t>
      </w:r>
      <w:r w:rsidR="00B00E83"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w:t>
      </w:r>
      <w:r w:rsidR="001E4703" w:rsidRPr="009218D1">
        <w:rPr>
          <w:rFonts w:ascii="Times New Roman" w:hAnsi="Times New Roman" w:cs="Times New Roman"/>
          <w:b/>
          <w:sz w:val="24"/>
          <w:szCs w:val="24"/>
        </w:rPr>
        <w:t>Determinants of Capital Structure in Developing Countries</w:t>
      </w:r>
      <w:r w:rsidR="00B00E83" w:rsidRPr="009218D1">
        <w:rPr>
          <w:rFonts w:ascii="Times New Roman" w:hAnsi="Times New Roman" w:cs="Times New Roman"/>
          <w:b/>
          <w:sz w:val="24"/>
          <w:szCs w:val="24"/>
        </w:rPr>
        <w:t>,</w:t>
      </w:r>
      <w:r w:rsidR="001E4703" w:rsidRPr="009218D1">
        <w:rPr>
          <w:rFonts w:ascii="Times New Roman" w:hAnsi="Times New Roman" w:cs="Times New Roman"/>
          <w:b/>
          <w:sz w:val="24"/>
          <w:szCs w:val="24"/>
        </w:rPr>
        <w:t xml:space="preserve"> Working Paper</w:t>
      </w:r>
      <w:r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Cass Business School</w:t>
      </w:r>
      <w:r w:rsidR="00BE3467" w:rsidRPr="009218D1">
        <w:rPr>
          <w:rFonts w:ascii="Times New Roman" w:hAnsi="Times New Roman" w:cs="Times New Roman"/>
          <w:sz w:val="24"/>
          <w:szCs w:val="24"/>
        </w:rPr>
        <w:t>.</w:t>
      </w:r>
    </w:p>
    <w:p w:rsidR="007F4449" w:rsidRPr="009218D1" w:rsidRDefault="007F4449" w:rsidP="007F4449">
      <w:pPr>
        <w:pStyle w:val="ListeParagraf"/>
        <w:rPr>
          <w:rFonts w:ascii="Times New Roman" w:hAnsi="Times New Roman" w:cs="Times New Roman"/>
          <w:sz w:val="24"/>
          <w:szCs w:val="24"/>
        </w:rPr>
      </w:pPr>
    </w:p>
    <w:p w:rsidR="00E42654"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BEVAN,</w:t>
      </w:r>
      <w:r w:rsidR="001E4703" w:rsidRPr="009218D1">
        <w:rPr>
          <w:rFonts w:ascii="Times New Roman" w:eastAsia="Times New Roman" w:hAnsi="Times New Roman" w:cs="Times New Roman"/>
          <w:color w:val="222222"/>
          <w:sz w:val="24"/>
          <w:szCs w:val="24"/>
          <w:lang w:eastAsia="tr-TR"/>
        </w:rPr>
        <w:t xml:space="preserve"> A</w:t>
      </w:r>
      <w:r w:rsidR="00BE3467"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DANBOLT,</w:t>
      </w:r>
      <w:r w:rsidR="001E4703" w:rsidRPr="009218D1">
        <w:rPr>
          <w:rFonts w:ascii="Times New Roman" w:eastAsia="Times New Roman" w:hAnsi="Times New Roman" w:cs="Times New Roman"/>
          <w:color w:val="222222"/>
          <w:sz w:val="24"/>
          <w:szCs w:val="24"/>
          <w:lang w:eastAsia="tr-TR"/>
        </w:rPr>
        <w:t xml:space="preserve"> J</w:t>
      </w:r>
      <w:r w:rsidR="00BE3467"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(2002)</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001E4703" w:rsidRPr="009218D1">
        <w:rPr>
          <w:rFonts w:ascii="Times New Roman" w:eastAsia="Times New Roman" w:hAnsi="Times New Roman" w:cs="Times New Roman"/>
          <w:b/>
          <w:color w:val="222222"/>
          <w:sz w:val="24"/>
          <w:szCs w:val="24"/>
          <w:lang w:eastAsia="tr-TR"/>
        </w:rPr>
        <w:t xml:space="preserve">Capital </w:t>
      </w:r>
      <w:r w:rsidRPr="009218D1">
        <w:rPr>
          <w:rFonts w:ascii="Times New Roman" w:eastAsia="Times New Roman" w:hAnsi="Times New Roman" w:cs="Times New Roman"/>
          <w:b/>
          <w:color w:val="222222"/>
          <w:sz w:val="24"/>
          <w:szCs w:val="24"/>
          <w:lang w:eastAsia="tr-TR"/>
        </w:rPr>
        <w:t>Structure And Its Determinants in t</w:t>
      </w:r>
      <w:r w:rsidR="001E4703" w:rsidRPr="009218D1">
        <w:rPr>
          <w:rFonts w:ascii="Times New Roman" w:eastAsia="Times New Roman" w:hAnsi="Times New Roman" w:cs="Times New Roman"/>
          <w:b/>
          <w:color w:val="222222"/>
          <w:sz w:val="24"/>
          <w:szCs w:val="24"/>
          <w:lang w:eastAsia="tr-TR"/>
        </w:rPr>
        <w:t>he UK-A Decompositional Analysis</w:t>
      </w:r>
      <w:r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Applied Financial Analysis</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12 (3)</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159-170</w:t>
      </w:r>
      <w:r w:rsidR="00BE3467" w:rsidRPr="009218D1">
        <w:rPr>
          <w:rFonts w:ascii="Times New Roman" w:eastAsia="Times New Roman" w:hAnsi="Times New Roman" w:cs="Times New Roman"/>
          <w:color w:val="222222"/>
          <w:sz w:val="24"/>
          <w:szCs w:val="24"/>
          <w:lang w:eastAsia="tr-TR"/>
        </w:rPr>
        <w:t>.</w:t>
      </w:r>
    </w:p>
    <w:p w:rsidR="00A00968" w:rsidRPr="009218D1" w:rsidRDefault="00A00968" w:rsidP="00A00968">
      <w:pPr>
        <w:pStyle w:val="ListeParagraf"/>
        <w:rPr>
          <w:rFonts w:ascii="Times New Roman" w:eastAsia="Times New Roman" w:hAnsi="Times New Roman" w:cs="Times New Roman"/>
          <w:color w:val="222222"/>
          <w:sz w:val="24"/>
          <w:szCs w:val="24"/>
          <w:lang w:eastAsia="tr-TR"/>
        </w:rPr>
      </w:pPr>
    </w:p>
    <w:p w:rsidR="00A00968" w:rsidRPr="009218D1" w:rsidRDefault="008314CC" w:rsidP="00A00968">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CAPORALE</w:t>
      </w:r>
      <w:r w:rsidR="00A00968" w:rsidRPr="009218D1">
        <w:rPr>
          <w:rFonts w:ascii="Times New Roman" w:eastAsia="Times New Roman" w:hAnsi="Times New Roman" w:cs="Times New Roman"/>
          <w:color w:val="222222"/>
          <w:sz w:val="24"/>
          <w:szCs w:val="24"/>
          <w:lang w:eastAsia="tr-TR"/>
        </w:rPr>
        <w:t xml:space="preserve">, G. M. vd., (2009), </w:t>
      </w:r>
      <w:r w:rsidR="00A00968" w:rsidRPr="009218D1">
        <w:rPr>
          <w:rFonts w:ascii="Times New Roman" w:eastAsia="Times New Roman" w:hAnsi="Times New Roman" w:cs="Times New Roman"/>
          <w:b/>
          <w:bCs/>
          <w:color w:val="222222"/>
          <w:sz w:val="24"/>
          <w:szCs w:val="24"/>
          <w:lang w:eastAsia="tr-TR"/>
        </w:rPr>
        <w:t>Financial Development and Economic Growth: Evidence from Ten New EU Members</w:t>
      </w:r>
      <w:r w:rsidR="00A00968" w:rsidRPr="009218D1">
        <w:rPr>
          <w:rFonts w:ascii="Times New Roman" w:eastAsia="Times New Roman" w:hAnsi="Times New Roman" w:cs="Times New Roman"/>
          <w:color w:val="222222"/>
          <w:sz w:val="24"/>
          <w:szCs w:val="24"/>
          <w:lang w:eastAsia="tr-TR"/>
        </w:rPr>
        <w:t>, Discussion Paper of DIW Berlin, 940, 1-39.</w:t>
      </w:r>
    </w:p>
    <w:p w:rsidR="00A00968" w:rsidRPr="009218D1" w:rsidRDefault="00A00968" w:rsidP="00A00968">
      <w:pPr>
        <w:pStyle w:val="ListeParagraf"/>
        <w:rPr>
          <w:rFonts w:ascii="Times New Roman" w:eastAsia="Times New Roman" w:hAnsi="Times New Roman" w:cs="Times New Roman"/>
          <w:color w:val="222222"/>
          <w:sz w:val="20"/>
          <w:szCs w:val="20"/>
          <w:lang w:eastAsia="tr-TR"/>
        </w:rPr>
      </w:pPr>
    </w:p>
    <w:p w:rsidR="00A00968" w:rsidRPr="009218D1" w:rsidRDefault="008314CC" w:rsidP="00A00968">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DEANGELO</w:t>
      </w:r>
      <w:r w:rsidR="00A00968" w:rsidRPr="009218D1">
        <w:rPr>
          <w:rFonts w:ascii="Times New Roman" w:eastAsia="Times New Roman" w:hAnsi="Times New Roman" w:cs="Times New Roman"/>
          <w:color w:val="222222"/>
          <w:sz w:val="24"/>
          <w:szCs w:val="24"/>
          <w:lang w:eastAsia="tr-TR"/>
        </w:rPr>
        <w:t xml:space="preserve">, H., Roll R., (2015), </w:t>
      </w:r>
      <w:r w:rsidR="00A00968" w:rsidRPr="009218D1">
        <w:rPr>
          <w:rFonts w:ascii="Times New Roman" w:eastAsia="Times New Roman" w:hAnsi="Times New Roman" w:cs="Times New Roman"/>
          <w:b/>
          <w:bCs/>
          <w:color w:val="222222"/>
          <w:sz w:val="24"/>
          <w:szCs w:val="24"/>
          <w:lang w:eastAsia="tr-TR"/>
        </w:rPr>
        <w:t>How Stable Are Corporate Capital Structures?,</w:t>
      </w:r>
      <w:r w:rsidR="00A00968" w:rsidRPr="009218D1">
        <w:rPr>
          <w:rFonts w:ascii="Times New Roman" w:eastAsia="Times New Roman" w:hAnsi="Times New Roman" w:cs="Times New Roman"/>
          <w:color w:val="222222"/>
          <w:sz w:val="24"/>
          <w:szCs w:val="24"/>
          <w:lang w:eastAsia="tr-TR"/>
        </w:rPr>
        <w:t xml:space="preserve"> The Journal of Finance, 70</w:t>
      </w:r>
      <w:r w:rsidRPr="009218D1">
        <w:rPr>
          <w:rFonts w:ascii="Times New Roman" w:eastAsia="Times New Roman" w:hAnsi="Times New Roman" w:cs="Times New Roman"/>
          <w:color w:val="222222"/>
          <w:sz w:val="24"/>
          <w:szCs w:val="24"/>
          <w:lang w:eastAsia="tr-TR"/>
        </w:rPr>
        <w:t xml:space="preserve"> </w:t>
      </w:r>
      <w:r w:rsidR="00A00968" w:rsidRPr="009218D1">
        <w:rPr>
          <w:rFonts w:ascii="Times New Roman" w:eastAsia="Times New Roman" w:hAnsi="Times New Roman" w:cs="Times New Roman"/>
          <w:color w:val="222222"/>
          <w:sz w:val="24"/>
          <w:szCs w:val="24"/>
          <w:lang w:eastAsia="tr-TR"/>
        </w:rPr>
        <w:t>(1), 373-418.</w:t>
      </w:r>
    </w:p>
    <w:p w:rsidR="00A00968" w:rsidRPr="009218D1" w:rsidRDefault="00A00968" w:rsidP="00A00968">
      <w:pPr>
        <w:pStyle w:val="ListeParagraf"/>
        <w:spacing w:after="0" w:line="240" w:lineRule="auto"/>
        <w:jc w:val="both"/>
        <w:rPr>
          <w:rFonts w:ascii="Times New Roman" w:eastAsia="Times New Roman" w:hAnsi="Times New Roman" w:cs="Times New Roman"/>
          <w:color w:val="222222"/>
          <w:sz w:val="24"/>
          <w:szCs w:val="24"/>
          <w:lang w:eastAsia="tr-TR"/>
        </w:rPr>
      </w:pPr>
    </w:p>
    <w:p w:rsidR="00A00968" w:rsidRPr="009218D1" w:rsidRDefault="008314CC" w:rsidP="00A00968">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DEMİRGÜÇ-KUNT</w:t>
      </w:r>
      <w:r w:rsidR="00A00968" w:rsidRPr="009218D1">
        <w:rPr>
          <w:rFonts w:ascii="Times New Roman" w:eastAsia="Times New Roman" w:hAnsi="Times New Roman" w:cs="Times New Roman"/>
          <w:color w:val="222222"/>
          <w:sz w:val="24"/>
          <w:szCs w:val="24"/>
          <w:lang w:eastAsia="tr-TR"/>
        </w:rPr>
        <w:t xml:space="preserve">, A., </w:t>
      </w:r>
      <w:r w:rsidRPr="009218D1">
        <w:rPr>
          <w:rFonts w:ascii="Times New Roman" w:eastAsia="Times New Roman" w:hAnsi="Times New Roman" w:cs="Times New Roman"/>
          <w:color w:val="222222"/>
          <w:sz w:val="24"/>
          <w:szCs w:val="24"/>
          <w:lang w:eastAsia="tr-TR"/>
        </w:rPr>
        <w:t>MAKSİMOVIC</w:t>
      </w:r>
      <w:r w:rsidR="00A00968" w:rsidRPr="009218D1">
        <w:rPr>
          <w:rFonts w:ascii="Times New Roman" w:eastAsia="Times New Roman" w:hAnsi="Times New Roman" w:cs="Times New Roman"/>
          <w:color w:val="222222"/>
          <w:sz w:val="24"/>
          <w:szCs w:val="24"/>
          <w:lang w:eastAsia="tr-TR"/>
        </w:rPr>
        <w:t xml:space="preserve">, V., (1996), </w:t>
      </w:r>
      <w:r w:rsidRPr="009218D1">
        <w:rPr>
          <w:rFonts w:ascii="Times New Roman" w:eastAsia="Times New Roman" w:hAnsi="Times New Roman" w:cs="Times New Roman"/>
          <w:b/>
          <w:bCs/>
          <w:color w:val="222222"/>
          <w:sz w:val="24"/>
          <w:szCs w:val="24"/>
          <w:lang w:eastAsia="tr-TR"/>
        </w:rPr>
        <w:t>Stock Market Development a</w:t>
      </w:r>
      <w:r w:rsidR="00A00968" w:rsidRPr="009218D1">
        <w:rPr>
          <w:rFonts w:ascii="Times New Roman" w:eastAsia="Times New Roman" w:hAnsi="Times New Roman" w:cs="Times New Roman"/>
          <w:b/>
          <w:bCs/>
          <w:color w:val="222222"/>
          <w:sz w:val="24"/>
          <w:szCs w:val="24"/>
          <w:lang w:eastAsia="tr-TR"/>
        </w:rPr>
        <w:t>nd Financing Choices of Firms</w:t>
      </w:r>
      <w:r w:rsidR="00A00968" w:rsidRPr="009218D1">
        <w:rPr>
          <w:rFonts w:ascii="Times New Roman" w:eastAsia="Times New Roman" w:hAnsi="Times New Roman" w:cs="Times New Roman"/>
          <w:color w:val="222222"/>
          <w:sz w:val="24"/>
          <w:szCs w:val="24"/>
          <w:lang w:eastAsia="tr-TR"/>
        </w:rPr>
        <w:t>,</w:t>
      </w:r>
      <w:r w:rsidR="00A00968" w:rsidRPr="009218D1">
        <w:rPr>
          <w:rFonts w:ascii="Times New Roman" w:eastAsia="Times New Roman" w:hAnsi="Times New Roman" w:cs="Times New Roman"/>
          <w:sz w:val="24"/>
          <w:szCs w:val="24"/>
          <w:lang w:eastAsia="tr-TR"/>
        </w:rPr>
        <w:t> </w:t>
      </w:r>
      <w:r w:rsidR="00A00968" w:rsidRPr="009218D1">
        <w:rPr>
          <w:rFonts w:ascii="Times New Roman" w:eastAsia="Times New Roman" w:hAnsi="Times New Roman" w:cs="Times New Roman"/>
          <w:color w:val="222222"/>
          <w:sz w:val="24"/>
          <w:szCs w:val="24"/>
          <w:lang w:eastAsia="tr-TR"/>
        </w:rPr>
        <w:t>The World Bank Economic Review,</w:t>
      </w:r>
      <w:r w:rsidR="00A00968" w:rsidRPr="009218D1">
        <w:rPr>
          <w:rFonts w:ascii="Times New Roman" w:eastAsia="Times New Roman" w:hAnsi="Times New Roman" w:cs="Times New Roman"/>
          <w:sz w:val="24"/>
          <w:szCs w:val="24"/>
          <w:lang w:eastAsia="tr-TR"/>
        </w:rPr>
        <w:t> </w:t>
      </w:r>
      <w:r w:rsidR="00A00968" w:rsidRPr="009218D1">
        <w:rPr>
          <w:rFonts w:ascii="Times New Roman" w:eastAsia="Times New Roman" w:hAnsi="Times New Roman" w:cs="Times New Roman"/>
          <w:color w:val="222222"/>
          <w:sz w:val="24"/>
          <w:szCs w:val="24"/>
          <w:lang w:eastAsia="tr-TR"/>
        </w:rPr>
        <w:t>10</w:t>
      </w:r>
      <w:r w:rsidR="00A82B1A" w:rsidRPr="009218D1">
        <w:rPr>
          <w:rFonts w:ascii="Times New Roman" w:eastAsia="Times New Roman" w:hAnsi="Times New Roman" w:cs="Times New Roman"/>
          <w:color w:val="222222"/>
          <w:sz w:val="24"/>
          <w:szCs w:val="24"/>
          <w:lang w:eastAsia="tr-TR"/>
        </w:rPr>
        <w:t xml:space="preserve"> </w:t>
      </w:r>
      <w:r w:rsidR="00A00968" w:rsidRPr="009218D1">
        <w:rPr>
          <w:rFonts w:ascii="Times New Roman" w:eastAsia="Times New Roman" w:hAnsi="Times New Roman" w:cs="Times New Roman"/>
          <w:color w:val="222222"/>
          <w:sz w:val="24"/>
          <w:szCs w:val="24"/>
          <w:lang w:eastAsia="tr-TR"/>
        </w:rPr>
        <w:t>(2), 341-369.</w:t>
      </w:r>
    </w:p>
    <w:p w:rsidR="00A00968" w:rsidRPr="009218D1" w:rsidRDefault="00A00968" w:rsidP="00A00968">
      <w:pPr>
        <w:pStyle w:val="ListeParagraf"/>
        <w:spacing w:after="0" w:line="240" w:lineRule="auto"/>
        <w:jc w:val="both"/>
        <w:rPr>
          <w:rFonts w:ascii="Times New Roman" w:eastAsia="Times New Roman" w:hAnsi="Times New Roman" w:cs="Times New Roman"/>
          <w:color w:val="222222"/>
          <w:sz w:val="24"/>
          <w:szCs w:val="24"/>
          <w:lang w:eastAsia="tr-TR"/>
        </w:rPr>
      </w:pPr>
    </w:p>
    <w:p w:rsidR="001E4703"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DEMİRHAN,</w:t>
      </w:r>
      <w:r w:rsidR="001E4703" w:rsidRPr="009218D1">
        <w:rPr>
          <w:rFonts w:ascii="Times New Roman" w:eastAsia="Times New Roman" w:hAnsi="Times New Roman" w:cs="Times New Roman"/>
          <w:color w:val="222222"/>
          <w:sz w:val="24"/>
          <w:szCs w:val="24"/>
          <w:lang w:eastAsia="tr-TR"/>
        </w:rPr>
        <w:t xml:space="preserve"> D</w:t>
      </w:r>
      <w:r w:rsidR="00BE3467"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 xml:space="preserve">, </w:t>
      </w:r>
      <w:r w:rsidR="001E4703" w:rsidRPr="009218D1">
        <w:rPr>
          <w:rFonts w:ascii="Times New Roman" w:eastAsia="Times New Roman" w:hAnsi="Times New Roman" w:cs="Times New Roman"/>
          <w:color w:val="222222"/>
          <w:sz w:val="24"/>
          <w:szCs w:val="24"/>
          <w:lang w:eastAsia="tr-TR"/>
        </w:rPr>
        <w:t>(2009)</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001E4703" w:rsidRPr="009218D1">
        <w:rPr>
          <w:rFonts w:ascii="Times New Roman" w:eastAsia="Times New Roman" w:hAnsi="Times New Roman" w:cs="Times New Roman"/>
          <w:b/>
          <w:color w:val="222222"/>
          <w:sz w:val="24"/>
          <w:szCs w:val="24"/>
          <w:lang w:eastAsia="tr-TR"/>
        </w:rPr>
        <w:t>Sermaye Yapısını Etkileyen Firmaya Özgü Faktörlerin Analizi: İMKB Hizmet Firmaları Üzerine Bir Uygulama</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Ege Akademik Bakış</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9 (2)</w:t>
      </w:r>
      <w:r w:rsidR="00B361C9"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677-697</w:t>
      </w:r>
      <w:r w:rsidR="00BE3467" w:rsidRPr="009218D1">
        <w:rPr>
          <w:rFonts w:ascii="Times New Roman" w:eastAsia="Times New Roman" w:hAnsi="Times New Roman" w:cs="Times New Roman"/>
          <w:color w:val="222222"/>
          <w:sz w:val="24"/>
          <w:szCs w:val="24"/>
          <w:lang w:eastAsia="tr-TR"/>
        </w:rPr>
        <w:t>.</w:t>
      </w:r>
    </w:p>
    <w:p w:rsidR="007808FA" w:rsidRPr="009218D1" w:rsidRDefault="007808FA" w:rsidP="007808FA">
      <w:pPr>
        <w:spacing w:after="0" w:line="240" w:lineRule="auto"/>
        <w:rPr>
          <w:rFonts w:ascii="Times New Roman" w:eastAsia="Times New Roman" w:hAnsi="Times New Roman" w:cs="Times New Roman"/>
          <w:color w:val="222222"/>
          <w:sz w:val="24"/>
          <w:szCs w:val="24"/>
          <w:lang w:eastAsia="tr-TR"/>
        </w:rPr>
      </w:pPr>
    </w:p>
    <w:p w:rsidR="007808FA"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DURUKAN,</w:t>
      </w:r>
      <w:r w:rsidR="007808FA"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7808FA" w:rsidRPr="009218D1">
        <w:rPr>
          <w:rFonts w:ascii="Times New Roman" w:eastAsia="Times New Roman" w:hAnsi="Times New Roman" w:cs="Times New Roman"/>
          <w:color w:val="222222"/>
          <w:sz w:val="24"/>
          <w:szCs w:val="24"/>
          <w:lang w:eastAsia="tr-TR"/>
        </w:rPr>
        <w:t xml:space="preserve"> B</w:t>
      </w:r>
      <w:r w:rsidRPr="009218D1">
        <w:rPr>
          <w:rFonts w:ascii="Times New Roman" w:eastAsia="Times New Roman" w:hAnsi="Times New Roman" w:cs="Times New Roman"/>
          <w:color w:val="222222"/>
          <w:sz w:val="24"/>
          <w:szCs w:val="24"/>
          <w:lang w:eastAsia="tr-TR"/>
        </w:rPr>
        <w:t>.,</w:t>
      </w:r>
      <w:r w:rsidR="007808FA" w:rsidRPr="009218D1">
        <w:rPr>
          <w:rFonts w:ascii="Times New Roman" w:eastAsia="Times New Roman" w:hAnsi="Times New Roman" w:cs="Times New Roman"/>
          <w:color w:val="222222"/>
          <w:sz w:val="24"/>
          <w:szCs w:val="24"/>
          <w:lang w:eastAsia="tr-TR"/>
        </w:rPr>
        <w:t xml:space="preserve"> (1997)</w:t>
      </w:r>
      <w:r w:rsidR="00B361C9" w:rsidRPr="009218D1">
        <w:rPr>
          <w:rFonts w:ascii="Times New Roman" w:eastAsia="Times New Roman" w:hAnsi="Times New Roman" w:cs="Times New Roman"/>
          <w:color w:val="222222"/>
          <w:sz w:val="24"/>
          <w:szCs w:val="24"/>
          <w:lang w:eastAsia="tr-TR"/>
        </w:rPr>
        <w:t>,</w:t>
      </w:r>
      <w:r w:rsidR="007808FA" w:rsidRPr="009218D1">
        <w:rPr>
          <w:rFonts w:ascii="Times New Roman" w:eastAsia="Times New Roman" w:hAnsi="Times New Roman" w:cs="Times New Roman"/>
          <w:color w:val="222222"/>
          <w:sz w:val="24"/>
          <w:szCs w:val="24"/>
          <w:lang w:eastAsia="tr-TR"/>
        </w:rPr>
        <w:t xml:space="preserve"> </w:t>
      </w:r>
      <w:r w:rsidR="007808FA" w:rsidRPr="009218D1">
        <w:rPr>
          <w:rFonts w:ascii="Times New Roman" w:eastAsia="Times New Roman" w:hAnsi="Times New Roman" w:cs="Times New Roman"/>
          <w:b/>
          <w:color w:val="222222"/>
          <w:sz w:val="24"/>
          <w:szCs w:val="24"/>
          <w:lang w:eastAsia="tr-TR"/>
        </w:rPr>
        <w:t>Hisse Senetleri İMKB’de İşlem Gören Firmaların Sermaye Yapısı Üzerine Bir Araştırma: 1990-1995</w:t>
      </w:r>
      <w:r w:rsidR="00B361C9" w:rsidRPr="009218D1">
        <w:rPr>
          <w:rFonts w:ascii="Times New Roman" w:eastAsia="Times New Roman" w:hAnsi="Times New Roman" w:cs="Times New Roman"/>
          <w:b/>
          <w:color w:val="222222"/>
          <w:sz w:val="24"/>
          <w:szCs w:val="24"/>
          <w:lang w:eastAsia="tr-TR"/>
        </w:rPr>
        <w:t>,</w:t>
      </w:r>
      <w:r w:rsidR="007808FA" w:rsidRPr="009218D1">
        <w:rPr>
          <w:rFonts w:ascii="Times New Roman" w:eastAsia="Times New Roman" w:hAnsi="Times New Roman" w:cs="Times New Roman"/>
          <w:b/>
          <w:color w:val="222222"/>
          <w:sz w:val="24"/>
          <w:szCs w:val="24"/>
          <w:lang w:eastAsia="tr-TR"/>
        </w:rPr>
        <w:t xml:space="preserve"> </w:t>
      </w:r>
      <w:r w:rsidR="007808FA" w:rsidRPr="009218D1">
        <w:rPr>
          <w:rFonts w:ascii="Times New Roman" w:eastAsia="Times New Roman" w:hAnsi="Times New Roman" w:cs="Times New Roman"/>
          <w:iCs/>
          <w:color w:val="222222"/>
          <w:sz w:val="24"/>
          <w:szCs w:val="24"/>
          <w:lang w:eastAsia="tr-TR"/>
        </w:rPr>
        <w:t>İMKB Dergisi</w:t>
      </w:r>
      <w:r w:rsidR="00B361C9" w:rsidRPr="009218D1">
        <w:rPr>
          <w:rFonts w:ascii="Times New Roman" w:eastAsia="Times New Roman" w:hAnsi="Times New Roman" w:cs="Times New Roman"/>
          <w:color w:val="222222"/>
          <w:sz w:val="24"/>
          <w:szCs w:val="24"/>
          <w:lang w:eastAsia="tr-TR"/>
        </w:rPr>
        <w:t>,</w:t>
      </w:r>
      <w:r w:rsidR="007808FA" w:rsidRPr="009218D1">
        <w:rPr>
          <w:rFonts w:ascii="Times New Roman" w:eastAsia="Times New Roman" w:hAnsi="Times New Roman" w:cs="Times New Roman"/>
          <w:color w:val="222222"/>
          <w:sz w:val="24"/>
          <w:szCs w:val="24"/>
          <w:lang w:eastAsia="tr-TR"/>
        </w:rPr>
        <w:t xml:space="preserve"> </w:t>
      </w:r>
      <w:r w:rsidR="007808FA" w:rsidRPr="009218D1">
        <w:rPr>
          <w:rFonts w:ascii="Times New Roman" w:eastAsia="Times New Roman" w:hAnsi="Times New Roman" w:cs="Times New Roman"/>
          <w:iCs/>
          <w:color w:val="222222"/>
          <w:sz w:val="24"/>
          <w:szCs w:val="24"/>
          <w:lang w:eastAsia="tr-TR"/>
        </w:rPr>
        <w:t>1</w:t>
      </w:r>
      <w:r w:rsidR="00696FB6" w:rsidRPr="009218D1">
        <w:rPr>
          <w:rFonts w:ascii="Times New Roman" w:eastAsia="Times New Roman" w:hAnsi="Times New Roman" w:cs="Times New Roman"/>
          <w:iCs/>
          <w:color w:val="222222"/>
          <w:sz w:val="24"/>
          <w:szCs w:val="24"/>
          <w:lang w:eastAsia="tr-TR"/>
        </w:rPr>
        <w:t xml:space="preserve"> </w:t>
      </w:r>
      <w:r w:rsidR="007808FA" w:rsidRPr="009218D1">
        <w:rPr>
          <w:rFonts w:ascii="Times New Roman" w:eastAsia="Times New Roman" w:hAnsi="Times New Roman" w:cs="Times New Roman"/>
          <w:color w:val="222222"/>
          <w:sz w:val="24"/>
          <w:szCs w:val="24"/>
          <w:lang w:eastAsia="tr-TR"/>
        </w:rPr>
        <w:t>(3)</w:t>
      </w:r>
      <w:r w:rsidR="00B361C9" w:rsidRPr="009218D1">
        <w:rPr>
          <w:rFonts w:ascii="Times New Roman" w:eastAsia="Times New Roman" w:hAnsi="Times New Roman" w:cs="Times New Roman"/>
          <w:color w:val="222222"/>
          <w:sz w:val="24"/>
          <w:szCs w:val="24"/>
          <w:lang w:eastAsia="tr-TR"/>
        </w:rPr>
        <w:t>,</w:t>
      </w:r>
      <w:r w:rsidR="007808FA" w:rsidRPr="009218D1">
        <w:rPr>
          <w:rFonts w:ascii="Times New Roman" w:eastAsia="Times New Roman" w:hAnsi="Times New Roman" w:cs="Times New Roman"/>
          <w:color w:val="222222"/>
          <w:sz w:val="24"/>
          <w:szCs w:val="24"/>
          <w:lang w:eastAsia="tr-TR"/>
        </w:rPr>
        <w:t xml:space="preserve"> 75-91</w:t>
      </w:r>
      <w:r w:rsidR="00BE3467" w:rsidRPr="009218D1">
        <w:rPr>
          <w:rFonts w:ascii="Times New Roman" w:eastAsia="Times New Roman" w:hAnsi="Times New Roman" w:cs="Times New Roman"/>
          <w:color w:val="222222"/>
          <w:sz w:val="24"/>
          <w:szCs w:val="24"/>
          <w:lang w:eastAsia="tr-TR"/>
        </w:rPr>
        <w:t>.</w:t>
      </w:r>
    </w:p>
    <w:p w:rsidR="007808FA" w:rsidRPr="009218D1" w:rsidRDefault="007808FA" w:rsidP="00BA4983">
      <w:pPr>
        <w:spacing w:after="0" w:line="240" w:lineRule="auto"/>
        <w:jc w:val="both"/>
        <w:rPr>
          <w:rFonts w:ascii="Times New Roman" w:eastAsia="Times New Roman" w:hAnsi="Times New Roman" w:cs="Times New Roman"/>
          <w:color w:val="222222"/>
          <w:sz w:val="24"/>
          <w:szCs w:val="24"/>
          <w:lang w:eastAsia="tr-TR"/>
        </w:rPr>
      </w:pPr>
    </w:p>
    <w:p w:rsidR="00DA5683"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FRANK,</w:t>
      </w:r>
      <w:r w:rsidR="00DA5683"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DA5683" w:rsidRPr="009218D1">
        <w:rPr>
          <w:rFonts w:ascii="Times New Roman" w:eastAsia="Times New Roman" w:hAnsi="Times New Roman" w:cs="Times New Roman"/>
          <w:color w:val="222222"/>
          <w:sz w:val="24"/>
          <w:szCs w:val="24"/>
          <w:lang w:eastAsia="tr-TR"/>
        </w:rPr>
        <w:t xml:space="preserve"> Z</w:t>
      </w:r>
      <w:r w:rsidRPr="009218D1">
        <w:rPr>
          <w:rFonts w:ascii="Times New Roman" w:eastAsia="Times New Roman" w:hAnsi="Times New Roman" w:cs="Times New Roman"/>
          <w:color w:val="222222"/>
          <w:sz w:val="24"/>
          <w:szCs w:val="24"/>
          <w:lang w:eastAsia="tr-TR"/>
        </w:rPr>
        <w:t>.,</w:t>
      </w:r>
      <w:r w:rsidR="00DA5683"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GOYAL</w:t>
      </w:r>
      <w:r w:rsidR="00B361C9" w:rsidRPr="009218D1">
        <w:rPr>
          <w:rFonts w:ascii="Times New Roman" w:eastAsia="Times New Roman" w:hAnsi="Times New Roman" w:cs="Times New Roman"/>
          <w:color w:val="222222"/>
          <w:sz w:val="24"/>
          <w:szCs w:val="24"/>
          <w:lang w:eastAsia="tr-TR"/>
        </w:rPr>
        <w:t>,</w:t>
      </w:r>
      <w:r w:rsidR="00DA5683" w:rsidRPr="009218D1">
        <w:rPr>
          <w:rFonts w:ascii="Times New Roman" w:eastAsia="Times New Roman" w:hAnsi="Times New Roman" w:cs="Times New Roman"/>
          <w:color w:val="222222"/>
          <w:sz w:val="24"/>
          <w:szCs w:val="24"/>
          <w:lang w:eastAsia="tr-TR"/>
        </w:rPr>
        <w:t xml:space="preserve"> V</w:t>
      </w:r>
      <w:r w:rsidR="00BE3467" w:rsidRPr="009218D1">
        <w:rPr>
          <w:rFonts w:ascii="Times New Roman" w:eastAsia="Times New Roman" w:hAnsi="Times New Roman" w:cs="Times New Roman"/>
          <w:color w:val="222222"/>
          <w:sz w:val="24"/>
          <w:szCs w:val="24"/>
          <w:lang w:eastAsia="tr-TR"/>
        </w:rPr>
        <w:t>.</w:t>
      </w:r>
      <w:r w:rsidR="00DA5683" w:rsidRPr="009218D1">
        <w:rPr>
          <w:rFonts w:ascii="Times New Roman" w:eastAsia="Times New Roman" w:hAnsi="Times New Roman" w:cs="Times New Roman"/>
          <w:color w:val="222222"/>
          <w:sz w:val="24"/>
          <w:szCs w:val="24"/>
          <w:lang w:eastAsia="tr-TR"/>
        </w:rPr>
        <w:t xml:space="preserve"> K</w:t>
      </w:r>
      <w:r w:rsidR="00BE3467" w:rsidRPr="009218D1">
        <w:rPr>
          <w:rFonts w:ascii="Times New Roman" w:eastAsia="Times New Roman" w:hAnsi="Times New Roman" w:cs="Times New Roman"/>
          <w:color w:val="222222"/>
          <w:sz w:val="24"/>
          <w:szCs w:val="24"/>
          <w:lang w:eastAsia="tr-TR"/>
        </w:rPr>
        <w:t>.</w:t>
      </w:r>
      <w:r w:rsidR="00B361C9" w:rsidRPr="009218D1">
        <w:rPr>
          <w:rFonts w:ascii="Times New Roman" w:eastAsia="Times New Roman" w:hAnsi="Times New Roman" w:cs="Times New Roman"/>
          <w:color w:val="222222"/>
          <w:sz w:val="24"/>
          <w:szCs w:val="24"/>
          <w:lang w:eastAsia="tr-TR"/>
        </w:rPr>
        <w:t>,</w:t>
      </w:r>
      <w:r w:rsidR="00E42654" w:rsidRPr="009218D1">
        <w:rPr>
          <w:rFonts w:ascii="Times New Roman" w:eastAsia="Times New Roman" w:hAnsi="Times New Roman" w:cs="Times New Roman"/>
          <w:color w:val="222222"/>
          <w:sz w:val="24"/>
          <w:szCs w:val="24"/>
          <w:lang w:eastAsia="tr-TR"/>
        </w:rPr>
        <w:t xml:space="preserve"> (2007)</w:t>
      </w:r>
      <w:r w:rsidR="00B361C9" w:rsidRPr="009218D1">
        <w:rPr>
          <w:rFonts w:ascii="Times New Roman" w:eastAsia="Times New Roman" w:hAnsi="Times New Roman" w:cs="Times New Roman"/>
          <w:color w:val="222222"/>
          <w:sz w:val="24"/>
          <w:szCs w:val="24"/>
          <w:lang w:eastAsia="tr-TR"/>
        </w:rPr>
        <w:t>,</w:t>
      </w:r>
      <w:r w:rsidR="00E42654" w:rsidRPr="009218D1">
        <w:rPr>
          <w:rFonts w:ascii="Times New Roman" w:eastAsia="Times New Roman" w:hAnsi="Times New Roman" w:cs="Times New Roman"/>
          <w:color w:val="222222"/>
          <w:sz w:val="24"/>
          <w:szCs w:val="24"/>
          <w:lang w:eastAsia="tr-TR"/>
        </w:rPr>
        <w:t xml:space="preserve"> </w:t>
      </w:r>
      <w:r w:rsidR="00DA5683" w:rsidRPr="009218D1">
        <w:rPr>
          <w:rFonts w:ascii="Times New Roman" w:eastAsia="Times New Roman" w:hAnsi="Times New Roman" w:cs="Times New Roman"/>
          <w:b/>
          <w:color w:val="222222"/>
          <w:sz w:val="24"/>
          <w:szCs w:val="24"/>
          <w:lang w:eastAsia="tr-TR"/>
        </w:rPr>
        <w:t>Trade</w:t>
      </w:r>
      <w:r w:rsidR="00E42654" w:rsidRPr="009218D1">
        <w:rPr>
          <w:rFonts w:ascii="Times New Roman" w:eastAsia="Times New Roman" w:hAnsi="Times New Roman" w:cs="Times New Roman"/>
          <w:b/>
          <w:color w:val="222222"/>
          <w:sz w:val="24"/>
          <w:szCs w:val="24"/>
          <w:lang w:eastAsia="tr-TR"/>
        </w:rPr>
        <w:t>-</w:t>
      </w:r>
      <w:r w:rsidRPr="009218D1">
        <w:rPr>
          <w:rFonts w:ascii="Times New Roman" w:eastAsia="Times New Roman" w:hAnsi="Times New Roman" w:cs="Times New Roman"/>
          <w:b/>
          <w:color w:val="222222"/>
          <w:sz w:val="24"/>
          <w:szCs w:val="24"/>
          <w:lang w:eastAsia="tr-TR"/>
        </w:rPr>
        <w:t>off and Pecking Order Theories o</w:t>
      </w:r>
      <w:r w:rsidR="00E42654" w:rsidRPr="009218D1">
        <w:rPr>
          <w:rFonts w:ascii="Times New Roman" w:eastAsia="Times New Roman" w:hAnsi="Times New Roman" w:cs="Times New Roman"/>
          <w:b/>
          <w:color w:val="222222"/>
          <w:sz w:val="24"/>
          <w:szCs w:val="24"/>
          <w:lang w:eastAsia="tr-TR"/>
        </w:rPr>
        <w:t>f Debt</w:t>
      </w:r>
      <w:r w:rsidR="00BE3467" w:rsidRPr="009218D1">
        <w:rPr>
          <w:rFonts w:ascii="Times New Roman" w:eastAsia="Times New Roman" w:hAnsi="Times New Roman" w:cs="Times New Roman"/>
          <w:color w:val="222222"/>
          <w:sz w:val="24"/>
          <w:szCs w:val="24"/>
          <w:lang w:eastAsia="tr-TR"/>
        </w:rPr>
        <w:t>.</w:t>
      </w:r>
      <w:r w:rsidR="00E42654" w:rsidRPr="009218D1">
        <w:rPr>
          <w:rFonts w:ascii="Times New Roman" w:eastAsia="Times New Roman" w:hAnsi="Times New Roman" w:cs="Times New Roman"/>
          <w:color w:val="222222"/>
          <w:sz w:val="24"/>
          <w:szCs w:val="24"/>
          <w:lang w:eastAsia="tr-TR"/>
        </w:rPr>
        <w:t xml:space="preserve"> </w:t>
      </w:r>
    </w:p>
    <w:p w:rsidR="00BD6141" w:rsidRPr="009218D1" w:rsidRDefault="00BD6141" w:rsidP="00BA4983">
      <w:pPr>
        <w:spacing w:after="0" w:line="240" w:lineRule="auto"/>
        <w:jc w:val="both"/>
        <w:rPr>
          <w:rFonts w:ascii="Times New Roman" w:eastAsia="Times New Roman" w:hAnsi="Times New Roman" w:cs="Times New Roman"/>
          <w:color w:val="222222"/>
          <w:sz w:val="24"/>
          <w:szCs w:val="24"/>
          <w:lang w:eastAsia="tr-TR"/>
        </w:rPr>
      </w:pPr>
    </w:p>
    <w:p w:rsidR="0040550D"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FRANK,</w:t>
      </w:r>
      <w:r w:rsidR="0040550D"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40550D" w:rsidRPr="009218D1">
        <w:rPr>
          <w:rFonts w:ascii="Times New Roman" w:eastAsia="Times New Roman" w:hAnsi="Times New Roman" w:cs="Times New Roman"/>
          <w:color w:val="222222"/>
          <w:sz w:val="24"/>
          <w:szCs w:val="24"/>
          <w:lang w:eastAsia="tr-TR"/>
        </w:rPr>
        <w:t xml:space="preserve"> Z</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40550D"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GOYAL,</w:t>
      </w:r>
      <w:r w:rsidR="0040550D" w:rsidRPr="009218D1">
        <w:rPr>
          <w:rFonts w:ascii="Times New Roman" w:eastAsia="Times New Roman" w:hAnsi="Times New Roman" w:cs="Times New Roman"/>
          <w:color w:val="222222"/>
          <w:sz w:val="24"/>
          <w:szCs w:val="24"/>
          <w:lang w:eastAsia="tr-TR"/>
        </w:rPr>
        <w:t xml:space="preserve"> V</w:t>
      </w:r>
      <w:r w:rsidR="00BE3467" w:rsidRPr="009218D1">
        <w:rPr>
          <w:rFonts w:ascii="Times New Roman" w:eastAsia="Times New Roman" w:hAnsi="Times New Roman" w:cs="Times New Roman"/>
          <w:color w:val="222222"/>
          <w:sz w:val="24"/>
          <w:szCs w:val="24"/>
          <w:lang w:eastAsia="tr-TR"/>
        </w:rPr>
        <w:t>.</w:t>
      </w:r>
      <w:r w:rsidR="0040550D" w:rsidRPr="009218D1">
        <w:rPr>
          <w:rFonts w:ascii="Times New Roman" w:eastAsia="Times New Roman" w:hAnsi="Times New Roman" w:cs="Times New Roman"/>
          <w:color w:val="222222"/>
          <w:sz w:val="24"/>
          <w:szCs w:val="24"/>
          <w:lang w:eastAsia="tr-TR"/>
        </w:rPr>
        <w:t xml:space="preserve"> K</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D91A40" w:rsidRPr="009218D1">
        <w:rPr>
          <w:rFonts w:ascii="Times New Roman" w:eastAsia="Times New Roman" w:hAnsi="Times New Roman" w:cs="Times New Roman"/>
          <w:color w:val="222222"/>
          <w:sz w:val="24"/>
          <w:szCs w:val="24"/>
          <w:lang w:eastAsia="tr-TR"/>
        </w:rPr>
        <w:t xml:space="preserve"> (2003)</w:t>
      </w:r>
      <w:r w:rsidR="008F46AE" w:rsidRPr="009218D1">
        <w:rPr>
          <w:rFonts w:ascii="Times New Roman" w:eastAsia="Times New Roman" w:hAnsi="Times New Roman" w:cs="Times New Roman"/>
          <w:color w:val="222222"/>
          <w:sz w:val="24"/>
          <w:szCs w:val="24"/>
          <w:lang w:eastAsia="tr-TR"/>
        </w:rPr>
        <w:t>,</w:t>
      </w:r>
      <w:r w:rsidR="00D91A40" w:rsidRPr="009218D1">
        <w:rPr>
          <w:rFonts w:ascii="Times New Roman" w:eastAsia="Times New Roman" w:hAnsi="Times New Roman" w:cs="Times New Roman"/>
          <w:color w:val="222222"/>
          <w:sz w:val="24"/>
          <w:szCs w:val="24"/>
          <w:lang w:eastAsia="tr-TR"/>
        </w:rPr>
        <w:t xml:space="preserve"> </w:t>
      </w:r>
      <w:r w:rsidR="0040550D" w:rsidRPr="009218D1">
        <w:rPr>
          <w:rFonts w:ascii="Times New Roman" w:eastAsia="Times New Roman" w:hAnsi="Times New Roman" w:cs="Times New Roman"/>
          <w:b/>
          <w:color w:val="222222"/>
          <w:sz w:val="24"/>
          <w:szCs w:val="24"/>
          <w:lang w:eastAsia="tr-TR"/>
        </w:rPr>
        <w:t xml:space="preserve">Testing </w:t>
      </w:r>
      <w:r w:rsidRPr="009218D1">
        <w:rPr>
          <w:rFonts w:ascii="Times New Roman" w:eastAsia="Times New Roman" w:hAnsi="Times New Roman" w:cs="Times New Roman"/>
          <w:b/>
          <w:color w:val="222222"/>
          <w:sz w:val="24"/>
          <w:szCs w:val="24"/>
          <w:lang w:eastAsia="tr-TR"/>
        </w:rPr>
        <w:t>the Pecking Order Theory o</w:t>
      </w:r>
      <w:r w:rsidR="00D91A40" w:rsidRPr="009218D1">
        <w:rPr>
          <w:rFonts w:ascii="Times New Roman" w:eastAsia="Times New Roman" w:hAnsi="Times New Roman" w:cs="Times New Roman"/>
          <w:b/>
          <w:color w:val="222222"/>
          <w:sz w:val="24"/>
          <w:szCs w:val="24"/>
          <w:lang w:eastAsia="tr-TR"/>
        </w:rPr>
        <w:t>f Capital Structure</w:t>
      </w:r>
      <w:r w:rsidR="008F46AE" w:rsidRPr="009218D1">
        <w:rPr>
          <w:rFonts w:ascii="Times New Roman" w:eastAsia="Times New Roman" w:hAnsi="Times New Roman" w:cs="Times New Roman"/>
          <w:color w:val="222222"/>
          <w:sz w:val="24"/>
          <w:szCs w:val="24"/>
          <w:lang w:eastAsia="tr-TR"/>
        </w:rPr>
        <w:t>,</w:t>
      </w:r>
      <w:r w:rsidR="00D91A40" w:rsidRPr="009218D1">
        <w:rPr>
          <w:rFonts w:ascii="Times New Roman" w:eastAsia="Times New Roman" w:hAnsi="Times New Roman" w:cs="Times New Roman"/>
          <w:color w:val="222222"/>
          <w:sz w:val="24"/>
          <w:szCs w:val="24"/>
          <w:lang w:eastAsia="tr-TR"/>
        </w:rPr>
        <w:t xml:space="preserve"> </w:t>
      </w:r>
      <w:r w:rsidR="0040550D" w:rsidRPr="009218D1">
        <w:rPr>
          <w:rFonts w:ascii="Times New Roman" w:eastAsia="Times New Roman" w:hAnsi="Times New Roman" w:cs="Times New Roman"/>
          <w:iCs/>
          <w:color w:val="222222"/>
          <w:sz w:val="24"/>
          <w:szCs w:val="24"/>
          <w:lang w:eastAsia="tr-TR"/>
        </w:rPr>
        <w:t xml:space="preserve">Journal of </w:t>
      </w:r>
      <w:r w:rsidR="008F46AE" w:rsidRPr="009218D1">
        <w:rPr>
          <w:rFonts w:ascii="Times New Roman" w:eastAsia="Times New Roman" w:hAnsi="Times New Roman" w:cs="Times New Roman"/>
          <w:iCs/>
          <w:color w:val="222222"/>
          <w:sz w:val="24"/>
          <w:szCs w:val="24"/>
          <w:lang w:eastAsia="tr-TR"/>
        </w:rPr>
        <w:t>Financial Economics</w:t>
      </w:r>
      <w:r w:rsidR="008F46AE" w:rsidRPr="009218D1">
        <w:rPr>
          <w:rFonts w:ascii="Times New Roman" w:eastAsia="Times New Roman" w:hAnsi="Times New Roman" w:cs="Times New Roman"/>
          <w:color w:val="222222"/>
          <w:sz w:val="24"/>
          <w:szCs w:val="24"/>
          <w:lang w:eastAsia="tr-TR"/>
        </w:rPr>
        <w:t>,</w:t>
      </w:r>
      <w:r w:rsidR="0040550D" w:rsidRPr="009218D1">
        <w:rPr>
          <w:rFonts w:ascii="Times New Roman" w:eastAsia="Times New Roman" w:hAnsi="Times New Roman" w:cs="Times New Roman"/>
          <w:color w:val="222222"/>
          <w:sz w:val="24"/>
          <w:szCs w:val="24"/>
          <w:lang w:eastAsia="tr-TR"/>
        </w:rPr>
        <w:t xml:space="preserve"> </w:t>
      </w:r>
      <w:r w:rsidR="0040550D" w:rsidRPr="009218D1">
        <w:rPr>
          <w:rFonts w:ascii="Times New Roman" w:eastAsia="Times New Roman" w:hAnsi="Times New Roman" w:cs="Times New Roman"/>
          <w:iCs/>
          <w:color w:val="222222"/>
          <w:sz w:val="24"/>
          <w:szCs w:val="24"/>
          <w:lang w:eastAsia="tr-TR"/>
        </w:rPr>
        <w:t>67</w:t>
      </w:r>
      <w:r w:rsidR="00696FB6" w:rsidRPr="009218D1">
        <w:rPr>
          <w:rFonts w:ascii="Times New Roman" w:eastAsia="Times New Roman" w:hAnsi="Times New Roman" w:cs="Times New Roman"/>
          <w:iCs/>
          <w:color w:val="222222"/>
          <w:sz w:val="24"/>
          <w:szCs w:val="24"/>
          <w:lang w:eastAsia="tr-TR"/>
        </w:rPr>
        <w:t xml:space="preserve"> </w:t>
      </w:r>
      <w:r w:rsidR="0040550D" w:rsidRPr="009218D1">
        <w:rPr>
          <w:rFonts w:ascii="Times New Roman" w:eastAsia="Times New Roman" w:hAnsi="Times New Roman" w:cs="Times New Roman"/>
          <w:color w:val="222222"/>
          <w:sz w:val="24"/>
          <w:szCs w:val="24"/>
          <w:lang w:eastAsia="tr-TR"/>
        </w:rPr>
        <w:t>(2)</w:t>
      </w:r>
      <w:r w:rsidR="008F46AE" w:rsidRPr="009218D1">
        <w:rPr>
          <w:rFonts w:ascii="Times New Roman" w:eastAsia="Times New Roman" w:hAnsi="Times New Roman" w:cs="Times New Roman"/>
          <w:color w:val="222222"/>
          <w:sz w:val="24"/>
          <w:szCs w:val="24"/>
          <w:lang w:eastAsia="tr-TR"/>
        </w:rPr>
        <w:t>,</w:t>
      </w:r>
      <w:r w:rsidR="0040550D" w:rsidRPr="009218D1">
        <w:rPr>
          <w:rFonts w:ascii="Times New Roman" w:eastAsia="Times New Roman" w:hAnsi="Times New Roman" w:cs="Times New Roman"/>
          <w:color w:val="222222"/>
          <w:sz w:val="24"/>
          <w:szCs w:val="24"/>
          <w:lang w:eastAsia="tr-TR"/>
        </w:rPr>
        <w:t xml:space="preserve"> 217-248</w:t>
      </w:r>
      <w:r w:rsidR="00BE3467" w:rsidRPr="009218D1">
        <w:rPr>
          <w:rFonts w:ascii="Times New Roman" w:eastAsia="Times New Roman" w:hAnsi="Times New Roman" w:cs="Times New Roman"/>
          <w:color w:val="222222"/>
          <w:sz w:val="24"/>
          <w:szCs w:val="24"/>
          <w:lang w:eastAsia="tr-TR"/>
        </w:rPr>
        <w:t>.</w:t>
      </w:r>
    </w:p>
    <w:p w:rsidR="001E4703" w:rsidRPr="009218D1" w:rsidRDefault="001E4703" w:rsidP="001E4703">
      <w:pPr>
        <w:spacing w:after="0" w:line="240" w:lineRule="auto"/>
        <w:jc w:val="both"/>
        <w:rPr>
          <w:rFonts w:ascii="Times New Roman" w:eastAsia="Times New Roman" w:hAnsi="Times New Roman" w:cs="Times New Roman"/>
          <w:color w:val="222222"/>
          <w:sz w:val="24"/>
          <w:szCs w:val="24"/>
          <w:lang w:eastAsia="tr-TR"/>
        </w:rPr>
      </w:pPr>
    </w:p>
    <w:p w:rsidR="009A43B4"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GRAHAM,</w:t>
      </w:r>
      <w:r w:rsidR="001E4703" w:rsidRPr="009218D1">
        <w:rPr>
          <w:rFonts w:ascii="Times New Roman" w:eastAsia="Times New Roman" w:hAnsi="Times New Roman" w:cs="Times New Roman"/>
          <w:color w:val="222222"/>
          <w:sz w:val="24"/>
          <w:szCs w:val="24"/>
          <w:lang w:eastAsia="tr-TR"/>
        </w:rPr>
        <w:t xml:space="preserve"> J</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LEARY,</w:t>
      </w:r>
      <w:r w:rsidR="001E4703"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(2011)</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001E4703" w:rsidRPr="009218D1">
        <w:rPr>
          <w:rFonts w:ascii="Times New Roman" w:eastAsia="Times New Roman" w:hAnsi="Times New Roman" w:cs="Times New Roman"/>
          <w:b/>
          <w:color w:val="222222"/>
          <w:sz w:val="24"/>
          <w:szCs w:val="24"/>
          <w:lang w:eastAsia="tr-TR"/>
        </w:rPr>
        <w:t xml:space="preserve">A Review </w:t>
      </w:r>
      <w:r w:rsidR="00FC6EE6" w:rsidRPr="009218D1">
        <w:rPr>
          <w:rFonts w:ascii="Times New Roman" w:eastAsia="Times New Roman" w:hAnsi="Times New Roman" w:cs="Times New Roman"/>
          <w:b/>
          <w:color w:val="222222"/>
          <w:sz w:val="24"/>
          <w:szCs w:val="24"/>
          <w:lang w:eastAsia="tr-TR"/>
        </w:rPr>
        <w:t>o</w:t>
      </w:r>
      <w:r w:rsidR="001E4703" w:rsidRPr="009218D1">
        <w:rPr>
          <w:rFonts w:ascii="Times New Roman" w:eastAsia="Times New Roman" w:hAnsi="Times New Roman" w:cs="Times New Roman"/>
          <w:b/>
          <w:color w:val="222222"/>
          <w:sz w:val="24"/>
          <w:szCs w:val="24"/>
          <w:lang w:eastAsia="tr-TR"/>
        </w:rPr>
        <w:t>f Empiri</w:t>
      </w:r>
      <w:r w:rsidRPr="009218D1">
        <w:rPr>
          <w:rFonts w:ascii="Times New Roman" w:eastAsia="Times New Roman" w:hAnsi="Times New Roman" w:cs="Times New Roman"/>
          <w:b/>
          <w:color w:val="222222"/>
          <w:sz w:val="24"/>
          <w:szCs w:val="24"/>
          <w:lang w:eastAsia="tr-TR"/>
        </w:rPr>
        <w:t>cal Capital Structure Research and Directions for t</w:t>
      </w:r>
      <w:r w:rsidR="001E4703" w:rsidRPr="009218D1">
        <w:rPr>
          <w:rFonts w:ascii="Times New Roman" w:eastAsia="Times New Roman" w:hAnsi="Times New Roman" w:cs="Times New Roman"/>
          <w:b/>
          <w:color w:val="222222"/>
          <w:sz w:val="24"/>
          <w:szCs w:val="24"/>
          <w:lang w:eastAsia="tr-TR"/>
        </w:rPr>
        <w:t>he Future</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Annual Review of Financial Economics</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3</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9–345</w:t>
      </w:r>
      <w:r w:rsidR="00BE3467" w:rsidRPr="009218D1">
        <w:rPr>
          <w:rFonts w:ascii="Times New Roman" w:eastAsia="Times New Roman" w:hAnsi="Times New Roman" w:cs="Times New Roman"/>
          <w:color w:val="222222"/>
          <w:sz w:val="24"/>
          <w:szCs w:val="24"/>
          <w:lang w:eastAsia="tr-TR"/>
        </w:rPr>
        <w:t>.</w:t>
      </w:r>
    </w:p>
    <w:p w:rsidR="00F27531" w:rsidRPr="009218D1" w:rsidRDefault="00F27531" w:rsidP="00F27531">
      <w:pPr>
        <w:pStyle w:val="ListeParagraf"/>
        <w:rPr>
          <w:rFonts w:ascii="Times New Roman" w:eastAsia="Times New Roman" w:hAnsi="Times New Roman" w:cs="Times New Roman"/>
          <w:color w:val="222222"/>
          <w:sz w:val="24"/>
          <w:szCs w:val="24"/>
          <w:lang w:eastAsia="tr-TR"/>
        </w:rPr>
      </w:pPr>
    </w:p>
    <w:p w:rsidR="00F27531" w:rsidRPr="009218D1" w:rsidRDefault="008314CC" w:rsidP="00F27531">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GROEN</w:t>
      </w:r>
      <w:r w:rsidR="00F27531" w:rsidRPr="009218D1">
        <w:rPr>
          <w:rFonts w:ascii="Times New Roman" w:eastAsia="Times New Roman" w:hAnsi="Times New Roman" w:cs="Times New Roman"/>
          <w:color w:val="222222"/>
          <w:sz w:val="24"/>
          <w:szCs w:val="24"/>
          <w:lang w:eastAsia="tr-TR"/>
        </w:rPr>
        <w:t xml:space="preserve">, (2016), </w:t>
      </w:r>
      <w:r w:rsidR="00F27531" w:rsidRPr="009218D1">
        <w:rPr>
          <w:rFonts w:ascii="Times New Roman" w:eastAsia="Times New Roman" w:hAnsi="Times New Roman" w:cs="Times New Roman"/>
          <w:b/>
          <w:bCs/>
          <w:color w:val="222222"/>
          <w:sz w:val="24"/>
          <w:szCs w:val="24"/>
          <w:lang w:eastAsia="tr-TR"/>
        </w:rPr>
        <w:t>Capital Structure Determinants: An Inter Industry Analysis for Dutch Firms</w:t>
      </w:r>
      <w:r w:rsidR="00F27531" w:rsidRPr="009218D1">
        <w:rPr>
          <w:rFonts w:ascii="Times New Roman" w:eastAsia="Times New Roman" w:hAnsi="Times New Roman" w:cs="Times New Roman"/>
          <w:color w:val="222222"/>
          <w:sz w:val="24"/>
          <w:szCs w:val="24"/>
          <w:lang w:eastAsia="tr-TR"/>
        </w:rPr>
        <w:t>, University of Twente, Bsc Theses.</w:t>
      </w:r>
    </w:p>
    <w:p w:rsidR="00CA6B1E" w:rsidRPr="009218D1" w:rsidRDefault="00CA6B1E" w:rsidP="00CA6B1E">
      <w:pPr>
        <w:spacing w:after="0" w:line="240" w:lineRule="auto"/>
        <w:jc w:val="both"/>
        <w:rPr>
          <w:rFonts w:ascii="Times New Roman" w:eastAsia="Times New Roman" w:hAnsi="Times New Roman" w:cs="Times New Roman"/>
          <w:color w:val="222222"/>
          <w:sz w:val="24"/>
          <w:szCs w:val="24"/>
          <w:lang w:eastAsia="tr-TR"/>
        </w:rPr>
      </w:pPr>
    </w:p>
    <w:p w:rsidR="00CA6B1E"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GUJARATI</w:t>
      </w:r>
      <w:r w:rsidR="0037074E" w:rsidRPr="009218D1">
        <w:rPr>
          <w:rFonts w:ascii="Times New Roman" w:eastAsia="Times New Roman" w:hAnsi="Times New Roman" w:cs="Times New Roman"/>
          <w:color w:val="222222"/>
          <w:sz w:val="24"/>
          <w:szCs w:val="24"/>
          <w:lang w:eastAsia="tr-TR"/>
        </w:rPr>
        <w:t>, N. D., (1995), Basic Econometrics, McGraw-Hill, New York</w:t>
      </w:r>
      <w:r w:rsidR="00CA6B1E" w:rsidRPr="009218D1">
        <w:rPr>
          <w:rFonts w:ascii="Times New Roman" w:eastAsia="Times New Roman" w:hAnsi="Times New Roman" w:cs="Times New Roman"/>
          <w:color w:val="222222"/>
          <w:sz w:val="24"/>
          <w:szCs w:val="24"/>
          <w:lang w:eastAsia="tr-TR"/>
        </w:rPr>
        <w:t>.</w:t>
      </w:r>
    </w:p>
    <w:p w:rsidR="00F27531" w:rsidRPr="009218D1" w:rsidRDefault="00F27531" w:rsidP="00F27531">
      <w:pPr>
        <w:pStyle w:val="ListeParagraf"/>
        <w:rPr>
          <w:rFonts w:ascii="Times New Roman" w:eastAsia="Times New Roman" w:hAnsi="Times New Roman" w:cs="Times New Roman"/>
          <w:color w:val="222222"/>
          <w:sz w:val="24"/>
          <w:szCs w:val="24"/>
          <w:lang w:eastAsia="tr-TR"/>
        </w:rPr>
      </w:pPr>
    </w:p>
    <w:p w:rsidR="00F27531" w:rsidRPr="009218D1" w:rsidRDefault="00A82B1A" w:rsidP="00F27531">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GÜLOĞLU</w:t>
      </w:r>
      <w:r w:rsidR="00F27531" w:rsidRPr="009218D1">
        <w:rPr>
          <w:rFonts w:ascii="Times New Roman" w:eastAsia="Times New Roman" w:hAnsi="Times New Roman" w:cs="Times New Roman"/>
          <w:color w:val="222222"/>
          <w:sz w:val="24"/>
          <w:szCs w:val="24"/>
          <w:lang w:eastAsia="tr-TR"/>
        </w:rPr>
        <w:t xml:space="preserve">, B., </w:t>
      </w:r>
      <w:r w:rsidRPr="009218D1">
        <w:rPr>
          <w:rFonts w:ascii="Times New Roman" w:eastAsia="Times New Roman" w:hAnsi="Times New Roman" w:cs="Times New Roman"/>
          <w:color w:val="222222"/>
          <w:sz w:val="24"/>
          <w:szCs w:val="24"/>
          <w:lang w:eastAsia="tr-TR"/>
        </w:rPr>
        <w:t>BEKÇİOĞLU</w:t>
      </w:r>
      <w:r w:rsidR="00F27531" w:rsidRPr="009218D1">
        <w:rPr>
          <w:rFonts w:ascii="Times New Roman" w:eastAsia="Times New Roman" w:hAnsi="Times New Roman" w:cs="Times New Roman"/>
          <w:color w:val="222222"/>
          <w:sz w:val="24"/>
          <w:szCs w:val="24"/>
          <w:lang w:eastAsia="tr-TR"/>
        </w:rPr>
        <w:t xml:space="preserve">, S., (2001), </w:t>
      </w:r>
      <w:r w:rsidR="00F27531" w:rsidRPr="009218D1">
        <w:rPr>
          <w:rFonts w:ascii="Times New Roman" w:eastAsia="Times New Roman" w:hAnsi="Times New Roman" w:cs="Times New Roman"/>
          <w:b/>
          <w:bCs/>
          <w:color w:val="222222"/>
          <w:sz w:val="24"/>
          <w:szCs w:val="24"/>
          <w:lang w:eastAsia="tr-TR"/>
        </w:rPr>
        <w:t>İMKB’deki Gelişmelerin Şirketlerin Sermaye Yapısına Etkileri: İmalat Sanayinde Faaliyet Gösteren Firmalar Üzerine Bir Uygulama</w:t>
      </w:r>
      <w:r w:rsidR="00F27531" w:rsidRPr="009218D1">
        <w:rPr>
          <w:rFonts w:ascii="Times New Roman" w:eastAsia="Times New Roman" w:hAnsi="Times New Roman" w:cs="Times New Roman"/>
          <w:color w:val="222222"/>
          <w:sz w:val="24"/>
          <w:szCs w:val="24"/>
          <w:lang w:eastAsia="tr-TR"/>
        </w:rPr>
        <w:t>, ODTÜ Uluslararası İktisat Kongresi.</w:t>
      </w:r>
    </w:p>
    <w:p w:rsidR="00CA6B1E" w:rsidRPr="009218D1" w:rsidRDefault="00CA6B1E" w:rsidP="009A43B4">
      <w:pPr>
        <w:spacing w:after="0" w:line="240" w:lineRule="auto"/>
        <w:jc w:val="both"/>
        <w:rPr>
          <w:rFonts w:ascii="Times New Roman" w:eastAsia="Times New Roman" w:hAnsi="Times New Roman" w:cs="Times New Roman"/>
          <w:color w:val="222222"/>
          <w:sz w:val="24"/>
          <w:szCs w:val="24"/>
          <w:lang w:eastAsia="tr-TR"/>
        </w:rPr>
      </w:pPr>
    </w:p>
    <w:p w:rsidR="009A43B4"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GÜLŞEN,</w:t>
      </w:r>
      <w:r w:rsidR="009A43B4" w:rsidRPr="009218D1">
        <w:rPr>
          <w:rFonts w:ascii="Times New Roman" w:eastAsia="Times New Roman" w:hAnsi="Times New Roman" w:cs="Times New Roman"/>
          <w:color w:val="222222"/>
          <w:sz w:val="24"/>
          <w:szCs w:val="24"/>
          <w:lang w:eastAsia="tr-TR"/>
        </w:rPr>
        <w:t xml:space="preserve"> A</w:t>
      </w:r>
      <w:r w:rsidR="00BE3467" w:rsidRPr="009218D1">
        <w:rPr>
          <w:rFonts w:ascii="Times New Roman" w:eastAsia="Times New Roman" w:hAnsi="Times New Roman" w:cs="Times New Roman"/>
          <w:color w:val="222222"/>
          <w:sz w:val="24"/>
          <w:szCs w:val="24"/>
          <w:lang w:eastAsia="tr-TR"/>
        </w:rPr>
        <w:t>.</w:t>
      </w:r>
      <w:r w:rsidR="009A43B4" w:rsidRPr="009218D1">
        <w:rPr>
          <w:rFonts w:ascii="Times New Roman" w:eastAsia="Times New Roman" w:hAnsi="Times New Roman" w:cs="Times New Roman"/>
          <w:color w:val="222222"/>
          <w:sz w:val="24"/>
          <w:szCs w:val="24"/>
          <w:lang w:eastAsia="tr-TR"/>
        </w:rPr>
        <w:t xml:space="preserve"> Z</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9A43B4"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ÜLKÜTAŞ,</w:t>
      </w:r>
      <w:r w:rsidR="009A43B4" w:rsidRPr="009218D1">
        <w:rPr>
          <w:rFonts w:ascii="Times New Roman" w:eastAsia="Times New Roman" w:hAnsi="Times New Roman" w:cs="Times New Roman"/>
          <w:color w:val="222222"/>
          <w:sz w:val="24"/>
          <w:szCs w:val="24"/>
          <w:lang w:eastAsia="tr-TR"/>
        </w:rPr>
        <w:t xml:space="preserve"> Ö</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9A43B4" w:rsidRPr="009218D1">
        <w:rPr>
          <w:rFonts w:ascii="Times New Roman" w:eastAsia="Times New Roman" w:hAnsi="Times New Roman" w:cs="Times New Roman"/>
          <w:color w:val="222222"/>
          <w:sz w:val="24"/>
          <w:szCs w:val="24"/>
          <w:lang w:eastAsia="tr-TR"/>
        </w:rPr>
        <w:t xml:space="preserve"> (2012)</w:t>
      </w:r>
      <w:r w:rsidR="008F46AE" w:rsidRPr="009218D1">
        <w:rPr>
          <w:rFonts w:ascii="Times New Roman" w:eastAsia="Times New Roman" w:hAnsi="Times New Roman" w:cs="Times New Roman"/>
          <w:color w:val="222222"/>
          <w:sz w:val="24"/>
          <w:szCs w:val="24"/>
          <w:lang w:eastAsia="tr-TR"/>
        </w:rPr>
        <w:t>,</w:t>
      </w:r>
      <w:r w:rsidR="009A43B4" w:rsidRPr="009218D1">
        <w:rPr>
          <w:rFonts w:ascii="Times New Roman" w:eastAsia="Times New Roman" w:hAnsi="Times New Roman" w:cs="Times New Roman"/>
          <w:color w:val="222222"/>
          <w:sz w:val="24"/>
          <w:szCs w:val="24"/>
          <w:lang w:eastAsia="tr-TR"/>
        </w:rPr>
        <w:t xml:space="preserve"> </w:t>
      </w:r>
      <w:r w:rsidR="009A43B4" w:rsidRPr="009218D1">
        <w:rPr>
          <w:rFonts w:ascii="Times New Roman" w:eastAsia="Times New Roman" w:hAnsi="Times New Roman" w:cs="Times New Roman"/>
          <w:b/>
          <w:color w:val="222222"/>
          <w:sz w:val="24"/>
          <w:szCs w:val="24"/>
          <w:lang w:eastAsia="tr-TR"/>
        </w:rPr>
        <w:t>Sermaye Yapısının Belirlenmesinde</w:t>
      </w:r>
      <w:r w:rsidR="00D100E4" w:rsidRPr="009218D1">
        <w:rPr>
          <w:rFonts w:ascii="Times New Roman" w:eastAsia="Times New Roman" w:hAnsi="Times New Roman" w:cs="Times New Roman"/>
          <w:b/>
          <w:color w:val="222222"/>
          <w:sz w:val="24"/>
          <w:szCs w:val="24"/>
          <w:lang w:eastAsia="tr-TR"/>
        </w:rPr>
        <w:t xml:space="preserve"> Finansman Hiyerarşisi Teorisi v</w:t>
      </w:r>
      <w:r w:rsidR="009A43B4" w:rsidRPr="009218D1">
        <w:rPr>
          <w:rFonts w:ascii="Times New Roman" w:eastAsia="Times New Roman" w:hAnsi="Times New Roman" w:cs="Times New Roman"/>
          <w:b/>
          <w:color w:val="222222"/>
          <w:sz w:val="24"/>
          <w:szCs w:val="24"/>
          <w:lang w:eastAsia="tr-TR"/>
        </w:rPr>
        <w:t>e Ödünleşme Teorisi: İMKB Sanayi Endeksinde Yer Alan Firmalar Üzerine Bir Uygulama</w:t>
      </w:r>
      <w:r w:rsidR="008F46AE" w:rsidRPr="009218D1">
        <w:rPr>
          <w:rFonts w:ascii="Times New Roman" w:eastAsia="Times New Roman" w:hAnsi="Times New Roman" w:cs="Times New Roman"/>
          <w:color w:val="222222"/>
          <w:sz w:val="24"/>
          <w:szCs w:val="24"/>
          <w:lang w:eastAsia="tr-TR"/>
        </w:rPr>
        <w:t>,</w:t>
      </w:r>
      <w:r w:rsidR="009A43B4" w:rsidRPr="009218D1">
        <w:rPr>
          <w:rFonts w:ascii="Times New Roman" w:eastAsia="Times New Roman" w:hAnsi="Times New Roman" w:cs="Times New Roman"/>
          <w:color w:val="222222"/>
          <w:sz w:val="24"/>
          <w:szCs w:val="24"/>
          <w:lang w:eastAsia="tr-TR"/>
        </w:rPr>
        <w:t xml:space="preserve"> </w:t>
      </w:r>
      <w:r w:rsidR="009A43B4" w:rsidRPr="009218D1">
        <w:rPr>
          <w:rFonts w:ascii="Times New Roman" w:eastAsia="Times New Roman" w:hAnsi="Times New Roman" w:cs="Times New Roman"/>
          <w:iCs/>
          <w:color w:val="222222"/>
          <w:sz w:val="24"/>
          <w:szCs w:val="24"/>
          <w:lang w:eastAsia="tr-TR"/>
        </w:rPr>
        <w:t>Uluslararası Yönetim İktisat ve İşletme Dergisi</w:t>
      </w:r>
      <w:r w:rsidR="008F46AE" w:rsidRPr="009218D1">
        <w:rPr>
          <w:rFonts w:ascii="Times New Roman" w:eastAsia="Times New Roman" w:hAnsi="Times New Roman" w:cs="Times New Roman"/>
          <w:color w:val="222222"/>
          <w:sz w:val="24"/>
          <w:szCs w:val="24"/>
          <w:lang w:eastAsia="tr-TR"/>
        </w:rPr>
        <w:t>,</w:t>
      </w:r>
      <w:r w:rsidR="009A43B4" w:rsidRPr="009218D1">
        <w:rPr>
          <w:rFonts w:ascii="Times New Roman" w:eastAsia="Times New Roman" w:hAnsi="Times New Roman" w:cs="Times New Roman"/>
          <w:color w:val="222222"/>
          <w:sz w:val="24"/>
          <w:szCs w:val="24"/>
          <w:lang w:eastAsia="tr-TR"/>
        </w:rPr>
        <w:t xml:space="preserve"> </w:t>
      </w:r>
      <w:r w:rsidR="009A43B4" w:rsidRPr="009218D1">
        <w:rPr>
          <w:rFonts w:ascii="Times New Roman" w:eastAsia="Times New Roman" w:hAnsi="Times New Roman" w:cs="Times New Roman"/>
          <w:iCs/>
          <w:color w:val="222222"/>
          <w:sz w:val="24"/>
          <w:szCs w:val="24"/>
          <w:lang w:eastAsia="tr-TR"/>
        </w:rPr>
        <w:t>8</w:t>
      </w:r>
      <w:r w:rsidR="00696FB6" w:rsidRPr="009218D1">
        <w:rPr>
          <w:rFonts w:ascii="Times New Roman" w:eastAsia="Times New Roman" w:hAnsi="Times New Roman" w:cs="Times New Roman"/>
          <w:iCs/>
          <w:color w:val="222222"/>
          <w:sz w:val="24"/>
          <w:szCs w:val="24"/>
          <w:lang w:eastAsia="tr-TR"/>
        </w:rPr>
        <w:t xml:space="preserve"> </w:t>
      </w:r>
      <w:r w:rsidR="009A43B4" w:rsidRPr="009218D1">
        <w:rPr>
          <w:rFonts w:ascii="Times New Roman" w:eastAsia="Times New Roman" w:hAnsi="Times New Roman" w:cs="Times New Roman"/>
          <w:color w:val="222222"/>
          <w:sz w:val="24"/>
          <w:szCs w:val="24"/>
          <w:lang w:eastAsia="tr-TR"/>
        </w:rPr>
        <w:t>(15)</w:t>
      </w:r>
      <w:r w:rsidR="008F46AE" w:rsidRPr="009218D1">
        <w:rPr>
          <w:rFonts w:ascii="Times New Roman" w:eastAsia="Times New Roman" w:hAnsi="Times New Roman" w:cs="Times New Roman"/>
          <w:color w:val="222222"/>
          <w:sz w:val="24"/>
          <w:szCs w:val="24"/>
          <w:lang w:eastAsia="tr-TR"/>
        </w:rPr>
        <w:t>,</w:t>
      </w:r>
      <w:r w:rsidR="009A43B4" w:rsidRPr="009218D1">
        <w:rPr>
          <w:rFonts w:ascii="Times New Roman" w:eastAsia="Times New Roman" w:hAnsi="Times New Roman" w:cs="Times New Roman"/>
          <w:color w:val="222222"/>
          <w:sz w:val="24"/>
          <w:szCs w:val="24"/>
          <w:lang w:eastAsia="tr-TR"/>
        </w:rPr>
        <w:t xml:space="preserve"> 49-59</w:t>
      </w:r>
      <w:r w:rsidR="00BE3467" w:rsidRPr="009218D1">
        <w:rPr>
          <w:rFonts w:ascii="Times New Roman" w:eastAsia="Times New Roman" w:hAnsi="Times New Roman" w:cs="Times New Roman"/>
          <w:color w:val="222222"/>
          <w:sz w:val="24"/>
          <w:szCs w:val="24"/>
          <w:lang w:eastAsia="tr-TR"/>
        </w:rPr>
        <w:t>.</w:t>
      </w:r>
    </w:p>
    <w:p w:rsidR="007F4449" w:rsidRPr="009218D1" w:rsidRDefault="007F4449" w:rsidP="007F4449">
      <w:pPr>
        <w:pStyle w:val="ListeParagraf"/>
        <w:rPr>
          <w:rFonts w:ascii="Times New Roman" w:eastAsia="Times New Roman" w:hAnsi="Times New Roman" w:cs="Times New Roman"/>
          <w:color w:val="222222"/>
          <w:sz w:val="24"/>
          <w:szCs w:val="24"/>
          <w:lang w:eastAsia="tr-TR"/>
        </w:rPr>
      </w:pPr>
    </w:p>
    <w:p w:rsidR="0040550D" w:rsidRPr="009218D1" w:rsidRDefault="00772F0F" w:rsidP="007F4449">
      <w:pPr>
        <w:pStyle w:val="ListeParagraf"/>
        <w:numPr>
          <w:ilvl w:val="0"/>
          <w:numId w:val="4"/>
        </w:numPr>
        <w:spacing w:before="120" w:after="120" w:line="240" w:lineRule="auto"/>
        <w:jc w:val="both"/>
        <w:rPr>
          <w:rFonts w:ascii="Times New Roman" w:eastAsia="Times New Roman" w:hAnsi="Times New Roman" w:cs="Times New Roman"/>
          <w:color w:val="222222"/>
          <w:sz w:val="24"/>
          <w:szCs w:val="24"/>
          <w:lang w:eastAsia="tr-TR"/>
        </w:rPr>
      </w:pPr>
      <w:r w:rsidRPr="009218D1">
        <w:rPr>
          <w:rFonts w:ascii="Times New Roman" w:hAnsi="Times New Roman" w:cs="Times New Roman"/>
          <w:sz w:val="24"/>
          <w:szCs w:val="24"/>
        </w:rPr>
        <w:t>GÜRSOY,</w:t>
      </w:r>
      <w:r w:rsidR="009124E1" w:rsidRPr="009218D1">
        <w:rPr>
          <w:rFonts w:ascii="Times New Roman" w:hAnsi="Times New Roman" w:cs="Times New Roman"/>
          <w:sz w:val="24"/>
          <w:szCs w:val="24"/>
        </w:rPr>
        <w:t xml:space="preserve"> C</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9124E1" w:rsidRPr="009218D1">
        <w:rPr>
          <w:rFonts w:ascii="Times New Roman" w:hAnsi="Times New Roman" w:cs="Times New Roman"/>
          <w:sz w:val="24"/>
          <w:szCs w:val="24"/>
        </w:rPr>
        <w:t>T</w:t>
      </w:r>
      <w:r w:rsidR="00BE3467" w:rsidRPr="009218D1">
        <w:rPr>
          <w:rFonts w:ascii="Times New Roman" w:hAnsi="Times New Roman" w:cs="Times New Roman"/>
          <w:sz w:val="24"/>
          <w:szCs w:val="24"/>
        </w:rPr>
        <w:t>.</w:t>
      </w:r>
      <w:r w:rsidR="008F46AE"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w:t>
      </w:r>
      <w:r w:rsidR="00D91A40" w:rsidRPr="009218D1">
        <w:rPr>
          <w:rFonts w:ascii="Times New Roman" w:hAnsi="Times New Roman" w:cs="Times New Roman"/>
          <w:sz w:val="24"/>
          <w:szCs w:val="24"/>
        </w:rPr>
        <w:t>(2007)</w:t>
      </w:r>
      <w:r w:rsidR="008F46AE" w:rsidRPr="009218D1">
        <w:rPr>
          <w:rFonts w:ascii="Times New Roman" w:hAnsi="Times New Roman" w:cs="Times New Roman"/>
          <w:sz w:val="24"/>
          <w:szCs w:val="24"/>
        </w:rPr>
        <w:t>,</w:t>
      </w:r>
      <w:r w:rsidR="00D91A40" w:rsidRPr="009218D1">
        <w:rPr>
          <w:rFonts w:ascii="Times New Roman" w:hAnsi="Times New Roman" w:cs="Times New Roman"/>
          <w:sz w:val="24"/>
          <w:szCs w:val="24"/>
        </w:rPr>
        <w:t xml:space="preserve"> </w:t>
      </w:r>
      <w:r w:rsidR="009124E1" w:rsidRPr="009218D1">
        <w:rPr>
          <w:rFonts w:ascii="Times New Roman" w:hAnsi="Times New Roman" w:cs="Times New Roman"/>
          <w:b/>
          <w:sz w:val="24"/>
          <w:szCs w:val="24"/>
        </w:rPr>
        <w:t xml:space="preserve">Finansal Yönetim </w:t>
      </w:r>
      <w:r w:rsidR="00D91A40" w:rsidRPr="009218D1">
        <w:rPr>
          <w:rFonts w:ascii="Times New Roman" w:hAnsi="Times New Roman" w:cs="Times New Roman"/>
          <w:b/>
          <w:sz w:val="24"/>
          <w:szCs w:val="24"/>
        </w:rPr>
        <w:t>İlkeleri</w:t>
      </w:r>
      <w:r w:rsidR="008F46AE" w:rsidRPr="009218D1">
        <w:rPr>
          <w:rFonts w:ascii="Times New Roman" w:hAnsi="Times New Roman" w:cs="Times New Roman"/>
          <w:sz w:val="24"/>
          <w:szCs w:val="24"/>
        </w:rPr>
        <w:t>,</w:t>
      </w:r>
      <w:r w:rsidR="00D91A40" w:rsidRPr="009218D1">
        <w:rPr>
          <w:rFonts w:ascii="Times New Roman" w:hAnsi="Times New Roman" w:cs="Times New Roman"/>
          <w:sz w:val="24"/>
          <w:szCs w:val="24"/>
        </w:rPr>
        <w:t xml:space="preserve"> İ</w:t>
      </w:r>
      <w:r w:rsidR="009124E1" w:rsidRPr="009218D1">
        <w:rPr>
          <w:rFonts w:ascii="Times New Roman" w:hAnsi="Times New Roman" w:cs="Times New Roman"/>
          <w:sz w:val="24"/>
          <w:szCs w:val="24"/>
        </w:rPr>
        <w:t>stanbul</w:t>
      </w:r>
      <w:r w:rsidR="008F46AE"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Doğu</w:t>
      </w:r>
      <w:r w:rsidR="00D91A40" w:rsidRPr="009218D1">
        <w:rPr>
          <w:rFonts w:ascii="Times New Roman" w:hAnsi="Times New Roman" w:cs="Times New Roman"/>
          <w:sz w:val="24"/>
          <w:szCs w:val="24"/>
        </w:rPr>
        <w:t>ş</w:t>
      </w:r>
      <w:r w:rsidR="009124E1" w:rsidRPr="009218D1">
        <w:rPr>
          <w:rFonts w:ascii="Times New Roman" w:hAnsi="Times New Roman" w:cs="Times New Roman"/>
          <w:sz w:val="24"/>
          <w:szCs w:val="24"/>
        </w:rPr>
        <w:t xml:space="preserve"> Üniversitesi Ya</w:t>
      </w:r>
      <w:r w:rsidR="00D91A40" w:rsidRPr="009218D1">
        <w:rPr>
          <w:rFonts w:ascii="Times New Roman" w:hAnsi="Times New Roman" w:cs="Times New Roman"/>
          <w:sz w:val="24"/>
          <w:szCs w:val="24"/>
        </w:rPr>
        <w:t>yınları</w:t>
      </w:r>
      <w:r w:rsidR="00BE3467" w:rsidRPr="009218D1">
        <w:rPr>
          <w:rFonts w:ascii="Times New Roman" w:hAnsi="Times New Roman" w:cs="Times New Roman"/>
          <w:sz w:val="24"/>
          <w:szCs w:val="24"/>
        </w:rPr>
        <w:t>.</w:t>
      </w:r>
      <w:r w:rsidR="009124E1" w:rsidRPr="009218D1">
        <w:rPr>
          <w:rFonts w:ascii="Times New Roman" w:eastAsia="Times New Roman" w:hAnsi="Times New Roman" w:cs="Times New Roman"/>
          <w:color w:val="222222"/>
          <w:sz w:val="24"/>
          <w:szCs w:val="24"/>
          <w:lang w:eastAsia="tr-TR"/>
        </w:rPr>
        <w:t xml:space="preserve"> </w:t>
      </w:r>
    </w:p>
    <w:p w:rsidR="007F4449" w:rsidRPr="009218D1" w:rsidRDefault="007F4449" w:rsidP="007F4449">
      <w:pPr>
        <w:pStyle w:val="ListeParagraf"/>
        <w:rPr>
          <w:rFonts w:ascii="Times New Roman" w:eastAsia="Times New Roman" w:hAnsi="Times New Roman" w:cs="Times New Roman"/>
          <w:color w:val="222222"/>
          <w:sz w:val="24"/>
          <w:szCs w:val="24"/>
          <w:lang w:eastAsia="tr-TR"/>
        </w:rPr>
      </w:pPr>
    </w:p>
    <w:p w:rsidR="009124E1"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HARRIS,</w:t>
      </w:r>
      <w:r w:rsidR="009124E1"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9124E1"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RAVIV</w:t>
      </w:r>
      <w:r w:rsidR="00BE3467" w:rsidRPr="009218D1">
        <w:rPr>
          <w:rFonts w:ascii="Times New Roman" w:eastAsia="Times New Roman" w:hAnsi="Times New Roman" w:cs="Times New Roman"/>
          <w:color w:val="222222"/>
          <w:sz w:val="24"/>
          <w:szCs w:val="24"/>
          <w:lang w:eastAsia="tr-TR"/>
        </w:rPr>
        <w:t>.</w:t>
      </w:r>
      <w:r w:rsidR="009124E1" w:rsidRPr="009218D1">
        <w:rPr>
          <w:rFonts w:ascii="Times New Roman" w:eastAsia="Times New Roman" w:hAnsi="Times New Roman" w:cs="Times New Roman"/>
          <w:color w:val="222222"/>
          <w:sz w:val="24"/>
          <w:szCs w:val="24"/>
          <w:lang w:eastAsia="tr-TR"/>
        </w:rPr>
        <w:t xml:space="preserve"> A</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D91A40" w:rsidRPr="009218D1">
        <w:rPr>
          <w:rFonts w:ascii="Times New Roman" w:eastAsia="Times New Roman" w:hAnsi="Times New Roman" w:cs="Times New Roman"/>
          <w:color w:val="222222"/>
          <w:sz w:val="24"/>
          <w:szCs w:val="24"/>
          <w:lang w:eastAsia="tr-TR"/>
        </w:rPr>
        <w:t xml:space="preserve"> (1991)</w:t>
      </w:r>
      <w:r w:rsidR="008F46AE" w:rsidRPr="009218D1">
        <w:rPr>
          <w:rFonts w:ascii="Times New Roman" w:eastAsia="Times New Roman" w:hAnsi="Times New Roman" w:cs="Times New Roman"/>
          <w:color w:val="222222"/>
          <w:sz w:val="24"/>
          <w:szCs w:val="24"/>
          <w:lang w:eastAsia="tr-TR"/>
        </w:rPr>
        <w:t>,</w:t>
      </w:r>
      <w:r w:rsidR="009124E1" w:rsidRPr="009218D1">
        <w:rPr>
          <w:rFonts w:ascii="Times New Roman" w:eastAsia="Times New Roman" w:hAnsi="Times New Roman" w:cs="Times New Roman"/>
          <w:color w:val="222222"/>
          <w:sz w:val="24"/>
          <w:szCs w:val="24"/>
          <w:lang w:eastAsia="tr-TR"/>
        </w:rPr>
        <w:t xml:space="preserve"> </w:t>
      </w:r>
      <w:r w:rsidR="009124E1" w:rsidRPr="009218D1">
        <w:rPr>
          <w:rFonts w:ascii="Times New Roman" w:eastAsia="Times New Roman" w:hAnsi="Times New Roman" w:cs="Times New Roman"/>
          <w:b/>
          <w:color w:val="222222"/>
          <w:sz w:val="24"/>
          <w:szCs w:val="24"/>
          <w:lang w:eastAsia="tr-TR"/>
        </w:rPr>
        <w:t>T</w:t>
      </w:r>
      <w:r w:rsidR="00D91A40" w:rsidRPr="009218D1">
        <w:rPr>
          <w:rFonts w:ascii="Times New Roman" w:eastAsia="Times New Roman" w:hAnsi="Times New Roman" w:cs="Times New Roman"/>
          <w:b/>
          <w:color w:val="222222"/>
          <w:sz w:val="24"/>
          <w:szCs w:val="24"/>
          <w:lang w:eastAsia="tr-TR"/>
        </w:rPr>
        <w:t>he Theory of Capital Structure</w:t>
      </w:r>
      <w:r w:rsidR="008F46AE" w:rsidRPr="009218D1">
        <w:rPr>
          <w:rFonts w:ascii="Times New Roman" w:eastAsia="Times New Roman" w:hAnsi="Times New Roman" w:cs="Times New Roman"/>
          <w:color w:val="222222"/>
          <w:sz w:val="24"/>
          <w:szCs w:val="24"/>
          <w:lang w:eastAsia="tr-TR"/>
        </w:rPr>
        <w:t>,</w:t>
      </w:r>
      <w:r w:rsidR="00D91A40" w:rsidRPr="009218D1">
        <w:rPr>
          <w:rFonts w:ascii="Times New Roman" w:eastAsia="Times New Roman" w:hAnsi="Times New Roman" w:cs="Times New Roman"/>
          <w:color w:val="222222"/>
          <w:sz w:val="24"/>
          <w:szCs w:val="24"/>
          <w:lang w:eastAsia="tr-TR"/>
        </w:rPr>
        <w:t xml:space="preserve"> </w:t>
      </w:r>
      <w:r w:rsidR="00D91A40" w:rsidRPr="009218D1">
        <w:rPr>
          <w:rFonts w:ascii="Times New Roman" w:eastAsia="Times New Roman" w:hAnsi="Times New Roman" w:cs="Times New Roman"/>
          <w:iCs/>
          <w:color w:val="222222"/>
          <w:sz w:val="24"/>
          <w:szCs w:val="24"/>
          <w:lang w:eastAsia="tr-TR"/>
        </w:rPr>
        <w:t xml:space="preserve">The </w:t>
      </w:r>
      <w:r w:rsidR="009124E1" w:rsidRPr="009218D1">
        <w:rPr>
          <w:rFonts w:ascii="Times New Roman" w:eastAsia="Times New Roman" w:hAnsi="Times New Roman" w:cs="Times New Roman"/>
          <w:iCs/>
          <w:color w:val="222222"/>
          <w:sz w:val="24"/>
          <w:szCs w:val="24"/>
          <w:lang w:eastAsia="tr-TR"/>
        </w:rPr>
        <w:t xml:space="preserve">Journal </w:t>
      </w:r>
      <w:r w:rsidR="00D91A40" w:rsidRPr="009218D1">
        <w:rPr>
          <w:rFonts w:ascii="Times New Roman" w:eastAsia="Times New Roman" w:hAnsi="Times New Roman" w:cs="Times New Roman"/>
          <w:iCs/>
          <w:color w:val="222222"/>
          <w:sz w:val="24"/>
          <w:szCs w:val="24"/>
          <w:lang w:eastAsia="tr-TR"/>
        </w:rPr>
        <w:t xml:space="preserve">of </w:t>
      </w:r>
      <w:r w:rsidR="009124E1" w:rsidRPr="009218D1">
        <w:rPr>
          <w:rFonts w:ascii="Times New Roman" w:eastAsia="Times New Roman" w:hAnsi="Times New Roman" w:cs="Times New Roman"/>
          <w:iCs/>
          <w:color w:val="222222"/>
          <w:sz w:val="24"/>
          <w:szCs w:val="24"/>
          <w:lang w:eastAsia="tr-TR"/>
        </w:rPr>
        <w:t>Finance</w:t>
      </w:r>
      <w:r w:rsidR="008F46AE" w:rsidRPr="009218D1">
        <w:rPr>
          <w:rFonts w:ascii="Times New Roman" w:eastAsia="Times New Roman" w:hAnsi="Times New Roman" w:cs="Times New Roman"/>
          <w:color w:val="222222"/>
          <w:sz w:val="24"/>
          <w:szCs w:val="24"/>
          <w:lang w:eastAsia="tr-TR"/>
        </w:rPr>
        <w:t xml:space="preserve">, </w:t>
      </w:r>
      <w:r w:rsidR="009124E1" w:rsidRPr="009218D1">
        <w:rPr>
          <w:rFonts w:ascii="Times New Roman" w:eastAsia="Times New Roman" w:hAnsi="Times New Roman" w:cs="Times New Roman"/>
          <w:iCs/>
          <w:color w:val="222222"/>
          <w:sz w:val="24"/>
          <w:szCs w:val="24"/>
          <w:lang w:eastAsia="tr-TR"/>
        </w:rPr>
        <w:t>46</w:t>
      </w:r>
      <w:r w:rsidR="00696FB6" w:rsidRPr="009218D1">
        <w:rPr>
          <w:rFonts w:ascii="Times New Roman" w:eastAsia="Times New Roman" w:hAnsi="Times New Roman" w:cs="Times New Roman"/>
          <w:iCs/>
          <w:color w:val="222222"/>
          <w:sz w:val="24"/>
          <w:szCs w:val="24"/>
          <w:lang w:eastAsia="tr-TR"/>
        </w:rPr>
        <w:t xml:space="preserve"> </w:t>
      </w:r>
      <w:r w:rsidR="009124E1" w:rsidRPr="009218D1">
        <w:rPr>
          <w:rFonts w:ascii="Times New Roman" w:eastAsia="Times New Roman" w:hAnsi="Times New Roman" w:cs="Times New Roman"/>
          <w:color w:val="222222"/>
          <w:sz w:val="24"/>
          <w:szCs w:val="24"/>
          <w:lang w:eastAsia="tr-TR"/>
        </w:rPr>
        <w:t>(1)</w:t>
      </w:r>
      <w:r w:rsidR="008F46AE" w:rsidRPr="009218D1">
        <w:rPr>
          <w:rFonts w:ascii="Times New Roman" w:eastAsia="Times New Roman" w:hAnsi="Times New Roman" w:cs="Times New Roman"/>
          <w:color w:val="222222"/>
          <w:sz w:val="24"/>
          <w:szCs w:val="24"/>
          <w:lang w:eastAsia="tr-TR"/>
        </w:rPr>
        <w:t>,</w:t>
      </w:r>
      <w:r w:rsidR="009124E1" w:rsidRPr="009218D1">
        <w:rPr>
          <w:rFonts w:ascii="Times New Roman" w:eastAsia="Times New Roman" w:hAnsi="Times New Roman" w:cs="Times New Roman"/>
          <w:color w:val="222222"/>
          <w:sz w:val="24"/>
          <w:szCs w:val="24"/>
          <w:lang w:eastAsia="tr-TR"/>
        </w:rPr>
        <w:t xml:space="preserve"> 297-355</w:t>
      </w:r>
      <w:r w:rsidR="00BE3467" w:rsidRPr="009218D1">
        <w:rPr>
          <w:rFonts w:ascii="Times New Roman" w:eastAsia="Times New Roman" w:hAnsi="Times New Roman" w:cs="Times New Roman"/>
          <w:color w:val="222222"/>
          <w:sz w:val="24"/>
          <w:szCs w:val="24"/>
          <w:lang w:eastAsia="tr-TR"/>
        </w:rPr>
        <w:t>.</w:t>
      </w:r>
    </w:p>
    <w:p w:rsidR="001E4703" w:rsidRPr="009218D1" w:rsidRDefault="001E4703" w:rsidP="001E4703">
      <w:pPr>
        <w:spacing w:after="0" w:line="240" w:lineRule="auto"/>
        <w:jc w:val="both"/>
        <w:rPr>
          <w:rFonts w:ascii="Times New Roman" w:eastAsia="Times New Roman" w:hAnsi="Times New Roman" w:cs="Times New Roman"/>
          <w:color w:val="222222"/>
          <w:sz w:val="24"/>
          <w:szCs w:val="24"/>
          <w:lang w:eastAsia="tr-TR"/>
        </w:rPr>
      </w:pPr>
    </w:p>
    <w:p w:rsidR="001E4703"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JENSEN,</w:t>
      </w:r>
      <w:r w:rsidR="001E4703"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C</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MECKLING</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w:t>
      </w:r>
      <w:r w:rsidR="00BE3467"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H</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(1976)</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b/>
          <w:color w:val="222222"/>
          <w:sz w:val="24"/>
          <w:szCs w:val="24"/>
          <w:lang w:eastAsia="tr-TR"/>
        </w:rPr>
        <w:t>Theory of t</w:t>
      </w:r>
      <w:r w:rsidR="001E4703" w:rsidRPr="009218D1">
        <w:rPr>
          <w:rFonts w:ascii="Times New Roman" w:eastAsia="Times New Roman" w:hAnsi="Times New Roman" w:cs="Times New Roman"/>
          <w:b/>
          <w:color w:val="222222"/>
          <w:sz w:val="24"/>
          <w:szCs w:val="24"/>
          <w:lang w:eastAsia="tr-TR"/>
        </w:rPr>
        <w:t>he Firm: Managerial Behavior</w:t>
      </w:r>
      <w:r w:rsidRPr="009218D1">
        <w:rPr>
          <w:rFonts w:ascii="Times New Roman" w:eastAsia="Times New Roman" w:hAnsi="Times New Roman" w:cs="Times New Roman"/>
          <w:b/>
          <w:color w:val="222222"/>
          <w:sz w:val="24"/>
          <w:szCs w:val="24"/>
          <w:lang w:eastAsia="tr-TR"/>
        </w:rPr>
        <w:t>,</w:t>
      </w:r>
      <w:r w:rsidR="001E4703" w:rsidRPr="009218D1">
        <w:rPr>
          <w:rFonts w:ascii="Times New Roman" w:eastAsia="Times New Roman" w:hAnsi="Times New Roman" w:cs="Times New Roman"/>
          <w:b/>
          <w:color w:val="222222"/>
          <w:sz w:val="24"/>
          <w:szCs w:val="24"/>
          <w:lang w:eastAsia="tr-TR"/>
        </w:rPr>
        <w:t xml:space="preserve"> Agency</w:t>
      </w:r>
      <w:r w:rsidRPr="009218D1">
        <w:rPr>
          <w:rFonts w:ascii="Times New Roman" w:eastAsia="Times New Roman" w:hAnsi="Times New Roman" w:cs="Times New Roman"/>
          <w:b/>
          <w:color w:val="222222"/>
          <w:sz w:val="24"/>
          <w:szCs w:val="24"/>
          <w:lang w:eastAsia="tr-TR"/>
        </w:rPr>
        <w:t xml:space="preserve"> Costs a</w:t>
      </w:r>
      <w:r w:rsidR="001E4703" w:rsidRPr="009218D1">
        <w:rPr>
          <w:rFonts w:ascii="Times New Roman" w:eastAsia="Times New Roman" w:hAnsi="Times New Roman" w:cs="Times New Roman"/>
          <w:b/>
          <w:color w:val="222222"/>
          <w:sz w:val="24"/>
          <w:szCs w:val="24"/>
          <w:lang w:eastAsia="tr-TR"/>
        </w:rPr>
        <w:t>nd Ownership Structure</w:t>
      </w:r>
      <w:r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001E4703" w:rsidRPr="009218D1">
        <w:rPr>
          <w:rFonts w:ascii="Times New Roman" w:eastAsia="Times New Roman" w:hAnsi="Times New Roman" w:cs="Times New Roman"/>
          <w:iCs/>
          <w:color w:val="222222"/>
          <w:sz w:val="24"/>
          <w:szCs w:val="24"/>
          <w:lang w:eastAsia="tr-TR"/>
        </w:rPr>
        <w:t>Journal of Financial Economics</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w:t>
      </w:r>
      <w:r w:rsidR="001E4703" w:rsidRPr="009218D1">
        <w:rPr>
          <w:rFonts w:ascii="Times New Roman" w:eastAsia="Times New Roman" w:hAnsi="Times New Roman" w:cs="Times New Roman"/>
          <w:iCs/>
          <w:color w:val="222222"/>
          <w:sz w:val="24"/>
          <w:szCs w:val="24"/>
          <w:lang w:eastAsia="tr-TR"/>
        </w:rPr>
        <w:t>3</w:t>
      </w:r>
      <w:r w:rsidR="00696FB6" w:rsidRPr="009218D1">
        <w:rPr>
          <w:rFonts w:ascii="Times New Roman" w:eastAsia="Times New Roman" w:hAnsi="Times New Roman" w:cs="Times New Roman"/>
          <w:iCs/>
          <w:color w:val="222222"/>
          <w:sz w:val="24"/>
          <w:szCs w:val="24"/>
          <w:lang w:eastAsia="tr-TR"/>
        </w:rPr>
        <w:t xml:space="preserve"> </w:t>
      </w:r>
      <w:r w:rsidR="001E4703" w:rsidRPr="009218D1">
        <w:rPr>
          <w:rFonts w:ascii="Times New Roman" w:eastAsia="Times New Roman" w:hAnsi="Times New Roman" w:cs="Times New Roman"/>
          <w:color w:val="222222"/>
          <w:sz w:val="24"/>
          <w:szCs w:val="24"/>
          <w:lang w:eastAsia="tr-TR"/>
        </w:rPr>
        <w:t>(4)</w:t>
      </w:r>
      <w:r w:rsidR="008F46AE" w:rsidRPr="009218D1">
        <w:rPr>
          <w:rFonts w:ascii="Times New Roman" w:eastAsia="Times New Roman" w:hAnsi="Times New Roman" w:cs="Times New Roman"/>
          <w:color w:val="222222"/>
          <w:sz w:val="24"/>
          <w:szCs w:val="24"/>
          <w:lang w:eastAsia="tr-TR"/>
        </w:rPr>
        <w:t>,</w:t>
      </w:r>
      <w:r w:rsidR="001E4703" w:rsidRPr="009218D1">
        <w:rPr>
          <w:rFonts w:ascii="Times New Roman" w:eastAsia="Times New Roman" w:hAnsi="Times New Roman" w:cs="Times New Roman"/>
          <w:color w:val="222222"/>
          <w:sz w:val="24"/>
          <w:szCs w:val="24"/>
          <w:lang w:eastAsia="tr-TR"/>
        </w:rPr>
        <w:t xml:space="preserve"> 305-360</w:t>
      </w:r>
      <w:r w:rsidR="00BE3467" w:rsidRPr="009218D1">
        <w:rPr>
          <w:rFonts w:ascii="Times New Roman" w:eastAsia="Times New Roman" w:hAnsi="Times New Roman" w:cs="Times New Roman"/>
          <w:color w:val="222222"/>
          <w:sz w:val="24"/>
          <w:szCs w:val="24"/>
          <w:lang w:eastAsia="tr-TR"/>
        </w:rPr>
        <w:t>.</w:t>
      </w:r>
    </w:p>
    <w:p w:rsidR="003C1180" w:rsidRPr="009218D1" w:rsidRDefault="003C1180" w:rsidP="003C1180">
      <w:pPr>
        <w:pStyle w:val="ListeParagraf"/>
        <w:rPr>
          <w:rFonts w:ascii="Times New Roman" w:eastAsia="Times New Roman" w:hAnsi="Times New Roman" w:cs="Times New Roman"/>
          <w:color w:val="222222"/>
          <w:sz w:val="24"/>
          <w:szCs w:val="24"/>
          <w:lang w:eastAsia="tr-TR"/>
        </w:rPr>
      </w:pPr>
    </w:p>
    <w:p w:rsidR="003C1180" w:rsidRPr="009218D1" w:rsidRDefault="008314CC" w:rsidP="003C1180">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JOB</w:t>
      </w:r>
      <w:r w:rsidR="003C1180" w:rsidRPr="009218D1">
        <w:rPr>
          <w:rFonts w:ascii="Times New Roman" w:eastAsia="Times New Roman" w:hAnsi="Times New Roman" w:cs="Times New Roman"/>
          <w:color w:val="222222"/>
          <w:sz w:val="24"/>
          <w:szCs w:val="24"/>
          <w:lang w:eastAsia="tr-TR"/>
        </w:rPr>
        <w:t xml:space="preserve">, G., (2016), </w:t>
      </w:r>
      <w:r w:rsidR="003C1180" w:rsidRPr="009218D1">
        <w:rPr>
          <w:rFonts w:ascii="Times New Roman" w:eastAsia="Times New Roman" w:hAnsi="Times New Roman" w:cs="Times New Roman"/>
          <w:b/>
          <w:bCs/>
          <w:color w:val="222222"/>
          <w:sz w:val="24"/>
          <w:szCs w:val="24"/>
          <w:lang w:eastAsia="tr-TR"/>
        </w:rPr>
        <w:t>Capital Structure Determinants: An Inter</w:t>
      </w:r>
      <w:r w:rsidRPr="009218D1">
        <w:rPr>
          <w:rFonts w:ascii="Times New Roman" w:eastAsia="Times New Roman" w:hAnsi="Times New Roman" w:cs="Times New Roman"/>
          <w:b/>
          <w:bCs/>
          <w:color w:val="222222"/>
          <w:sz w:val="24"/>
          <w:szCs w:val="24"/>
          <w:lang w:eastAsia="tr-TR"/>
        </w:rPr>
        <w:t>-Industry Analysis f</w:t>
      </w:r>
      <w:r w:rsidR="003C1180" w:rsidRPr="009218D1">
        <w:rPr>
          <w:rFonts w:ascii="Times New Roman" w:eastAsia="Times New Roman" w:hAnsi="Times New Roman" w:cs="Times New Roman"/>
          <w:b/>
          <w:bCs/>
          <w:color w:val="222222"/>
          <w:sz w:val="24"/>
          <w:szCs w:val="24"/>
          <w:lang w:eastAsia="tr-TR"/>
        </w:rPr>
        <w:t>or Dutch Firms</w:t>
      </w:r>
      <w:r w:rsidR="003C1180" w:rsidRPr="009218D1">
        <w:rPr>
          <w:rFonts w:ascii="Times New Roman" w:eastAsia="Times New Roman" w:hAnsi="Times New Roman" w:cs="Times New Roman"/>
          <w:color w:val="222222"/>
          <w:sz w:val="24"/>
          <w:szCs w:val="24"/>
          <w:lang w:eastAsia="tr-TR"/>
        </w:rPr>
        <w:t>, 2016, 7th IBA Bachelor Thesis Conference, July 1st, Enschede, The Netherlands.</w:t>
      </w:r>
    </w:p>
    <w:p w:rsidR="007F4449" w:rsidRPr="009218D1" w:rsidRDefault="007F4449" w:rsidP="007F4449">
      <w:pPr>
        <w:pStyle w:val="ListeParagraf"/>
        <w:rPr>
          <w:rFonts w:ascii="Times New Roman" w:eastAsia="Times New Roman" w:hAnsi="Times New Roman" w:cs="Times New Roman"/>
          <w:color w:val="222222"/>
          <w:sz w:val="24"/>
          <w:szCs w:val="24"/>
          <w:lang w:eastAsia="tr-TR"/>
        </w:rPr>
      </w:pPr>
    </w:p>
    <w:p w:rsidR="00A02554" w:rsidRPr="009218D1" w:rsidRDefault="00772F0F"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KARADENİZ,</w:t>
      </w:r>
      <w:r w:rsidR="00A02554" w:rsidRPr="009218D1">
        <w:rPr>
          <w:rFonts w:ascii="Times New Roman" w:hAnsi="Times New Roman" w:cs="Times New Roman"/>
          <w:sz w:val="24"/>
          <w:szCs w:val="24"/>
        </w:rPr>
        <w:t xml:space="preserve">  E</w:t>
      </w:r>
      <w:r w:rsidR="00BE3467" w:rsidRPr="009218D1">
        <w:rPr>
          <w:rFonts w:ascii="Times New Roman" w:hAnsi="Times New Roman" w:cs="Times New Roman"/>
          <w:sz w:val="24"/>
          <w:szCs w:val="24"/>
        </w:rPr>
        <w:t>.</w:t>
      </w:r>
      <w:r w:rsidR="00A02554" w:rsidRPr="009218D1">
        <w:rPr>
          <w:rFonts w:ascii="Times New Roman" w:hAnsi="Times New Roman" w:cs="Times New Roman"/>
          <w:sz w:val="24"/>
          <w:szCs w:val="24"/>
        </w:rPr>
        <w:t xml:space="preserve"> vd</w:t>
      </w:r>
      <w:r w:rsidR="00BE3467" w:rsidRPr="009218D1">
        <w:rPr>
          <w:rFonts w:ascii="Times New Roman" w:hAnsi="Times New Roman" w:cs="Times New Roman"/>
          <w:sz w:val="24"/>
          <w:szCs w:val="24"/>
        </w:rPr>
        <w:t>.</w:t>
      </w:r>
      <w:r w:rsidR="008F46AE" w:rsidRPr="009218D1">
        <w:rPr>
          <w:rFonts w:ascii="Times New Roman" w:hAnsi="Times New Roman" w:cs="Times New Roman"/>
          <w:sz w:val="24"/>
          <w:szCs w:val="24"/>
        </w:rPr>
        <w:t>,</w:t>
      </w:r>
      <w:r w:rsidR="00A02554" w:rsidRPr="009218D1">
        <w:rPr>
          <w:rFonts w:ascii="Times New Roman" w:hAnsi="Times New Roman" w:cs="Times New Roman"/>
          <w:sz w:val="24"/>
          <w:szCs w:val="24"/>
        </w:rPr>
        <w:t xml:space="preserve"> (2009</w:t>
      </w:r>
      <w:r w:rsidR="00F362C1" w:rsidRPr="009218D1">
        <w:rPr>
          <w:rFonts w:ascii="Times New Roman" w:hAnsi="Times New Roman" w:cs="Times New Roman"/>
          <w:sz w:val="24"/>
          <w:szCs w:val="24"/>
        </w:rPr>
        <w:t>)</w:t>
      </w:r>
      <w:r w:rsidR="008F46AE" w:rsidRPr="009218D1">
        <w:rPr>
          <w:rFonts w:ascii="Times New Roman" w:hAnsi="Times New Roman" w:cs="Times New Roman"/>
          <w:sz w:val="24"/>
          <w:szCs w:val="24"/>
        </w:rPr>
        <w:t>,</w:t>
      </w:r>
      <w:r w:rsidR="00F362C1" w:rsidRPr="009218D1">
        <w:rPr>
          <w:rFonts w:ascii="Times New Roman" w:hAnsi="Times New Roman" w:cs="Times New Roman"/>
          <w:sz w:val="24"/>
          <w:szCs w:val="24"/>
        </w:rPr>
        <w:t xml:space="preserve"> </w:t>
      </w:r>
      <w:r w:rsidR="00A02554" w:rsidRPr="009218D1">
        <w:rPr>
          <w:rFonts w:ascii="Times New Roman" w:hAnsi="Times New Roman" w:cs="Times New Roman"/>
          <w:b/>
          <w:sz w:val="24"/>
          <w:szCs w:val="24"/>
        </w:rPr>
        <w:t xml:space="preserve">Determinants </w:t>
      </w:r>
      <w:r w:rsidR="008F46AE" w:rsidRPr="009218D1">
        <w:rPr>
          <w:rFonts w:ascii="Times New Roman" w:hAnsi="Times New Roman" w:cs="Times New Roman"/>
          <w:b/>
          <w:sz w:val="24"/>
          <w:szCs w:val="24"/>
        </w:rPr>
        <w:t>o</w:t>
      </w:r>
      <w:r w:rsidRPr="009218D1">
        <w:rPr>
          <w:rFonts w:ascii="Times New Roman" w:hAnsi="Times New Roman" w:cs="Times New Roman"/>
          <w:b/>
          <w:sz w:val="24"/>
          <w:szCs w:val="24"/>
        </w:rPr>
        <w:t>f Capital Structure: Evidence f</w:t>
      </w:r>
      <w:r w:rsidR="00A02554" w:rsidRPr="009218D1">
        <w:rPr>
          <w:rFonts w:ascii="Times New Roman" w:hAnsi="Times New Roman" w:cs="Times New Roman"/>
          <w:b/>
          <w:sz w:val="24"/>
          <w:szCs w:val="24"/>
        </w:rPr>
        <w:t>rom Turkish Lodging Companies</w:t>
      </w:r>
      <w:r w:rsidRPr="009218D1">
        <w:rPr>
          <w:rFonts w:ascii="Times New Roman" w:hAnsi="Times New Roman" w:cs="Times New Roman"/>
          <w:b/>
          <w:sz w:val="24"/>
          <w:szCs w:val="24"/>
        </w:rPr>
        <w:t>,</w:t>
      </w:r>
      <w:r w:rsidR="00A02554" w:rsidRPr="009218D1">
        <w:rPr>
          <w:rFonts w:ascii="Times New Roman" w:hAnsi="Times New Roman" w:cs="Times New Roman"/>
          <w:b/>
          <w:sz w:val="24"/>
          <w:szCs w:val="24"/>
        </w:rPr>
        <w:t xml:space="preserve"> Contemporary Hospitality Management</w:t>
      </w:r>
      <w:r w:rsidR="008F46AE" w:rsidRPr="009218D1">
        <w:rPr>
          <w:rFonts w:ascii="Times New Roman" w:hAnsi="Times New Roman" w:cs="Times New Roman"/>
          <w:sz w:val="24"/>
          <w:szCs w:val="24"/>
        </w:rPr>
        <w:t>,</w:t>
      </w:r>
      <w:r w:rsidR="00D91A40" w:rsidRPr="009218D1">
        <w:rPr>
          <w:rFonts w:ascii="Times New Roman" w:hAnsi="Times New Roman" w:cs="Times New Roman"/>
          <w:sz w:val="24"/>
          <w:szCs w:val="24"/>
        </w:rPr>
        <w:t xml:space="preserve"> 21</w:t>
      </w:r>
      <w:r w:rsidR="008F46AE" w:rsidRPr="009218D1">
        <w:rPr>
          <w:rFonts w:ascii="Times New Roman" w:hAnsi="Times New Roman" w:cs="Times New Roman"/>
          <w:sz w:val="24"/>
          <w:szCs w:val="24"/>
        </w:rPr>
        <w:t xml:space="preserve"> </w:t>
      </w:r>
      <w:r w:rsidR="00D91A40" w:rsidRPr="009218D1">
        <w:rPr>
          <w:rFonts w:ascii="Times New Roman" w:hAnsi="Times New Roman" w:cs="Times New Roman"/>
          <w:sz w:val="24"/>
          <w:szCs w:val="24"/>
        </w:rPr>
        <w:t>(</w:t>
      </w:r>
      <w:r w:rsidR="00A02554" w:rsidRPr="009218D1">
        <w:rPr>
          <w:rFonts w:ascii="Times New Roman" w:hAnsi="Times New Roman" w:cs="Times New Roman"/>
          <w:sz w:val="24"/>
          <w:szCs w:val="24"/>
        </w:rPr>
        <w:t>5</w:t>
      </w:r>
      <w:r w:rsidR="00D91A40" w:rsidRPr="009218D1">
        <w:rPr>
          <w:rFonts w:ascii="Times New Roman" w:hAnsi="Times New Roman" w:cs="Times New Roman"/>
          <w:sz w:val="24"/>
          <w:szCs w:val="24"/>
        </w:rPr>
        <w:t>)</w:t>
      </w:r>
      <w:r w:rsidR="008F46AE" w:rsidRPr="009218D1">
        <w:rPr>
          <w:rFonts w:ascii="Times New Roman" w:hAnsi="Times New Roman" w:cs="Times New Roman"/>
          <w:sz w:val="24"/>
          <w:szCs w:val="24"/>
        </w:rPr>
        <w:t xml:space="preserve">, </w:t>
      </w:r>
      <w:r w:rsidR="00A02554" w:rsidRPr="009218D1">
        <w:rPr>
          <w:rFonts w:ascii="Times New Roman" w:hAnsi="Times New Roman" w:cs="Times New Roman"/>
          <w:sz w:val="24"/>
          <w:szCs w:val="24"/>
        </w:rPr>
        <w:t>594-609</w:t>
      </w:r>
      <w:r w:rsidR="00BE3467" w:rsidRPr="009218D1">
        <w:rPr>
          <w:rFonts w:ascii="Times New Roman" w:hAnsi="Times New Roman" w:cs="Times New Roman"/>
          <w:sz w:val="24"/>
          <w:szCs w:val="24"/>
        </w:rPr>
        <w:t>.</w:t>
      </w:r>
    </w:p>
    <w:p w:rsidR="00D673D9" w:rsidRPr="009218D1" w:rsidRDefault="00D673D9" w:rsidP="00D673D9">
      <w:pPr>
        <w:pStyle w:val="ListeParagraf"/>
        <w:rPr>
          <w:rFonts w:ascii="Times New Roman" w:hAnsi="Times New Roman" w:cs="Times New Roman"/>
          <w:sz w:val="24"/>
          <w:szCs w:val="24"/>
        </w:rPr>
      </w:pPr>
    </w:p>
    <w:p w:rsidR="00D673D9" w:rsidRPr="009218D1" w:rsidRDefault="008314CC" w:rsidP="00D673D9">
      <w:pPr>
        <w:pStyle w:val="ListeParagraf"/>
        <w:numPr>
          <w:ilvl w:val="0"/>
          <w:numId w:val="4"/>
        </w:numPr>
        <w:autoSpaceDE w:val="0"/>
        <w:autoSpaceDN w:val="0"/>
        <w:adjustRightInd w:val="0"/>
        <w:spacing w:before="120" w:after="120"/>
        <w:jc w:val="both"/>
        <w:rPr>
          <w:rFonts w:ascii="Times New Roman" w:hAnsi="Times New Roman" w:cs="Times New Roman"/>
          <w:color w:val="000000"/>
          <w:sz w:val="24"/>
          <w:szCs w:val="24"/>
        </w:rPr>
      </w:pPr>
      <w:r w:rsidRPr="009218D1">
        <w:rPr>
          <w:rFonts w:ascii="Times New Roman" w:hAnsi="Times New Roman" w:cs="Times New Roman"/>
          <w:color w:val="000000"/>
          <w:sz w:val="24"/>
          <w:szCs w:val="24"/>
        </w:rPr>
        <w:t>KARLUK</w:t>
      </w:r>
      <w:r w:rsidR="00D673D9" w:rsidRPr="009218D1">
        <w:rPr>
          <w:rFonts w:ascii="Times New Roman" w:hAnsi="Times New Roman" w:cs="Times New Roman"/>
          <w:color w:val="000000"/>
          <w:sz w:val="24"/>
          <w:szCs w:val="24"/>
        </w:rPr>
        <w:t>, S.</w:t>
      </w:r>
      <w:r w:rsidRPr="009218D1">
        <w:rPr>
          <w:rFonts w:ascii="Times New Roman" w:hAnsi="Times New Roman" w:cs="Times New Roman"/>
          <w:color w:val="000000"/>
          <w:sz w:val="24"/>
          <w:szCs w:val="24"/>
        </w:rPr>
        <w:t xml:space="preserve"> </w:t>
      </w:r>
      <w:r w:rsidR="00D673D9" w:rsidRPr="009218D1">
        <w:rPr>
          <w:rFonts w:ascii="Times New Roman" w:hAnsi="Times New Roman" w:cs="Times New Roman"/>
          <w:color w:val="000000"/>
          <w:sz w:val="24"/>
          <w:szCs w:val="24"/>
        </w:rPr>
        <w:t>D. vd., (2010), Türkiye Ekonomisi, Eskişehir, Anadolu Üniversitesi Yayını, No:</w:t>
      </w:r>
      <w:r w:rsidR="002F5A0F" w:rsidRPr="009218D1">
        <w:rPr>
          <w:rFonts w:ascii="Times New Roman" w:hAnsi="Times New Roman" w:cs="Times New Roman"/>
          <w:color w:val="000000"/>
          <w:sz w:val="24"/>
          <w:szCs w:val="24"/>
        </w:rPr>
        <w:t xml:space="preserve"> </w:t>
      </w:r>
      <w:r w:rsidR="00D673D9" w:rsidRPr="009218D1">
        <w:rPr>
          <w:rFonts w:ascii="Times New Roman" w:hAnsi="Times New Roman" w:cs="Times New Roman"/>
          <w:color w:val="000000"/>
          <w:sz w:val="24"/>
          <w:szCs w:val="24"/>
        </w:rPr>
        <w:t>2167.</w:t>
      </w:r>
    </w:p>
    <w:p w:rsidR="007F4449" w:rsidRPr="009218D1" w:rsidRDefault="007F4449" w:rsidP="007F4449">
      <w:pPr>
        <w:pStyle w:val="ListeParagraf"/>
        <w:rPr>
          <w:rFonts w:ascii="Times New Roman" w:hAnsi="Times New Roman" w:cs="Times New Roman"/>
          <w:sz w:val="24"/>
          <w:szCs w:val="24"/>
        </w:rPr>
      </w:pPr>
    </w:p>
    <w:p w:rsidR="00ED49FE"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KISAKÜREK,</w:t>
      </w:r>
      <w:r w:rsidR="00ED49FE"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ED49FE"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AYDIN,</w:t>
      </w:r>
      <w:r w:rsidR="00ED49FE" w:rsidRPr="009218D1">
        <w:rPr>
          <w:rFonts w:ascii="Times New Roman" w:eastAsia="Times New Roman" w:hAnsi="Times New Roman" w:cs="Times New Roman"/>
          <w:color w:val="222222"/>
          <w:sz w:val="24"/>
          <w:szCs w:val="24"/>
          <w:lang w:eastAsia="tr-TR"/>
        </w:rPr>
        <w:t xml:space="preserve"> Y</w:t>
      </w:r>
      <w:r w:rsidR="00BE3467"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ED49FE" w:rsidRPr="009218D1">
        <w:rPr>
          <w:rFonts w:ascii="Times New Roman" w:eastAsia="Times New Roman" w:hAnsi="Times New Roman" w:cs="Times New Roman"/>
          <w:color w:val="222222"/>
          <w:sz w:val="24"/>
          <w:szCs w:val="24"/>
          <w:lang w:eastAsia="tr-TR"/>
        </w:rPr>
        <w:t xml:space="preserve"> (2013)</w:t>
      </w:r>
      <w:r w:rsidR="008F46AE" w:rsidRPr="009218D1">
        <w:rPr>
          <w:rFonts w:ascii="Times New Roman" w:eastAsia="Times New Roman" w:hAnsi="Times New Roman" w:cs="Times New Roman"/>
          <w:color w:val="222222"/>
          <w:sz w:val="24"/>
          <w:szCs w:val="24"/>
          <w:lang w:eastAsia="tr-TR"/>
        </w:rPr>
        <w:t>,</w:t>
      </w:r>
      <w:r w:rsidR="00ED49FE" w:rsidRPr="009218D1">
        <w:rPr>
          <w:rFonts w:ascii="Times New Roman" w:eastAsia="Times New Roman" w:hAnsi="Times New Roman" w:cs="Times New Roman"/>
          <w:color w:val="222222"/>
          <w:sz w:val="24"/>
          <w:szCs w:val="24"/>
          <w:lang w:eastAsia="tr-TR"/>
        </w:rPr>
        <w:t xml:space="preserve"> </w:t>
      </w:r>
      <w:r w:rsidR="00ED49FE" w:rsidRPr="009218D1">
        <w:rPr>
          <w:rFonts w:ascii="Times New Roman" w:eastAsia="Times New Roman" w:hAnsi="Times New Roman" w:cs="Times New Roman"/>
          <w:b/>
          <w:color w:val="222222"/>
          <w:sz w:val="24"/>
          <w:szCs w:val="24"/>
          <w:lang w:eastAsia="tr-TR"/>
        </w:rPr>
        <w:t xml:space="preserve">İşletmelerde </w:t>
      </w:r>
      <w:r w:rsidR="008F46AE" w:rsidRPr="009218D1">
        <w:rPr>
          <w:rFonts w:ascii="Times New Roman" w:eastAsia="Times New Roman" w:hAnsi="Times New Roman" w:cs="Times New Roman"/>
          <w:b/>
          <w:color w:val="222222"/>
          <w:sz w:val="24"/>
          <w:szCs w:val="24"/>
          <w:lang w:eastAsia="tr-TR"/>
        </w:rPr>
        <w:t xml:space="preserve">Sermaye Yapısı İle Kârlılık Arasındaki İlişkinin Analizi: 1992-2011 Yılları Arası Finansal Krizler Odaklı </w:t>
      </w:r>
      <w:r w:rsidR="00ED49FE" w:rsidRPr="009218D1">
        <w:rPr>
          <w:rFonts w:ascii="Times New Roman" w:eastAsia="Times New Roman" w:hAnsi="Times New Roman" w:cs="Times New Roman"/>
          <w:b/>
          <w:color w:val="222222"/>
          <w:sz w:val="24"/>
          <w:szCs w:val="24"/>
          <w:lang w:eastAsia="tr-TR"/>
        </w:rPr>
        <w:t xml:space="preserve">BİST’te </w:t>
      </w:r>
      <w:r w:rsidR="008F46AE" w:rsidRPr="009218D1">
        <w:rPr>
          <w:rFonts w:ascii="Times New Roman" w:eastAsia="Times New Roman" w:hAnsi="Times New Roman" w:cs="Times New Roman"/>
          <w:b/>
          <w:color w:val="222222"/>
          <w:sz w:val="24"/>
          <w:szCs w:val="24"/>
          <w:lang w:eastAsia="tr-TR"/>
        </w:rPr>
        <w:t>Bir Uygulama</w:t>
      </w:r>
      <w:r w:rsidR="008F46AE" w:rsidRPr="009218D1">
        <w:rPr>
          <w:rFonts w:ascii="Times New Roman" w:eastAsia="Times New Roman" w:hAnsi="Times New Roman" w:cs="Times New Roman"/>
          <w:color w:val="222222"/>
          <w:sz w:val="24"/>
          <w:szCs w:val="24"/>
          <w:lang w:eastAsia="tr-TR"/>
        </w:rPr>
        <w:t>,</w:t>
      </w:r>
      <w:r w:rsidR="00ED49FE" w:rsidRPr="009218D1">
        <w:rPr>
          <w:rFonts w:ascii="Times New Roman" w:hAnsi="Times New Roman" w:cs="Times New Roman"/>
          <w:color w:val="333333"/>
          <w:sz w:val="24"/>
          <w:szCs w:val="24"/>
        </w:rPr>
        <w:t xml:space="preserve"> Cumhuriyet </w:t>
      </w:r>
      <w:hyperlink r:id="rId12" w:history="1">
        <w:r w:rsidR="00ED49FE" w:rsidRPr="009218D1">
          <w:rPr>
            <w:rStyle w:val="Kpr"/>
            <w:rFonts w:ascii="Times New Roman" w:hAnsi="Times New Roman" w:cs="Times New Roman"/>
            <w:color w:val="auto"/>
            <w:sz w:val="24"/>
            <w:szCs w:val="24"/>
          </w:rPr>
          <w:t>Üniversitesi İktisadi ve İdari Bilimler Dergisi</w:t>
        </w:r>
      </w:hyperlink>
      <w:r w:rsidR="008F46AE" w:rsidRPr="009218D1">
        <w:rPr>
          <w:rFonts w:ascii="Times New Roman" w:hAnsi="Times New Roman" w:cs="Times New Roman"/>
          <w:sz w:val="24"/>
          <w:szCs w:val="24"/>
        </w:rPr>
        <w:t>,</w:t>
      </w:r>
      <w:r w:rsidR="00ED49FE" w:rsidRPr="009218D1">
        <w:rPr>
          <w:rFonts w:ascii="Times New Roman" w:hAnsi="Times New Roman" w:cs="Times New Roman"/>
          <w:sz w:val="24"/>
          <w:szCs w:val="24"/>
        </w:rPr>
        <w:t xml:space="preserve"> 14 (2)</w:t>
      </w:r>
      <w:r w:rsidR="008F46AE" w:rsidRPr="009218D1">
        <w:rPr>
          <w:rFonts w:ascii="Times New Roman" w:hAnsi="Times New Roman" w:cs="Times New Roman"/>
          <w:sz w:val="24"/>
          <w:szCs w:val="24"/>
        </w:rPr>
        <w:t>,</w:t>
      </w:r>
      <w:r w:rsidR="00ED49FE" w:rsidRPr="009218D1">
        <w:rPr>
          <w:rFonts w:ascii="Times New Roman" w:hAnsi="Times New Roman" w:cs="Times New Roman"/>
          <w:sz w:val="24"/>
          <w:szCs w:val="24"/>
        </w:rPr>
        <w:t xml:space="preserve"> 97-121</w:t>
      </w:r>
      <w:r w:rsidR="00BE3467" w:rsidRPr="009218D1">
        <w:rPr>
          <w:rFonts w:ascii="Times New Roman" w:hAnsi="Times New Roman" w:cs="Times New Roman"/>
          <w:sz w:val="24"/>
          <w:szCs w:val="24"/>
        </w:rPr>
        <w:t>.</w:t>
      </w:r>
    </w:p>
    <w:p w:rsidR="007F4449" w:rsidRPr="009218D1" w:rsidRDefault="007F4449" w:rsidP="007F4449">
      <w:pPr>
        <w:pStyle w:val="ListeParagraf"/>
        <w:rPr>
          <w:rFonts w:ascii="Times New Roman" w:eastAsia="Times New Roman" w:hAnsi="Times New Roman" w:cs="Times New Roman"/>
          <w:color w:val="222222"/>
          <w:sz w:val="24"/>
          <w:szCs w:val="24"/>
          <w:lang w:eastAsia="tr-TR"/>
        </w:rPr>
      </w:pPr>
    </w:p>
    <w:p w:rsidR="008758B4" w:rsidRPr="009218D1" w:rsidRDefault="00772F0F"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KÖKSAL,</w:t>
      </w:r>
      <w:r w:rsidR="008758B4" w:rsidRPr="009218D1">
        <w:rPr>
          <w:rFonts w:ascii="Times New Roman" w:hAnsi="Times New Roman" w:cs="Times New Roman"/>
          <w:sz w:val="24"/>
          <w:szCs w:val="24"/>
        </w:rPr>
        <w:t xml:space="preserve"> B</w:t>
      </w:r>
      <w:r w:rsidR="00BE3467" w:rsidRPr="009218D1">
        <w:rPr>
          <w:rFonts w:ascii="Times New Roman" w:hAnsi="Times New Roman" w:cs="Times New Roman"/>
          <w:sz w:val="24"/>
          <w:szCs w:val="24"/>
        </w:rPr>
        <w:t>.</w:t>
      </w:r>
      <w:r w:rsidR="008F46AE"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w:t>
      </w:r>
      <w:r w:rsidRPr="009218D1">
        <w:rPr>
          <w:rFonts w:ascii="Times New Roman" w:hAnsi="Times New Roman" w:cs="Times New Roman"/>
          <w:sz w:val="24"/>
          <w:szCs w:val="24"/>
        </w:rPr>
        <w:t>ORMAN,</w:t>
      </w:r>
      <w:r w:rsidR="008758B4" w:rsidRPr="009218D1">
        <w:rPr>
          <w:rFonts w:ascii="Times New Roman" w:hAnsi="Times New Roman" w:cs="Times New Roman"/>
          <w:sz w:val="24"/>
          <w:szCs w:val="24"/>
        </w:rPr>
        <w:t xml:space="preserve"> C</w:t>
      </w:r>
      <w:r w:rsidR="00BE3467" w:rsidRPr="009218D1">
        <w:rPr>
          <w:rFonts w:ascii="Times New Roman" w:hAnsi="Times New Roman" w:cs="Times New Roman"/>
          <w:sz w:val="24"/>
          <w:szCs w:val="24"/>
        </w:rPr>
        <w:t>.</w:t>
      </w:r>
      <w:r w:rsidR="008F46AE"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w:t>
      </w:r>
      <w:r w:rsidRPr="009218D1">
        <w:rPr>
          <w:rFonts w:ascii="Times New Roman" w:hAnsi="Times New Roman" w:cs="Times New Roman"/>
          <w:sz w:val="24"/>
          <w:szCs w:val="24"/>
        </w:rPr>
        <w:t>ODUNCU,</w:t>
      </w:r>
      <w:r w:rsidR="008758B4" w:rsidRPr="009218D1">
        <w:rPr>
          <w:rFonts w:ascii="Times New Roman" w:hAnsi="Times New Roman" w:cs="Times New Roman"/>
          <w:sz w:val="24"/>
          <w:szCs w:val="24"/>
        </w:rPr>
        <w:t xml:space="preserve"> A</w:t>
      </w:r>
      <w:r w:rsidR="00BE3467" w:rsidRPr="009218D1">
        <w:rPr>
          <w:rFonts w:ascii="Times New Roman" w:hAnsi="Times New Roman" w:cs="Times New Roman"/>
          <w:sz w:val="24"/>
          <w:szCs w:val="24"/>
        </w:rPr>
        <w:t>.</w:t>
      </w:r>
      <w:r w:rsidR="008F46AE"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(2013)</w:t>
      </w:r>
      <w:r w:rsidR="008F46AE"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w:t>
      </w:r>
      <w:r w:rsidR="008758B4" w:rsidRPr="009218D1">
        <w:rPr>
          <w:rFonts w:ascii="Times New Roman" w:hAnsi="Times New Roman" w:cs="Times New Roman"/>
          <w:b/>
          <w:sz w:val="24"/>
          <w:szCs w:val="24"/>
        </w:rPr>
        <w:t>Determinants of Capital Structure: Evidence from a Major Emerging Market Economy</w:t>
      </w:r>
      <w:r w:rsidR="008F46AE"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MPRA Paper</w:t>
      </w:r>
      <w:r w:rsidR="008F46AE"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48415</w:t>
      </w:r>
      <w:r w:rsidR="008F46AE"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posted 19</w:t>
      </w:r>
      <w:r w:rsidR="00B00E83" w:rsidRPr="009218D1">
        <w:rPr>
          <w:rFonts w:ascii="Times New Roman" w:hAnsi="Times New Roman" w:cs="Times New Roman"/>
          <w:sz w:val="24"/>
          <w:szCs w:val="24"/>
        </w:rPr>
        <w:t>,</w:t>
      </w:r>
      <w:r w:rsidR="008758B4" w:rsidRPr="009218D1">
        <w:rPr>
          <w:rFonts w:ascii="Times New Roman" w:hAnsi="Times New Roman" w:cs="Times New Roman"/>
          <w:sz w:val="24"/>
          <w:szCs w:val="24"/>
        </w:rPr>
        <w:t xml:space="preserve"> July 2013 13:19 UTC</w:t>
      </w:r>
      <w:r w:rsidR="00B00E83" w:rsidRPr="009218D1">
        <w:rPr>
          <w:rFonts w:ascii="Times New Roman" w:hAnsi="Times New Roman" w:cs="Times New Roman"/>
          <w:sz w:val="24"/>
          <w:szCs w:val="24"/>
        </w:rPr>
        <w:t xml:space="preserve">, </w:t>
      </w:r>
      <w:r w:rsidR="008758B4" w:rsidRPr="009218D1">
        <w:rPr>
          <w:rFonts w:ascii="Times New Roman" w:hAnsi="Times New Roman" w:cs="Times New Roman"/>
          <w:sz w:val="24"/>
          <w:szCs w:val="24"/>
        </w:rPr>
        <w:t>Eri</w:t>
      </w:r>
      <w:r w:rsidR="004355C0" w:rsidRPr="009218D1">
        <w:rPr>
          <w:rFonts w:ascii="Times New Roman" w:hAnsi="Times New Roman" w:cs="Times New Roman"/>
          <w:sz w:val="24"/>
          <w:szCs w:val="24"/>
        </w:rPr>
        <w:t>ş</w:t>
      </w:r>
      <w:r w:rsidR="008758B4" w:rsidRPr="009218D1">
        <w:rPr>
          <w:rFonts w:ascii="Times New Roman" w:hAnsi="Times New Roman" w:cs="Times New Roman"/>
          <w:sz w:val="24"/>
          <w:szCs w:val="24"/>
        </w:rPr>
        <w:t>im Tarihi:</w:t>
      </w:r>
      <w:r w:rsidRPr="009218D1">
        <w:rPr>
          <w:rFonts w:ascii="Times New Roman" w:hAnsi="Times New Roman" w:cs="Times New Roman"/>
          <w:sz w:val="24"/>
          <w:szCs w:val="24"/>
        </w:rPr>
        <w:t xml:space="preserve"> </w:t>
      </w:r>
      <w:r w:rsidR="008758B4" w:rsidRPr="009218D1">
        <w:rPr>
          <w:rFonts w:ascii="Times New Roman" w:hAnsi="Times New Roman" w:cs="Times New Roman"/>
          <w:sz w:val="24"/>
          <w:szCs w:val="24"/>
        </w:rPr>
        <w:t>31</w:t>
      </w:r>
      <w:r w:rsidR="00BE3467" w:rsidRPr="009218D1">
        <w:rPr>
          <w:rFonts w:ascii="Times New Roman" w:hAnsi="Times New Roman" w:cs="Times New Roman"/>
          <w:sz w:val="24"/>
          <w:szCs w:val="24"/>
        </w:rPr>
        <w:t>.</w:t>
      </w:r>
      <w:r w:rsidR="008758B4" w:rsidRPr="009218D1">
        <w:rPr>
          <w:rFonts w:ascii="Times New Roman" w:hAnsi="Times New Roman" w:cs="Times New Roman"/>
          <w:sz w:val="24"/>
          <w:szCs w:val="24"/>
        </w:rPr>
        <w:t>03</w:t>
      </w:r>
      <w:r w:rsidR="00BE3467" w:rsidRPr="009218D1">
        <w:rPr>
          <w:rFonts w:ascii="Times New Roman" w:hAnsi="Times New Roman" w:cs="Times New Roman"/>
          <w:sz w:val="24"/>
          <w:szCs w:val="24"/>
        </w:rPr>
        <w:t>.</w:t>
      </w:r>
      <w:r w:rsidR="008758B4" w:rsidRPr="009218D1">
        <w:rPr>
          <w:rFonts w:ascii="Times New Roman" w:hAnsi="Times New Roman" w:cs="Times New Roman"/>
          <w:sz w:val="24"/>
          <w:szCs w:val="24"/>
        </w:rPr>
        <w:t>2016</w:t>
      </w:r>
      <w:r w:rsidR="00BE3467" w:rsidRPr="009218D1">
        <w:rPr>
          <w:rFonts w:ascii="Times New Roman" w:hAnsi="Times New Roman" w:cs="Times New Roman"/>
          <w:sz w:val="24"/>
          <w:szCs w:val="24"/>
        </w:rPr>
        <w:t>.</w:t>
      </w:r>
    </w:p>
    <w:p w:rsidR="0000325D" w:rsidRPr="009218D1" w:rsidRDefault="0000325D" w:rsidP="0000325D">
      <w:pPr>
        <w:pStyle w:val="ListeParagraf"/>
        <w:rPr>
          <w:rFonts w:ascii="Times New Roman" w:hAnsi="Times New Roman" w:cs="Times New Roman"/>
          <w:sz w:val="24"/>
          <w:szCs w:val="24"/>
        </w:rPr>
      </w:pPr>
    </w:p>
    <w:p w:rsidR="0000325D" w:rsidRPr="009218D1" w:rsidRDefault="00A82B1A" w:rsidP="0000325D">
      <w:pPr>
        <w:pStyle w:val="ListeParagraf"/>
        <w:numPr>
          <w:ilvl w:val="0"/>
          <w:numId w:val="4"/>
        </w:numPr>
        <w:autoSpaceDE w:val="0"/>
        <w:autoSpaceDN w:val="0"/>
        <w:adjustRightInd w:val="0"/>
        <w:spacing w:before="120" w:after="120"/>
        <w:jc w:val="both"/>
        <w:rPr>
          <w:rFonts w:ascii="Times New Roman" w:hAnsi="Times New Roman" w:cs="Times New Roman"/>
          <w:color w:val="000000"/>
          <w:sz w:val="24"/>
          <w:szCs w:val="24"/>
        </w:rPr>
      </w:pPr>
      <w:r w:rsidRPr="009218D1">
        <w:rPr>
          <w:rFonts w:ascii="Times New Roman" w:hAnsi="Times New Roman" w:cs="Times New Roman"/>
          <w:color w:val="000000"/>
          <w:sz w:val="24"/>
          <w:szCs w:val="24"/>
        </w:rPr>
        <w:t>LEVINE</w:t>
      </w:r>
      <w:r w:rsidR="0000325D" w:rsidRPr="009218D1">
        <w:rPr>
          <w:rFonts w:ascii="Times New Roman" w:hAnsi="Times New Roman" w:cs="Times New Roman"/>
          <w:color w:val="000000"/>
          <w:sz w:val="24"/>
          <w:szCs w:val="24"/>
        </w:rPr>
        <w:t xml:space="preserve">, R., </w:t>
      </w:r>
      <w:r w:rsidRPr="009218D1">
        <w:rPr>
          <w:rFonts w:ascii="Times New Roman" w:hAnsi="Times New Roman" w:cs="Times New Roman"/>
          <w:color w:val="000000"/>
          <w:sz w:val="24"/>
          <w:szCs w:val="24"/>
        </w:rPr>
        <w:t>ZERVOS</w:t>
      </w:r>
      <w:r w:rsidR="0000325D" w:rsidRPr="009218D1">
        <w:rPr>
          <w:rFonts w:ascii="Times New Roman" w:hAnsi="Times New Roman" w:cs="Times New Roman"/>
          <w:color w:val="000000"/>
          <w:sz w:val="24"/>
          <w:szCs w:val="24"/>
        </w:rPr>
        <w:t xml:space="preserve">, S., (1998), </w:t>
      </w:r>
      <w:r w:rsidR="0000325D" w:rsidRPr="009218D1">
        <w:rPr>
          <w:rFonts w:ascii="Times New Roman" w:hAnsi="Times New Roman" w:cs="Times New Roman"/>
          <w:b/>
          <w:bCs/>
          <w:color w:val="000000"/>
          <w:sz w:val="24"/>
          <w:szCs w:val="24"/>
        </w:rPr>
        <w:t>Stock Markets, Banks and Economic Growth</w:t>
      </w:r>
      <w:r w:rsidR="0000325D" w:rsidRPr="009218D1">
        <w:rPr>
          <w:rFonts w:ascii="Times New Roman" w:hAnsi="Times New Roman" w:cs="Times New Roman"/>
          <w:color w:val="000000"/>
          <w:sz w:val="24"/>
          <w:szCs w:val="24"/>
        </w:rPr>
        <w:t>, The American Economic Review, 88(3), 537–558.</w:t>
      </w:r>
    </w:p>
    <w:p w:rsidR="0000325D" w:rsidRPr="009218D1" w:rsidRDefault="0000325D" w:rsidP="0000325D">
      <w:pPr>
        <w:pStyle w:val="ListeParagraf"/>
        <w:rPr>
          <w:rFonts w:ascii="Times New Roman" w:hAnsi="Times New Roman" w:cs="Times New Roman"/>
          <w:color w:val="000000"/>
          <w:sz w:val="24"/>
          <w:szCs w:val="24"/>
        </w:rPr>
      </w:pPr>
    </w:p>
    <w:p w:rsidR="0000325D" w:rsidRPr="009218D1" w:rsidRDefault="00A82B1A" w:rsidP="0000325D">
      <w:pPr>
        <w:pStyle w:val="ListeParagraf"/>
        <w:numPr>
          <w:ilvl w:val="0"/>
          <w:numId w:val="4"/>
        </w:numPr>
        <w:autoSpaceDE w:val="0"/>
        <w:autoSpaceDN w:val="0"/>
        <w:adjustRightInd w:val="0"/>
        <w:spacing w:before="120" w:after="120"/>
        <w:jc w:val="both"/>
        <w:rPr>
          <w:rFonts w:ascii="Times New Roman" w:hAnsi="Times New Roman" w:cs="Times New Roman"/>
          <w:sz w:val="24"/>
          <w:szCs w:val="24"/>
        </w:rPr>
      </w:pPr>
      <w:r w:rsidRPr="009218D1">
        <w:rPr>
          <w:rFonts w:ascii="Times New Roman" w:hAnsi="Times New Roman" w:cs="Times New Roman"/>
          <w:sz w:val="24"/>
          <w:szCs w:val="24"/>
        </w:rPr>
        <w:t>MAYER</w:t>
      </w:r>
      <w:r w:rsidR="0000325D" w:rsidRPr="009218D1">
        <w:rPr>
          <w:rFonts w:ascii="Times New Roman" w:hAnsi="Times New Roman" w:cs="Times New Roman"/>
          <w:sz w:val="24"/>
          <w:szCs w:val="24"/>
        </w:rPr>
        <w:t xml:space="preserve">, C., </w:t>
      </w:r>
      <w:r w:rsidRPr="009218D1">
        <w:rPr>
          <w:rFonts w:ascii="Times New Roman" w:hAnsi="Times New Roman" w:cs="Times New Roman"/>
          <w:sz w:val="24"/>
          <w:szCs w:val="24"/>
        </w:rPr>
        <w:t>SUSSMAN</w:t>
      </w:r>
      <w:r w:rsidR="0000325D" w:rsidRPr="009218D1">
        <w:rPr>
          <w:rFonts w:ascii="Times New Roman" w:hAnsi="Times New Roman" w:cs="Times New Roman"/>
          <w:sz w:val="24"/>
          <w:szCs w:val="24"/>
        </w:rPr>
        <w:t xml:space="preserve">, O., (2005), </w:t>
      </w:r>
      <w:r w:rsidR="0000325D" w:rsidRPr="009218D1">
        <w:rPr>
          <w:rFonts w:ascii="Times New Roman" w:hAnsi="Times New Roman" w:cs="Times New Roman"/>
          <w:b/>
          <w:bCs/>
          <w:sz w:val="24"/>
          <w:szCs w:val="24"/>
        </w:rPr>
        <w:t>Financing Investment: A New Test of Capital Structure</w:t>
      </w:r>
      <w:r w:rsidR="0000325D" w:rsidRPr="009218D1">
        <w:rPr>
          <w:rFonts w:ascii="Times New Roman" w:hAnsi="Times New Roman" w:cs="Times New Roman"/>
          <w:sz w:val="24"/>
          <w:szCs w:val="24"/>
        </w:rPr>
        <w:t>, Unpublished Working Paper, University of Oxford.</w:t>
      </w:r>
    </w:p>
    <w:p w:rsidR="007F4449" w:rsidRPr="009218D1" w:rsidRDefault="007F4449" w:rsidP="007F4449">
      <w:pPr>
        <w:pStyle w:val="ListeParagraf"/>
        <w:rPr>
          <w:rFonts w:ascii="Times New Roman" w:hAnsi="Times New Roman" w:cs="Times New Roman"/>
          <w:sz w:val="24"/>
          <w:szCs w:val="24"/>
        </w:rPr>
      </w:pPr>
    </w:p>
    <w:p w:rsidR="008758B4"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MYERS,</w:t>
      </w:r>
      <w:r w:rsidR="00C93FA5" w:rsidRPr="009218D1">
        <w:rPr>
          <w:rFonts w:ascii="Times New Roman" w:eastAsia="Times New Roman" w:hAnsi="Times New Roman" w:cs="Times New Roman"/>
          <w:color w:val="222222"/>
          <w:sz w:val="24"/>
          <w:szCs w:val="24"/>
          <w:lang w:eastAsia="tr-TR"/>
        </w:rPr>
        <w:t xml:space="preserve"> S</w:t>
      </w:r>
      <w:r w:rsidR="00BE3467"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C</w:t>
      </w:r>
      <w:r w:rsidR="008F46AE"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(1977)</w:t>
      </w:r>
      <w:r w:rsidR="008F46AE" w:rsidRPr="009218D1">
        <w:rPr>
          <w:rFonts w:ascii="Times New Roman" w:eastAsia="Times New Roman" w:hAnsi="Times New Roman" w:cs="Times New Roman"/>
          <w:color w:val="222222"/>
          <w:sz w:val="24"/>
          <w:szCs w:val="24"/>
          <w:lang w:eastAsia="tr-TR"/>
        </w:rPr>
        <w:t>,</w:t>
      </w:r>
      <w:r w:rsidR="008758B4" w:rsidRPr="009218D1">
        <w:rPr>
          <w:rFonts w:ascii="Times New Roman" w:eastAsia="Times New Roman" w:hAnsi="Times New Roman" w:cs="Times New Roman"/>
          <w:color w:val="222222"/>
          <w:sz w:val="24"/>
          <w:szCs w:val="24"/>
          <w:lang w:eastAsia="tr-TR"/>
        </w:rPr>
        <w:t xml:space="preserve"> </w:t>
      </w:r>
      <w:r w:rsidR="008758B4" w:rsidRPr="009218D1">
        <w:rPr>
          <w:rFonts w:ascii="Times New Roman" w:eastAsia="Times New Roman" w:hAnsi="Times New Roman" w:cs="Times New Roman"/>
          <w:b/>
          <w:color w:val="222222"/>
          <w:sz w:val="24"/>
          <w:szCs w:val="24"/>
          <w:lang w:eastAsia="tr-TR"/>
        </w:rPr>
        <w:t xml:space="preserve">Determinants </w:t>
      </w:r>
      <w:r w:rsidR="00C93FA5" w:rsidRPr="009218D1">
        <w:rPr>
          <w:rFonts w:ascii="Times New Roman" w:eastAsia="Times New Roman" w:hAnsi="Times New Roman" w:cs="Times New Roman"/>
          <w:b/>
          <w:color w:val="222222"/>
          <w:sz w:val="24"/>
          <w:szCs w:val="24"/>
          <w:lang w:eastAsia="tr-TR"/>
        </w:rPr>
        <w:t>of Corporate Borrowing</w:t>
      </w:r>
      <w:r w:rsidR="008F46AE" w:rsidRPr="009218D1">
        <w:rPr>
          <w:rFonts w:ascii="Times New Roman" w:eastAsia="Times New Roman" w:hAnsi="Times New Roman" w:cs="Times New Roman"/>
          <w:color w:val="222222"/>
          <w:sz w:val="24"/>
          <w:szCs w:val="24"/>
          <w:lang w:eastAsia="tr-TR"/>
        </w:rPr>
        <w:t>,</w:t>
      </w:r>
      <w:r w:rsidR="008758B4" w:rsidRPr="009218D1">
        <w:rPr>
          <w:rFonts w:ascii="Times New Roman" w:eastAsia="Times New Roman" w:hAnsi="Times New Roman" w:cs="Times New Roman"/>
          <w:color w:val="222222"/>
          <w:sz w:val="24"/>
          <w:szCs w:val="24"/>
          <w:lang w:eastAsia="tr-TR"/>
        </w:rPr>
        <w:t xml:space="preserve"> </w:t>
      </w:r>
      <w:r w:rsidR="008758B4" w:rsidRPr="009218D1">
        <w:rPr>
          <w:rFonts w:ascii="Times New Roman" w:eastAsia="Times New Roman" w:hAnsi="Times New Roman" w:cs="Times New Roman"/>
          <w:iCs/>
          <w:color w:val="222222"/>
          <w:sz w:val="24"/>
          <w:szCs w:val="24"/>
          <w:lang w:eastAsia="tr-TR"/>
        </w:rPr>
        <w:t xml:space="preserve">Journal of </w:t>
      </w:r>
      <w:r w:rsidR="008F46AE" w:rsidRPr="009218D1">
        <w:rPr>
          <w:rFonts w:ascii="Times New Roman" w:eastAsia="Times New Roman" w:hAnsi="Times New Roman" w:cs="Times New Roman"/>
          <w:iCs/>
          <w:color w:val="222222"/>
          <w:sz w:val="24"/>
          <w:szCs w:val="24"/>
          <w:lang w:eastAsia="tr-TR"/>
        </w:rPr>
        <w:t>Financial Economics</w:t>
      </w:r>
      <w:r w:rsidR="008F46AE" w:rsidRPr="009218D1">
        <w:rPr>
          <w:rFonts w:ascii="Times New Roman" w:eastAsia="Times New Roman" w:hAnsi="Times New Roman" w:cs="Times New Roman"/>
          <w:color w:val="222222"/>
          <w:sz w:val="24"/>
          <w:szCs w:val="24"/>
          <w:lang w:eastAsia="tr-TR"/>
        </w:rPr>
        <w:t>,</w:t>
      </w:r>
      <w:r w:rsidR="008758B4" w:rsidRPr="009218D1">
        <w:rPr>
          <w:rFonts w:ascii="Times New Roman" w:eastAsia="Times New Roman" w:hAnsi="Times New Roman" w:cs="Times New Roman"/>
          <w:color w:val="222222"/>
          <w:sz w:val="24"/>
          <w:szCs w:val="24"/>
          <w:lang w:eastAsia="tr-TR"/>
        </w:rPr>
        <w:t xml:space="preserve"> </w:t>
      </w:r>
      <w:r w:rsidR="008758B4" w:rsidRPr="009218D1">
        <w:rPr>
          <w:rFonts w:ascii="Times New Roman" w:eastAsia="Times New Roman" w:hAnsi="Times New Roman" w:cs="Times New Roman"/>
          <w:iCs/>
          <w:color w:val="222222"/>
          <w:sz w:val="24"/>
          <w:szCs w:val="24"/>
          <w:lang w:eastAsia="tr-TR"/>
        </w:rPr>
        <w:t>5</w:t>
      </w:r>
      <w:r w:rsidR="008F46AE" w:rsidRPr="009218D1">
        <w:rPr>
          <w:rFonts w:ascii="Times New Roman" w:eastAsia="Times New Roman" w:hAnsi="Times New Roman" w:cs="Times New Roman"/>
          <w:iCs/>
          <w:color w:val="222222"/>
          <w:sz w:val="24"/>
          <w:szCs w:val="24"/>
          <w:lang w:eastAsia="tr-TR"/>
        </w:rPr>
        <w:t xml:space="preserve"> </w:t>
      </w:r>
      <w:r w:rsidR="008758B4" w:rsidRPr="009218D1">
        <w:rPr>
          <w:rFonts w:ascii="Times New Roman" w:eastAsia="Times New Roman" w:hAnsi="Times New Roman" w:cs="Times New Roman"/>
          <w:color w:val="222222"/>
          <w:sz w:val="24"/>
          <w:szCs w:val="24"/>
          <w:lang w:eastAsia="tr-TR"/>
        </w:rPr>
        <w:t>(2)</w:t>
      </w:r>
      <w:r w:rsidR="008F46AE" w:rsidRPr="009218D1">
        <w:rPr>
          <w:rFonts w:ascii="Times New Roman" w:eastAsia="Times New Roman" w:hAnsi="Times New Roman" w:cs="Times New Roman"/>
          <w:color w:val="222222"/>
          <w:sz w:val="24"/>
          <w:szCs w:val="24"/>
          <w:lang w:eastAsia="tr-TR"/>
        </w:rPr>
        <w:t>,</w:t>
      </w:r>
      <w:r w:rsidR="008758B4" w:rsidRPr="009218D1">
        <w:rPr>
          <w:rFonts w:ascii="Times New Roman" w:eastAsia="Times New Roman" w:hAnsi="Times New Roman" w:cs="Times New Roman"/>
          <w:color w:val="222222"/>
          <w:sz w:val="24"/>
          <w:szCs w:val="24"/>
          <w:lang w:eastAsia="tr-TR"/>
        </w:rPr>
        <w:t xml:space="preserve"> 147-175</w:t>
      </w:r>
      <w:r w:rsidR="00BE3467" w:rsidRPr="009218D1">
        <w:rPr>
          <w:rFonts w:ascii="Times New Roman" w:eastAsia="Times New Roman" w:hAnsi="Times New Roman" w:cs="Times New Roman"/>
          <w:color w:val="222222"/>
          <w:sz w:val="24"/>
          <w:szCs w:val="24"/>
          <w:lang w:eastAsia="tr-TR"/>
        </w:rPr>
        <w:t>.</w:t>
      </w:r>
    </w:p>
    <w:p w:rsidR="00C93FA5" w:rsidRPr="009218D1" w:rsidRDefault="00C93FA5" w:rsidP="00BA4983">
      <w:pPr>
        <w:spacing w:after="0" w:line="240" w:lineRule="auto"/>
        <w:jc w:val="both"/>
        <w:rPr>
          <w:rFonts w:ascii="Times New Roman" w:eastAsia="Times New Roman" w:hAnsi="Times New Roman" w:cs="Times New Roman"/>
          <w:color w:val="222222"/>
          <w:sz w:val="24"/>
          <w:szCs w:val="24"/>
          <w:lang w:eastAsia="tr-TR"/>
        </w:rPr>
      </w:pPr>
    </w:p>
    <w:p w:rsidR="00432991"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MYERS,</w:t>
      </w:r>
      <w:r w:rsidR="00432991" w:rsidRPr="009218D1">
        <w:rPr>
          <w:rFonts w:ascii="Times New Roman" w:eastAsia="Times New Roman" w:hAnsi="Times New Roman" w:cs="Times New Roman"/>
          <w:color w:val="222222"/>
          <w:sz w:val="24"/>
          <w:szCs w:val="24"/>
          <w:lang w:eastAsia="tr-TR"/>
        </w:rPr>
        <w:t xml:space="preserve"> S</w:t>
      </w:r>
      <w:r w:rsidR="00BE3467" w:rsidRPr="009218D1">
        <w:rPr>
          <w:rFonts w:ascii="Times New Roman" w:eastAsia="Times New Roman" w:hAnsi="Times New Roman" w:cs="Times New Roman"/>
          <w:color w:val="222222"/>
          <w:sz w:val="24"/>
          <w:szCs w:val="24"/>
          <w:lang w:eastAsia="tr-TR"/>
        </w:rPr>
        <w:t>.</w:t>
      </w:r>
      <w:r w:rsidR="0065327C" w:rsidRPr="009218D1">
        <w:rPr>
          <w:rFonts w:ascii="Times New Roman" w:eastAsia="Times New Roman" w:hAnsi="Times New Roman" w:cs="Times New Roman"/>
          <w:color w:val="222222"/>
          <w:sz w:val="24"/>
          <w:szCs w:val="24"/>
          <w:lang w:eastAsia="tr-TR"/>
        </w:rPr>
        <w:t>,</w:t>
      </w:r>
      <w:r w:rsidR="00432991" w:rsidRPr="009218D1">
        <w:rPr>
          <w:rFonts w:ascii="Times New Roman" w:eastAsia="Times New Roman" w:hAnsi="Times New Roman" w:cs="Times New Roman"/>
          <w:color w:val="222222"/>
          <w:sz w:val="24"/>
          <w:szCs w:val="24"/>
          <w:lang w:eastAsia="tr-TR"/>
        </w:rPr>
        <w:t xml:space="preserve"> (1984)</w:t>
      </w:r>
      <w:r w:rsidR="0065327C" w:rsidRPr="009218D1">
        <w:rPr>
          <w:rFonts w:ascii="Times New Roman" w:eastAsia="Times New Roman" w:hAnsi="Times New Roman" w:cs="Times New Roman"/>
          <w:color w:val="222222"/>
          <w:sz w:val="24"/>
          <w:szCs w:val="24"/>
          <w:lang w:eastAsia="tr-TR"/>
        </w:rPr>
        <w:t>,</w:t>
      </w:r>
      <w:r w:rsidR="00432991" w:rsidRPr="009218D1">
        <w:rPr>
          <w:rFonts w:ascii="Times New Roman" w:eastAsia="Times New Roman" w:hAnsi="Times New Roman" w:cs="Times New Roman"/>
          <w:color w:val="222222"/>
          <w:sz w:val="24"/>
          <w:szCs w:val="24"/>
          <w:lang w:eastAsia="tr-TR"/>
        </w:rPr>
        <w:t xml:space="preserve"> </w:t>
      </w:r>
      <w:r w:rsidR="00432991" w:rsidRPr="009218D1">
        <w:rPr>
          <w:rFonts w:ascii="Times New Roman" w:eastAsia="Times New Roman" w:hAnsi="Times New Roman" w:cs="Times New Roman"/>
          <w:b/>
          <w:color w:val="222222"/>
          <w:sz w:val="24"/>
          <w:szCs w:val="24"/>
          <w:lang w:eastAsia="tr-TR"/>
        </w:rPr>
        <w:t>Capital Structure Puzzle</w:t>
      </w:r>
      <w:r w:rsidR="0065327C"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Journal of Finance</w:t>
      </w:r>
      <w:r w:rsidR="008F46AE"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39 (</w:t>
      </w:r>
      <w:r w:rsidR="00432991" w:rsidRPr="009218D1">
        <w:rPr>
          <w:rFonts w:ascii="Times New Roman" w:eastAsia="Times New Roman" w:hAnsi="Times New Roman" w:cs="Times New Roman"/>
          <w:color w:val="222222"/>
          <w:sz w:val="24"/>
          <w:szCs w:val="24"/>
          <w:lang w:eastAsia="tr-TR"/>
        </w:rPr>
        <w:t>3</w:t>
      </w:r>
      <w:r w:rsidR="00C93FA5" w:rsidRPr="009218D1">
        <w:rPr>
          <w:rFonts w:ascii="Times New Roman" w:eastAsia="Times New Roman" w:hAnsi="Times New Roman" w:cs="Times New Roman"/>
          <w:color w:val="222222"/>
          <w:sz w:val="24"/>
          <w:szCs w:val="24"/>
          <w:lang w:eastAsia="tr-TR"/>
        </w:rPr>
        <w:t>)</w:t>
      </w:r>
      <w:r w:rsidR="008F46AE"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w:t>
      </w:r>
      <w:r w:rsidR="00432991" w:rsidRPr="009218D1">
        <w:rPr>
          <w:rFonts w:ascii="Times New Roman" w:eastAsia="Times New Roman" w:hAnsi="Times New Roman" w:cs="Times New Roman"/>
          <w:color w:val="222222"/>
          <w:sz w:val="24"/>
          <w:szCs w:val="24"/>
          <w:lang w:eastAsia="tr-TR"/>
        </w:rPr>
        <w:t>575- 592</w:t>
      </w:r>
      <w:r w:rsidR="00BE3467" w:rsidRPr="009218D1">
        <w:rPr>
          <w:rFonts w:ascii="Times New Roman" w:eastAsia="Times New Roman" w:hAnsi="Times New Roman" w:cs="Times New Roman"/>
          <w:color w:val="222222"/>
          <w:sz w:val="24"/>
          <w:szCs w:val="24"/>
          <w:lang w:eastAsia="tr-TR"/>
        </w:rPr>
        <w:t>.</w:t>
      </w:r>
    </w:p>
    <w:p w:rsidR="00432991" w:rsidRPr="009218D1" w:rsidRDefault="00432991" w:rsidP="00BA4983">
      <w:pPr>
        <w:spacing w:after="0" w:line="240" w:lineRule="auto"/>
        <w:jc w:val="both"/>
        <w:rPr>
          <w:rFonts w:ascii="Times New Roman" w:eastAsia="Times New Roman" w:hAnsi="Times New Roman" w:cs="Times New Roman"/>
          <w:color w:val="222222"/>
          <w:sz w:val="24"/>
          <w:szCs w:val="24"/>
          <w:lang w:eastAsia="tr-TR"/>
        </w:rPr>
      </w:pPr>
    </w:p>
    <w:p w:rsidR="00A63A68"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MYERS,</w:t>
      </w:r>
      <w:r w:rsidR="00A63A68" w:rsidRPr="009218D1">
        <w:rPr>
          <w:rFonts w:ascii="Times New Roman" w:eastAsia="Times New Roman" w:hAnsi="Times New Roman" w:cs="Times New Roman"/>
          <w:color w:val="222222"/>
          <w:sz w:val="24"/>
          <w:szCs w:val="24"/>
          <w:lang w:eastAsia="tr-TR"/>
        </w:rPr>
        <w:t xml:space="preserve"> S</w:t>
      </w:r>
      <w:r w:rsidR="00BE3467" w:rsidRPr="009218D1">
        <w:rPr>
          <w:rFonts w:ascii="Times New Roman" w:eastAsia="Times New Roman" w:hAnsi="Times New Roman" w:cs="Times New Roman"/>
          <w:color w:val="222222"/>
          <w:sz w:val="24"/>
          <w:szCs w:val="24"/>
          <w:lang w:eastAsia="tr-TR"/>
        </w:rPr>
        <w:t>.</w:t>
      </w:r>
      <w:r w:rsidR="00A63A68" w:rsidRPr="009218D1">
        <w:rPr>
          <w:rFonts w:ascii="Times New Roman" w:eastAsia="Times New Roman" w:hAnsi="Times New Roman" w:cs="Times New Roman"/>
          <w:color w:val="222222"/>
          <w:sz w:val="24"/>
          <w:szCs w:val="24"/>
          <w:lang w:eastAsia="tr-TR"/>
        </w:rPr>
        <w:t xml:space="preserve"> C</w:t>
      </w:r>
      <w:r w:rsidR="00BE3467" w:rsidRPr="009218D1">
        <w:rPr>
          <w:rFonts w:ascii="Times New Roman" w:eastAsia="Times New Roman" w:hAnsi="Times New Roman" w:cs="Times New Roman"/>
          <w:color w:val="222222"/>
          <w:sz w:val="24"/>
          <w:szCs w:val="24"/>
          <w:lang w:eastAsia="tr-TR"/>
        </w:rPr>
        <w:t>.</w:t>
      </w:r>
      <w:r w:rsidR="0065327C" w:rsidRPr="009218D1">
        <w:rPr>
          <w:rFonts w:ascii="Times New Roman" w:eastAsia="Times New Roman" w:hAnsi="Times New Roman" w:cs="Times New Roman"/>
          <w:color w:val="222222"/>
          <w:sz w:val="24"/>
          <w:szCs w:val="24"/>
          <w:lang w:eastAsia="tr-TR"/>
        </w:rPr>
        <w:t>,</w:t>
      </w:r>
      <w:r w:rsidR="00A63A68"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MAJLUF,</w:t>
      </w:r>
      <w:r w:rsidR="00A63A68" w:rsidRPr="009218D1">
        <w:rPr>
          <w:rFonts w:ascii="Times New Roman" w:eastAsia="Times New Roman" w:hAnsi="Times New Roman" w:cs="Times New Roman"/>
          <w:color w:val="222222"/>
          <w:sz w:val="24"/>
          <w:szCs w:val="24"/>
          <w:lang w:eastAsia="tr-TR"/>
        </w:rPr>
        <w:t xml:space="preserve"> N</w:t>
      </w:r>
      <w:r w:rsidR="00BE3467" w:rsidRPr="009218D1">
        <w:rPr>
          <w:rFonts w:ascii="Times New Roman" w:eastAsia="Times New Roman" w:hAnsi="Times New Roman" w:cs="Times New Roman"/>
          <w:color w:val="222222"/>
          <w:sz w:val="24"/>
          <w:szCs w:val="24"/>
          <w:lang w:eastAsia="tr-TR"/>
        </w:rPr>
        <w:t>.</w:t>
      </w:r>
      <w:r w:rsidR="00A63A68" w:rsidRPr="009218D1">
        <w:rPr>
          <w:rFonts w:ascii="Times New Roman" w:eastAsia="Times New Roman" w:hAnsi="Times New Roman" w:cs="Times New Roman"/>
          <w:color w:val="222222"/>
          <w:sz w:val="24"/>
          <w:szCs w:val="24"/>
          <w:lang w:eastAsia="tr-TR"/>
        </w:rPr>
        <w:t xml:space="preserve"> S</w:t>
      </w:r>
      <w:r w:rsidR="00BE3467" w:rsidRPr="009218D1">
        <w:rPr>
          <w:rFonts w:ascii="Times New Roman" w:eastAsia="Times New Roman" w:hAnsi="Times New Roman" w:cs="Times New Roman"/>
          <w:color w:val="222222"/>
          <w:sz w:val="24"/>
          <w:szCs w:val="24"/>
          <w:lang w:eastAsia="tr-TR"/>
        </w:rPr>
        <w:t>.</w:t>
      </w:r>
      <w:r w:rsidR="0065327C"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(1984)</w:t>
      </w:r>
      <w:r w:rsidR="0065327C"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w:t>
      </w:r>
      <w:r w:rsidR="00A63A68" w:rsidRPr="009218D1">
        <w:rPr>
          <w:rFonts w:ascii="Times New Roman" w:eastAsia="Times New Roman" w:hAnsi="Times New Roman" w:cs="Times New Roman"/>
          <w:color w:val="222222"/>
          <w:sz w:val="24"/>
          <w:szCs w:val="24"/>
          <w:lang w:eastAsia="tr-TR"/>
        </w:rPr>
        <w:t xml:space="preserve"> </w:t>
      </w:r>
      <w:r w:rsidR="00A63A68" w:rsidRPr="009218D1">
        <w:rPr>
          <w:rFonts w:ascii="Times New Roman" w:eastAsia="Times New Roman" w:hAnsi="Times New Roman" w:cs="Times New Roman"/>
          <w:b/>
          <w:color w:val="222222"/>
          <w:sz w:val="24"/>
          <w:szCs w:val="24"/>
          <w:lang w:eastAsia="tr-TR"/>
        </w:rPr>
        <w:t xml:space="preserve">Corporate </w:t>
      </w:r>
      <w:r w:rsidR="001E4703" w:rsidRPr="009218D1">
        <w:rPr>
          <w:rFonts w:ascii="Times New Roman" w:eastAsia="Times New Roman" w:hAnsi="Times New Roman" w:cs="Times New Roman"/>
          <w:b/>
          <w:color w:val="222222"/>
          <w:sz w:val="24"/>
          <w:szCs w:val="24"/>
          <w:lang w:eastAsia="tr-TR"/>
        </w:rPr>
        <w:t xml:space="preserve">Financing </w:t>
      </w:r>
      <w:r w:rsidR="006E55A5" w:rsidRPr="009218D1">
        <w:rPr>
          <w:rFonts w:ascii="Times New Roman" w:eastAsia="Times New Roman" w:hAnsi="Times New Roman" w:cs="Times New Roman"/>
          <w:b/>
          <w:color w:val="222222"/>
          <w:sz w:val="24"/>
          <w:szCs w:val="24"/>
          <w:lang w:eastAsia="tr-TR"/>
        </w:rPr>
        <w:t>a</w:t>
      </w:r>
      <w:r w:rsidR="001E4703" w:rsidRPr="009218D1">
        <w:rPr>
          <w:rFonts w:ascii="Times New Roman" w:eastAsia="Times New Roman" w:hAnsi="Times New Roman" w:cs="Times New Roman"/>
          <w:b/>
          <w:color w:val="222222"/>
          <w:sz w:val="24"/>
          <w:szCs w:val="24"/>
          <w:lang w:eastAsia="tr-TR"/>
        </w:rPr>
        <w:t>nd I</w:t>
      </w:r>
      <w:r w:rsidR="00C93FA5" w:rsidRPr="009218D1">
        <w:rPr>
          <w:rFonts w:ascii="Times New Roman" w:eastAsia="Times New Roman" w:hAnsi="Times New Roman" w:cs="Times New Roman"/>
          <w:b/>
          <w:color w:val="222222"/>
          <w:sz w:val="24"/>
          <w:szCs w:val="24"/>
          <w:lang w:eastAsia="tr-TR"/>
        </w:rPr>
        <w:t>nvest</w:t>
      </w:r>
      <w:r w:rsidR="001E4703" w:rsidRPr="009218D1">
        <w:rPr>
          <w:rFonts w:ascii="Times New Roman" w:eastAsia="Times New Roman" w:hAnsi="Times New Roman" w:cs="Times New Roman"/>
          <w:b/>
          <w:color w:val="222222"/>
          <w:sz w:val="24"/>
          <w:szCs w:val="24"/>
          <w:lang w:eastAsia="tr-TR"/>
        </w:rPr>
        <w:t>ment Decisions When Firms Have Information That I</w:t>
      </w:r>
      <w:r w:rsidR="00C93FA5" w:rsidRPr="009218D1">
        <w:rPr>
          <w:rFonts w:ascii="Times New Roman" w:eastAsia="Times New Roman" w:hAnsi="Times New Roman" w:cs="Times New Roman"/>
          <w:b/>
          <w:color w:val="222222"/>
          <w:sz w:val="24"/>
          <w:szCs w:val="24"/>
          <w:lang w:eastAsia="tr-TR"/>
        </w:rPr>
        <w:t>nvestors Do Not Have</w:t>
      </w:r>
      <w:r w:rsidR="0065327C" w:rsidRPr="009218D1">
        <w:rPr>
          <w:rFonts w:ascii="Times New Roman" w:eastAsia="Times New Roman" w:hAnsi="Times New Roman" w:cs="Times New Roman"/>
          <w:color w:val="222222"/>
          <w:sz w:val="24"/>
          <w:szCs w:val="24"/>
          <w:lang w:eastAsia="tr-TR"/>
        </w:rPr>
        <w:t>,</w:t>
      </w:r>
      <w:r w:rsidR="00C93FA5" w:rsidRPr="009218D1">
        <w:rPr>
          <w:rFonts w:ascii="Times New Roman" w:eastAsia="Times New Roman" w:hAnsi="Times New Roman" w:cs="Times New Roman"/>
          <w:color w:val="222222"/>
          <w:sz w:val="24"/>
          <w:szCs w:val="24"/>
          <w:lang w:eastAsia="tr-TR"/>
        </w:rPr>
        <w:t xml:space="preserve"> </w:t>
      </w:r>
      <w:r w:rsidR="00A63A68" w:rsidRPr="009218D1">
        <w:rPr>
          <w:rFonts w:ascii="Times New Roman" w:eastAsia="Times New Roman" w:hAnsi="Times New Roman" w:cs="Times New Roman"/>
          <w:iCs/>
          <w:color w:val="222222"/>
          <w:sz w:val="24"/>
          <w:szCs w:val="24"/>
          <w:lang w:eastAsia="tr-TR"/>
        </w:rPr>
        <w:t xml:space="preserve">Journal </w:t>
      </w:r>
      <w:r w:rsidR="00C93FA5" w:rsidRPr="009218D1">
        <w:rPr>
          <w:rFonts w:ascii="Times New Roman" w:eastAsia="Times New Roman" w:hAnsi="Times New Roman" w:cs="Times New Roman"/>
          <w:iCs/>
          <w:color w:val="222222"/>
          <w:sz w:val="24"/>
          <w:szCs w:val="24"/>
          <w:lang w:eastAsia="tr-TR"/>
        </w:rPr>
        <w:t>of Financial Economics</w:t>
      </w:r>
      <w:r w:rsidR="0065327C" w:rsidRPr="009218D1">
        <w:rPr>
          <w:rFonts w:ascii="Times New Roman" w:eastAsia="Times New Roman" w:hAnsi="Times New Roman" w:cs="Times New Roman"/>
          <w:color w:val="222222"/>
          <w:sz w:val="24"/>
          <w:szCs w:val="24"/>
          <w:lang w:eastAsia="tr-TR"/>
        </w:rPr>
        <w:t>,</w:t>
      </w:r>
      <w:r w:rsidR="00A63A68" w:rsidRPr="009218D1">
        <w:rPr>
          <w:rFonts w:ascii="Times New Roman" w:eastAsia="Times New Roman" w:hAnsi="Times New Roman" w:cs="Times New Roman"/>
          <w:color w:val="222222"/>
          <w:sz w:val="24"/>
          <w:szCs w:val="24"/>
          <w:lang w:eastAsia="tr-TR"/>
        </w:rPr>
        <w:t xml:space="preserve"> </w:t>
      </w:r>
      <w:r w:rsidR="00A63A68" w:rsidRPr="009218D1">
        <w:rPr>
          <w:rFonts w:ascii="Times New Roman" w:eastAsia="Times New Roman" w:hAnsi="Times New Roman" w:cs="Times New Roman"/>
          <w:iCs/>
          <w:color w:val="222222"/>
          <w:sz w:val="24"/>
          <w:szCs w:val="24"/>
          <w:lang w:eastAsia="tr-TR"/>
        </w:rPr>
        <w:t>13</w:t>
      </w:r>
      <w:r w:rsidR="0065327C" w:rsidRPr="009218D1">
        <w:rPr>
          <w:rFonts w:ascii="Times New Roman" w:eastAsia="Times New Roman" w:hAnsi="Times New Roman" w:cs="Times New Roman"/>
          <w:iCs/>
          <w:color w:val="222222"/>
          <w:sz w:val="24"/>
          <w:szCs w:val="24"/>
          <w:lang w:eastAsia="tr-TR"/>
        </w:rPr>
        <w:t xml:space="preserve"> </w:t>
      </w:r>
      <w:r w:rsidR="00A63A68" w:rsidRPr="009218D1">
        <w:rPr>
          <w:rFonts w:ascii="Times New Roman" w:eastAsia="Times New Roman" w:hAnsi="Times New Roman" w:cs="Times New Roman"/>
          <w:color w:val="222222"/>
          <w:sz w:val="24"/>
          <w:szCs w:val="24"/>
          <w:lang w:eastAsia="tr-TR"/>
        </w:rPr>
        <w:t>(2)</w:t>
      </w:r>
      <w:r w:rsidR="0065327C" w:rsidRPr="009218D1">
        <w:rPr>
          <w:rFonts w:ascii="Times New Roman" w:eastAsia="Times New Roman" w:hAnsi="Times New Roman" w:cs="Times New Roman"/>
          <w:color w:val="222222"/>
          <w:sz w:val="24"/>
          <w:szCs w:val="24"/>
          <w:lang w:eastAsia="tr-TR"/>
        </w:rPr>
        <w:t>,</w:t>
      </w:r>
      <w:r w:rsidR="00A63A68" w:rsidRPr="009218D1">
        <w:rPr>
          <w:rFonts w:ascii="Times New Roman" w:eastAsia="Times New Roman" w:hAnsi="Times New Roman" w:cs="Times New Roman"/>
          <w:color w:val="222222"/>
          <w:sz w:val="24"/>
          <w:szCs w:val="24"/>
          <w:lang w:eastAsia="tr-TR"/>
        </w:rPr>
        <w:t xml:space="preserve"> 187-221</w:t>
      </w:r>
      <w:r w:rsidR="00BE3467" w:rsidRPr="009218D1">
        <w:rPr>
          <w:rFonts w:ascii="Times New Roman" w:eastAsia="Times New Roman" w:hAnsi="Times New Roman" w:cs="Times New Roman"/>
          <w:color w:val="222222"/>
          <w:sz w:val="24"/>
          <w:szCs w:val="24"/>
          <w:lang w:eastAsia="tr-TR"/>
        </w:rPr>
        <w:t>.</w:t>
      </w:r>
    </w:p>
    <w:p w:rsidR="00A63A68" w:rsidRPr="009218D1" w:rsidRDefault="00A63A68" w:rsidP="00BA4983">
      <w:pPr>
        <w:spacing w:after="0" w:line="240" w:lineRule="auto"/>
        <w:jc w:val="both"/>
        <w:rPr>
          <w:rFonts w:ascii="Times New Roman" w:eastAsia="Times New Roman" w:hAnsi="Times New Roman" w:cs="Times New Roman"/>
          <w:color w:val="222222"/>
          <w:sz w:val="24"/>
          <w:szCs w:val="24"/>
          <w:lang w:eastAsia="tr-TR"/>
        </w:rPr>
      </w:pPr>
    </w:p>
    <w:p w:rsidR="00304F8B"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NGUYEN</w:t>
      </w:r>
      <w:r w:rsidR="00304F8B" w:rsidRPr="009218D1">
        <w:rPr>
          <w:rFonts w:ascii="Times New Roman" w:eastAsia="Times New Roman" w:hAnsi="Times New Roman" w:cs="Times New Roman"/>
          <w:color w:val="222222"/>
          <w:sz w:val="24"/>
          <w:szCs w:val="24"/>
          <w:lang w:eastAsia="tr-TR"/>
        </w:rPr>
        <w:t xml:space="preserve"> D</w:t>
      </w:r>
      <w:r w:rsidR="00BE3467" w:rsidRPr="009218D1">
        <w:rPr>
          <w:rFonts w:ascii="Times New Roman" w:eastAsia="Times New Roman" w:hAnsi="Times New Roman" w:cs="Times New Roman"/>
          <w:color w:val="222222"/>
          <w:sz w:val="24"/>
          <w:szCs w:val="24"/>
          <w:lang w:eastAsia="tr-TR"/>
        </w:rPr>
        <w:t>.</w:t>
      </w:r>
      <w:r w:rsidR="0065327C" w:rsidRPr="009218D1">
        <w:rPr>
          <w:rFonts w:ascii="Times New Roman" w:eastAsia="Times New Roman" w:hAnsi="Times New Roman" w:cs="Times New Roman"/>
          <w:color w:val="222222"/>
          <w:sz w:val="24"/>
          <w:szCs w:val="24"/>
          <w:lang w:eastAsia="tr-TR"/>
        </w:rPr>
        <w:t>,</w:t>
      </w:r>
      <w:r w:rsidR="00304F8B"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 xml:space="preserve">DIAZ-RAINEY </w:t>
      </w:r>
      <w:r w:rsidR="00304F8B" w:rsidRPr="009218D1">
        <w:rPr>
          <w:rFonts w:ascii="Times New Roman" w:eastAsia="Times New Roman" w:hAnsi="Times New Roman" w:cs="Times New Roman"/>
          <w:color w:val="222222"/>
          <w:sz w:val="24"/>
          <w:szCs w:val="24"/>
          <w:lang w:eastAsia="tr-TR"/>
        </w:rPr>
        <w:t>I</w:t>
      </w:r>
      <w:r w:rsidR="00BE3467" w:rsidRPr="009218D1">
        <w:rPr>
          <w:rFonts w:ascii="Times New Roman" w:eastAsia="Times New Roman" w:hAnsi="Times New Roman" w:cs="Times New Roman"/>
          <w:color w:val="222222"/>
          <w:sz w:val="24"/>
          <w:szCs w:val="24"/>
          <w:lang w:eastAsia="tr-TR"/>
        </w:rPr>
        <w:t>.</w:t>
      </w:r>
      <w:r w:rsidR="0065327C" w:rsidRPr="009218D1">
        <w:rPr>
          <w:rFonts w:ascii="Times New Roman" w:eastAsia="Times New Roman" w:hAnsi="Times New Roman" w:cs="Times New Roman"/>
          <w:color w:val="222222"/>
          <w:sz w:val="24"/>
          <w:szCs w:val="24"/>
          <w:lang w:eastAsia="tr-TR"/>
        </w:rPr>
        <w:t>,</w:t>
      </w:r>
      <w:r w:rsidR="00304F8B"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GREGORIOU</w:t>
      </w:r>
      <w:r w:rsidR="00304F8B" w:rsidRPr="009218D1">
        <w:rPr>
          <w:rFonts w:ascii="Times New Roman" w:eastAsia="Times New Roman" w:hAnsi="Times New Roman" w:cs="Times New Roman"/>
          <w:color w:val="222222"/>
          <w:sz w:val="24"/>
          <w:szCs w:val="24"/>
          <w:lang w:eastAsia="tr-TR"/>
        </w:rPr>
        <w:t xml:space="preserve"> A</w:t>
      </w:r>
      <w:r w:rsidR="00BE3467" w:rsidRPr="009218D1">
        <w:rPr>
          <w:rFonts w:ascii="Times New Roman" w:eastAsia="Times New Roman" w:hAnsi="Times New Roman" w:cs="Times New Roman"/>
          <w:color w:val="222222"/>
          <w:sz w:val="24"/>
          <w:szCs w:val="24"/>
          <w:lang w:eastAsia="tr-TR"/>
        </w:rPr>
        <w:t>.</w:t>
      </w:r>
      <w:r w:rsidR="0065327C" w:rsidRPr="009218D1">
        <w:rPr>
          <w:rFonts w:ascii="Times New Roman" w:eastAsia="Times New Roman" w:hAnsi="Times New Roman" w:cs="Times New Roman"/>
          <w:color w:val="222222"/>
          <w:sz w:val="24"/>
          <w:szCs w:val="24"/>
          <w:lang w:eastAsia="tr-TR"/>
        </w:rPr>
        <w:t>,</w:t>
      </w:r>
      <w:r w:rsidR="00304F8B" w:rsidRPr="009218D1">
        <w:rPr>
          <w:rFonts w:ascii="Times New Roman" w:eastAsia="Times New Roman" w:hAnsi="Times New Roman" w:cs="Times New Roman"/>
          <w:color w:val="222222"/>
          <w:sz w:val="24"/>
          <w:szCs w:val="24"/>
          <w:lang w:eastAsia="tr-TR"/>
        </w:rPr>
        <w:t xml:space="preserve"> (2014)</w:t>
      </w:r>
      <w:r w:rsidR="0065327C" w:rsidRPr="009218D1">
        <w:rPr>
          <w:rFonts w:ascii="Times New Roman" w:eastAsia="Times New Roman" w:hAnsi="Times New Roman" w:cs="Times New Roman"/>
          <w:color w:val="222222"/>
          <w:sz w:val="24"/>
          <w:szCs w:val="24"/>
          <w:lang w:eastAsia="tr-TR"/>
        </w:rPr>
        <w:t>,</w:t>
      </w:r>
      <w:r w:rsidR="00304F8B" w:rsidRPr="009218D1">
        <w:rPr>
          <w:rFonts w:ascii="Times New Roman" w:eastAsia="Times New Roman" w:hAnsi="Times New Roman" w:cs="Times New Roman"/>
          <w:color w:val="222222"/>
          <w:sz w:val="24"/>
          <w:szCs w:val="24"/>
          <w:lang w:eastAsia="tr-TR"/>
        </w:rPr>
        <w:t xml:space="preserve"> </w:t>
      </w:r>
      <w:r w:rsidR="00304F8B" w:rsidRPr="009218D1">
        <w:rPr>
          <w:rFonts w:ascii="Times New Roman" w:eastAsia="Times New Roman" w:hAnsi="Times New Roman" w:cs="Times New Roman"/>
          <w:b/>
          <w:color w:val="222222"/>
          <w:sz w:val="24"/>
          <w:szCs w:val="24"/>
          <w:lang w:eastAsia="tr-TR"/>
        </w:rPr>
        <w:t>Determinants of the Capital Structure of Listed Vietnamese Companies</w:t>
      </w:r>
      <w:r w:rsidR="0065327C" w:rsidRPr="009218D1">
        <w:rPr>
          <w:rFonts w:ascii="Times New Roman" w:eastAsia="Times New Roman" w:hAnsi="Times New Roman" w:cs="Times New Roman"/>
          <w:color w:val="222222"/>
          <w:sz w:val="24"/>
          <w:szCs w:val="24"/>
          <w:lang w:eastAsia="tr-TR"/>
        </w:rPr>
        <w:t>,</w:t>
      </w:r>
      <w:r w:rsidR="00304F8B" w:rsidRPr="009218D1">
        <w:rPr>
          <w:rFonts w:ascii="Times New Roman" w:eastAsia="Times New Roman" w:hAnsi="Times New Roman" w:cs="Times New Roman"/>
          <w:color w:val="222222"/>
          <w:sz w:val="24"/>
          <w:szCs w:val="24"/>
          <w:lang w:eastAsia="tr-TR"/>
        </w:rPr>
        <w:t xml:space="preserve"> Journal of Southeast Asian Economies</w:t>
      </w:r>
      <w:r w:rsidR="0065327C" w:rsidRPr="009218D1">
        <w:rPr>
          <w:rFonts w:ascii="Times New Roman" w:eastAsia="Times New Roman" w:hAnsi="Times New Roman" w:cs="Times New Roman"/>
          <w:color w:val="222222"/>
          <w:sz w:val="24"/>
          <w:szCs w:val="24"/>
          <w:lang w:eastAsia="tr-TR"/>
        </w:rPr>
        <w:t>,</w:t>
      </w:r>
      <w:r w:rsidR="00304F8B" w:rsidRPr="009218D1">
        <w:rPr>
          <w:rFonts w:ascii="Times New Roman" w:eastAsia="Times New Roman" w:hAnsi="Times New Roman" w:cs="Times New Roman"/>
          <w:color w:val="222222"/>
          <w:sz w:val="24"/>
          <w:szCs w:val="24"/>
          <w:lang w:eastAsia="tr-TR"/>
        </w:rPr>
        <w:t xml:space="preserve"> 31 (3)</w:t>
      </w:r>
      <w:r w:rsidR="0065327C" w:rsidRPr="009218D1">
        <w:rPr>
          <w:rFonts w:ascii="Times New Roman" w:eastAsia="Times New Roman" w:hAnsi="Times New Roman" w:cs="Times New Roman"/>
          <w:color w:val="222222"/>
          <w:sz w:val="24"/>
          <w:szCs w:val="24"/>
          <w:lang w:eastAsia="tr-TR"/>
        </w:rPr>
        <w:t>,</w:t>
      </w:r>
      <w:r w:rsidR="00304F8B" w:rsidRPr="009218D1">
        <w:rPr>
          <w:rFonts w:ascii="Times New Roman" w:eastAsia="Times New Roman" w:hAnsi="Times New Roman" w:cs="Times New Roman"/>
          <w:color w:val="222222"/>
          <w:sz w:val="24"/>
          <w:szCs w:val="24"/>
          <w:lang w:eastAsia="tr-TR"/>
        </w:rPr>
        <w:t xml:space="preserve"> 412-31</w:t>
      </w:r>
      <w:r w:rsidR="00BE3467" w:rsidRPr="009218D1">
        <w:rPr>
          <w:rFonts w:ascii="Times New Roman" w:eastAsia="Times New Roman" w:hAnsi="Times New Roman" w:cs="Times New Roman"/>
          <w:color w:val="222222"/>
          <w:sz w:val="24"/>
          <w:szCs w:val="24"/>
          <w:lang w:eastAsia="tr-TR"/>
        </w:rPr>
        <w:t>.</w:t>
      </w:r>
    </w:p>
    <w:p w:rsidR="00304F8B" w:rsidRPr="009218D1" w:rsidRDefault="00304F8B" w:rsidP="00BA4983">
      <w:pPr>
        <w:spacing w:after="0" w:line="240" w:lineRule="auto"/>
        <w:jc w:val="both"/>
        <w:rPr>
          <w:rFonts w:ascii="Times New Roman" w:eastAsia="Times New Roman" w:hAnsi="Times New Roman" w:cs="Times New Roman"/>
          <w:color w:val="222222"/>
          <w:sz w:val="24"/>
          <w:szCs w:val="24"/>
          <w:lang w:eastAsia="tr-TR"/>
        </w:rPr>
      </w:pPr>
    </w:p>
    <w:p w:rsidR="00A02554" w:rsidRPr="009218D1" w:rsidRDefault="00772F0F"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OKUYAN,</w:t>
      </w:r>
      <w:r w:rsidR="00A02554" w:rsidRPr="009218D1">
        <w:rPr>
          <w:rFonts w:ascii="Times New Roman" w:eastAsia="Times New Roman" w:hAnsi="Times New Roman" w:cs="Times New Roman"/>
          <w:color w:val="222222"/>
          <w:sz w:val="24"/>
          <w:szCs w:val="24"/>
          <w:lang w:eastAsia="tr-TR"/>
        </w:rPr>
        <w:t xml:space="preserve"> A</w:t>
      </w:r>
      <w:r w:rsidR="00BE3467" w:rsidRPr="009218D1">
        <w:rPr>
          <w:rFonts w:ascii="Times New Roman" w:eastAsia="Times New Roman" w:hAnsi="Times New Roman" w:cs="Times New Roman"/>
          <w:color w:val="222222"/>
          <w:sz w:val="24"/>
          <w:szCs w:val="24"/>
          <w:lang w:eastAsia="tr-TR"/>
        </w:rPr>
        <w:t>..</w:t>
      </w:r>
      <w:r w:rsidR="00A02554" w:rsidRPr="009218D1">
        <w:rPr>
          <w:rFonts w:ascii="Times New Roman" w:eastAsia="Times New Roman" w:hAnsi="Times New Roman" w:cs="Times New Roman"/>
          <w:color w:val="222222"/>
          <w:sz w:val="24"/>
          <w:szCs w:val="24"/>
          <w:lang w:eastAsia="tr-TR"/>
        </w:rPr>
        <w:t xml:space="preserve"> H</w:t>
      </w:r>
      <w:r w:rsidR="00BE3467" w:rsidRPr="009218D1">
        <w:rPr>
          <w:rFonts w:ascii="Times New Roman" w:eastAsia="Times New Roman" w:hAnsi="Times New Roman" w:cs="Times New Roman"/>
          <w:color w:val="222222"/>
          <w:sz w:val="24"/>
          <w:szCs w:val="24"/>
          <w:lang w:eastAsia="tr-TR"/>
        </w:rPr>
        <w:t>..</w:t>
      </w:r>
      <w:r w:rsidR="00A02554"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 xml:space="preserve">TAŞÇI, </w:t>
      </w:r>
      <w:r w:rsidR="00A02554" w:rsidRPr="009218D1">
        <w:rPr>
          <w:rFonts w:ascii="Times New Roman" w:eastAsia="Times New Roman" w:hAnsi="Times New Roman" w:cs="Times New Roman"/>
          <w:color w:val="222222"/>
          <w:sz w:val="24"/>
          <w:szCs w:val="24"/>
          <w:lang w:eastAsia="tr-TR"/>
        </w:rPr>
        <w:t>H</w:t>
      </w:r>
      <w:r w:rsidR="00BE3467" w:rsidRPr="009218D1">
        <w:rPr>
          <w:rFonts w:ascii="Times New Roman" w:eastAsia="Times New Roman" w:hAnsi="Times New Roman" w:cs="Times New Roman"/>
          <w:color w:val="222222"/>
          <w:sz w:val="24"/>
          <w:szCs w:val="24"/>
          <w:lang w:eastAsia="tr-TR"/>
        </w:rPr>
        <w:t>.</w:t>
      </w:r>
      <w:r w:rsidR="00A02554"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B00E83" w:rsidRPr="009218D1">
        <w:rPr>
          <w:rFonts w:ascii="Times New Roman" w:eastAsia="Times New Roman" w:hAnsi="Times New Roman" w:cs="Times New Roman"/>
          <w:color w:val="222222"/>
          <w:sz w:val="24"/>
          <w:szCs w:val="24"/>
          <w:lang w:eastAsia="tr-TR"/>
        </w:rPr>
        <w:t>,</w:t>
      </w:r>
      <w:r w:rsidR="00A02554" w:rsidRPr="009218D1">
        <w:rPr>
          <w:rFonts w:ascii="Times New Roman" w:eastAsia="Times New Roman" w:hAnsi="Times New Roman" w:cs="Times New Roman"/>
          <w:color w:val="222222"/>
          <w:sz w:val="24"/>
          <w:szCs w:val="24"/>
          <w:lang w:eastAsia="tr-TR"/>
        </w:rPr>
        <w:t xml:space="preserve"> (2009)</w:t>
      </w:r>
      <w:r w:rsidR="00B00E83" w:rsidRPr="009218D1">
        <w:rPr>
          <w:rFonts w:ascii="Times New Roman" w:eastAsia="Times New Roman" w:hAnsi="Times New Roman" w:cs="Times New Roman"/>
          <w:color w:val="222222"/>
          <w:sz w:val="24"/>
          <w:szCs w:val="24"/>
          <w:lang w:eastAsia="tr-TR"/>
        </w:rPr>
        <w:t>,</w:t>
      </w:r>
      <w:r w:rsidR="00A02554" w:rsidRPr="009218D1">
        <w:rPr>
          <w:rFonts w:ascii="Times New Roman" w:eastAsia="Times New Roman" w:hAnsi="Times New Roman" w:cs="Times New Roman"/>
          <w:color w:val="222222"/>
          <w:sz w:val="24"/>
          <w:szCs w:val="24"/>
          <w:lang w:eastAsia="tr-TR"/>
        </w:rPr>
        <w:t xml:space="preserve"> </w:t>
      </w:r>
      <w:r w:rsidR="00C40F1F" w:rsidRPr="009218D1">
        <w:rPr>
          <w:rFonts w:ascii="Times New Roman" w:eastAsia="Times New Roman" w:hAnsi="Times New Roman" w:cs="Times New Roman"/>
          <w:b/>
          <w:color w:val="222222"/>
          <w:sz w:val="24"/>
          <w:szCs w:val="24"/>
          <w:lang w:eastAsia="tr-TR"/>
        </w:rPr>
        <w:t>İ</w:t>
      </w:r>
      <w:r w:rsidR="00A02554" w:rsidRPr="009218D1">
        <w:rPr>
          <w:rFonts w:ascii="Times New Roman" w:eastAsia="Times New Roman" w:hAnsi="Times New Roman" w:cs="Times New Roman"/>
          <w:b/>
          <w:color w:val="222222"/>
          <w:sz w:val="24"/>
          <w:szCs w:val="24"/>
          <w:lang w:eastAsia="tr-TR"/>
        </w:rPr>
        <w:t xml:space="preserve">MKB’de </w:t>
      </w:r>
      <w:r w:rsidR="00C40F1F" w:rsidRPr="009218D1">
        <w:rPr>
          <w:rFonts w:ascii="Times New Roman" w:eastAsia="Times New Roman" w:hAnsi="Times New Roman" w:cs="Times New Roman"/>
          <w:b/>
          <w:color w:val="222222"/>
          <w:sz w:val="24"/>
          <w:szCs w:val="24"/>
          <w:lang w:eastAsia="tr-TR"/>
        </w:rPr>
        <w:t>İş</w:t>
      </w:r>
      <w:r w:rsidR="00A02554" w:rsidRPr="009218D1">
        <w:rPr>
          <w:rFonts w:ascii="Times New Roman" w:eastAsia="Times New Roman" w:hAnsi="Times New Roman" w:cs="Times New Roman"/>
          <w:b/>
          <w:color w:val="222222"/>
          <w:sz w:val="24"/>
          <w:szCs w:val="24"/>
          <w:lang w:eastAsia="tr-TR"/>
        </w:rPr>
        <w:t xml:space="preserve">lem Gören Üretim </w:t>
      </w:r>
      <w:r w:rsidR="00C40F1F" w:rsidRPr="009218D1">
        <w:rPr>
          <w:rFonts w:ascii="Times New Roman" w:eastAsia="Times New Roman" w:hAnsi="Times New Roman" w:cs="Times New Roman"/>
          <w:b/>
          <w:color w:val="222222"/>
          <w:sz w:val="24"/>
          <w:szCs w:val="24"/>
          <w:lang w:eastAsia="tr-TR"/>
        </w:rPr>
        <w:t>İş</w:t>
      </w:r>
      <w:r w:rsidR="00A02554" w:rsidRPr="009218D1">
        <w:rPr>
          <w:rFonts w:ascii="Times New Roman" w:eastAsia="Times New Roman" w:hAnsi="Times New Roman" w:cs="Times New Roman"/>
          <w:b/>
          <w:color w:val="222222"/>
          <w:sz w:val="24"/>
          <w:szCs w:val="24"/>
          <w:lang w:eastAsia="tr-TR"/>
        </w:rPr>
        <w:t>letmelerinde Sermaye Yapısının Belirleyicileri</w:t>
      </w:r>
      <w:r w:rsidRPr="009218D1">
        <w:rPr>
          <w:rFonts w:ascii="Times New Roman" w:eastAsia="Times New Roman" w:hAnsi="Times New Roman" w:cs="Times New Roman"/>
          <w:color w:val="222222"/>
          <w:sz w:val="24"/>
          <w:szCs w:val="24"/>
          <w:lang w:eastAsia="tr-TR"/>
        </w:rPr>
        <w:t>,</w:t>
      </w:r>
      <w:r w:rsidR="00A02554" w:rsidRPr="009218D1">
        <w:rPr>
          <w:rFonts w:ascii="Times New Roman" w:eastAsia="Times New Roman" w:hAnsi="Times New Roman" w:cs="Times New Roman"/>
          <w:color w:val="222222"/>
          <w:sz w:val="24"/>
          <w:szCs w:val="24"/>
          <w:lang w:eastAsia="tr-TR"/>
        </w:rPr>
        <w:t xml:space="preserve"> Anadolu International Conference in Economics</w:t>
      </w:r>
      <w:r w:rsidR="00B00E83" w:rsidRPr="009218D1">
        <w:rPr>
          <w:rFonts w:ascii="Times New Roman" w:eastAsia="Times New Roman" w:hAnsi="Times New Roman" w:cs="Times New Roman"/>
          <w:color w:val="222222"/>
          <w:sz w:val="24"/>
          <w:szCs w:val="24"/>
          <w:lang w:eastAsia="tr-TR"/>
        </w:rPr>
        <w:t>,</w:t>
      </w:r>
      <w:r w:rsidR="00A02554" w:rsidRPr="009218D1">
        <w:rPr>
          <w:rFonts w:ascii="Times New Roman" w:eastAsia="Times New Roman" w:hAnsi="Times New Roman" w:cs="Times New Roman"/>
          <w:color w:val="222222"/>
          <w:sz w:val="24"/>
          <w:szCs w:val="24"/>
          <w:lang w:eastAsia="tr-TR"/>
        </w:rPr>
        <w:t xml:space="preserve"> June 17-19</w:t>
      </w:r>
      <w:r w:rsidR="00BE3467" w:rsidRPr="009218D1">
        <w:rPr>
          <w:rFonts w:ascii="Times New Roman" w:eastAsia="Times New Roman" w:hAnsi="Times New Roman" w:cs="Times New Roman"/>
          <w:color w:val="222222"/>
          <w:sz w:val="24"/>
          <w:szCs w:val="24"/>
          <w:lang w:eastAsia="tr-TR"/>
        </w:rPr>
        <w:t>.</w:t>
      </w:r>
    </w:p>
    <w:p w:rsidR="007F4449" w:rsidRPr="009218D1" w:rsidRDefault="007F4449" w:rsidP="007F4449">
      <w:pPr>
        <w:pStyle w:val="ListeParagraf"/>
        <w:rPr>
          <w:rFonts w:ascii="Times New Roman" w:eastAsia="Times New Roman" w:hAnsi="Times New Roman" w:cs="Times New Roman"/>
          <w:color w:val="222222"/>
          <w:sz w:val="24"/>
          <w:szCs w:val="24"/>
          <w:lang w:eastAsia="tr-TR"/>
        </w:rPr>
      </w:pPr>
    </w:p>
    <w:p w:rsidR="00E629E6" w:rsidRPr="009218D1" w:rsidRDefault="00B76DEB"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ÖZTÜRK,</w:t>
      </w:r>
      <w:r w:rsidR="009124E1" w:rsidRPr="009218D1">
        <w:rPr>
          <w:rFonts w:ascii="Times New Roman" w:hAnsi="Times New Roman" w:cs="Times New Roman"/>
          <w:sz w:val="24"/>
          <w:szCs w:val="24"/>
        </w:rPr>
        <w:t xml:space="preserve"> M</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 xml:space="preserve">, </w:t>
      </w:r>
      <w:r w:rsidR="009124E1" w:rsidRPr="009218D1">
        <w:rPr>
          <w:rFonts w:ascii="Times New Roman" w:hAnsi="Times New Roman" w:cs="Times New Roman"/>
          <w:sz w:val="24"/>
          <w:szCs w:val="24"/>
        </w:rPr>
        <w:t>B</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w:t>
      </w:r>
      <w:r w:rsidRPr="009218D1">
        <w:rPr>
          <w:rFonts w:ascii="Times New Roman" w:hAnsi="Times New Roman" w:cs="Times New Roman"/>
          <w:sz w:val="24"/>
          <w:szCs w:val="24"/>
        </w:rPr>
        <w:t>ŞAHİN</w:t>
      </w:r>
      <w:r w:rsidR="0065327C" w:rsidRPr="009218D1">
        <w:rPr>
          <w:rFonts w:ascii="Times New Roman" w:hAnsi="Times New Roman" w:cs="Times New Roman"/>
          <w:sz w:val="24"/>
          <w:szCs w:val="24"/>
        </w:rPr>
        <w:t>,</w:t>
      </w:r>
      <w:r w:rsidR="00E629E6" w:rsidRPr="009218D1">
        <w:rPr>
          <w:rFonts w:ascii="Times New Roman" w:hAnsi="Times New Roman" w:cs="Times New Roman"/>
          <w:sz w:val="24"/>
          <w:szCs w:val="24"/>
        </w:rPr>
        <w:t xml:space="preserve"> E</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 xml:space="preserve"> </w:t>
      </w:r>
      <w:r w:rsidR="00E629E6" w:rsidRPr="009218D1">
        <w:rPr>
          <w:rFonts w:ascii="Times New Roman" w:hAnsi="Times New Roman" w:cs="Times New Roman"/>
          <w:sz w:val="24"/>
          <w:szCs w:val="24"/>
        </w:rPr>
        <w:t>E</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w:t>
      </w:r>
      <w:r w:rsidR="00E629E6" w:rsidRPr="009218D1">
        <w:rPr>
          <w:rFonts w:ascii="Times New Roman" w:hAnsi="Times New Roman" w:cs="Times New Roman"/>
          <w:sz w:val="24"/>
          <w:szCs w:val="24"/>
        </w:rPr>
        <w:t xml:space="preserve"> (2013)</w:t>
      </w:r>
      <w:r w:rsidR="0065327C" w:rsidRPr="009218D1">
        <w:rPr>
          <w:rFonts w:ascii="Times New Roman" w:hAnsi="Times New Roman" w:cs="Times New Roman"/>
          <w:sz w:val="24"/>
          <w:szCs w:val="24"/>
        </w:rPr>
        <w:t>,</w:t>
      </w:r>
      <w:r w:rsidR="00E629E6" w:rsidRPr="009218D1">
        <w:rPr>
          <w:rFonts w:ascii="Times New Roman" w:hAnsi="Times New Roman" w:cs="Times New Roman"/>
          <w:sz w:val="24"/>
          <w:szCs w:val="24"/>
        </w:rPr>
        <w:t xml:space="preserve"> </w:t>
      </w:r>
      <w:r w:rsidR="009124E1" w:rsidRPr="009218D1">
        <w:rPr>
          <w:rFonts w:ascii="Times New Roman" w:hAnsi="Times New Roman" w:cs="Times New Roman"/>
          <w:b/>
          <w:sz w:val="24"/>
          <w:szCs w:val="24"/>
        </w:rPr>
        <w:t>İ</w:t>
      </w:r>
      <w:r w:rsidR="00E629E6" w:rsidRPr="009218D1">
        <w:rPr>
          <w:rFonts w:ascii="Times New Roman" w:hAnsi="Times New Roman" w:cs="Times New Roman"/>
          <w:b/>
          <w:sz w:val="24"/>
          <w:szCs w:val="24"/>
        </w:rPr>
        <w:t xml:space="preserve">MKB’de </w:t>
      </w:r>
      <w:r w:rsidR="009124E1" w:rsidRPr="009218D1">
        <w:rPr>
          <w:rFonts w:ascii="Times New Roman" w:hAnsi="Times New Roman" w:cs="Times New Roman"/>
          <w:b/>
          <w:sz w:val="24"/>
          <w:szCs w:val="24"/>
        </w:rPr>
        <w:t>İş</w:t>
      </w:r>
      <w:r w:rsidR="00E629E6" w:rsidRPr="009218D1">
        <w:rPr>
          <w:rFonts w:ascii="Times New Roman" w:hAnsi="Times New Roman" w:cs="Times New Roman"/>
          <w:b/>
          <w:sz w:val="24"/>
          <w:szCs w:val="24"/>
        </w:rPr>
        <w:t>lem Gören Spor Firmalarının Sermaye Yapısının Belirleyicileri Üzerine Bir Analiz</w:t>
      </w:r>
      <w:r w:rsidR="0065327C" w:rsidRPr="009218D1">
        <w:rPr>
          <w:rFonts w:ascii="Times New Roman" w:hAnsi="Times New Roman" w:cs="Times New Roman"/>
          <w:sz w:val="24"/>
          <w:szCs w:val="24"/>
        </w:rPr>
        <w:t>,</w:t>
      </w:r>
      <w:r w:rsidR="00C40F1F" w:rsidRPr="009218D1">
        <w:rPr>
          <w:rFonts w:ascii="Times New Roman" w:hAnsi="Times New Roman" w:cs="Times New Roman"/>
          <w:sz w:val="24"/>
          <w:szCs w:val="24"/>
        </w:rPr>
        <w:t xml:space="preserve"> Verimlilik Dergisi </w:t>
      </w:r>
      <w:r w:rsidR="00C073CD" w:rsidRPr="009218D1">
        <w:rPr>
          <w:rFonts w:ascii="Times New Roman" w:hAnsi="Times New Roman" w:cs="Times New Roman"/>
          <w:sz w:val="24"/>
          <w:szCs w:val="24"/>
        </w:rPr>
        <w:t>2013-1</w:t>
      </w:r>
      <w:r w:rsidR="0065327C" w:rsidRPr="009218D1">
        <w:rPr>
          <w:rFonts w:ascii="Times New Roman" w:hAnsi="Times New Roman" w:cs="Times New Roman"/>
          <w:sz w:val="24"/>
          <w:szCs w:val="24"/>
        </w:rPr>
        <w:t>,</w:t>
      </w:r>
      <w:r w:rsidR="00C40F1F" w:rsidRPr="009218D1">
        <w:rPr>
          <w:rFonts w:ascii="Times New Roman" w:hAnsi="Times New Roman" w:cs="Times New Roman"/>
          <w:sz w:val="24"/>
          <w:szCs w:val="24"/>
        </w:rPr>
        <w:t xml:space="preserve"> </w:t>
      </w:r>
      <w:r w:rsidR="00C073CD" w:rsidRPr="009218D1">
        <w:rPr>
          <w:rFonts w:ascii="Times New Roman" w:hAnsi="Times New Roman" w:cs="Times New Roman"/>
          <w:sz w:val="24"/>
          <w:szCs w:val="24"/>
        </w:rPr>
        <w:t xml:space="preserve">s: </w:t>
      </w:r>
      <w:r w:rsidR="00E629E6" w:rsidRPr="009218D1">
        <w:rPr>
          <w:rFonts w:ascii="Times New Roman" w:hAnsi="Times New Roman" w:cs="Times New Roman"/>
          <w:sz w:val="24"/>
          <w:szCs w:val="24"/>
        </w:rPr>
        <w:t>7-24</w:t>
      </w:r>
      <w:r w:rsidR="00BE3467" w:rsidRPr="009218D1">
        <w:rPr>
          <w:rFonts w:ascii="Times New Roman" w:hAnsi="Times New Roman" w:cs="Times New Roman"/>
          <w:sz w:val="24"/>
          <w:szCs w:val="24"/>
        </w:rPr>
        <w:t>.</w:t>
      </w:r>
    </w:p>
    <w:p w:rsidR="007F4449" w:rsidRPr="009218D1" w:rsidRDefault="007F4449" w:rsidP="007F4449">
      <w:pPr>
        <w:pStyle w:val="ListeParagraf"/>
        <w:rPr>
          <w:rFonts w:ascii="Times New Roman" w:hAnsi="Times New Roman" w:cs="Times New Roman"/>
          <w:sz w:val="24"/>
          <w:szCs w:val="24"/>
        </w:rPr>
      </w:pPr>
    </w:p>
    <w:p w:rsidR="00590D2E" w:rsidRPr="009218D1" w:rsidRDefault="00C073CD"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ÖZATAY</w:t>
      </w:r>
      <w:r w:rsidR="00590D2E" w:rsidRPr="009218D1">
        <w:rPr>
          <w:rFonts w:ascii="Times New Roman" w:hAnsi="Times New Roman" w:cs="Times New Roman"/>
          <w:sz w:val="24"/>
          <w:szCs w:val="24"/>
        </w:rPr>
        <w:t xml:space="preserve">, F., </w:t>
      </w:r>
      <w:r w:rsidRPr="009218D1">
        <w:rPr>
          <w:rFonts w:ascii="Times New Roman" w:hAnsi="Times New Roman" w:cs="Times New Roman"/>
          <w:sz w:val="24"/>
          <w:szCs w:val="24"/>
        </w:rPr>
        <w:t>ÖZTÜRK</w:t>
      </w:r>
      <w:r w:rsidR="00590D2E" w:rsidRPr="009218D1">
        <w:rPr>
          <w:rFonts w:ascii="Times New Roman" w:hAnsi="Times New Roman" w:cs="Times New Roman"/>
          <w:sz w:val="24"/>
          <w:szCs w:val="24"/>
        </w:rPr>
        <w:t xml:space="preserve">, E., </w:t>
      </w:r>
      <w:r w:rsidRPr="009218D1">
        <w:rPr>
          <w:rFonts w:ascii="Times New Roman" w:hAnsi="Times New Roman" w:cs="Times New Roman"/>
          <w:sz w:val="24"/>
          <w:szCs w:val="24"/>
        </w:rPr>
        <w:t>SAK</w:t>
      </w:r>
      <w:r w:rsidR="00590D2E" w:rsidRPr="009218D1">
        <w:rPr>
          <w:rFonts w:ascii="Times New Roman" w:hAnsi="Times New Roman" w:cs="Times New Roman"/>
          <w:sz w:val="24"/>
          <w:szCs w:val="24"/>
        </w:rPr>
        <w:t xml:space="preserve">, G., (2006), </w:t>
      </w:r>
      <w:r w:rsidR="00590CDC" w:rsidRPr="009218D1">
        <w:rPr>
          <w:rFonts w:ascii="Times New Roman" w:hAnsi="Times New Roman" w:cs="Times New Roman"/>
          <w:b/>
          <w:sz w:val="24"/>
          <w:szCs w:val="24"/>
        </w:rPr>
        <w:t>Ş</w:t>
      </w:r>
      <w:r w:rsidR="00590D2E" w:rsidRPr="009218D1">
        <w:rPr>
          <w:rFonts w:ascii="Times New Roman" w:hAnsi="Times New Roman" w:cs="Times New Roman"/>
          <w:b/>
          <w:sz w:val="24"/>
          <w:szCs w:val="24"/>
        </w:rPr>
        <w:t>irketler Kesiminin Finansman Sorunları ve Alternatif Finansman Kaynakları</w:t>
      </w:r>
      <w:r w:rsidR="00590D2E" w:rsidRPr="009218D1">
        <w:rPr>
          <w:rFonts w:ascii="Times New Roman" w:hAnsi="Times New Roman" w:cs="Times New Roman"/>
          <w:sz w:val="24"/>
          <w:szCs w:val="24"/>
        </w:rPr>
        <w:t>,</w:t>
      </w:r>
      <w:r w:rsidR="00590CDC" w:rsidRPr="009218D1">
        <w:rPr>
          <w:rFonts w:ascii="Times New Roman" w:hAnsi="Times New Roman" w:cs="Times New Roman"/>
          <w:sz w:val="24"/>
          <w:szCs w:val="24"/>
        </w:rPr>
        <w:t xml:space="preserve"> TÜSİAD, 96, </w:t>
      </w:r>
      <w:r w:rsidR="00590D2E" w:rsidRPr="009218D1">
        <w:rPr>
          <w:rFonts w:ascii="Times New Roman" w:hAnsi="Times New Roman" w:cs="Times New Roman"/>
          <w:sz w:val="24"/>
          <w:szCs w:val="24"/>
        </w:rPr>
        <w:t>1-192.</w:t>
      </w:r>
    </w:p>
    <w:p w:rsidR="007F4449" w:rsidRPr="009218D1" w:rsidRDefault="007F4449" w:rsidP="007F4449">
      <w:pPr>
        <w:pStyle w:val="ListeParagraf"/>
        <w:rPr>
          <w:rFonts w:ascii="Times New Roman" w:hAnsi="Times New Roman" w:cs="Times New Roman"/>
          <w:sz w:val="24"/>
          <w:szCs w:val="24"/>
        </w:rPr>
      </w:pPr>
    </w:p>
    <w:p w:rsidR="00D57B74" w:rsidRPr="009218D1" w:rsidRDefault="00C073CD"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PETTIT,</w:t>
      </w:r>
      <w:r w:rsidR="00D57B74" w:rsidRPr="009218D1">
        <w:rPr>
          <w:rFonts w:ascii="Times New Roman" w:hAnsi="Times New Roman" w:cs="Times New Roman"/>
          <w:sz w:val="24"/>
          <w:szCs w:val="24"/>
        </w:rPr>
        <w:t xml:space="preserve"> R</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w:t>
      </w:r>
      <w:r w:rsidRPr="009218D1">
        <w:rPr>
          <w:rFonts w:ascii="Times New Roman" w:hAnsi="Times New Roman" w:cs="Times New Roman"/>
          <w:sz w:val="24"/>
          <w:szCs w:val="24"/>
        </w:rPr>
        <w:t>SINGER,</w:t>
      </w:r>
      <w:r w:rsidR="00D57B74" w:rsidRPr="009218D1">
        <w:rPr>
          <w:rFonts w:ascii="Times New Roman" w:hAnsi="Times New Roman" w:cs="Times New Roman"/>
          <w:sz w:val="24"/>
          <w:szCs w:val="24"/>
        </w:rPr>
        <w:t xml:space="preserve"> R</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D57B74" w:rsidRPr="009218D1">
        <w:rPr>
          <w:rFonts w:ascii="Times New Roman" w:hAnsi="Times New Roman" w:cs="Times New Roman"/>
          <w:sz w:val="24"/>
          <w:szCs w:val="24"/>
        </w:rPr>
        <w:t>F</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(1985)</w:t>
      </w:r>
      <w:r w:rsidR="0065327C"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w:t>
      </w:r>
      <w:r w:rsidR="00D57B74" w:rsidRPr="009218D1">
        <w:rPr>
          <w:rFonts w:ascii="Times New Roman" w:hAnsi="Times New Roman" w:cs="Times New Roman"/>
          <w:b/>
          <w:sz w:val="24"/>
          <w:szCs w:val="24"/>
        </w:rPr>
        <w:t>Small Business Finance: A Research Agenda</w:t>
      </w:r>
      <w:r w:rsidR="0065327C" w:rsidRPr="009218D1">
        <w:rPr>
          <w:rFonts w:ascii="Times New Roman" w:hAnsi="Times New Roman" w:cs="Times New Roman"/>
          <w:b/>
          <w:sz w:val="24"/>
          <w:szCs w:val="24"/>
        </w:rPr>
        <w:t>,</w:t>
      </w:r>
      <w:r w:rsidR="00C40F1F" w:rsidRPr="009218D1">
        <w:rPr>
          <w:rFonts w:ascii="Times New Roman" w:hAnsi="Times New Roman" w:cs="Times New Roman"/>
          <w:sz w:val="24"/>
          <w:szCs w:val="24"/>
        </w:rPr>
        <w:t xml:space="preserve"> Financial Management</w:t>
      </w:r>
      <w:r w:rsidR="0065327C" w:rsidRPr="009218D1">
        <w:rPr>
          <w:rFonts w:ascii="Times New Roman" w:hAnsi="Times New Roman" w:cs="Times New Roman"/>
          <w:sz w:val="24"/>
          <w:szCs w:val="24"/>
        </w:rPr>
        <w:t>,</w:t>
      </w:r>
      <w:r w:rsidR="00C40F1F" w:rsidRPr="009218D1">
        <w:rPr>
          <w:rFonts w:ascii="Times New Roman" w:hAnsi="Times New Roman" w:cs="Times New Roman"/>
          <w:sz w:val="24"/>
          <w:szCs w:val="24"/>
        </w:rPr>
        <w:t xml:space="preserve"> 14</w:t>
      </w:r>
      <w:r w:rsidR="0065327C" w:rsidRPr="009218D1">
        <w:rPr>
          <w:rFonts w:ascii="Times New Roman" w:hAnsi="Times New Roman" w:cs="Times New Roman"/>
          <w:sz w:val="24"/>
          <w:szCs w:val="24"/>
        </w:rPr>
        <w:t xml:space="preserve"> </w:t>
      </w:r>
      <w:r w:rsidR="00C40F1F" w:rsidRPr="009218D1">
        <w:rPr>
          <w:rFonts w:ascii="Times New Roman" w:hAnsi="Times New Roman" w:cs="Times New Roman"/>
          <w:sz w:val="24"/>
          <w:szCs w:val="24"/>
        </w:rPr>
        <w:t>(</w:t>
      </w:r>
      <w:r w:rsidR="00D57B74" w:rsidRPr="009218D1">
        <w:rPr>
          <w:rFonts w:ascii="Times New Roman" w:hAnsi="Times New Roman" w:cs="Times New Roman"/>
          <w:sz w:val="24"/>
          <w:szCs w:val="24"/>
        </w:rPr>
        <w:t>3</w:t>
      </w:r>
      <w:r w:rsidR="00C40F1F" w:rsidRPr="009218D1">
        <w:rPr>
          <w:rFonts w:ascii="Times New Roman" w:hAnsi="Times New Roman" w:cs="Times New Roman"/>
          <w:sz w:val="24"/>
          <w:szCs w:val="24"/>
        </w:rPr>
        <w:t>)</w:t>
      </w:r>
      <w:r w:rsidR="0065327C" w:rsidRPr="009218D1">
        <w:rPr>
          <w:rFonts w:ascii="Times New Roman" w:hAnsi="Times New Roman" w:cs="Times New Roman"/>
          <w:sz w:val="24"/>
          <w:szCs w:val="24"/>
        </w:rPr>
        <w:t>,</w:t>
      </w:r>
      <w:r w:rsidR="00C40F1F" w:rsidRPr="009218D1">
        <w:rPr>
          <w:rFonts w:ascii="Times New Roman" w:hAnsi="Times New Roman" w:cs="Times New Roman"/>
          <w:sz w:val="24"/>
          <w:szCs w:val="24"/>
        </w:rPr>
        <w:t xml:space="preserve"> </w:t>
      </w:r>
      <w:r w:rsidR="00D57B74" w:rsidRPr="009218D1">
        <w:rPr>
          <w:rFonts w:ascii="Times New Roman" w:hAnsi="Times New Roman" w:cs="Times New Roman"/>
          <w:sz w:val="24"/>
          <w:szCs w:val="24"/>
        </w:rPr>
        <w:t>47-60</w:t>
      </w:r>
      <w:r w:rsidR="00BE3467" w:rsidRPr="009218D1">
        <w:rPr>
          <w:rFonts w:ascii="Times New Roman" w:hAnsi="Times New Roman" w:cs="Times New Roman"/>
          <w:sz w:val="24"/>
          <w:szCs w:val="24"/>
        </w:rPr>
        <w:t>.</w:t>
      </w:r>
    </w:p>
    <w:p w:rsidR="007F4449" w:rsidRPr="009218D1" w:rsidRDefault="007F4449" w:rsidP="007F4449">
      <w:pPr>
        <w:pStyle w:val="ListeParagraf"/>
        <w:rPr>
          <w:rFonts w:ascii="Times New Roman" w:hAnsi="Times New Roman" w:cs="Times New Roman"/>
          <w:sz w:val="24"/>
          <w:szCs w:val="24"/>
        </w:rPr>
      </w:pPr>
    </w:p>
    <w:p w:rsidR="001E4703" w:rsidRPr="009218D1" w:rsidRDefault="00C073CD"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SAYILGAN,</w:t>
      </w:r>
      <w:r w:rsidR="001E4703" w:rsidRPr="009218D1">
        <w:rPr>
          <w:rFonts w:ascii="Times New Roman" w:hAnsi="Times New Roman" w:cs="Times New Roman"/>
          <w:sz w:val="24"/>
          <w:szCs w:val="24"/>
        </w:rPr>
        <w:t xml:space="preserve"> G</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w:t>
      </w:r>
      <w:r w:rsidRPr="009218D1">
        <w:rPr>
          <w:rFonts w:ascii="Times New Roman" w:hAnsi="Times New Roman" w:cs="Times New Roman"/>
          <w:sz w:val="24"/>
          <w:szCs w:val="24"/>
        </w:rPr>
        <w:t>UYSAL</w:t>
      </w:r>
      <w:r w:rsidR="001E4703" w:rsidRPr="009218D1">
        <w:rPr>
          <w:rFonts w:ascii="Times New Roman" w:hAnsi="Times New Roman" w:cs="Times New Roman"/>
          <w:sz w:val="24"/>
          <w:szCs w:val="24"/>
        </w:rPr>
        <w:t xml:space="preserve"> B</w:t>
      </w:r>
      <w:r w:rsidR="00BE3467" w:rsidRPr="009218D1">
        <w:rPr>
          <w:rFonts w:ascii="Times New Roman" w:hAnsi="Times New Roman" w:cs="Times New Roman"/>
          <w:sz w:val="24"/>
          <w:szCs w:val="24"/>
        </w:rPr>
        <w:t>.</w:t>
      </w:r>
      <w:r w:rsidR="0065327C"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(2011)</w:t>
      </w:r>
      <w:r w:rsidR="0065327C"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w:t>
      </w:r>
      <w:r w:rsidR="001E4703" w:rsidRPr="009218D1">
        <w:rPr>
          <w:rFonts w:ascii="Times New Roman" w:hAnsi="Times New Roman" w:cs="Times New Roman"/>
          <w:b/>
          <w:sz w:val="24"/>
          <w:szCs w:val="24"/>
        </w:rPr>
        <w:t xml:space="preserve">Türkiye Cumhuriyet Merkez Bankası Sektörel Bilançoları Kullanılarak Sermaye Yapısını Belirleyen Faktörler Üzerine Bir Analiz: 1996 </w:t>
      </w:r>
      <w:r w:rsidR="0065327C" w:rsidRPr="009218D1">
        <w:rPr>
          <w:rFonts w:ascii="Times New Roman" w:hAnsi="Times New Roman" w:cs="Times New Roman"/>
          <w:b/>
          <w:sz w:val="24"/>
          <w:szCs w:val="24"/>
        </w:rPr>
        <w:t>–</w:t>
      </w:r>
      <w:r w:rsidR="001E4703" w:rsidRPr="009218D1">
        <w:rPr>
          <w:rFonts w:ascii="Times New Roman" w:hAnsi="Times New Roman" w:cs="Times New Roman"/>
          <w:b/>
          <w:sz w:val="24"/>
          <w:szCs w:val="24"/>
        </w:rPr>
        <w:t xml:space="preserve"> 2008</w:t>
      </w:r>
      <w:r w:rsidR="0065327C"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Ankara Üniversitesi SBF Dergisi</w:t>
      </w:r>
      <w:r w:rsidR="0065327C"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66</w:t>
      </w:r>
      <w:r w:rsidR="0065327C" w:rsidRPr="009218D1">
        <w:rPr>
          <w:rFonts w:ascii="Times New Roman" w:hAnsi="Times New Roman" w:cs="Times New Roman"/>
          <w:sz w:val="24"/>
          <w:szCs w:val="24"/>
        </w:rPr>
        <w:t xml:space="preserve"> </w:t>
      </w:r>
      <w:r w:rsidR="001E4703" w:rsidRPr="009218D1">
        <w:rPr>
          <w:rFonts w:ascii="Times New Roman" w:hAnsi="Times New Roman" w:cs="Times New Roman"/>
          <w:sz w:val="24"/>
          <w:szCs w:val="24"/>
        </w:rPr>
        <w:t>(4)</w:t>
      </w:r>
      <w:r w:rsidR="0065327C" w:rsidRPr="009218D1">
        <w:rPr>
          <w:rFonts w:ascii="Times New Roman" w:hAnsi="Times New Roman" w:cs="Times New Roman"/>
          <w:sz w:val="24"/>
          <w:szCs w:val="24"/>
        </w:rPr>
        <w:t>,</w:t>
      </w:r>
      <w:r w:rsidR="001E4703" w:rsidRPr="009218D1">
        <w:rPr>
          <w:rFonts w:ascii="Times New Roman" w:hAnsi="Times New Roman" w:cs="Times New Roman"/>
          <w:sz w:val="24"/>
          <w:szCs w:val="24"/>
        </w:rPr>
        <w:t xml:space="preserve"> 101 – 124</w:t>
      </w:r>
      <w:r w:rsidR="00BE3467" w:rsidRPr="009218D1">
        <w:rPr>
          <w:rFonts w:ascii="Times New Roman" w:hAnsi="Times New Roman" w:cs="Times New Roman"/>
          <w:sz w:val="24"/>
          <w:szCs w:val="24"/>
        </w:rPr>
        <w:t>.</w:t>
      </w:r>
    </w:p>
    <w:p w:rsidR="007F4449" w:rsidRPr="009218D1" w:rsidRDefault="007F4449" w:rsidP="007F4449">
      <w:pPr>
        <w:pStyle w:val="ListeParagraf"/>
        <w:rPr>
          <w:rFonts w:ascii="Times New Roman" w:hAnsi="Times New Roman" w:cs="Times New Roman"/>
          <w:sz w:val="24"/>
          <w:szCs w:val="24"/>
        </w:rPr>
      </w:pPr>
    </w:p>
    <w:p w:rsidR="006049BE" w:rsidRPr="009218D1" w:rsidRDefault="00C073CD"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SAYILGAN,</w:t>
      </w:r>
      <w:r w:rsidR="006049BE" w:rsidRPr="009218D1">
        <w:rPr>
          <w:rFonts w:ascii="Times New Roman" w:hAnsi="Times New Roman" w:cs="Times New Roman"/>
          <w:sz w:val="24"/>
          <w:szCs w:val="24"/>
        </w:rPr>
        <w:t xml:space="preserve"> G</w:t>
      </w:r>
      <w:r w:rsidR="00BE3467"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6049BE" w:rsidRPr="009218D1">
        <w:rPr>
          <w:rFonts w:ascii="Times New Roman" w:hAnsi="Times New Roman" w:cs="Times New Roman"/>
          <w:sz w:val="24"/>
          <w:szCs w:val="24"/>
        </w:rPr>
        <w:t xml:space="preserve"> </w:t>
      </w:r>
      <w:r w:rsidRPr="009218D1">
        <w:rPr>
          <w:rFonts w:ascii="Times New Roman" w:hAnsi="Times New Roman" w:cs="Times New Roman"/>
          <w:sz w:val="24"/>
          <w:szCs w:val="24"/>
        </w:rPr>
        <w:t>KARABACAK,</w:t>
      </w:r>
      <w:r w:rsidR="006049BE" w:rsidRPr="009218D1">
        <w:rPr>
          <w:rFonts w:ascii="Times New Roman" w:hAnsi="Times New Roman" w:cs="Times New Roman"/>
          <w:sz w:val="24"/>
          <w:szCs w:val="24"/>
        </w:rPr>
        <w:t xml:space="preserve"> H</w:t>
      </w:r>
      <w:r w:rsidR="00BE3467"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6049BE" w:rsidRPr="009218D1">
        <w:rPr>
          <w:rFonts w:ascii="Times New Roman" w:hAnsi="Times New Roman" w:cs="Times New Roman"/>
          <w:sz w:val="24"/>
          <w:szCs w:val="24"/>
        </w:rPr>
        <w:t xml:space="preserve"> </w:t>
      </w:r>
      <w:r w:rsidRPr="009218D1">
        <w:rPr>
          <w:rFonts w:ascii="Times New Roman" w:hAnsi="Times New Roman" w:cs="Times New Roman"/>
          <w:sz w:val="24"/>
          <w:szCs w:val="24"/>
        </w:rPr>
        <w:t>KÜÇÜKKOCAOĞLU</w:t>
      </w:r>
      <w:r w:rsidR="006049BE" w:rsidRPr="009218D1">
        <w:rPr>
          <w:rFonts w:ascii="Times New Roman" w:hAnsi="Times New Roman" w:cs="Times New Roman"/>
          <w:sz w:val="24"/>
          <w:szCs w:val="24"/>
        </w:rPr>
        <w:t xml:space="preserve"> G</w:t>
      </w:r>
      <w:r w:rsidR="00BE3467"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6049BE" w:rsidRPr="009218D1">
        <w:rPr>
          <w:rFonts w:ascii="Times New Roman" w:hAnsi="Times New Roman" w:cs="Times New Roman"/>
          <w:sz w:val="24"/>
          <w:szCs w:val="24"/>
        </w:rPr>
        <w:t xml:space="preserve"> (2006)</w:t>
      </w:r>
      <w:r w:rsidR="00482959" w:rsidRPr="009218D1">
        <w:rPr>
          <w:rFonts w:ascii="Times New Roman" w:hAnsi="Times New Roman" w:cs="Times New Roman"/>
          <w:sz w:val="24"/>
          <w:szCs w:val="24"/>
        </w:rPr>
        <w:t>,</w:t>
      </w:r>
      <w:r w:rsidR="006049BE" w:rsidRPr="009218D1">
        <w:rPr>
          <w:rFonts w:ascii="Times New Roman" w:hAnsi="Times New Roman" w:cs="Times New Roman"/>
          <w:sz w:val="24"/>
          <w:szCs w:val="24"/>
        </w:rPr>
        <w:t xml:space="preserve"> </w:t>
      </w:r>
      <w:r w:rsidR="006049BE" w:rsidRPr="009218D1">
        <w:rPr>
          <w:rFonts w:ascii="Times New Roman" w:hAnsi="Times New Roman" w:cs="Times New Roman"/>
          <w:b/>
          <w:sz w:val="24"/>
          <w:szCs w:val="24"/>
        </w:rPr>
        <w:t>The Firm Specific Determinants of Corpora</w:t>
      </w:r>
      <w:r w:rsidRPr="009218D1">
        <w:rPr>
          <w:rFonts w:ascii="Times New Roman" w:hAnsi="Times New Roman" w:cs="Times New Roman"/>
          <w:b/>
          <w:sz w:val="24"/>
          <w:szCs w:val="24"/>
        </w:rPr>
        <w:t>te Capital Structure: Evidence f</w:t>
      </w:r>
      <w:r w:rsidR="006049BE" w:rsidRPr="009218D1">
        <w:rPr>
          <w:rFonts w:ascii="Times New Roman" w:hAnsi="Times New Roman" w:cs="Times New Roman"/>
          <w:b/>
          <w:sz w:val="24"/>
          <w:szCs w:val="24"/>
        </w:rPr>
        <w:t>rom Turkish Panel Data</w:t>
      </w:r>
      <w:r w:rsidR="00482959" w:rsidRPr="009218D1">
        <w:rPr>
          <w:rFonts w:ascii="Times New Roman" w:hAnsi="Times New Roman" w:cs="Times New Roman"/>
          <w:sz w:val="24"/>
          <w:szCs w:val="24"/>
        </w:rPr>
        <w:t>,</w:t>
      </w:r>
      <w:r w:rsidR="006049BE" w:rsidRPr="009218D1">
        <w:rPr>
          <w:rFonts w:ascii="Times New Roman" w:hAnsi="Times New Roman" w:cs="Times New Roman"/>
          <w:sz w:val="24"/>
          <w:szCs w:val="24"/>
        </w:rPr>
        <w:t xml:space="preserve"> Investment Managemen</w:t>
      </w:r>
      <w:r w:rsidR="00C40F1F" w:rsidRPr="009218D1">
        <w:rPr>
          <w:rFonts w:ascii="Times New Roman" w:hAnsi="Times New Roman" w:cs="Times New Roman"/>
          <w:sz w:val="24"/>
          <w:szCs w:val="24"/>
        </w:rPr>
        <w:t>t and Financial Innovations</w:t>
      </w:r>
      <w:r w:rsidR="00482959" w:rsidRPr="009218D1">
        <w:rPr>
          <w:rFonts w:ascii="Times New Roman" w:hAnsi="Times New Roman" w:cs="Times New Roman"/>
          <w:sz w:val="24"/>
          <w:szCs w:val="24"/>
        </w:rPr>
        <w:t>,</w:t>
      </w:r>
      <w:r w:rsidR="00C40F1F" w:rsidRPr="009218D1">
        <w:rPr>
          <w:rFonts w:ascii="Times New Roman" w:hAnsi="Times New Roman" w:cs="Times New Roman"/>
          <w:sz w:val="24"/>
          <w:szCs w:val="24"/>
        </w:rPr>
        <w:t xml:space="preserve"> 3</w:t>
      </w:r>
      <w:r w:rsidR="00482959" w:rsidRPr="009218D1">
        <w:rPr>
          <w:rFonts w:ascii="Times New Roman" w:hAnsi="Times New Roman" w:cs="Times New Roman"/>
          <w:sz w:val="24"/>
          <w:szCs w:val="24"/>
        </w:rPr>
        <w:t xml:space="preserve"> </w:t>
      </w:r>
      <w:r w:rsidR="00C40F1F" w:rsidRPr="009218D1">
        <w:rPr>
          <w:rFonts w:ascii="Times New Roman" w:hAnsi="Times New Roman" w:cs="Times New Roman"/>
          <w:sz w:val="24"/>
          <w:szCs w:val="24"/>
        </w:rPr>
        <w:t>(</w:t>
      </w:r>
      <w:r w:rsidR="006049BE" w:rsidRPr="009218D1">
        <w:rPr>
          <w:rFonts w:ascii="Times New Roman" w:hAnsi="Times New Roman" w:cs="Times New Roman"/>
          <w:sz w:val="24"/>
          <w:szCs w:val="24"/>
        </w:rPr>
        <w:t>3</w:t>
      </w:r>
      <w:r w:rsidR="00C40F1F"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C40F1F" w:rsidRPr="009218D1">
        <w:rPr>
          <w:rFonts w:ascii="Times New Roman" w:hAnsi="Times New Roman" w:cs="Times New Roman"/>
          <w:sz w:val="24"/>
          <w:szCs w:val="24"/>
        </w:rPr>
        <w:t xml:space="preserve"> </w:t>
      </w:r>
      <w:r w:rsidR="006049BE" w:rsidRPr="009218D1">
        <w:rPr>
          <w:rFonts w:ascii="Times New Roman" w:hAnsi="Times New Roman" w:cs="Times New Roman"/>
          <w:sz w:val="24"/>
          <w:szCs w:val="24"/>
        </w:rPr>
        <w:t>125-139</w:t>
      </w:r>
      <w:r w:rsidR="00BE3467" w:rsidRPr="009218D1">
        <w:rPr>
          <w:rFonts w:ascii="Times New Roman" w:hAnsi="Times New Roman" w:cs="Times New Roman"/>
          <w:sz w:val="24"/>
          <w:szCs w:val="24"/>
        </w:rPr>
        <w:t>.</w:t>
      </w:r>
    </w:p>
    <w:p w:rsidR="00D843F3" w:rsidRPr="009218D1" w:rsidRDefault="00D843F3" w:rsidP="00D843F3">
      <w:pPr>
        <w:pStyle w:val="ListeParagraf"/>
        <w:rPr>
          <w:rFonts w:ascii="Times New Roman" w:hAnsi="Times New Roman" w:cs="Times New Roman"/>
          <w:sz w:val="24"/>
          <w:szCs w:val="24"/>
        </w:rPr>
      </w:pPr>
    </w:p>
    <w:p w:rsidR="00D843F3" w:rsidRPr="009218D1" w:rsidRDefault="00A82B1A" w:rsidP="00D843F3">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SERRASQUEIRO</w:t>
      </w:r>
      <w:r w:rsidR="00D843F3" w:rsidRPr="009218D1">
        <w:rPr>
          <w:rFonts w:ascii="Times New Roman" w:hAnsi="Times New Roman" w:cs="Times New Roman"/>
          <w:sz w:val="24"/>
          <w:szCs w:val="24"/>
        </w:rPr>
        <w:t xml:space="preserve">, Z., </w:t>
      </w:r>
      <w:r w:rsidRPr="009218D1">
        <w:rPr>
          <w:rFonts w:ascii="Times New Roman" w:hAnsi="Times New Roman" w:cs="Times New Roman"/>
          <w:sz w:val="24"/>
          <w:szCs w:val="24"/>
        </w:rPr>
        <w:t>CAETANO</w:t>
      </w:r>
      <w:r w:rsidR="00D843F3" w:rsidRPr="009218D1">
        <w:rPr>
          <w:rFonts w:ascii="Times New Roman" w:hAnsi="Times New Roman" w:cs="Times New Roman"/>
          <w:sz w:val="24"/>
          <w:szCs w:val="24"/>
        </w:rPr>
        <w:t xml:space="preserve">, A., (2015), </w:t>
      </w:r>
      <w:r w:rsidRPr="009218D1">
        <w:rPr>
          <w:rFonts w:ascii="Times New Roman" w:hAnsi="Times New Roman" w:cs="Times New Roman"/>
          <w:b/>
          <w:bCs/>
          <w:sz w:val="24"/>
          <w:szCs w:val="24"/>
        </w:rPr>
        <w:t>Trade-o</w:t>
      </w:r>
      <w:r w:rsidR="00D843F3" w:rsidRPr="009218D1">
        <w:rPr>
          <w:rFonts w:ascii="Times New Roman" w:hAnsi="Times New Roman" w:cs="Times New Roman"/>
          <w:b/>
          <w:bCs/>
          <w:sz w:val="24"/>
          <w:szCs w:val="24"/>
        </w:rPr>
        <w:t>ff Theory Versus Pecking Order Theory:</w:t>
      </w:r>
      <w:r w:rsidRPr="009218D1">
        <w:rPr>
          <w:rFonts w:ascii="Times New Roman" w:hAnsi="Times New Roman" w:cs="Times New Roman"/>
          <w:b/>
          <w:bCs/>
          <w:sz w:val="24"/>
          <w:szCs w:val="24"/>
        </w:rPr>
        <w:t xml:space="preserve"> </w:t>
      </w:r>
      <w:r w:rsidR="00D843F3" w:rsidRPr="009218D1">
        <w:rPr>
          <w:rFonts w:ascii="Times New Roman" w:hAnsi="Times New Roman" w:cs="Times New Roman"/>
          <w:b/>
          <w:bCs/>
          <w:sz w:val="24"/>
          <w:szCs w:val="24"/>
        </w:rPr>
        <w:t>Capital Structure De</w:t>
      </w:r>
      <w:r w:rsidRPr="009218D1">
        <w:rPr>
          <w:rFonts w:ascii="Times New Roman" w:hAnsi="Times New Roman" w:cs="Times New Roman"/>
          <w:b/>
          <w:bCs/>
          <w:sz w:val="24"/>
          <w:szCs w:val="24"/>
        </w:rPr>
        <w:t>cisions in a Peripheral Region o</w:t>
      </w:r>
      <w:r w:rsidR="00D843F3" w:rsidRPr="009218D1">
        <w:rPr>
          <w:rFonts w:ascii="Times New Roman" w:hAnsi="Times New Roman" w:cs="Times New Roman"/>
          <w:b/>
          <w:bCs/>
          <w:sz w:val="24"/>
          <w:szCs w:val="24"/>
        </w:rPr>
        <w:t>f Portugal</w:t>
      </w:r>
      <w:r w:rsidR="00D843F3" w:rsidRPr="009218D1">
        <w:rPr>
          <w:rFonts w:ascii="Times New Roman" w:hAnsi="Times New Roman" w:cs="Times New Roman"/>
          <w:sz w:val="24"/>
          <w:szCs w:val="24"/>
        </w:rPr>
        <w:t>, Journal of Business Economics and Management, 16</w:t>
      </w:r>
      <w:r w:rsidRPr="009218D1">
        <w:rPr>
          <w:rFonts w:ascii="Times New Roman" w:hAnsi="Times New Roman" w:cs="Times New Roman"/>
          <w:sz w:val="24"/>
          <w:szCs w:val="24"/>
        </w:rPr>
        <w:t xml:space="preserve"> </w:t>
      </w:r>
      <w:r w:rsidR="00D843F3" w:rsidRPr="009218D1">
        <w:rPr>
          <w:rFonts w:ascii="Times New Roman" w:hAnsi="Times New Roman" w:cs="Times New Roman"/>
          <w:sz w:val="24"/>
          <w:szCs w:val="24"/>
        </w:rPr>
        <w:t>(2), 445-466.</w:t>
      </w:r>
    </w:p>
    <w:p w:rsidR="007F4449" w:rsidRPr="009218D1" w:rsidRDefault="007F4449" w:rsidP="007F4449">
      <w:pPr>
        <w:pStyle w:val="ListeParagraf"/>
        <w:rPr>
          <w:rFonts w:ascii="Times New Roman" w:hAnsi="Times New Roman" w:cs="Times New Roman"/>
          <w:sz w:val="24"/>
          <w:szCs w:val="24"/>
        </w:rPr>
      </w:pPr>
    </w:p>
    <w:p w:rsidR="00AF5D3B" w:rsidRPr="009218D1" w:rsidRDefault="00C073CD"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TERİM</w:t>
      </w:r>
      <w:r w:rsidR="00482959" w:rsidRPr="009218D1">
        <w:rPr>
          <w:rFonts w:ascii="Times New Roman" w:hAnsi="Times New Roman" w:cs="Times New Roman"/>
          <w:sz w:val="24"/>
          <w:szCs w:val="24"/>
        </w:rPr>
        <w:t>,</w:t>
      </w:r>
      <w:r w:rsidR="00AF5D3B" w:rsidRPr="009218D1">
        <w:rPr>
          <w:rFonts w:ascii="Times New Roman" w:hAnsi="Times New Roman" w:cs="Times New Roman"/>
          <w:sz w:val="24"/>
          <w:szCs w:val="24"/>
        </w:rPr>
        <w:t xml:space="preserve"> B</w:t>
      </w:r>
      <w:r w:rsidR="00BE3467"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AF5D3B" w:rsidRPr="009218D1">
        <w:rPr>
          <w:rFonts w:ascii="Times New Roman" w:hAnsi="Times New Roman" w:cs="Times New Roman"/>
          <w:sz w:val="24"/>
          <w:szCs w:val="24"/>
        </w:rPr>
        <w:t xml:space="preserve"> </w:t>
      </w:r>
      <w:r w:rsidRPr="009218D1">
        <w:rPr>
          <w:rFonts w:ascii="Times New Roman" w:hAnsi="Times New Roman" w:cs="Times New Roman"/>
          <w:sz w:val="24"/>
          <w:szCs w:val="24"/>
        </w:rPr>
        <w:t>KAYALI</w:t>
      </w:r>
      <w:r w:rsidR="00482959" w:rsidRPr="009218D1">
        <w:rPr>
          <w:rFonts w:ascii="Times New Roman" w:hAnsi="Times New Roman" w:cs="Times New Roman"/>
          <w:sz w:val="24"/>
          <w:szCs w:val="24"/>
        </w:rPr>
        <w:t>,</w:t>
      </w:r>
      <w:r w:rsidR="00AF5D3B" w:rsidRPr="009218D1">
        <w:rPr>
          <w:rFonts w:ascii="Times New Roman" w:hAnsi="Times New Roman" w:cs="Times New Roman"/>
          <w:sz w:val="24"/>
          <w:szCs w:val="24"/>
        </w:rPr>
        <w:t xml:space="preserve"> C</w:t>
      </w:r>
      <w:r w:rsidRPr="009218D1">
        <w:rPr>
          <w:rFonts w:ascii="Times New Roman" w:hAnsi="Times New Roman" w:cs="Times New Roman"/>
          <w:sz w:val="24"/>
          <w:szCs w:val="24"/>
        </w:rPr>
        <w:t>.</w:t>
      </w:r>
      <w:r w:rsidR="00BE3467" w:rsidRPr="009218D1">
        <w:rPr>
          <w:rFonts w:ascii="Times New Roman" w:hAnsi="Times New Roman" w:cs="Times New Roman"/>
          <w:sz w:val="24"/>
          <w:szCs w:val="24"/>
        </w:rPr>
        <w:t xml:space="preserve"> </w:t>
      </w:r>
      <w:r w:rsidR="00AF5D3B" w:rsidRPr="009218D1">
        <w:rPr>
          <w:rFonts w:ascii="Times New Roman" w:hAnsi="Times New Roman" w:cs="Times New Roman"/>
          <w:sz w:val="24"/>
          <w:szCs w:val="24"/>
        </w:rPr>
        <w:t>A</w:t>
      </w:r>
      <w:r w:rsidR="00BE3467"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AF5D3B" w:rsidRPr="009218D1">
        <w:rPr>
          <w:rFonts w:ascii="Times New Roman" w:hAnsi="Times New Roman" w:cs="Times New Roman"/>
          <w:sz w:val="24"/>
          <w:szCs w:val="24"/>
        </w:rPr>
        <w:t xml:space="preserve"> (2009)</w:t>
      </w:r>
      <w:r w:rsidR="00482959" w:rsidRPr="009218D1">
        <w:rPr>
          <w:rFonts w:ascii="Times New Roman" w:hAnsi="Times New Roman" w:cs="Times New Roman"/>
          <w:sz w:val="24"/>
          <w:szCs w:val="24"/>
        </w:rPr>
        <w:t>,</w:t>
      </w:r>
      <w:r w:rsidR="00AF5D3B" w:rsidRPr="009218D1">
        <w:rPr>
          <w:rFonts w:ascii="Times New Roman" w:hAnsi="Times New Roman" w:cs="Times New Roman"/>
          <w:sz w:val="24"/>
          <w:szCs w:val="24"/>
        </w:rPr>
        <w:t xml:space="preserve"> </w:t>
      </w:r>
      <w:r w:rsidR="00AF5D3B" w:rsidRPr="009218D1">
        <w:rPr>
          <w:rFonts w:ascii="Times New Roman" w:hAnsi="Times New Roman" w:cs="Times New Roman"/>
          <w:b/>
          <w:sz w:val="24"/>
          <w:szCs w:val="24"/>
        </w:rPr>
        <w:t xml:space="preserve">Sermaye Yapısını Belirleyici Etmenler: Türkiye’de </w:t>
      </w:r>
      <w:r w:rsidR="00C40F1F" w:rsidRPr="009218D1">
        <w:rPr>
          <w:rFonts w:ascii="Times New Roman" w:hAnsi="Times New Roman" w:cs="Times New Roman"/>
          <w:b/>
          <w:sz w:val="24"/>
          <w:szCs w:val="24"/>
        </w:rPr>
        <w:t>İ</w:t>
      </w:r>
      <w:r w:rsidR="00AF5D3B" w:rsidRPr="009218D1">
        <w:rPr>
          <w:rFonts w:ascii="Times New Roman" w:hAnsi="Times New Roman" w:cs="Times New Roman"/>
          <w:b/>
          <w:sz w:val="24"/>
          <w:szCs w:val="24"/>
        </w:rPr>
        <w:t>malat Sanayi Örneği</w:t>
      </w:r>
      <w:r w:rsidRPr="009218D1">
        <w:rPr>
          <w:rFonts w:ascii="Times New Roman" w:hAnsi="Times New Roman" w:cs="Times New Roman"/>
          <w:sz w:val="24"/>
          <w:szCs w:val="24"/>
        </w:rPr>
        <w:t>,</w:t>
      </w:r>
      <w:r w:rsidR="00AF5D3B" w:rsidRPr="009218D1">
        <w:rPr>
          <w:rFonts w:ascii="Times New Roman" w:hAnsi="Times New Roman" w:cs="Times New Roman"/>
          <w:sz w:val="24"/>
          <w:szCs w:val="24"/>
        </w:rPr>
        <w:t xml:space="preserve"> Celal Bayar Üniversitesi Sosya</w:t>
      </w:r>
      <w:r w:rsidR="00C40F1F" w:rsidRPr="009218D1">
        <w:rPr>
          <w:rFonts w:ascii="Times New Roman" w:hAnsi="Times New Roman" w:cs="Times New Roman"/>
          <w:sz w:val="24"/>
          <w:szCs w:val="24"/>
        </w:rPr>
        <w:t>l Bilimler Enstitüsü Dergisi</w:t>
      </w:r>
      <w:r w:rsidR="00482959" w:rsidRPr="009218D1">
        <w:rPr>
          <w:rFonts w:ascii="Times New Roman" w:hAnsi="Times New Roman" w:cs="Times New Roman"/>
          <w:sz w:val="24"/>
          <w:szCs w:val="24"/>
        </w:rPr>
        <w:t>,</w:t>
      </w:r>
      <w:r w:rsidR="00C40F1F" w:rsidRPr="009218D1">
        <w:rPr>
          <w:rFonts w:ascii="Times New Roman" w:hAnsi="Times New Roman" w:cs="Times New Roman"/>
          <w:sz w:val="24"/>
          <w:szCs w:val="24"/>
        </w:rPr>
        <w:t xml:space="preserve"> 7 (</w:t>
      </w:r>
      <w:r w:rsidR="00AF5D3B" w:rsidRPr="009218D1">
        <w:rPr>
          <w:rFonts w:ascii="Times New Roman" w:hAnsi="Times New Roman" w:cs="Times New Roman"/>
          <w:sz w:val="24"/>
          <w:szCs w:val="24"/>
        </w:rPr>
        <w:t>1</w:t>
      </w:r>
      <w:r w:rsidR="00C40F1F" w:rsidRPr="009218D1">
        <w:rPr>
          <w:rFonts w:ascii="Times New Roman" w:hAnsi="Times New Roman" w:cs="Times New Roman"/>
          <w:sz w:val="24"/>
          <w:szCs w:val="24"/>
        </w:rPr>
        <w:t>)</w:t>
      </w:r>
      <w:r w:rsidR="00482959" w:rsidRPr="009218D1">
        <w:rPr>
          <w:rFonts w:ascii="Times New Roman" w:hAnsi="Times New Roman" w:cs="Times New Roman"/>
          <w:sz w:val="24"/>
          <w:szCs w:val="24"/>
        </w:rPr>
        <w:t xml:space="preserve">, </w:t>
      </w:r>
      <w:r w:rsidR="00AF5D3B" w:rsidRPr="009218D1">
        <w:rPr>
          <w:rFonts w:ascii="Times New Roman" w:hAnsi="Times New Roman" w:cs="Times New Roman"/>
          <w:sz w:val="24"/>
          <w:szCs w:val="24"/>
        </w:rPr>
        <w:t>125-154</w:t>
      </w:r>
      <w:r w:rsidR="00BE3467" w:rsidRPr="009218D1">
        <w:rPr>
          <w:rFonts w:ascii="Times New Roman" w:hAnsi="Times New Roman" w:cs="Times New Roman"/>
          <w:sz w:val="24"/>
          <w:szCs w:val="24"/>
        </w:rPr>
        <w:t>.</w:t>
      </w:r>
    </w:p>
    <w:p w:rsidR="007F4449" w:rsidRPr="009218D1" w:rsidRDefault="007F4449" w:rsidP="007F4449">
      <w:pPr>
        <w:pStyle w:val="ListeParagraf"/>
        <w:rPr>
          <w:rFonts w:ascii="Times New Roman" w:hAnsi="Times New Roman" w:cs="Times New Roman"/>
          <w:sz w:val="24"/>
          <w:szCs w:val="24"/>
        </w:rPr>
      </w:pPr>
    </w:p>
    <w:p w:rsidR="009124E1" w:rsidRPr="009218D1" w:rsidRDefault="00C073CD"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lastRenderedPageBreak/>
        <w:t>TITMAN</w:t>
      </w:r>
      <w:r w:rsidR="00482959"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S</w:t>
      </w:r>
      <w:r w:rsidR="00BE3467"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w:t>
      </w:r>
      <w:r w:rsidRPr="009218D1">
        <w:rPr>
          <w:rFonts w:ascii="Times New Roman" w:hAnsi="Times New Roman" w:cs="Times New Roman"/>
          <w:sz w:val="24"/>
          <w:szCs w:val="24"/>
        </w:rPr>
        <w:t>WESSELS,</w:t>
      </w:r>
      <w:r w:rsidR="009124E1" w:rsidRPr="009218D1">
        <w:rPr>
          <w:rFonts w:ascii="Times New Roman" w:hAnsi="Times New Roman" w:cs="Times New Roman"/>
          <w:sz w:val="24"/>
          <w:szCs w:val="24"/>
        </w:rPr>
        <w:t xml:space="preserve"> R</w:t>
      </w:r>
      <w:r w:rsidR="00BE3467"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(1988)</w:t>
      </w:r>
      <w:r w:rsidR="00482959" w:rsidRPr="009218D1">
        <w:rPr>
          <w:rFonts w:ascii="Times New Roman" w:hAnsi="Times New Roman" w:cs="Times New Roman"/>
          <w:sz w:val="24"/>
          <w:szCs w:val="24"/>
        </w:rPr>
        <w:t>,</w:t>
      </w:r>
      <w:r w:rsidR="009124E1" w:rsidRPr="009218D1">
        <w:rPr>
          <w:rFonts w:ascii="Times New Roman" w:hAnsi="Times New Roman" w:cs="Times New Roman"/>
          <w:sz w:val="24"/>
          <w:szCs w:val="24"/>
        </w:rPr>
        <w:t xml:space="preserve"> </w:t>
      </w:r>
      <w:r w:rsidR="009124E1" w:rsidRPr="009218D1">
        <w:rPr>
          <w:rFonts w:ascii="Times New Roman" w:hAnsi="Times New Roman" w:cs="Times New Roman"/>
          <w:b/>
          <w:sz w:val="24"/>
          <w:szCs w:val="24"/>
        </w:rPr>
        <w:t>The Determinants of Capital Structure Choice</w:t>
      </w:r>
      <w:r w:rsidR="00482959" w:rsidRPr="009218D1">
        <w:rPr>
          <w:rFonts w:ascii="Times New Roman" w:hAnsi="Times New Roman" w:cs="Times New Roman"/>
          <w:sz w:val="24"/>
          <w:szCs w:val="24"/>
        </w:rPr>
        <w:t>,</w:t>
      </w:r>
      <w:r w:rsidR="00F76AF3" w:rsidRPr="009218D1">
        <w:rPr>
          <w:rFonts w:ascii="Times New Roman" w:hAnsi="Times New Roman" w:cs="Times New Roman"/>
          <w:sz w:val="24"/>
          <w:szCs w:val="24"/>
        </w:rPr>
        <w:t xml:space="preserve"> The Journal of Finance</w:t>
      </w:r>
      <w:r w:rsidR="00482959" w:rsidRPr="009218D1">
        <w:rPr>
          <w:rFonts w:ascii="Times New Roman" w:hAnsi="Times New Roman" w:cs="Times New Roman"/>
          <w:sz w:val="24"/>
          <w:szCs w:val="24"/>
        </w:rPr>
        <w:t>,</w:t>
      </w:r>
      <w:r w:rsidR="00F76AF3" w:rsidRPr="009218D1">
        <w:rPr>
          <w:rFonts w:ascii="Times New Roman" w:hAnsi="Times New Roman" w:cs="Times New Roman"/>
          <w:sz w:val="24"/>
          <w:szCs w:val="24"/>
        </w:rPr>
        <w:t xml:space="preserve"> 43</w:t>
      </w:r>
      <w:r w:rsidR="00A05140" w:rsidRPr="009218D1">
        <w:rPr>
          <w:rFonts w:ascii="Times New Roman" w:hAnsi="Times New Roman" w:cs="Times New Roman"/>
          <w:sz w:val="24"/>
          <w:szCs w:val="24"/>
        </w:rPr>
        <w:t xml:space="preserve"> </w:t>
      </w:r>
      <w:r w:rsidR="00F76AF3" w:rsidRPr="009218D1">
        <w:rPr>
          <w:rFonts w:ascii="Times New Roman" w:hAnsi="Times New Roman" w:cs="Times New Roman"/>
          <w:sz w:val="24"/>
          <w:szCs w:val="24"/>
        </w:rPr>
        <w:t>(</w:t>
      </w:r>
      <w:r w:rsidR="009124E1" w:rsidRPr="009218D1">
        <w:rPr>
          <w:rFonts w:ascii="Times New Roman" w:hAnsi="Times New Roman" w:cs="Times New Roman"/>
          <w:sz w:val="24"/>
          <w:szCs w:val="24"/>
        </w:rPr>
        <w:t>1</w:t>
      </w:r>
      <w:r w:rsidR="00F76AF3" w:rsidRPr="009218D1">
        <w:rPr>
          <w:rFonts w:ascii="Times New Roman" w:hAnsi="Times New Roman" w:cs="Times New Roman"/>
          <w:sz w:val="24"/>
          <w:szCs w:val="24"/>
        </w:rPr>
        <w:t>)</w:t>
      </w:r>
      <w:r w:rsidR="00482959" w:rsidRPr="009218D1">
        <w:rPr>
          <w:rFonts w:ascii="Times New Roman" w:hAnsi="Times New Roman" w:cs="Times New Roman"/>
          <w:sz w:val="24"/>
          <w:szCs w:val="24"/>
        </w:rPr>
        <w:t>,</w:t>
      </w:r>
      <w:r w:rsidR="00F76AF3" w:rsidRPr="009218D1">
        <w:rPr>
          <w:rFonts w:ascii="Times New Roman" w:hAnsi="Times New Roman" w:cs="Times New Roman"/>
          <w:sz w:val="24"/>
          <w:szCs w:val="24"/>
        </w:rPr>
        <w:t xml:space="preserve"> </w:t>
      </w:r>
      <w:r w:rsidR="009124E1" w:rsidRPr="009218D1">
        <w:rPr>
          <w:rFonts w:ascii="Times New Roman" w:hAnsi="Times New Roman" w:cs="Times New Roman"/>
          <w:sz w:val="24"/>
          <w:szCs w:val="24"/>
        </w:rPr>
        <w:t>1-19</w:t>
      </w:r>
      <w:r w:rsidR="00BE3467" w:rsidRPr="009218D1">
        <w:rPr>
          <w:rFonts w:ascii="Times New Roman" w:hAnsi="Times New Roman" w:cs="Times New Roman"/>
          <w:sz w:val="24"/>
          <w:szCs w:val="24"/>
        </w:rPr>
        <w:t>.</w:t>
      </w:r>
    </w:p>
    <w:p w:rsidR="007F4449" w:rsidRPr="009218D1" w:rsidRDefault="007F4449" w:rsidP="007F4449">
      <w:pPr>
        <w:pStyle w:val="ListeParagraf"/>
        <w:rPr>
          <w:rFonts w:ascii="Times New Roman" w:hAnsi="Times New Roman" w:cs="Times New Roman"/>
          <w:sz w:val="24"/>
          <w:szCs w:val="24"/>
        </w:rPr>
      </w:pPr>
    </w:p>
    <w:p w:rsidR="008758B4" w:rsidRPr="009218D1" w:rsidRDefault="00C073CD" w:rsidP="007F4449">
      <w:pPr>
        <w:pStyle w:val="ListeParagraf"/>
        <w:numPr>
          <w:ilvl w:val="0"/>
          <w:numId w:val="4"/>
        </w:numPr>
        <w:spacing w:before="120" w:after="120" w:line="240" w:lineRule="auto"/>
        <w:jc w:val="both"/>
        <w:rPr>
          <w:rFonts w:ascii="Times New Roman" w:hAnsi="Times New Roman" w:cs="Times New Roman"/>
          <w:sz w:val="24"/>
          <w:szCs w:val="24"/>
        </w:rPr>
      </w:pPr>
      <w:r w:rsidRPr="009218D1">
        <w:rPr>
          <w:rFonts w:ascii="Times New Roman" w:hAnsi="Times New Roman" w:cs="Times New Roman"/>
          <w:sz w:val="24"/>
          <w:szCs w:val="24"/>
        </w:rPr>
        <w:t>WESTON</w:t>
      </w:r>
      <w:r w:rsidR="00482959"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J</w:t>
      </w:r>
      <w:r w:rsidR="00BE3467" w:rsidRPr="009218D1">
        <w:rPr>
          <w:rFonts w:ascii="Times New Roman" w:hAnsi="Times New Roman" w:cs="Times New Roman"/>
          <w:sz w:val="24"/>
          <w:szCs w:val="24"/>
        </w:rPr>
        <w:t>.</w:t>
      </w:r>
      <w:r w:rsidRPr="009218D1">
        <w:rPr>
          <w:rFonts w:ascii="Times New Roman" w:hAnsi="Times New Roman" w:cs="Times New Roman"/>
          <w:sz w:val="24"/>
          <w:szCs w:val="24"/>
        </w:rPr>
        <w:t xml:space="preserve"> </w:t>
      </w:r>
      <w:r w:rsidR="00D57B74" w:rsidRPr="009218D1">
        <w:rPr>
          <w:rFonts w:ascii="Times New Roman" w:hAnsi="Times New Roman" w:cs="Times New Roman"/>
          <w:sz w:val="24"/>
          <w:szCs w:val="24"/>
        </w:rPr>
        <w:t>F</w:t>
      </w:r>
      <w:r w:rsidR="00BE3467" w:rsidRPr="009218D1">
        <w:rPr>
          <w:rFonts w:ascii="Times New Roman" w:hAnsi="Times New Roman" w:cs="Times New Roman"/>
          <w:sz w:val="24"/>
          <w:szCs w:val="24"/>
        </w:rPr>
        <w:t>.</w:t>
      </w:r>
      <w:r w:rsidR="00FB4EC2"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w:t>
      </w:r>
      <w:r w:rsidRPr="009218D1">
        <w:rPr>
          <w:rFonts w:ascii="Times New Roman" w:hAnsi="Times New Roman" w:cs="Times New Roman"/>
          <w:sz w:val="24"/>
          <w:szCs w:val="24"/>
        </w:rPr>
        <w:t>BRIGHAN</w:t>
      </w:r>
      <w:r w:rsidR="00D57B74" w:rsidRPr="009218D1">
        <w:rPr>
          <w:rFonts w:ascii="Times New Roman" w:hAnsi="Times New Roman" w:cs="Times New Roman"/>
          <w:sz w:val="24"/>
          <w:szCs w:val="24"/>
        </w:rPr>
        <w:t xml:space="preserve"> F</w:t>
      </w:r>
      <w:r w:rsidR="00BE3467" w:rsidRPr="009218D1">
        <w:rPr>
          <w:rFonts w:ascii="Times New Roman" w:hAnsi="Times New Roman" w:cs="Times New Roman"/>
          <w:sz w:val="24"/>
          <w:szCs w:val="24"/>
        </w:rPr>
        <w:t>.</w:t>
      </w:r>
      <w:r w:rsidR="00052859" w:rsidRPr="009218D1">
        <w:rPr>
          <w:rFonts w:ascii="Times New Roman" w:hAnsi="Times New Roman" w:cs="Times New Roman"/>
          <w:sz w:val="24"/>
          <w:szCs w:val="24"/>
        </w:rPr>
        <w:t xml:space="preserve"> </w:t>
      </w:r>
      <w:r w:rsidR="00D57B74" w:rsidRPr="009218D1">
        <w:rPr>
          <w:rFonts w:ascii="Times New Roman" w:hAnsi="Times New Roman" w:cs="Times New Roman"/>
          <w:sz w:val="24"/>
          <w:szCs w:val="24"/>
        </w:rPr>
        <w:t>E</w:t>
      </w:r>
      <w:r w:rsidR="00BE3467" w:rsidRPr="009218D1">
        <w:rPr>
          <w:rFonts w:ascii="Times New Roman" w:hAnsi="Times New Roman" w:cs="Times New Roman"/>
          <w:sz w:val="24"/>
          <w:szCs w:val="24"/>
        </w:rPr>
        <w:t>.</w:t>
      </w:r>
      <w:r w:rsidR="00FB4EC2"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(1993)</w:t>
      </w:r>
      <w:r w:rsidR="00482959"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w:t>
      </w:r>
      <w:r w:rsidR="00D57B74" w:rsidRPr="009218D1">
        <w:rPr>
          <w:rFonts w:ascii="Times New Roman" w:hAnsi="Times New Roman" w:cs="Times New Roman"/>
          <w:b/>
          <w:sz w:val="24"/>
          <w:szCs w:val="24"/>
        </w:rPr>
        <w:t>Essentials of Managerial Finance</w:t>
      </w:r>
      <w:r w:rsidR="00482959" w:rsidRPr="009218D1">
        <w:rPr>
          <w:rFonts w:ascii="Times New Roman" w:hAnsi="Times New Roman" w:cs="Times New Roman"/>
          <w:sz w:val="24"/>
          <w:szCs w:val="24"/>
        </w:rPr>
        <w:t>,</w:t>
      </w:r>
      <w:r w:rsidR="00D57B74" w:rsidRPr="009218D1">
        <w:rPr>
          <w:rFonts w:ascii="Times New Roman" w:hAnsi="Times New Roman" w:cs="Times New Roman"/>
          <w:sz w:val="24"/>
          <w:szCs w:val="24"/>
        </w:rPr>
        <w:t xml:space="preserve"> The Drydo</w:t>
      </w:r>
      <w:r w:rsidR="00A05140" w:rsidRPr="009218D1">
        <w:rPr>
          <w:rFonts w:ascii="Times New Roman" w:hAnsi="Times New Roman" w:cs="Times New Roman"/>
          <w:sz w:val="24"/>
          <w:szCs w:val="24"/>
        </w:rPr>
        <w:t>n Press</w:t>
      </w:r>
      <w:r w:rsidR="00482959" w:rsidRPr="009218D1">
        <w:rPr>
          <w:rFonts w:ascii="Times New Roman" w:hAnsi="Times New Roman" w:cs="Times New Roman"/>
          <w:sz w:val="24"/>
          <w:szCs w:val="24"/>
        </w:rPr>
        <w:t>,</w:t>
      </w:r>
      <w:r w:rsidR="00A05140" w:rsidRPr="009218D1">
        <w:rPr>
          <w:rFonts w:ascii="Times New Roman" w:hAnsi="Times New Roman" w:cs="Times New Roman"/>
          <w:sz w:val="24"/>
          <w:szCs w:val="24"/>
        </w:rPr>
        <w:t xml:space="preserve"> 10</w:t>
      </w:r>
      <w:r w:rsidR="00052859" w:rsidRPr="009218D1">
        <w:rPr>
          <w:rFonts w:ascii="Times New Roman" w:hAnsi="Times New Roman" w:cs="Times New Roman"/>
          <w:sz w:val="24"/>
          <w:szCs w:val="24"/>
        </w:rPr>
        <w:t xml:space="preserve"> </w:t>
      </w:r>
      <w:r w:rsidR="00A05140" w:rsidRPr="009218D1">
        <w:rPr>
          <w:rFonts w:ascii="Times New Roman" w:hAnsi="Times New Roman" w:cs="Times New Roman"/>
          <w:sz w:val="24"/>
          <w:szCs w:val="24"/>
        </w:rPr>
        <w:t>th Edition</w:t>
      </w:r>
      <w:r w:rsidR="00482959" w:rsidRPr="009218D1">
        <w:rPr>
          <w:rFonts w:ascii="Times New Roman" w:hAnsi="Times New Roman" w:cs="Times New Roman"/>
          <w:sz w:val="24"/>
          <w:szCs w:val="24"/>
        </w:rPr>
        <w:t>,</w:t>
      </w:r>
      <w:r w:rsidR="00A05140" w:rsidRPr="009218D1">
        <w:rPr>
          <w:rFonts w:ascii="Times New Roman" w:hAnsi="Times New Roman" w:cs="Times New Roman"/>
          <w:sz w:val="24"/>
          <w:szCs w:val="24"/>
        </w:rPr>
        <w:t xml:space="preserve"> </w:t>
      </w:r>
      <w:r w:rsidR="00D57B74" w:rsidRPr="009218D1">
        <w:rPr>
          <w:rFonts w:ascii="Times New Roman" w:hAnsi="Times New Roman" w:cs="Times New Roman"/>
          <w:sz w:val="24"/>
          <w:szCs w:val="24"/>
        </w:rPr>
        <w:t>648</w:t>
      </w:r>
      <w:r w:rsidR="00BE3467" w:rsidRPr="009218D1">
        <w:rPr>
          <w:rFonts w:ascii="Times New Roman" w:hAnsi="Times New Roman" w:cs="Times New Roman"/>
          <w:sz w:val="24"/>
          <w:szCs w:val="24"/>
        </w:rPr>
        <w:t>.</w:t>
      </w:r>
    </w:p>
    <w:p w:rsidR="00596467" w:rsidRPr="009218D1" w:rsidRDefault="00596467" w:rsidP="00596467">
      <w:pPr>
        <w:pStyle w:val="ListeParagraf"/>
        <w:rPr>
          <w:rFonts w:ascii="Times New Roman" w:hAnsi="Times New Roman" w:cs="Times New Roman"/>
          <w:sz w:val="24"/>
          <w:szCs w:val="24"/>
        </w:rPr>
      </w:pPr>
    </w:p>
    <w:p w:rsidR="00596467" w:rsidRPr="009218D1" w:rsidRDefault="0075048F" w:rsidP="00596467">
      <w:pPr>
        <w:pStyle w:val="ListeParagraf"/>
        <w:numPr>
          <w:ilvl w:val="0"/>
          <w:numId w:val="4"/>
        </w:numPr>
        <w:autoSpaceDE w:val="0"/>
        <w:autoSpaceDN w:val="0"/>
        <w:adjustRightInd w:val="0"/>
        <w:spacing w:before="120" w:after="120"/>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WET</w:t>
      </w:r>
      <w:r w:rsidR="00596467" w:rsidRPr="009218D1">
        <w:rPr>
          <w:rFonts w:ascii="Times New Roman" w:eastAsia="Times New Roman" w:hAnsi="Times New Roman" w:cs="Times New Roman"/>
          <w:color w:val="222222"/>
          <w:sz w:val="24"/>
          <w:szCs w:val="24"/>
          <w:lang w:eastAsia="tr-TR"/>
        </w:rPr>
        <w:t>, L.,</w:t>
      </w:r>
      <w:r w:rsidRPr="009218D1">
        <w:rPr>
          <w:rFonts w:ascii="Times New Roman" w:eastAsia="Times New Roman" w:hAnsi="Times New Roman" w:cs="Times New Roman"/>
          <w:color w:val="222222"/>
          <w:sz w:val="24"/>
          <w:szCs w:val="24"/>
          <w:lang w:eastAsia="tr-TR"/>
        </w:rPr>
        <w:t xml:space="preserve"> </w:t>
      </w:r>
      <w:r w:rsidR="00596467" w:rsidRPr="009218D1">
        <w:rPr>
          <w:rFonts w:ascii="Times New Roman" w:eastAsia="Times New Roman" w:hAnsi="Times New Roman" w:cs="Times New Roman"/>
          <w:color w:val="222222"/>
          <w:sz w:val="24"/>
          <w:szCs w:val="24"/>
          <w:lang w:eastAsia="tr-TR"/>
        </w:rPr>
        <w:t xml:space="preserve">H., </w:t>
      </w:r>
      <w:r w:rsidRPr="009218D1">
        <w:rPr>
          <w:rFonts w:ascii="Times New Roman" w:eastAsia="Times New Roman" w:hAnsi="Times New Roman" w:cs="Times New Roman"/>
          <w:color w:val="222222"/>
          <w:sz w:val="24"/>
          <w:szCs w:val="24"/>
          <w:lang w:eastAsia="tr-TR"/>
        </w:rPr>
        <w:t>GOSSEL</w:t>
      </w:r>
      <w:r w:rsidR="00596467" w:rsidRPr="009218D1">
        <w:rPr>
          <w:rFonts w:ascii="Times New Roman" w:eastAsia="Times New Roman" w:hAnsi="Times New Roman" w:cs="Times New Roman"/>
          <w:color w:val="222222"/>
          <w:sz w:val="24"/>
          <w:szCs w:val="24"/>
          <w:lang w:eastAsia="tr-TR"/>
        </w:rPr>
        <w:t>, S.,</w:t>
      </w:r>
      <w:r w:rsidRPr="009218D1">
        <w:rPr>
          <w:rFonts w:ascii="Times New Roman" w:eastAsia="Times New Roman" w:hAnsi="Times New Roman" w:cs="Times New Roman"/>
          <w:color w:val="222222"/>
          <w:sz w:val="24"/>
          <w:szCs w:val="24"/>
          <w:lang w:eastAsia="tr-TR"/>
        </w:rPr>
        <w:t xml:space="preserve"> </w:t>
      </w:r>
      <w:r w:rsidR="00596467" w:rsidRPr="009218D1">
        <w:rPr>
          <w:rFonts w:ascii="Times New Roman" w:eastAsia="Times New Roman" w:hAnsi="Times New Roman" w:cs="Times New Roman"/>
          <w:color w:val="222222"/>
          <w:sz w:val="24"/>
          <w:szCs w:val="24"/>
          <w:lang w:eastAsia="tr-TR"/>
        </w:rPr>
        <w:t xml:space="preserve">J., (2016), </w:t>
      </w:r>
      <w:r w:rsidR="00596467" w:rsidRPr="009218D1">
        <w:rPr>
          <w:rFonts w:ascii="Times New Roman" w:eastAsia="Times New Roman" w:hAnsi="Times New Roman" w:cs="Times New Roman"/>
          <w:b/>
          <w:color w:val="222222"/>
          <w:sz w:val="24"/>
          <w:szCs w:val="24"/>
          <w:lang w:eastAsia="tr-TR"/>
        </w:rPr>
        <w:t>South African Capital Structure Decisions: A Survey of Listed Companies</w:t>
      </w:r>
      <w:r w:rsidR="00596467" w:rsidRPr="009218D1">
        <w:rPr>
          <w:rFonts w:ascii="Times New Roman" w:eastAsia="Times New Roman" w:hAnsi="Times New Roman" w:cs="Times New Roman"/>
          <w:color w:val="222222"/>
          <w:sz w:val="24"/>
          <w:szCs w:val="24"/>
          <w:lang w:eastAsia="tr-TR"/>
        </w:rPr>
        <w:t>, Journal of African Business, Journal of African Business,</w:t>
      </w:r>
      <w:r w:rsidR="00596467" w:rsidRPr="009218D1">
        <w:rPr>
          <w:rFonts w:ascii="Times New Roman" w:eastAsia="Times New Roman" w:hAnsi="Times New Roman" w:cs="Times New Roman"/>
          <w:sz w:val="24"/>
          <w:szCs w:val="24"/>
          <w:lang w:eastAsia="tr-TR"/>
        </w:rPr>
        <w:t> </w:t>
      </w:r>
      <w:r w:rsidR="00596467" w:rsidRPr="009218D1">
        <w:rPr>
          <w:rFonts w:ascii="Times New Roman" w:eastAsia="Times New Roman" w:hAnsi="Times New Roman" w:cs="Times New Roman"/>
          <w:color w:val="222222"/>
          <w:sz w:val="24"/>
          <w:szCs w:val="24"/>
          <w:lang w:eastAsia="tr-TR"/>
        </w:rPr>
        <w:t>17 (2), 167-187.</w:t>
      </w:r>
    </w:p>
    <w:p w:rsidR="0075048F" w:rsidRPr="009218D1" w:rsidRDefault="0075048F" w:rsidP="0075048F">
      <w:pPr>
        <w:pStyle w:val="ListeParagraf"/>
        <w:rPr>
          <w:rFonts w:ascii="Times New Roman" w:eastAsia="Times New Roman" w:hAnsi="Times New Roman" w:cs="Times New Roman"/>
          <w:color w:val="222222"/>
          <w:sz w:val="24"/>
          <w:szCs w:val="24"/>
          <w:lang w:eastAsia="tr-TR"/>
        </w:rPr>
      </w:pPr>
    </w:p>
    <w:p w:rsidR="000018B4" w:rsidRPr="009218D1" w:rsidRDefault="00052859"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YILDIZ</w:t>
      </w:r>
      <w:r w:rsidR="00482959"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M</w:t>
      </w:r>
      <w:r w:rsidR="00BE3467"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E</w:t>
      </w:r>
      <w:r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w:t>
      </w:r>
      <w:r w:rsidRPr="009218D1">
        <w:rPr>
          <w:rFonts w:ascii="Times New Roman" w:eastAsia="Times New Roman" w:hAnsi="Times New Roman" w:cs="Times New Roman"/>
          <w:color w:val="222222"/>
          <w:sz w:val="24"/>
          <w:szCs w:val="24"/>
          <w:lang w:eastAsia="tr-TR"/>
        </w:rPr>
        <w:t>YALAMA</w:t>
      </w:r>
      <w:r w:rsidR="000018B4" w:rsidRPr="009218D1">
        <w:rPr>
          <w:rFonts w:ascii="Times New Roman" w:eastAsia="Times New Roman" w:hAnsi="Times New Roman" w:cs="Times New Roman"/>
          <w:color w:val="222222"/>
          <w:sz w:val="24"/>
          <w:szCs w:val="24"/>
          <w:lang w:eastAsia="tr-TR"/>
        </w:rPr>
        <w:t xml:space="preserve"> A</w:t>
      </w:r>
      <w:r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w:t>
      </w:r>
      <w:r w:rsidR="00A04ED3" w:rsidRPr="009218D1">
        <w:rPr>
          <w:rFonts w:ascii="Times New Roman" w:eastAsia="Times New Roman" w:hAnsi="Times New Roman" w:cs="Times New Roman"/>
          <w:color w:val="222222"/>
          <w:sz w:val="24"/>
          <w:szCs w:val="24"/>
          <w:lang w:eastAsia="tr-TR"/>
        </w:rPr>
        <w:t>SEVİL</w:t>
      </w:r>
      <w:r w:rsidR="00DF32D1"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G</w:t>
      </w:r>
      <w:r w:rsidR="00BE3467"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(2009)</w:t>
      </w:r>
      <w:r w:rsidR="00FB4EC2"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w:t>
      </w:r>
      <w:r w:rsidR="000018B4" w:rsidRPr="009218D1">
        <w:rPr>
          <w:rFonts w:ascii="Times New Roman" w:eastAsia="Times New Roman" w:hAnsi="Times New Roman" w:cs="Times New Roman"/>
          <w:b/>
          <w:color w:val="222222"/>
          <w:sz w:val="24"/>
          <w:szCs w:val="24"/>
          <w:lang w:eastAsia="tr-TR"/>
        </w:rPr>
        <w:t>Sermaye Yapısı Teorilerinin Geçerliliğinin Test Edilmesi: Panel Veri Analizi Kullanılarak İMKB-İmalat Sektörü Üzerinde Ampirik Bir Uygulama</w:t>
      </w:r>
      <w:r w:rsidR="00FB4EC2"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w:t>
      </w:r>
      <w:r w:rsidR="00FB4EC2" w:rsidRPr="009218D1">
        <w:rPr>
          <w:rFonts w:ascii="Times New Roman" w:eastAsia="Times New Roman" w:hAnsi="Times New Roman" w:cs="Times New Roman"/>
          <w:iCs/>
          <w:color w:val="222222"/>
          <w:sz w:val="24"/>
          <w:szCs w:val="24"/>
          <w:lang w:eastAsia="tr-TR"/>
        </w:rPr>
        <w:t>İ</w:t>
      </w:r>
      <w:r w:rsidR="000018B4" w:rsidRPr="009218D1">
        <w:rPr>
          <w:rFonts w:ascii="Times New Roman" w:eastAsia="Times New Roman" w:hAnsi="Times New Roman" w:cs="Times New Roman"/>
          <w:iCs/>
          <w:color w:val="222222"/>
          <w:sz w:val="24"/>
          <w:szCs w:val="24"/>
          <w:lang w:eastAsia="tr-TR"/>
        </w:rPr>
        <w:t xml:space="preserve">ktisat </w:t>
      </w:r>
      <w:r w:rsidR="00B00E83" w:rsidRPr="009218D1">
        <w:rPr>
          <w:rFonts w:ascii="Times New Roman" w:eastAsia="Times New Roman" w:hAnsi="Times New Roman" w:cs="Times New Roman"/>
          <w:iCs/>
          <w:color w:val="222222"/>
          <w:sz w:val="24"/>
          <w:szCs w:val="24"/>
          <w:lang w:eastAsia="tr-TR"/>
        </w:rPr>
        <w:t>İşletme</w:t>
      </w:r>
      <w:r w:rsidR="000018B4" w:rsidRPr="009218D1">
        <w:rPr>
          <w:rFonts w:ascii="Times New Roman" w:eastAsia="Times New Roman" w:hAnsi="Times New Roman" w:cs="Times New Roman"/>
          <w:iCs/>
          <w:color w:val="222222"/>
          <w:sz w:val="24"/>
          <w:szCs w:val="24"/>
          <w:lang w:eastAsia="tr-TR"/>
        </w:rPr>
        <w:t xml:space="preserve"> ve Finans</w:t>
      </w:r>
      <w:r w:rsidR="00FB4EC2"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w:t>
      </w:r>
      <w:r w:rsidR="000018B4" w:rsidRPr="009218D1">
        <w:rPr>
          <w:rFonts w:ascii="Times New Roman" w:eastAsia="Times New Roman" w:hAnsi="Times New Roman" w:cs="Times New Roman"/>
          <w:iCs/>
          <w:color w:val="222222"/>
          <w:sz w:val="24"/>
          <w:szCs w:val="24"/>
          <w:lang w:eastAsia="tr-TR"/>
        </w:rPr>
        <w:t xml:space="preserve">24 </w:t>
      </w:r>
      <w:r w:rsidR="000018B4" w:rsidRPr="009218D1">
        <w:rPr>
          <w:rFonts w:ascii="Times New Roman" w:eastAsia="Times New Roman" w:hAnsi="Times New Roman" w:cs="Times New Roman"/>
          <w:color w:val="222222"/>
          <w:sz w:val="24"/>
          <w:szCs w:val="24"/>
          <w:lang w:eastAsia="tr-TR"/>
        </w:rPr>
        <w:t>(278)</w:t>
      </w:r>
      <w:r w:rsidR="00B00E83" w:rsidRPr="009218D1">
        <w:rPr>
          <w:rFonts w:ascii="Times New Roman" w:eastAsia="Times New Roman" w:hAnsi="Times New Roman" w:cs="Times New Roman"/>
          <w:color w:val="222222"/>
          <w:sz w:val="24"/>
          <w:szCs w:val="24"/>
          <w:lang w:eastAsia="tr-TR"/>
        </w:rPr>
        <w:t>,</w:t>
      </w:r>
      <w:r w:rsidR="000018B4" w:rsidRPr="009218D1">
        <w:rPr>
          <w:rFonts w:ascii="Times New Roman" w:eastAsia="Times New Roman" w:hAnsi="Times New Roman" w:cs="Times New Roman"/>
          <w:color w:val="222222"/>
          <w:sz w:val="24"/>
          <w:szCs w:val="24"/>
          <w:lang w:eastAsia="tr-TR"/>
        </w:rPr>
        <w:t xml:space="preserve"> 25-45</w:t>
      </w:r>
      <w:r w:rsidR="00BE3467" w:rsidRPr="009218D1">
        <w:rPr>
          <w:rFonts w:ascii="Times New Roman" w:eastAsia="Times New Roman" w:hAnsi="Times New Roman" w:cs="Times New Roman"/>
          <w:color w:val="222222"/>
          <w:sz w:val="24"/>
          <w:szCs w:val="24"/>
          <w:lang w:eastAsia="tr-TR"/>
        </w:rPr>
        <w:t>.</w:t>
      </w:r>
    </w:p>
    <w:p w:rsidR="007F4449" w:rsidRPr="009218D1" w:rsidRDefault="007F4449" w:rsidP="007F4449">
      <w:pPr>
        <w:pStyle w:val="ListeParagraf"/>
        <w:rPr>
          <w:rFonts w:ascii="Times New Roman" w:eastAsia="Times New Roman" w:hAnsi="Times New Roman" w:cs="Times New Roman"/>
          <w:color w:val="222222"/>
          <w:sz w:val="24"/>
          <w:szCs w:val="24"/>
          <w:lang w:eastAsia="tr-TR"/>
        </w:rPr>
      </w:pPr>
    </w:p>
    <w:p w:rsidR="00DB2D27" w:rsidRPr="009218D1" w:rsidRDefault="00052859" w:rsidP="007F4449">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YÜKSELTÜRK</w:t>
      </w:r>
      <w:r w:rsidR="00DB2D27" w:rsidRPr="009218D1">
        <w:rPr>
          <w:rFonts w:ascii="Times New Roman" w:eastAsia="Times New Roman" w:hAnsi="Times New Roman" w:cs="Times New Roman"/>
          <w:color w:val="222222"/>
          <w:sz w:val="24"/>
          <w:szCs w:val="24"/>
          <w:lang w:eastAsia="tr-TR"/>
        </w:rPr>
        <w:t xml:space="preserve">, O., S., (2010), </w:t>
      </w:r>
      <w:r w:rsidR="00DB2D27" w:rsidRPr="009218D1">
        <w:rPr>
          <w:rFonts w:ascii="Times New Roman" w:eastAsia="Times New Roman" w:hAnsi="Times New Roman" w:cs="Times New Roman"/>
          <w:b/>
          <w:color w:val="222222"/>
          <w:sz w:val="24"/>
          <w:szCs w:val="24"/>
          <w:lang w:eastAsia="tr-TR"/>
        </w:rPr>
        <w:t xml:space="preserve">Kredi Piyasalarında Arz </w:t>
      </w:r>
      <w:r w:rsidR="00B00E83" w:rsidRPr="009218D1">
        <w:rPr>
          <w:rFonts w:ascii="Times New Roman" w:eastAsia="Times New Roman" w:hAnsi="Times New Roman" w:cs="Times New Roman"/>
          <w:b/>
          <w:color w:val="222222"/>
          <w:sz w:val="24"/>
          <w:szCs w:val="24"/>
          <w:lang w:eastAsia="tr-TR"/>
        </w:rPr>
        <w:t>v</w:t>
      </w:r>
      <w:r w:rsidR="00DB2D27" w:rsidRPr="009218D1">
        <w:rPr>
          <w:rFonts w:ascii="Times New Roman" w:eastAsia="Times New Roman" w:hAnsi="Times New Roman" w:cs="Times New Roman"/>
          <w:b/>
          <w:color w:val="222222"/>
          <w:sz w:val="24"/>
          <w:szCs w:val="24"/>
          <w:lang w:eastAsia="tr-TR"/>
        </w:rPr>
        <w:t>e Talep Dengesizlikleri: Türkiye İçin Uygulamalı Bir Çalışma</w:t>
      </w:r>
      <w:r w:rsidR="00DB2D27" w:rsidRPr="009218D1">
        <w:rPr>
          <w:rFonts w:ascii="Times New Roman" w:eastAsia="Times New Roman" w:hAnsi="Times New Roman" w:cs="Times New Roman"/>
          <w:color w:val="222222"/>
          <w:sz w:val="24"/>
          <w:szCs w:val="24"/>
          <w:lang w:eastAsia="tr-TR"/>
        </w:rPr>
        <w:t>, Uzmanlık Yeterlilik Tezi, T.</w:t>
      </w:r>
      <w:r w:rsidRPr="009218D1">
        <w:rPr>
          <w:rFonts w:ascii="Times New Roman" w:eastAsia="Times New Roman" w:hAnsi="Times New Roman" w:cs="Times New Roman"/>
          <w:color w:val="222222"/>
          <w:sz w:val="24"/>
          <w:szCs w:val="24"/>
          <w:lang w:eastAsia="tr-TR"/>
        </w:rPr>
        <w:t xml:space="preserve"> </w:t>
      </w:r>
      <w:r w:rsidR="00DB2D27" w:rsidRPr="009218D1">
        <w:rPr>
          <w:rFonts w:ascii="Times New Roman" w:eastAsia="Times New Roman" w:hAnsi="Times New Roman" w:cs="Times New Roman"/>
          <w:color w:val="222222"/>
          <w:sz w:val="24"/>
          <w:szCs w:val="24"/>
          <w:lang w:eastAsia="tr-TR"/>
        </w:rPr>
        <w:t>C. Merkez Bankası.</w:t>
      </w:r>
    </w:p>
    <w:p w:rsidR="008D68BB" w:rsidRPr="009218D1" w:rsidRDefault="008D68BB" w:rsidP="008D68BB">
      <w:pPr>
        <w:pStyle w:val="ListeParagraf"/>
        <w:rPr>
          <w:rFonts w:ascii="Times New Roman" w:eastAsia="Times New Roman" w:hAnsi="Times New Roman" w:cs="Times New Roman"/>
          <w:color w:val="222222"/>
          <w:sz w:val="24"/>
          <w:szCs w:val="24"/>
          <w:lang w:eastAsia="tr-TR"/>
        </w:rPr>
      </w:pPr>
    </w:p>
    <w:p w:rsidR="008D68BB" w:rsidRPr="009218D1" w:rsidRDefault="0075048F" w:rsidP="008D68BB">
      <w:pPr>
        <w:pStyle w:val="ListeParagraf"/>
        <w:numPr>
          <w:ilvl w:val="0"/>
          <w:numId w:val="4"/>
        </w:numPr>
        <w:spacing w:after="0" w:line="240" w:lineRule="auto"/>
        <w:jc w:val="both"/>
        <w:rPr>
          <w:rFonts w:ascii="Times New Roman" w:eastAsia="Times New Roman" w:hAnsi="Times New Roman" w:cs="Times New Roman"/>
          <w:color w:val="222222"/>
          <w:sz w:val="24"/>
          <w:szCs w:val="24"/>
          <w:lang w:eastAsia="tr-TR"/>
        </w:rPr>
      </w:pPr>
      <w:r w:rsidRPr="009218D1">
        <w:rPr>
          <w:rFonts w:ascii="Times New Roman" w:eastAsia="Times New Roman" w:hAnsi="Times New Roman" w:cs="Times New Roman"/>
          <w:color w:val="222222"/>
          <w:sz w:val="24"/>
          <w:szCs w:val="24"/>
          <w:lang w:eastAsia="tr-TR"/>
        </w:rPr>
        <w:t>ZAHEER</w:t>
      </w:r>
      <w:r w:rsidR="008D68BB" w:rsidRPr="009218D1">
        <w:rPr>
          <w:rFonts w:ascii="Times New Roman" w:eastAsia="Times New Roman" w:hAnsi="Times New Roman" w:cs="Times New Roman"/>
          <w:color w:val="222222"/>
          <w:sz w:val="24"/>
          <w:szCs w:val="24"/>
          <w:lang w:eastAsia="tr-TR"/>
        </w:rPr>
        <w:t xml:space="preserve">, Z., </w:t>
      </w:r>
      <w:r w:rsidRPr="009218D1">
        <w:rPr>
          <w:rFonts w:ascii="Times New Roman" w:eastAsia="Times New Roman" w:hAnsi="Times New Roman" w:cs="Times New Roman"/>
          <w:color w:val="222222"/>
          <w:sz w:val="24"/>
          <w:szCs w:val="24"/>
          <w:lang w:eastAsia="tr-TR"/>
        </w:rPr>
        <w:t>SAEED</w:t>
      </w:r>
      <w:r w:rsidR="008D68BB" w:rsidRPr="009218D1">
        <w:rPr>
          <w:rFonts w:ascii="Times New Roman" w:eastAsia="Times New Roman" w:hAnsi="Times New Roman" w:cs="Times New Roman"/>
          <w:color w:val="222222"/>
          <w:sz w:val="24"/>
          <w:szCs w:val="24"/>
          <w:lang w:eastAsia="tr-TR"/>
        </w:rPr>
        <w:t xml:space="preserve">, A., </w:t>
      </w:r>
      <w:r w:rsidRPr="009218D1">
        <w:rPr>
          <w:rFonts w:ascii="Times New Roman" w:eastAsia="Times New Roman" w:hAnsi="Times New Roman" w:cs="Times New Roman"/>
          <w:color w:val="222222"/>
          <w:sz w:val="24"/>
          <w:szCs w:val="24"/>
          <w:lang w:eastAsia="tr-TR"/>
        </w:rPr>
        <w:t>MIR</w:t>
      </w:r>
      <w:r w:rsidR="008D68BB" w:rsidRPr="009218D1">
        <w:rPr>
          <w:rFonts w:ascii="Times New Roman" w:eastAsia="Times New Roman" w:hAnsi="Times New Roman" w:cs="Times New Roman"/>
          <w:color w:val="222222"/>
          <w:sz w:val="24"/>
          <w:szCs w:val="24"/>
          <w:lang w:eastAsia="tr-TR"/>
        </w:rPr>
        <w:t>, A.</w:t>
      </w:r>
      <w:r w:rsidRPr="009218D1">
        <w:rPr>
          <w:rFonts w:ascii="Times New Roman" w:eastAsia="Times New Roman" w:hAnsi="Times New Roman" w:cs="Times New Roman"/>
          <w:color w:val="222222"/>
          <w:sz w:val="24"/>
          <w:szCs w:val="24"/>
          <w:lang w:eastAsia="tr-TR"/>
        </w:rPr>
        <w:t xml:space="preserve"> </w:t>
      </w:r>
      <w:r w:rsidR="008D68BB" w:rsidRPr="009218D1">
        <w:rPr>
          <w:rFonts w:ascii="Times New Roman" w:eastAsia="Times New Roman" w:hAnsi="Times New Roman" w:cs="Times New Roman"/>
          <w:color w:val="222222"/>
          <w:sz w:val="24"/>
          <w:szCs w:val="24"/>
          <w:lang w:eastAsia="tr-TR"/>
        </w:rPr>
        <w:t xml:space="preserve">S., (2011), </w:t>
      </w:r>
      <w:r w:rsidR="008D68BB" w:rsidRPr="009218D1">
        <w:rPr>
          <w:rFonts w:ascii="Times New Roman" w:eastAsia="Times New Roman" w:hAnsi="Times New Roman" w:cs="Times New Roman"/>
          <w:b/>
          <w:color w:val="222222"/>
          <w:sz w:val="24"/>
          <w:szCs w:val="24"/>
          <w:lang w:eastAsia="tr-TR"/>
        </w:rPr>
        <w:t xml:space="preserve">Determinants </w:t>
      </w:r>
      <w:r w:rsidRPr="009218D1">
        <w:rPr>
          <w:rFonts w:ascii="Times New Roman" w:eastAsia="Times New Roman" w:hAnsi="Times New Roman" w:cs="Times New Roman"/>
          <w:b/>
          <w:color w:val="222222"/>
          <w:sz w:val="24"/>
          <w:szCs w:val="24"/>
          <w:lang w:eastAsia="tr-TR"/>
        </w:rPr>
        <w:t>o</w:t>
      </w:r>
      <w:r w:rsidR="008D68BB" w:rsidRPr="009218D1">
        <w:rPr>
          <w:rFonts w:ascii="Times New Roman" w:eastAsia="Times New Roman" w:hAnsi="Times New Roman" w:cs="Times New Roman"/>
          <w:b/>
          <w:color w:val="222222"/>
          <w:sz w:val="24"/>
          <w:szCs w:val="24"/>
          <w:lang w:eastAsia="tr-TR"/>
        </w:rPr>
        <w:t>f Capital Structure: A Comprehensive Study of Textile Sector of Pakistan</w:t>
      </w:r>
      <w:r w:rsidR="008D68BB" w:rsidRPr="009218D1">
        <w:rPr>
          <w:rFonts w:ascii="Times New Roman" w:eastAsia="Times New Roman" w:hAnsi="Times New Roman" w:cs="Times New Roman"/>
          <w:color w:val="222222"/>
          <w:sz w:val="24"/>
          <w:szCs w:val="24"/>
          <w:lang w:eastAsia="tr-TR"/>
        </w:rPr>
        <w:t>, Internal Journal of Academic Research, 3 (5), 38-43.</w:t>
      </w:r>
    </w:p>
    <w:p w:rsidR="008D68BB" w:rsidRPr="008D68BB" w:rsidRDefault="008D68BB" w:rsidP="008D68BB">
      <w:pPr>
        <w:pStyle w:val="ListeParagraf"/>
        <w:spacing w:after="0" w:line="240" w:lineRule="auto"/>
        <w:jc w:val="both"/>
        <w:rPr>
          <w:rFonts w:ascii="Times New Roman" w:eastAsia="Times New Roman" w:hAnsi="Times New Roman" w:cs="Times New Roman"/>
          <w:color w:val="222222"/>
          <w:sz w:val="24"/>
          <w:szCs w:val="24"/>
          <w:lang w:eastAsia="tr-TR"/>
        </w:rPr>
      </w:pPr>
    </w:p>
    <w:p w:rsidR="008758B4" w:rsidRPr="00786686" w:rsidRDefault="008758B4" w:rsidP="000018B4">
      <w:pPr>
        <w:spacing w:before="120" w:after="120" w:line="240" w:lineRule="auto"/>
        <w:jc w:val="both"/>
        <w:rPr>
          <w:rFonts w:ascii="Times New Roman" w:hAnsi="Times New Roman" w:cs="Times New Roman"/>
          <w:b/>
          <w:sz w:val="24"/>
          <w:szCs w:val="24"/>
        </w:rPr>
      </w:pPr>
    </w:p>
    <w:sectPr w:rsidR="008758B4" w:rsidRPr="0078668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6B" w:rsidRDefault="00D02F6B" w:rsidP="00E63A0C">
      <w:pPr>
        <w:spacing w:after="0" w:line="240" w:lineRule="auto"/>
      </w:pPr>
      <w:r>
        <w:separator/>
      </w:r>
    </w:p>
  </w:endnote>
  <w:endnote w:type="continuationSeparator" w:id="0">
    <w:p w:rsidR="00D02F6B" w:rsidRDefault="00D02F6B" w:rsidP="00E6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547216"/>
      <w:docPartObj>
        <w:docPartGallery w:val="Page Numbers (Bottom of Page)"/>
        <w:docPartUnique/>
      </w:docPartObj>
    </w:sdtPr>
    <w:sdtEndPr/>
    <w:sdtContent>
      <w:p w:rsidR="005B35DB" w:rsidRDefault="005B35DB">
        <w:pPr>
          <w:pStyle w:val="Altbilgi"/>
          <w:jc w:val="center"/>
        </w:pPr>
        <w:r>
          <w:fldChar w:fldCharType="begin"/>
        </w:r>
        <w:r>
          <w:instrText>PAGE   \* MERGEFORMAT</w:instrText>
        </w:r>
        <w:r>
          <w:fldChar w:fldCharType="separate"/>
        </w:r>
        <w:r w:rsidR="00374986">
          <w:rPr>
            <w:noProof/>
          </w:rPr>
          <w:t>11</w:t>
        </w:r>
        <w:r>
          <w:fldChar w:fldCharType="end"/>
        </w:r>
      </w:p>
    </w:sdtContent>
  </w:sdt>
  <w:p w:rsidR="005B35DB" w:rsidRDefault="005B35D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6B" w:rsidRDefault="00D02F6B" w:rsidP="00E63A0C">
      <w:pPr>
        <w:spacing w:after="0" w:line="240" w:lineRule="auto"/>
      </w:pPr>
      <w:r>
        <w:separator/>
      </w:r>
    </w:p>
  </w:footnote>
  <w:footnote w:type="continuationSeparator" w:id="0">
    <w:p w:rsidR="00D02F6B" w:rsidRDefault="00D02F6B" w:rsidP="00E63A0C">
      <w:pPr>
        <w:spacing w:after="0" w:line="240" w:lineRule="auto"/>
      </w:pPr>
      <w:r>
        <w:continuationSeparator/>
      </w:r>
    </w:p>
  </w:footnote>
  <w:footnote w:id="1">
    <w:p w:rsidR="005B35DB" w:rsidRPr="00D66A80" w:rsidRDefault="005B35DB" w:rsidP="00786686">
      <w:pPr>
        <w:pStyle w:val="DipnotMetni"/>
        <w:spacing w:after="0"/>
        <w:rPr>
          <w:i/>
          <w:sz w:val="22"/>
          <w:szCs w:val="22"/>
        </w:rPr>
      </w:pPr>
      <w:r w:rsidRPr="00D66A80">
        <w:rPr>
          <w:rStyle w:val="DipnotBavurusu"/>
          <w:i/>
          <w:sz w:val="22"/>
          <w:szCs w:val="22"/>
        </w:rPr>
        <w:footnoteRef/>
      </w:r>
      <w:r w:rsidRPr="00D66A80">
        <w:rPr>
          <w:i/>
          <w:sz w:val="22"/>
          <w:szCs w:val="22"/>
        </w:rPr>
        <w:t xml:space="preserve"> </w:t>
      </w:r>
      <w:r w:rsidRPr="00D66A80">
        <w:rPr>
          <w:b/>
          <w:i/>
          <w:sz w:val="22"/>
          <w:szCs w:val="22"/>
        </w:rPr>
        <w:t>Seda CANSIZ</w:t>
      </w:r>
      <w:r w:rsidRPr="00D66A80">
        <w:rPr>
          <w:i/>
          <w:sz w:val="22"/>
          <w:szCs w:val="22"/>
        </w:rPr>
        <w:t>, T. C. Bilim, Sanayi ve Teknoloji Bakanlığı, Verimlilik Genel Müdürlüğü, Sanayi ve Teknoloji Uzmanı.</w:t>
      </w:r>
    </w:p>
  </w:footnote>
  <w:footnote w:id="2">
    <w:p w:rsidR="005B35DB" w:rsidRPr="00D66A80" w:rsidRDefault="005B35DB">
      <w:pPr>
        <w:pStyle w:val="DipnotMetni"/>
        <w:rPr>
          <w:i/>
          <w:sz w:val="22"/>
          <w:szCs w:val="22"/>
        </w:rPr>
      </w:pPr>
      <w:r w:rsidRPr="00D66A80">
        <w:rPr>
          <w:rStyle w:val="DipnotBavurusu"/>
          <w:i/>
          <w:sz w:val="22"/>
          <w:szCs w:val="22"/>
        </w:rPr>
        <w:footnoteRef/>
      </w:r>
      <w:r w:rsidRPr="00D66A80">
        <w:rPr>
          <w:i/>
          <w:sz w:val="22"/>
          <w:szCs w:val="22"/>
        </w:rPr>
        <w:t xml:space="preserve"> </w:t>
      </w:r>
      <w:r w:rsidRPr="00D66A80">
        <w:rPr>
          <w:b/>
          <w:i/>
          <w:sz w:val="22"/>
          <w:szCs w:val="22"/>
        </w:rPr>
        <w:t>Güven SAYILGAN</w:t>
      </w:r>
      <w:r w:rsidRPr="00D66A80">
        <w:rPr>
          <w:i/>
          <w:sz w:val="22"/>
          <w:szCs w:val="22"/>
        </w:rPr>
        <w:t>, Prof. Dr.</w:t>
      </w:r>
      <w:r>
        <w:rPr>
          <w:i/>
          <w:sz w:val="22"/>
          <w:szCs w:val="22"/>
        </w:rPr>
        <w:t>,</w:t>
      </w:r>
      <w:r w:rsidRPr="00D66A80">
        <w:rPr>
          <w:i/>
          <w:sz w:val="22"/>
          <w:szCs w:val="22"/>
        </w:rPr>
        <w:t xml:space="preserve"> Ankara Üniversitesi, Siyasal Bilimler Fakültesi, İşletme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ABF"/>
    <w:multiLevelType w:val="hybridMultilevel"/>
    <w:tmpl w:val="004A704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A1F637C"/>
    <w:multiLevelType w:val="multilevel"/>
    <w:tmpl w:val="A3D24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BD10436"/>
    <w:multiLevelType w:val="hybridMultilevel"/>
    <w:tmpl w:val="98CEB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43C766D"/>
    <w:multiLevelType w:val="hybridMultilevel"/>
    <w:tmpl w:val="E70C59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FD"/>
    <w:rsid w:val="000018B4"/>
    <w:rsid w:val="0000325D"/>
    <w:rsid w:val="00007894"/>
    <w:rsid w:val="00021FFD"/>
    <w:rsid w:val="00040A61"/>
    <w:rsid w:val="00041623"/>
    <w:rsid w:val="00052859"/>
    <w:rsid w:val="00057913"/>
    <w:rsid w:val="000705B4"/>
    <w:rsid w:val="00085311"/>
    <w:rsid w:val="00086E53"/>
    <w:rsid w:val="0009670D"/>
    <w:rsid w:val="000A4BC3"/>
    <w:rsid w:val="000B17F7"/>
    <w:rsid w:val="000B2CC0"/>
    <w:rsid w:val="000B3224"/>
    <w:rsid w:val="000C579D"/>
    <w:rsid w:val="000C6231"/>
    <w:rsid w:val="000C7F1B"/>
    <w:rsid w:val="000D4C0A"/>
    <w:rsid w:val="000F0951"/>
    <w:rsid w:val="000F2EF3"/>
    <w:rsid w:val="000F59CD"/>
    <w:rsid w:val="000F77AE"/>
    <w:rsid w:val="0010096F"/>
    <w:rsid w:val="0010374D"/>
    <w:rsid w:val="00110B53"/>
    <w:rsid w:val="0012030C"/>
    <w:rsid w:val="0012411C"/>
    <w:rsid w:val="00127A8F"/>
    <w:rsid w:val="0014351F"/>
    <w:rsid w:val="001502DB"/>
    <w:rsid w:val="00153E9F"/>
    <w:rsid w:val="00161498"/>
    <w:rsid w:val="00165618"/>
    <w:rsid w:val="00182754"/>
    <w:rsid w:val="00185AEC"/>
    <w:rsid w:val="001B2B2F"/>
    <w:rsid w:val="001B3AA5"/>
    <w:rsid w:val="001B403D"/>
    <w:rsid w:val="001C1151"/>
    <w:rsid w:val="001C1FCA"/>
    <w:rsid w:val="001C2141"/>
    <w:rsid w:val="001D598A"/>
    <w:rsid w:val="001E1271"/>
    <w:rsid w:val="001E4703"/>
    <w:rsid w:val="001F0DB7"/>
    <w:rsid w:val="001F4E45"/>
    <w:rsid w:val="001F51FA"/>
    <w:rsid w:val="00206457"/>
    <w:rsid w:val="00207DB4"/>
    <w:rsid w:val="002107D7"/>
    <w:rsid w:val="002162CB"/>
    <w:rsid w:val="00216A24"/>
    <w:rsid w:val="00223241"/>
    <w:rsid w:val="00226E97"/>
    <w:rsid w:val="00235067"/>
    <w:rsid w:val="002401AB"/>
    <w:rsid w:val="0024789A"/>
    <w:rsid w:val="002544AF"/>
    <w:rsid w:val="00262971"/>
    <w:rsid w:val="002634C7"/>
    <w:rsid w:val="00273799"/>
    <w:rsid w:val="002751D8"/>
    <w:rsid w:val="00282A1A"/>
    <w:rsid w:val="00295321"/>
    <w:rsid w:val="002A3FD0"/>
    <w:rsid w:val="002B4E2F"/>
    <w:rsid w:val="002B4FC4"/>
    <w:rsid w:val="002C07C2"/>
    <w:rsid w:val="002C7718"/>
    <w:rsid w:val="002D4A27"/>
    <w:rsid w:val="002E3327"/>
    <w:rsid w:val="002F5A0F"/>
    <w:rsid w:val="002F6A4C"/>
    <w:rsid w:val="00304F8B"/>
    <w:rsid w:val="003109A4"/>
    <w:rsid w:val="00315159"/>
    <w:rsid w:val="00315CE0"/>
    <w:rsid w:val="003218E5"/>
    <w:rsid w:val="003228A4"/>
    <w:rsid w:val="00324067"/>
    <w:rsid w:val="00326410"/>
    <w:rsid w:val="00331229"/>
    <w:rsid w:val="003414CA"/>
    <w:rsid w:val="00357124"/>
    <w:rsid w:val="00365E26"/>
    <w:rsid w:val="0037074E"/>
    <w:rsid w:val="00374986"/>
    <w:rsid w:val="00376D33"/>
    <w:rsid w:val="00380657"/>
    <w:rsid w:val="0038151B"/>
    <w:rsid w:val="00394F0C"/>
    <w:rsid w:val="003970BE"/>
    <w:rsid w:val="003A2AEC"/>
    <w:rsid w:val="003A4E70"/>
    <w:rsid w:val="003A7ABD"/>
    <w:rsid w:val="003B14DC"/>
    <w:rsid w:val="003B2D86"/>
    <w:rsid w:val="003B737C"/>
    <w:rsid w:val="003C062B"/>
    <w:rsid w:val="003C1180"/>
    <w:rsid w:val="003C6050"/>
    <w:rsid w:val="003D4B5B"/>
    <w:rsid w:val="003E40E9"/>
    <w:rsid w:val="003E4CA5"/>
    <w:rsid w:val="003F08A5"/>
    <w:rsid w:val="00400DD0"/>
    <w:rsid w:val="0040371D"/>
    <w:rsid w:val="0040550D"/>
    <w:rsid w:val="00421696"/>
    <w:rsid w:val="00426793"/>
    <w:rsid w:val="00431990"/>
    <w:rsid w:val="00432991"/>
    <w:rsid w:val="00433695"/>
    <w:rsid w:val="004355C0"/>
    <w:rsid w:val="00440303"/>
    <w:rsid w:val="0044372A"/>
    <w:rsid w:val="00447334"/>
    <w:rsid w:val="004529F5"/>
    <w:rsid w:val="00460663"/>
    <w:rsid w:val="00463C2F"/>
    <w:rsid w:val="00466D11"/>
    <w:rsid w:val="00466DFD"/>
    <w:rsid w:val="00471F99"/>
    <w:rsid w:val="00481E32"/>
    <w:rsid w:val="00482959"/>
    <w:rsid w:val="0049417C"/>
    <w:rsid w:val="004954F0"/>
    <w:rsid w:val="004A6DA3"/>
    <w:rsid w:val="004B5760"/>
    <w:rsid w:val="004C2E8A"/>
    <w:rsid w:val="004D385E"/>
    <w:rsid w:val="004D397A"/>
    <w:rsid w:val="004E0108"/>
    <w:rsid w:val="004E045F"/>
    <w:rsid w:val="004F556E"/>
    <w:rsid w:val="00513B58"/>
    <w:rsid w:val="00525228"/>
    <w:rsid w:val="005317DA"/>
    <w:rsid w:val="0055105F"/>
    <w:rsid w:val="00555146"/>
    <w:rsid w:val="00557CF4"/>
    <w:rsid w:val="00575BA3"/>
    <w:rsid w:val="005807E7"/>
    <w:rsid w:val="00583BAE"/>
    <w:rsid w:val="00590CDC"/>
    <w:rsid w:val="00590D2E"/>
    <w:rsid w:val="00596467"/>
    <w:rsid w:val="005B35DB"/>
    <w:rsid w:val="005B70AB"/>
    <w:rsid w:val="005C69EB"/>
    <w:rsid w:val="005D4A48"/>
    <w:rsid w:val="005D5F45"/>
    <w:rsid w:val="005E32DF"/>
    <w:rsid w:val="005E5DB3"/>
    <w:rsid w:val="005F0F7F"/>
    <w:rsid w:val="006049BE"/>
    <w:rsid w:val="00610DEA"/>
    <w:rsid w:val="00615A11"/>
    <w:rsid w:val="00623577"/>
    <w:rsid w:val="00625A61"/>
    <w:rsid w:val="00627898"/>
    <w:rsid w:val="006477C2"/>
    <w:rsid w:val="0065327C"/>
    <w:rsid w:val="00655345"/>
    <w:rsid w:val="00655A72"/>
    <w:rsid w:val="0065627D"/>
    <w:rsid w:val="00660821"/>
    <w:rsid w:val="006608C1"/>
    <w:rsid w:val="00666B2B"/>
    <w:rsid w:val="0067398D"/>
    <w:rsid w:val="00696FB6"/>
    <w:rsid w:val="006A13D8"/>
    <w:rsid w:val="006A56C2"/>
    <w:rsid w:val="006B12FB"/>
    <w:rsid w:val="006B41FA"/>
    <w:rsid w:val="006C6DFD"/>
    <w:rsid w:val="006E3A98"/>
    <w:rsid w:val="006E55A5"/>
    <w:rsid w:val="006E5BA6"/>
    <w:rsid w:val="00702D42"/>
    <w:rsid w:val="00714CEF"/>
    <w:rsid w:val="00722376"/>
    <w:rsid w:val="007278F0"/>
    <w:rsid w:val="00743383"/>
    <w:rsid w:val="00746B4F"/>
    <w:rsid w:val="0075048F"/>
    <w:rsid w:val="00772F0F"/>
    <w:rsid w:val="00773101"/>
    <w:rsid w:val="007808FA"/>
    <w:rsid w:val="00783CE5"/>
    <w:rsid w:val="00786686"/>
    <w:rsid w:val="0079275F"/>
    <w:rsid w:val="007A2537"/>
    <w:rsid w:val="007B3AF7"/>
    <w:rsid w:val="007B4CA3"/>
    <w:rsid w:val="007B5533"/>
    <w:rsid w:val="007D1BA0"/>
    <w:rsid w:val="007D205D"/>
    <w:rsid w:val="007D3264"/>
    <w:rsid w:val="007F4449"/>
    <w:rsid w:val="008007D8"/>
    <w:rsid w:val="00803479"/>
    <w:rsid w:val="008108CB"/>
    <w:rsid w:val="00817311"/>
    <w:rsid w:val="008314CC"/>
    <w:rsid w:val="00832A62"/>
    <w:rsid w:val="00837541"/>
    <w:rsid w:val="00846FA7"/>
    <w:rsid w:val="008758B4"/>
    <w:rsid w:val="008827CB"/>
    <w:rsid w:val="008977C9"/>
    <w:rsid w:val="00897F9B"/>
    <w:rsid w:val="008A2168"/>
    <w:rsid w:val="008B026A"/>
    <w:rsid w:val="008B4184"/>
    <w:rsid w:val="008B48CD"/>
    <w:rsid w:val="008C27EE"/>
    <w:rsid w:val="008C3C9F"/>
    <w:rsid w:val="008D47C2"/>
    <w:rsid w:val="008D68BB"/>
    <w:rsid w:val="008D6F8C"/>
    <w:rsid w:val="008D79B4"/>
    <w:rsid w:val="008F46AE"/>
    <w:rsid w:val="008F6086"/>
    <w:rsid w:val="0090095E"/>
    <w:rsid w:val="009124E1"/>
    <w:rsid w:val="00921156"/>
    <w:rsid w:val="009218D1"/>
    <w:rsid w:val="00926332"/>
    <w:rsid w:val="00932BC8"/>
    <w:rsid w:val="009444FB"/>
    <w:rsid w:val="00950B7E"/>
    <w:rsid w:val="00953C48"/>
    <w:rsid w:val="00954838"/>
    <w:rsid w:val="00964A5D"/>
    <w:rsid w:val="009653E9"/>
    <w:rsid w:val="00976255"/>
    <w:rsid w:val="0099369C"/>
    <w:rsid w:val="009A17E6"/>
    <w:rsid w:val="009A1B8E"/>
    <w:rsid w:val="009A3978"/>
    <w:rsid w:val="009A43B4"/>
    <w:rsid w:val="009B3543"/>
    <w:rsid w:val="009B7E8C"/>
    <w:rsid w:val="009D782D"/>
    <w:rsid w:val="009D7D9A"/>
    <w:rsid w:val="009E45C3"/>
    <w:rsid w:val="009E5B8D"/>
    <w:rsid w:val="009F23A0"/>
    <w:rsid w:val="00A00968"/>
    <w:rsid w:val="00A00AD8"/>
    <w:rsid w:val="00A02554"/>
    <w:rsid w:val="00A03B62"/>
    <w:rsid w:val="00A04ED3"/>
    <w:rsid w:val="00A05140"/>
    <w:rsid w:val="00A063E8"/>
    <w:rsid w:val="00A37C2E"/>
    <w:rsid w:val="00A45DFC"/>
    <w:rsid w:val="00A63A68"/>
    <w:rsid w:val="00A76747"/>
    <w:rsid w:val="00A77D15"/>
    <w:rsid w:val="00A82B1A"/>
    <w:rsid w:val="00A94C5B"/>
    <w:rsid w:val="00A979E0"/>
    <w:rsid w:val="00AA27DB"/>
    <w:rsid w:val="00AB0099"/>
    <w:rsid w:val="00AB3473"/>
    <w:rsid w:val="00AD17AB"/>
    <w:rsid w:val="00AD465A"/>
    <w:rsid w:val="00AE4B0F"/>
    <w:rsid w:val="00AF3B1A"/>
    <w:rsid w:val="00AF5D3B"/>
    <w:rsid w:val="00AF61AC"/>
    <w:rsid w:val="00B00E83"/>
    <w:rsid w:val="00B01A64"/>
    <w:rsid w:val="00B04353"/>
    <w:rsid w:val="00B20FF9"/>
    <w:rsid w:val="00B32364"/>
    <w:rsid w:val="00B361C9"/>
    <w:rsid w:val="00B50CF5"/>
    <w:rsid w:val="00B51010"/>
    <w:rsid w:val="00B54C24"/>
    <w:rsid w:val="00B73AF8"/>
    <w:rsid w:val="00B76DEB"/>
    <w:rsid w:val="00B82D44"/>
    <w:rsid w:val="00B82E4B"/>
    <w:rsid w:val="00B83D8F"/>
    <w:rsid w:val="00B864F9"/>
    <w:rsid w:val="00B87286"/>
    <w:rsid w:val="00BA03F7"/>
    <w:rsid w:val="00BA4983"/>
    <w:rsid w:val="00BB1BAB"/>
    <w:rsid w:val="00BC73BF"/>
    <w:rsid w:val="00BD6141"/>
    <w:rsid w:val="00BE3467"/>
    <w:rsid w:val="00BF53EE"/>
    <w:rsid w:val="00C073CD"/>
    <w:rsid w:val="00C1310B"/>
    <w:rsid w:val="00C1457D"/>
    <w:rsid w:val="00C14AA1"/>
    <w:rsid w:val="00C225A2"/>
    <w:rsid w:val="00C34B31"/>
    <w:rsid w:val="00C4058E"/>
    <w:rsid w:val="00C40F1F"/>
    <w:rsid w:val="00C44077"/>
    <w:rsid w:val="00C44851"/>
    <w:rsid w:val="00C55110"/>
    <w:rsid w:val="00C55ED9"/>
    <w:rsid w:val="00C564C1"/>
    <w:rsid w:val="00C739A3"/>
    <w:rsid w:val="00C772B9"/>
    <w:rsid w:val="00C91211"/>
    <w:rsid w:val="00C93FA5"/>
    <w:rsid w:val="00C95100"/>
    <w:rsid w:val="00CA6B1E"/>
    <w:rsid w:val="00CB4107"/>
    <w:rsid w:val="00CD2157"/>
    <w:rsid w:val="00CF5BA0"/>
    <w:rsid w:val="00CF7227"/>
    <w:rsid w:val="00D01297"/>
    <w:rsid w:val="00D02F6B"/>
    <w:rsid w:val="00D100E4"/>
    <w:rsid w:val="00D132A4"/>
    <w:rsid w:val="00D2197B"/>
    <w:rsid w:val="00D26D41"/>
    <w:rsid w:val="00D477E9"/>
    <w:rsid w:val="00D5045B"/>
    <w:rsid w:val="00D53E44"/>
    <w:rsid w:val="00D53F57"/>
    <w:rsid w:val="00D573DF"/>
    <w:rsid w:val="00D57B74"/>
    <w:rsid w:val="00D65C25"/>
    <w:rsid w:val="00D66A80"/>
    <w:rsid w:val="00D673D9"/>
    <w:rsid w:val="00D75D9E"/>
    <w:rsid w:val="00D843F3"/>
    <w:rsid w:val="00D9054D"/>
    <w:rsid w:val="00D91A40"/>
    <w:rsid w:val="00D92FB4"/>
    <w:rsid w:val="00D95B18"/>
    <w:rsid w:val="00DA0426"/>
    <w:rsid w:val="00DA5683"/>
    <w:rsid w:val="00DB29C3"/>
    <w:rsid w:val="00DB2D27"/>
    <w:rsid w:val="00DB6420"/>
    <w:rsid w:val="00DB6957"/>
    <w:rsid w:val="00DC4F72"/>
    <w:rsid w:val="00DD766E"/>
    <w:rsid w:val="00DE2AC1"/>
    <w:rsid w:val="00DE340B"/>
    <w:rsid w:val="00DE4D7B"/>
    <w:rsid w:val="00DF32D1"/>
    <w:rsid w:val="00DF42BB"/>
    <w:rsid w:val="00E01701"/>
    <w:rsid w:val="00E42654"/>
    <w:rsid w:val="00E42BA2"/>
    <w:rsid w:val="00E47BE3"/>
    <w:rsid w:val="00E5044D"/>
    <w:rsid w:val="00E50913"/>
    <w:rsid w:val="00E54F7C"/>
    <w:rsid w:val="00E629E6"/>
    <w:rsid w:val="00E63A0C"/>
    <w:rsid w:val="00E71A6D"/>
    <w:rsid w:val="00E7303F"/>
    <w:rsid w:val="00E7509B"/>
    <w:rsid w:val="00E775CF"/>
    <w:rsid w:val="00E94202"/>
    <w:rsid w:val="00EA2DA6"/>
    <w:rsid w:val="00EA3786"/>
    <w:rsid w:val="00EB2349"/>
    <w:rsid w:val="00EB48EB"/>
    <w:rsid w:val="00EC5E07"/>
    <w:rsid w:val="00ED1760"/>
    <w:rsid w:val="00ED49FE"/>
    <w:rsid w:val="00EF2F83"/>
    <w:rsid w:val="00F11856"/>
    <w:rsid w:val="00F27531"/>
    <w:rsid w:val="00F278DE"/>
    <w:rsid w:val="00F30E89"/>
    <w:rsid w:val="00F3619D"/>
    <w:rsid w:val="00F362C1"/>
    <w:rsid w:val="00F45856"/>
    <w:rsid w:val="00F479A2"/>
    <w:rsid w:val="00F57C20"/>
    <w:rsid w:val="00F65856"/>
    <w:rsid w:val="00F74916"/>
    <w:rsid w:val="00F76AF3"/>
    <w:rsid w:val="00F76D29"/>
    <w:rsid w:val="00FA3D5B"/>
    <w:rsid w:val="00FA471A"/>
    <w:rsid w:val="00FA7DC2"/>
    <w:rsid w:val="00FB4EC2"/>
    <w:rsid w:val="00FC6EE6"/>
    <w:rsid w:val="00FE1802"/>
    <w:rsid w:val="00FE5611"/>
    <w:rsid w:val="00FE66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6957"/>
    <w:pPr>
      <w:ind w:left="720"/>
      <w:contextualSpacing/>
    </w:pPr>
  </w:style>
  <w:style w:type="table" w:styleId="TabloKlavuzu">
    <w:name w:val="Table Grid"/>
    <w:basedOn w:val="NormalTablo"/>
    <w:uiPriority w:val="59"/>
    <w:rsid w:val="0012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63A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3A0C"/>
  </w:style>
  <w:style w:type="paragraph" w:styleId="Altbilgi">
    <w:name w:val="footer"/>
    <w:basedOn w:val="Normal"/>
    <w:link w:val="AltbilgiChar"/>
    <w:uiPriority w:val="99"/>
    <w:unhideWhenUsed/>
    <w:rsid w:val="00E63A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3A0C"/>
  </w:style>
  <w:style w:type="paragraph" w:styleId="BalonMetni">
    <w:name w:val="Balloon Text"/>
    <w:basedOn w:val="Normal"/>
    <w:link w:val="BalonMetniChar"/>
    <w:uiPriority w:val="99"/>
    <w:semiHidden/>
    <w:unhideWhenUsed/>
    <w:rsid w:val="00E63A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A0C"/>
    <w:rPr>
      <w:rFonts w:ascii="Tahoma" w:hAnsi="Tahoma" w:cs="Tahoma"/>
      <w:sz w:val="16"/>
      <w:szCs w:val="16"/>
    </w:rPr>
  </w:style>
  <w:style w:type="paragraph" w:styleId="DipnotMetni">
    <w:name w:val="footnote text"/>
    <w:basedOn w:val="Normal"/>
    <w:link w:val="DipnotMetniChar"/>
    <w:uiPriority w:val="99"/>
    <w:semiHidden/>
    <w:unhideWhenUsed/>
    <w:rsid w:val="00E63A0C"/>
    <w:pPr>
      <w:spacing w:after="120" w:line="240" w:lineRule="auto"/>
      <w:jc w:val="both"/>
    </w:pPr>
    <w:rPr>
      <w:rFonts w:ascii="Times New Roman" w:eastAsia="Calibri" w:hAnsi="Times New Roman" w:cs="Times New Roman"/>
      <w:sz w:val="20"/>
      <w:szCs w:val="20"/>
    </w:rPr>
  </w:style>
  <w:style w:type="character" w:customStyle="1" w:styleId="DipnotMetniChar">
    <w:name w:val="Dipnot Metni Char"/>
    <w:basedOn w:val="VarsaylanParagrafYazTipi"/>
    <w:link w:val="DipnotMetni"/>
    <w:uiPriority w:val="99"/>
    <w:semiHidden/>
    <w:rsid w:val="00E63A0C"/>
    <w:rPr>
      <w:rFonts w:ascii="Times New Roman" w:eastAsia="Calibri" w:hAnsi="Times New Roman" w:cs="Times New Roman"/>
      <w:sz w:val="20"/>
      <w:szCs w:val="20"/>
    </w:rPr>
  </w:style>
  <w:style w:type="character" w:styleId="DipnotBavurusu">
    <w:name w:val="footnote reference"/>
    <w:basedOn w:val="VarsaylanParagrafYazTipi"/>
    <w:uiPriority w:val="99"/>
    <w:semiHidden/>
    <w:unhideWhenUsed/>
    <w:rsid w:val="00E63A0C"/>
    <w:rPr>
      <w:vertAlign w:val="superscript"/>
    </w:rPr>
  </w:style>
  <w:style w:type="character" w:styleId="Kpr">
    <w:name w:val="Hyperlink"/>
    <w:basedOn w:val="VarsaylanParagrafYazTipi"/>
    <w:uiPriority w:val="99"/>
    <w:semiHidden/>
    <w:unhideWhenUsed/>
    <w:rsid w:val="00ED49FE"/>
    <w:rPr>
      <w:strike w:val="0"/>
      <w:dstrike w:val="0"/>
      <w:color w:val="337AB7"/>
      <w:u w:val="none"/>
      <w:effect w:val="none"/>
      <w:shd w:val="clear" w:color="auto" w:fill="auto"/>
    </w:rPr>
  </w:style>
  <w:style w:type="paragraph" w:customStyle="1" w:styleId="Default">
    <w:name w:val="Default"/>
    <w:rsid w:val="00AB009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6957"/>
    <w:pPr>
      <w:ind w:left="720"/>
      <w:contextualSpacing/>
    </w:pPr>
  </w:style>
  <w:style w:type="table" w:styleId="TabloKlavuzu">
    <w:name w:val="Table Grid"/>
    <w:basedOn w:val="NormalTablo"/>
    <w:uiPriority w:val="59"/>
    <w:rsid w:val="0012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63A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3A0C"/>
  </w:style>
  <w:style w:type="paragraph" w:styleId="Altbilgi">
    <w:name w:val="footer"/>
    <w:basedOn w:val="Normal"/>
    <w:link w:val="AltbilgiChar"/>
    <w:uiPriority w:val="99"/>
    <w:unhideWhenUsed/>
    <w:rsid w:val="00E63A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3A0C"/>
  </w:style>
  <w:style w:type="paragraph" w:styleId="BalonMetni">
    <w:name w:val="Balloon Text"/>
    <w:basedOn w:val="Normal"/>
    <w:link w:val="BalonMetniChar"/>
    <w:uiPriority w:val="99"/>
    <w:semiHidden/>
    <w:unhideWhenUsed/>
    <w:rsid w:val="00E63A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A0C"/>
    <w:rPr>
      <w:rFonts w:ascii="Tahoma" w:hAnsi="Tahoma" w:cs="Tahoma"/>
      <w:sz w:val="16"/>
      <w:szCs w:val="16"/>
    </w:rPr>
  </w:style>
  <w:style w:type="paragraph" w:styleId="DipnotMetni">
    <w:name w:val="footnote text"/>
    <w:basedOn w:val="Normal"/>
    <w:link w:val="DipnotMetniChar"/>
    <w:uiPriority w:val="99"/>
    <w:semiHidden/>
    <w:unhideWhenUsed/>
    <w:rsid w:val="00E63A0C"/>
    <w:pPr>
      <w:spacing w:after="120" w:line="240" w:lineRule="auto"/>
      <w:jc w:val="both"/>
    </w:pPr>
    <w:rPr>
      <w:rFonts w:ascii="Times New Roman" w:eastAsia="Calibri" w:hAnsi="Times New Roman" w:cs="Times New Roman"/>
      <w:sz w:val="20"/>
      <w:szCs w:val="20"/>
    </w:rPr>
  </w:style>
  <w:style w:type="character" w:customStyle="1" w:styleId="DipnotMetniChar">
    <w:name w:val="Dipnot Metni Char"/>
    <w:basedOn w:val="VarsaylanParagrafYazTipi"/>
    <w:link w:val="DipnotMetni"/>
    <w:uiPriority w:val="99"/>
    <w:semiHidden/>
    <w:rsid w:val="00E63A0C"/>
    <w:rPr>
      <w:rFonts w:ascii="Times New Roman" w:eastAsia="Calibri" w:hAnsi="Times New Roman" w:cs="Times New Roman"/>
      <w:sz w:val="20"/>
      <w:szCs w:val="20"/>
    </w:rPr>
  </w:style>
  <w:style w:type="character" w:styleId="DipnotBavurusu">
    <w:name w:val="footnote reference"/>
    <w:basedOn w:val="VarsaylanParagrafYazTipi"/>
    <w:uiPriority w:val="99"/>
    <w:semiHidden/>
    <w:unhideWhenUsed/>
    <w:rsid w:val="00E63A0C"/>
    <w:rPr>
      <w:vertAlign w:val="superscript"/>
    </w:rPr>
  </w:style>
  <w:style w:type="character" w:styleId="Kpr">
    <w:name w:val="Hyperlink"/>
    <w:basedOn w:val="VarsaylanParagrafYazTipi"/>
    <w:uiPriority w:val="99"/>
    <w:semiHidden/>
    <w:unhideWhenUsed/>
    <w:rsid w:val="00ED49FE"/>
    <w:rPr>
      <w:strike w:val="0"/>
      <w:dstrike w:val="0"/>
      <w:color w:val="337AB7"/>
      <w:u w:val="none"/>
      <w:effect w:val="none"/>
      <w:shd w:val="clear" w:color="auto" w:fill="auto"/>
    </w:rPr>
  </w:style>
  <w:style w:type="paragraph" w:customStyle="1" w:styleId="Default">
    <w:name w:val="Default"/>
    <w:rsid w:val="00AB00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1501">
      <w:bodyDiv w:val="1"/>
      <w:marLeft w:val="0"/>
      <w:marRight w:val="0"/>
      <w:marTop w:val="0"/>
      <w:marBottom w:val="0"/>
      <w:divBdr>
        <w:top w:val="none" w:sz="0" w:space="0" w:color="auto"/>
        <w:left w:val="none" w:sz="0" w:space="0" w:color="auto"/>
        <w:bottom w:val="none" w:sz="0" w:space="0" w:color="auto"/>
        <w:right w:val="none" w:sz="0" w:space="0" w:color="auto"/>
      </w:divBdr>
    </w:div>
    <w:div w:id="107091723">
      <w:bodyDiv w:val="1"/>
      <w:marLeft w:val="0"/>
      <w:marRight w:val="0"/>
      <w:marTop w:val="0"/>
      <w:marBottom w:val="0"/>
      <w:divBdr>
        <w:top w:val="none" w:sz="0" w:space="0" w:color="auto"/>
        <w:left w:val="none" w:sz="0" w:space="0" w:color="auto"/>
        <w:bottom w:val="none" w:sz="0" w:space="0" w:color="auto"/>
        <w:right w:val="none" w:sz="0" w:space="0" w:color="auto"/>
      </w:divBdr>
      <w:divsChild>
        <w:div w:id="1079523656">
          <w:marLeft w:val="0"/>
          <w:marRight w:val="0"/>
          <w:marTop w:val="0"/>
          <w:marBottom w:val="0"/>
          <w:divBdr>
            <w:top w:val="none" w:sz="0" w:space="0" w:color="auto"/>
            <w:left w:val="none" w:sz="0" w:space="0" w:color="auto"/>
            <w:bottom w:val="none" w:sz="0" w:space="0" w:color="auto"/>
            <w:right w:val="none" w:sz="0" w:space="0" w:color="auto"/>
          </w:divBdr>
          <w:divsChild>
            <w:div w:id="443811975">
              <w:marLeft w:val="0"/>
              <w:marRight w:val="0"/>
              <w:marTop w:val="0"/>
              <w:marBottom w:val="0"/>
              <w:divBdr>
                <w:top w:val="none" w:sz="0" w:space="0" w:color="auto"/>
                <w:left w:val="none" w:sz="0" w:space="0" w:color="auto"/>
                <w:bottom w:val="none" w:sz="0" w:space="0" w:color="auto"/>
                <w:right w:val="none" w:sz="0" w:space="0" w:color="auto"/>
              </w:divBdr>
              <w:divsChild>
                <w:div w:id="1124347351">
                  <w:marLeft w:val="0"/>
                  <w:marRight w:val="0"/>
                  <w:marTop w:val="0"/>
                  <w:marBottom w:val="0"/>
                  <w:divBdr>
                    <w:top w:val="none" w:sz="0" w:space="0" w:color="auto"/>
                    <w:left w:val="none" w:sz="0" w:space="0" w:color="auto"/>
                    <w:bottom w:val="none" w:sz="0" w:space="0" w:color="auto"/>
                    <w:right w:val="none" w:sz="0" w:space="0" w:color="auto"/>
                  </w:divBdr>
                  <w:divsChild>
                    <w:div w:id="1250693046">
                      <w:marLeft w:val="0"/>
                      <w:marRight w:val="0"/>
                      <w:marTop w:val="0"/>
                      <w:marBottom w:val="0"/>
                      <w:divBdr>
                        <w:top w:val="none" w:sz="0" w:space="0" w:color="auto"/>
                        <w:left w:val="none" w:sz="0" w:space="0" w:color="auto"/>
                        <w:bottom w:val="none" w:sz="0" w:space="0" w:color="auto"/>
                        <w:right w:val="none" w:sz="0" w:space="0" w:color="auto"/>
                      </w:divBdr>
                      <w:divsChild>
                        <w:div w:id="1119646056">
                          <w:marLeft w:val="0"/>
                          <w:marRight w:val="0"/>
                          <w:marTop w:val="0"/>
                          <w:marBottom w:val="0"/>
                          <w:divBdr>
                            <w:top w:val="none" w:sz="0" w:space="0" w:color="auto"/>
                            <w:left w:val="none" w:sz="0" w:space="0" w:color="auto"/>
                            <w:bottom w:val="none" w:sz="0" w:space="0" w:color="auto"/>
                            <w:right w:val="none" w:sz="0" w:space="0" w:color="auto"/>
                          </w:divBdr>
                          <w:divsChild>
                            <w:div w:id="10159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504565">
      <w:bodyDiv w:val="1"/>
      <w:marLeft w:val="0"/>
      <w:marRight w:val="0"/>
      <w:marTop w:val="0"/>
      <w:marBottom w:val="0"/>
      <w:divBdr>
        <w:top w:val="none" w:sz="0" w:space="0" w:color="auto"/>
        <w:left w:val="none" w:sz="0" w:space="0" w:color="auto"/>
        <w:bottom w:val="none" w:sz="0" w:space="0" w:color="auto"/>
        <w:right w:val="none" w:sz="0" w:space="0" w:color="auto"/>
      </w:divBdr>
    </w:div>
    <w:div w:id="739520240">
      <w:bodyDiv w:val="1"/>
      <w:marLeft w:val="0"/>
      <w:marRight w:val="0"/>
      <w:marTop w:val="0"/>
      <w:marBottom w:val="0"/>
      <w:divBdr>
        <w:top w:val="none" w:sz="0" w:space="0" w:color="auto"/>
        <w:left w:val="none" w:sz="0" w:space="0" w:color="auto"/>
        <w:bottom w:val="none" w:sz="0" w:space="0" w:color="auto"/>
        <w:right w:val="none" w:sz="0" w:space="0" w:color="auto"/>
      </w:divBdr>
      <w:divsChild>
        <w:div w:id="13462930">
          <w:marLeft w:val="0"/>
          <w:marRight w:val="0"/>
          <w:marTop w:val="0"/>
          <w:marBottom w:val="0"/>
          <w:divBdr>
            <w:top w:val="none" w:sz="0" w:space="0" w:color="auto"/>
            <w:left w:val="none" w:sz="0" w:space="0" w:color="auto"/>
            <w:bottom w:val="none" w:sz="0" w:space="0" w:color="auto"/>
            <w:right w:val="none" w:sz="0" w:space="0" w:color="auto"/>
          </w:divBdr>
          <w:divsChild>
            <w:div w:id="1084255446">
              <w:marLeft w:val="0"/>
              <w:marRight w:val="0"/>
              <w:marTop w:val="0"/>
              <w:marBottom w:val="0"/>
              <w:divBdr>
                <w:top w:val="none" w:sz="0" w:space="0" w:color="auto"/>
                <w:left w:val="none" w:sz="0" w:space="0" w:color="auto"/>
                <w:bottom w:val="none" w:sz="0" w:space="0" w:color="auto"/>
                <w:right w:val="none" w:sz="0" w:space="0" w:color="auto"/>
              </w:divBdr>
              <w:divsChild>
                <w:div w:id="1555000339">
                  <w:marLeft w:val="0"/>
                  <w:marRight w:val="0"/>
                  <w:marTop w:val="0"/>
                  <w:marBottom w:val="0"/>
                  <w:divBdr>
                    <w:top w:val="none" w:sz="0" w:space="0" w:color="auto"/>
                    <w:left w:val="none" w:sz="0" w:space="0" w:color="auto"/>
                    <w:bottom w:val="none" w:sz="0" w:space="0" w:color="auto"/>
                    <w:right w:val="none" w:sz="0" w:space="0" w:color="auto"/>
                  </w:divBdr>
                  <w:divsChild>
                    <w:div w:id="133648615">
                      <w:marLeft w:val="0"/>
                      <w:marRight w:val="0"/>
                      <w:marTop w:val="0"/>
                      <w:marBottom w:val="0"/>
                      <w:divBdr>
                        <w:top w:val="none" w:sz="0" w:space="0" w:color="auto"/>
                        <w:left w:val="none" w:sz="0" w:space="0" w:color="auto"/>
                        <w:bottom w:val="none" w:sz="0" w:space="0" w:color="auto"/>
                        <w:right w:val="none" w:sz="0" w:space="0" w:color="auto"/>
                      </w:divBdr>
                      <w:divsChild>
                        <w:div w:id="1396664231">
                          <w:marLeft w:val="0"/>
                          <w:marRight w:val="0"/>
                          <w:marTop w:val="0"/>
                          <w:marBottom w:val="0"/>
                          <w:divBdr>
                            <w:top w:val="none" w:sz="0" w:space="0" w:color="auto"/>
                            <w:left w:val="none" w:sz="0" w:space="0" w:color="auto"/>
                            <w:bottom w:val="none" w:sz="0" w:space="0" w:color="auto"/>
                            <w:right w:val="none" w:sz="0" w:space="0" w:color="auto"/>
                          </w:divBdr>
                          <w:divsChild>
                            <w:div w:id="7365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71375">
      <w:bodyDiv w:val="1"/>
      <w:marLeft w:val="0"/>
      <w:marRight w:val="0"/>
      <w:marTop w:val="0"/>
      <w:marBottom w:val="0"/>
      <w:divBdr>
        <w:top w:val="none" w:sz="0" w:space="0" w:color="auto"/>
        <w:left w:val="none" w:sz="0" w:space="0" w:color="auto"/>
        <w:bottom w:val="none" w:sz="0" w:space="0" w:color="auto"/>
        <w:right w:val="none" w:sz="0" w:space="0" w:color="auto"/>
      </w:divBdr>
      <w:divsChild>
        <w:div w:id="942110002">
          <w:marLeft w:val="0"/>
          <w:marRight w:val="0"/>
          <w:marTop w:val="0"/>
          <w:marBottom w:val="0"/>
          <w:divBdr>
            <w:top w:val="none" w:sz="0" w:space="0" w:color="auto"/>
            <w:left w:val="none" w:sz="0" w:space="0" w:color="auto"/>
            <w:bottom w:val="none" w:sz="0" w:space="0" w:color="auto"/>
            <w:right w:val="none" w:sz="0" w:space="0" w:color="auto"/>
          </w:divBdr>
          <w:divsChild>
            <w:div w:id="452284543">
              <w:marLeft w:val="0"/>
              <w:marRight w:val="0"/>
              <w:marTop w:val="0"/>
              <w:marBottom w:val="0"/>
              <w:divBdr>
                <w:top w:val="none" w:sz="0" w:space="0" w:color="auto"/>
                <w:left w:val="none" w:sz="0" w:space="0" w:color="auto"/>
                <w:bottom w:val="none" w:sz="0" w:space="0" w:color="auto"/>
                <w:right w:val="none" w:sz="0" w:space="0" w:color="auto"/>
              </w:divBdr>
              <w:divsChild>
                <w:div w:id="1057974630">
                  <w:marLeft w:val="0"/>
                  <w:marRight w:val="0"/>
                  <w:marTop w:val="0"/>
                  <w:marBottom w:val="0"/>
                  <w:divBdr>
                    <w:top w:val="none" w:sz="0" w:space="0" w:color="auto"/>
                    <w:left w:val="none" w:sz="0" w:space="0" w:color="auto"/>
                    <w:bottom w:val="none" w:sz="0" w:space="0" w:color="auto"/>
                    <w:right w:val="none" w:sz="0" w:space="0" w:color="auto"/>
                  </w:divBdr>
                  <w:divsChild>
                    <w:div w:id="428817737">
                      <w:marLeft w:val="0"/>
                      <w:marRight w:val="0"/>
                      <w:marTop w:val="0"/>
                      <w:marBottom w:val="0"/>
                      <w:divBdr>
                        <w:top w:val="none" w:sz="0" w:space="0" w:color="auto"/>
                        <w:left w:val="none" w:sz="0" w:space="0" w:color="auto"/>
                        <w:bottom w:val="none" w:sz="0" w:space="0" w:color="auto"/>
                        <w:right w:val="none" w:sz="0" w:space="0" w:color="auto"/>
                      </w:divBdr>
                      <w:divsChild>
                        <w:div w:id="1539928773">
                          <w:marLeft w:val="0"/>
                          <w:marRight w:val="0"/>
                          <w:marTop w:val="0"/>
                          <w:marBottom w:val="0"/>
                          <w:divBdr>
                            <w:top w:val="none" w:sz="0" w:space="0" w:color="auto"/>
                            <w:left w:val="none" w:sz="0" w:space="0" w:color="auto"/>
                            <w:bottom w:val="none" w:sz="0" w:space="0" w:color="auto"/>
                            <w:right w:val="none" w:sz="0" w:space="0" w:color="auto"/>
                          </w:divBdr>
                          <w:divsChild>
                            <w:div w:id="1461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131058">
      <w:bodyDiv w:val="1"/>
      <w:marLeft w:val="0"/>
      <w:marRight w:val="0"/>
      <w:marTop w:val="0"/>
      <w:marBottom w:val="0"/>
      <w:divBdr>
        <w:top w:val="none" w:sz="0" w:space="0" w:color="auto"/>
        <w:left w:val="none" w:sz="0" w:space="0" w:color="auto"/>
        <w:bottom w:val="none" w:sz="0" w:space="0" w:color="auto"/>
        <w:right w:val="none" w:sz="0" w:space="0" w:color="auto"/>
      </w:divBdr>
      <w:divsChild>
        <w:div w:id="1038896245">
          <w:marLeft w:val="0"/>
          <w:marRight w:val="0"/>
          <w:marTop w:val="0"/>
          <w:marBottom w:val="0"/>
          <w:divBdr>
            <w:top w:val="none" w:sz="0" w:space="0" w:color="auto"/>
            <w:left w:val="none" w:sz="0" w:space="0" w:color="auto"/>
            <w:bottom w:val="none" w:sz="0" w:space="0" w:color="auto"/>
            <w:right w:val="none" w:sz="0" w:space="0" w:color="auto"/>
          </w:divBdr>
          <w:divsChild>
            <w:div w:id="360589813">
              <w:marLeft w:val="0"/>
              <w:marRight w:val="0"/>
              <w:marTop w:val="0"/>
              <w:marBottom w:val="0"/>
              <w:divBdr>
                <w:top w:val="none" w:sz="0" w:space="0" w:color="auto"/>
                <w:left w:val="none" w:sz="0" w:space="0" w:color="auto"/>
                <w:bottom w:val="none" w:sz="0" w:space="0" w:color="auto"/>
                <w:right w:val="none" w:sz="0" w:space="0" w:color="auto"/>
              </w:divBdr>
              <w:divsChild>
                <w:div w:id="1699088635">
                  <w:marLeft w:val="0"/>
                  <w:marRight w:val="0"/>
                  <w:marTop w:val="0"/>
                  <w:marBottom w:val="0"/>
                  <w:divBdr>
                    <w:top w:val="none" w:sz="0" w:space="0" w:color="auto"/>
                    <w:left w:val="none" w:sz="0" w:space="0" w:color="auto"/>
                    <w:bottom w:val="none" w:sz="0" w:space="0" w:color="auto"/>
                    <w:right w:val="none" w:sz="0" w:space="0" w:color="auto"/>
                  </w:divBdr>
                  <w:divsChild>
                    <w:div w:id="303967201">
                      <w:marLeft w:val="0"/>
                      <w:marRight w:val="0"/>
                      <w:marTop w:val="0"/>
                      <w:marBottom w:val="0"/>
                      <w:divBdr>
                        <w:top w:val="none" w:sz="0" w:space="0" w:color="auto"/>
                        <w:left w:val="none" w:sz="0" w:space="0" w:color="auto"/>
                        <w:bottom w:val="none" w:sz="0" w:space="0" w:color="auto"/>
                        <w:right w:val="none" w:sz="0" w:space="0" w:color="auto"/>
                      </w:divBdr>
                      <w:divsChild>
                        <w:div w:id="1592275905">
                          <w:marLeft w:val="0"/>
                          <w:marRight w:val="0"/>
                          <w:marTop w:val="0"/>
                          <w:marBottom w:val="0"/>
                          <w:divBdr>
                            <w:top w:val="none" w:sz="0" w:space="0" w:color="auto"/>
                            <w:left w:val="none" w:sz="0" w:space="0" w:color="auto"/>
                            <w:bottom w:val="none" w:sz="0" w:space="0" w:color="auto"/>
                            <w:right w:val="none" w:sz="0" w:space="0" w:color="auto"/>
                          </w:divBdr>
                          <w:divsChild>
                            <w:div w:id="1912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90282">
      <w:bodyDiv w:val="1"/>
      <w:marLeft w:val="0"/>
      <w:marRight w:val="0"/>
      <w:marTop w:val="0"/>
      <w:marBottom w:val="0"/>
      <w:divBdr>
        <w:top w:val="none" w:sz="0" w:space="0" w:color="auto"/>
        <w:left w:val="none" w:sz="0" w:space="0" w:color="auto"/>
        <w:bottom w:val="none" w:sz="0" w:space="0" w:color="auto"/>
        <w:right w:val="none" w:sz="0" w:space="0" w:color="auto"/>
      </w:divBdr>
      <w:divsChild>
        <w:div w:id="542519661">
          <w:marLeft w:val="0"/>
          <w:marRight w:val="0"/>
          <w:marTop w:val="0"/>
          <w:marBottom w:val="0"/>
          <w:divBdr>
            <w:top w:val="none" w:sz="0" w:space="0" w:color="auto"/>
            <w:left w:val="none" w:sz="0" w:space="0" w:color="auto"/>
            <w:bottom w:val="none" w:sz="0" w:space="0" w:color="auto"/>
            <w:right w:val="none" w:sz="0" w:space="0" w:color="auto"/>
          </w:divBdr>
          <w:divsChild>
            <w:div w:id="1936863356">
              <w:marLeft w:val="0"/>
              <w:marRight w:val="0"/>
              <w:marTop w:val="0"/>
              <w:marBottom w:val="0"/>
              <w:divBdr>
                <w:top w:val="none" w:sz="0" w:space="0" w:color="auto"/>
                <w:left w:val="none" w:sz="0" w:space="0" w:color="auto"/>
                <w:bottom w:val="none" w:sz="0" w:space="0" w:color="auto"/>
                <w:right w:val="none" w:sz="0" w:space="0" w:color="auto"/>
              </w:divBdr>
              <w:divsChild>
                <w:div w:id="1925608683">
                  <w:marLeft w:val="0"/>
                  <w:marRight w:val="0"/>
                  <w:marTop w:val="0"/>
                  <w:marBottom w:val="0"/>
                  <w:divBdr>
                    <w:top w:val="none" w:sz="0" w:space="0" w:color="auto"/>
                    <w:left w:val="none" w:sz="0" w:space="0" w:color="auto"/>
                    <w:bottom w:val="none" w:sz="0" w:space="0" w:color="auto"/>
                    <w:right w:val="none" w:sz="0" w:space="0" w:color="auto"/>
                  </w:divBdr>
                  <w:divsChild>
                    <w:div w:id="634144602">
                      <w:marLeft w:val="0"/>
                      <w:marRight w:val="0"/>
                      <w:marTop w:val="0"/>
                      <w:marBottom w:val="0"/>
                      <w:divBdr>
                        <w:top w:val="none" w:sz="0" w:space="0" w:color="auto"/>
                        <w:left w:val="none" w:sz="0" w:space="0" w:color="auto"/>
                        <w:bottom w:val="none" w:sz="0" w:space="0" w:color="auto"/>
                        <w:right w:val="none" w:sz="0" w:space="0" w:color="auto"/>
                      </w:divBdr>
                      <w:divsChild>
                        <w:div w:id="194391428">
                          <w:marLeft w:val="0"/>
                          <w:marRight w:val="0"/>
                          <w:marTop w:val="0"/>
                          <w:marBottom w:val="0"/>
                          <w:divBdr>
                            <w:top w:val="none" w:sz="0" w:space="0" w:color="auto"/>
                            <w:left w:val="none" w:sz="0" w:space="0" w:color="auto"/>
                            <w:bottom w:val="none" w:sz="0" w:space="0" w:color="auto"/>
                            <w:right w:val="none" w:sz="0" w:space="0" w:color="auto"/>
                          </w:divBdr>
                          <w:divsChild>
                            <w:div w:id="13743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30220">
      <w:bodyDiv w:val="1"/>
      <w:marLeft w:val="0"/>
      <w:marRight w:val="0"/>
      <w:marTop w:val="0"/>
      <w:marBottom w:val="0"/>
      <w:divBdr>
        <w:top w:val="none" w:sz="0" w:space="0" w:color="auto"/>
        <w:left w:val="none" w:sz="0" w:space="0" w:color="auto"/>
        <w:bottom w:val="none" w:sz="0" w:space="0" w:color="auto"/>
        <w:right w:val="none" w:sz="0" w:space="0" w:color="auto"/>
      </w:divBdr>
      <w:divsChild>
        <w:div w:id="105009323">
          <w:marLeft w:val="0"/>
          <w:marRight w:val="0"/>
          <w:marTop w:val="0"/>
          <w:marBottom w:val="0"/>
          <w:divBdr>
            <w:top w:val="none" w:sz="0" w:space="0" w:color="auto"/>
            <w:left w:val="none" w:sz="0" w:space="0" w:color="auto"/>
            <w:bottom w:val="none" w:sz="0" w:space="0" w:color="auto"/>
            <w:right w:val="none" w:sz="0" w:space="0" w:color="auto"/>
          </w:divBdr>
          <w:divsChild>
            <w:div w:id="1764105341">
              <w:marLeft w:val="0"/>
              <w:marRight w:val="0"/>
              <w:marTop w:val="0"/>
              <w:marBottom w:val="0"/>
              <w:divBdr>
                <w:top w:val="none" w:sz="0" w:space="0" w:color="auto"/>
                <w:left w:val="none" w:sz="0" w:space="0" w:color="auto"/>
                <w:bottom w:val="none" w:sz="0" w:space="0" w:color="auto"/>
                <w:right w:val="none" w:sz="0" w:space="0" w:color="auto"/>
              </w:divBdr>
              <w:divsChild>
                <w:div w:id="754209303">
                  <w:marLeft w:val="0"/>
                  <w:marRight w:val="0"/>
                  <w:marTop w:val="0"/>
                  <w:marBottom w:val="0"/>
                  <w:divBdr>
                    <w:top w:val="none" w:sz="0" w:space="0" w:color="auto"/>
                    <w:left w:val="none" w:sz="0" w:space="0" w:color="auto"/>
                    <w:bottom w:val="none" w:sz="0" w:space="0" w:color="auto"/>
                    <w:right w:val="none" w:sz="0" w:space="0" w:color="auto"/>
                  </w:divBdr>
                  <w:divsChild>
                    <w:div w:id="772090033">
                      <w:marLeft w:val="0"/>
                      <w:marRight w:val="0"/>
                      <w:marTop w:val="0"/>
                      <w:marBottom w:val="0"/>
                      <w:divBdr>
                        <w:top w:val="none" w:sz="0" w:space="0" w:color="auto"/>
                        <w:left w:val="none" w:sz="0" w:space="0" w:color="auto"/>
                        <w:bottom w:val="none" w:sz="0" w:space="0" w:color="auto"/>
                        <w:right w:val="none" w:sz="0" w:space="0" w:color="auto"/>
                      </w:divBdr>
                      <w:divsChild>
                        <w:div w:id="374739166">
                          <w:marLeft w:val="0"/>
                          <w:marRight w:val="0"/>
                          <w:marTop w:val="0"/>
                          <w:marBottom w:val="0"/>
                          <w:divBdr>
                            <w:top w:val="none" w:sz="0" w:space="0" w:color="auto"/>
                            <w:left w:val="none" w:sz="0" w:space="0" w:color="auto"/>
                            <w:bottom w:val="none" w:sz="0" w:space="0" w:color="auto"/>
                            <w:right w:val="none" w:sz="0" w:space="0" w:color="auto"/>
                          </w:divBdr>
                          <w:divsChild>
                            <w:div w:id="6431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19236">
      <w:bodyDiv w:val="1"/>
      <w:marLeft w:val="0"/>
      <w:marRight w:val="0"/>
      <w:marTop w:val="0"/>
      <w:marBottom w:val="0"/>
      <w:divBdr>
        <w:top w:val="none" w:sz="0" w:space="0" w:color="auto"/>
        <w:left w:val="none" w:sz="0" w:space="0" w:color="auto"/>
        <w:bottom w:val="none" w:sz="0" w:space="0" w:color="auto"/>
        <w:right w:val="none" w:sz="0" w:space="0" w:color="auto"/>
      </w:divBdr>
    </w:div>
    <w:div w:id="1320504111">
      <w:bodyDiv w:val="1"/>
      <w:marLeft w:val="0"/>
      <w:marRight w:val="0"/>
      <w:marTop w:val="0"/>
      <w:marBottom w:val="0"/>
      <w:divBdr>
        <w:top w:val="none" w:sz="0" w:space="0" w:color="auto"/>
        <w:left w:val="none" w:sz="0" w:space="0" w:color="auto"/>
        <w:bottom w:val="none" w:sz="0" w:space="0" w:color="auto"/>
        <w:right w:val="none" w:sz="0" w:space="0" w:color="auto"/>
      </w:divBdr>
      <w:divsChild>
        <w:div w:id="101997977">
          <w:marLeft w:val="0"/>
          <w:marRight w:val="0"/>
          <w:marTop w:val="0"/>
          <w:marBottom w:val="0"/>
          <w:divBdr>
            <w:top w:val="none" w:sz="0" w:space="0" w:color="auto"/>
            <w:left w:val="none" w:sz="0" w:space="0" w:color="auto"/>
            <w:bottom w:val="none" w:sz="0" w:space="0" w:color="auto"/>
            <w:right w:val="none" w:sz="0" w:space="0" w:color="auto"/>
          </w:divBdr>
          <w:divsChild>
            <w:div w:id="1730181909">
              <w:marLeft w:val="0"/>
              <w:marRight w:val="0"/>
              <w:marTop w:val="0"/>
              <w:marBottom w:val="0"/>
              <w:divBdr>
                <w:top w:val="none" w:sz="0" w:space="0" w:color="auto"/>
                <w:left w:val="none" w:sz="0" w:space="0" w:color="auto"/>
                <w:bottom w:val="none" w:sz="0" w:space="0" w:color="auto"/>
                <w:right w:val="none" w:sz="0" w:space="0" w:color="auto"/>
              </w:divBdr>
              <w:divsChild>
                <w:div w:id="1884517096">
                  <w:marLeft w:val="0"/>
                  <w:marRight w:val="0"/>
                  <w:marTop w:val="0"/>
                  <w:marBottom w:val="0"/>
                  <w:divBdr>
                    <w:top w:val="none" w:sz="0" w:space="0" w:color="auto"/>
                    <w:left w:val="none" w:sz="0" w:space="0" w:color="auto"/>
                    <w:bottom w:val="none" w:sz="0" w:space="0" w:color="auto"/>
                    <w:right w:val="none" w:sz="0" w:space="0" w:color="auto"/>
                  </w:divBdr>
                  <w:divsChild>
                    <w:div w:id="691690942">
                      <w:marLeft w:val="0"/>
                      <w:marRight w:val="0"/>
                      <w:marTop w:val="0"/>
                      <w:marBottom w:val="0"/>
                      <w:divBdr>
                        <w:top w:val="none" w:sz="0" w:space="0" w:color="auto"/>
                        <w:left w:val="none" w:sz="0" w:space="0" w:color="auto"/>
                        <w:bottom w:val="none" w:sz="0" w:space="0" w:color="auto"/>
                        <w:right w:val="none" w:sz="0" w:space="0" w:color="auto"/>
                      </w:divBdr>
                      <w:divsChild>
                        <w:div w:id="579606978">
                          <w:marLeft w:val="0"/>
                          <w:marRight w:val="0"/>
                          <w:marTop w:val="0"/>
                          <w:marBottom w:val="0"/>
                          <w:divBdr>
                            <w:top w:val="none" w:sz="0" w:space="0" w:color="auto"/>
                            <w:left w:val="none" w:sz="0" w:space="0" w:color="auto"/>
                            <w:bottom w:val="none" w:sz="0" w:space="0" w:color="auto"/>
                            <w:right w:val="none" w:sz="0" w:space="0" w:color="auto"/>
                          </w:divBdr>
                          <w:divsChild>
                            <w:div w:id="20726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916337">
      <w:bodyDiv w:val="1"/>
      <w:marLeft w:val="0"/>
      <w:marRight w:val="0"/>
      <w:marTop w:val="0"/>
      <w:marBottom w:val="0"/>
      <w:divBdr>
        <w:top w:val="none" w:sz="0" w:space="0" w:color="auto"/>
        <w:left w:val="none" w:sz="0" w:space="0" w:color="auto"/>
        <w:bottom w:val="none" w:sz="0" w:space="0" w:color="auto"/>
        <w:right w:val="none" w:sz="0" w:space="0" w:color="auto"/>
      </w:divBdr>
      <w:divsChild>
        <w:div w:id="639655031">
          <w:marLeft w:val="0"/>
          <w:marRight w:val="0"/>
          <w:marTop w:val="0"/>
          <w:marBottom w:val="0"/>
          <w:divBdr>
            <w:top w:val="none" w:sz="0" w:space="0" w:color="auto"/>
            <w:left w:val="none" w:sz="0" w:space="0" w:color="auto"/>
            <w:bottom w:val="none" w:sz="0" w:space="0" w:color="auto"/>
            <w:right w:val="none" w:sz="0" w:space="0" w:color="auto"/>
          </w:divBdr>
          <w:divsChild>
            <w:div w:id="442572920">
              <w:marLeft w:val="0"/>
              <w:marRight w:val="0"/>
              <w:marTop w:val="0"/>
              <w:marBottom w:val="0"/>
              <w:divBdr>
                <w:top w:val="none" w:sz="0" w:space="0" w:color="auto"/>
                <w:left w:val="none" w:sz="0" w:space="0" w:color="auto"/>
                <w:bottom w:val="none" w:sz="0" w:space="0" w:color="auto"/>
                <w:right w:val="none" w:sz="0" w:space="0" w:color="auto"/>
              </w:divBdr>
              <w:divsChild>
                <w:div w:id="1735927738">
                  <w:marLeft w:val="0"/>
                  <w:marRight w:val="0"/>
                  <w:marTop w:val="0"/>
                  <w:marBottom w:val="0"/>
                  <w:divBdr>
                    <w:top w:val="none" w:sz="0" w:space="0" w:color="auto"/>
                    <w:left w:val="none" w:sz="0" w:space="0" w:color="auto"/>
                    <w:bottom w:val="none" w:sz="0" w:space="0" w:color="auto"/>
                    <w:right w:val="none" w:sz="0" w:space="0" w:color="auto"/>
                  </w:divBdr>
                  <w:divsChild>
                    <w:div w:id="825240251">
                      <w:marLeft w:val="0"/>
                      <w:marRight w:val="0"/>
                      <w:marTop w:val="0"/>
                      <w:marBottom w:val="0"/>
                      <w:divBdr>
                        <w:top w:val="none" w:sz="0" w:space="0" w:color="auto"/>
                        <w:left w:val="none" w:sz="0" w:space="0" w:color="auto"/>
                        <w:bottom w:val="none" w:sz="0" w:space="0" w:color="auto"/>
                        <w:right w:val="none" w:sz="0" w:space="0" w:color="auto"/>
                      </w:divBdr>
                      <w:divsChild>
                        <w:div w:id="2092581440">
                          <w:marLeft w:val="0"/>
                          <w:marRight w:val="0"/>
                          <w:marTop w:val="0"/>
                          <w:marBottom w:val="0"/>
                          <w:divBdr>
                            <w:top w:val="none" w:sz="0" w:space="0" w:color="auto"/>
                            <w:left w:val="none" w:sz="0" w:space="0" w:color="auto"/>
                            <w:bottom w:val="none" w:sz="0" w:space="0" w:color="auto"/>
                            <w:right w:val="none" w:sz="0" w:space="0" w:color="auto"/>
                          </w:divBdr>
                          <w:divsChild>
                            <w:div w:id="13619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19124">
      <w:bodyDiv w:val="1"/>
      <w:marLeft w:val="0"/>
      <w:marRight w:val="0"/>
      <w:marTop w:val="0"/>
      <w:marBottom w:val="0"/>
      <w:divBdr>
        <w:top w:val="none" w:sz="0" w:space="0" w:color="auto"/>
        <w:left w:val="none" w:sz="0" w:space="0" w:color="auto"/>
        <w:bottom w:val="none" w:sz="0" w:space="0" w:color="auto"/>
        <w:right w:val="none" w:sz="0" w:space="0" w:color="auto"/>
      </w:divBdr>
      <w:divsChild>
        <w:div w:id="615186434">
          <w:marLeft w:val="0"/>
          <w:marRight w:val="0"/>
          <w:marTop w:val="0"/>
          <w:marBottom w:val="0"/>
          <w:divBdr>
            <w:top w:val="none" w:sz="0" w:space="0" w:color="auto"/>
            <w:left w:val="none" w:sz="0" w:space="0" w:color="auto"/>
            <w:bottom w:val="none" w:sz="0" w:space="0" w:color="auto"/>
            <w:right w:val="none" w:sz="0" w:space="0" w:color="auto"/>
          </w:divBdr>
          <w:divsChild>
            <w:div w:id="1023358997">
              <w:marLeft w:val="0"/>
              <w:marRight w:val="0"/>
              <w:marTop w:val="0"/>
              <w:marBottom w:val="0"/>
              <w:divBdr>
                <w:top w:val="none" w:sz="0" w:space="0" w:color="auto"/>
                <w:left w:val="none" w:sz="0" w:space="0" w:color="auto"/>
                <w:bottom w:val="none" w:sz="0" w:space="0" w:color="auto"/>
                <w:right w:val="none" w:sz="0" w:space="0" w:color="auto"/>
              </w:divBdr>
              <w:divsChild>
                <w:div w:id="1083407664">
                  <w:marLeft w:val="0"/>
                  <w:marRight w:val="0"/>
                  <w:marTop w:val="0"/>
                  <w:marBottom w:val="0"/>
                  <w:divBdr>
                    <w:top w:val="none" w:sz="0" w:space="0" w:color="auto"/>
                    <w:left w:val="none" w:sz="0" w:space="0" w:color="auto"/>
                    <w:bottom w:val="none" w:sz="0" w:space="0" w:color="auto"/>
                    <w:right w:val="none" w:sz="0" w:space="0" w:color="auto"/>
                  </w:divBdr>
                  <w:divsChild>
                    <w:div w:id="506597602">
                      <w:marLeft w:val="0"/>
                      <w:marRight w:val="0"/>
                      <w:marTop w:val="0"/>
                      <w:marBottom w:val="0"/>
                      <w:divBdr>
                        <w:top w:val="none" w:sz="0" w:space="0" w:color="auto"/>
                        <w:left w:val="none" w:sz="0" w:space="0" w:color="auto"/>
                        <w:bottom w:val="none" w:sz="0" w:space="0" w:color="auto"/>
                        <w:right w:val="none" w:sz="0" w:space="0" w:color="auto"/>
                      </w:divBdr>
                      <w:divsChild>
                        <w:div w:id="466628445">
                          <w:marLeft w:val="0"/>
                          <w:marRight w:val="0"/>
                          <w:marTop w:val="0"/>
                          <w:marBottom w:val="0"/>
                          <w:divBdr>
                            <w:top w:val="none" w:sz="0" w:space="0" w:color="auto"/>
                            <w:left w:val="none" w:sz="0" w:space="0" w:color="auto"/>
                            <w:bottom w:val="none" w:sz="0" w:space="0" w:color="auto"/>
                            <w:right w:val="none" w:sz="0" w:space="0" w:color="auto"/>
                          </w:divBdr>
                          <w:divsChild>
                            <w:div w:id="549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999675">
      <w:bodyDiv w:val="1"/>
      <w:marLeft w:val="0"/>
      <w:marRight w:val="0"/>
      <w:marTop w:val="0"/>
      <w:marBottom w:val="0"/>
      <w:divBdr>
        <w:top w:val="none" w:sz="0" w:space="0" w:color="auto"/>
        <w:left w:val="none" w:sz="0" w:space="0" w:color="auto"/>
        <w:bottom w:val="none" w:sz="0" w:space="0" w:color="auto"/>
        <w:right w:val="none" w:sz="0" w:space="0" w:color="auto"/>
      </w:divBdr>
      <w:divsChild>
        <w:div w:id="1556970857">
          <w:marLeft w:val="0"/>
          <w:marRight w:val="0"/>
          <w:marTop w:val="0"/>
          <w:marBottom w:val="0"/>
          <w:divBdr>
            <w:top w:val="none" w:sz="0" w:space="0" w:color="auto"/>
            <w:left w:val="none" w:sz="0" w:space="0" w:color="auto"/>
            <w:bottom w:val="none" w:sz="0" w:space="0" w:color="auto"/>
            <w:right w:val="none" w:sz="0" w:space="0" w:color="auto"/>
          </w:divBdr>
          <w:divsChild>
            <w:div w:id="610090241">
              <w:marLeft w:val="0"/>
              <w:marRight w:val="0"/>
              <w:marTop w:val="0"/>
              <w:marBottom w:val="0"/>
              <w:divBdr>
                <w:top w:val="none" w:sz="0" w:space="0" w:color="auto"/>
                <w:left w:val="none" w:sz="0" w:space="0" w:color="auto"/>
                <w:bottom w:val="none" w:sz="0" w:space="0" w:color="auto"/>
                <w:right w:val="none" w:sz="0" w:space="0" w:color="auto"/>
              </w:divBdr>
              <w:divsChild>
                <w:div w:id="240726220">
                  <w:marLeft w:val="0"/>
                  <w:marRight w:val="0"/>
                  <w:marTop w:val="0"/>
                  <w:marBottom w:val="0"/>
                  <w:divBdr>
                    <w:top w:val="none" w:sz="0" w:space="0" w:color="auto"/>
                    <w:left w:val="none" w:sz="0" w:space="0" w:color="auto"/>
                    <w:bottom w:val="none" w:sz="0" w:space="0" w:color="auto"/>
                    <w:right w:val="none" w:sz="0" w:space="0" w:color="auto"/>
                  </w:divBdr>
                  <w:divsChild>
                    <w:div w:id="1014721347">
                      <w:marLeft w:val="0"/>
                      <w:marRight w:val="0"/>
                      <w:marTop w:val="0"/>
                      <w:marBottom w:val="0"/>
                      <w:divBdr>
                        <w:top w:val="none" w:sz="0" w:space="0" w:color="auto"/>
                        <w:left w:val="none" w:sz="0" w:space="0" w:color="auto"/>
                        <w:bottom w:val="none" w:sz="0" w:space="0" w:color="auto"/>
                        <w:right w:val="none" w:sz="0" w:space="0" w:color="auto"/>
                      </w:divBdr>
                      <w:divsChild>
                        <w:div w:id="1357460535">
                          <w:marLeft w:val="0"/>
                          <w:marRight w:val="0"/>
                          <w:marTop w:val="0"/>
                          <w:marBottom w:val="0"/>
                          <w:divBdr>
                            <w:top w:val="none" w:sz="0" w:space="0" w:color="auto"/>
                            <w:left w:val="none" w:sz="0" w:space="0" w:color="auto"/>
                            <w:bottom w:val="none" w:sz="0" w:space="0" w:color="auto"/>
                            <w:right w:val="none" w:sz="0" w:space="0" w:color="auto"/>
                          </w:divBdr>
                          <w:divsChild>
                            <w:div w:id="15596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79682">
      <w:bodyDiv w:val="1"/>
      <w:marLeft w:val="0"/>
      <w:marRight w:val="0"/>
      <w:marTop w:val="0"/>
      <w:marBottom w:val="0"/>
      <w:divBdr>
        <w:top w:val="none" w:sz="0" w:space="0" w:color="auto"/>
        <w:left w:val="none" w:sz="0" w:space="0" w:color="auto"/>
        <w:bottom w:val="none" w:sz="0" w:space="0" w:color="auto"/>
        <w:right w:val="none" w:sz="0" w:space="0" w:color="auto"/>
      </w:divBdr>
    </w:div>
    <w:div w:id="2136947500">
      <w:bodyDiv w:val="1"/>
      <w:marLeft w:val="0"/>
      <w:marRight w:val="0"/>
      <w:marTop w:val="0"/>
      <w:marBottom w:val="0"/>
      <w:divBdr>
        <w:top w:val="none" w:sz="0" w:space="0" w:color="auto"/>
        <w:left w:val="none" w:sz="0" w:space="0" w:color="auto"/>
        <w:bottom w:val="none" w:sz="0" w:space="0" w:color="auto"/>
        <w:right w:val="none" w:sz="0" w:space="0" w:color="auto"/>
      </w:divBdr>
      <w:divsChild>
        <w:div w:id="1297375362">
          <w:marLeft w:val="0"/>
          <w:marRight w:val="0"/>
          <w:marTop w:val="0"/>
          <w:marBottom w:val="0"/>
          <w:divBdr>
            <w:top w:val="none" w:sz="0" w:space="0" w:color="auto"/>
            <w:left w:val="none" w:sz="0" w:space="0" w:color="auto"/>
            <w:bottom w:val="none" w:sz="0" w:space="0" w:color="auto"/>
            <w:right w:val="none" w:sz="0" w:space="0" w:color="auto"/>
          </w:divBdr>
          <w:divsChild>
            <w:div w:id="504058170">
              <w:marLeft w:val="0"/>
              <w:marRight w:val="0"/>
              <w:marTop w:val="0"/>
              <w:marBottom w:val="0"/>
              <w:divBdr>
                <w:top w:val="none" w:sz="0" w:space="0" w:color="auto"/>
                <w:left w:val="none" w:sz="0" w:space="0" w:color="auto"/>
                <w:bottom w:val="none" w:sz="0" w:space="0" w:color="auto"/>
                <w:right w:val="none" w:sz="0" w:space="0" w:color="auto"/>
              </w:divBdr>
              <w:divsChild>
                <w:div w:id="1596554109">
                  <w:marLeft w:val="0"/>
                  <w:marRight w:val="0"/>
                  <w:marTop w:val="0"/>
                  <w:marBottom w:val="0"/>
                  <w:divBdr>
                    <w:top w:val="none" w:sz="0" w:space="0" w:color="auto"/>
                    <w:left w:val="none" w:sz="0" w:space="0" w:color="auto"/>
                    <w:bottom w:val="none" w:sz="0" w:space="0" w:color="auto"/>
                    <w:right w:val="none" w:sz="0" w:space="0" w:color="auto"/>
                  </w:divBdr>
                  <w:divsChild>
                    <w:div w:id="1361274850">
                      <w:marLeft w:val="0"/>
                      <w:marRight w:val="0"/>
                      <w:marTop w:val="0"/>
                      <w:marBottom w:val="0"/>
                      <w:divBdr>
                        <w:top w:val="none" w:sz="0" w:space="0" w:color="auto"/>
                        <w:left w:val="none" w:sz="0" w:space="0" w:color="auto"/>
                        <w:bottom w:val="none" w:sz="0" w:space="0" w:color="auto"/>
                        <w:right w:val="none" w:sz="0" w:space="0" w:color="auto"/>
                      </w:divBdr>
                      <w:divsChild>
                        <w:div w:id="1763070136">
                          <w:marLeft w:val="0"/>
                          <w:marRight w:val="0"/>
                          <w:marTop w:val="0"/>
                          <w:marBottom w:val="0"/>
                          <w:divBdr>
                            <w:top w:val="none" w:sz="0" w:space="0" w:color="auto"/>
                            <w:left w:val="none" w:sz="0" w:space="0" w:color="auto"/>
                            <w:bottom w:val="none" w:sz="0" w:space="0" w:color="auto"/>
                            <w:right w:val="none" w:sz="0" w:space="0" w:color="auto"/>
                          </w:divBdr>
                          <w:divsChild>
                            <w:div w:id="20756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rgipark.gov.tr/cumuii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tureng.com/search/reel%20gayri%20safi%20yurti%c3%a7i%20has%c4%b1l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da.cansiz\Desktop\orta.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Sayfa3!$B$1</c:f>
              <c:strCache>
                <c:ptCount val="1"/>
                <c:pt idx="0">
                  <c:v>Ortalama Kaldıraç Oranı</c:v>
                </c:pt>
              </c:strCache>
            </c:strRef>
          </c:tx>
          <c:invertIfNegative val="0"/>
          <c:cat>
            <c:strRef>
              <c:f>Sayfa3!$A$2:$A$14</c:f>
              <c:strCache>
                <c:ptCount val="13"/>
                <c:pt idx="0">
                  <c:v>elektrik, gaz ve su</c:v>
                </c:pt>
                <c:pt idx="1">
                  <c:v>dokuma, giyim, deri</c:v>
                </c:pt>
                <c:pt idx="2">
                  <c:v>Gıda, içki, tütün</c:v>
                </c:pt>
                <c:pt idx="3">
                  <c:v>kimya,petrol,kauçuk</c:v>
                </c:pt>
                <c:pt idx="4">
                  <c:v>metal ana sanayi</c:v>
                </c:pt>
                <c:pt idx="5">
                  <c:v>metal eşya, makine</c:v>
                </c:pt>
                <c:pt idx="6">
                  <c:v>taş ve toprağa dayalı</c:v>
                </c:pt>
                <c:pt idx="7">
                  <c:v>kağıt,basım</c:v>
                </c:pt>
                <c:pt idx="8">
                  <c:v>inşaat</c:v>
                </c:pt>
                <c:pt idx="9">
                  <c:v>madencilik</c:v>
                </c:pt>
                <c:pt idx="10">
                  <c:v>teknoloji</c:v>
                </c:pt>
                <c:pt idx="11">
                  <c:v>toptan, per.,otel,lokanta</c:v>
                </c:pt>
                <c:pt idx="12">
                  <c:v>ulaştırma, haberleşme</c:v>
                </c:pt>
              </c:strCache>
            </c:strRef>
          </c:cat>
          <c:val>
            <c:numRef>
              <c:f>Sayfa3!$B$2:$B$14</c:f>
              <c:numCache>
                <c:formatCode>General</c:formatCode>
                <c:ptCount val="13"/>
                <c:pt idx="0">
                  <c:v>0.42</c:v>
                </c:pt>
                <c:pt idx="1">
                  <c:v>0.46</c:v>
                </c:pt>
                <c:pt idx="2">
                  <c:v>0.56999999999999995</c:v>
                </c:pt>
                <c:pt idx="3">
                  <c:v>0.49</c:v>
                </c:pt>
                <c:pt idx="4">
                  <c:v>0.4</c:v>
                </c:pt>
                <c:pt idx="5">
                  <c:v>0.52</c:v>
                </c:pt>
                <c:pt idx="6">
                  <c:v>0.31</c:v>
                </c:pt>
                <c:pt idx="7">
                  <c:v>0.36</c:v>
                </c:pt>
                <c:pt idx="8">
                  <c:v>0.48</c:v>
                </c:pt>
                <c:pt idx="9">
                  <c:v>0.19</c:v>
                </c:pt>
                <c:pt idx="10">
                  <c:v>0.49</c:v>
                </c:pt>
                <c:pt idx="11">
                  <c:v>0.49</c:v>
                </c:pt>
                <c:pt idx="12">
                  <c:v>0.55000000000000004</c:v>
                </c:pt>
              </c:numCache>
            </c:numRef>
          </c:val>
        </c:ser>
        <c:dLbls>
          <c:showLegendKey val="0"/>
          <c:showVal val="0"/>
          <c:showCatName val="0"/>
          <c:showSerName val="0"/>
          <c:showPercent val="0"/>
          <c:showBubbleSize val="0"/>
        </c:dLbls>
        <c:gapWidth val="150"/>
        <c:shape val="box"/>
        <c:axId val="70473216"/>
        <c:axId val="70474752"/>
        <c:axId val="0"/>
      </c:bar3DChart>
      <c:catAx>
        <c:axId val="70473216"/>
        <c:scaling>
          <c:orientation val="minMax"/>
        </c:scaling>
        <c:delete val="0"/>
        <c:axPos val="b"/>
        <c:majorTickMark val="out"/>
        <c:minorTickMark val="none"/>
        <c:tickLblPos val="nextTo"/>
        <c:txPr>
          <a:bodyPr/>
          <a:lstStyle/>
          <a:p>
            <a:pPr>
              <a:defRPr sz="800"/>
            </a:pPr>
            <a:endParaRPr lang="tr-TR"/>
          </a:p>
        </c:txPr>
        <c:crossAx val="70474752"/>
        <c:crosses val="autoZero"/>
        <c:auto val="1"/>
        <c:lblAlgn val="ctr"/>
        <c:lblOffset val="100"/>
        <c:noMultiLvlLbl val="0"/>
      </c:catAx>
      <c:valAx>
        <c:axId val="70474752"/>
        <c:scaling>
          <c:orientation val="minMax"/>
        </c:scaling>
        <c:delete val="0"/>
        <c:axPos val="l"/>
        <c:majorGridlines/>
        <c:numFmt formatCode="General" sourceLinked="1"/>
        <c:majorTickMark val="out"/>
        <c:minorTickMark val="none"/>
        <c:tickLblPos val="nextTo"/>
        <c:crossAx val="704732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765893846602502E-2"/>
          <c:y val="4.4057617797775277E-2"/>
          <c:w val="0.6507837561971419"/>
          <c:h val="0.85653105861767298"/>
        </c:manualLayout>
      </c:layout>
      <c:lineChart>
        <c:grouping val="standard"/>
        <c:varyColors val="0"/>
        <c:ser>
          <c:idx val="0"/>
          <c:order val="0"/>
          <c:tx>
            <c:strRef>
              <c:f>Sayfa1!$B$1</c:f>
              <c:strCache>
                <c:ptCount val="1"/>
                <c:pt idx="0">
                  <c:v>kaldıraç oranı</c:v>
                </c:pt>
              </c:strCache>
            </c:strRef>
          </c:tx>
          <c:cat>
            <c:numRef>
              <c:f>Sayfa1!$A$2:$A$13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Sayfa1!$B$2:$B$13</c:f>
              <c:numCache>
                <c:formatCode>General</c:formatCode>
                <c:ptCount val="12"/>
                <c:pt idx="0">
                  <c:v>0.37</c:v>
                </c:pt>
                <c:pt idx="1">
                  <c:v>0.38</c:v>
                </c:pt>
                <c:pt idx="2">
                  <c:v>0.4</c:v>
                </c:pt>
                <c:pt idx="3">
                  <c:v>0.41</c:v>
                </c:pt>
                <c:pt idx="4">
                  <c:v>0.44</c:v>
                </c:pt>
                <c:pt idx="5">
                  <c:v>0.49</c:v>
                </c:pt>
                <c:pt idx="6">
                  <c:v>0.46</c:v>
                </c:pt>
                <c:pt idx="7">
                  <c:v>0.46</c:v>
                </c:pt>
                <c:pt idx="8">
                  <c:v>0.49</c:v>
                </c:pt>
                <c:pt idx="9">
                  <c:v>0.47</c:v>
                </c:pt>
                <c:pt idx="10">
                  <c:v>0.5</c:v>
                </c:pt>
                <c:pt idx="11">
                  <c:v>0.49</c:v>
                </c:pt>
              </c:numCache>
            </c:numRef>
          </c:val>
          <c:smooth val="0"/>
        </c:ser>
        <c:ser>
          <c:idx val="1"/>
          <c:order val="1"/>
          <c:tx>
            <c:strRef>
              <c:f>Sayfa1!$C$1</c:f>
              <c:strCache>
                <c:ptCount val="1"/>
                <c:pt idx="0">
                  <c:v>Bankacılık Sektörünün Gelişmişlik Düzeyi</c:v>
                </c:pt>
              </c:strCache>
            </c:strRef>
          </c:tx>
          <c:cat>
            <c:numRef>
              <c:f>Sayfa1!$A$2:$A$13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Sayfa1!$C$2:$C$13</c:f>
              <c:numCache>
                <c:formatCode>General</c:formatCode>
                <c:ptCount val="12"/>
                <c:pt idx="0">
                  <c:v>0.11</c:v>
                </c:pt>
                <c:pt idx="1">
                  <c:v>0.14000000000000001</c:v>
                </c:pt>
                <c:pt idx="2">
                  <c:v>0.2</c:v>
                </c:pt>
                <c:pt idx="3">
                  <c:v>0.24</c:v>
                </c:pt>
                <c:pt idx="4">
                  <c:v>0.27</c:v>
                </c:pt>
                <c:pt idx="5">
                  <c:v>0.3</c:v>
                </c:pt>
                <c:pt idx="6">
                  <c:v>0.33</c:v>
                </c:pt>
                <c:pt idx="7">
                  <c:v>0.33</c:v>
                </c:pt>
                <c:pt idx="8">
                  <c:v>0.38</c:v>
                </c:pt>
                <c:pt idx="9">
                  <c:v>0.43</c:v>
                </c:pt>
                <c:pt idx="10">
                  <c:v>0.36</c:v>
                </c:pt>
                <c:pt idx="11">
                  <c:v>0.52</c:v>
                </c:pt>
              </c:numCache>
            </c:numRef>
          </c:val>
          <c:smooth val="0"/>
        </c:ser>
        <c:ser>
          <c:idx val="2"/>
          <c:order val="2"/>
          <c:tx>
            <c:strRef>
              <c:f>Sayfa1!$D$1</c:f>
              <c:strCache>
                <c:ptCount val="1"/>
                <c:pt idx="0">
                  <c:v>Borsanın Gelişmişlik Düzeyi</c:v>
                </c:pt>
              </c:strCache>
            </c:strRef>
          </c:tx>
          <c:cat>
            <c:numRef>
              <c:f>Sayfa1!$A$2:$A$13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Sayfa1!$D$2:$D$13</c:f>
              <c:numCache>
                <c:formatCode>General</c:formatCode>
                <c:ptCount val="12"/>
                <c:pt idx="0">
                  <c:v>0.21</c:v>
                </c:pt>
                <c:pt idx="1">
                  <c:v>0.24</c:v>
                </c:pt>
                <c:pt idx="2">
                  <c:v>0.34</c:v>
                </c:pt>
                <c:pt idx="3">
                  <c:v>0.3</c:v>
                </c:pt>
                <c:pt idx="4">
                  <c:v>0.4</c:v>
                </c:pt>
                <c:pt idx="5">
                  <c:v>0.19</c:v>
                </c:pt>
                <c:pt idx="6">
                  <c:v>0.37</c:v>
                </c:pt>
                <c:pt idx="7">
                  <c:v>0.43</c:v>
                </c:pt>
                <c:pt idx="8">
                  <c:v>0.3</c:v>
                </c:pt>
                <c:pt idx="9">
                  <c:v>0.39</c:v>
                </c:pt>
                <c:pt idx="10">
                  <c:v>0.39</c:v>
                </c:pt>
                <c:pt idx="11">
                  <c:v>0.34</c:v>
                </c:pt>
              </c:numCache>
            </c:numRef>
          </c:val>
          <c:smooth val="0"/>
        </c:ser>
        <c:ser>
          <c:idx val="3"/>
          <c:order val="3"/>
          <c:tx>
            <c:strRef>
              <c:f>Sayfa1!$E$1</c:f>
              <c:strCache>
                <c:ptCount val="1"/>
                <c:pt idx="0">
                  <c:v>Kamu İç Borç Stoku</c:v>
                </c:pt>
              </c:strCache>
            </c:strRef>
          </c:tx>
          <c:cat>
            <c:numRef>
              <c:f>Sayfa1!$A$2:$A$13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Sayfa1!$E$2:$E$13</c:f>
              <c:numCache>
                <c:formatCode>General</c:formatCode>
                <c:ptCount val="12"/>
                <c:pt idx="0">
                  <c:v>0.55000000000000004</c:v>
                </c:pt>
                <c:pt idx="1">
                  <c:v>0.49</c:v>
                </c:pt>
                <c:pt idx="2">
                  <c:v>0.41</c:v>
                </c:pt>
                <c:pt idx="3">
                  <c:v>0.34</c:v>
                </c:pt>
                <c:pt idx="4">
                  <c:v>0.3</c:v>
                </c:pt>
                <c:pt idx="5">
                  <c:v>0.3</c:v>
                </c:pt>
                <c:pt idx="6">
                  <c:v>0.32</c:v>
                </c:pt>
                <c:pt idx="7">
                  <c:v>0.28999999999999998</c:v>
                </c:pt>
                <c:pt idx="8">
                  <c:v>0.22</c:v>
                </c:pt>
                <c:pt idx="9">
                  <c:v>0.17</c:v>
                </c:pt>
                <c:pt idx="10">
                  <c:v>0.13</c:v>
                </c:pt>
                <c:pt idx="11">
                  <c:v>0.11</c:v>
                </c:pt>
              </c:numCache>
            </c:numRef>
          </c:val>
          <c:smooth val="0"/>
        </c:ser>
        <c:dLbls>
          <c:showLegendKey val="0"/>
          <c:showVal val="0"/>
          <c:showCatName val="0"/>
          <c:showSerName val="0"/>
          <c:showPercent val="0"/>
          <c:showBubbleSize val="0"/>
        </c:dLbls>
        <c:marker val="1"/>
        <c:smooth val="0"/>
        <c:axId val="73843456"/>
        <c:axId val="98902784"/>
      </c:lineChart>
      <c:catAx>
        <c:axId val="73843456"/>
        <c:scaling>
          <c:orientation val="minMax"/>
        </c:scaling>
        <c:delete val="0"/>
        <c:axPos val="b"/>
        <c:numFmt formatCode="General" sourceLinked="1"/>
        <c:majorTickMark val="out"/>
        <c:minorTickMark val="none"/>
        <c:tickLblPos val="nextTo"/>
        <c:txPr>
          <a:bodyPr/>
          <a:lstStyle/>
          <a:p>
            <a:pPr>
              <a:defRPr sz="800"/>
            </a:pPr>
            <a:endParaRPr lang="tr-TR"/>
          </a:p>
        </c:txPr>
        <c:crossAx val="98902784"/>
        <c:crosses val="autoZero"/>
        <c:auto val="1"/>
        <c:lblAlgn val="ctr"/>
        <c:lblOffset val="100"/>
        <c:noMultiLvlLbl val="0"/>
      </c:catAx>
      <c:valAx>
        <c:axId val="98902784"/>
        <c:scaling>
          <c:orientation val="minMax"/>
        </c:scaling>
        <c:delete val="0"/>
        <c:axPos val="l"/>
        <c:majorGridlines/>
        <c:numFmt formatCode="General" sourceLinked="1"/>
        <c:majorTickMark val="out"/>
        <c:minorTickMark val="none"/>
        <c:tickLblPos val="nextTo"/>
        <c:txPr>
          <a:bodyPr/>
          <a:lstStyle/>
          <a:p>
            <a:pPr>
              <a:defRPr sz="800"/>
            </a:pPr>
            <a:endParaRPr lang="tr-TR"/>
          </a:p>
        </c:txPr>
        <c:crossAx val="73843456"/>
        <c:crosses val="autoZero"/>
        <c:crossBetween val="between"/>
      </c:valAx>
    </c:plotArea>
    <c:legend>
      <c:legendPos val="r"/>
      <c:layout>
        <c:manualLayout>
          <c:xMode val="edge"/>
          <c:yMode val="edge"/>
          <c:x val="0.73738298337707786"/>
          <c:y val="0.13629770280962827"/>
          <c:w val="0.24872812773403324"/>
          <c:h val="0.58394440179816132"/>
        </c:manualLayout>
      </c:layout>
      <c:overlay val="0"/>
      <c:txPr>
        <a:bodyPr/>
        <a:lstStyle/>
        <a:p>
          <a:pPr>
            <a:defRPr sz="800"/>
          </a:pPr>
          <a:endParaRPr lang="tr-TR"/>
        </a:p>
      </c:txPr>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EC19-7264-4E90-9C96-646A9ADA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20</Pages>
  <Words>8680</Words>
  <Characters>49482</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Cansız</dc:creator>
  <cp:lastModifiedBy>Sevgin Fettahoğlu</cp:lastModifiedBy>
  <cp:revision>114</cp:revision>
  <dcterms:created xsi:type="dcterms:W3CDTF">2017-02-03T06:55:00Z</dcterms:created>
  <dcterms:modified xsi:type="dcterms:W3CDTF">2017-03-02T07:06:00Z</dcterms:modified>
</cp:coreProperties>
</file>