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A1441E" w:rsidRDefault="00BE1D54" w:rsidP="00A1441E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SS-00</w:t>
      </w:r>
      <w:r w:rsidR="00A1441E">
        <w:rPr>
          <w:b/>
          <w:bCs/>
        </w:rPr>
        <w:t>5</w:t>
      </w:r>
      <w:bookmarkStart w:id="0" w:name="_GoBack"/>
      <w:bookmarkEnd w:id="0"/>
      <w:r w:rsidR="00B82E0A" w:rsidRPr="00654BC3">
        <w:rPr>
          <w:b/>
          <w:bCs/>
        </w:rPr>
        <w:t>.</w:t>
      </w:r>
      <w:r w:rsidR="00B82E0A" w:rsidRPr="00654BC3">
        <w:rPr>
          <w:b/>
          <w:bCs/>
          <w:spacing w:val="14"/>
        </w:rPr>
        <w:t xml:space="preserve"> </w:t>
      </w:r>
      <w:r w:rsidRPr="00654BC3">
        <w:t xml:space="preserve"> </w:t>
      </w:r>
      <w:proofErr w:type="spellStart"/>
      <w:r w:rsidR="00A1441E" w:rsidRPr="00A1441E">
        <w:rPr>
          <w:b/>
          <w:bCs/>
        </w:rPr>
        <w:t>Neurological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and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Psychiatric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Symptoms</w:t>
      </w:r>
      <w:proofErr w:type="spellEnd"/>
      <w:r w:rsidR="00A1441E" w:rsidRPr="00A1441E">
        <w:rPr>
          <w:b/>
          <w:bCs/>
        </w:rPr>
        <w:t xml:space="preserve"> of </w:t>
      </w:r>
      <w:proofErr w:type="spellStart"/>
      <w:r w:rsidR="00A1441E" w:rsidRPr="00A1441E">
        <w:rPr>
          <w:b/>
          <w:bCs/>
        </w:rPr>
        <w:t>Plant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Protection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Products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Sales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Workers</w:t>
      </w:r>
      <w:proofErr w:type="spellEnd"/>
      <w:r w:rsidR="00A1441E" w:rsidRPr="00A1441E">
        <w:rPr>
          <w:b/>
          <w:bCs/>
        </w:rPr>
        <w:t xml:space="preserve">’ in Şanlıurfa </w:t>
      </w:r>
      <w:proofErr w:type="spellStart"/>
      <w:r w:rsidR="00A1441E" w:rsidRPr="00A1441E">
        <w:rPr>
          <w:b/>
          <w:bCs/>
        </w:rPr>
        <w:t>and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Related</w:t>
      </w:r>
      <w:proofErr w:type="spellEnd"/>
      <w:r w:rsidR="00A1441E" w:rsidRPr="00A1441E">
        <w:rPr>
          <w:b/>
          <w:bCs/>
        </w:rPr>
        <w:t xml:space="preserve"> </w:t>
      </w:r>
      <w:proofErr w:type="spellStart"/>
      <w:r w:rsidR="00A1441E" w:rsidRPr="00A1441E">
        <w:rPr>
          <w:b/>
          <w:bCs/>
        </w:rPr>
        <w:t>Factors</w:t>
      </w:r>
      <w:proofErr w:type="spellEnd"/>
      <w:r w:rsidR="00A1441E" w:rsidRPr="00A1441E">
        <w:rPr>
          <w:b/>
          <w:bCs/>
        </w:rPr>
        <w:t xml:space="preserve"> </w:t>
      </w:r>
    </w:p>
    <w:p w:rsidR="00A1441E" w:rsidRPr="00A1441E" w:rsidRDefault="00A1441E" w:rsidP="00A1441E">
      <w:pPr>
        <w:pStyle w:val="Default"/>
      </w:pPr>
    </w:p>
    <w:p w:rsidR="00A1441E" w:rsidRDefault="00A1441E" w:rsidP="00A1441E">
      <w:pPr>
        <w:widowControl/>
        <w:jc w:val="center"/>
        <w:rPr>
          <w:color w:val="000000"/>
        </w:rPr>
      </w:pPr>
    </w:p>
    <w:p w:rsidR="00A1441E" w:rsidRDefault="00A1441E" w:rsidP="00A1441E">
      <w:pPr>
        <w:widowControl/>
        <w:jc w:val="center"/>
        <w:rPr>
          <w:color w:val="000000"/>
        </w:rPr>
      </w:pPr>
    </w:p>
    <w:p w:rsidR="00A1441E" w:rsidRPr="00A1441E" w:rsidRDefault="00A1441E" w:rsidP="00A1441E">
      <w:pPr>
        <w:widowControl/>
        <w:jc w:val="center"/>
        <w:rPr>
          <w:color w:val="000000"/>
        </w:rPr>
      </w:pPr>
      <w:r w:rsidRPr="00A1441E">
        <w:rPr>
          <w:color w:val="000000"/>
        </w:rPr>
        <w:t>Burcu Kara, Zeynep Şimşek</w:t>
      </w:r>
    </w:p>
    <w:p w:rsidR="00A1441E" w:rsidRDefault="00A1441E" w:rsidP="00A1441E">
      <w:pPr>
        <w:widowControl/>
        <w:jc w:val="center"/>
        <w:rPr>
          <w:color w:val="000000"/>
        </w:rPr>
      </w:pPr>
      <w:proofErr w:type="spellStart"/>
      <w:r w:rsidRPr="00A1441E">
        <w:rPr>
          <w:color w:val="000000"/>
        </w:rPr>
        <w:t>Sanliurfa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Eyyübiye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Community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Health</w:t>
      </w:r>
      <w:proofErr w:type="spellEnd"/>
      <w:r w:rsidRPr="00A1441E">
        <w:rPr>
          <w:color w:val="000000"/>
        </w:rPr>
        <w:t xml:space="preserve"> </w:t>
      </w:r>
      <w:proofErr w:type="gramStart"/>
      <w:r w:rsidRPr="00A1441E">
        <w:rPr>
          <w:color w:val="000000"/>
        </w:rPr>
        <w:t xml:space="preserve">Center </w:t>
      </w:r>
      <w:r>
        <w:rPr>
          <w:color w:val="000000"/>
        </w:rPr>
        <w:t xml:space="preserve">, </w:t>
      </w:r>
      <w:r w:rsidRPr="00A1441E">
        <w:rPr>
          <w:color w:val="000000"/>
        </w:rPr>
        <w:t>Harran</w:t>
      </w:r>
      <w:proofErr w:type="gram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University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Faculty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Medicine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Department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Public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Health</w:t>
      </w:r>
      <w:proofErr w:type="spellEnd"/>
    </w:p>
    <w:p w:rsidR="00A1441E" w:rsidRDefault="00A1441E" w:rsidP="00A1441E">
      <w:pPr>
        <w:widowControl/>
        <w:rPr>
          <w:color w:val="000000"/>
        </w:rPr>
      </w:pPr>
    </w:p>
    <w:p w:rsidR="00A1441E" w:rsidRDefault="00A1441E" w:rsidP="00A1441E">
      <w:pPr>
        <w:widowControl/>
        <w:rPr>
          <w:color w:val="000000"/>
        </w:rPr>
      </w:pPr>
    </w:p>
    <w:p w:rsidR="00A1441E" w:rsidRPr="00A1441E" w:rsidRDefault="00A1441E" w:rsidP="00A1441E">
      <w:pPr>
        <w:widowControl/>
        <w:rPr>
          <w:color w:val="000000"/>
        </w:rPr>
      </w:pPr>
    </w:p>
    <w:p w:rsidR="00A1441E" w:rsidRPr="00A1441E" w:rsidRDefault="00A1441E" w:rsidP="00A1441E">
      <w:pPr>
        <w:widowControl/>
        <w:rPr>
          <w:color w:val="000000"/>
        </w:rPr>
      </w:pPr>
      <w:proofErr w:type="spellStart"/>
      <w:r w:rsidRPr="00A1441E">
        <w:rPr>
          <w:color w:val="000000"/>
        </w:rPr>
        <w:t>Objective</w:t>
      </w:r>
      <w:proofErr w:type="spellEnd"/>
      <w:r w:rsidRPr="00A1441E">
        <w:rPr>
          <w:color w:val="000000"/>
        </w:rPr>
        <w:t xml:space="preserve">: World </w:t>
      </w:r>
      <w:proofErr w:type="spellStart"/>
      <w:r w:rsidRPr="00A1441E">
        <w:rPr>
          <w:color w:val="000000"/>
        </w:rPr>
        <w:t>Health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Organization</w:t>
      </w:r>
      <w:proofErr w:type="spellEnd"/>
      <w:r w:rsidRPr="00A1441E">
        <w:rPr>
          <w:color w:val="000000"/>
        </w:rPr>
        <w:t xml:space="preserve"> has </w:t>
      </w:r>
      <w:proofErr w:type="spellStart"/>
      <w:r w:rsidRPr="00A1441E">
        <w:rPr>
          <w:color w:val="000000"/>
        </w:rPr>
        <w:t>been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reported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that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one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out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every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four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people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who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admitted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health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institutions</w:t>
      </w:r>
      <w:proofErr w:type="spellEnd"/>
      <w:r w:rsidRPr="00A1441E">
        <w:rPr>
          <w:color w:val="000000"/>
        </w:rPr>
        <w:t xml:space="preserve"> had </w:t>
      </w:r>
      <w:proofErr w:type="spellStart"/>
      <w:r w:rsidRPr="00A1441E">
        <w:rPr>
          <w:color w:val="000000"/>
        </w:rPr>
        <w:t>mental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behavioral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neurological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disorders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previously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undiagnosed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Identifiying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risk </w:t>
      </w:r>
      <w:proofErr w:type="spellStart"/>
      <w:r w:rsidRPr="00A1441E">
        <w:rPr>
          <w:color w:val="000000"/>
        </w:rPr>
        <w:t>factors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risk </w:t>
      </w:r>
      <w:proofErr w:type="spellStart"/>
      <w:r w:rsidRPr="00A1441E">
        <w:rPr>
          <w:color w:val="000000"/>
        </w:rPr>
        <w:t>groups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important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control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mental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neurological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disorders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It</w:t>
      </w:r>
      <w:proofErr w:type="spellEnd"/>
      <w:r w:rsidRPr="00A1441E">
        <w:rPr>
          <w:color w:val="000000"/>
        </w:rPr>
        <w:t xml:space="preserve"> is </w:t>
      </w:r>
      <w:proofErr w:type="spellStart"/>
      <w:r w:rsidRPr="00A1441E">
        <w:rPr>
          <w:color w:val="000000"/>
        </w:rPr>
        <w:t>reported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that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workers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pesticides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priority</w:t>
      </w:r>
      <w:proofErr w:type="spellEnd"/>
      <w:r w:rsidRPr="00A1441E">
        <w:rPr>
          <w:color w:val="000000"/>
        </w:rPr>
        <w:t xml:space="preserve"> risk </w:t>
      </w:r>
      <w:proofErr w:type="spellStart"/>
      <w:r w:rsidRPr="00A1441E">
        <w:rPr>
          <w:color w:val="000000"/>
        </w:rPr>
        <w:t>group</w:t>
      </w:r>
      <w:proofErr w:type="spellEnd"/>
      <w:r w:rsidRPr="00A1441E">
        <w:rPr>
          <w:color w:val="000000"/>
        </w:rPr>
        <w:t xml:space="preserve"> in </w:t>
      </w:r>
      <w:proofErr w:type="spellStart"/>
      <w:r w:rsidRPr="00A1441E">
        <w:rPr>
          <w:color w:val="000000"/>
        </w:rPr>
        <w:t>terms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pesticides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exposure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In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this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study</w:t>
      </w:r>
      <w:proofErr w:type="spellEnd"/>
      <w:r w:rsidRPr="00A1441E">
        <w:rPr>
          <w:color w:val="000000"/>
        </w:rPr>
        <w:t xml:space="preserve">, it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aimed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determine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neuro-psychiatric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symptoms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related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factors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plant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protection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products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workers</w:t>
      </w:r>
      <w:proofErr w:type="spellEnd"/>
      <w:r w:rsidRPr="00A1441E">
        <w:rPr>
          <w:color w:val="000000"/>
        </w:rPr>
        <w:t xml:space="preserve"> in </w:t>
      </w:r>
      <w:proofErr w:type="spellStart"/>
      <w:r w:rsidRPr="00A1441E">
        <w:rPr>
          <w:color w:val="000000"/>
        </w:rPr>
        <w:t>Sanliurfa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Methods</w:t>
      </w:r>
      <w:proofErr w:type="spellEnd"/>
      <w:r w:rsidRPr="00A1441E">
        <w:rPr>
          <w:color w:val="000000"/>
        </w:rPr>
        <w:t xml:space="preserve">: </w:t>
      </w:r>
      <w:proofErr w:type="spellStart"/>
      <w:r w:rsidRPr="00A1441E">
        <w:rPr>
          <w:color w:val="000000"/>
        </w:rPr>
        <w:t>This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cross-sectional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study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conducted</w:t>
      </w:r>
      <w:proofErr w:type="spellEnd"/>
      <w:r w:rsidRPr="00A1441E">
        <w:rPr>
          <w:color w:val="000000"/>
        </w:rPr>
        <w:t xml:space="preserve"> in 119 </w:t>
      </w:r>
      <w:proofErr w:type="spellStart"/>
      <w:r w:rsidRPr="00A1441E">
        <w:rPr>
          <w:color w:val="000000"/>
        </w:rPr>
        <w:t>pesticides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that</w:t>
      </w:r>
      <w:proofErr w:type="spellEnd"/>
      <w:r w:rsidRPr="00A1441E">
        <w:rPr>
          <w:color w:val="000000"/>
        </w:rPr>
        <w:t xml:space="preserve"> is </w:t>
      </w:r>
      <w:proofErr w:type="spellStart"/>
      <w:r w:rsidRPr="00A1441E">
        <w:rPr>
          <w:color w:val="000000"/>
        </w:rPr>
        <w:t>including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villages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central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central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provinces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We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used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screening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method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it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reached</w:t>
      </w:r>
      <w:proofErr w:type="spellEnd"/>
      <w:r w:rsidRPr="00A1441E">
        <w:rPr>
          <w:color w:val="000000"/>
        </w:rPr>
        <w:t xml:space="preserve"> 91,66% of </w:t>
      </w:r>
      <w:proofErr w:type="spellStart"/>
      <w:r w:rsidRPr="00A1441E">
        <w:rPr>
          <w:color w:val="000000"/>
        </w:rPr>
        <w:t>workplaces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Socio-Demografic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Characteristics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Symptom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Screening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Questionnaire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Pesticide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Salers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which</w:t>
      </w:r>
      <w:proofErr w:type="spellEnd"/>
      <w:r w:rsidRPr="00A1441E">
        <w:rPr>
          <w:color w:val="000000"/>
        </w:rPr>
        <w:t xml:space="preserve"> is </w:t>
      </w:r>
      <w:proofErr w:type="spellStart"/>
      <w:r w:rsidRPr="00A1441E">
        <w:rPr>
          <w:color w:val="000000"/>
        </w:rPr>
        <w:t>consisting</w:t>
      </w:r>
      <w:proofErr w:type="spellEnd"/>
      <w:r w:rsidRPr="00A1441E">
        <w:rPr>
          <w:color w:val="000000"/>
        </w:rPr>
        <w:t xml:space="preserve"> of 6 </w:t>
      </w:r>
      <w:proofErr w:type="spellStart"/>
      <w:r w:rsidRPr="00A1441E">
        <w:rPr>
          <w:color w:val="000000"/>
        </w:rPr>
        <w:t>dimentions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used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for</w:t>
      </w:r>
      <w:proofErr w:type="spellEnd"/>
      <w:r w:rsidRPr="00A1441E">
        <w:rPr>
          <w:color w:val="000000"/>
        </w:rPr>
        <w:t xml:space="preserve"> </w:t>
      </w:r>
      <w:proofErr w:type="gramStart"/>
      <w:r w:rsidRPr="00A1441E">
        <w:rPr>
          <w:color w:val="000000"/>
        </w:rPr>
        <w:t>data</w:t>
      </w:r>
      <w:proofErr w:type="gram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collection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Questionnaires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were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filled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out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using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interview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observation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techniques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Results</w:t>
      </w:r>
      <w:proofErr w:type="spellEnd"/>
      <w:r w:rsidRPr="00A1441E">
        <w:rPr>
          <w:color w:val="000000"/>
        </w:rPr>
        <w:t xml:space="preserve">: 98% of </w:t>
      </w:r>
      <w:proofErr w:type="spellStart"/>
      <w:r w:rsidRPr="00A1441E">
        <w:rPr>
          <w:color w:val="000000"/>
        </w:rPr>
        <w:t>study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participants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were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male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mean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age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36,0±11,2 </w:t>
      </w:r>
      <w:proofErr w:type="spellStart"/>
      <w:r w:rsidRPr="00A1441E">
        <w:rPr>
          <w:color w:val="000000"/>
        </w:rPr>
        <w:t>years</w:t>
      </w:r>
      <w:proofErr w:type="spellEnd"/>
      <w:r w:rsidRPr="00A1441E">
        <w:rPr>
          <w:color w:val="000000"/>
        </w:rPr>
        <w:t xml:space="preserve">. 31,9% of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employees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were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graduated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from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Agricultural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Engineers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Agricultural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Technician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or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Plant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Protection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Department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Vocational</w:t>
      </w:r>
      <w:proofErr w:type="spellEnd"/>
      <w:r w:rsidRPr="00A1441E">
        <w:rPr>
          <w:color w:val="000000"/>
        </w:rPr>
        <w:t xml:space="preserve"> High School. </w:t>
      </w:r>
      <w:proofErr w:type="spellStart"/>
      <w:r w:rsidRPr="00A1441E">
        <w:rPr>
          <w:color w:val="000000"/>
        </w:rPr>
        <w:t>When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work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place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environment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factors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were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examined</w:t>
      </w:r>
      <w:proofErr w:type="spellEnd"/>
      <w:r w:rsidRPr="00A1441E">
        <w:rPr>
          <w:color w:val="000000"/>
        </w:rPr>
        <w:t xml:space="preserve">, it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not </w:t>
      </w:r>
      <w:proofErr w:type="spellStart"/>
      <w:r w:rsidRPr="00A1441E">
        <w:rPr>
          <w:color w:val="000000"/>
        </w:rPr>
        <w:t>found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which</w:t>
      </w:r>
      <w:proofErr w:type="spellEnd"/>
      <w:r w:rsidRPr="00A1441E">
        <w:rPr>
          <w:color w:val="000000"/>
        </w:rPr>
        <w:t xml:space="preserve"> fit </w:t>
      </w:r>
      <w:proofErr w:type="spellStart"/>
      <w:r w:rsidRPr="00A1441E">
        <w:rPr>
          <w:color w:val="000000"/>
        </w:rPr>
        <w:t>allsubstance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regulations</w:t>
      </w:r>
      <w:proofErr w:type="spellEnd"/>
      <w:r w:rsidRPr="00A1441E">
        <w:rPr>
          <w:color w:val="000000"/>
        </w:rPr>
        <w:t xml:space="preserve">. 19,6% of </w:t>
      </w:r>
      <w:proofErr w:type="spellStart"/>
      <w:r w:rsidRPr="00A1441E">
        <w:rPr>
          <w:color w:val="000000"/>
        </w:rPr>
        <w:t>workers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applied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pesticides</w:t>
      </w:r>
      <w:proofErr w:type="spellEnd"/>
      <w:r w:rsidRPr="00A1441E">
        <w:rPr>
          <w:color w:val="000000"/>
        </w:rPr>
        <w:t xml:space="preserve"> in </w:t>
      </w:r>
      <w:proofErr w:type="spellStart"/>
      <w:r w:rsidRPr="00A1441E">
        <w:rPr>
          <w:color w:val="000000"/>
        </w:rPr>
        <w:t>addition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to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sales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activities</w:t>
      </w:r>
      <w:proofErr w:type="spellEnd"/>
      <w:r w:rsidRPr="00A1441E">
        <w:rPr>
          <w:color w:val="000000"/>
        </w:rPr>
        <w:t xml:space="preserve">. 42,5% of </w:t>
      </w:r>
      <w:proofErr w:type="spellStart"/>
      <w:r w:rsidRPr="00A1441E">
        <w:rPr>
          <w:color w:val="000000"/>
        </w:rPr>
        <w:t>workers</w:t>
      </w:r>
      <w:proofErr w:type="spellEnd"/>
      <w:r w:rsidRPr="00A1441E">
        <w:rPr>
          <w:color w:val="000000"/>
        </w:rPr>
        <w:t xml:space="preserve"> had </w:t>
      </w:r>
      <w:proofErr w:type="spellStart"/>
      <w:r w:rsidRPr="00A1441E">
        <w:rPr>
          <w:color w:val="000000"/>
        </w:rPr>
        <w:t>received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training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safe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pesticide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application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It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found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that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statistically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significant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relationship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between</w:t>
      </w:r>
      <w:proofErr w:type="spellEnd"/>
      <w:r w:rsidRPr="00A1441E">
        <w:rPr>
          <w:color w:val="000000"/>
        </w:rPr>
        <w:t xml:space="preserve"> 6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higher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score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Q16 </w:t>
      </w:r>
      <w:proofErr w:type="spellStart"/>
      <w:r w:rsidRPr="00A1441E">
        <w:rPr>
          <w:color w:val="000000"/>
        </w:rPr>
        <w:t>Neurological</w:t>
      </w:r>
      <w:proofErr w:type="spellEnd"/>
      <w:r w:rsidRPr="00A1441E">
        <w:rPr>
          <w:color w:val="000000"/>
        </w:rPr>
        <w:t xml:space="preserve"> Evaluation </w:t>
      </w:r>
      <w:proofErr w:type="spellStart"/>
      <w:r w:rsidRPr="00A1441E">
        <w:rPr>
          <w:color w:val="000000"/>
        </w:rPr>
        <w:t>Scale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presence of </w:t>
      </w:r>
      <w:proofErr w:type="spellStart"/>
      <w:r w:rsidRPr="00A1441E">
        <w:rPr>
          <w:color w:val="000000"/>
        </w:rPr>
        <w:t>pesticide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application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working</w:t>
      </w:r>
      <w:proofErr w:type="spellEnd"/>
      <w:r w:rsidRPr="00A1441E">
        <w:rPr>
          <w:color w:val="000000"/>
        </w:rPr>
        <w:t xml:space="preserve"> time. </w:t>
      </w:r>
      <w:proofErr w:type="spellStart"/>
      <w:r w:rsidRPr="00A1441E">
        <w:rPr>
          <w:color w:val="000000"/>
        </w:rPr>
        <w:t>Educational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level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was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associated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with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psychiatric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semptoms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significantly</w:t>
      </w:r>
      <w:proofErr w:type="spellEnd"/>
      <w:r w:rsidRPr="00A1441E">
        <w:rPr>
          <w:color w:val="000000"/>
        </w:rPr>
        <w:t xml:space="preserve">. </w:t>
      </w:r>
      <w:proofErr w:type="spellStart"/>
      <w:r w:rsidRPr="00A1441E">
        <w:rPr>
          <w:color w:val="000000"/>
        </w:rPr>
        <w:t>Conclusion</w:t>
      </w:r>
      <w:proofErr w:type="spellEnd"/>
      <w:r w:rsidRPr="00A1441E">
        <w:rPr>
          <w:color w:val="000000"/>
        </w:rPr>
        <w:t xml:space="preserve">: </w:t>
      </w:r>
      <w:proofErr w:type="spellStart"/>
      <w:r w:rsidRPr="00A1441E">
        <w:rPr>
          <w:color w:val="000000"/>
        </w:rPr>
        <w:t>Based</w:t>
      </w:r>
      <w:proofErr w:type="spellEnd"/>
      <w:r w:rsidRPr="00A1441E">
        <w:rPr>
          <w:color w:val="000000"/>
        </w:rPr>
        <w:t xml:space="preserve"> on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findings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health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screening</w:t>
      </w:r>
      <w:proofErr w:type="spellEnd"/>
      <w:r w:rsidRPr="00A1441E">
        <w:rPr>
          <w:color w:val="000000"/>
        </w:rPr>
        <w:t xml:space="preserve"> program of </w:t>
      </w:r>
      <w:proofErr w:type="spellStart"/>
      <w:r w:rsidRPr="00A1441E">
        <w:rPr>
          <w:color w:val="000000"/>
        </w:rPr>
        <w:t>workers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health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education</w:t>
      </w:r>
      <w:proofErr w:type="spellEnd"/>
      <w:r w:rsidRPr="00A1441E">
        <w:rPr>
          <w:color w:val="000000"/>
        </w:rPr>
        <w:t xml:space="preserve"> program </w:t>
      </w:r>
      <w:proofErr w:type="spellStart"/>
      <w:r w:rsidRPr="00A1441E">
        <w:rPr>
          <w:color w:val="000000"/>
        </w:rPr>
        <w:t>for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gaining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safe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pesticide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application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behavior</w:t>
      </w:r>
      <w:proofErr w:type="spellEnd"/>
      <w:r w:rsidRPr="00A1441E">
        <w:rPr>
          <w:color w:val="000000"/>
        </w:rPr>
        <w:t xml:space="preserve">,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the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training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and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surveillance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programs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for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controlling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environmental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factors</w:t>
      </w:r>
      <w:proofErr w:type="spellEnd"/>
      <w:r w:rsidRPr="00A1441E">
        <w:rPr>
          <w:color w:val="000000"/>
        </w:rPr>
        <w:t xml:space="preserve"> of </w:t>
      </w:r>
      <w:proofErr w:type="spellStart"/>
      <w:r w:rsidRPr="00A1441E">
        <w:rPr>
          <w:color w:val="000000"/>
        </w:rPr>
        <w:t>workplaces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should</w:t>
      </w:r>
      <w:proofErr w:type="spellEnd"/>
      <w:r w:rsidRPr="00A1441E">
        <w:rPr>
          <w:color w:val="000000"/>
        </w:rPr>
        <w:t xml:space="preserve"> be </w:t>
      </w:r>
      <w:proofErr w:type="spellStart"/>
      <w:r w:rsidRPr="00A1441E">
        <w:rPr>
          <w:color w:val="000000"/>
        </w:rPr>
        <w:t>conducted</w:t>
      </w:r>
      <w:proofErr w:type="spellEnd"/>
      <w:r w:rsidRPr="00A1441E">
        <w:rPr>
          <w:color w:val="000000"/>
        </w:rPr>
        <w:t xml:space="preserve"> </w:t>
      </w:r>
      <w:proofErr w:type="spellStart"/>
      <w:r w:rsidRPr="00A1441E">
        <w:rPr>
          <w:color w:val="000000"/>
        </w:rPr>
        <w:t>regularly</w:t>
      </w:r>
      <w:proofErr w:type="spellEnd"/>
      <w:r w:rsidRPr="00A1441E">
        <w:rPr>
          <w:color w:val="000000"/>
        </w:rPr>
        <w:t xml:space="preserve">. </w:t>
      </w:r>
    </w:p>
    <w:p w:rsidR="00A1441E" w:rsidRDefault="00A1441E" w:rsidP="00A1441E">
      <w:pPr>
        <w:pStyle w:val="Default"/>
        <w:rPr>
          <w:b/>
          <w:bCs/>
        </w:rPr>
      </w:pPr>
    </w:p>
    <w:p w:rsidR="00677F3A" w:rsidRPr="00A1441E" w:rsidRDefault="00A1441E" w:rsidP="00A1441E">
      <w:pPr>
        <w:pStyle w:val="Default"/>
      </w:pPr>
      <w:proofErr w:type="spellStart"/>
      <w:r w:rsidRPr="00A1441E">
        <w:rPr>
          <w:b/>
          <w:bCs/>
        </w:rPr>
        <w:t>Keywords</w:t>
      </w:r>
      <w:proofErr w:type="spellEnd"/>
      <w:r w:rsidRPr="00A1441E">
        <w:rPr>
          <w:b/>
          <w:bCs/>
        </w:rPr>
        <w:t xml:space="preserve">: </w:t>
      </w:r>
      <w:proofErr w:type="spellStart"/>
      <w:r w:rsidRPr="00A1441E">
        <w:t>Pesticide</w:t>
      </w:r>
      <w:proofErr w:type="spellEnd"/>
      <w:r w:rsidRPr="00A1441E">
        <w:t xml:space="preserve"> </w:t>
      </w:r>
      <w:proofErr w:type="spellStart"/>
      <w:r w:rsidRPr="00A1441E">
        <w:t>sailer</w:t>
      </w:r>
      <w:proofErr w:type="spellEnd"/>
      <w:r w:rsidRPr="00A1441E">
        <w:t xml:space="preserve">, </w:t>
      </w:r>
      <w:proofErr w:type="spellStart"/>
      <w:r w:rsidRPr="00A1441E">
        <w:t>neurological</w:t>
      </w:r>
      <w:proofErr w:type="spellEnd"/>
      <w:r w:rsidRPr="00A1441E">
        <w:t xml:space="preserve"> </w:t>
      </w:r>
      <w:proofErr w:type="spellStart"/>
      <w:r w:rsidRPr="00A1441E">
        <w:t>symptoms</w:t>
      </w:r>
      <w:proofErr w:type="spellEnd"/>
      <w:r w:rsidRPr="00A1441E">
        <w:t xml:space="preserve">, </w:t>
      </w:r>
      <w:proofErr w:type="spellStart"/>
      <w:r w:rsidRPr="00A1441E">
        <w:t>psychiatric</w:t>
      </w:r>
      <w:proofErr w:type="spellEnd"/>
      <w:r w:rsidRPr="00A1441E">
        <w:t xml:space="preserve"> </w:t>
      </w:r>
      <w:proofErr w:type="spellStart"/>
      <w:r w:rsidRPr="00A1441E">
        <w:t>symptoms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8B49A8" w:rsidRDefault="008B49A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536055"/>
    <w:rsid w:val="00654BC3"/>
    <w:rsid w:val="00677F3A"/>
    <w:rsid w:val="008B49A8"/>
    <w:rsid w:val="00A1441E"/>
    <w:rsid w:val="00B82E0A"/>
    <w:rsid w:val="00B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2017-06-09T07:46:00Z</dcterms:created>
  <dcterms:modified xsi:type="dcterms:W3CDTF">2017-06-09T07:46:00Z</dcterms:modified>
</cp:coreProperties>
</file>