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6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45609E" w:rsidRPr="0045609E" w:rsidRDefault="00BE1D54" w:rsidP="0045609E">
      <w:pPr>
        <w:pStyle w:val="Default"/>
      </w:pPr>
      <w:r>
        <w:t xml:space="preserve"> </w:t>
      </w:r>
      <w:r w:rsidRPr="0045609E">
        <w:rPr>
          <w:b/>
          <w:bCs/>
        </w:rPr>
        <w:t>SS-</w:t>
      </w:r>
      <w:proofErr w:type="gramStart"/>
      <w:r w:rsidRPr="0045609E">
        <w:rPr>
          <w:b/>
          <w:bCs/>
        </w:rPr>
        <w:t>0</w:t>
      </w:r>
      <w:r w:rsidR="00A927CE" w:rsidRPr="0045609E">
        <w:rPr>
          <w:b/>
          <w:bCs/>
        </w:rPr>
        <w:t>1</w:t>
      </w:r>
      <w:r w:rsidR="0045609E" w:rsidRPr="0045609E">
        <w:rPr>
          <w:b/>
          <w:bCs/>
        </w:rPr>
        <w:t>7 .</w:t>
      </w:r>
      <w:proofErr w:type="gramEnd"/>
      <w:r w:rsidR="0045609E" w:rsidRPr="0045609E">
        <w:rPr>
          <w:b/>
          <w:bCs/>
        </w:rPr>
        <w:t xml:space="preserve"> </w:t>
      </w:r>
      <w:proofErr w:type="spellStart"/>
      <w:r w:rsidR="0045609E" w:rsidRPr="0045609E">
        <w:rPr>
          <w:b/>
          <w:bCs/>
        </w:rPr>
        <w:t>Water</w:t>
      </w:r>
      <w:proofErr w:type="spellEnd"/>
      <w:r w:rsidR="0045609E" w:rsidRPr="0045609E">
        <w:rPr>
          <w:b/>
          <w:bCs/>
        </w:rPr>
        <w:t xml:space="preserve"> </w:t>
      </w:r>
      <w:proofErr w:type="spellStart"/>
      <w:r w:rsidR="0045609E" w:rsidRPr="0045609E">
        <w:rPr>
          <w:b/>
          <w:bCs/>
        </w:rPr>
        <w:t>Decontamination</w:t>
      </w:r>
      <w:proofErr w:type="spellEnd"/>
      <w:r w:rsidR="0045609E" w:rsidRPr="0045609E">
        <w:rPr>
          <w:b/>
          <w:bCs/>
        </w:rPr>
        <w:t xml:space="preserve"> Using </w:t>
      </w:r>
      <w:proofErr w:type="spellStart"/>
      <w:r w:rsidR="0045609E" w:rsidRPr="0045609E">
        <w:rPr>
          <w:b/>
          <w:bCs/>
        </w:rPr>
        <w:t>Nanotechnology</w:t>
      </w:r>
      <w:proofErr w:type="spellEnd"/>
      <w:r w:rsidR="0045609E" w:rsidRPr="0045609E">
        <w:rPr>
          <w:b/>
          <w:bCs/>
        </w:rPr>
        <w:t xml:space="preserve"> </w:t>
      </w: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jc w:val="center"/>
        <w:rPr>
          <w:color w:val="000000"/>
        </w:rPr>
      </w:pPr>
    </w:p>
    <w:p w:rsidR="0045609E" w:rsidRPr="0045609E" w:rsidRDefault="0045609E" w:rsidP="0045609E">
      <w:pPr>
        <w:widowControl/>
        <w:jc w:val="center"/>
        <w:rPr>
          <w:color w:val="000000"/>
        </w:rPr>
      </w:pPr>
    </w:p>
    <w:p w:rsidR="0045609E" w:rsidRPr="0045609E" w:rsidRDefault="0045609E" w:rsidP="0045609E">
      <w:pPr>
        <w:widowControl/>
        <w:jc w:val="center"/>
        <w:rPr>
          <w:color w:val="000000"/>
        </w:rPr>
      </w:pPr>
    </w:p>
    <w:p w:rsidR="0045609E" w:rsidRPr="0045609E" w:rsidRDefault="0045609E" w:rsidP="0045609E">
      <w:pPr>
        <w:widowControl/>
        <w:jc w:val="center"/>
        <w:rPr>
          <w:color w:val="000000"/>
        </w:rPr>
      </w:pPr>
      <w:r w:rsidRPr="0045609E">
        <w:rPr>
          <w:color w:val="000000"/>
        </w:rPr>
        <w:t>Lütfiye TUTKUN</w:t>
      </w:r>
    </w:p>
    <w:p w:rsidR="0045609E" w:rsidRPr="0045609E" w:rsidRDefault="0045609E" w:rsidP="0045609E">
      <w:pPr>
        <w:widowControl/>
        <w:jc w:val="center"/>
        <w:rPr>
          <w:color w:val="000000"/>
        </w:rPr>
      </w:pPr>
      <w:r w:rsidRPr="0045609E">
        <w:rPr>
          <w:color w:val="000000"/>
        </w:rPr>
        <w:t xml:space="preserve">Bozok </w:t>
      </w:r>
      <w:proofErr w:type="spellStart"/>
      <w:r w:rsidRPr="0045609E">
        <w:rPr>
          <w:color w:val="000000"/>
        </w:rPr>
        <w:t>University</w:t>
      </w:r>
      <w:proofErr w:type="spellEnd"/>
      <w:r w:rsidRPr="0045609E">
        <w:rPr>
          <w:color w:val="000000"/>
        </w:rPr>
        <w:t xml:space="preserve">, </w:t>
      </w:r>
      <w:proofErr w:type="spellStart"/>
      <w:r w:rsidRPr="0045609E">
        <w:rPr>
          <w:color w:val="000000"/>
        </w:rPr>
        <w:t>Faculty</w:t>
      </w:r>
      <w:proofErr w:type="spellEnd"/>
      <w:r w:rsidRPr="0045609E">
        <w:rPr>
          <w:color w:val="000000"/>
        </w:rPr>
        <w:t xml:space="preserve"> of </w:t>
      </w:r>
      <w:proofErr w:type="spellStart"/>
      <w:r w:rsidRPr="0045609E">
        <w:rPr>
          <w:color w:val="000000"/>
        </w:rPr>
        <w:t>Medicine</w:t>
      </w:r>
      <w:proofErr w:type="spellEnd"/>
      <w:r w:rsidRPr="0045609E">
        <w:rPr>
          <w:color w:val="000000"/>
        </w:rPr>
        <w:t xml:space="preserve">, </w:t>
      </w:r>
      <w:proofErr w:type="spellStart"/>
      <w:r w:rsidRPr="0045609E">
        <w:rPr>
          <w:color w:val="000000"/>
        </w:rPr>
        <w:t>Department</w:t>
      </w:r>
      <w:proofErr w:type="spellEnd"/>
      <w:r w:rsidRPr="0045609E">
        <w:rPr>
          <w:color w:val="000000"/>
        </w:rPr>
        <w:t xml:space="preserve"> of </w:t>
      </w:r>
      <w:proofErr w:type="spellStart"/>
      <w:r w:rsidRPr="0045609E">
        <w:rPr>
          <w:color w:val="000000"/>
        </w:rPr>
        <w:t>Medical</w:t>
      </w:r>
      <w:proofErr w:type="spellEnd"/>
      <w:r w:rsidRPr="0045609E">
        <w:rPr>
          <w:color w:val="000000"/>
        </w:rPr>
        <w:t xml:space="preserve"> </w:t>
      </w:r>
      <w:proofErr w:type="spellStart"/>
      <w:r w:rsidRPr="0045609E">
        <w:rPr>
          <w:color w:val="000000"/>
        </w:rPr>
        <w:t>Biochemistry</w:t>
      </w:r>
      <w:proofErr w:type="spellEnd"/>
      <w:r w:rsidRPr="0045609E">
        <w:rPr>
          <w:color w:val="000000"/>
        </w:rPr>
        <w:t>, Yozgat, TURKEY</w:t>
      </w: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DE0CBE" w:rsidRPr="0045609E" w:rsidRDefault="0045609E" w:rsidP="0045609E">
      <w:pPr>
        <w:pStyle w:val="Default"/>
      </w:pPr>
      <w:bookmarkStart w:id="0" w:name="_GoBack"/>
      <w:bookmarkEnd w:id="0"/>
      <w:proofErr w:type="spellStart"/>
      <w:r w:rsidRPr="0045609E">
        <w:rPr>
          <w:color w:val="121212"/>
        </w:rPr>
        <w:t>Treatment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processes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for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wastewater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drinking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have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still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vital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importance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globally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Water-borne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diseases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have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great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impact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all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around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world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Innovative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technologies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with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high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efficiency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needed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Advance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technologies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reduce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energy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consumption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also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required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for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developing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countries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There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four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major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classes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pollutants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for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drinking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ground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included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physical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chemical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biological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radiological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Bacteria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viruses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parasites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pesticides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organic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inorganic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chemicals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major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causes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contamination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Nanoscale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especially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nanoparticles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nanocolloids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started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play</w:t>
      </w:r>
      <w:proofErr w:type="spellEnd"/>
      <w:r w:rsidRPr="0045609E">
        <w:rPr>
          <w:color w:val="121212"/>
        </w:rPr>
        <w:t xml:space="preserve"> a </w:t>
      </w:r>
      <w:proofErr w:type="spellStart"/>
      <w:r w:rsidRPr="0045609E">
        <w:rPr>
          <w:color w:val="121212"/>
        </w:rPr>
        <w:t>significant</w:t>
      </w:r>
      <w:proofErr w:type="spellEnd"/>
      <w:r w:rsidRPr="0045609E">
        <w:rPr>
          <w:color w:val="121212"/>
        </w:rPr>
        <w:t xml:space="preserve"> role in </w:t>
      </w:r>
      <w:proofErr w:type="spellStart"/>
      <w:r w:rsidRPr="0045609E">
        <w:rPr>
          <w:color w:val="121212"/>
        </w:rPr>
        <w:t>health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environmental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processes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Although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nanoscale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less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than</w:t>
      </w:r>
      <w:proofErr w:type="spellEnd"/>
      <w:r w:rsidRPr="0045609E">
        <w:rPr>
          <w:color w:val="121212"/>
        </w:rPr>
        <w:t xml:space="preserve"> 1,000 </w:t>
      </w:r>
      <w:proofErr w:type="spellStart"/>
      <w:r w:rsidRPr="0045609E">
        <w:rPr>
          <w:color w:val="121212"/>
        </w:rPr>
        <w:t>nm</w:t>
      </w:r>
      <w:proofErr w:type="spellEnd"/>
      <w:r w:rsidRPr="0045609E">
        <w:rPr>
          <w:color w:val="121212"/>
        </w:rPr>
        <w:t xml:space="preserve"> in size, </w:t>
      </w:r>
      <w:proofErr w:type="spellStart"/>
      <w:r w:rsidRPr="0045609E">
        <w:rPr>
          <w:color w:val="121212"/>
        </w:rPr>
        <w:t>they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usually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defined</w:t>
      </w:r>
      <w:proofErr w:type="spellEnd"/>
      <w:r w:rsidRPr="0045609E">
        <w:rPr>
          <w:color w:val="121212"/>
        </w:rPr>
        <w:t xml:space="preserve"> as </w:t>
      </w:r>
      <w:proofErr w:type="spellStart"/>
      <w:r w:rsidRPr="0045609E">
        <w:rPr>
          <w:color w:val="121212"/>
        </w:rPr>
        <w:t>organic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or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inorganic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with</w:t>
      </w:r>
      <w:proofErr w:type="spellEnd"/>
      <w:r w:rsidRPr="0045609E">
        <w:rPr>
          <w:color w:val="121212"/>
        </w:rPr>
        <w:t xml:space="preserve"> at </w:t>
      </w:r>
      <w:proofErr w:type="spellStart"/>
      <w:r w:rsidRPr="0045609E">
        <w:rPr>
          <w:color w:val="121212"/>
        </w:rPr>
        <w:t>least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one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dimension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less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than</w:t>
      </w:r>
      <w:proofErr w:type="spellEnd"/>
      <w:r w:rsidRPr="0045609E">
        <w:rPr>
          <w:color w:val="121212"/>
        </w:rPr>
        <w:t xml:space="preserve"> 100 </w:t>
      </w:r>
      <w:proofErr w:type="spellStart"/>
      <w:r w:rsidRPr="0045609E">
        <w:rPr>
          <w:color w:val="121212"/>
        </w:rPr>
        <w:t>nm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Due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their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large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surface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volume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ratio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these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have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unique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surface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properties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which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make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them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attractive</w:t>
      </w:r>
      <w:proofErr w:type="spellEnd"/>
      <w:r w:rsidRPr="0045609E">
        <w:rPr>
          <w:color w:val="121212"/>
        </w:rPr>
        <w:t xml:space="preserve"> in </w:t>
      </w:r>
      <w:proofErr w:type="spellStart"/>
      <w:r w:rsidRPr="0045609E">
        <w:rPr>
          <w:color w:val="121212"/>
        </w:rPr>
        <w:t>many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areas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In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addition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their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surface</w:t>
      </w:r>
      <w:proofErr w:type="spellEnd"/>
      <w:r w:rsidRPr="0045609E">
        <w:rPr>
          <w:color w:val="121212"/>
        </w:rPr>
        <w:t xml:space="preserve"> is </w:t>
      </w:r>
      <w:proofErr w:type="spellStart"/>
      <w:r w:rsidRPr="0045609E">
        <w:rPr>
          <w:color w:val="121212"/>
        </w:rPr>
        <w:t>modifiable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with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different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kind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such</w:t>
      </w:r>
      <w:proofErr w:type="spellEnd"/>
      <w:r w:rsidRPr="0045609E">
        <w:rPr>
          <w:color w:val="121212"/>
        </w:rPr>
        <w:t xml:space="preserve"> as </w:t>
      </w:r>
      <w:proofErr w:type="spellStart"/>
      <w:r w:rsidRPr="0045609E">
        <w:rPr>
          <w:color w:val="121212"/>
        </w:rPr>
        <w:t>polymers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metals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These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coating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which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carry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functional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groups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enable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them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react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with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target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molecules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Nanotubes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nanoparticles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catalytic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membranes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nanopowder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granules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nanoscale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that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used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decontaminate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Nanoscale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zero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valent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iron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used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remove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arsenic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hexavalent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chromium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from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drinking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contaminated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groundwater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with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supporting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material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activated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carbon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carboxymethyl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cellulose</w:t>
      </w:r>
      <w:proofErr w:type="spellEnd"/>
      <w:r w:rsidRPr="0045609E">
        <w:rPr>
          <w:color w:val="121212"/>
        </w:rPr>
        <w:t xml:space="preserve">, </w:t>
      </w:r>
      <w:proofErr w:type="spellStart"/>
      <w:r w:rsidRPr="0045609E">
        <w:rPr>
          <w:color w:val="121212"/>
        </w:rPr>
        <w:t>respectively</w:t>
      </w:r>
      <w:proofErr w:type="spellEnd"/>
      <w:r w:rsidRPr="0045609E">
        <w:rPr>
          <w:color w:val="121212"/>
        </w:rPr>
        <w:t xml:space="preserve">. Fe3O4 </w:t>
      </w:r>
      <w:proofErr w:type="spellStart"/>
      <w:r w:rsidRPr="0045609E">
        <w:rPr>
          <w:color w:val="121212"/>
        </w:rPr>
        <w:t>iron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oxide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nanoparticles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were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also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used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remove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arsenic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from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size </w:t>
      </w:r>
      <w:proofErr w:type="spellStart"/>
      <w:r w:rsidRPr="0045609E">
        <w:rPr>
          <w:color w:val="121212"/>
        </w:rPr>
        <w:t>effect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these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particles</w:t>
      </w:r>
      <w:proofErr w:type="spellEnd"/>
      <w:r w:rsidRPr="0045609E">
        <w:rPr>
          <w:color w:val="121212"/>
        </w:rPr>
        <w:t xml:space="preserve"> has </w:t>
      </w:r>
      <w:proofErr w:type="spellStart"/>
      <w:r w:rsidRPr="0045609E">
        <w:rPr>
          <w:color w:val="121212"/>
        </w:rPr>
        <w:t>been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tested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and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compared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each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other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results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showed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that</w:t>
      </w:r>
      <w:proofErr w:type="spellEnd"/>
      <w:r w:rsidRPr="0045609E">
        <w:rPr>
          <w:color w:val="121212"/>
        </w:rPr>
        <w:t xml:space="preserve"> 12 </w:t>
      </w:r>
      <w:proofErr w:type="spellStart"/>
      <w:r w:rsidRPr="0045609E">
        <w:rPr>
          <w:color w:val="121212"/>
        </w:rPr>
        <w:t>nm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nanoparticles</w:t>
      </w:r>
      <w:proofErr w:type="spellEnd"/>
      <w:r w:rsidRPr="0045609E">
        <w:rPr>
          <w:color w:val="121212"/>
        </w:rPr>
        <w:t xml:space="preserve"> in size </w:t>
      </w:r>
      <w:proofErr w:type="spellStart"/>
      <w:r w:rsidRPr="0045609E">
        <w:rPr>
          <w:color w:val="121212"/>
        </w:rPr>
        <w:t>were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capable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achieving</w:t>
      </w:r>
      <w:proofErr w:type="spellEnd"/>
      <w:r w:rsidRPr="0045609E">
        <w:rPr>
          <w:color w:val="121212"/>
        </w:rPr>
        <w:t xml:space="preserve"> 99% </w:t>
      </w:r>
      <w:proofErr w:type="spellStart"/>
      <w:r w:rsidRPr="0045609E">
        <w:rPr>
          <w:color w:val="121212"/>
        </w:rPr>
        <w:t>removal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arsenic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where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300 </w:t>
      </w:r>
      <w:proofErr w:type="spellStart"/>
      <w:r w:rsidRPr="0045609E">
        <w:rPr>
          <w:color w:val="121212"/>
        </w:rPr>
        <w:t>nm</w:t>
      </w:r>
      <w:proofErr w:type="spellEnd"/>
      <w:r w:rsidRPr="0045609E">
        <w:rPr>
          <w:color w:val="121212"/>
        </w:rPr>
        <w:t xml:space="preserve"> of </w:t>
      </w:r>
      <w:proofErr w:type="spellStart"/>
      <w:r w:rsidRPr="0045609E">
        <w:rPr>
          <w:color w:val="121212"/>
        </w:rPr>
        <w:t>nanoparticles</w:t>
      </w:r>
      <w:proofErr w:type="spellEnd"/>
      <w:r w:rsidRPr="0045609E">
        <w:rPr>
          <w:color w:val="121212"/>
        </w:rPr>
        <w:t xml:space="preserve"> in size </w:t>
      </w:r>
      <w:proofErr w:type="spellStart"/>
      <w:r w:rsidRPr="0045609E">
        <w:rPr>
          <w:color w:val="121212"/>
        </w:rPr>
        <w:t>were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only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reached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25% </w:t>
      </w:r>
      <w:proofErr w:type="spellStart"/>
      <w:r w:rsidRPr="0045609E">
        <w:rPr>
          <w:color w:val="121212"/>
        </w:rPr>
        <w:t>removal</w:t>
      </w:r>
      <w:proofErr w:type="spellEnd"/>
      <w:r w:rsidRPr="0045609E">
        <w:rPr>
          <w:color w:val="121212"/>
        </w:rPr>
        <w:t xml:space="preserve">. </w:t>
      </w:r>
      <w:proofErr w:type="spellStart"/>
      <w:r w:rsidRPr="0045609E">
        <w:rPr>
          <w:color w:val="121212"/>
        </w:rPr>
        <w:t>Nanometallic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silver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nanoparticles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were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also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used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to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remove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E.coli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from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the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contaminated</w:t>
      </w:r>
      <w:proofErr w:type="spellEnd"/>
      <w:r w:rsidRPr="0045609E">
        <w:rPr>
          <w:color w:val="121212"/>
        </w:rPr>
        <w:t xml:space="preserve"> </w:t>
      </w:r>
      <w:proofErr w:type="spellStart"/>
      <w:r w:rsidRPr="0045609E">
        <w:rPr>
          <w:color w:val="121212"/>
        </w:rPr>
        <w:t>water</w:t>
      </w:r>
      <w:proofErr w:type="spellEnd"/>
      <w:r w:rsidRPr="0045609E">
        <w:rPr>
          <w:color w:val="121212"/>
        </w:rPr>
        <w:t>.</w:t>
      </w:r>
    </w:p>
    <w:p w:rsidR="00DE0CBE" w:rsidRPr="0045609E" w:rsidRDefault="00DE0CBE">
      <w:pPr>
        <w:pStyle w:val="GvdeMetni"/>
        <w:kinsoku w:val="0"/>
        <w:overflowPunct w:val="0"/>
        <w:ind w:left="0"/>
      </w:pPr>
    </w:p>
    <w:p w:rsidR="0096024C" w:rsidRPr="0045609E" w:rsidRDefault="0096024C">
      <w:pPr>
        <w:pStyle w:val="GvdeMetni"/>
        <w:kinsoku w:val="0"/>
        <w:overflowPunct w:val="0"/>
        <w:ind w:left="0"/>
      </w:pPr>
    </w:p>
    <w:p w:rsidR="00B559E8" w:rsidRDefault="00B559E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B559E8" w:rsidRDefault="00B559E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759CE" w:rsidRDefault="00E759C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B559E8" w:rsidRDefault="00B559E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21E3C"/>
    <w:rsid w:val="0045609E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559E8"/>
    <w:rsid w:val="00B82E0A"/>
    <w:rsid w:val="00BE1D54"/>
    <w:rsid w:val="00C13906"/>
    <w:rsid w:val="00CA521B"/>
    <w:rsid w:val="00CC257E"/>
    <w:rsid w:val="00DE0CBE"/>
    <w:rsid w:val="00E250AB"/>
    <w:rsid w:val="00E759CE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rjoe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2017-06-09T08:36:00Z</dcterms:created>
  <dcterms:modified xsi:type="dcterms:W3CDTF">2017-06-09T08:36:00Z</dcterms:modified>
</cp:coreProperties>
</file>