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F3A" w:rsidRDefault="00677F3A">
      <w:pPr>
        <w:pStyle w:val="GvdeMetni"/>
        <w:kinsoku w:val="0"/>
        <w:overflowPunct w:val="0"/>
        <w:spacing w:before="6"/>
        <w:ind w:left="0"/>
        <w:rPr>
          <w:sz w:val="16"/>
          <w:szCs w:val="16"/>
        </w:rPr>
      </w:pPr>
    </w:p>
    <w:p w:rsidR="00677F3A" w:rsidRDefault="00BE1D54">
      <w:pPr>
        <w:pStyle w:val="GvdeMetni"/>
        <w:kinsoku w:val="0"/>
        <w:overflowPunct w:val="0"/>
        <w:spacing w:before="7"/>
        <w:ind w:left="2429" w:right="1235" w:hanging="159"/>
        <w:rPr>
          <w:rFonts w:ascii="Calibri" w:hAnsi="Calibri" w:cs="Calibri"/>
          <w:sz w:val="46"/>
          <w:szCs w:val="4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-67945</wp:posOffset>
                </wp:positionV>
                <wp:extent cx="939800" cy="939800"/>
                <wp:effectExtent l="0" t="0" r="0" b="0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77F3A" w:rsidRDefault="00BE1D54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42975" cy="942975"/>
                                  <wp:effectExtent l="0" t="0" r="9525" b="9525"/>
                                  <wp:docPr id="2" name="Resi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942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77F3A" w:rsidRDefault="00677F3A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57pt;margin-top:-5.35pt;width:74pt;height:74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" o:allowincell="f" filled="f" stroked="f">
                <v:textbox inset="0,0,0,0">
                  <w:txbxContent>
                    <w:p w:rsidR="00677F3A" w:rsidRDefault="00BE1D54">
                      <w:pPr>
                        <w:widowControl/>
                        <w:autoSpaceDE/>
                        <w:autoSpaceDN/>
                        <w:adjustRightInd/>
                        <w:spacing w:line="14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42975" cy="942975"/>
                            <wp:effectExtent l="0" t="0" r="9525" b="9525"/>
                            <wp:docPr id="2" name="Resi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942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77F3A" w:rsidRDefault="00677F3A"/>
                  </w:txbxContent>
                </v:textbox>
                <w10:wrap anchorx="page"/>
              </v:rect>
            </w:pict>
          </mc:Fallback>
        </mc:AlternateConten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The</w:t>
      </w:r>
      <w:proofErr w:type="spellEnd"/>
      <w:r w:rsidR="00B82E0A">
        <w:rPr>
          <w:rFonts w:ascii="Calibri" w:hAnsi="Calibri" w:cs="Calibri"/>
          <w:b/>
          <w:bCs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Turkish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Journal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of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Occupational</w:t>
      </w:r>
      <w:proofErr w:type="spellEnd"/>
      <w:r w:rsidR="00B82E0A">
        <w:rPr>
          <w:rFonts w:ascii="Calibri" w:hAnsi="Calibri" w:cs="Calibri"/>
          <w:b/>
          <w:bCs/>
          <w:spacing w:val="-4"/>
          <w:sz w:val="46"/>
          <w:szCs w:val="46"/>
        </w:rPr>
        <w:t xml:space="preserve"> </w:t>
      </w:r>
      <w:r w:rsidR="00B82E0A">
        <w:rPr>
          <w:rFonts w:ascii="Calibri" w:hAnsi="Calibri" w:cs="Calibri"/>
          <w:b/>
          <w:bCs/>
          <w:sz w:val="46"/>
          <w:szCs w:val="46"/>
        </w:rPr>
        <w:t>/</w:t>
      </w:r>
      <w:r w:rsidR="00B82E0A">
        <w:rPr>
          <w:rFonts w:ascii="Calibri" w:hAnsi="Calibri" w:cs="Calibri"/>
          <w:b/>
          <w:bCs/>
          <w:spacing w:val="27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Environmental</w:t>
      </w:r>
      <w:proofErr w:type="spellEnd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Medicine</w:t>
      </w:r>
      <w:proofErr w:type="spellEnd"/>
      <w:r w:rsidR="00B82E0A">
        <w:rPr>
          <w:rFonts w:ascii="Calibri" w:hAnsi="Calibri" w:cs="Calibri"/>
          <w:b/>
          <w:bCs/>
          <w:spacing w:val="-3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and</w:t>
      </w:r>
      <w:proofErr w:type="spellEnd"/>
      <w:r w:rsidR="00B82E0A">
        <w:rPr>
          <w:rFonts w:ascii="Calibri" w:hAnsi="Calibri" w:cs="Calibri"/>
          <w:b/>
          <w:bCs/>
          <w:spacing w:val="-2"/>
          <w:sz w:val="46"/>
          <w:szCs w:val="46"/>
        </w:rPr>
        <w:t xml:space="preserve"> </w:t>
      </w:r>
      <w:proofErr w:type="spellStart"/>
      <w:r w:rsidR="00B82E0A">
        <w:rPr>
          <w:rFonts w:ascii="Calibri" w:hAnsi="Calibri" w:cs="Calibri"/>
          <w:b/>
          <w:bCs/>
          <w:spacing w:val="-1"/>
          <w:sz w:val="46"/>
          <w:szCs w:val="46"/>
        </w:rPr>
        <w:t>Safety</w:t>
      </w:r>
      <w:proofErr w:type="spellEnd"/>
    </w:p>
    <w:p w:rsidR="00677F3A" w:rsidRDefault="00677F3A">
      <w:pPr>
        <w:pStyle w:val="GvdeMetni"/>
        <w:kinsoku w:val="0"/>
        <w:overflowPunct w:val="0"/>
        <w:ind w:left="0"/>
        <w:rPr>
          <w:rFonts w:ascii="Calibri" w:hAnsi="Calibri" w:cs="Calibri"/>
          <w:b/>
          <w:bCs/>
          <w:sz w:val="17"/>
          <w:szCs w:val="17"/>
        </w:rPr>
      </w:pPr>
    </w:p>
    <w:p w:rsidR="00677F3A" w:rsidRDefault="00B82E0A">
      <w:pPr>
        <w:pStyle w:val="GvdeMetni"/>
        <w:tabs>
          <w:tab w:val="left" w:pos="3970"/>
          <w:tab w:val="left" w:pos="8708"/>
        </w:tabs>
        <w:kinsoku w:val="0"/>
        <w:overflowPunct w:val="0"/>
        <w:spacing w:before="63"/>
        <w:ind w:left="307"/>
        <w:jc w:val="both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spacing w:val="-1"/>
          <w:sz w:val="18"/>
          <w:szCs w:val="18"/>
        </w:rPr>
        <w:t>Vol:1,</w:t>
      </w:r>
      <w:r>
        <w:rPr>
          <w:rFonts w:ascii="Calibri" w:hAnsi="Calibri" w:cs="Calibri"/>
          <w:b/>
          <w:bCs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No: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1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(</w:t>
      </w:r>
      <w:r w:rsidR="001C3718">
        <w:rPr>
          <w:rFonts w:ascii="Calibri" w:hAnsi="Calibri" w:cs="Calibri"/>
          <w:b/>
          <w:bCs/>
          <w:spacing w:val="-1"/>
          <w:sz w:val="18"/>
          <w:szCs w:val="18"/>
        </w:rPr>
        <w:t>2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),</w:t>
      </w:r>
      <w:r>
        <w:rPr>
          <w:rFonts w:ascii="Calibri" w:hAnsi="Calibri" w:cs="Calibri"/>
          <w:b/>
          <w:bCs/>
          <w:spacing w:val="-7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201</w:t>
      </w:r>
      <w:r w:rsidR="001C3718">
        <w:rPr>
          <w:rFonts w:ascii="Calibri" w:hAnsi="Calibri" w:cs="Calibri"/>
          <w:b/>
          <w:bCs/>
          <w:sz w:val="18"/>
          <w:szCs w:val="18"/>
        </w:rPr>
        <w:t>7</w:t>
      </w:r>
      <w:r>
        <w:rPr>
          <w:rFonts w:ascii="Calibri" w:hAnsi="Calibri" w:cs="Calibri"/>
          <w:b/>
          <w:bCs/>
          <w:sz w:val="18"/>
          <w:szCs w:val="18"/>
        </w:rPr>
        <w:tab/>
      </w:r>
      <w:r>
        <w:rPr>
          <w:rFonts w:ascii="Calibri" w:hAnsi="Calibri" w:cs="Calibri"/>
          <w:b/>
          <w:bCs/>
          <w:spacing w:val="-1"/>
          <w:sz w:val="18"/>
          <w:szCs w:val="18"/>
        </w:rPr>
        <w:t>Web:</w:t>
      </w:r>
      <w:r>
        <w:rPr>
          <w:rFonts w:ascii="Calibri" w:hAnsi="Calibri" w:cs="Calibri"/>
          <w:b/>
          <w:bCs/>
          <w:spacing w:val="-12"/>
          <w:sz w:val="18"/>
          <w:szCs w:val="18"/>
        </w:rPr>
        <w:t xml:space="preserve"> </w:t>
      </w:r>
      <w:hyperlink r:id="rId7" w:history="1">
        <w:r>
          <w:rPr>
            <w:rFonts w:ascii="Calibri" w:hAnsi="Calibri" w:cs="Calibri"/>
            <w:color w:val="0000FF"/>
            <w:spacing w:val="-1"/>
            <w:sz w:val="18"/>
            <w:szCs w:val="18"/>
            <w:u w:val="single"/>
          </w:rPr>
          <w:t>http://www.turjoem.com</w:t>
        </w:r>
      </w:hyperlink>
      <w:r>
        <w:rPr>
          <w:rFonts w:ascii="Calibri" w:hAnsi="Calibri" w:cs="Calibri"/>
          <w:color w:val="0000FF"/>
          <w:spacing w:val="-1"/>
          <w:sz w:val="18"/>
          <w:szCs w:val="18"/>
        </w:rPr>
        <w:tab/>
      </w:r>
      <w:proofErr w:type="gramStart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ISSN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>:</w:t>
      </w:r>
      <w:r>
        <w:rPr>
          <w:rFonts w:ascii="Calibri" w:hAnsi="Calibri" w:cs="Calibri"/>
          <w:b/>
          <w:bCs/>
          <w:color w:val="000000"/>
          <w:spacing w:val="-6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2149</w:t>
      </w:r>
      <w:proofErr w:type="gramEnd"/>
      <w:r>
        <w:rPr>
          <w:rFonts w:ascii="Calibri" w:hAnsi="Calibri" w:cs="Calibri"/>
          <w:b/>
          <w:bCs/>
          <w:color w:val="000000"/>
          <w:spacing w:val="-1"/>
          <w:sz w:val="18"/>
          <w:szCs w:val="18"/>
        </w:rPr>
        <w:t>-4711</w:t>
      </w:r>
    </w:p>
    <w:p w:rsidR="00677F3A" w:rsidRDefault="00677F3A">
      <w:pPr>
        <w:pStyle w:val="GvdeMetni"/>
        <w:kinsoku w:val="0"/>
        <w:overflowPunct w:val="0"/>
        <w:spacing w:before="7"/>
        <w:ind w:left="0"/>
        <w:rPr>
          <w:rFonts w:ascii="Calibri" w:hAnsi="Calibri" w:cs="Calibri"/>
          <w:b/>
          <w:bCs/>
          <w:sz w:val="19"/>
          <w:szCs w:val="19"/>
        </w:rPr>
      </w:pPr>
    </w:p>
    <w:p w:rsidR="00677F3A" w:rsidRDefault="00BE1D54">
      <w:pPr>
        <w:pStyle w:val="GvdeMetni"/>
        <w:kinsoku w:val="0"/>
        <w:overflowPunct w:val="0"/>
        <w:spacing w:line="30" w:lineRule="atLeast"/>
        <w:rPr>
          <w:rFonts w:ascii="Calibri" w:hAnsi="Calibri" w:cs="Calibri"/>
          <w:sz w:val="3"/>
          <w:szCs w:val="3"/>
        </w:rPr>
      </w:pPr>
      <w:r>
        <w:rPr>
          <w:rFonts w:ascii="Calibri" w:hAnsi="Calibri" w:cs="Calibri"/>
          <w:noProof/>
          <w:sz w:val="3"/>
          <w:szCs w:val="3"/>
        </w:rPr>
        <w:drawing>
          <wp:inline distT="0" distB="0" distL="0" distR="0">
            <wp:extent cx="6524625" cy="19050"/>
            <wp:effectExtent l="0" t="0" r="9525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7F3A" w:rsidRDefault="00677F3A">
      <w:pPr>
        <w:pStyle w:val="GvdeMetni"/>
        <w:kinsoku w:val="0"/>
        <w:overflowPunct w:val="0"/>
        <w:spacing w:before="11"/>
        <w:ind w:left="0"/>
        <w:rPr>
          <w:rFonts w:ascii="Calibri" w:hAnsi="Calibri" w:cs="Calibri"/>
          <w:b/>
          <w:bCs/>
          <w:sz w:val="21"/>
          <w:szCs w:val="21"/>
        </w:rPr>
      </w:pPr>
    </w:p>
    <w:p w:rsidR="0045609E" w:rsidRPr="0045609E" w:rsidRDefault="00BE1D54" w:rsidP="00432D4E">
      <w:pPr>
        <w:pStyle w:val="Default"/>
      </w:pPr>
      <w:r>
        <w:t xml:space="preserve"> </w:t>
      </w:r>
      <w:r w:rsidRPr="0045609E">
        <w:rPr>
          <w:b/>
          <w:bCs/>
        </w:rPr>
        <w:t>SS-</w:t>
      </w:r>
      <w:proofErr w:type="gramStart"/>
      <w:r w:rsidRPr="0045609E">
        <w:rPr>
          <w:b/>
          <w:bCs/>
        </w:rPr>
        <w:t>0</w:t>
      </w:r>
      <w:r w:rsidR="00A927CE" w:rsidRPr="0045609E">
        <w:rPr>
          <w:b/>
          <w:bCs/>
        </w:rPr>
        <w:t>1</w:t>
      </w:r>
      <w:r w:rsidR="00432D4E">
        <w:rPr>
          <w:b/>
          <w:bCs/>
        </w:rPr>
        <w:t>8</w:t>
      </w:r>
      <w:r w:rsidR="0045609E" w:rsidRPr="0045609E">
        <w:rPr>
          <w:b/>
          <w:bCs/>
        </w:rPr>
        <w:t xml:space="preserve"> .</w:t>
      </w:r>
      <w:proofErr w:type="gramEnd"/>
      <w:r w:rsidR="0045609E" w:rsidRPr="0045609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Molecular</w:t>
      </w:r>
      <w:proofErr w:type="spellEnd"/>
      <w:r w:rsidR="00432D4E" w:rsidRPr="00432D4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mechanism</w:t>
      </w:r>
      <w:proofErr w:type="spellEnd"/>
      <w:r w:rsidR="00432D4E" w:rsidRPr="00432D4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and</w:t>
      </w:r>
      <w:proofErr w:type="spellEnd"/>
      <w:r w:rsidR="00432D4E" w:rsidRPr="00432D4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toxic</w:t>
      </w:r>
      <w:proofErr w:type="spellEnd"/>
      <w:r w:rsidR="00432D4E" w:rsidRPr="00432D4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effects</w:t>
      </w:r>
      <w:proofErr w:type="spellEnd"/>
      <w:r w:rsidR="00432D4E" w:rsidRPr="00432D4E">
        <w:rPr>
          <w:b/>
          <w:bCs/>
        </w:rPr>
        <w:t xml:space="preserve"> of anti-</w:t>
      </w:r>
      <w:proofErr w:type="spellStart"/>
      <w:r w:rsidR="00432D4E" w:rsidRPr="00432D4E">
        <w:rPr>
          <w:b/>
          <w:bCs/>
        </w:rPr>
        <w:t>coagulant</w:t>
      </w:r>
      <w:proofErr w:type="spellEnd"/>
      <w:r w:rsidR="00432D4E" w:rsidRPr="00432D4E">
        <w:rPr>
          <w:b/>
          <w:bCs/>
        </w:rPr>
        <w:t xml:space="preserve"> </w:t>
      </w:r>
      <w:proofErr w:type="spellStart"/>
      <w:r w:rsidR="00432D4E" w:rsidRPr="00432D4E">
        <w:rPr>
          <w:b/>
          <w:bCs/>
        </w:rPr>
        <w:t>rodenticides</w:t>
      </w:r>
      <w:proofErr w:type="spellEnd"/>
    </w:p>
    <w:p w:rsidR="0045609E" w:rsidRPr="0045609E" w:rsidRDefault="0045609E" w:rsidP="0045609E">
      <w:pPr>
        <w:widowControl/>
        <w:rPr>
          <w:color w:val="000000"/>
        </w:rPr>
      </w:pPr>
    </w:p>
    <w:p w:rsidR="0045609E" w:rsidRPr="0045609E" w:rsidRDefault="0045609E" w:rsidP="0045609E">
      <w:pPr>
        <w:widowControl/>
        <w:rPr>
          <w:color w:val="000000"/>
        </w:rPr>
      </w:pPr>
    </w:p>
    <w:p w:rsidR="00432D4E" w:rsidRPr="00432D4E" w:rsidRDefault="00432D4E" w:rsidP="00432D4E">
      <w:pPr>
        <w:pStyle w:val="GvdeMetni"/>
        <w:kinsoku w:val="0"/>
        <w:overflowPunct w:val="0"/>
        <w:jc w:val="center"/>
        <w:rPr>
          <w:color w:val="121212"/>
        </w:rPr>
      </w:pPr>
      <w:proofErr w:type="spellStart"/>
      <w:r w:rsidRPr="00432D4E">
        <w:rPr>
          <w:color w:val="121212"/>
        </w:rPr>
        <w:t>Çinel</w:t>
      </w:r>
      <w:proofErr w:type="spellEnd"/>
      <w:r w:rsidRPr="00432D4E">
        <w:rPr>
          <w:color w:val="121212"/>
        </w:rPr>
        <w:t xml:space="preserve"> Köksal </w:t>
      </w:r>
      <w:proofErr w:type="spellStart"/>
      <w:r w:rsidRPr="00432D4E">
        <w:rPr>
          <w:color w:val="121212"/>
        </w:rPr>
        <w:t>Karayıldırım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jc w:val="center"/>
        <w:rPr>
          <w:color w:val="121212"/>
        </w:rPr>
      </w:pPr>
    </w:p>
    <w:p w:rsidR="00432D4E" w:rsidRDefault="00432D4E" w:rsidP="00432D4E">
      <w:pPr>
        <w:pStyle w:val="GvdeMetni"/>
        <w:kinsoku w:val="0"/>
        <w:overflowPunct w:val="0"/>
        <w:jc w:val="center"/>
        <w:rPr>
          <w:color w:val="121212"/>
        </w:rPr>
      </w:pPr>
      <w:r w:rsidRPr="00432D4E">
        <w:rPr>
          <w:color w:val="121212"/>
        </w:rPr>
        <w:t xml:space="preserve">Ege Üniversitesi, İlaç Geliştirme ve </w:t>
      </w:r>
      <w:proofErr w:type="spellStart"/>
      <w:r w:rsidRPr="00432D4E">
        <w:rPr>
          <w:color w:val="121212"/>
        </w:rPr>
        <w:t>Farmakokinetik</w:t>
      </w:r>
      <w:proofErr w:type="spellEnd"/>
      <w:r w:rsidRPr="00432D4E">
        <w:rPr>
          <w:color w:val="121212"/>
        </w:rPr>
        <w:t xml:space="preserve"> Araştırma Uygulama Merkezi</w:t>
      </w:r>
    </w:p>
    <w:p w:rsidR="00432D4E" w:rsidRPr="00432D4E" w:rsidRDefault="00432D4E" w:rsidP="00432D4E">
      <w:pPr>
        <w:pStyle w:val="GvdeMetni"/>
        <w:kinsoku w:val="0"/>
        <w:overflowPunct w:val="0"/>
        <w:jc w:val="center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bookmarkStart w:id="0" w:name="_GoBack"/>
      <w:bookmarkEnd w:id="0"/>
      <w:proofErr w:type="spellStart"/>
      <w:r w:rsidRPr="00432D4E">
        <w:rPr>
          <w:color w:val="121212"/>
        </w:rPr>
        <w:t>Objective</w:t>
      </w:r>
      <w:proofErr w:type="spellEnd"/>
      <w:r w:rsidRPr="00432D4E">
        <w:rPr>
          <w:color w:val="121212"/>
        </w:rPr>
        <w:t xml:space="preserve">: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pesticides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that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consumed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target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mammals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can </w:t>
      </w:r>
      <w:proofErr w:type="spellStart"/>
      <w:r w:rsidRPr="00432D4E">
        <w:rPr>
          <w:color w:val="121212"/>
        </w:rPr>
        <w:t>lead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secondary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exposure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predators</w:t>
      </w:r>
      <w:proofErr w:type="spellEnd"/>
      <w:r w:rsidRPr="00432D4E">
        <w:rPr>
          <w:color w:val="121212"/>
        </w:rPr>
        <w:t xml:space="preserve">. </w:t>
      </w:r>
      <w:proofErr w:type="spellStart"/>
      <w:r w:rsidRPr="00432D4E">
        <w:rPr>
          <w:color w:val="121212"/>
        </w:rPr>
        <w:t>Anticoaugulant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(</w:t>
      </w:r>
      <w:proofErr w:type="spellStart"/>
      <w:r w:rsidRPr="00432D4E">
        <w:rPr>
          <w:color w:val="121212"/>
        </w:rPr>
        <w:t>LAARs</w:t>
      </w:r>
      <w:proofErr w:type="spellEnd"/>
      <w:r w:rsidRPr="00432D4E">
        <w:rPr>
          <w:color w:val="121212"/>
        </w:rPr>
        <w:t xml:space="preserve">)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widely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used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for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harmful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rodent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control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purposes</w:t>
      </w:r>
      <w:proofErr w:type="spellEnd"/>
      <w:r w:rsidRPr="00432D4E">
        <w:rPr>
          <w:color w:val="121212"/>
        </w:rPr>
        <w:t xml:space="preserve">. </w:t>
      </w:r>
      <w:proofErr w:type="spellStart"/>
      <w:r w:rsidRPr="00432D4E">
        <w:rPr>
          <w:color w:val="121212"/>
        </w:rPr>
        <w:t>LAARs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divided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two</w:t>
      </w:r>
      <w:proofErr w:type="spellEnd"/>
      <w:r w:rsidRPr="00432D4E">
        <w:rPr>
          <w:color w:val="121212"/>
        </w:rPr>
        <w:t xml:space="preserve"> main </w:t>
      </w:r>
      <w:proofErr w:type="spellStart"/>
      <w:r w:rsidRPr="00432D4E">
        <w:rPr>
          <w:color w:val="121212"/>
        </w:rPr>
        <w:t>groups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which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first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generation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second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generation</w:t>
      </w:r>
      <w:proofErr w:type="spellEnd"/>
      <w:r w:rsidRPr="00432D4E">
        <w:rPr>
          <w:color w:val="121212"/>
        </w:rPr>
        <w:t xml:space="preserve">. Second </w:t>
      </w:r>
      <w:proofErr w:type="spellStart"/>
      <w:r w:rsidRPr="00432D4E">
        <w:rPr>
          <w:color w:val="121212"/>
        </w:rPr>
        <w:t>generation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show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higher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toxicity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lethal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for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rodents</w:t>
      </w:r>
      <w:proofErr w:type="spellEnd"/>
      <w:r w:rsidRPr="00432D4E">
        <w:rPr>
          <w:color w:val="121212"/>
        </w:rPr>
        <w:t xml:space="preserve"> in a </w:t>
      </w:r>
      <w:proofErr w:type="spellStart"/>
      <w:r w:rsidRPr="00432D4E">
        <w:rPr>
          <w:color w:val="121212"/>
        </w:rPr>
        <w:t>single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feeding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with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lower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concentrations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due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affinity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binding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sites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liver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greater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accumulation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persistence</w:t>
      </w:r>
      <w:proofErr w:type="spellEnd"/>
      <w:r w:rsidRPr="00432D4E">
        <w:rPr>
          <w:color w:val="121212"/>
        </w:rPr>
        <w:t xml:space="preserve">. </w:t>
      </w:r>
      <w:proofErr w:type="spellStart"/>
      <w:r w:rsidRPr="00432D4E">
        <w:rPr>
          <w:color w:val="121212"/>
        </w:rPr>
        <w:t>However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first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generation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generally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require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higher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concentration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consecutive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intake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over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days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order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accumulate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lethal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dose</w:t>
      </w:r>
      <w:proofErr w:type="spellEnd"/>
      <w:r w:rsidRPr="00432D4E">
        <w:rPr>
          <w:color w:val="121212"/>
        </w:rPr>
        <w:t xml:space="preserve">. </w:t>
      </w:r>
      <w:proofErr w:type="spellStart"/>
      <w:r w:rsidRPr="00432D4E">
        <w:rPr>
          <w:color w:val="121212"/>
        </w:rPr>
        <w:t>The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aim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this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presentation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reviewed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molecular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mecanisms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toxic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effects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which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were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reported</w:t>
      </w:r>
      <w:proofErr w:type="spellEnd"/>
      <w:r w:rsidRPr="00432D4E">
        <w:rPr>
          <w:color w:val="121212"/>
        </w:rPr>
        <w:t xml:space="preserve"> in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literatures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for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anticoagulant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>.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Methods</w:t>
      </w:r>
      <w:proofErr w:type="spellEnd"/>
      <w:r w:rsidRPr="00432D4E">
        <w:rPr>
          <w:color w:val="121212"/>
        </w:rPr>
        <w:t xml:space="preserve">: </w:t>
      </w:r>
      <w:proofErr w:type="spellStart"/>
      <w:r w:rsidRPr="00432D4E">
        <w:rPr>
          <w:color w:val="121212"/>
        </w:rPr>
        <w:t>Anticoagulant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inhibit</w:t>
      </w:r>
      <w:proofErr w:type="spellEnd"/>
      <w:r w:rsidRPr="00432D4E">
        <w:rPr>
          <w:color w:val="121212"/>
        </w:rPr>
        <w:t xml:space="preserve"> vitamin K </w:t>
      </w:r>
      <w:proofErr w:type="spellStart"/>
      <w:r w:rsidRPr="00432D4E">
        <w:rPr>
          <w:color w:val="121212"/>
        </w:rPr>
        <w:t>epoxide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reductase</w:t>
      </w:r>
      <w:proofErr w:type="spellEnd"/>
      <w:r w:rsidRPr="00432D4E">
        <w:rPr>
          <w:color w:val="121212"/>
        </w:rPr>
        <w:t xml:space="preserve"> (VKOR) </w:t>
      </w:r>
      <w:proofErr w:type="spellStart"/>
      <w:r w:rsidRPr="00432D4E">
        <w:rPr>
          <w:color w:val="121212"/>
        </w:rPr>
        <w:t>which</w:t>
      </w:r>
      <w:proofErr w:type="spellEnd"/>
      <w:r w:rsidRPr="00432D4E">
        <w:rPr>
          <w:color w:val="121212"/>
        </w:rPr>
        <w:t xml:space="preserve"> is an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electron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carrier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vitally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involved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oxidation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reduction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cycle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leading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γ-</w:t>
      </w:r>
      <w:proofErr w:type="spellStart"/>
      <w:r w:rsidRPr="00432D4E">
        <w:rPr>
          <w:color w:val="121212"/>
        </w:rPr>
        <w:t>carboxylation</w:t>
      </w:r>
      <w:proofErr w:type="spellEnd"/>
      <w:r w:rsidRPr="00432D4E">
        <w:rPr>
          <w:color w:val="121212"/>
        </w:rPr>
        <w:t>. Vitamin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r w:rsidRPr="00432D4E">
        <w:rPr>
          <w:color w:val="121212"/>
        </w:rPr>
        <w:t xml:space="preserve">K is a </w:t>
      </w:r>
      <w:proofErr w:type="spellStart"/>
      <w:r w:rsidRPr="00432D4E">
        <w:rPr>
          <w:color w:val="121212"/>
        </w:rPr>
        <w:t>cofactor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primary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importance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blood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coagulation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process</w:t>
      </w:r>
      <w:proofErr w:type="spellEnd"/>
      <w:r w:rsidRPr="00432D4E">
        <w:rPr>
          <w:color w:val="121212"/>
        </w:rPr>
        <w:t xml:space="preserve"> as it </w:t>
      </w:r>
      <w:proofErr w:type="spellStart"/>
      <w:r w:rsidRPr="00432D4E">
        <w:rPr>
          <w:color w:val="121212"/>
        </w:rPr>
        <w:t>contributes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activation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blood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subsequently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clotting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factors</w:t>
      </w:r>
      <w:proofErr w:type="spellEnd"/>
      <w:r w:rsidRPr="00432D4E">
        <w:rPr>
          <w:color w:val="121212"/>
        </w:rPr>
        <w:t xml:space="preserve"> (II, VII, IX,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X).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greater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potency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duration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action</w:t>
      </w:r>
      <w:proofErr w:type="spellEnd"/>
      <w:r w:rsidRPr="00432D4E">
        <w:rPr>
          <w:color w:val="121212"/>
        </w:rPr>
        <w:t xml:space="preserve"> of </w:t>
      </w:r>
      <w:proofErr w:type="spellStart"/>
      <w:r w:rsidRPr="00432D4E">
        <w:rPr>
          <w:color w:val="121212"/>
        </w:rPr>
        <w:t>long-acting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anticoagulant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 is </w:t>
      </w:r>
      <w:proofErr w:type="spellStart"/>
      <w:r w:rsidRPr="00432D4E">
        <w:rPr>
          <w:color w:val="121212"/>
        </w:rPr>
        <w:t>attributed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their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affinity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for</w:t>
      </w:r>
      <w:proofErr w:type="spellEnd"/>
      <w:r w:rsidRPr="00432D4E">
        <w:rPr>
          <w:color w:val="121212"/>
        </w:rPr>
        <w:t xml:space="preserve"> vitamin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r w:rsidRPr="00432D4E">
        <w:rPr>
          <w:color w:val="121212"/>
        </w:rPr>
        <w:t xml:space="preserve">K, </w:t>
      </w:r>
      <w:proofErr w:type="spellStart"/>
      <w:r w:rsidRPr="00432D4E">
        <w:rPr>
          <w:color w:val="121212"/>
        </w:rPr>
        <w:t>their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ability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disrupt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vitamin K </w:t>
      </w:r>
      <w:proofErr w:type="spellStart"/>
      <w:r w:rsidRPr="00432D4E">
        <w:rPr>
          <w:color w:val="121212"/>
        </w:rPr>
        <w:t>epoxide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cycle</w:t>
      </w:r>
      <w:proofErr w:type="spellEnd"/>
      <w:r w:rsidRPr="00432D4E">
        <w:rPr>
          <w:color w:val="121212"/>
        </w:rPr>
        <w:t xml:space="preserve"> at </w:t>
      </w:r>
      <w:proofErr w:type="spellStart"/>
      <w:r w:rsidRPr="00432D4E">
        <w:rPr>
          <w:color w:val="121212"/>
        </w:rPr>
        <w:t>more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than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one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point</w:t>
      </w:r>
      <w:proofErr w:type="spellEnd"/>
      <w:r w:rsidRPr="00432D4E">
        <w:rPr>
          <w:color w:val="121212"/>
        </w:rPr>
        <w:t xml:space="preserve">, </w:t>
      </w:r>
      <w:proofErr w:type="spellStart"/>
      <w:r w:rsidRPr="00432D4E">
        <w:rPr>
          <w:color w:val="121212"/>
        </w:rPr>
        <w:t>hepatic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accumulation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unusually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long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biological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half-lives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due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high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lipid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solubility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enterohepatic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circulation</w:t>
      </w:r>
      <w:proofErr w:type="spellEnd"/>
      <w:r w:rsidRPr="00432D4E">
        <w:rPr>
          <w:color w:val="121212"/>
        </w:rPr>
        <w:t>.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After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exposure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LAAR can </w:t>
      </w:r>
      <w:proofErr w:type="spellStart"/>
      <w:r w:rsidRPr="00432D4E">
        <w:rPr>
          <w:color w:val="121212"/>
        </w:rPr>
        <w:t>therefore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lead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</w:t>
      </w:r>
      <w:proofErr w:type="spellEnd"/>
      <w:r w:rsidRPr="00432D4E">
        <w:rPr>
          <w:color w:val="121212"/>
        </w:rPr>
        <w:t xml:space="preserve"> a </w:t>
      </w:r>
      <w:proofErr w:type="spellStart"/>
      <w:r w:rsidRPr="00432D4E">
        <w:rPr>
          <w:color w:val="121212"/>
        </w:rPr>
        <w:t>progressive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decrease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blood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clotting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factor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between</w:t>
      </w:r>
      <w:proofErr w:type="spellEnd"/>
      <w:r w:rsidRPr="00432D4E">
        <w:rPr>
          <w:color w:val="121212"/>
        </w:rPr>
        <w:t xml:space="preserve"> 12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24 h </w:t>
      </w:r>
      <w:proofErr w:type="spellStart"/>
      <w:r w:rsidRPr="00432D4E">
        <w:rPr>
          <w:color w:val="121212"/>
        </w:rPr>
        <w:t>after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intoxication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resulting</w:t>
      </w:r>
      <w:proofErr w:type="spellEnd"/>
      <w:r w:rsidRPr="00432D4E">
        <w:rPr>
          <w:color w:val="121212"/>
        </w:rPr>
        <w:t xml:space="preserve"> in </w:t>
      </w:r>
      <w:proofErr w:type="spellStart"/>
      <w:r w:rsidRPr="00432D4E">
        <w:rPr>
          <w:color w:val="121212"/>
        </w:rPr>
        <w:t>massive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bleeding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episodes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that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potentially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fatal</w:t>
      </w:r>
      <w:proofErr w:type="spellEnd"/>
      <w:r w:rsidRPr="00432D4E">
        <w:rPr>
          <w:color w:val="121212"/>
        </w:rPr>
        <w:t>.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lastRenderedPageBreak/>
        <w:t>Results</w:t>
      </w:r>
      <w:proofErr w:type="spellEnd"/>
      <w:r w:rsidRPr="00432D4E">
        <w:rPr>
          <w:color w:val="121212"/>
        </w:rPr>
        <w:t xml:space="preserve">: </w:t>
      </w:r>
      <w:proofErr w:type="spellStart"/>
      <w:r w:rsidRPr="00432D4E">
        <w:rPr>
          <w:color w:val="121212"/>
        </w:rPr>
        <w:t>This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presentation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provide</w:t>
      </w:r>
      <w:proofErr w:type="spellEnd"/>
      <w:r w:rsidRPr="00432D4E">
        <w:rPr>
          <w:color w:val="121212"/>
        </w:rPr>
        <w:t xml:space="preserve"> a </w:t>
      </w:r>
      <w:proofErr w:type="spellStart"/>
      <w:r w:rsidRPr="00432D4E">
        <w:rPr>
          <w:color w:val="121212"/>
        </w:rPr>
        <w:t>comprehensive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understanding</w:t>
      </w:r>
      <w:proofErr w:type="spellEnd"/>
      <w:r w:rsidRPr="00432D4E">
        <w:rPr>
          <w:color w:val="121212"/>
        </w:rPr>
        <w:t xml:space="preserve"> of LAAR </w:t>
      </w:r>
      <w:proofErr w:type="spellStart"/>
      <w:r w:rsidRPr="00432D4E">
        <w:rPr>
          <w:color w:val="121212"/>
        </w:rPr>
        <w:t>molecular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mecanism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which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causes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by</w:t>
      </w:r>
      <w:proofErr w:type="spellEnd"/>
      <w:r w:rsidRPr="00432D4E">
        <w:rPr>
          <w:color w:val="121212"/>
        </w:rPr>
        <w:t xml:space="preserve"> vitamin K.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Conclusion</w:t>
      </w:r>
      <w:proofErr w:type="spellEnd"/>
      <w:r w:rsidRPr="00432D4E">
        <w:rPr>
          <w:color w:val="121212"/>
        </w:rPr>
        <w:t xml:space="preserve">: </w:t>
      </w:r>
      <w:proofErr w:type="spellStart"/>
      <w:r w:rsidRPr="00432D4E">
        <w:rPr>
          <w:color w:val="121212"/>
        </w:rPr>
        <w:t>In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summary</w:t>
      </w:r>
      <w:proofErr w:type="spellEnd"/>
      <w:r w:rsidRPr="00432D4E">
        <w:rPr>
          <w:color w:val="121212"/>
        </w:rPr>
        <w:t xml:space="preserve">,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presented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information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about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Molecular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mechanism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and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toxic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effects</w:t>
      </w:r>
      <w:proofErr w:type="spellEnd"/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gramStart"/>
      <w:r w:rsidRPr="00432D4E">
        <w:rPr>
          <w:color w:val="121212"/>
        </w:rPr>
        <w:t>of</w:t>
      </w:r>
      <w:proofErr w:type="gramEnd"/>
      <w:r w:rsidRPr="00432D4E">
        <w:rPr>
          <w:color w:val="121212"/>
        </w:rPr>
        <w:t xml:space="preserve"> anti-</w:t>
      </w:r>
      <w:proofErr w:type="spellStart"/>
      <w:r w:rsidRPr="00432D4E">
        <w:rPr>
          <w:color w:val="121212"/>
        </w:rPr>
        <w:t>coagulant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, is </w:t>
      </w:r>
      <w:proofErr w:type="spellStart"/>
      <w:r w:rsidRPr="00432D4E">
        <w:rPr>
          <w:color w:val="121212"/>
        </w:rPr>
        <w:t>useful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for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researchers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especially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those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who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are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involved</w:t>
      </w:r>
      <w:proofErr w:type="spellEnd"/>
      <w:r w:rsidRPr="00432D4E">
        <w:rPr>
          <w:color w:val="121212"/>
        </w:rPr>
        <w:t xml:space="preserve"> in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  <w:proofErr w:type="spellStart"/>
      <w:r w:rsidRPr="00432D4E">
        <w:rPr>
          <w:color w:val="121212"/>
        </w:rPr>
        <w:t>manufacture</w:t>
      </w:r>
      <w:proofErr w:type="spellEnd"/>
      <w:r w:rsidRPr="00432D4E">
        <w:rPr>
          <w:color w:val="121212"/>
        </w:rPr>
        <w:t xml:space="preserve"> </w:t>
      </w:r>
      <w:proofErr w:type="spellStart"/>
      <w:r w:rsidRPr="00432D4E">
        <w:rPr>
          <w:color w:val="121212"/>
        </w:rPr>
        <w:t>processes</w:t>
      </w:r>
      <w:proofErr w:type="spellEnd"/>
      <w:r w:rsidRPr="00432D4E">
        <w:rPr>
          <w:color w:val="121212"/>
        </w:rPr>
        <w:t>.</w:t>
      </w:r>
    </w:p>
    <w:p w:rsidR="00432D4E" w:rsidRPr="00432D4E" w:rsidRDefault="00432D4E" w:rsidP="00432D4E">
      <w:pPr>
        <w:pStyle w:val="GvdeMetni"/>
        <w:kinsoku w:val="0"/>
        <w:overflowPunct w:val="0"/>
        <w:rPr>
          <w:color w:val="121212"/>
        </w:rPr>
      </w:pPr>
    </w:p>
    <w:p w:rsidR="0096024C" w:rsidRPr="0045609E" w:rsidRDefault="00432D4E" w:rsidP="00432D4E">
      <w:pPr>
        <w:pStyle w:val="GvdeMetni"/>
        <w:kinsoku w:val="0"/>
        <w:overflowPunct w:val="0"/>
        <w:ind w:left="0"/>
      </w:pPr>
      <w:proofErr w:type="spellStart"/>
      <w:r w:rsidRPr="00432D4E">
        <w:rPr>
          <w:color w:val="121212"/>
        </w:rPr>
        <w:t>Keywords</w:t>
      </w:r>
      <w:proofErr w:type="spellEnd"/>
      <w:r w:rsidRPr="00432D4E">
        <w:rPr>
          <w:color w:val="121212"/>
        </w:rPr>
        <w:t xml:space="preserve">: </w:t>
      </w:r>
      <w:proofErr w:type="spellStart"/>
      <w:r w:rsidRPr="00432D4E">
        <w:rPr>
          <w:color w:val="121212"/>
        </w:rPr>
        <w:t>Rodenticides</w:t>
      </w:r>
      <w:proofErr w:type="spellEnd"/>
      <w:r w:rsidRPr="00432D4E">
        <w:rPr>
          <w:color w:val="121212"/>
        </w:rPr>
        <w:t xml:space="preserve">, </w:t>
      </w:r>
      <w:proofErr w:type="spellStart"/>
      <w:r w:rsidRPr="00432D4E">
        <w:rPr>
          <w:color w:val="121212"/>
        </w:rPr>
        <w:t>Anticoagulant</w:t>
      </w:r>
      <w:proofErr w:type="spellEnd"/>
      <w:r w:rsidRPr="00432D4E">
        <w:rPr>
          <w:color w:val="121212"/>
        </w:rPr>
        <w:t xml:space="preserve">, </w:t>
      </w:r>
      <w:proofErr w:type="spellStart"/>
      <w:r w:rsidRPr="00432D4E">
        <w:rPr>
          <w:color w:val="121212"/>
        </w:rPr>
        <w:t>Toxicity</w:t>
      </w:r>
      <w:proofErr w:type="spellEnd"/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45609E" w:rsidRDefault="0045609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E759CE" w:rsidRDefault="00E759CE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B559E8" w:rsidRDefault="00B559E8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96024C" w:rsidRDefault="0096024C">
      <w:pPr>
        <w:pStyle w:val="GvdeMetni"/>
        <w:kinsoku w:val="0"/>
        <w:overflowPunct w:val="0"/>
        <w:ind w:left="0"/>
        <w:rPr>
          <w:sz w:val="20"/>
          <w:szCs w:val="20"/>
        </w:rPr>
      </w:pPr>
    </w:p>
    <w:p w:rsidR="00677F3A" w:rsidRDefault="00677F3A">
      <w:pPr>
        <w:pStyle w:val="GvdeMetni"/>
        <w:kinsoku w:val="0"/>
        <w:overflowPunct w:val="0"/>
        <w:spacing w:before="3"/>
        <w:ind w:left="0"/>
        <w:rPr>
          <w:sz w:val="22"/>
          <w:szCs w:val="22"/>
        </w:rPr>
      </w:pPr>
    </w:p>
    <w:p w:rsidR="00677F3A" w:rsidRDefault="00BE1D54">
      <w:pPr>
        <w:pStyle w:val="GvdeMetni"/>
        <w:kinsoku w:val="0"/>
        <w:overflowPunct w:val="0"/>
        <w:spacing w:line="40" w:lineRule="atLeast"/>
        <w:ind w:left="103"/>
        <w:rPr>
          <w:sz w:val="4"/>
          <w:szCs w:val="4"/>
        </w:rPr>
      </w:pPr>
      <w:r>
        <w:rPr>
          <w:noProof/>
          <w:sz w:val="4"/>
          <w:szCs w:val="4"/>
        </w:rPr>
        <mc:AlternateContent>
          <mc:Choice Requires="wpg">
            <w:drawing>
              <wp:inline distT="0" distB="0" distL="0" distR="0">
                <wp:extent cx="6546850" cy="25400"/>
                <wp:effectExtent l="1905" t="5715" r="4445" b="6985"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6850" cy="25400"/>
                          <a:chOff x="0" y="0"/>
                          <a:chExt cx="10310" cy="40"/>
                        </a:xfrm>
                      </wpg:grpSpPr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20" y="20"/>
                            <a:ext cx="10270" cy="20"/>
                          </a:xfrm>
                          <a:custGeom>
                            <a:avLst/>
                            <a:gdLst>
                              <a:gd name="T0" fmla="*/ 0 w 10270"/>
                              <a:gd name="T1" fmla="*/ 0 h 20"/>
                              <a:gd name="T2" fmla="*/ 10270 w 1027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270" h="20">
                                <a:moveTo>
                                  <a:pt x="0" y="0"/>
                                </a:moveTo>
                                <a:lnTo>
                                  <a:pt x="10270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" o:spid="_x0000_s1026" style="width:515.5pt;height:2pt;mso-position-horizontal-relative:char;mso-position-vertical-relative:line" coordsize="10310,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">
                <v:shape id="Freeform 4" o:spid="_x0000_s1027" style="position:absolute;left:20;top:20;width:10270;height:20;visibility:visible;mso-wrap-style:square;v-text-anchor:top" coordsize="1027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QQYcsQA&#10;AADaAAAADwAAAGRycy9kb3ducmV2LnhtbESPT4vCMBTE7wt+h/AEb2uqLkupRhFFWVgv6x/E26N5&#10;tsXmpTSxdv30RhA8DjPzG2Yya00pGqpdYVnBoB+BIE6tLjhTsN+tPmMQziNrLC2Tgn9yMJt2PiaY&#10;aHvjP2q2PhMBwi5BBbn3VSKlS3My6Pq2Ig7e2dYGfZB1JnWNtwA3pRxG0bc0WHBYyLGiRU7pZXs1&#10;CordMV4eRtV9w3HU7kfN+vQ7XCvV67bzMQhPrX+HX+0freALnlfCDZ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GHLEAAAA2gAAAA8AAAAAAAAAAAAAAAAAmAIAAGRycy9k&#10;b3ducmV2LnhtbFBLBQYAAAAABAAEAPUAAACJAwAAAAA=&#10;" path="m,l10270,e" filled="f" strokeweight="2pt">
                  <v:path arrowok="t" o:connecttype="custom" o:connectlocs="0,0;10270,0" o:connectangles="0,0"/>
                </v:shape>
                <w10:anchorlock/>
              </v:group>
            </w:pict>
          </mc:Fallback>
        </mc:AlternateContent>
      </w:r>
    </w:p>
    <w:p w:rsidR="00B82E0A" w:rsidRDefault="00B82E0A">
      <w:pPr>
        <w:pStyle w:val="GvdeMetni"/>
        <w:tabs>
          <w:tab w:val="left" w:pos="9874"/>
        </w:tabs>
        <w:kinsoku w:val="0"/>
        <w:overflowPunct w:val="0"/>
        <w:spacing w:before="32"/>
        <w:ind w:left="7018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TURJOEM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201</w:t>
      </w:r>
      <w:r w:rsidR="00BE1D54">
        <w:rPr>
          <w:rFonts w:ascii="Arial" w:hAnsi="Arial" w:cs="Arial"/>
          <w:spacing w:val="-1"/>
        </w:rPr>
        <w:t>7</w:t>
      </w:r>
      <w:proofErr w:type="gramEnd"/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-2"/>
        </w:rPr>
        <w:t xml:space="preserve"> </w:t>
      </w:r>
      <w:r w:rsidR="00BE1D54">
        <w:rPr>
          <w:rFonts w:ascii="Arial" w:hAnsi="Arial" w:cs="Arial"/>
          <w:spacing w:val="-2"/>
        </w:rPr>
        <w:t>1 ,</w:t>
      </w:r>
      <w:r>
        <w:rPr>
          <w:rFonts w:ascii="Arial" w:hAnsi="Arial" w:cs="Arial"/>
          <w:spacing w:val="-1"/>
        </w:rPr>
        <w:t>1</w:t>
      </w:r>
      <w:r w:rsidR="00BE1D54">
        <w:rPr>
          <w:rFonts w:ascii="Arial" w:hAnsi="Arial" w:cs="Arial"/>
          <w:spacing w:val="-1"/>
        </w:rPr>
        <w:t xml:space="preserve"> (2)</w:t>
      </w:r>
      <w:r>
        <w:rPr>
          <w:rFonts w:ascii="Arial" w:hAnsi="Arial" w:cs="Arial"/>
        </w:rPr>
        <w:tab/>
      </w:r>
    </w:p>
    <w:sectPr w:rsidR="00B82E0A">
      <w:type w:val="continuous"/>
      <w:pgSz w:w="11910" w:h="16840"/>
      <w:pgMar w:top="1220" w:right="440" w:bottom="280" w:left="8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54"/>
    <w:rsid w:val="001C3718"/>
    <w:rsid w:val="003C6B18"/>
    <w:rsid w:val="00421E3C"/>
    <w:rsid w:val="00432D4E"/>
    <w:rsid w:val="0045609E"/>
    <w:rsid w:val="00496140"/>
    <w:rsid w:val="00536055"/>
    <w:rsid w:val="00654BC3"/>
    <w:rsid w:val="00677F3A"/>
    <w:rsid w:val="0073215F"/>
    <w:rsid w:val="008B49A8"/>
    <w:rsid w:val="0096024C"/>
    <w:rsid w:val="00A03C77"/>
    <w:rsid w:val="00A1441E"/>
    <w:rsid w:val="00A927CE"/>
    <w:rsid w:val="00B559E8"/>
    <w:rsid w:val="00B82E0A"/>
    <w:rsid w:val="00BE1D54"/>
    <w:rsid w:val="00C13906"/>
    <w:rsid w:val="00CA521B"/>
    <w:rsid w:val="00CC257E"/>
    <w:rsid w:val="00DE0CBE"/>
    <w:rsid w:val="00E250AB"/>
    <w:rsid w:val="00E759CE"/>
    <w:rsid w:val="00EB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pPr>
      <w:ind w:left="260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BE1D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C371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C37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turjoem.com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ersan</cp:lastModifiedBy>
  <cp:revision>2</cp:revision>
  <dcterms:created xsi:type="dcterms:W3CDTF">2017-06-15T08:15:00Z</dcterms:created>
  <dcterms:modified xsi:type="dcterms:W3CDTF">2017-06-15T08:15:00Z</dcterms:modified>
</cp:coreProperties>
</file>