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81" w:rsidRPr="002E402A" w:rsidRDefault="00210B8E" w:rsidP="000A7CD7">
      <w:pPr>
        <w:spacing w:line="240" w:lineRule="auto"/>
        <w:jc w:val="center"/>
        <w:rPr>
          <w:rFonts w:ascii="Times New Roman" w:hAnsi="Times New Roman" w:cs="Times New Roman"/>
          <w:b/>
          <w:sz w:val="24"/>
          <w:szCs w:val="24"/>
        </w:rPr>
      </w:pPr>
      <w:r w:rsidRPr="002E402A">
        <w:rPr>
          <w:rFonts w:ascii="Times New Roman" w:hAnsi="Times New Roman" w:cs="Times New Roman"/>
          <w:b/>
          <w:sz w:val="24"/>
          <w:szCs w:val="24"/>
        </w:rPr>
        <w:t xml:space="preserve">VERİ ZARFLAMA ANALİZİ ve TOPLAM FAKTÖR VERİMLİLİĞİ: </w:t>
      </w:r>
      <w:r w:rsidR="00BB6236" w:rsidRPr="002E402A">
        <w:rPr>
          <w:rFonts w:ascii="Times New Roman" w:hAnsi="Times New Roman" w:cs="Times New Roman"/>
          <w:b/>
          <w:sz w:val="24"/>
          <w:szCs w:val="24"/>
        </w:rPr>
        <w:t>ARACI KURUMLAR ÜZERİNE</w:t>
      </w:r>
      <w:r w:rsidRPr="002E402A">
        <w:rPr>
          <w:rFonts w:ascii="Times New Roman" w:hAnsi="Times New Roman" w:cs="Times New Roman"/>
          <w:b/>
          <w:sz w:val="24"/>
          <w:szCs w:val="24"/>
        </w:rPr>
        <w:t xml:space="preserve"> BİR UYGULAMA</w:t>
      </w:r>
    </w:p>
    <w:p w:rsidR="00B17F3A" w:rsidRPr="002E402A" w:rsidRDefault="00B17F3A" w:rsidP="000A7CD7">
      <w:pPr>
        <w:spacing w:line="240" w:lineRule="auto"/>
        <w:rPr>
          <w:rFonts w:ascii="Times New Roman" w:hAnsi="Times New Roman" w:cs="Times New Roman"/>
          <w:b/>
          <w:sz w:val="24"/>
          <w:szCs w:val="24"/>
        </w:rPr>
      </w:pPr>
    </w:p>
    <w:p w:rsidR="00B17F3A" w:rsidRPr="002E402A" w:rsidRDefault="00B17F3A" w:rsidP="000A7CD7">
      <w:pPr>
        <w:spacing w:line="240" w:lineRule="auto"/>
        <w:jc w:val="right"/>
        <w:rPr>
          <w:rFonts w:ascii="Times New Roman" w:hAnsi="Times New Roman" w:cs="Times New Roman"/>
          <w:b/>
          <w:i/>
          <w:sz w:val="24"/>
          <w:szCs w:val="24"/>
        </w:rPr>
      </w:pPr>
      <w:r w:rsidRPr="00AD1401">
        <w:rPr>
          <w:rFonts w:ascii="Times New Roman" w:hAnsi="Times New Roman" w:cs="Times New Roman"/>
          <w:b/>
          <w:sz w:val="24"/>
          <w:szCs w:val="24"/>
        </w:rPr>
        <w:t>Nilüfer BAYRAM</w:t>
      </w:r>
      <w:r w:rsidR="00382791" w:rsidRPr="00B908E8">
        <w:rPr>
          <w:rStyle w:val="DipnotBavurusu"/>
          <w:rFonts w:ascii="Times New Roman" w:hAnsi="Times New Roman" w:cs="Times New Roman"/>
          <w:b/>
          <w:sz w:val="24"/>
          <w:szCs w:val="24"/>
        </w:rPr>
        <w:footnoteReference w:id="1"/>
      </w:r>
    </w:p>
    <w:p w:rsidR="00B36981" w:rsidRPr="002E402A" w:rsidRDefault="00B36981" w:rsidP="000A7CD7">
      <w:pPr>
        <w:spacing w:line="240" w:lineRule="auto"/>
        <w:rPr>
          <w:rFonts w:ascii="Times New Roman" w:hAnsi="Times New Roman" w:cs="Times New Roman"/>
          <w:b/>
          <w:sz w:val="24"/>
          <w:szCs w:val="24"/>
        </w:rPr>
      </w:pPr>
    </w:p>
    <w:p w:rsidR="001B0E1C" w:rsidRPr="00860AF7" w:rsidRDefault="00860AF7" w:rsidP="00860AF7">
      <w:pPr>
        <w:spacing w:line="240" w:lineRule="auto"/>
        <w:rPr>
          <w:rFonts w:ascii="Times New Roman" w:hAnsi="Times New Roman" w:cs="Times New Roman"/>
          <w:b/>
          <w:i/>
          <w:sz w:val="24"/>
          <w:szCs w:val="24"/>
        </w:rPr>
      </w:pPr>
      <w:r w:rsidRPr="00860AF7">
        <w:rPr>
          <w:rFonts w:ascii="Times New Roman" w:hAnsi="Times New Roman" w:cs="Times New Roman"/>
          <w:b/>
          <w:i/>
          <w:sz w:val="24"/>
          <w:szCs w:val="24"/>
        </w:rPr>
        <w:t>ÖZET</w:t>
      </w:r>
    </w:p>
    <w:p w:rsidR="00F2234E" w:rsidRPr="00860AF7" w:rsidRDefault="00154D03" w:rsidP="00860AF7">
      <w:pPr>
        <w:spacing w:line="240" w:lineRule="auto"/>
        <w:rPr>
          <w:rFonts w:ascii="Times New Roman" w:hAnsi="Times New Roman" w:cs="Times New Roman"/>
          <w:i/>
          <w:sz w:val="24"/>
          <w:szCs w:val="24"/>
        </w:rPr>
      </w:pPr>
      <w:r w:rsidRPr="00860AF7">
        <w:rPr>
          <w:rFonts w:ascii="Times New Roman" w:hAnsi="Times New Roman" w:cs="Times New Roman"/>
          <w:i/>
          <w:sz w:val="24"/>
          <w:szCs w:val="24"/>
        </w:rPr>
        <w:t>Günümüzde yaşanan küreselleşme, teknolojik gelişmeler ve yoğun rekabet, işletmeleri kaynaklarını etkin ve verimli şekilde kullanmaya</w:t>
      </w:r>
      <w:r w:rsidR="00F4537E" w:rsidRPr="00860AF7">
        <w:rPr>
          <w:rFonts w:ascii="Times New Roman" w:hAnsi="Times New Roman" w:cs="Times New Roman"/>
          <w:i/>
          <w:sz w:val="24"/>
          <w:szCs w:val="24"/>
        </w:rPr>
        <w:t xml:space="preserve"> itmektedir. Ayrıca, </w:t>
      </w:r>
      <w:r w:rsidR="00C5411E" w:rsidRPr="00860AF7">
        <w:rPr>
          <w:rFonts w:ascii="Times New Roman" w:hAnsi="Times New Roman" w:cs="Times New Roman"/>
          <w:i/>
          <w:sz w:val="24"/>
          <w:szCs w:val="24"/>
        </w:rPr>
        <w:t xml:space="preserve">firmaların sektörde </w:t>
      </w:r>
      <w:r w:rsidR="00F4537E" w:rsidRPr="00860AF7">
        <w:rPr>
          <w:rFonts w:ascii="Times New Roman" w:hAnsi="Times New Roman" w:cs="Times New Roman"/>
          <w:i/>
          <w:sz w:val="24"/>
          <w:szCs w:val="24"/>
        </w:rPr>
        <w:t>r</w:t>
      </w:r>
      <w:r w:rsidR="00C5411E" w:rsidRPr="00860AF7">
        <w:rPr>
          <w:rFonts w:ascii="Times New Roman" w:hAnsi="Times New Roman" w:cs="Times New Roman"/>
          <w:i/>
          <w:sz w:val="24"/>
          <w:szCs w:val="24"/>
        </w:rPr>
        <w:t>ekabet içinde bulundukları diğer firmalara kıyasla performanslarını</w:t>
      </w:r>
      <w:r w:rsidRPr="00860AF7">
        <w:rPr>
          <w:rFonts w:ascii="Times New Roman" w:hAnsi="Times New Roman" w:cs="Times New Roman"/>
          <w:i/>
          <w:sz w:val="24"/>
          <w:szCs w:val="24"/>
        </w:rPr>
        <w:t xml:space="preserve"> </w:t>
      </w:r>
      <w:r w:rsidR="00C5411E" w:rsidRPr="00860AF7">
        <w:rPr>
          <w:rFonts w:ascii="Times New Roman" w:hAnsi="Times New Roman" w:cs="Times New Roman"/>
          <w:i/>
          <w:sz w:val="24"/>
          <w:szCs w:val="24"/>
        </w:rPr>
        <w:t>değerlendirmeleri</w:t>
      </w:r>
      <w:r w:rsidRPr="00860AF7">
        <w:rPr>
          <w:rFonts w:ascii="Times New Roman" w:hAnsi="Times New Roman" w:cs="Times New Roman"/>
          <w:i/>
          <w:sz w:val="24"/>
          <w:szCs w:val="24"/>
        </w:rPr>
        <w:t xml:space="preserve"> ve </w:t>
      </w:r>
      <w:r w:rsidR="00C5411E" w:rsidRPr="00860AF7">
        <w:rPr>
          <w:rFonts w:ascii="Times New Roman" w:hAnsi="Times New Roman" w:cs="Times New Roman"/>
          <w:i/>
          <w:sz w:val="24"/>
          <w:szCs w:val="24"/>
        </w:rPr>
        <w:t xml:space="preserve">bu analiz sonucunda da </w:t>
      </w:r>
      <w:r w:rsidRPr="00860AF7">
        <w:rPr>
          <w:rFonts w:ascii="Times New Roman" w:hAnsi="Times New Roman" w:cs="Times New Roman"/>
          <w:i/>
          <w:sz w:val="24"/>
          <w:szCs w:val="24"/>
        </w:rPr>
        <w:t>referans almaları gereken işletm</w:t>
      </w:r>
      <w:r w:rsidR="00C5411E" w:rsidRPr="00860AF7">
        <w:rPr>
          <w:rFonts w:ascii="Times New Roman" w:hAnsi="Times New Roman" w:cs="Times New Roman"/>
          <w:i/>
          <w:sz w:val="24"/>
          <w:szCs w:val="24"/>
        </w:rPr>
        <w:t xml:space="preserve">eleri belirlemeleri gerekmektedir. </w:t>
      </w:r>
      <w:r w:rsidR="00F4537E" w:rsidRPr="00860AF7">
        <w:rPr>
          <w:rFonts w:ascii="Times New Roman" w:hAnsi="Times New Roman" w:cs="Times New Roman"/>
          <w:i/>
          <w:sz w:val="24"/>
          <w:szCs w:val="24"/>
        </w:rPr>
        <w:t xml:space="preserve"> </w:t>
      </w:r>
      <w:r w:rsidR="00C5411E" w:rsidRPr="00860AF7">
        <w:rPr>
          <w:rFonts w:ascii="Times New Roman" w:hAnsi="Times New Roman" w:cs="Times New Roman"/>
          <w:i/>
          <w:sz w:val="24"/>
          <w:szCs w:val="24"/>
        </w:rPr>
        <w:t xml:space="preserve">Üstlendikleri görevler itibariyle sermaye piyasalarının en önemli aktörlerinden biri olan </w:t>
      </w:r>
      <w:r w:rsidR="00F4537E" w:rsidRPr="00860AF7">
        <w:rPr>
          <w:rFonts w:ascii="Times New Roman" w:hAnsi="Times New Roman" w:cs="Times New Roman"/>
          <w:i/>
          <w:sz w:val="24"/>
          <w:szCs w:val="24"/>
        </w:rPr>
        <w:t>aracı kurumlar</w:t>
      </w:r>
      <w:r w:rsidR="00C5411E" w:rsidRPr="00860AF7">
        <w:rPr>
          <w:rFonts w:ascii="Times New Roman" w:hAnsi="Times New Roman" w:cs="Times New Roman"/>
          <w:i/>
          <w:sz w:val="24"/>
          <w:szCs w:val="24"/>
        </w:rPr>
        <w:t>ın da</w:t>
      </w:r>
      <w:r w:rsidR="00F4537E" w:rsidRPr="00860AF7">
        <w:rPr>
          <w:rFonts w:ascii="Times New Roman" w:hAnsi="Times New Roman" w:cs="Times New Roman"/>
          <w:i/>
          <w:sz w:val="24"/>
          <w:szCs w:val="24"/>
        </w:rPr>
        <w:t xml:space="preserve"> </w:t>
      </w:r>
      <w:r w:rsidR="00C5411E" w:rsidRPr="00860AF7">
        <w:rPr>
          <w:rFonts w:ascii="Times New Roman" w:hAnsi="Times New Roman" w:cs="Times New Roman"/>
          <w:i/>
          <w:sz w:val="24"/>
          <w:szCs w:val="24"/>
        </w:rPr>
        <w:t>bu düşünce ışığında faaliyet göstermesi kendilerinden beklenmektedir.</w:t>
      </w:r>
    </w:p>
    <w:p w:rsidR="00062E56" w:rsidRPr="00860AF7" w:rsidRDefault="00A63365" w:rsidP="00860AF7">
      <w:pPr>
        <w:spacing w:line="240" w:lineRule="auto"/>
        <w:rPr>
          <w:rFonts w:ascii="Times New Roman" w:hAnsi="Times New Roman" w:cs="Times New Roman"/>
          <w:i/>
          <w:sz w:val="24"/>
          <w:szCs w:val="24"/>
        </w:rPr>
      </w:pPr>
      <w:r w:rsidRPr="00860AF7">
        <w:rPr>
          <w:rFonts w:ascii="Times New Roman" w:hAnsi="Times New Roman" w:cs="Times New Roman"/>
          <w:i/>
          <w:sz w:val="24"/>
          <w:szCs w:val="24"/>
        </w:rPr>
        <w:t>Bu çalışmada</w:t>
      </w:r>
      <w:r w:rsidR="00395BCD" w:rsidRPr="00860AF7">
        <w:rPr>
          <w:rFonts w:ascii="Times New Roman" w:hAnsi="Times New Roman" w:cs="Times New Roman"/>
          <w:i/>
          <w:sz w:val="24"/>
          <w:szCs w:val="24"/>
        </w:rPr>
        <w:t>, aracı kurumların,</w:t>
      </w:r>
      <w:r w:rsidR="00412BE1" w:rsidRPr="00860AF7">
        <w:rPr>
          <w:rFonts w:ascii="Times New Roman" w:hAnsi="Times New Roman" w:cs="Times New Roman"/>
          <w:i/>
          <w:sz w:val="24"/>
          <w:szCs w:val="24"/>
        </w:rPr>
        <w:t xml:space="preserve"> 2009-2013</w:t>
      </w:r>
      <w:r w:rsidRPr="00860AF7">
        <w:rPr>
          <w:rFonts w:ascii="Times New Roman" w:hAnsi="Times New Roman" w:cs="Times New Roman"/>
          <w:i/>
          <w:sz w:val="24"/>
          <w:szCs w:val="24"/>
        </w:rPr>
        <w:t xml:space="preserve"> döneminde</w:t>
      </w:r>
      <w:r w:rsidR="00280319" w:rsidRPr="00860AF7">
        <w:rPr>
          <w:rFonts w:ascii="Times New Roman" w:hAnsi="Times New Roman" w:cs="Times New Roman"/>
          <w:i/>
          <w:sz w:val="24"/>
          <w:szCs w:val="24"/>
        </w:rPr>
        <w:t>ki</w:t>
      </w:r>
      <w:r w:rsidR="00971AC7" w:rsidRPr="00860AF7">
        <w:rPr>
          <w:rFonts w:ascii="Times New Roman" w:hAnsi="Times New Roman" w:cs="Times New Roman"/>
          <w:i/>
          <w:sz w:val="24"/>
          <w:szCs w:val="24"/>
        </w:rPr>
        <w:t xml:space="preserve"> faaliyet etkinliği incelenmiştir.</w:t>
      </w:r>
      <w:r w:rsidR="00062E56" w:rsidRPr="00860AF7">
        <w:rPr>
          <w:rFonts w:ascii="Times New Roman" w:hAnsi="Times New Roman" w:cs="Times New Roman"/>
          <w:i/>
          <w:sz w:val="24"/>
          <w:szCs w:val="24"/>
        </w:rPr>
        <w:t xml:space="preserve"> </w:t>
      </w:r>
      <w:r w:rsidR="00C5411E" w:rsidRPr="00860AF7">
        <w:rPr>
          <w:rFonts w:ascii="Times New Roman" w:hAnsi="Times New Roman" w:cs="Times New Roman"/>
          <w:i/>
          <w:sz w:val="24"/>
          <w:szCs w:val="24"/>
        </w:rPr>
        <w:t xml:space="preserve">Bu </w:t>
      </w:r>
      <w:r w:rsidR="00280319" w:rsidRPr="00860AF7">
        <w:rPr>
          <w:rFonts w:ascii="Times New Roman" w:hAnsi="Times New Roman" w:cs="Times New Roman"/>
          <w:i/>
          <w:sz w:val="24"/>
          <w:szCs w:val="24"/>
        </w:rPr>
        <w:t>amaçla</w:t>
      </w:r>
      <w:r w:rsidR="00C5411E" w:rsidRPr="00860AF7">
        <w:rPr>
          <w:rFonts w:ascii="Times New Roman" w:hAnsi="Times New Roman" w:cs="Times New Roman"/>
          <w:i/>
          <w:sz w:val="24"/>
          <w:szCs w:val="24"/>
        </w:rPr>
        <w:t xml:space="preserve"> </w:t>
      </w:r>
      <w:r w:rsidR="008D29FE" w:rsidRPr="00860AF7">
        <w:rPr>
          <w:rFonts w:ascii="Times New Roman" w:hAnsi="Times New Roman" w:cs="Times New Roman"/>
          <w:i/>
          <w:sz w:val="24"/>
          <w:szCs w:val="24"/>
        </w:rPr>
        <w:t>Veri Zarflama Analizi (</w:t>
      </w:r>
      <w:r w:rsidR="00062E56" w:rsidRPr="00860AF7">
        <w:rPr>
          <w:rFonts w:ascii="Times New Roman" w:hAnsi="Times New Roman" w:cs="Times New Roman"/>
          <w:i/>
          <w:sz w:val="24"/>
          <w:szCs w:val="24"/>
        </w:rPr>
        <w:t>VZA</w:t>
      </w:r>
      <w:r w:rsidR="008D29FE" w:rsidRPr="00860AF7">
        <w:rPr>
          <w:rFonts w:ascii="Times New Roman" w:hAnsi="Times New Roman" w:cs="Times New Roman"/>
          <w:i/>
          <w:sz w:val="24"/>
          <w:szCs w:val="24"/>
        </w:rPr>
        <w:t>)</w:t>
      </w:r>
      <w:r w:rsidR="00062E56" w:rsidRPr="00860AF7">
        <w:rPr>
          <w:rFonts w:ascii="Times New Roman" w:hAnsi="Times New Roman" w:cs="Times New Roman"/>
          <w:i/>
          <w:sz w:val="24"/>
          <w:szCs w:val="24"/>
        </w:rPr>
        <w:t xml:space="preserve"> özel yazılımlarından biri olan </w:t>
      </w:r>
      <w:r w:rsidR="00C5411E" w:rsidRPr="00860AF7">
        <w:rPr>
          <w:rFonts w:ascii="Times New Roman" w:hAnsi="Times New Roman" w:cs="Times New Roman"/>
          <w:i/>
          <w:sz w:val="24"/>
          <w:szCs w:val="24"/>
        </w:rPr>
        <w:t>“</w:t>
      </w:r>
      <w:r w:rsidR="00062E56" w:rsidRPr="00860AF7">
        <w:rPr>
          <w:rFonts w:ascii="Times New Roman" w:hAnsi="Times New Roman" w:cs="Times New Roman"/>
          <w:i/>
          <w:sz w:val="24"/>
          <w:szCs w:val="24"/>
        </w:rPr>
        <w:t xml:space="preserve">Data Envelopment Analysis </w:t>
      </w:r>
      <w:r w:rsidR="00822899" w:rsidRPr="00860AF7">
        <w:rPr>
          <w:rFonts w:ascii="Times New Roman" w:hAnsi="Times New Roman" w:cs="Times New Roman"/>
          <w:i/>
          <w:sz w:val="24"/>
          <w:szCs w:val="24"/>
        </w:rPr>
        <w:t xml:space="preserve">Online </w:t>
      </w:r>
      <w:r w:rsidR="00062E56" w:rsidRPr="00860AF7">
        <w:rPr>
          <w:rFonts w:ascii="Times New Roman" w:hAnsi="Times New Roman" w:cs="Times New Roman"/>
          <w:i/>
          <w:sz w:val="24"/>
          <w:szCs w:val="24"/>
        </w:rPr>
        <w:t>So</w:t>
      </w:r>
      <w:r w:rsidR="00822899" w:rsidRPr="00860AF7">
        <w:rPr>
          <w:rFonts w:ascii="Times New Roman" w:hAnsi="Times New Roman" w:cs="Times New Roman"/>
          <w:i/>
          <w:sz w:val="24"/>
          <w:szCs w:val="24"/>
        </w:rPr>
        <w:t>ftware</w:t>
      </w:r>
      <w:r w:rsidR="003E6313" w:rsidRPr="00860AF7">
        <w:rPr>
          <w:rFonts w:ascii="Times New Roman" w:hAnsi="Times New Roman" w:cs="Times New Roman"/>
          <w:i/>
          <w:sz w:val="24"/>
          <w:szCs w:val="24"/>
        </w:rPr>
        <w:t xml:space="preserve"> (DEAOS)</w:t>
      </w:r>
      <w:r w:rsidR="00C5411E" w:rsidRPr="00860AF7">
        <w:rPr>
          <w:rFonts w:ascii="Times New Roman" w:hAnsi="Times New Roman" w:cs="Times New Roman"/>
          <w:i/>
          <w:sz w:val="24"/>
          <w:szCs w:val="24"/>
        </w:rPr>
        <w:t>” kullanılarak,</w:t>
      </w:r>
      <w:r w:rsidR="00971AC7" w:rsidRPr="00860AF7">
        <w:rPr>
          <w:rFonts w:ascii="Times New Roman" w:hAnsi="Times New Roman" w:cs="Times New Roman"/>
          <w:i/>
          <w:sz w:val="24"/>
          <w:szCs w:val="24"/>
        </w:rPr>
        <w:t xml:space="preserve"> </w:t>
      </w:r>
      <w:r w:rsidR="00C5411E" w:rsidRPr="00860AF7">
        <w:rPr>
          <w:rFonts w:ascii="Times New Roman" w:hAnsi="Times New Roman" w:cs="Times New Roman"/>
          <w:i/>
          <w:sz w:val="24"/>
          <w:szCs w:val="24"/>
        </w:rPr>
        <w:t>banka kökenli aracı kurumların verimli</w:t>
      </w:r>
      <w:r w:rsidR="00860AF7">
        <w:rPr>
          <w:rFonts w:ascii="Times New Roman" w:hAnsi="Times New Roman" w:cs="Times New Roman"/>
          <w:i/>
          <w:sz w:val="24"/>
          <w:szCs w:val="24"/>
        </w:rPr>
        <w:t>li</w:t>
      </w:r>
      <w:r w:rsidR="00C5411E" w:rsidRPr="00860AF7">
        <w:rPr>
          <w:rFonts w:ascii="Times New Roman" w:hAnsi="Times New Roman" w:cs="Times New Roman"/>
          <w:i/>
          <w:sz w:val="24"/>
          <w:szCs w:val="24"/>
        </w:rPr>
        <w:t xml:space="preserve">ği ile diğer aracı kurumların verimliliği arasında </w:t>
      </w:r>
      <w:r w:rsidR="00927787" w:rsidRPr="00860AF7">
        <w:rPr>
          <w:rFonts w:ascii="Times New Roman" w:hAnsi="Times New Roman" w:cs="Times New Roman"/>
          <w:i/>
          <w:sz w:val="24"/>
          <w:szCs w:val="24"/>
        </w:rPr>
        <w:t>farklılık olup olmadığı incelenmeye çalışılmıştır.</w:t>
      </w:r>
      <w:r w:rsidR="00CD54ED" w:rsidRPr="00860AF7">
        <w:rPr>
          <w:rFonts w:ascii="Times New Roman" w:hAnsi="Times New Roman" w:cs="Times New Roman"/>
          <w:i/>
          <w:sz w:val="24"/>
          <w:szCs w:val="24"/>
        </w:rPr>
        <w:t xml:space="preserve"> </w:t>
      </w:r>
      <w:r w:rsidR="00927787" w:rsidRPr="00860AF7">
        <w:rPr>
          <w:rFonts w:ascii="Times New Roman" w:hAnsi="Times New Roman" w:cs="Times New Roman"/>
          <w:i/>
          <w:sz w:val="24"/>
          <w:szCs w:val="24"/>
        </w:rPr>
        <w:t>Bu amaçla, öncelikle örneklemde yer alan aracı kurumların</w:t>
      </w:r>
      <w:r w:rsidR="00CD54ED" w:rsidRPr="00860AF7">
        <w:rPr>
          <w:rFonts w:ascii="Times New Roman" w:hAnsi="Times New Roman" w:cs="Times New Roman"/>
          <w:i/>
          <w:sz w:val="24"/>
          <w:szCs w:val="24"/>
        </w:rPr>
        <w:t xml:space="preserve"> </w:t>
      </w:r>
      <w:r w:rsidR="00C54230" w:rsidRPr="00860AF7">
        <w:rPr>
          <w:rFonts w:ascii="Times New Roman" w:hAnsi="Times New Roman" w:cs="Times New Roman"/>
          <w:i/>
          <w:sz w:val="24"/>
          <w:szCs w:val="24"/>
        </w:rPr>
        <w:t>verimlilik düzeyleri incelenmi</w:t>
      </w:r>
      <w:r w:rsidR="00927787" w:rsidRPr="00860AF7">
        <w:rPr>
          <w:rFonts w:ascii="Times New Roman" w:hAnsi="Times New Roman" w:cs="Times New Roman"/>
          <w:i/>
          <w:sz w:val="24"/>
          <w:szCs w:val="24"/>
        </w:rPr>
        <w:t>ş ve e</w:t>
      </w:r>
      <w:r w:rsidR="00475EBB" w:rsidRPr="00860AF7">
        <w:rPr>
          <w:rFonts w:ascii="Times New Roman" w:hAnsi="Times New Roman" w:cs="Times New Roman"/>
          <w:i/>
          <w:sz w:val="24"/>
          <w:szCs w:val="24"/>
        </w:rPr>
        <w:t xml:space="preserve">tkin olmayan </w:t>
      </w:r>
      <w:r w:rsidR="00927787" w:rsidRPr="00860AF7">
        <w:rPr>
          <w:rFonts w:ascii="Times New Roman" w:hAnsi="Times New Roman" w:cs="Times New Roman"/>
          <w:i/>
          <w:sz w:val="24"/>
          <w:szCs w:val="24"/>
        </w:rPr>
        <w:t xml:space="preserve">aracı kurumların </w:t>
      </w:r>
      <w:r w:rsidR="00475EBB" w:rsidRPr="00860AF7">
        <w:rPr>
          <w:rFonts w:ascii="Times New Roman" w:hAnsi="Times New Roman" w:cs="Times New Roman"/>
          <w:i/>
          <w:sz w:val="24"/>
          <w:szCs w:val="24"/>
        </w:rPr>
        <w:t>etkin hale gelebilmeleri için gerekli potansiyel iyileştirme oranları tespit edilmiştir.</w:t>
      </w:r>
      <w:r w:rsidR="00927787" w:rsidRPr="00860AF7">
        <w:rPr>
          <w:rFonts w:ascii="Times New Roman" w:hAnsi="Times New Roman" w:cs="Times New Roman"/>
          <w:i/>
          <w:sz w:val="24"/>
          <w:szCs w:val="24"/>
        </w:rPr>
        <w:t xml:space="preserve"> Çalışma sonucunda</w:t>
      </w:r>
      <w:r w:rsidR="0062229C" w:rsidRPr="00860AF7">
        <w:rPr>
          <w:rFonts w:ascii="Times New Roman" w:hAnsi="Times New Roman" w:cs="Times New Roman"/>
          <w:i/>
          <w:sz w:val="24"/>
          <w:szCs w:val="24"/>
        </w:rPr>
        <w:t>, banka kökenli aracı kurumların daha etkin olduğu ve verimliliğin teknolojik etkinlikten sağlandığı belirlenmiştir.</w:t>
      </w:r>
    </w:p>
    <w:p w:rsidR="00D238B9" w:rsidRPr="00860AF7" w:rsidRDefault="001B3D62" w:rsidP="00860AF7">
      <w:pPr>
        <w:spacing w:line="240" w:lineRule="auto"/>
        <w:rPr>
          <w:rFonts w:ascii="Times New Roman" w:hAnsi="Times New Roman" w:cs="Times New Roman"/>
          <w:i/>
          <w:sz w:val="24"/>
          <w:szCs w:val="24"/>
        </w:rPr>
      </w:pPr>
      <w:r w:rsidRPr="00860AF7">
        <w:rPr>
          <w:rFonts w:ascii="Times New Roman" w:hAnsi="Times New Roman" w:cs="Times New Roman"/>
          <w:b/>
          <w:i/>
          <w:sz w:val="24"/>
          <w:szCs w:val="24"/>
        </w:rPr>
        <w:t xml:space="preserve">Anahtar Kelimeler: </w:t>
      </w:r>
      <w:r w:rsidR="00D238B9" w:rsidRPr="00860AF7">
        <w:rPr>
          <w:rFonts w:ascii="Times New Roman" w:hAnsi="Times New Roman" w:cs="Times New Roman"/>
          <w:i/>
          <w:sz w:val="24"/>
          <w:szCs w:val="24"/>
        </w:rPr>
        <w:t xml:space="preserve">Aracı Kurum, </w:t>
      </w:r>
      <w:r w:rsidR="00C405C4" w:rsidRPr="00860AF7">
        <w:rPr>
          <w:rFonts w:ascii="Times New Roman" w:hAnsi="Times New Roman" w:cs="Times New Roman"/>
          <w:i/>
          <w:sz w:val="24"/>
          <w:szCs w:val="24"/>
        </w:rPr>
        <w:t xml:space="preserve">Etkinlik, </w:t>
      </w:r>
      <w:r w:rsidR="00D238B9" w:rsidRPr="00860AF7">
        <w:rPr>
          <w:rFonts w:ascii="Times New Roman" w:hAnsi="Times New Roman" w:cs="Times New Roman"/>
          <w:i/>
          <w:sz w:val="24"/>
          <w:szCs w:val="24"/>
        </w:rPr>
        <w:t xml:space="preserve">Verimlilik, </w:t>
      </w:r>
      <w:r w:rsidR="00CE689E" w:rsidRPr="00860AF7">
        <w:rPr>
          <w:rFonts w:ascii="Times New Roman" w:hAnsi="Times New Roman" w:cs="Times New Roman"/>
          <w:i/>
          <w:sz w:val="24"/>
          <w:szCs w:val="24"/>
        </w:rPr>
        <w:t xml:space="preserve">Veri Zarflama Analizi, </w:t>
      </w:r>
      <w:r w:rsidR="000F5DB3" w:rsidRPr="00860AF7">
        <w:rPr>
          <w:rFonts w:ascii="Times New Roman" w:hAnsi="Times New Roman" w:cs="Times New Roman"/>
          <w:i/>
          <w:sz w:val="24"/>
          <w:szCs w:val="24"/>
        </w:rPr>
        <w:t>Malmq</w:t>
      </w:r>
      <w:r w:rsidR="006E79B4" w:rsidRPr="00860AF7">
        <w:rPr>
          <w:rFonts w:ascii="Times New Roman" w:hAnsi="Times New Roman" w:cs="Times New Roman"/>
          <w:i/>
          <w:sz w:val="24"/>
          <w:szCs w:val="24"/>
        </w:rPr>
        <w:t>uist Toplam Faktör Verimlili</w:t>
      </w:r>
      <w:r w:rsidR="00D238B9" w:rsidRPr="00860AF7">
        <w:rPr>
          <w:rFonts w:ascii="Times New Roman" w:hAnsi="Times New Roman" w:cs="Times New Roman"/>
          <w:i/>
          <w:sz w:val="24"/>
          <w:szCs w:val="24"/>
        </w:rPr>
        <w:t>k Endeksi.</w:t>
      </w:r>
      <w:r w:rsidR="006E79B4" w:rsidRPr="00860AF7">
        <w:rPr>
          <w:rFonts w:ascii="Times New Roman" w:hAnsi="Times New Roman" w:cs="Times New Roman"/>
          <w:i/>
          <w:sz w:val="24"/>
          <w:szCs w:val="24"/>
        </w:rPr>
        <w:t xml:space="preserve"> </w:t>
      </w:r>
    </w:p>
    <w:p w:rsidR="00A24FD3" w:rsidRPr="00860AF7" w:rsidRDefault="00A24FD3" w:rsidP="00860AF7">
      <w:pPr>
        <w:spacing w:line="240" w:lineRule="auto"/>
        <w:rPr>
          <w:rFonts w:ascii="Times New Roman" w:hAnsi="Times New Roman" w:cs="Times New Roman"/>
          <w:i/>
          <w:sz w:val="24"/>
          <w:szCs w:val="24"/>
        </w:rPr>
      </w:pPr>
      <w:r w:rsidRPr="00860AF7">
        <w:rPr>
          <w:rFonts w:ascii="Times New Roman" w:hAnsi="Times New Roman" w:cs="Times New Roman"/>
          <w:b/>
          <w:i/>
          <w:sz w:val="24"/>
          <w:szCs w:val="24"/>
        </w:rPr>
        <w:t xml:space="preserve">Jel Kodları: </w:t>
      </w:r>
      <w:r w:rsidR="00FF2E3F" w:rsidRPr="00860AF7">
        <w:rPr>
          <w:rFonts w:ascii="Times New Roman" w:hAnsi="Times New Roman" w:cs="Times New Roman"/>
          <w:i/>
          <w:sz w:val="24"/>
          <w:szCs w:val="24"/>
        </w:rPr>
        <w:t>C14, D24, D61, G24, H21.</w:t>
      </w:r>
    </w:p>
    <w:p w:rsidR="00FF2E3F" w:rsidRPr="00A941FA" w:rsidRDefault="00FF2E3F" w:rsidP="00FF2E3F">
      <w:pPr>
        <w:spacing w:line="240" w:lineRule="auto"/>
        <w:jc w:val="center"/>
        <w:rPr>
          <w:rFonts w:ascii="Times New Roman" w:hAnsi="Times New Roman" w:cs="Times New Roman"/>
          <w:b/>
          <w:sz w:val="24"/>
          <w:szCs w:val="24"/>
          <w:lang w:val="en-GB"/>
        </w:rPr>
      </w:pPr>
      <w:r w:rsidRPr="00FF2E3F">
        <w:rPr>
          <w:rFonts w:ascii="Times New Roman" w:hAnsi="Times New Roman" w:cs="Times New Roman"/>
          <w:b/>
          <w:sz w:val="24"/>
          <w:szCs w:val="24"/>
          <w:lang w:val="en-GB"/>
        </w:rPr>
        <w:t xml:space="preserve">DATA ENVELOPMENT ANALYSIS AND TOTAL FACTOR PRODUCTIVITY: AN </w:t>
      </w:r>
      <w:r w:rsidRPr="00A941FA">
        <w:rPr>
          <w:rFonts w:ascii="Times New Roman" w:hAnsi="Times New Roman" w:cs="Times New Roman"/>
          <w:b/>
          <w:sz w:val="24"/>
          <w:szCs w:val="24"/>
          <w:lang w:val="en-GB"/>
        </w:rPr>
        <w:t>STUDY ON CAPITAL MARKET BROKERAGE FIRMS</w:t>
      </w:r>
    </w:p>
    <w:p w:rsidR="00FF2E3F" w:rsidRPr="00FF2E3F" w:rsidRDefault="00860AF7" w:rsidP="00860AF7">
      <w:pPr>
        <w:spacing w:line="240" w:lineRule="auto"/>
        <w:rPr>
          <w:rFonts w:ascii="Times New Roman" w:hAnsi="Times New Roman" w:cs="Times New Roman"/>
          <w:b/>
          <w:i/>
          <w:sz w:val="24"/>
          <w:szCs w:val="24"/>
          <w:lang w:val="en-GB"/>
        </w:rPr>
      </w:pPr>
      <w:r w:rsidRPr="00FF2E3F">
        <w:rPr>
          <w:rFonts w:ascii="Times New Roman" w:hAnsi="Times New Roman" w:cs="Times New Roman"/>
          <w:b/>
          <w:i/>
          <w:sz w:val="24"/>
          <w:szCs w:val="24"/>
          <w:lang w:val="en-GB"/>
        </w:rPr>
        <w:t>ABSTRACT</w:t>
      </w:r>
    </w:p>
    <w:p w:rsidR="00FF2E3F" w:rsidRPr="00FF2E3F" w:rsidRDefault="00FF2E3F" w:rsidP="00860AF7">
      <w:pPr>
        <w:spacing w:line="240" w:lineRule="auto"/>
        <w:rPr>
          <w:rFonts w:ascii="Times New Roman" w:hAnsi="Times New Roman" w:cs="Times New Roman"/>
          <w:i/>
          <w:sz w:val="24"/>
          <w:szCs w:val="24"/>
          <w:lang w:val="en-GB"/>
        </w:rPr>
      </w:pPr>
      <w:r w:rsidRPr="00FF2E3F">
        <w:rPr>
          <w:rFonts w:ascii="Times New Roman" w:hAnsi="Times New Roman" w:cs="Times New Roman"/>
          <w:i/>
          <w:sz w:val="24"/>
          <w:szCs w:val="24"/>
          <w:lang w:val="en-GB"/>
        </w:rPr>
        <w:t>Today globalization, technological developments and high level of competition force firms to use their resources as productive as possible. Furthermore, firms must do all their best to evaluate their performance as compared to others and to determine the most successful competitors for benchmarking studies. Brokerage firms which are one of the most important actors of the capital market are expected to operate in accordance with this strategy.</w:t>
      </w:r>
    </w:p>
    <w:p w:rsidR="00FF2E3F" w:rsidRPr="00FF2E3F" w:rsidRDefault="00FF2E3F" w:rsidP="00FF2E3F">
      <w:pPr>
        <w:pStyle w:val="HTMLncedenBiimlendirilmi"/>
        <w:tabs>
          <w:tab w:val="left" w:pos="567"/>
        </w:tabs>
        <w:jc w:val="both"/>
        <w:rPr>
          <w:rFonts w:ascii="Times New Roman" w:hAnsi="Times New Roman" w:cs="Times New Roman"/>
          <w:i/>
          <w:sz w:val="24"/>
          <w:szCs w:val="24"/>
          <w:lang w:val="en-GB"/>
        </w:rPr>
      </w:pPr>
      <w:r w:rsidRPr="00FF2E3F">
        <w:rPr>
          <w:rFonts w:ascii="Times New Roman" w:hAnsi="Times New Roman" w:cs="Times New Roman"/>
          <w:i/>
          <w:sz w:val="24"/>
          <w:szCs w:val="24"/>
          <w:lang w:val="en-GB"/>
        </w:rPr>
        <w:t xml:space="preserve">In this study, the efficiency of the brokerage firms is examined for the </w:t>
      </w:r>
      <w:r w:rsidR="001D1782" w:rsidRPr="00FF2E3F">
        <w:rPr>
          <w:rFonts w:ascii="Times New Roman" w:hAnsi="Times New Roman" w:cs="Times New Roman"/>
          <w:i/>
          <w:sz w:val="24"/>
          <w:szCs w:val="24"/>
          <w:lang w:val="en-GB"/>
        </w:rPr>
        <w:t>years of</w:t>
      </w:r>
      <w:r w:rsidRPr="00FF2E3F">
        <w:rPr>
          <w:rFonts w:ascii="Times New Roman" w:hAnsi="Times New Roman" w:cs="Times New Roman"/>
          <w:i/>
          <w:sz w:val="24"/>
          <w:szCs w:val="24"/>
          <w:lang w:val="en-GB"/>
        </w:rPr>
        <w:t xml:space="preserve"> 2009 - 2013. The main motivation of the study is to test the hypothesis that there is an important performance difference between the bank-owned brokerage firms and others in terms of efficiency. For this purpose, Data Envelopment Analysis is applied to the data set by using   Data Envelopment Analysis Online Software (DEAOS).  As a result of this study, firstly, the efficiency of these institutions in the sample is examined and then their potential improvement areas are determined to </w:t>
      </w:r>
      <w:r w:rsidRPr="00FF2E3F">
        <w:rPr>
          <w:rFonts w:ascii="Times New Roman" w:hAnsi="Times New Roman" w:cs="Times New Roman"/>
          <w:i/>
          <w:sz w:val="24"/>
          <w:szCs w:val="24"/>
          <w:lang w:val="en-GB"/>
        </w:rPr>
        <w:lastRenderedPageBreak/>
        <w:t>make them more effective. In addition, it has been determined that the bank-owned brokerage firms are more efficient than others and that this superiority stems from their technological efficiency.</w:t>
      </w:r>
    </w:p>
    <w:p w:rsidR="00FF2E3F" w:rsidRPr="00FF2E3F" w:rsidRDefault="00FF2E3F" w:rsidP="00FF2E3F">
      <w:pPr>
        <w:spacing w:line="240" w:lineRule="auto"/>
        <w:ind w:firstLine="567"/>
        <w:rPr>
          <w:rFonts w:ascii="Times New Roman" w:hAnsi="Times New Roman" w:cs="Times New Roman"/>
          <w:b/>
          <w:i/>
          <w:sz w:val="18"/>
          <w:szCs w:val="18"/>
          <w:lang w:val="en-GB"/>
        </w:rPr>
      </w:pPr>
    </w:p>
    <w:p w:rsidR="00FF2E3F" w:rsidRPr="00FF2E3F" w:rsidRDefault="00FF2E3F" w:rsidP="00860AF7">
      <w:pPr>
        <w:spacing w:line="240" w:lineRule="auto"/>
        <w:rPr>
          <w:rFonts w:ascii="Times New Roman" w:hAnsi="Times New Roman" w:cs="Times New Roman"/>
          <w:i/>
          <w:sz w:val="24"/>
          <w:szCs w:val="24"/>
          <w:lang w:val="en-GB"/>
        </w:rPr>
      </w:pPr>
      <w:r w:rsidRPr="00FF2E3F">
        <w:rPr>
          <w:rFonts w:ascii="Times New Roman" w:hAnsi="Times New Roman" w:cs="Times New Roman"/>
          <w:b/>
          <w:i/>
          <w:sz w:val="24"/>
          <w:szCs w:val="24"/>
          <w:lang w:val="en-GB"/>
        </w:rPr>
        <w:t xml:space="preserve">Keywords: </w:t>
      </w:r>
      <w:r w:rsidRPr="00FF2E3F">
        <w:rPr>
          <w:rFonts w:ascii="Times New Roman" w:hAnsi="Times New Roman" w:cs="Times New Roman"/>
          <w:i/>
          <w:sz w:val="24"/>
          <w:szCs w:val="24"/>
          <w:lang w:val="en-GB"/>
        </w:rPr>
        <w:t>Capital Market Brokerage Firms, Efficiency, Productivity, Data Envelopment Analysis, Malmquist Total Factor Productivity Index.</w:t>
      </w:r>
    </w:p>
    <w:p w:rsidR="00125E37" w:rsidRPr="00FF2E3F" w:rsidRDefault="00125E37" w:rsidP="00860AF7">
      <w:pPr>
        <w:spacing w:line="240" w:lineRule="auto"/>
        <w:rPr>
          <w:rFonts w:ascii="Times New Roman" w:hAnsi="Times New Roman" w:cs="Times New Roman"/>
          <w:i/>
          <w:sz w:val="24"/>
          <w:szCs w:val="24"/>
        </w:rPr>
      </w:pPr>
      <w:r w:rsidRPr="00FF2E3F">
        <w:rPr>
          <w:rFonts w:ascii="Times New Roman" w:hAnsi="Times New Roman" w:cs="Times New Roman"/>
          <w:b/>
          <w:i/>
          <w:sz w:val="24"/>
          <w:szCs w:val="24"/>
        </w:rPr>
        <w:t xml:space="preserve">Jel Codes: </w:t>
      </w:r>
      <w:r w:rsidR="00FF2E3F">
        <w:rPr>
          <w:rFonts w:ascii="Times New Roman" w:hAnsi="Times New Roman" w:cs="Times New Roman"/>
          <w:i/>
          <w:sz w:val="24"/>
          <w:szCs w:val="24"/>
        </w:rPr>
        <w:t>C14, D24, D61, G24,</w:t>
      </w:r>
      <w:r w:rsidR="003A2F7D" w:rsidRPr="00FF2E3F">
        <w:rPr>
          <w:rFonts w:ascii="Times New Roman" w:hAnsi="Times New Roman" w:cs="Times New Roman"/>
          <w:i/>
          <w:sz w:val="24"/>
          <w:szCs w:val="24"/>
        </w:rPr>
        <w:t xml:space="preserve"> H21</w:t>
      </w:r>
      <w:r w:rsidR="00FF2E3F">
        <w:rPr>
          <w:rFonts w:ascii="Times New Roman" w:hAnsi="Times New Roman" w:cs="Times New Roman"/>
          <w:i/>
          <w:sz w:val="24"/>
          <w:szCs w:val="24"/>
        </w:rPr>
        <w:t>.</w:t>
      </w:r>
    </w:p>
    <w:p w:rsidR="00F01C9C" w:rsidRPr="00FF2E3F" w:rsidRDefault="00FF2E3F" w:rsidP="00FF2E3F">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F01C9C" w:rsidRPr="00FF2E3F">
        <w:rPr>
          <w:rFonts w:ascii="Times New Roman" w:hAnsi="Times New Roman" w:cs="Times New Roman"/>
          <w:b/>
          <w:sz w:val="24"/>
          <w:szCs w:val="24"/>
        </w:rPr>
        <w:t>GİRİŞ</w:t>
      </w:r>
    </w:p>
    <w:p w:rsidR="00792060" w:rsidRPr="002E402A" w:rsidRDefault="00AA74F9" w:rsidP="00860AF7">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Aracı kurumlar, üstlendikleri görevler itibariyle sermaye piyasalarının en önemli aktörlerinden biridir. </w:t>
      </w:r>
      <w:r w:rsidR="00A35533" w:rsidRPr="002E402A">
        <w:rPr>
          <w:rFonts w:ascii="Times New Roman" w:hAnsi="Times New Roman" w:cs="Times New Roman"/>
          <w:sz w:val="24"/>
          <w:szCs w:val="24"/>
        </w:rPr>
        <w:t xml:space="preserve">Fon arz edenler ile talep edenlerin </w:t>
      </w:r>
      <w:r w:rsidR="00E24A4B"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A35533" w:rsidRPr="002E402A">
        <w:rPr>
          <w:rFonts w:ascii="Times New Roman" w:hAnsi="Times New Roman" w:cs="Times New Roman"/>
          <w:sz w:val="24"/>
          <w:szCs w:val="24"/>
        </w:rPr>
        <w:t>şılaştığı, organize olan ve olmayan piyasalardan oluşan finansal piyas</w:t>
      </w:r>
      <w:r w:rsidR="00B8796C" w:rsidRPr="002E402A">
        <w:rPr>
          <w:rFonts w:ascii="Times New Roman" w:hAnsi="Times New Roman" w:cs="Times New Roman"/>
          <w:sz w:val="24"/>
          <w:szCs w:val="24"/>
        </w:rPr>
        <w:t>a</w:t>
      </w:r>
      <w:r w:rsidR="00A35533" w:rsidRPr="002E402A">
        <w:rPr>
          <w:rFonts w:ascii="Times New Roman" w:hAnsi="Times New Roman" w:cs="Times New Roman"/>
          <w:sz w:val="24"/>
          <w:szCs w:val="24"/>
        </w:rPr>
        <w:t>ların en önemli yapı</w:t>
      </w:r>
      <w:r w:rsidR="00E03EEE" w:rsidRPr="002E402A">
        <w:rPr>
          <w:rFonts w:ascii="Times New Roman" w:hAnsi="Times New Roman" w:cs="Times New Roman"/>
          <w:sz w:val="24"/>
          <w:szCs w:val="24"/>
        </w:rPr>
        <w:t xml:space="preserve"> taş</w:t>
      </w:r>
      <w:r w:rsidR="00DB7320" w:rsidRPr="002E402A">
        <w:rPr>
          <w:rFonts w:ascii="Times New Roman" w:hAnsi="Times New Roman" w:cs="Times New Roman"/>
          <w:sz w:val="24"/>
          <w:szCs w:val="24"/>
        </w:rPr>
        <w:t>ları</w:t>
      </w:r>
      <w:r w:rsidR="00A35533" w:rsidRPr="002E402A">
        <w:rPr>
          <w:rFonts w:ascii="Times New Roman" w:hAnsi="Times New Roman" w:cs="Times New Roman"/>
          <w:sz w:val="24"/>
          <w:szCs w:val="24"/>
        </w:rPr>
        <w:t>dır.</w:t>
      </w:r>
      <w:r w:rsidR="000C60D2" w:rsidRPr="002E402A">
        <w:rPr>
          <w:rFonts w:ascii="Times New Roman" w:hAnsi="Times New Roman" w:cs="Times New Roman"/>
          <w:sz w:val="24"/>
          <w:szCs w:val="24"/>
        </w:rPr>
        <w:t xml:space="preserve"> </w:t>
      </w:r>
      <w:r w:rsidR="005F6B34" w:rsidRPr="002E402A">
        <w:rPr>
          <w:rFonts w:ascii="Times New Roman" w:hAnsi="Times New Roman" w:cs="Times New Roman"/>
          <w:sz w:val="24"/>
          <w:szCs w:val="24"/>
        </w:rPr>
        <w:t>Aracı kurum</w:t>
      </w:r>
      <w:r w:rsidR="000411EC" w:rsidRPr="002E402A">
        <w:rPr>
          <w:rFonts w:ascii="Times New Roman" w:hAnsi="Times New Roman" w:cs="Times New Roman"/>
          <w:sz w:val="24"/>
          <w:szCs w:val="24"/>
        </w:rPr>
        <w:t>un tanımına bakacak olursak</w:t>
      </w:r>
      <w:r w:rsidR="005F6B34" w:rsidRPr="002E402A">
        <w:rPr>
          <w:rFonts w:ascii="Times New Roman" w:hAnsi="Times New Roman" w:cs="Times New Roman"/>
          <w:sz w:val="24"/>
          <w:szCs w:val="24"/>
        </w:rPr>
        <w:t>,</w:t>
      </w:r>
      <w:r w:rsidR="000411EC" w:rsidRPr="002E402A">
        <w:rPr>
          <w:rFonts w:ascii="Times New Roman" w:hAnsi="Times New Roman" w:cs="Times New Roman"/>
          <w:sz w:val="24"/>
          <w:szCs w:val="24"/>
        </w:rPr>
        <w:t xml:space="preserve"> mevcut</w:t>
      </w:r>
      <w:r w:rsidR="005F6B34" w:rsidRPr="002E402A">
        <w:rPr>
          <w:rFonts w:ascii="Times New Roman" w:hAnsi="Times New Roman" w:cs="Times New Roman"/>
          <w:sz w:val="24"/>
          <w:szCs w:val="24"/>
        </w:rPr>
        <w:t xml:space="preserve"> s</w:t>
      </w:r>
      <w:r w:rsidR="00435920" w:rsidRPr="002E402A">
        <w:rPr>
          <w:rFonts w:ascii="Times New Roman" w:hAnsi="Times New Roman" w:cs="Times New Roman"/>
          <w:sz w:val="24"/>
          <w:szCs w:val="24"/>
        </w:rPr>
        <w:t>ermaye piyasası mevzuatına göre;</w:t>
      </w:r>
      <w:r w:rsidR="005F6B34" w:rsidRPr="002E402A">
        <w:rPr>
          <w:rFonts w:ascii="Times New Roman" w:hAnsi="Times New Roman" w:cs="Times New Roman"/>
          <w:sz w:val="24"/>
          <w:szCs w:val="24"/>
        </w:rPr>
        <w:t xml:space="preserve"> </w:t>
      </w:r>
      <w:r w:rsidR="00880218" w:rsidRPr="002E402A">
        <w:rPr>
          <w:rFonts w:ascii="Times New Roman" w:hAnsi="Times New Roman" w:cs="Times New Roman"/>
          <w:sz w:val="24"/>
          <w:szCs w:val="24"/>
        </w:rPr>
        <w:t xml:space="preserve">sermaye piyasası araçlarıyla ilgili emirlerin alınması ve iletilmesi; emirlerin müşteri adına ve hesabına veya kendi adına ve müşteri hesabına gerçekleştirilmesi; sermaye </w:t>
      </w:r>
      <w:r w:rsidR="004951A1" w:rsidRPr="002E402A">
        <w:rPr>
          <w:rFonts w:ascii="Times New Roman" w:hAnsi="Times New Roman" w:cs="Times New Roman"/>
          <w:sz w:val="24"/>
          <w:szCs w:val="24"/>
        </w:rPr>
        <w:t>piyasası araçlarının kendi hesab</w:t>
      </w:r>
      <w:r w:rsidR="00880218" w:rsidRPr="002E402A">
        <w:rPr>
          <w:rFonts w:ascii="Times New Roman" w:hAnsi="Times New Roman" w:cs="Times New Roman"/>
          <w:sz w:val="24"/>
          <w:szCs w:val="24"/>
        </w:rPr>
        <w:t>ından alım ve satımı; sermaye piyasası araçlarının halka arzında yüklenimde bulunularak</w:t>
      </w:r>
      <w:r w:rsidR="00686613" w:rsidRPr="002E402A">
        <w:rPr>
          <w:rFonts w:ascii="Times New Roman" w:hAnsi="Times New Roman" w:cs="Times New Roman"/>
          <w:sz w:val="24"/>
          <w:szCs w:val="24"/>
        </w:rPr>
        <w:t xml:space="preserve"> ve bulunmadan</w:t>
      </w:r>
      <w:r w:rsidR="00880218" w:rsidRPr="002E402A">
        <w:rPr>
          <w:rFonts w:ascii="Times New Roman" w:hAnsi="Times New Roman" w:cs="Times New Roman"/>
          <w:sz w:val="24"/>
          <w:szCs w:val="24"/>
        </w:rPr>
        <w:t xml:space="preserve"> satışa aracılık edilmesini münhasıran yapmak üzere Sermaye Piyasası Kurulu tarafından yetkilendirilen yatırım kuruluş</w:t>
      </w:r>
      <w:r w:rsidR="003A67A4" w:rsidRPr="002E402A">
        <w:rPr>
          <w:rFonts w:ascii="Times New Roman" w:hAnsi="Times New Roman" w:cs="Times New Roman"/>
          <w:sz w:val="24"/>
          <w:szCs w:val="24"/>
        </w:rPr>
        <w:t>lardı</w:t>
      </w:r>
      <w:r w:rsidR="00880218" w:rsidRPr="002E402A">
        <w:rPr>
          <w:rFonts w:ascii="Times New Roman" w:hAnsi="Times New Roman" w:cs="Times New Roman"/>
          <w:sz w:val="24"/>
          <w:szCs w:val="24"/>
        </w:rPr>
        <w:t>r.</w:t>
      </w:r>
      <w:r w:rsidR="005F6B34" w:rsidRPr="002E402A">
        <w:rPr>
          <w:rFonts w:ascii="Times New Roman" w:hAnsi="Times New Roman" w:cs="Times New Roman"/>
          <w:sz w:val="24"/>
          <w:szCs w:val="24"/>
        </w:rPr>
        <w:t xml:space="preserve"> </w:t>
      </w:r>
      <w:r w:rsidR="00E03EEE" w:rsidRPr="002E402A">
        <w:rPr>
          <w:rFonts w:ascii="Times New Roman" w:hAnsi="Times New Roman" w:cs="Times New Roman"/>
          <w:sz w:val="24"/>
          <w:szCs w:val="24"/>
        </w:rPr>
        <w:t>Aracı kurumlar</w:t>
      </w:r>
      <w:r w:rsidR="00694613" w:rsidRPr="002E402A">
        <w:rPr>
          <w:rFonts w:ascii="Times New Roman" w:hAnsi="Times New Roman" w:cs="Times New Roman"/>
          <w:sz w:val="24"/>
          <w:szCs w:val="24"/>
        </w:rPr>
        <w:t>ın finans piyas</w:t>
      </w:r>
      <w:r w:rsidR="00DD202E" w:rsidRPr="002E402A">
        <w:rPr>
          <w:rFonts w:ascii="Times New Roman" w:hAnsi="Times New Roman" w:cs="Times New Roman"/>
          <w:sz w:val="24"/>
          <w:szCs w:val="24"/>
        </w:rPr>
        <w:t>a</w:t>
      </w:r>
      <w:r w:rsidR="00694613" w:rsidRPr="002E402A">
        <w:rPr>
          <w:rFonts w:ascii="Times New Roman" w:hAnsi="Times New Roman" w:cs="Times New Roman"/>
          <w:sz w:val="24"/>
          <w:szCs w:val="24"/>
        </w:rPr>
        <w:t>larındaki yerini</w:t>
      </w:r>
      <w:r w:rsidR="00925B62" w:rsidRPr="002E402A">
        <w:rPr>
          <w:rFonts w:ascii="Times New Roman" w:hAnsi="Times New Roman" w:cs="Times New Roman"/>
          <w:sz w:val="24"/>
          <w:szCs w:val="24"/>
        </w:rPr>
        <w:t xml:space="preserve"> ve önemini özellikle</w:t>
      </w:r>
      <w:r w:rsidR="00694613" w:rsidRPr="002E402A">
        <w:rPr>
          <w:rFonts w:ascii="Times New Roman" w:hAnsi="Times New Roman" w:cs="Times New Roman"/>
          <w:sz w:val="24"/>
          <w:szCs w:val="24"/>
        </w:rPr>
        <w:t xml:space="preserve"> aracılık ettikleri işlem hacimlerinden anlayabiliriz.</w:t>
      </w:r>
      <w:r w:rsidR="00E03EEE" w:rsidRPr="002E402A">
        <w:rPr>
          <w:rFonts w:ascii="Times New Roman" w:hAnsi="Times New Roman" w:cs="Times New Roman"/>
          <w:sz w:val="24"/>
          <w:szCs w:val="24"/>
        </w:rPr>
        <w:t xml:space="preserve"> </w:t>
      </w:r>
      <w:r w:rsidR="005606A5" w:rsidRPr="002E402A">
        <w:rPr>
          <w:rFonts w:ascii="Times New Roman" w:hAnsi="Times New Roman" w:cs="Times New Roman"/>
          <w:sz w:val="24"/>
          <w:szCs w:val="24"/>
        </w:rPr>
        <w:t xml:space="preserve">Borsa İstanbul web sitesinden edinilen bilgilere göre; </w:t>
      </w:r>
      <w:r w:rsidR="00E03EEE" w:rsidRPr="002E402A">
        <w:rPr>
          <w:rFonts w:ascii="Times New Roman" w:hAnsi="Times New Roman" w:cs="Times New Roman"/>
          <w:sz w:val="24"/>
          <w:szCs w:val="24"/>
        </w:rPr>
        <w:t>2014 yılında, düzenli p</w:t>
      </w:r>
      <w:r w:rsidR="005A6851" w:rsidRPr="002E402A">
        <w:rPr>
          <w:rFonts w:ascii="Times New Roman" w:hAnsi="Times New Roman" w:cs="Times New Roman"/>
          <w:sz w:val="24"/>
          <w:szCs w:val="24"/>
        </w:rPr>
        <w:t xml:space="preserve">iyasa olan Borsa İstanbul’un </w:t>
      </w:r>
      <w:r w:rsidR="00DD202E" w:rsidRPr="002E402A">
        <w:rPr>
          <w:rFonts w:ascii="Times New Roman" w:hAnsi="Times New Roman" w:cs="Times New Roman"/>
          <w:sz w:val="24"/>
          <w:szCs w:val="24"/>
        </w:rPr>
        <w:t>pay piyasası</w:t>
      </w:r>
      <w:r w:rsidR="00B8796C" w:rsidRPr="002E402A">
        <w:rPr>
          <w:rFonts w:ascii="Times New Roman" w:hAnsi="Times New Roman" w:cs="Times New Roman"/>
          <w:sz w:val="24"/>
          <w:szCs w:val="24"/>
        </w:rPr>
        <w:t>nda</w:t>
      </w:r>
      <w:r w:rsidR="00621CE5" w:rsidRPr="002E402A">
        <w:rPr>
          <w:rFonts w:ascii="Times New Roman" w:hAnsi="Times New Roman" w:cs="Times New Roman"/>
          <w:sz w:val="24"/>
          <w:szCs w:val="24"/>
        </w:rPr>
        <w:t xml:space="preserve"> </w:t>
      </w:r>
      <w:r w:rsidR="00B8796C" w:rsidRPr="002E402A">
        <w:rPr>
          <w:rFonts w:ascii="Times New Roman" w:hAnsi="Times New Roman" w:cs="Times New Roman"/>
          <w:sz w:val="24"/>
          <w:szCs w:val="24"/>
        </w:rPr>
        <w:t>104.688.539 milyon dolarlık</w:t>
      </w:r>
      <w:r w:rsidR="00DD202E" w:rsidRPr="002E402A">
        <w:rPr>
          <w:rFonts w:ascii="Times New Roman" w:hAnsi="Times New Roman" w:cs="Times New Roman"/>
          <w:sz w:val="24"/>
          <w:szCs w:val="24"/>
        </w:rPr>
        <w:t xml:space="preserve">, </w:t>
      </w:r>
      <w:r w:rsidR="00B8796C" w:rsidRPr="002E402A">
        <w:rPr>
          <w:rFonts w:ascii="Times New Roman" w:hAnsi="Times New Roman" w:cs="Times New Roman"/>
          <w:sz w:val="24"/>
          <w:szCs w:val="24"/>
        </w:rPr>
        <w:t xml:space="preserve"> borçlanma piyasasında </w:t>
      </w:r>
      <w:r w:rsidR="00DD202E" w:rsidRPr="002E402A">
        <w:rPr>
          <w:rFonts w:ascii="Times New Roman" w:hAnsi="Times New Roman" w:cs="Times New Roman"/>
          <w:sz w:val="24"/>
          <w:szCs w:val="24"/>
        </w:rPr>
        <w:t>56.804.404 milyon d</w:t>
      </w:r>
      <w:r w:rsidR="00E03EEE" w:rsidRPr="002E402A">
        <w:rPr>
          <w:rFonts w:ascii="Times New Roman" w:hAnsi="Times New Roman" w:cs="Times New Roman"/>
          <w:sz w:val="24"/>
          <w:szCs w:val="24"/>
        </w:rPr>
        <w:t xml:space="preserve">olarlık </w:t>
      </w:r>
      <w:r w:rsidR="00DD202E" w:rsidRPr="002E402A">
        <w:rPr>
          <w:rFonts w:ascii="Times New Roman" w:hAnsi="Times New Roman" w:cs="Times New Roman"/>
          <w:sz w:val="24"/>
          <w:szCs w:val="24"/>
        </w:rPr>
        <w:t>ve</w:t>
      </w:r>
      <w:r w:rsidR="005A6851" w:rsidRPr="002E402A">
        <w:rPr>
          <w:rFonts w:ascii="Times New Roman" w:hAnsi="Times New Roman" w:cs="Times New Roman"/>
          <w:sz w:val="24"/>
          <w:szCs w:val="24"/>
        </w:rPr>
        <w:t xml:space="preserve"> türev piyasasında</w:t>
      </w:r>
      <w:r w:rsidR="00DD202E" w:rsidRPr="002E402A">
        <w:rPr>
          <w:rFonts w:ascii="Times New Roman" w:hAnsi="Times New Roman" w:cs="Times New Roman"/>
          <w:sz w:val="24"/>
          <w:szCs w:val="24"/>
        </w:rPr>
        <w:t xml:space="preserve"> 1.728.019.106 milyon d</w:t>
      </w:r>
      <w:r w:rsidR="00E03EEE" w:rsidRPr="002E402A">
        <w:rPr>
          <w:rFonts w:ascii="Times New Roman" w:hAnsi="Times New Roman" w:cs="Times New Roman"/>
          <w:sz w:val="24"/>
          <w:szCs w:val="24"/>
        </w:rPr>
        <w:t xml:space="preserve">olarlık </w:t>
      </w:r>
      <w:r w:rsidR="005A6851" w:rsidRPr="002E402A">
        <w:rPr>
          <w:rFonts w:ascii="Times New Roman" w:hAnsi="Times New Roman" w:cs="Times New Roman"/>
          <w:sz w:val="24"/>
          <w:szCs w:val="24"/>
        </w:rPr>
        <w:t xml:space="preserve">işlem hacmi </w:t>
      </w:r>
      <w:r w:rsidR="00E03EEE" w:rsidRPr="002E402A">
        <w:rPr>
          <w:rFonts w:ascii="Times New Roman" w:hAnsi="Times New Roman" w:cs="Times New Roman"/>
          <w:sz w:val="24"/>
          <w:szCs w:val="24"/>
        </w:rPr>
        <w:t>ol</w:t>
      </w:r>
      <w:r w:rsidR="00DD202E" w:rsidRPr="002E402A">
        <w:rPr>
          <w:rFonts w:ascii="Times New Roman" w:hAnsi="Times New Roman" w:cs="Times New Roman"/>
          <w:sz w:val="24"/>
          <w:szCs w:val="24"/>
        </w:rPr>
        <w:t>mak üzere toplam 1.889.512.048 milyon d</w:t>
      </w:r>
      <w:r w:rsidR="00E03EEE" w:rsidRPr="002E402A">
        <w:rPr>
          <w:rFonts w:ascii="Times New Roman" w:hAnsi="Times New Roman" w:cs="Times New Roman"/>
          <w:sz w:val="24"/>
          <w:szCs w:val="24"/>
        </w:rPr>
        <w:t>olarlık işlem hacmine aracılık etmişlerdir.</w:t>
      </w:r>
      <w:r w:rsidR="00B83CCD" w:rsidRPr="002E402A">
        <w:rPr>
          <w:rFonts w:ascii="Times New Roman" w:hAnsi="Times New Roman" w:cs="Times New Roman"/>
          <w:sz w:val="24"/>
          <w:szCs w:val="24"/>
        </w:rPr>
        <w:t xml:space="preserve"> Aracı kurumların </w:t>
      </w:r>
      <w:r w:rsidR="005A6851" w:rsidRPr="002E402A">
        <w:rPr>
          <w:rFonts w:ascii="Times New Roman" w:hAnsi="Times New Roman" w:cs="Times New Roman"/>
          <w:sz w:val="24"/>
          <w:szCs w:val="24"/>
        </w:rPr>
        <w:t xml:space="preserve">2014 yılında </w:t>
      </w:r>
      <w:r w:rsidR="00B83CCD" w:rsidRPr="002E402A">
        <w:rPr>
          <w:rFonts w:ascii="Times New Roman" w:hAnsi="Times New Roman" w:cs="Times New Roman"/>
          <w:sz w:val="24"/>
          <w:szCs w:val="24"/>
        </w:rPr>
        <w:t>pay piyasasında aracılık ettikleri menkul kıymet say</w:t>
      </w:r>
      <w:r w:rsidR="005A6851" w:rsidRPr="002E402A">
        <w:rPr>
          <w:rFonts w:ascii="Times New Roman" w:hAnsi="Times New Roman" w:cs="Times New Roman"/>
          <w:sz w:val="24"/>
          <w:szCs w:val="24"/>
        </w:rPr>
        <w:t>ısı 1.041 adet iken</w:t>
      </w:r>
      <w:r w:rsidR="00B83CCD" w:rsidRPr="002E402A">
        <w:rPr>
          <w:rFonts w:ascii="Times New Roman" w:hAnsi="Times New Roman" w:cs="Times New Roman"/>
          <w:sz w:val="24"/>
          <w:szCs w:val="24"/>
        </w:rPr>
        <w:t xml:space="preserve"> </w:t>
      </w:r>
      <w:r w:rsidR="005A6851" w:rsidRPr="002E402A">
        <w:rPr>
          <w:rFonts w:ascii="Times New Roman" w:hAnsi="Times New Roman" w:cs="Times New Roman"/>
          <w:sz w:val="24"/>
          <w:szCs w:val="24"/>
        </w:rPr>
        <w:t xml:space="preserve">aracılık işlemlerine konu olan </w:t>
      </w:r>
      <w:r w:rsidR="00621CE5" w:rsidRPr="002E402A">
        <w:rPr>
          <w:rFonts w:ascii="Times New Roman" w:hAnsi="Times New Roman" w:cs="Times New Roman"/>
          <w:sz w:val="24"/>
          <w:szCs w:val="24"/>
        </w:rPr>
        <w:t>şirket sayısı 386 adet olmuştur</w:t>
      </w:r>
      <w:r w:rsidR="00B83CCD" w:rsidRPr="002E402A">
        <w:rPr>
          <w:rFonts w:ascii="Times New Roman" w:hAnsi="Times New Roman" w:cs="Times New Roman"/>
          <w:sz w:val="24"/>
          <w:szCs w:val="24"/>
        </w:rPr>
        <w:t>.</w:t>
      </w:r>
      <w:r w:rsidR="00F57A6B" w:rsidRPr="002E402A">
        <w:rPr>
          <w:rFonts w:ascii="Times New Roman" w:hAnsi="Times New Roman" w:cs="Times New Roman"/>
          <w:sz w:val="24"/>
          <w:szCs w:val="24"/>
        </w:rPr>
        <w:t xml:space="preserve"> Günlük i</w:t>
      </w:r>
      <w:r w:rsidR="00DD202E" w:rsidRPr="002E402A">
        <w:rPr>
          <w:rFonts w:ascii="Times New Roman" w:hAnsi="Times New Roman" w:cs="Times New Roman"/>
          <w:sz w:val="24"/>
          <w:szCs w:val="24"/>
        </w:rPr>
        <w:t>şlem adeti 2014 yılı için 2,58 m</w:t>
      </w:r>
      <w:r w:rsidR="00F57A6B" w:rsidRPr="002E402A">
        <w:rPr>
          <w:rFonts w:ascii="Times New Roman" w:hAnsi="Times New Roman" w:cs="Times New Roman"/>
          <w:sz w:val="24"/>
          <w:szCs w:val="24"/>
        </w:rPr>
        <w:t xml:space="preserve">ilyon adettir. </w:t>
      </w:r>
      <w:r w:rsidR="00C46978" w:rsidRPr="002E402A">
        <w:rPr>
          <w:rFonts w:ascii="Times New Roman" w:hAnsi="Times New Roman" w:cs="Times New Roman"/>
          <w:sz w:val="24"/>
          <w:szCs w:val="24"/>
        </w:rPr>
        <w:t>Aynı yıl</w:t>
      </w:r>
      <w:r w:rsidR="00B92ABA" w:rsidRPr="002E402A">
        <w:rPr>
          <w:rFonts w:ascii="Times New Roman" w:hAnsi="Times New Roman" w:cs="Times New Roman"/>
          <w:sz w:val="24"/>
          <w:szCs w:val="24"/>
        </w:rPr>
        <w:t>, borsa dışında gerçekleştirilerek borsaya tescil edilen borçlanma araçlar</w:t>
      </w:r>
      <w:r w:rsidR="00DD202E" w:rsidRPr="002E402A">
        <w:rPr>
          <w:rFonts w:ascii="Times New Roman" w:hAnsi="Times New Roman" w:cs="Times New Roman"/>
          <w:sz w:val="24"/>
          <w:szCs w:val="24"/>
        </w:rPr>
        <w:t>ı ve repo işlemleri hacmi 0,48 trilyon d</w:t>
      </w:r>
      <w:r w:rsidR="00B92ABA" w:rsidRPr="002E402A">
        <w:rPr>
          <w:rFonts w:ascii="Times New Roman" w:hAnsi="Times New Roman" w:cs="Times New Roman"/>
          <w:sz w:val="24"/>
          <w:szCs w:val="24"/>
        </w:rPr>
        <w:t>olar olmuştur.</w:t>
      </w:r>
      <w:r w:rsidR="00567E62" w:rsidRPr="002E402A">
        <w:rPr>
          <w:rFonts w:ascii="Times New Roman" w:hAnsi="Times New Roman" w:cs="Times New Roman"/>
          <w:sz w:val="24"/>
          <w:szCs w:val="24"/>
        </w:rPr>
        <w:t xml:space="preserve"> </w:t>
      </w:r>
      <w:r w:rsidR="00AF58B6" w:rsidRPr="002E402A">
        <w:rPr>
          <w:rFonts w:ascii="Times New Roman" w:hAnsi="Times New Roman" w:cs="Times New Roman"/>
          <w:sz w:val="24"/>
          <w:szCs w:val="24"/>
        </w:rPr>
        <w:t>Haziran 2015 itibariyle 81 adet faal aracı kurum bulunmakta olup faaliyetleri geçici olarak durdurulan aracı kurum sayıdı 15</w:t>
      </w:r>
      <w:r w:rsidR="00925B62" w:rsidRPr="002E402A">
        <w:rPr>
          <w:rFonts w:ascii="Times New Roman" w:hAnsi="Times New Roman" w:cs="Times New Roman"/>
          <w:sz w:val="24"/>
          <w:szCs w:val="24"/>
        </w:rPr>
        <w:t>’tir.</w:t>
      </w:r>
      <w:r w:rsidR="00324F7B" w:rsidRPr="002E402A">
        <w:rPr>
          <w:rFonts w:ascii="Times New Roman" w:hAnsi="Times New Roman" w:cs="Times New Roman"/>
          <w:sz w:val="24"/>
          <w:szCs w:val="24"/>
        </w:rPr>
        <w:t xml:space="preserve"> </w:t>
      </w:r>
      <w:r w:rsidR="005A6851" w:rsidRPr="002E402A">
        <w:rPr>
          <w:rFonts w:ascii="Times New Roman" w:hAnsi="Times New Roman" w:cs="Times New Roman"/>
          <w:sz w:val="24"/>
          <w:szCs w:val="24"/>
        </w:rPr>
        <w:t>Aracı kurumların sayısının yıllar itibariyle artmadığı bilakis azaldığı göze çarpmaktadır. Örneğin,</w:t>
      </w:r>
      <w:r w:rsidR="00246E5D" w:rsidRPr="002E402A">
        <w:rPr>
          <w:rFonts w:ascii="Times New Roman" w:hAnsi="Times New Roman" w:cs="Times New Roman"/>
          <w:sz w:val="24"/>
          <w:szCs w:val="24"/>
        </w:rPr>
        <w:t xml:space="preserve"> </w:t>
      </w:r>
      <w:r w:rsidR="003B4817" w:rsidRPr="002E402A">
        <w:rPr>
          <w:rFonts w:ascii="Times New Roman" w:hAnsi="Times New Roman" w:cs="Times New Roman"/>
          <w:sz w:val="24"/>
          <w:szCs w:val="24"/>
        </w:rPr>
        <w:t xml:space="preserve">1998 yılında 148 olan aracı kurum sayısı, </w:t>
      </w:r>
      <w:r w:rsidR="00246E5D" w:rsidRPr="002E402A">
        <w:rPr>
          <w:rFonts w:ascii="Times New Roman" w:hAnsi="Times New Roman" w:cs="Times New Roman"/>
          <w:sz w:val="24"/>
          <w:szCs w:val="24"/>
        </w:rPr>
        <w:t xml:space="preserve">2001 yılında 128 adet idi. </w:t>
      </w:r>
      <w:r w:rsidR="00743830" w:rsidRPr="002E402A">
        <w:rPr>
          <w:rFonts w:ascii="Times New Roman" w:hAnsi="Times New Roman" w:cs="Times New Roman"/>
          <w:sz w:val="24"/>
          <w:szCs w:val="24"/>
        </w:rPr>
        <w:t xml:space="preserve">Bu aracı kurumların, Nisan 2015 itibariyle ülkemizin çeşitli illerinde olmak üzere toplam 206 şubesi ve 69 irtibat bürosu mevcuttur. </w:t>
      </w:r>
      <w:r w:rsidR="00556A51" w:rsidRPr="002E402A">
        <w:rPr>
          <w:rFonts w:ascii="Times New Roman" w:hAnsi="Times New Roman" w:cs="Times New Roman"/>
          <w:sz w:val="24"/>
          <w:szCs w:val="24"/>
        </w:rPr>
        <w:t>Gerek aracılık ettikleri işlemle</w:t>
      </w:r>
      <w:r w:rsidR="004A3F65" w:rsidRPr="002E402A">
        <w:rPr>
          <w:rFonts w:ascii="Times New Roman" w:hAnsi="Times New Roman" w:cs="Times New Roman"/>
          <w:sz w:val="24"/>
          <w:szCs w:val="24"/>
        </w:rPr>
        <w:t>rin büyüklüğü, gerekse istihdam</w:t>
      </w:r>
      <w:r w:rsidR="00324F7B" w:rsidRPr="002E402A">
        <w:rPr>
          <w:rFonts w:ascii="Times New Roman" w:hAnsi="Times New Roman" w:cs="Times New Roman"/>
          <w:sz w:val="24"/>
          <w:szCs w:val="24"/>
        </w:rPr>
        <w:t>a katkısı</w:t>
      </w:r>
      <w:r w:rsidR="004A3F65" w:rsidRPr="002E402A">
        <w:rPr>
          <w:rFonts w:ascii="Times New Roman" w:hAnsi="Times New Roman" w:cs="Times New Roman"/>
          <w:sz w:val="24"/>
          <w:szCs w:val="24"/>
        </w:rPr>
        <w:t xml:space="preserve"> ve</w:t>
      </w:r>
      <w:r w:rsidR="00556A51" w:rsidRPr="002E402A">
        <w:rPr>
          <w:rFonts w:ascii="Times New Roman" w:hAnsi="Times New Roman" w:cs="Times New Roman"/>
          <w:sz w:val="24"/>
          <w:szCs w:val="24"/>
        </w:rPr>
        <w:t xml:space="preserve"> kullanılan sermaye </w:t>
      </w:r>
      <w:r w:rsidR="00324F7B" w:rsidRPr="002E402A">
        <w:rPr>
          <w:rFonts w:ascii="Times New Roman" w:hAnsi="Times New Roman" w:cs="Times New Roman"/>
          <w:sz w:val="24"/>
          <w:szCs w:val="24"/>
        </w:rPr>
        <w:t xml:space="preserve">büyüklüğü </w:t>
      </w:r>
      <w:r w:rsidR="00556A51" w:rsidRPr="002E402A">
        <w:rPr>
          <w:rFonts w:ascii="Times New Roman" w:hAnsi="Times New Roman" w:cs="Times New Roman"/>
          <w:sz w:val="24"/>
          <w:szCs w:val="24"/>
        </w:rPr>
        <w:t>gibi esaslara göre aracı kurumların verimliliği</w:t>
      </w:r>
      <w:r w:rsidR="004A3F65" w:rsidRPr="002E402A">
        <w:rPr>
          <w:rFonts w:ascii="Times New Roman" w:hAnsi="Times New Roman" w:cs="Times New Roman"/>
          <w:sz w:val="24"/>
          <w:szCs w:val="24"/>
        </w:rPr>
        <w:t xml:space="preserve"> </w:t>
      </w:r>
      <w:r w:rsidR="00324F7B" w:rsidRPr="002E402A">
        <w:rPr>
          <w:rFonts w:ascii="Times New Roman" w:hAnsi="Times New Roman" w:cs="Times New Roman"/>
          <w:sz w:val="24"/>
          <w:szCs w:val="24"/>
        </w:rPr>
        <w:t xml:space="preserve">ülke </w:t>
      </w:r>
      <w:r w:rsidR="004A3F65" w:rsidRPr="002E402A">
        <w:rPr>
          <w:rFonts w:ascii="Times New Roman" w:hAnsi="Times New Roman" w:cs="Times New Roman"/>
          <w:sz w:val="24"/>
          <w:szCs w:val="24"/>
        </w:rPr>
        <w:t>kaynakların</w:t>
      </w:r>
      <w:r w:rsidR="00324F7B" w:rsidRPr="002E402A">
        <w:rPr>
          <w:rFonts w:ascii="Times New Roman" w:hAnsi="Times New Roman" w:cs="Times New Roman"/>
          <w:sz w:val="24"/>
          <w:szCs w:val="24"/>
        </w:rPr>
        <w:t>ın</w:t>
      </w:r>
      <w:r w:rsidR="004A3F65" w:rsidRPr="002E402A">
        <w:rPr>
          <w:rFonts w:ascii="Times New Roman" w:hAnsi="Times New Roman" w:cs="Times New Roman"/>
          <w:sz w:val="24"/>
          <w:szCs w:val="24"/>
        </w:rPr>
        <w:t xml:space="preserve"> etkin kullanımı açısından</w:t>
      </w:r>
      <w:r w:rsidR="00556A51" w:rsidRPr="002E402A">
        <w:rPr>
          <w:rFonts w:ascii="Times New Roman" w:hAnsi="Times New Roman" w:cs="Times New Roman"/>
          <w:sz w:val="24"/>
          <w:szCs w:val="24"/>
        </w:rPr>
        <w:t xml:space="preserve"> önemlidir.</w:t>
      </w:r>
      <w:r w:rsidR="00D1013F" w:rsidRPr="002E402A">
        <w:rPr>
          <w:rFonts w:ascii="Times New Roman" w:hAnsi="Times New Roman" w:cs="Times New Roman"/>
          <w:sz w:val="24"/>
          <w:szCs w:val="24"/>
        </w:rPr>
        <w:t xml:space="preserve"> </w:t>
      </w:r>
      <w:r w:rsidR="00FC54EE" w:rsidRPr="002E402A">
        <w:rPr>
          <w:rFonts w:ascii="Times New Roman" w:hAnsi="Times New Roman" w:cs="Times New Roman"/>
          <w:sz w:val="24"/>
          <w:szCs w:val="24"/>
        </w:rPr>
        <w:t>Bu</w:t>
      </w:r>
      <w:r w:rsidR="00D1013F" w:rsidRPr="002E402A">
        <w:rPr>
          <w:rFonts w:ascii="Times New Roman" w:hAnsi="Times New Roman" w:cs="Times New Roman"/>
          <w:sz w:val="24"/>
          <w:szCs w:val="24"/>
        </w:rPr>
        <w:t xml:space="preserve"> ça</w:t>
      </w:r>
      <w:r w:rsidR="005A6851" w:rsidRPr="002E402A">
        <w:rPr>
          <w:rFonts w:ascii="Times New Roman" w:hAnsi="Times New Roman" w:cs="Times New Roman"/>
          <w:sz w:val="24"/>
          <w:szCs w:val="24"/>
        </w:rPr>
        <w:t>lışmada 2009 – 2013 yılları arası dönemi kapsayan veriler kullanılarak mevcut aracı kurumların</w:t>
      </w:r>
      <w:r w:rsidR="00D1013F" w:rsidRPr="002E402A">
        <w:rPr>
          <w:rFonts w:ascii="Times New Roman" w:hAnsi="Times New Roman" w:cs="Times New Roman"/>
          <w:sz w:val="24"/>
          <w:szCs w:val="24"/>
        </w:rPr>
        <w:t xml:space="preserve"> verimliliği incelenmiştir.</w:t>
      </w:r>
    </w:p>
    <w:p w:rsidR="00792060" w:rsidRPr="002E402A" w:rsidRDefault="00792060" w:rsidP="00AA4118">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Aracı kurumların ülke ekonomisi açısından önemini </w:t>
      </w:r>
      <w:r w:rsidR="008E719B" w:rsidRPr="002E402A">
        <w:rPr>
          <w:rFonts w:ascii="Times New Roman" w:hAnsi="Times New Roman" w:cs="Times New Roman"/>
          <w:sz w:val="24"/>
          <w:szCs w:val="24"/>
        </w:rPr>
        <w:t xml:space="preserve">mukayeseli olarak </w:t>
      </w:r>
      <w:r w:rsidRPr="002E402A">
        <w:rPr>
          <w:rFonts w:ascii="Times New Roman" w:hAnsi="Times New Roman" w:cs="Times New Roman"/>
          <w:sz w:val="24"/>
          <w:szCs w:val="24"/>
        </w:rPr>
        <w:t>bir başka açıdan anlatmak istersek; ülke</w:t>
      </w:r>
      <w:r w:rsidR="008E719B" w:rsidRPr="002E402A">
        <w:rPr>
          <w:rFonts w:ascii="Times New Roman" w:hAnsi="Times New Roman" w:cs="Times New Roman"/>
          <w:sz w:val="24"/>
          <w:szCs w:val="24"/>
        </w:rPr>
        <w:t>de</w:t>
      </w:r>
      <w:r w:rsidRPr="002E402A">
        <w:rPr>
          <w:rFonts w:ascii="Times New Roman" w:hAnsi="Times New Roman" w:cs="Times New Roman"/>
          <w:sz w:val="24"/>
          <w:szCs w:val="24"/>
        </w:rPr>
        <w:t xml:space="preserve"> üretilen nihai değer olan </w:t>
      </w:r>
      <w:r w:rsidR="00216700" w:rsidRPr="002E402A">
        <w:rPr>
          <w:rFonts w:ascii="Times New Roman" w:hAnsi="Times New Roman" w:cs="Times New Roman"/>
          <w:sz w:val="24"/>
          <w:szCs w:val="24"/>
        </w:rPr>
        <w:t xml:space="preserve">Gayri Safi Yurtiçi Hâsıla </w:t>
      </w:r>
      <w:r w:rsidR="00FA0160" w:rsidRPr="002E402A">
        <w:rPr>
          <w:rFonts w:ascii="Times New Roman" w:hAnsi="Times New Roman" w:cs="Times New Roman"/>
          <w:sz w:val="24"/>
          <w:szCs w:val="24"/>
        </w:rPr>
        <w:t>(GSYİH) ile borsada</w:t>
      </w:r>
      <w:r w:rsidRPr="002E402A">
        <w:rPr>
          <w:rFonts w:ascii="Times New Roman" w:hAnsi="Times New Roman" w:cs="Times New Roman"/>
          <w:sz w:val="24"/>
          <w:szCs w:val="24"/>
        </w:rPr>
        <w:t xml:space="preserve"> </w:t>
      </w:r>
      <w:r w:rsidR="00FA0160" w:rsidRPr="002E402A">
        <w:rPr>
          <w:rFonts w:ascii="Times New Roman" w:hAnsi="Times New Roman" w:cs="Times New Roman"/>
          <w:sz w:val="24"/>
          <w:szCs w:val="24"/>
        </w:rPr>
        <w:t xml:space="preserve">aracılık edilen </w:t>
      </w:r>
      <w:r w:rsidRPr="002E402A">
        <w:rPr>
          <w:rFonts w:ascii="Times New Roman" w:hAnsi="Times New Roman" w:cs="Times New Roman"/>
          <w:sz w:val="24"/>
          <w:szCs w:val="24"/>
        </w:rPr>
        <w:t>farklı piyasaların işlem hacimleri</w:t>
      </w:r>
      <w:r w:rsidR="009A09A2" w:rsidRPr="002E402A">
        <w:rPr>
          <w:rFonts w:ascii="Times New Roman" w:hAnsi="Times New Roman" w:cs="Times New Roman"/>
          <w:sz w:val="24"/>
          <w:szCs w:val="24"/>
        </w:rPr>
        <w:t xml:space="preserve"> arasındaki ilişkiye bakabiliriz</w:t>
      </w:r>
      <w:r w:rsidRPr="002E402A">
        <w:rPr>
          <w:rFonts w:ascii="Times New Roman" w:hAnsi="Times New Roman" w:cs="Times New Roman"/>
          <w:sz w:val="24"/>
          <w:szCs w:val="24"/>
        </w:rPr>
        <w:t xml:space="preserve">. Aracı kurumların başlıca aracılık yaptığı piyasalar; pay piyasası, sabit getirili menkul kıymet piyasası ve türev işlemler piyasasıdır. Aracı kurumlar vasıtası ile bu piyasalarda gerçekleşen işlem hacmi ve </w:t>
      </w:r>
      <w:r w:rsidR="00216700" w:rsidRPr="002E402A">
        <w:rPr>
          <w:rFonts w:ascii="Times New Roman" w:hAnsi="Times New Roman" w:cs="Times New Roman"/>
          <w:sz w:val="24"/>
          <w:szCs w:val="24"/>
        </w:rPr>
        <w:t>Gayri Safi Yurtiçi Hâsıla</w:t>
      </w:r>
      <w:r w:rsidRPr="002E402A">
        <w:rPr>
          <w:rFonts w:ascii="Times New Roman" w:hAnsi="Times New Roman" w:cs="Times New Roman"/>
          <w:sz w:val="24"/>
          <w:szCs w:val="24"/>
        </w:rPr>
        <w:t xml:space="preserve"> (GSYİH) arasındaki ilişkiye baktığımızda aracı kurumların etkin ve verimli çalışmasının</w:t>
      </w:r>
      <w:r w:rsidR="009A09A2" w:rsidRPr="002E402A">
        <w:rPr>
          <w:rFonts w:ascii="Times New Roman" w:hAnsi="Times New Roman" w:cs="Times New Roman"/>
          <w:sz w:val="24"/>
          <w:szCs w:val="24"/>
        </w:rPr>
        <w:t xml:space="preserve"> ülke ekonomisi ve piyasalar açısından ne derece önemli olduğu</w:t>
      </w:r>
      <w:r w:rsidRPr="002E402A">
        <w:rPr>
          <w:rFonts w:ascii="Times New Roman" w:hAnsi="Times New Roman" w:cs="Times New Roman"/>
          <w:sz w:val="24"/>
          <w:szCs w:val="24"/>
        </w:rPr>
        <w:t xml:space="preserve"> </w:t>
      </w:r>
      <w:r w:rsidR="009A09A2" w:rsidRPr="002E402A">
        <w:rPr>
          <w:rFonts w:ascii="Times New Roman" w:hAnsi="Times New Roman" w:cs="Times New Roman"/>
          <w:sz w:val="24"/>
          <w:szCs w:val="24"/>
        </w:rPr>
        <w:t>ortaya çıkmaktadır</w:t>
      </w:r>
      <w:r w:rsidRPr="002E402A">
        <w:rPr>
          <w:rFonts w:ascii="Times New Roman" w:hAnsi="Times New Roman" w:cs="Times New Roman"/>
          <w:sz w:val="24"/>
          <w:szCs w:val="24"/>
        </w:rPr>
        <w:t>. Son beş yılda</w:t>
      </w:r>
      <w:r w:rsidR="009C7B90" w:rsidRPr="002E402A">
        <w:rPr>
          <w:rFonts w:ascii="Times New Roman" w:hAnsi="Times New Roman" w:cs="Times New Roman"/>
          <w:sz w:val="24"/>
          <w:szCs w:val="24"/>
        </w:rPr>
        <w:t xml:space="preserve"> bu piyasalarda, GSYİH’nın 8 ila</w:t>
      </w:r>
      <w:r w:rsidRPr="002E402A">
        <w:rPr>
          <w:rFonts w:ascii="Times New Roman" w:hAnsi="Times New Roman" w:cs="Times New Roman"/>
          <w:sz w:val="24"/>
          <w:szCs w:val="24"/>
        </w:rPr>
        <w:t xml:space="preserve"> 11 katı büyüklüğünde işlem hacmi gerçekleştirilmiştir. Yurtiçi tasarrufların düşük </w:t>
      </w:r>
      <w:r w:rsidR="009A09A2" w:rsidRPr="002E402A">
        <w:rPr>
          <w:rFonts w:ascii="Times New Roman" w:hAnsi="Times New Roman" w:cs="Times New Roman"/>
          <w:sz w:val="24"/>
          <w:szCs w:val="24"/>
        </w:rPr>
        <w:t>olduğu</w:t>
      </w:r>
      <w:r w:rsidRPr="002E402A">
        <w:rPr>
          <w:rFonts w:ascii="Times New Roman" w:hAnsi="Times New Roman" w:cs="Times New Roman"/>
          <w:sz w:val="24"/>
          <w:szCs w:val="24"/>
        </w:rPr>
        <w:t xml:space="preserve"> ülkemizde, finans kurumlarının etkin çalışması,</w:t>
      </w:r>
      <w:r w:rsidR="007D2140" w:rsidRPr="002E402A">
        <w:rPr>
          <w:rFonts w:ascii="Times New Roman" w:hAnsi="Times New Roman" w:cs="Times New Roman"/>
          <w:sz w:val="24"/>
          <w:szCs w:val="24"/>
        </w:rPr>
        <w:t xml:space="preserve"> ülke kaynaklarının etkin kullanımı</w:t>
      </w:r>
      <w:r w:rsidR="009A09A2" w:rsidRPr="002E402A">
        <w:rPr>
          <w:rFonts w:ascii="Times New Roman" w:hAnsi="Times New Roman" w:cs="Times New Roman"/>
          <w:sz w:val="24"/>
          <w:szCs w:val="24"/>
        </w:rPr>
        <w:t>nda</w:t>
      </w:r>
      <w:r w:rsidR="007D2140" w:rsidRPr="002E402A">
        <w:rPr>
          <w:rFonts w:ascii="Times New Roman" w:hAnsi="Times New Roman" w:cs="Times New Roman"/>
          <w:sz w:val="24"/>
          <w:szCs w:val="24"/>
        </w:rPr>
        <w:t>, kurumların etkin yönetimine bağlı olarak piyasalara olan güveni artırma</w:t>
      </w:r>
      <w:r w:rsidR="009A09A2" w:rsidRPr="002E402A">
        <w:rPr>
          <w:rFonts w:ascii="Times New Roman" w:hAnsi="Times New Roman" w:cs="Times New Roman"/>
          <w:sz w:val="24"/>
          <w:szCs w:val="24"/>
        </w:rPr>
        <w:t>da</w:t>
      </w:r>
      <w:r w:rsidR="007D2140" w:rsidRPr="002E402A">
        <w:rPr>
          <w:rFonts w:ascii="Times New Roman" w:hAnsi="Times New Roman" w:cs="Times New Roman"/>
          <w:sz w:val="24"/>
          <w:szCs w:val="24"/>
        </w:rPr>
        <w:t xml:space="preserve"> ve</w:t>
      </w:r>
      <w:r w:rsidRPr="002E402A">
        <w:rPr>
          <w:rFonts w:ascii="Times New Roman" w:hAnsi="Times New Roman" w:cs="Times New Roman"/>
          <w:sz w:val="24"/>
          <w:szCs w:val="24"/>
        </w:rPr>
        <w:t xml:space="preserve"> tasarruf miktarının artırılmasında önemli rol oynayacaktır.</w:t>
      </w:r>
    </w:p>
    <w:p w:rsidR="005E5D23" w:rsidRPr="002E402A" w:rsidRDefault="005E5D23" w:rsidP="000A7CD7">
      <w:pPr>
        <w:spacing w:line="240" w:lineRule="auto"/>
        <w:ind w:firstLine="567"/>
        <w:rPr>
          <w:rFonts w:ascii="Times New Roman" w:hAnsi="Times New Roman" w:cs="Times New Roman"/>
          <w:b/>
          <w:sz w:val="24"/>
          <w:szCs w:val="24"/>
        </w:rPr>
      </w:pPr>
    </w:p>
    <w:p w:rsidR="00792060" w:rsidRPr="002E402A" w:rsidRDefault="00E60358" w:rsidP="00E60358">
      <w:pPr>
        <w:spacing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lastRenderedPageBreak/>
        <w:t>Ç</w:t>
      </w:r>
      <w:r w:rsidR="000A015E" w:rsidRPr="002E402A">
        <w:rPr>
          <w:rFonts w:ascii="Times New Roman" w:hAnsi="Times New Roman" w:cs="Times New Roman"/>
          <w:b/>
          <w:sz w:val="24"/>
          <w:szCs w:val="24"/>
        </w:rPr>
        <w:t>izelge</w:t>
      </w:r>
      <w:r w:rsidR="00792060" w:rsidRPr="002E402A">
        <w:rPr>
          <w:rFonts w:ascii="Times New Roman" w:hAnsi="Times New Roman" w:cs="Times New Roman"/>
          <w:b/>
          <w:sz w:val="24"/>
          <w:szCs w:val="24"/>
        </w:rPr>
        <w:t xml:space="preserve"> 1. 2009- 2013 Döneminde Borsadaki Farklı Piyasaların İşlem Hacmi İle GSYİH Arasındaki İlişki</w:t>
      </w:r>
    </w:p>
    <w:p w:rsidR="00792060" w:rsidRPr="002E402A" w:rsidRDefault="005E5D23"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7E25F363" wp14:editId="10F709EA">
            <wp:extent cx="5981700" cy="3619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3619500"/>
                    </a:xfrm>
                    <a:prstGeom prst="rect">
                      <a:avLst/>
                    </a:prstGeom>
                    <a:noFill/>
                    <a:ln>
                      <a:noFill/>
                    </a:ln>
                  </pic:spPr>
                </pic:pic>
              </a:graphicData>
            </a:graphic>
          </wp:inline>
        </w:drawing>
      </w:r>
    </w:p>
    <w:p w:rsidR="00D22702" w:rsidRPr="002E402A" w:rsidRDefault="00FC54EE" w:rsidP="000124F7">
      <w:pPr>
        <w:spacing w:line="240" w:lineRule="auto"/>
        <w:rPr>
          <w:rFonts w:ascii="Times New Roman" w:hAnsi="Times New Roman" w:cs="Times New Roman"/>
          <w:sz w:val="24"/>
          <w:szCs w:val="24"/>
        </w:rPr>
      </w:pPr>
      <w:r w:rsidRPr="002E402A">
        <w:rPr>
          <w:rFonts w:ascii="Times New Roman" w:hAnsi="Times New Roman" w:cs="Times New Roman"/>
          <w:sz w:val="24"/>
          <w:szCs w:val="24"/>
        </w:rPr>
        <w:t>Bu</w:t>
      </w:r>
      <w:r w:rsidR="0018239D" w:rsidRPr="002E402A">
        <w:rPr>
          <w:rFonts w:ascii="Times New Roman" w:hAnsi="Times New Roman" w:cs="Times New Roman"/>
          <w:sz w:val="24"/>
          <w:szCs w:val="24"/>
        </w:rPr>
        <w:t xml:space="preserve"> çalışmada, e</w:t>
      </w:r>
      <w:r w:rsidR="00E7485B" w:rsidRPr="002E402A">
        <w:rPr>
          <w:rFonts w:ascii="Times New Roman" w:hAnsi="Times New Roman" w:cs="Times New Roman"/>
          <w:sz w:val="24"/>
          <w:szCs w:val="24"/>
        </w:rPr>
        <w:t>konomimi</w:t>
      </w:r>
      <w:r w:rsidR="00C32CF7" w:rsidRPr="002E402A">
        <w:rPr>
          <w:rFonts w:ascii="Times New Roman" w:hAnsi="Times New Roman" w:cs="Times New Roman"/>
          <w:sz w:val="24"/>
          <w:szCs w:val="24"/>
        </w:rPr>
        <w:t xml:space="preserve">zde </w:t>
      </w:r>
      <w:r w:rsidR="004C6B48" w:rsidRPr="002E402A">
        <w:rPr>
          <w:rFonts w:ascii="Times New Roman" w:hAnsi="Times New Roman" w:cs="Times New Roman"/>
          <w:sz w:val="24"/>
          <w:szCs w:val="24"/>
        </w:rPr>
        <w:t xml:space="preserve">önemli bir yapı ve yere sahip olan ve giderek sayısı azalan aracı kurumların verimliliği </w:t>
      </w:r>
      <w:r w:rsidR="00CD3B35" w:rsidRPr="002E402A">
        <w:rPr>
          <w:rFonts w:ascii="Times New Roman" w:hAnsi="Times New Roman" w:cs="Times New Roman"/>
          <w:sz w:val="24"/>
          <w:szCs w:val="24"/>
        </w:rPr>
        <w:t xml:space="preserve">“Veri Zarflama Analizi </w:t>
      </w:r>
      <w:r w:rsidR="004C6B48" w:rsidRPr="002E402A">
        <w:rPr>
          <w:rFonts w:ascii="Times New Roman" w:hAnsi="Times New Roman" w:cs="Times New Roman"/>
          <w:sz w:val="24"/>
          <w:szCs w:val="24"/>
        </w:rPr>
        <w:t>–</w:t>
      </w:r>
      <w:r w:rsidR="00CD3B35" w:rsidRPr="002E402A">
        <w:rPr>
          <w:rFonts w:ascii="Times New Roman" w:hAnsi="Times New Roman" w:cs="Times New Roman"/>
          <w:sz w:val="24"/>
          <w:szCs w:val="24"/>
        </w:rPr>
        <w:t xml:space="preserve"> VZA</w:t>
      </w:r>
      <w:r w:rsidR="004C6B48" w:rsidRPr="002E402A">
        <w:rPr>
          <w:rFonts w:ascii="Times New Roman" w:hAnsi="Times New Roman" w:cs="Times New Roman"/>
          <w:sz w:val="24"/>
          <w:szCs w:val="24"/>
        </w:rPr>
        <w:t xml:space="preserve"> ve Toplam Faktör Verimliliği</w:t>
      </w:r>
      <w:r w:rsidR="00CD3B35" w:rsidRPr="002E402A">
        <w:rPr>
          <w:rFonts w:ascii="Times New Roman" w:hAnsi="Times New Roman" w:cs="Times New Roman"/>
          <w:sz w:val="24"/>
          <w:szCs w:val="24"/>
        </w:rPr>
        <w:t>” yöntemi kullanılarak</w:t>
      </w:r>
      <w:r w:rsidR="004C6B48" w:rsidRPr="002E402A">
        <w:rPr>
          <w:rFonts w:ascii="Times New Roman" w:hAnsi="Times New Roman" w:cs="Times New Roman"/>
          <w:sz w:val="24"/>
          <w:szCs w:val="24"/>
        </w:rPr>
        <w:t xml:space="preserve"> incelenmiştir.</w:t>
      </w:r>
      <w:r w:rsidR="007F2036" w:rsidRPr="002E402A">
        <w:rPr>
          <w:rFonts w:ascii="Times New Roman" w:hAnsi="Times New Roman" w:cs="Times New Roman"/>
          <w:sz w:val="24"/>
          <w:szCs w:val="24"/>
        </w:rPr>
        <w:t xml:space="preserve"> Piyasa etkinliğini artırmak ve </w:t>
      </w:r>
      <w:r w:rsidR="00A34451" w:rsidRPr="002E402A">
        <w:rPr>
          <w:rFonts w:ascii="Times New Roman" w:hAnsi="Times New Roman" w:cs="Times New Roman"/>
          <w:sz w:val="24"/>
          <w:szCs w:val="24"/>
        </w:rPr>
        <w:t xml:space="preserve">piyasaları </w:t>
      </w:r>
      <w:r w:rsidR="007F2036" w:rsidRPr="002E402A">
        <w:rPr>
          <w:rFonts w:ascii="Times New Roman" w:hAnsi="Times New Roman" w:cs="Times New Roman"/>
          <w:sz w:val="24"/>
          <w:szCs w:val="24"/>
        </w:rPr>
        <w:t>uluslararası sermaye piyasaları stand</w:t>
      </w:r>
      <w:r w:rsidR="00A34451" w:rsidRPr="002E402A">
        <w:rPr>
          <w:rFonts w:ascii="Times New Roman" w:hAnsi="Times New Roman" w:cs="Times New Roman"/>
          <w:sz w:val="24"/>
          <w:szCs w:val="24"/>
        </w:rPr>
        <w:t>artlarına uyumlu hale getirmek için aracı kurumlar arasında konsolidasyona gidilmesi gerekliliği tezi üzerine yapılandırılmış yeni düzenlemelerin ne derece haklı olduğu konusu</w:t>
      </w:r>
      <w:r w:rsidR="007F2036" w:rsidRPr="002E402A">
        <w:rPr>
          <w:rFonts w:ascii="Times New Roman" w:hAnsi="Times New Roman" w:cs="Times New Roman"/>
          <w:sz w:val="24"/>
          <w:szCs w:val="24"/>
        </w:rPr>
        <w:t>, 20</w:t>
      </w:r>
      <w:r w:rsidR="00A34451" w:rsidRPr="002E402A">
        <w:rPr>
          <w:rFonts w:ascii="Times New Roman" w:hAnsi="Times New Roman" w:cs="Times New Roman"/>
          <w:sz w:val="24"/>
          <w:szCs w:val="24"/>
        </w:rPr>
        <w:t xml:space="preserve">14 ve 2015 yıllarında yapılan yeni düzenlemeler öncesindeki </w:t>
      </w:r>
      <w:r w:rsidR="007F2036" w:rsidRPr="002E402A">
        <w:rPr>
          <w:rFonts w:ascii="Times New Roman" w:hAnsi="Times New Roman" w:cs="Times New Roman"/>
          <w:sz w:val="24"/>
          <w:szCs w:val="24"/>
        </w:rPr>
        <w:t>veriler esas alınarak araştırılmıştır.</w:t>
      </w:r>
      <w:r w:rsidR="00CD3B35" w:rsidRPr="002E402A">
        <w:rPr>
          <w:rFonts w:ascii="Times New Roman" w:hAnsi="Times New Roman" w:cs="Times New Roman"/>
          <w:sz w:val="24"/>
          <w:szCs w:val="24"/>
        </w:rPr>
        <w:t xml:space="preserve"> </w:t>
      </w:r>
      <w:r w:rsidR="00A34451" w:rsidRPr="002E402A">
        <w:rPr>
          <w:rFonts w:ascii="Times New Roman" w:hAnsi="Times New Roman" w:cs="Times New Roman"/>
          <w:sz w:val="24"/>
          <w:szCs w:val="24"/>
        </w:rPr>
        <w:t>Çalışmada</w:t>
      </w:r>
      <w:r w:rsidR="0013692D" w:rsidRPr="002E402A">
        <w:rPr>
          <w:rFonts w:ascii="Times New Roman" w:hAnsi="Times New Roman" w:cs="Times New Roman"/>
          <w:sz w:val="24"/>
          <w:szCs w:val="24"/>
        </w:rPr>
        <w:t xml:space="preserve">, </w:t>
      </w:r>
      <w:r w:rsidR="00CD3B35" w:rsidRPr="002E402A">
        <w:rPr>
          <w:rFonts w:ascii="Times New Roman" w:hAnsi="Times New Roman" w:cs="Times New Roman"/>
          <w:sz w:val="24"/>
          <w:szCs w:val="24"/>
        </w:rPr>
        <w:t>2009 ile 2013 yılları arasında, faaliyetleri süreklilik arz</w:t>
      </w:r>
      <w:r w:rsidR="00506A82" w:rsidRPr="002E402A">
        <w:rPr>
          <w:rFonts w:ascii="Times New Roman" w:hAnsi="Times New Roman" w:cs="Times New Roman"/>
          <w:sz w:val="24"/>
          <w:szCs w:val="24"/>
        </w:rPr>
        <w:t xml:space="preserve"> </w:t>
      </w:r>
      <w:r w:rsidR="00CD3B35" w:rsidRPr="002E402A">
        <w:rPr>
          <w:rFonts w:ascii="Times New Roman" w:hAnsi="Times New Roman" w:cs="Times New Roman"/>
          <w:sz w:val="24"/>
          <w:szCs w:val="24"/>
        </w:rPr>
        <w:t>eden aracı kurumların finansal etkinliklerinin ölçülmesi suretiyle aracı kurum</w:t>
      </w:r>
      <w:r w:rsidR="00F8386B" w:rsidRPr="002E402A">
        <w:rPr>
          <w:rFonts w:ascii="Times New Roman" w:hAnsi="Times New Roman" w:cs="Times New Roman"/>
          <w:sz w:val="24"/>
          <w:szCs w:val="24"/>
        </w:rPr>
        <w:t xml:space="preserve"> performansları değerlendir</w:t>
      </w:r>
      <w:r w:rsidR="004C6B48" w:rsidRPr="002E402A">
        <w:rPr>
          <w:rFonts w:ascii="Times New Roman" w:hAnsi="Times New Roman" w:cs="Times New Roman"/>
          <w:sz w:val="24"/>
          <w:szCs w:val="24"/>
        </w:rPr>
        <w:t>ilmiş</w:t>
      </w:r>
      <w:r w:rsidR="00A34451" w:rsidRPr="002E402A">
        <w:rPr>
          <w:rFonts w:ascii="Times New Roman" w:hAnsi="Times New Roman" w:cs="Times New Roman"/>
          <w:sz w:val="24"/>
          <w:szCs w:val="24"/>
        </w:rPr>
        <w:t xml:space="preserve"> ve</w:t>
      </w:r>
      <w:r w:rsidR="00024833" w:rsidRPr="002E402A">
        <w:rPr>
          <w:rFonts w:ascii="Times New Roman" w:hAnsi="Times New Roman" w:cs="Times New Roman"/>
          <w:sz w:val="24"/>
          <w:szCs w:val="24"/>
        </w:rPr>
        <w:t xml:space="preserve"> etkin çalışmaları için gereken iyileştirme alanları</w:t>
      </w:r>
      <w:r w:rsidR="00A34451" w:rsidRPr="002E402A">
        <w:rPr>
          <w:rFonts w:ascii="Times New Roman" w:hAnsi="Times New Roman" w:cs="Times New Roman"/>
          <w:sz w:val="24"/>
          <w:szCs w:val="24"/>
        </w:rPr>
        <w:t xml:space="preserve"> ile performans artışı için gerekli esaslar belirlenmeye çalışılmıştır</w:t>
      </w:r>
      <w:r w:rsidR="004C6B48" w:rsidRPr="002E402A">
        <w:rPr>
          <w:rFonts w:ascii="Times New Roman" w:hAnsi="Times New Roman" w:cs="Times New Roman"/>
          <w:sz w:val="24"/>
          <w:szCs w:val="24"/>
        </w:rPr>
        <w:t>.</w:t>
      </w:r>
      <w:r w:rsidR="00CD3B35" w:rsidRPr="002E402A">
        <w:rPr>
          <w:rFonts w:ascii="Times New Roman" w:hAnsi="Times New Roman" w:cs="Times New Roman"/>
          <w:sz w:val="24"/>
          <w:szCs w:val="24"/>
        </w:rPr>
        <w:t xml:space="preserve"> </w:t>
      </w:r>
    </w:p>
    <w:p w:rsidR="00CD3B35" w:rsidRPr="002E402A" w:rsidRDefault="00D659C9" w:rsidP="000124F7">
      <w:pPr>
        <w:spacing w:line="240" w:lineRule="auto"/>
        <w:rPr>
          <w:rFonts w:ascii="Times New Roman" w:hAnsi="Times New Roman" w:cs="Times New Roman"/>
          <w:sz w:val="24"/>
          <w:szCs w:val="24"/>
        </w:rPr>
      </w:pPr>
      <w:r w:rsidRPr="002E402A">
        <w:rPr>
          <w:rFonts w:ascii="Times New Roman" w:hAnsi="Times New Roman" w:cs="Times New Roman"/>
          <w:sz w:val="24"/>
          <w:szCs w:val="24"/>
        </w:rPr>
        <w:t>Çalışma toplam beş bölümden</w:t>
      </w:r>
      <w:r w:rsidR="00CF560B" w:rsidRPr="002E402A">
        <w:rPr>
          <w:rFonts w:ascii="Times New Roman" w:hAnsi="Times New Roman" w:cs="Times New Roman"/>
          <w:sz w:val="24"/>
          <w:szCs w:val="24"/>
        </w:rPr>
        <w:t xml:space="preserve"> oluşmaktadır. </w:t>
      </w:r>
      <w:r w:rsidR="004945A0" w:rsidRPr="002E402A">
        <w:rPr>
          <w:rFonts w:ascii="Times New Roman" w:hAnsi="Times New Roman" w:cs="Times New Roman"/>
          <w:sz w:val="24"/>
          <w:szCs w:val="24"/>
        </w:rPr>
        <w:t xml:space="preserve">Aracı </w:t>
      </w:r>
      <w:r w:rsidR="00E774BC" w:rsidRPr="002E402A">
        <w:rPr>
          <w:rFonts w:ascii="Times New Roman" w:hAnsi="Times New Roman" w:cs="Times New Roman"/>
          <w:sz w:val="24"/>
          <w:szCs w:val="24"/>
        </w:rPr>
        <w:t>kurumların tanımı ve işlevleri anlatılarak,</w:t>
      </w:r>
      <w:r w:rsidR="004945A0" w:rsidRPr="002E402A">
        <w:rPr>
          <w:rFonts w:ascii="Times New Roman" w:hAnsi="Times New Roman" w:cs="Times New Roman"/>
          <w:sz w:val="24"/>
          <w:szCs w:val="24"/>
        </w:rPr>
        <w:t xml:space="preserve"> piyasalardaki yeri ve önemi</w:t>
      </w:r>
      <w:r w:rsidR="00E774BC" w:rsidRPr="002E402A">
        <w:rPr>
          <w:rFonts w:ascii="Times New Roman" w:hAnsi="Times New Roman" w:cs="Times New Roman"/>
          <w:sz w:val="24"/>
          <w:szCs w:val="24"/>
        </w:rPr>
        <w:t>nin</w:t>
      </w:r>
      <w:r w:rsidR="004945A0" w:rsidRPr="002E402A">
        <w:rPr>
          <w:rFonts w:ascii="Times New Roman" w:hAnsi="Times New Roman" w:cs="Times New Roman"/>
          <w:sz w:val="24"/>
          <w:szCs w:val="24"/>
        </w:rPr>
        <w:t xml:space="preserve"> belirtilmesi</w:t>
      </w:r>
      <w:r w:rsidR="00E774BC" w:rsidRPr="002E402A">
        <w:rPr>
          <w:rFonts w:ascii="Times New Roman" w:hAnsi="Times New Roman" w:cs="Times New Roman"/>
          <w:sz w:val="24"/>
          <w:szCs w:val="24"/>
        </w:rPr>
        <w:t>nin</w:t>
      </w:r>
      <w:r w:rsidR="004945A0" w:rsidRPr="002E402A">
        <w:rPr>
          <w:rFonts w:ascii="Times New Roman" w:hAnsi="Times New Roman" w:cs="Times New Roman"/>
          <w:sz w:val="24"/>
          <w:szCs w:val="24"/>
        </w:rPr>
        <w:t xml:space="preserve"> ardından</w:t>
      </w:r>
      <w:r w:rsidR="00E774BC" w:rsidRPr="002E402A">
        <w:rPr>
          <w:rFonts w:ascii="Times New Roman" w:hAnsi="Times New Roman" w:cs="Times New Roman"/>
          <w:sz w:val="24"/>
          <w:szCs w:val="24"/>
        </w:rPr>
        <w:t>,</w:t>
      </w:r>
      <w:r w:rsidR="004945A0" w:rsidRPr="002E402A">
        <w:rPr>
          <w:rFonts w:ascii="Times New Roman" w:hAnsi="Times New Roman" w:cs="Times New Roman"/>
          <w:sz w:val="24"/>
          <w:szCs w:val="24"/>
        </w:rPr>
        <w:t xml:space="preserve"> i</w:t>
      </w:r>
      <w:r w:rsidRPr="002E402A">
        <w:rPr>
          <w:rFonts w:ascii="Times New Roman" w:hAnsi="Times New Roman" w:cs="Times New Roman"/>
          <w:sz w:val="24"/>
          <w:szCs w:val="24"/>
        </w:rPr>
        <w:t>kinci bölü</w:t>
      </w:r>
      <w:r w:rsidR="00EA31A6" w:rsidRPr="002E402A">
        <w:rPr>
          <w:rFonts w:ascii="Times New Roman" w:hAnsi="Times New Roman" w:cs="Times New Roman"/>
          <w:sz w:val="24"/>
          <w:szCs w:val="24"/>
        </w:rPr>
        <w:t>mde literatür gözden geçirilmiş ve</w:t>
      </w:r>
      <w:r w:rsidRPr="002E402A">
        <w:rPr>
          <w:rFonts w:ascii="Times New Roman" w:hAnsi="Times New Roman" w:cs="Times New Roman"/>
          <w:sz w:val="24"/>
          <w:szCs w:val="24"/>
        </w:rPr>
        <w:t xml:space="preserve"> </w:t>
      </w:r>
      <w:r w:rsidR="003D2E12" w:rsidRPr="002E402A">
        <w:rPr>
          <w:rFonts w:ascii="Times New Roman" w:hAnsi="Times New Roman" w:cs="Times New Roman"/>
          <w:sz w:val="24"/>
          <w:szCs w:val="24"/>
        </w:rPr>
        <w:t xml:space="preserve">aynı model kullanılarak gerçekleştirilen </w:t>
      </w:r>
      <w:r w:rsidRPr="002E402A">
        <w:rPr>
          <w:rFonts w:ascii="Times New Roman" w:hAnsi="Times New Roman" w:cs="Times New Roman"/>
          <w:sz w:val="24"/>
          <w:szCs w:val="24"/>
        </w:rPr>
        <w:t xml:space="preserve">diğer çalışmalarda elde </w:t>
      </w:r>
      <w:r w:rsidR="003D2E12" w:rsidRPr="002E402A">
        <w:rPr>
          <w:rFonts w:ascii="Times New Roman" w:hAnsi="Times New Roman" w:cs="Times New Roman"/>
          <w:sz w:val="24"/>
          <w:szCs w:val="24"/>
        </w:rPr>
        <w:t>edilen</w:t>
      </w:r>
      <w:r w:rsidRPr="002E402A">
        <w:rPr>
          <w:rFonts w:ascii="Times New Roman" w:hAnsi="Times New Roman" w:cs="Times New Roman"/>
          <w:sz w:val="24"/>
          <w:szCs w:val="24"/>
        </w:rPr>
        <w:t xml:space="preserve"> farklı sonuçlar üzerinde </w:t>
      </w:r>
      <w:r w:rsidR="00EA31A6" w:rsidRPr="002E402A">
        <w:rPr>
          <w:rFonts w:ascii="Times New Roman" w:hAnsi="Times New Roman" w:cs="Times New Roman"/>
          <w:sz w:val="24"/>
          <w:szCs w:val="24"/>
        </w:rPr>
        <w:t>durulmuştur.</w:t>
      </w:r>
      <w:r w:rsidRPr="002E402A">
        <w:rPr>
          <w:rFonts w:ascii="Times New Roman" w:hAnsi="Times New Roman" w:cs="Times New Roman"/>
          <w:sz w:val="24"/>
          <w:szCs w:val="24"/>
        </w:rPr>
        <w:t xml:space="preserve"> </w:t>
      </w:r>
      <w:r w:rsidR="00EA31A6" w:rsidRPr="002E402A">
        <w:rPr>
          <w:rFonts w:ascii="Times New Roman" w:hAnsi="Times New Roman" w:cs="Times New Roman"/>
          <w:sz w:val="24"/>
          <w:szCs w:val="24"/>
        </w:rPr>
        <w:t>Ü</w:t>
      </w:r>
      <w:r w:rsidRPr="002E402A">
        <w:rPr>
          <w:rFonts w:ascii="Times New Roman" w:hAnsi="Times New Roman" w:cs="Times New Roman"/>
          <w:sz w:val="24"/>
          <w:szCs w:val="24"/>
        </w:rPr>
        <w:t>çüncü bölümde</w:t>
      </w:r>
      <w:r w:rsidR="003C7245" w:rsidRPr="002E402A">
        <w:rPr>
          <w:rFonts w:ascii="Times New Roman" w:hAnsi="Times New Roman" w:cs="Times New Roman"/>
          <w:sz w:val="24"/>
          <w:szCs w:val="24"/>
        </w:rPr>
        <w:t>,</w:t>
      </w:r>
      <w:r w:rsidRPr="002E402A">
        <w:rPr>
          <w:rFonts w:ascii="Times New Roman" w:hAnsi="Times New Roman" w:cs="Times New Roman"/>
          <w:sz w:val="24"/>
          <w:szCs w:val="24"/>
        </w:rPr>
        <w:t xml:space="preserve"> </w:t>
      </w:r>
      <w:r w:rsidR="003C7245" w:rsidRPr="002E402A">
        <w:rPr>
          <w:rFonts w:ascii="Times New Roman" w:hAnsi="Times New Roman" w:cs="Times New Roman"/>
          <w:sz w:val="24"/>
          <w:szCs w:val="24"/>
        </w:rPr>
        <w:t>araştırma</w:t>
      </w:r>
      <w:r w:rsidR="00916585" w:rsidRPr="002E402A">
        <w:rPr>
          <w:rFonts w:ascii="Times New Roman" w:hAnsi="Times New Roman" w:cs="Times New Roman"/>
          <w:sz w:val="24"/>
          <w:szCs w:val="24"/>
        </w:rPr>
        <w:t>nın</w:t>
      </w:r>
      <w:r w:rsidR="003C7245" w:rsidRPr="002E402A">
        <w:rPr>
          <w:rFonts w:ascii="Times New Roman" w:hAnsi="Times New Roman" w:cs="Times New Roman"/>
          <w:sz w:val="24"/>
          <w:szCs w:val="24"/>
        </w:rPr>
        <w:t xml:space="preserve"> amacı, kapsamı, yöntemi, modeli ve</w:t>
      </w:r>
      <w:r w:rsidR="00855822" w:rsidRPr="002E402A">
        <w:rPr>
          <w:rFonts w:ascii="Times New Roman" w:hAnsi="Times New Roman" w:cs="Times New Roman"/>
          <w:sz w:val="24"/>
          <w:szCs w:val="24"/>
        </w:rPr>
        <w:t xml:space="preserve"> kısıtı üzerinde durulmuştur.</w:t>
      </w:r>
      <w:r w:rsidRPr="002E402A">
        <w:rPr>
          <w:rFonts w:ascii="Times New Roman" w:hAnsi="Times New Roman" w:cs="Times New Roman"/>
          <w:sz w:val="24"/>
          <w:szCs w:val="24"/>
        </w:rPr>
        <w:t xml:space="preserve"> Dördüncü bölümde</w:t>
      </w:r>
      <w:r w:rsidR="00855822" w:rsidRPr="002E402A">
        <w:rPr>
          <w:rFonts w:ascii="Times New Roman" w:hAnsi="Times New Roman" w:cs="Times New Roman"/>
          <w:sz w:val="24"/>
          <w:szCs w:val="24"/>
        </w:rPr>
        <w:t xml:space="preserve">, </w:t>
      </w:r>
      <w:r w:rsidR="00223D73" w:rsidRPr="002E402A">
        <w:rPr>
          <w:rFonts w:ascii="Times New Roman" w:hAnsi="Times New Roman" w:cs="Times New Roman"/>
          <w:sz w:val="24"/>
          <w:szCs w:val="24"/>
        </w:rPr>
        <w:t xml:space="preserve">aracı kurumların </w:t>
      </w:r>
      <w:r w:rsidR="00855822" w:rsidRPr="002E402A">
        <w:rPr>
          <w:rFonts w:ascii="Times New Roman" w:hAnsi="Times New Roman" w:cs="Times New Roman"/>
          <w:sz w:val="24"/>
          <w:szCs w:val="24"/>
        </w:rPr>
        <w:t>finansal veriler</w:t>
      </w:r>
      <w:r w:rsidR="00916585" w:rsidRPr="002E402A">
        <w:rPr>
          <w:rFonts w:ascii="Times New Roman" w:hAnsi="Times New Roman" w:cs="Times New Roman"/>
          <w:sz w:val="24"/>
          <w:szCs w:val="24"/>
        </w:rPr>
        <w:t>i</w:t>
      </w:r>
      <w:r w:rsidR="00855822" w:rsidRPr="002E402A">
        <w:rPr>
          <w:rFonts w:ascii="Times New Roman" w:hAnsi="Times New Roman" w:cs="Times New Roman"/>
          <w:sz w:val="24"/>
          <w:szCs w:val="24"/>
        </w:rPr>
        <w:t xml:space="preserve"> kullanılarak önce 2009-2013 yılları döneminde</w:t>
      </w:r>
      <w:r w:rsidR="00A34451" w:rsidRPr="002E402A">
        <w:rPr>
          <w:rFonts w:ascii="Times New Roman" w:hAnsi="Times New Roman" w:cs="Times New Roman"/>
          <w:sz w:val="24"/>
          <w:szCs w:val="24"/>
        </w:rPr>
        <w:t xml:space="preserve"> bu kurumların</w:t>
      </w:r>
      <w:r w:rsidR="00855822" w:rsidRPr="002E402A">
        <w:rPr>
          <w:rFonts w:ascii="Times New Roman" w:hAnsi="Times New Roman" w:cs="Times New Roman"/>
          <w:sz w:val="24"/>
          <w:szCs w:val="24"/>
        </w:rPr>
        <w:t xml:space="preserve"> sermaye piyasasında </w:t>
      </w:r>
      <w:r w:rsidR="00A34451" w:rsidRPr="002E402A">
        <w:rPr>
          <w:rFonts w:ascii="Times New Roman" w:hAnsi="Times New Roman" w:cs="Times New Roman"/>
          <w:sz w:val="24"/>
          <w:szCs w:val="24"/>
        </w:rPr>
        <w:t xml:space="preserve">yaşadığı </w:t>
      </w:r>
      <w:r w:rsidR="00855822" w:rsidRPr="002E402A">
        <w:rPr>
          <w:rFonts w:ascii="Times New Roman" w:hAnsi="Times New Roman" w:cs="Times New Roman"/>
          <w:sz w:val="24"/>
          <w:szCs w:val="24"/>
        </w:rPr>
        <w:t xml:space="preserve">değişim çeşitli kriterler </w:t>
      </w:r>
      <w:r w:rsidR="00A34451" w:rsidRPr="002E402A">
        <w:rPr>
          <w:rFonts w:ascii="Times New Roman" w:hAnsi="Times New Roman" w:cs="Times New Roman"/>
          <w:sz w:val="24"/>
          <w:szCs w:val="24"/>
        </w:rPr>
        <w:t xml:space="preserve">etrafında </w:t>
      </w:r>
      <w:r w:rsidR="00855822" w:rsidRPr="002E402A">
        <w:rPr>
          <w:rFonts w:ascii="Times New Roman" w:hAnsi="Times New Roman" w:cs="Times New Roman"/>
          <w:sz w:val="24"/>
          <w:szCs w:val="24"/>
        </w:rPr>
        <w:t>gruplan</w:t>
      </w:r>
      <w:r w:rsidR="00916585" w:rsidRPr="002E402A">
        <w:rPr>
          <w:rFonts w:ascii="Times New Roman" w:hAnsi="Times New Roman" w:cs="Times New Roman"/>
          <w:sz w:val="24"/>
          <w:szCs w:val="24"/>
        </w:rPr>
        <w:t>dırıl</w:t>
      </w:r>
      <w:r w:rsidR="00855822" w:rsidRPr="002E402A">
        <w:rPr>
          <w:rFonts w:ascii="Times New Roman" w:hAnsi="Times New Roman" w:cs="Times New Roman"/>
          <w:sz w:val="24"/>
          <w:szCs w:val="24"/>
        </w:rPr>
        <w:t xml:space="preserve">arak </w:t>
      </w:r>
      <w:r w:rsidR="00916585" w:rsidRPr="002E402A">
        <w:rPr>
          <w:rFonts w:ascii="Times New Roman" w:hAnsi="Times New Roman" w:cs="Times New Roman"/>
          <w:sz w:val="24"/>
          <w:szCs w:val="24"/>
        </w:rPr>
        <w:t xml:space="preserve">ve </w:t>
      </w:r>
      <w:r w:rsidR="003D69B3" w:rsidRPr="002E402A">
        <w:rPr>
          <w:rFonts w:ascii="Times New Roman" w:hAnsi="Times New Roman" w:cs="Times New Roman"/>
          <w:sz w:val="24"/>
          <w:szCs w:val="24"/>
        </w:rPr>
        <w:t>çizelge</w:t>
      </w:r>
      <w:r w:rsidR="00855822" w:rsidRPr="002E402A">
        <w:rPr>
          <w:rFonts w:ascii="Times New Roman" w:hAnsi="Times New Roman" w:cs="Times New Roman"/>
          <w:sz w:val="24"/>
          <w:szCs w:val="24"/>
        </w:rPr>
        <w:t>lerden de yararlanılarak anlatılmış</w:t>
      </w:r>
      <w:r w:rsidR="00E1230F" w:rsidRPr="002E402A">
        <w:rPr>
          <w:rFonts w:ascii="Times New Roman" w:hAnsi="Times New Roman" w:cs="Times New Roman"/>
          <w:sz w:val="24"/>
          <w:szCs w:val="24"/>
        </w:rPr>
        <w:t>tır.</w:t>
      </w:r>
      <w:r w:rsidR="00855822" w:rsidRPr="002E402A">
        <w:rPr>
          <w:rFonts w:ascii="Times New Roman" w:hAnsi="Times New Roman" w:cs="Times New Roman"/>
          <w:sz w:val="24"/>
          <w:szCs w:val="24"/>
        </w:rPr>
        <w:t xml:space="preserve"> </w:t>
      </w:r>
      <w:r w:rsidR="00A34451" w:rsidRPr="002E402A">
        <w:rPr>
          <w:rFonts w:ascii="Times New Roman" w:hAnsi="Times New Roman" w:cs="Times New Roman"/>
          <w:sz w:val="24"/>
          <w:szCs w:val="24"/>
        </w:rPr>
        <w:t>Analiz aşamasında</w:t>
      </w:r>
      <w:r w:rsidRPr="002E402A">
        <w:rPr>
          <w:rFonts w:ascii="Times New Roman" w:hAnsi="Times New Roman" w:cs="Times New Roman"/>
          <w:sz w:val="24"/>
          <w:szCs w:val="24"/>
        </w:rPr>
        <w:t xml:space="preserve"> </w:t>
      </w:r>
      <w:r w:rsidR="00855822" w:rsidRPr="002E402A">
        <w:rPr>
          <w:rFonts w:ascii="Times New Roman" w:hAnsi="Times New Roman" w:cs="Times New Roman"/>
          <w:sz w:val="24"/>
          <w:szCs w:val="24"/>
        </w:rPr>
        <w:t>VZA yöntemi</w:t>
      </w:r>
      <w:r w:rsidRPr="002E402A">
        <w:rPr>
          <w:rFonts w:ascii="Times New Roman" w:hAnsi="Times New Roman" w:cs="Times New Roman"/>
          <w:sz w:val="24"/>
          <w:szCs w:val="24"/>
        </w:rPr>
        <w:t xml:space="preserve"> </w:t>
      </w:r>
      <w:r w:rsidR="005603FB" w:rsidRPr="002E402A">
        <w:rPr>
          <w:rFonts w:ascii="Times New Roman" w:hAnsi="Times New Roman" w:cs="Times New Roman"/>
          <w:sz w:val="24"/>
          <w:szCs w:val="24"/>
        </w:rPr>
        <w:t xml:space="preserve">kullanılarak </w:t>
      </w:r>
      <w:r w:rsidR="00A34451" w:rsidRPr="002E402A">
        <w:rPr>
          <w:rFonts w:ascii="Times New Roman" w:hAnsi="Times New Roman" w:cs="Times New Roman"/>
          <w:sz w:val="24"/>
          <w:szCs w:val="24"/>
        </w:rPr>
        <w:t>elde edilen sonuçlar</w:t>
      </w:r>
      <w:r w:rsidR="005603FB" w:rsidRPr="002E402A">
        <w:rPr>
          <w:rFonts w:ascii="Times New Roman" w:hAnsi="Times New Roman" w:cs="Times New Roman"/>
          <w:sz w:val="24"/>
          <w:szCs w:val="24"/>
        </w:rPr>
        <w:t xml:space="preserve"> y</w:t>
      </w:r>
      <w:r w:rsidR="00855822" w:rsidRPr="002E402A">
        <w:rPr>
          <w:rFonts w:ascii="Times New Roman" w:hAnsi="Times New Roman" w:cs="Times New Roman"/>
          <w:sz w:val="24"/>
          <w:szCs w:val="24"/>
        </w:rPr>
        <w:t>orumlanmışt</w:t>
      </w:r>
      <w:r w:rsidRPr="002E402A">
        <w:rPr>
          <w:rFonts w:ascii="Times New Roman" w:hAnsi="Times New Roman" w:cs="Times New Roman"/>
          <w:sz w:val="24"/>
          <w:szCs w:val="24"/>
        </w:rPr>
        <w:t>ır.</w:t>
      </w:r>
      <w:r w:rsidR="00CD3B35" w:rsidRPr="002E402A">
        <w:rPr>
          <w:rFonts w:ascii="Times New Roman" w:hAnsi="Times New Roman" w:cs="Times New Roman"/>
          <w:sz w:val="24"/>
          <w:szCs w:val="24"/>
        </w:rPr>
        <w:t xml:space="preserve"> </w:t>
      </w:r>
      <w:r w:rsidR="00C20827" w:rsidRPr="002E402A">
        <w:rPr>
          <w:rFonts w:ascii="Times New Roman" w:hAnsi="Times New Roman" w:cs="Times New Roman"/>
          <w:sz w:val="24"/>
          <w:szCs w:val="24"/>
        </w:rPr>
        <w:t xml:space="preserve">Ayrıca, </w:t>
      </w:r>
      <w:r w:rsidR="004B6E73" w:rsidRPr="002E402A">
        <w:rPr>
          <w:rFonts w:ascii="Times New Roman" w:hAnsi="Times New Roman" w:cs="Times New Roman"/>
          <w:sz w:val="24"/>
          <w:szCs w:val="24"/>
        </w:rPr>
        <w:t>banka kökenli ve yabancı ortaklı olan aracı kurumların</w:t>
      </w:r>
      <w:r w:rsidR="005B51D6" w:rsidRPr="002E402A">
        <w:rPr>
          <w:rFonts w:ascii="Times New Roman" w:hAnsi="Times New Roman" w:cs="Times New Roman"/>
          <w:sz w:val="24"/>
          <w:szCs w:val="24"/>
        </w:rPr>
        <w:t xml:space="preserve"> verimlilik</w:t>
      </w:r>
      <w:r w:rsidR="004B6E73" w:rsidRPr="002E402A">
        <w:rPr>
          <w:rFonts w:ascii="Times New Roman" w:hAnsi="Times New Roman" w:cs="Times New Roman"/>
          <w:sz w:val="24"/>
          <w:szCs w:val="24"/>
        </w:rPr>
        <w:t xml:space="preserve"> farklılığı araştırılmıştır.</w:t>
      </w:r>
    </w:p>
    <w:p w:rsidR="00F01C9C" w:rsidRPr="000D64E0" w:rsidRDefault="000D64E0" w:rsidP="000D64E0">
      <w:pPr>
        <w:spacing w:line="240" w:lineRule="auto"/>
        <w:rPr>
          <w:rFonts w:ascii="Times New Roman" w:hAnsi="Times New Roman" w:cs="Times New Roman"/>
          <w:b/>
          <w:sz w:val="24"/>
          <w:szCs w:val="24"/>
        </w:rPr>
      </w:pPr>
      <w:r>
        <w:rPr>
          <w:rFonts w:ascii="Times New Roman" w:hAnsi="Times New Roman" w:cs="Times New Roman"/>
          <w:b/>
          <w:sz w:val="24"/>
          <w:szCs w:val="24"/>
        </w:rPr>
        <w:t>2.</w:t>
      </w:r>
      <w:r w:rsidR="00114567" w:rsidRPr="000D64E0">
        <w:rPr>
          <w:rFonts w:ascii="Times New Roman" w:hAnsi="Times New Roman" w:cs="Times New Roman"/>
          <w:b/>
          <w:sz w:val="24"/>
          <w:szCs w:val="24"/>
        </w:rPr>
        <w:t>LİTERATÜR</w:t>
      </w:r>
      <w:r w:rsidR="00F01C9C" w:rsidRPr="000D64E0">
        <w:rPr>
          <w:rFonts w:ascii="Times New Roman" w:hAnsi="Times New Roman" w:cs="Times New Roman"/>
          <w:b/>
          <w:sz w:val="24"/>
          <w:szCs w:val="24"/>
        </w:rPr>
        <w:t xml:space="preserve"> TARAMASI</w:t>
      </w:r>
    </w:p>
    <w:p w:rsidR="00532F2B" w:rsidRPr="002E402A" w:rsidRDefault="000406D1" w:rsidP="000D64E0">
      <w:pPr>
        <w:spacing w:line="240" w:lineRule="auto"/>
        <w:rPr>
          <w:rFonts w:ascii="Times New Roman" w:hAnsi="Times New Roman" w:cs="Times New Roman"/>
          <w:sz w:val="24"/>
          <w:szCs w:val="24"/>
        </w:rPr>
      </w:pPr>
      <w:r w:rsidRPr="002E402A">
        <w:rPr>
          <w:rFonts w:ascii="Times New Roman" w:hAnsi="Times New Roman" w:cs="Times New Roman"/>
          <w:sz w:val="24"/>
          <w:szCs w:val="24"/>
        </w:rPr>
        <w:t>Literatür taramasında aracı kurum etkinliği</w:t>
      </w:r>
      <w:r w:rsidR="00DD3DC3" w:rsidRPr="002E402A">
        <w:rPr>
          <w:rFonts w:ascii="Times New Roman" w:hAnsi="Times New Roman" w:cs="Times New Roman"/>
          <w:sz w:val="24"/>
          <w:szCs w:val="24"/>
        </w:rPr>
        <w:t xml:space="preserve">nin incelemesi </w:t>
      </w:r>
      <w:r w:rsidR="008F0554" w:rsidRPr="002E402A">
        <w:rPr>
          <w:rFonts w:ascii="Times New Roman" w:hAnsi="Times New Roman" w:cs="Times New Roman"/>
          <w:sz w:val="24"/>
          <w:szCs w:val="24"/>
        </w:rPr>
        <w:t>ile ilgili çalışmalar</w:t>
      </w:r>
      <w:r w:rsidR="00011609" w:rsidRPr="002E402A">
        <w:rPr>
          <w:rFonts w:ascii="Times New Roman" w:hAnsi="Times New Roman" w:cs="Times New Roman"/>
          <w:sz w:val="24"/>
          <w:szCs w:val="24"/>
        </w:rPr>
        <w:t>ın çok</w:t>
      </w:r>
      <w:r w:rsidR="008F0554" w:rsidRPr="002E402A">
        <w:rPr>
          <w:rFonts w:ascii="Times New Roman" w:hAnsi="Times New Roman" w:cs="Times New Roman"/>
          <w:sz w:val="24"/>
          <w:szCs w:val="24"/>
        </w:rPr>
        <w:t xml:space="preserve"> sınırlı</w:t>
      </w:r>
      <w:r w:rsidR="00011609" w:rsidRPr="002E402A">
        <w:rPr>
          <w:rFonts w:ascii="Times New Roman" w:hAnsi="Times New Roman" w:cs="Times New Roman"/>
          <w:sz w:val="24"/>
          <w:szCs w:val="24"/>
        </w:rPr>
        <w:t xml:space="preserve"> olduğu </w:t>
      </w:r>
      <w:r w:rsidR="005B51D6" w:rsidRPr="002E402A">
        <w:rPr>
          <w:rFonts w:ascii="Times New Roman" w:hAnsi="Times New Roman" w:cs="Times New Roman"/>
          <w:sz w:val="24"/>
          <w:szCs w:val="24"/>
        </w:rPr>
        <w:t xml:space="preserve">buna </w:t>
      </w:r>
      <w:r w:rsidR="00E24A4B"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5B51D6" w:rsidRPr="002E402A">
        <w:rPr>
          <w:rFonts w:ascii="Times New Roman" w:hAnsi="Times New Roman" w:cs="Times New Roman"/>
          <w:sz w:val="24"/>
          <w:szCs w:val="24"/>
        </w:rPr>
        <w:t>şın</w:t>
      </w:r>
      <w:r w:rsidR="008F0554" w:rsidRPr="002E402A">
        <w:rPr>
          <w:rFonts w:ascii="Times New Roman" w:hAnsi="Times New Roman" w:cs="Times New Roman"/>
          <w:sz w:val="24"/>
          <w:szCs w:val="24"/>
        </w:rPr>
        <w:t>,</w:t>
      </w:r>
      <w:r w:rsidR="003D356B" w:rsidRPr="002E402A">
        <w:rPr>
          <w:rFonts w:ascii="Times New Roman" w:hAnsi="Times New Roman" w:cs="Times New Roman"/>
          <w:sz w:val="24"/>
          <w:szCs w:val="24"/>
        </w:rPr>
        <w:t xml:space="preserve"> bankacılık alanın</w:t>
      </w:r>
      <w:r w:rsidRPr="002E402A">
        <w:rPr>
          <w:rFonts w:ascii="Times New Roman" w:hAnsi="Times New Roman" w:cs="Times New Roman"/>
          <w:sz w:val="24"/>
          <w:szCs w:val="24"/>
        </w:rPr>
        <w:t xml:space="preserve">da VZA yöntemiyle </w:t>
      </w:r>
      <w:r w:rsidR="00467679" w:rsidRPr="002E402A">
        <w:rPr>
          <w:rFonts w:ascii="Times New Roman" w:hAnsi="Times New Roman" w:cs="Times New Roman"/>
          <w:sz w:val="24"/>
          <w:szCs w:val="24"/>
        </w:rPr>
        <w:t xml:space="preserve">etkinliklerinin ölçülmesi üzerine </w:t>
      </w:r>
      <w:r w:rsidRPr="002E402A">
        <w:rPr>
          <w:rFonts w:ascii="Times New Roman" w:hAnsi="Times New Roman" w:cs="Times New Roman"/>
          <w:sz w:val="24"/>
          <w:szCs w:val="24"/>
        </w:rPr>
        <w:t xml:space="preserve">çok sayıda çalışma bulunduğu </w:t>
      </w:r>
      <w:r w:rsidR="00DD3DC3" w:rsidRPr="002E402A">
        <w:rPr>
          <w:rFonts w:ascii="Times New Roman" w:hAnsi="Times New Roman" w:cs="Times New Roman"/>
          <w:sz w:val="24"/>
          <w:szCs w:val="24"/>
        </w:rPr>
        <w:t>görülmüş</w:t>
      </w:r>
      <w:r w:rsidR="00011609" w:rsidRPr="002E402A">
        <w:rPr>
          <w:rFonts w:ascii="Times New Roman" w:hAnsi="Times New Roman" w:cs="Times New Roman"/>
          <w:sz w:val="24"/>
          <w:szCs w:val="24"/>
        </w:rPr>
        <w:t>tür.</w:t>
      </w:r>
      <w:r w:rsidR="005B51D6" w:rsidRPr="002E402A">
        <w:rPr>
          <w:rFonts w:ascii="Times New Roman" w:hAnsi="Times New Roman" w:cs="Times New Roman"/>
          <w:sz w:val="24"/>
          <w:szCs w:val="24"/>
        </w:rPr>
        <w:t xml:space="preserve"> Aracı kurumlar ve bankalar finans sektörünün önemli aktörleri </w:t>
      </w:r>
      <w:r w:rsidR="005B51D6" w:rsidRPr="002E402A">
        <w:rPr>
          <w:rFonts w:ascii="Times New Roman" w:hAnsi="Times New Roman" w:cs="Times New Roman"/>
          <w:sz w:val="24"/>
          <w:szCs w:val="24"/>
        </w:rPr>
        <w:lastRenderedPageBreak/>
        <w:t xml:space="preserve">arasında yer almakta olup işleyiş açısından da birbirine yakın işletmelerdir. Bankalar, para piyasasında, fon arz edenler ile talep edenler arasında aracılık fonksiyonunu sağlayarak risk taşırken değerlerini maksimum yapmaya çalışan kurumlardır. Aracı kurumlar ise, uzun vadeli fonların </w:t>
      </w:r>
      <w:r w:rsidR="00E24A4B"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5B51D6" w:rsidRPr="002E402A">
        <w:rPr>
          <w:rFonts w:ascii="Times New Roman" w:hAnsi="Times New Roman" w:cs="Times New Roman"/>
          <w:sz w:val="24"/>
          <w:szCs w:val="24"/>
        </w:rPr>
        <w:t>şılandığı sermaye piyasasında fon arz ve talep edenler arasın</w:t>
      </w:r>
      <w:r w:rsidR="00E24A4B" w:rsidRPr="002E402A">
        <w:rPr>
          <w:rFonts w:ascii="Times New Roman" w:hAnsi="Times New Roman" w:cs="Times New Roman"/>
          <w:sz w:val="24"/>
          <w:szCs w:val="24"/>
        </w:rPr>
        <w:t>da aracılık fonk</w:t>
      </w:r>
      <w:r w:rsidR="005B51D6" w:rsidRPr="002E402A">
        <w:rPr>
          <w:rFonts w:ascii="Times New Roman" w:hAnsi="Times New Roman" w:cs="Times New Roman"/>
          <w:sz w:val="24"/>
          <w:szCs w:val="24"/>
        </w:rPr>
        <w:t>s</w:t>
      </w:r>
      <w:r w:rsidR="00E24A4B" w:rsidRPr="002E402A">
        <w:rPr>
          <w:rFonts w:ascii="Times New Roman" w:hAnsi="Times New Roman" w:cs="Times New Roman"/>
          <w:sz w:val="24"/>
          <w:szCs w:val="24"/>
        </w:rPr>
        <w:t>i</w:t>
      </w:r>
      <w:r w:rsidR="005B51D6" w:rsidRPr="002E402A">
        <w:rPr>
          <w:rFonts w:ascii="Times New Roman" w:hAnsi="Times New Roman" w:cs="Times New Roman"/>
          <w:sz w:val="24"/>
          <w:szCs w:val="24"/>
        </w:rPr>
        <w:t>yonu sağlar ve risk taşırken değerlerini maksimize etmeye çalışırlar. Dolayısıyla bu çalışmada</w:t>
      </w:r>
      <w:r w:rsidR="00763D4A" w:rsidRPr="002E402A">
        <w:rPr>
          <w:rFonts w:ascii="Times New Roman" w:hAnsi="Times New Roman" w:cs="Times New Roman"/>
          <w:sz w:val="24"/>
          <w:szCs w:val="24"/>
        </w:rPr>
        <w:t xml:space="preserve"> literatür taraması</w:t>
      </w:r>
      <w:r w:rsidR="005B51D6" w:rsidRPr="002E402A">
        <w:rPr>
          <w:rFonts w:ascii="Times New Roman" w:hAnsi="Times New Roman" w:cs="Times New Roman"/>
          <w:sz w:val="24"/>
          <w:szCs w:val="24"/>
        </w:rPr>
        <w:t xml:space="preserve"> sadece aracı kurumlar üzerine yapılan araştırmaları kapsamamakta bunun yanında finansal piyasalarda faaliyet göster</w:t>
      </w:r>
      <w:r w:rsidR="00763D4A" w:rsidRPr="002E402A">
        <w:rPr>
          <w:rFonts w:ascii="Times New Roman" w:hAnsi="Times New Roman" w:cs="Times New Roman"/>
          <w:sz w:val="24"/>
          <w:szCs w:val="24"/>
        </w:rPr>
        <w:t>en bankalar gibi diğer kurumlar</w:t>
      </w:r>
      <w:r w:rsidR="000D64E0">
        <w:rPr>
          <w:rFonts w:ascii="Times New Roman" w:hAnsi="Times New Roman" w:cs="Times New Roman"/>
          <w:sz w:val="24"/>
          <w:szCs w:val="24"/>
        </w:rPr>
        <w:t>ı</w:t>
      </w:r>
      <w:r w:rsidR="005B51D6" w:rsidRPr="002E402A">
        <w:rPr>
          <w:rFonts w:ascii="Times New Roman" w:hAnsi="Times New Roman" w:cs="Times New Roman"/>
          <w:sz w:val="24"/>
          <w:szCs w:val="24"/>
        </w:rPr>
        <w:t xml:space="preserve"> da içermektedir.</w:t>
      </w:r>
      <w:r w:rsidR="00763D4A" w:rsidRPr="002E402A">
        <w:rPr>
          <w:rFonts w:ascii="Times New Roman" w:hAnsi="Times New Roman" w:cs="Times New Roman"/>
          <w:sz w:val="24"/>
          <w:szCs w:val="24"/>
        </w:rPr>
        <w:t xml:space="preserve"> Öte yandan, çalışmada VZA yönetiminin kullanılıyor olması kullanılacak girdi ve çıktı değişkenlerinin sağlıklı tespit edilmesi açısından da önem taşımaktadır. Bu yüzden literatür taramasında bu hususa da dikkat edilmiştir.</w:t>
      </w:r>
    </w:p>
    <w:p w:rsidR="00285FA1" w:rsidRPr="002E402A" w:rsidRDefault="00285FA1" w:rsidP="000D64E0">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Aşağıda </w:t>
      </w:r>
      <w:r w:rsidR="00763D4A" w:rsidRPr="002E402A">
        <w:rPr>
          <w:rFonts w:ascii="Times New Roman" w:hAnsi="Times New Roman" w:cs="Times New Roman"/>
          <w:sz w:val="24"/>
          <w:szCs w:val="24"/>
        </w:rPr>
        <w:t>önemli noktaları özetlenen</w:t>
      </w:r>
      <w:r w:rsidR="00F1081F" w:rsidRPr="002E402A">
        <w:rPr>
          <w:rFonts w:ascii="Times New Roman" w:hAnsi="Times New Roman" w:cs="Times New Roman"/>
          <w:sz w:val="24"/>
          <w:szCs w:val="24"/>
        </w:rPr>
        <w:t xml:space="preserve"> </w:t>
      </w:r>
      <w:r w:rsidR="00426EB6" w:rsidRPr="002E402A">
        <w:rPr>
          <w:rFonts w:ascii="Times New Roman" w:hAnsi="Times New Roman" w:cs="Times New Roman"/>
          <w:sz w:val="24"/>
          <w:szCs w:val="24"/>
        </w:rPr>
        <w:t>finans alanındaki</w:t>
      </w:r>
      <w:r w:rsidR="00F1081F" w:rsidRPr="002E402A">
        <w:rPr>
          <w:rFonts w:ascii="Times New Roman" w:hAnsi="Times New Roman" w:cs="Times New Roman"/>
          <w:sz w:val="24"/>
          <w:szCs w:val="24"/>
        </w:rPr>
        <w:t xml:space="preserve"> </w:t>
      </w:r>
      <w:r w:rsidR="00917423" w:rsidRPr="002E402A">
        <w:rPr>
          <w:rFonts w:ascii="Times New Roman" w:hAnsi="Times New Roman" w:cs="Times New Roman"/>
          <w:sz w:val="24"/>
          <w:szCs w:val="24"/>
        </w:rPr>
        <w:t xml:space="preserve">örnek </w:t>
      </w:r>
      <w:r w:rsidR="00426EB6" w:rsidRPr="002E402A">
        <w:rPr>
          <w:rFonts w:ascii="Times New Roman" w:hAnsi="Times New Roman" w:cs="Times New Roman"/>
          <w:sz w:val="24"/>
          <w:szCs w:val="24"/>
        </w:rPr>
        <w:t>çalışmalar</w:t>
      </w:r>
      <w:r w:rsidR="00F1081F" w:rsidRPr="002E402A">
        <w:rPr>
          <w:rFonts w:ascii="Times New Roman" w:hAnsi="Times New Roman" w:cs="Times New Roman"/>
          <w:sz w:val="24"/>
          <w:szCs w:val="24"/>
        </w:rPr>
        <w:t>ın, dört</w:t>
      </w:r>
      <w:r w:rsidR="00763D4A" w:rsidRPr="002E402A">
        <w:rPr>
          <w:rFonts w:ascii="Times New Roman" w:hAnsi="Times New Roman" w:cs="Times New Roman"/>
          <w:sz w:val="24"/>
          <w:szCs w:val="24"/>
        </w:rPr>
        <w:t xml:space="preserve"> tanesi aracı kurum, bir tanesi de </w:t>
      </w:r>
      <w:r w:rsidR="00AD3A41" w:rsidRPr="002E402A">
        <w:rPr>
          <w:rFonts w:ascii="Times New Roman" w:hAnsi="Times New Roman" w:cs="Times New Roman"/>
          <w:sz w:val="24"/>
          <w:szCs w:val="24"/>
        </w:rPr>
        <w:t>yatırım ortaklığı</w:t>
      </w:r>
      <w:r w:rsidR="0089459D" w:rsidRPr="002E402A">
        <w:rPr>
          <w:rFonts w:ascii="Times New Roman" w:hAnsi="Times New Roman" w:cs="Times New Roman"/>
          <w:sz w:val="24"/>
          <w:szCs w:val="24"/>
        </w:rPr>
        <w:t xml:space="preserve"> üzerine olup </w:t>
      </w:r>
      <w:r w:rsidR="00763D4A" w:rsidRPr="002E402A">
        <w:rPr>
          <w:rFonts w:ascii="Times New Roman" w:hAnsi="Times New Roman" w:cs="Times New Roman"/>
          <w:sz w:val="24"/>
          <w:szCs w:val="24"/>
        </w:rPr>
        <w:t>geri</w:t>
      </w:r>
      <w:r w:rsidR="0089459D" w:rsidRPr="002E402A">
        <w:rPr>
          <w:rFonts w:ascii="Times New Roman" w:hAnsi="Times New Roman" w:cs="Times New Roman"/>
          <w:sz w:val="24"/>
          <w:szCs w:val="24"/>
        </w:rPr>
        <w:t xml:space="preserve"> kalan çalışmalar</w:t>
      </w:r>
      <w:r w:rsidRPr="002E402A">
        <w:rPr>
          <w:rFonts w:ascii="Times New Roman" w:hAnsi="Times New Roman" w:cs="Times New Roman"/>
          <w:sz w:val="24"/>
          <w:szCs w:val="24"/>
        </w:rPr>
        <w:t xml:space="preserve"> </w:t>
      </w:r>
      <w:r w:rsidR="00763D4A" w:rsidRPr="002E402A">
        <w:rPr>
          <w:rFonts w:ascii="Times New Roman" w:hAnsi="Times New Roman" w:cs="Times New Roman"/>
          <w:sz w:val="24"/>
          <w:szCs w:val="24"/>
        </w:rPr>
        <w:t>ise bankacılık alanına yönelik</w:t>
      </w:r>
      <w:r w:rsidRPr="002E402A">
        <w:rPr>
          <w:rFonts w:ascii="Times New Roman" w:hAnsi="Times New Roman" w:cs="Times New Roman"/>
          <w:sz w:val="24"/>
          <w:szCs w:val="24"/>
        </w:rPr>
        <w:t xml:space="preserve"> yapılmış</w:t>
      </w:r>
      <w:r w:rsidR="0089459D" w:rsidRPr="002E402A">
        <w:rPr>
          <w:rFonts w:ascii="Times New Roman" w:hAnsi="Times New Roman" w:cs="Times New Roman"/>
          <w:sz w:val="24"/>
          <w:szCs w:val="24"/>
        </w:rPr>
        <w:t>tır. E</w:t>
      </w:r>
      <w:r w:rsidRPr="002E402A">
        <w:rPr>
          <w:rFonts w:ascii="Times New Roman" w:hAnsi="Times New Roman" w:cs="Times New Roman"/>
          <w:sz w:val="24"/>
          <w:szCs w:val="24"/>
        </w:rPr>
        <w:t xml:space="preserve">tkinlik ölçümlerinde farklı kriterlere göre inceleme yapıldığı ve genelinde girdi ve çıktı esaslarına göre </w:t>
      </w:r>
      <w:r w:rsidR="00CF3B24" w:rsidRPr="002E402A">
        <w:rPr>
          <w:rFonts w:ascii="Times New Roman" w:hAnsi="Times New Roman" w:cs="Times New Roman"/>
          <w:sz w:val="24"/>
          <w:szCs w:val="24"/>
        </w:rPr>
        <w:t xml:space="preserve">etkin </w:t>
      </w:r>
      <w:r w:rsidR="00763D4A" w:rsidRPr="002E402A">
        <w:rPr>
          <w:rFonts w:ascii="Times New Roman" w:hAnsi="Times New Roman" w:cs="Times New Roman"/>
          <w:sz w:val="24"/>
          <w:szCs w:val="24"/>
        </w:rPr>
        <w:t xml:space="preserve">olup </w:t>
      </w:r>
      <w:r w:rsidR="00CF3B24" w:rsidRPr="002E402A">
        <w:rPr>
          <w:rFonts w:ascii="Times New Roman" w:hAnsi="Times New Roman" w:cs="Times New Roman"/>
          <w:sz w:val="24"/>
          <w:szCs w:val="24"/>
        </w:rPr>
        <w:t>ol</w:t>
      </w:r>
      <w:r w:rsidRPr="002E402A">
        <w:rPr>
          <w:rFonts w:ascii="Times New Roman" w:hAnsi="Times New Roman" w:cs="Times New Roman"/>
          <w:sz w:val="24"/>
          <w:szCs w:val="24"/>
        </w:rPr>
        <w:t>madığı</w:t>
      </w:r>
      <w:r w:rsidR="00763D4A" w:rsidRPr="002E402A">
        <w:rPr>
          <w:rFonts w:ascii="Times New Roman" w:hAnsi="Times New Roman" w:cs="Times New Roman"/>
          <w:sz w:val="24"/>
          <w:szCs w:val="24"/>
        </w:rPr>
        <w:t>nın araştırıldığı gözlemlenmiştir</w:t>
      </w:r>
      <w:r w:rsidRPr="002E402A">
        <w:rPr>
          <w:rFonts w:ascii="Times New Roman" w:hAnsi="Times New Roman" w:cs="Times New Roman"/>
          <w:sz w:val="24"/>
          <w:szCs w:val="24"/>
        </w:rPr>
        <w:t>.</w:t>
      </w:r>
      <w:r w:rsidR="00FC54EE" w:rsidRPr="002E402A">
        <w:rPr>
          <w:rFonts w:ascii="Times New Roman" w:hAnsi="Times New Roman" w:cs="Times New Roman"/>
          <w:sz w:val="24"/>
          <w:szCs w:val="24"/>
        </w:rPr>
        <w:t xml:space="preserve"> Bu</w:t>
      </w:r>
      <w:r w:rsidR="00763D4A" w:rsidRPr="002E402A">
        <w:rPr>
          <w:rFonts w:ascii="Times New Roman" w:hAnsi="Times New Roman" w:cs="Times New Roman"/>
          <w:sz w:val="24"/>
          <w:szCs w:val="24"/>
        </w:rPr>
        <w:t xml:space="preserve"> çalışmalar ışığında</w:t>
      </w:r>
      <w:r w:rsidR="00BB5E86" w:rsidRPr="002E402A">
        <w:rPr>
          <w:rFonts w:ascii="Times New Roman" w:hAnsi="Times New Roman" w:cs="Times New Roman"/>
          <w:sz w:val="24"/>
          <w:szCs w:val="24"/>
        </w:rPr>
        <w:t xml:space="preserve"> etkinlik ve verimliliğin incelenmesinde esas alınan girdi ve çıktı </w:t>
      </w:r>
      <w:r w:rsidR="00763D4A" w:rsidRPr="002E402A">
        <w:rPr>
          <w:rFonts w:ascii="Times New Roman" w:hAnsi="Times New Roman" w:cs="Times New Roman"/>
          <w:sz w:val="24"/>
          <w:szCs w:val="24"/>
        </w:rPr>
        <w:t>değişkenlerine</w:t>
      </w:r>
      <w:r w:rsidR="00BB5E86" w:rsidRPr="002E402A">
        <w:rPr>
          <w:rFonts w:ascii="Times New Roman" w:hAnsi="Times New Roman" w:cs="Times New Roman"/>
          <w:sz w:val="24"/>
          <w:szCs w:val="24"/>
        </w:rPr>
        <w:t xml:space="preserve"> </w:t>
      </w:r>
      <w:r w:rsidR="007210D2" w:rsidRPr="002E402A">
        <w:rPr>
          <w:rFonts w:ascii="Times New Roman" w:hAnsi="Times New Roman" w:cs="Times New Roman"/>
          <w:sz w:val="24"/>
          <w:szCs w:val="24"/>
        </w:rPr>
        <w:t>karar</w:t>
      </w:r>
      <w:r w:rsidR="00BB5E86" w:rsidRPr="002E402A">
        <w:rPr>
          <w:rFonts w:ascii="Times New Roman" w:hAnsi="Times New Roman" w:cs="Times New Roman"/>
          <w:sz w:val="24"/>
          <w:szCs w:val="24"/>
        </w:rPr>
        <w:t xml:space="preserve"> verilmiştir.</w:t>
      </w:r>
    </w:p>
    <w:p w:rsidR="00485F40" w:rsidRPr="002E402A" w:rsidRDefault="00A82433" w:rsidP="00626395">
      <w:pPr>
        <w:spacing w:line="240" w:lineRule="auto"/>
        <w:rPr>
          <w:rFonts w:ascii="Times New Roman" w:hAnsi="Times New Roman" w:cs="Times New Roman"/>
          <w:sz w:val="24"/>
          <w:szCs w:val="24"/>
        </w:rPr>
      </w:pPr>
      <w:r w:rsidRPr="002E402A">
        <w:rPr>
          <w:rFonts w:ascii="Times New Roman" w:hAnsi="Times New Roman" w:cs="Times New Roman"/>
          <w:sz w:val="24"/>
          <w:szCs w:val="24"/>
        </w:rPr>
        <w:t>Gündüz v</w:t>
      </w:r>
      <w:r w:rsidR="0082671B" w:rsidRPr="002E402A">
        <w:rPr>
          <w:rFonts w:ascii="Times New Roman" w:hAnsi="Times New Roman" w:cs="Times New Roman"/>
          <w:sz w:val="24"/>
          <w:szCs w:val="24"/>
        </w:rPr>
        <w:t>e diğerleri</w:t>
      </w:r>
      <w:r w:rsidRPr="002E402A">
        <w:rPr>
          <w:rFonts w:ascii="Times New Roman" w:hAnsi="Times New Roman" w:cs="Times New Roman"/>
          <w:sz w:val="24"/>
          <w:szCs w:val="24"/>
        </w:rPr>
        <w:t>nin (Gündüz</w:t>
      </w:r>
      <w:r w:rsidR="00626395">
        <w:rPr>
          <w:rFonts w:ascii="Times New Roman" w:hAnsi="Times New Roman" w:cs="Times New Roman"/>
          <w:sz w:val="24"/>
          <w:szCs w:val="24"/>
        </w:rPr>
        <w:t>, Yılmaz ve Yılmaz, 2001: 38-53</w:t>
      </w:r>
      <w:r w:rsidRPr="002E402A">
        <w:rPr>
          <w:rFonts w:ascii="Times New Roman" w:hAnsi="Times New Roman" w:cs="Times New Roman"/>
          <w:sz w:val="24"/>
          <w:szCs w:val="24"/>
        </w:rPr>
        <w:t>) çalışmasında, 105 aracı kurumdan ancak 11 tanesinin mali tablo verileri ve borsa işle</w:t>
      </w:r>
      <w:r w:rsidR="00ED3D17" w:rsidRPr="002E402A">
        <w:rPr>
          <w:rFonts w:ascii="Times New Roman" w:hAnsi="Times New Roman" w:cs="Times New Roman"/>
          <w:sz w:val="24"/>
          <w:szCs w:val="24"/>
        </w:rPr>
        <w:t>m hacmi bilgilerine ulaşılmı</w:t>
      </w:r>
      <w:r w:rsidRPr="002E402A">
        <w:rPr>
          <w:rFonts w:ascii="Times New Roman" w:hAnsi="Times New Roman" w:cs="Times New Roman"/>
          <w:sz w:val="24"/>
          <w:szCs w:val="24"/>
        </w:rPr>
        <w:t xml:space="preserve">ş ve 1997-1998 yılları dönemi için VZA yöntemi kullanılmıştır. </w:t>
      </w:r>
      <w:r w:rsidR="00DF3D26" w:rsidRPr="002E402A">
        <w:rPr>
          <w:rFonts w:ascii="Times New Roman" w:hAnsi="Times New Roman" w:cs="Times New Roman"/>
          <w:sz w:val="24"/>
          <w:szCs w:val="24"/>
        </w:rPr>
        <w:t>Girdi olarak</w:t>
      </w:r>
      <w:r w:rsidR="00D5464F" w:rsidRPr="002E402A">
        <w:rPr>
          <w:rFonts w:ascii="Times New Roman" w:hAnsi="Times New Roman" w:cs="Times New Roman"/>
          <w:sz w:val="24"/>
          <w:szCs w:val="24"/>
        </w:rPr>
        <w:t>,</w:t>
      </w:r>
      <w:r w:rsidR="00DF3D26" w:rsidRPr="002E402A">
        <w:rPr>
          <w:rFonts w:ascii="Times New Roman" w:hAnsi="Times New Roman" w:cs="Times New Roman"/>
          <w:sz w:val="24"/>
          <w:szCs w:val="24"/>
        </w:rPr>
        <w:t xml:space="preserve"> </w:t>
      </w:r>
      <w:r w:rsidR="00485F40" w:rsidRPr="002E402A">
        <w:rPr>
          <w:rFonts w:ascii="Times New Roman" w:hAnsi="Times New Roman" w:cs="Times New Roman"/>
          <w:sz w:val="24"/>
          <w:szCs w:val="24"/>
        </w:rPr>
        <w:t xml:space="preserve">sermaye, </w:t>
      </w:r>
      <w:r w:rsidR="00DF3D26" w:rsidRPr="002E402A">
        <w:rPr>
          <w:rFonts w:ascii="Times New Roman" w:hAnsi="Times New Roman" w:cs="Times New Roman"/>
          <w:sz w:val="24"/>
          <w:szCs w:val="24"/>
        </w:rPr>
        <w:t>genel yönetim giderleri ve toplam aktifler olmak üzer</w:t>
      </w:r>
      <w:r w:rsidR="00281A54" w:rsidRPr="002E402A">
        <w:rPr>
          <w:rFonts w:ascii="Times New Roman" w:hAnsi="Times New Roman" w:cs="Times New Roman"/>
          <w:sz w:val="24"/>
          <w:szCs w:val="24"/>
        </w:rPr>
        <w:t>e üç</w:t>
      </w:r>
      <w:r w:rsidR="00485F40" w:rsidRPr="002E402A">
        <w:rPr>
          <w:rFonts w:ascii="Times New Roman" w:hAnsi="Times New Roman" w:cs="Times New Roman"/>
          <w:sz w:val="24"/>
          <w:szCs w:val="24"/>
        </w:rPr>
        <w:t xml:space="preserve"> değişken kullanılmış olup, ç</w:t>
      </w:r>
      <w:r w:rsidR="00626395">
        <w:rPr>
          <w:rFonts w:ascii="Times New Roman" w:hAnsi="Times New Roman" w:cs="Times New Roman"/>
          <w:sz w:val="24"/>
          <w:szCs w:val="24"/>
        </w:rPr>
        <w:t>ıktı olarak ise</w:t>
      </w:r>
      <w:r w:rsidR="00DF3D26" w:rsidRPr="002E402A">
        <w:rPr>
          <w:rFonts w:ascii="Times New Roman" w:hAnsi="Times New Roman" w:cs="Times New Roman"/>
          <w:sz w:val="24"/>
          <w:szCs w:val="24"/>
        </w:rPr>
        <w:t xml:space="preserve"> komisyon </w:t>
      </w:r>
      <w:r w:rsidR="00485F40" w:rsidRPr="002E402A">
        <w:rPr>
          <w:rFonts w:ascii="Times New Roman" w:hAnsi="Times New Roman" w:cs="Times New Roman"/>
          <w:sz w:val="24"/>
          <w:szCs w:val="24"/>
        </w:rPr>
        <w:t>kullanılmıştır.</w:t>
      </w:r>
      <w:r w:rsidR="00047390" w:rsidRPr="002E402A">
        <w:rPr>
          <w:rFonts w:ascii="Times New Roman" w:hAnsi="Times New Roman" w:cs="Times New Roman"/>
          <w:sz w:val="24"/>
          <w:szCs w:val="24"/>
        </w:rPr>
        <w:t xml:space="preserve"> </w:t>
      </w:r>
      <w:r w:rsidR="00B13CB4" w:rsidRPr="002E402A">
        <w:rPr>
          <w:rFonts w:ascii="Times New Roman" w:hAnsi="Times New Roman" w:cs="Times New Roman"/>
          <w:sz w:val="24"/>
          <w:szCs w:val="24"/>
        </w:rPr>
        <w:t>S</w:t>
      </w:r>
      <w:r w:rsidR="001D0542" w:rsidRPr="002E402A">
        <w:rPr>
          <w:rFonts w:ascii="Times New Roman" w:hAnsi="Times New Roman" w:cs="Times New Roman"/>
          <w:sz w:val="24"/>
          <w:szCs w:val="24"/>
        </w:rPr>
        <w:t>istemdeki</w:t>
      </w:r>
      <w:r w:rsidR="000C5DA3" w:rsidRPr="002E402A">
        <w:rPr>
          <w:rFonts w:ascii="Times New Roman" w:hAnsi="Times New Roman" w:cs="Times New Roman"/>
          <w:sz w:val="24"/>
          <w:szCs w:val="24"/>
        </w:rPr>
        <w:t xml:space="preserve"> %</w:t>
      </w:r>
      <w:r w:rsidR="00626395">
        <w:rPr>
          <w:rFonts w:ascii="Times New Roman" w:hAnsi="Times New Roman" w:cs="Times New Roman"/>
          <w:sz w:val="24"/>
          <w:szCs w:val="24"/>
        </w:rPr>
        <w:t xml:space="preserve"> </w:t>
      </w:r>
      <w:r w:rsidR="000C5DA3" w:rsidRPr="002E402A">
        <w:rPr>
          <w:rFonts w:ascii="Times New Roman" w:hAnsi="Times New Roman" w:cs="Times New Roman"/>
          <w:sz w:val="24"/>
          <w:szCs w:val="24"/>
        </w:rPr>
        <w:t>60’lık paya sahip olan 11</w:t>
      </w:r>
      <w:r w:rsidR="001D0542" w:rsidRPr="002E402A">
        <w:rPr>
          <w:rFonts w:ascii="Times New Roman" w:hAnsi="Times New Roman" w:cs="Times New Roman"/>
          <w:sz w:val="24"/>
          <w:szCs w:val="24"/>
        </w:rPr>
        <w:t xml:space="preserve"> aracı kurumdan yıllar itibariyle 4 ile 6 tanesinin etkin çalıştığı sonucuna ulaşılmıştır. </w:t>
      </w:r>
    </w:p>
    <w:p w:rsidR="00EC22AE" w:rsidRPr="002E402A" w:rsidRDefault="008E5E55" w:rsidP="00626395">
      <w:pPr>
        <w:spacing w:line="240" w:lineRule="auto"/>
        <w:rPr>
          <w:rFonts w:ascii="Times New Roman" w:hAnsi="Times New Roman" w:cs="Times New Roman"/>
          <w:sz w:val="24"/>
          <w:szCs w:val="24"/>
        </w:rPr>
      </w:pPr>
      <w:r w:rsidRPr="002E402A">
        <w:rPr>
          <w:rFonts w:ascii="Times New Roman" w:hAnsi="Times New Roman" w:cs="Times New Roman"/>
          <w:sz w:val="24"/>
          <w:szCs w:val="24"/>
        </w:rPr>
        <w:t>Duranlar</w:t>
      </w:r>
      <w:r w:rsidR="0025505D" w:rsidRPr="002E402A">
        <w:rPr>
          <w:rFonts w:ascii="Times New Roman" w:hAnsi="Times New Roman" w:cs="Times New Roman"/>
          <w:sz w:val="24"/>
          <w:szCs w:val="24"/>
        </w:rPr>
        <w:t xml:space="preserve"> </w:t>
      </w:r>
      <w:r w:rsidR="00576243" w:rsidRPr="002E402A">
        <w:rPr>
          <w:rFonts w:ascii="Times New Roman" w:hAnsi="Times New Roman" w:cs="Times New Roman"/>
          <w:sz w:val="24"/>
          <w:szCs w:val="24"/>
        </w:rPr>
        <w:t>(</w:t>
      </w:r>
      <w:r w:rsidR="0025505D" w:rsidRPr="002E402A">
        <w:rPr>
          <w:rFonts w:ascii="Times New Roman" w:hAnsi="Times New Roman" w:cs="Times New Roman"/>
          <w:sz w:val="24"/>
          <w:szCs w:val="24"/>
        </w:rPr>
        <w:t xml:space="preserve">Duranlar, </w:t>
      </w:r>
      <w:r w:rsidR="00576243" w:rsidRPr="002E402A">
        <w:rPr>
          <w:rFonts w:ascii="Times New Roman" w:hAnsi="Times New Roman" w:cs="Times New Roman"/>
          <w:sz w:val="24"/>
          <w:szCs w:val="24"/>
        </w:rPr>
        <w:t xml:space="preserve">2006) </w:t>
      </w:r>
      <w:r w:rsidRPr="002E402A">
        <w:rPr>
          <w:rFonts w:ascii="Times New Roman" w:hAnsi="Times New Roman" w:cs="Times New Roman"/>
          <w:sz w:val="24"/>
          <w:szCs w:val="24"/>
        </w:rPr>
        <w:t>tarafından</w:t>
      </w:r>
      <w:r w:rsidR="00385714" w:rsidRPr="002E402A">
        <w:rPr>
          <w:rFonts w:ascii="Times New Roman" w:hAnsi="Times New Roman" w:cs="Times New Roman"/>
          <w:sz w:val="24"/>
          <w:szCs w:val="24"/>
        </w:rPr>
        <w:t xml:space="preserve">, </w:t>
      </w:r>
      <w:r w:rsidR="005E362D" w:rsidRPr="002E402A">
        <w:rPr>
          <w:rFonts w:ascii="Times New Roman" w:hAnsi="Times New Roman" w:cs="Times New Roman"/>
          <w:sz w:val="24"/>
          <w:szCs w:val="24"/>
        </w:rPr>
        <w:t xml:space="preserve"> 1999-2003 yılları döneminde finansal veriler ve faaliyet bilgileri kullanılarak aracı kurumların performansları</w:t>
      </w:r>
      <w:r w:rsidR="007A08A8" w:rsidRPr="002E402A">
        <w:rPr>
          <w:rFonts w:ascii="Times New Roman" w:hAnsi="Times New Roman" w:cs="Times New Roman"/>
          <w:sz w:val="24"/>
          <w:szCs w:val="24"/>
        </w:rPr>
        <w:t xml:space="preserve"> oran analizi</w:t>
      </w:r>
      <w:r w:rsidR="00EC3DEC" w:rsidRPr="002E402A">
        <w:rPr>
          <w:rFonts w:ascii="Times New Roman" w:hAnsi="Times New Roman" w:cs="Times New Roman"/>
          <w:sz w:val="24"/>
          <w:szCs w:val="24"/>
        </w:rPr>
        <w:t xml:space="preserve"> ile </w:t>
      </w:r>
      <w:r w:rsidR="00D319A8" w:rsidRPr="002E402A">
        <w:rPr>
          <w:rFonts w:ascii="Times New Roman" w:hAnsi="Times New Roman" w:cs="Times New Roman"/>
          <w:sz w:val="24"/>
          <w:szCs w:val="24"/>
        </w:rPr>
        <w:t>incelen</w:t>
      </w:r>
      <w:r w:rsidR="00255C84" w:rsidRPr="002E402A">
        <w:rPr>
          <w:rFonts w:ascii="Times New Roman" w:hAnsi="Times New Roman" w:cs="Times New Roman"/>
          <w:sz w:val="24"/>
          <w:szCs w:val="24"/>
        </w:rPr>
        <w:t>miş</w:t>
      </w:r>
      <w:r w:rsidR="005E362D" w:rsidRPr="002E402A">
        <w:rPr>
          <w:rFonts w:ascii="Times New Roman" w:hAnsi="Times New Roman" w:cs="Times New Roman"/>
          <w:sz w:val="24"/>
          <w:szCs w:val="24"/>
        </w:rPr>
        <w:t>tir</w:t>
      </w:r>
      <w:r w:rsidR="00255C84" w:rsidRPr="002E402A">
        <w:rPr>
          <w:rFonts w:ascii="Times New Roman" w:hAnsi="Times New Roman" w:cs="Times New Roman"/>
          <w:sz w:val="24"/>
          <w:szCs w:val="24"/>
        </w:rPr>
        <w:t>.</w:t>
      </w:r>
      <w:r w:rsidR="0001181D" w:rsidRPr="002E402A">
        <w:rPr>
          <w:rFonts w:ascii="Times New Roman" w:hAnsi="Times New Roman" w:cs="Times New Roman"/>
          <w:sz w:val="24"/>
          <w:szCs w:val="24"/>
        </w:rPr>
        <w:t xml:space="preserve"> </w:t>
      </w:r>
      <w:r w:rsidR="00355866" w:rsidRPr="002E402A">
        <w:rPr>
          <w:rFonts w:ascii="Times New Roman" w:hAnsi="Times New Roman" w:cs="Times New Roman"/>
          <w:sz w:val="24"/>
          <w:szCs w:val="24"/>
        </w:rPr>
        <w:t>K</w:t>
      </w:r>
      <w:r w:rsidR="00B968E6" w:rsidRPr="002E402A">
        <w:rPr>
          <w:rFonts w:ascii="Times New Roman" w:hAnsi="Times New Roman" w:cs="Times New Roman"/>
          <w:sz w:val="24"/>
          <w:szCs w:val="24"/>
        </w:rPr>
        <w:t>işi başına düşen milli gelir arttırılarak tasarruf hacminin yükseltilmesi, sermaye arzının arttırılması</w:t>
      </w:r>
      <w:r w:rsidR="00906693" w:rsidRPr="002E402A">
        <w:rPr>
          <w:rFonts w:ascii="Times New Roman" w:hAnsi="Times New Roman" w:cs="Times New Roman"/>
          <w:sz w:val="24"/>
          <w:szCs w:val="24"/>
        </w:rPr>
        <w:t>,</w:t>
      </w:r>
      <w:r w:rsidR="00B968E6" w:rsidRPr="002E402A">
        <w:rPr>
          <w:rFonts w:ascii="Times New Roman" w:hAnsi="Times New Roman" w:cs="Times New Roman"/>
          <w:sz w:val="24"/>
          <w:szCs w:val="24"/>
        </w:rPr>
        <w:t xml:space="preserve"> mali sektörün güçlendirilmesi</w:t>
      </w:r>
      <w:r w:rsidR="00906693" w:rsidRPr="002E402A">
        <w:rPr>
          <w:rFonts w:ascii="Times New Roman" w:hAnsi="Times New Roman" w:cs="Times New Roman"/>
          <w:sz w:val="24"/>
          <w:szCs w:val="24"/>
        </w:rPr>
        <w:t>, aracı kurum sayısı azaltılıp piyasadaki risklerle birlikte taahhüt edeceği garanti fonu kurulması, kurumsal yatırım tabanının gelişmesi, yatırımcıların ilgisinin arttırılması, TMSF’ye devrolunan bankalar içinde aracı kurumların faaliyetlerinin durumunun açıkça belirtilmesi, aracı kurumlarda çalışan personelin eğitim kalitesi</w:t>
      </w:r>
      <w:r w:rsidR="00794C56" w:rsidRPr="002E402A">
        <w:rPr>
          <w:rFonts w:ascii="Times New Roman" w:hAnsi="Times New Roman" w:cs="Times New Roman"/>
          <w:sz w:val="24"/>
          <w:szCs w:val="24"/>
        </w:rPr>
        <w:t>nin</w:t>
      </w:r>
      <w:r w:rsidR="00906693" w:rsidRPr="002E402A">
        <w:rPr>
          <w:rFonts w:ascii="Times New Roman" w:hAnsi="Times New Roman" w:cs="Times New Roman"/>
          <w:sz w:val="24"/>
          <w:szCs w:val="24"/>
        </w:rPr>
        <w:t xml:space="preserve"> arttırılması gerektiği</w:t>
      </w:r>
      <w:r w:rsidR="00CE1EB2" w:rsidRPr="002E402A">
        <w:rPr>
          <w:rFonts w:ascii="Times New Roman" w:hAnsi="Times New Roman" w:cs="Times New Roman"/>
          <w:sz w:val="24"/>
          <w:szCs w:val="24"/>
        </w:rPr>
        <w:t xml:space="preserve"> </w:t>
      </w:r>
      <w:r w:rsidR="00AD21DE" w:rsidRPr="002E402A">
        <w:rPr>
          <w:rFonts w:ascii="Times New Roman" w:hAnsi="Times New Roman" w:cs="Times New Roman"/>
          <w:sz w:val="24"/>
          <w:szCs w:val="24"/>
        </w:rPr>
        <w:t>ifade edilmiş</w:t>
      </w:r>
      <w:r w:rsidR="00DC6DC8" w:rsidRPr="002E402A">
        <w:rPr>
          <w:rFonts w:ascii="Times New Roman" w:hAnsi="Times New Roman" w:cs="Times New Roman"/>
          <w:sz w:val="24"/>
          <w:szCs w:val="24"/>
        </w:rPr>
        <w:t>tir. B</w:t>
      </w:r>
      <w:r w:rsidR="00B968E6" w:rsidRPr="002E402A">
        <w:rPr>
          <w:rFonts w:ascii="Times New Roman" w:hAnsi="Times New Roman" w:cs="Times New Roman"/>
          <w:sz w:val="24"/>
          <w:szCs w:val="24"/>
        </w:rPr>
        <w:t>orsada işlem gören şirket sayısının yeterli sayıda olma</w:t>
      </w:r>
      <w:r w:rsidR="00906693" w:rsidRPr="002E402A">
        <w:rPr>
          <w:rFonts w:ascii="Times New Roman" w:hAnsi="Times New Roman" w:cs="Times New Roman"/>
          <w:sz w:val="24"/>
          <w:szCs w:val="24"/>
        </w:rPr>
        <w:t xml:space="preserve">dığı, </w:t>
      </w:r>
      <w:r w:rsidR="00B968E6" w:rsidRPr="002E402A">
        <w:rPr>
          <w:rFonts w:ascii="Times New Roman" w:hAnsi="Times New Roman" w:cs="Times New Roman"/>
          <w:sz w:val="24"/>
          <w:szCs w:val="24"/>
        </w:rPr>
        <w:t>halka açıklık oranlarının düşük</w:t>
      </w:r>
      <w:r w:rsidR="00906693" w:rsidRPr="002E402A">
        <w:rPr>
          <w:rFonts w:ascii="Times New Roman" w:hAnsi="Times New Roman" w:cs="Times New Roman"/>
          <w:sz w:val="24"/>
          <w:szCs w:val="24"/>
        </w:rPr>
        <w:t xml:space="preserve"> olduğu</w:t>
      </w:r>
      <w:r w:rsidR="00B968E6" w:rsidRPr="002E402A">
        <w:rPr>
          <w:rFonts w:ascii="Times New Roman" w:hAnsi="Times New Roman" w:cs="Times New Roman"/>
          <w:sz w:val="24"/>
          <w:szCs w:val="24"/>
        </w:rPr>
        <w:t xml:space="preserve"> ve azınlık haklarının yeterince korunma</w:t>
      </w:r>
      <w:r w:rsidR="00CE1EB2" w:rsidRPr="002E402A">
        <w:rPr>
          <w:rFonts w:ascii="Times New Roman" w:hAnsi="Times New Roman" w:cs="Times New Roman"/>
          <w:sz w:val="24"/>
          <w:szCs w:val="24"/>
        </w:rPr>
        <w:t>dığı belirtil</w:t>
      </w:r>
      <w:r w:rsidR="00906693" w:rsidRPr="002E402A">
        <w:rPr>
          <w:rFonts w:ascii="Times New Roman" w:hAnsi="Times New Roman" w:cs="Times New Roman"/>
          <w:sz w:val="24"/>
          <w:szCs w:val="24"/>
        </w:rPr>
        <w:t>miştir.</w:t>
      </w:r>
    </w:p>
    <w:p w:rsidR="003322E9" w:rsidRPr="002E402A" w:rsidRDefault="00B8078C" w:rsidP="00626395">
      <w:pPr>
        <w:spacing w:line="240" w:lineRule="auto"/>
        <w:rPr>
          <w:rFonts w:ascii="Times New Roman" w:hAnsi="Times New Roman" w:cs="Times New Roman"/>
          <w:sz w:val="24"/>
          <w:szCs w:val="24"/>
        </w:rPr>
      </w:pPr>
      <w:r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3322E9" w:rsidRPr="002E402A">
        <w:rPr>
          <w:rFonts w:ascii="Times New Roman" w:hAnsi="Times New Roman" w:cs="Times New Roman"/>
          <w:sz w:val="24"/>
          <w:szCs w:val="24"/>
        </w:rPr>
        <w:t xml:space="preserve">an ve </w:t>
      </w:r>
      <w:r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3322E9" w:rsidRPr="002E402A">
        <w:rPr>
          <w:rFonts w:ascii="Times New Roman" w:hAnsi="Times New Roman" w:cs="Times New Roman"/>
          <w:sz w:val="24"/>
          <w:szCs w:val="24"/>
        </w:rPr>
        <w:t>acabey’in (</w:t>
      </w:r>
      <w:r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356797" w:rsidRPr="002E402A">
        <w:rPr>
          <w:rFonts w:ascii="Times New Roman" w:hAnsi="Times New Roman" w:cs="Times New Roman"/>
          <w:sz w:val="24"/>
          <w:szCs w:val="24"/>
        </w:rPr>
        <w:t xml:space="preserve">an ve </w:t>
      </w:r>
      <w:r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356797" w:rsidRPr="002E402A">
        <w:rPr>
          <w:rFonts w:ascii="Times New Roman" w:hAnsi="Times New Roman" w:cs="Times New Roman"/>
          <w:sz w:val="24"/>
          <w:szCs w:val="24"/>
        </w:rPr>
        <w:t xml:space="preserve">acabey, </w:t>
      </w:r>
      <w:r w:rsidR="003322E9" w:rsidRPr="002E402A">
        <w:rPr>
          <w:rFonts w:ascii="Times New Roman" w:hAnsi="Times New Roman" w:cs="Times New Roman"/>
          <w:sz w:val="24"/>
          <w:szCs w:val="24"/>
        </w:rPr>
        <w:t>2003) çalışmasında, aracı kurumların 1992-2001 yılları arasındaki verileri kullanılarak etkinlik ölçülmüştür. Analiz</w:t>
      </w:r>
      <w:r w:rsidR="005B7C68" w:rsidRPr="002E402A">
        <w:rPr>
          <w:rFonts w:ascii="Times New Roman" w:hAnsi="Times New Roman" w:cs="Times New Roman"/>
          <w:sz w:val="24"/>
          <w:szCs w:val="24"/>
        </w:rPr>
        <w:t>in</w:t>
      </w:r>
      <w:r w:rsidR="003322E9" w:rsidRPr="002E402A">
        <w:rPr>
          <w:rFonts w:ascii="Times New Roman" w:hAnsi="Times New Roman" w:cs="Times New Roman"/>
          <w:sz w:val="24"/>
          <w:szCs w:val="24"/>
        </w:rPr>
        <w:t xml:space="preserve"> girdileri; personel ve şube sayıları ile sermaye miktarıdır.  Çıktıları</w:t>
      </w:r>
      <w:r w:rsidR="005B7C68" w:rsidRPr="002E402A">
        <w:rPr>
          <w:rFonts w:ascii="Times New Roman" w:hAnsi="Times New Roman" w:cs="Times New Roman"/>
          <w:sz w:val="24"/>
          <w:szCs w:val="24"/>
        </w:rPr>
        <w:t xml:space="preserve"> ise</w:t>
      </w:r>
      <w:r w:rsidR="003322E9" w:rsidRPr="002E402A">
        <w:rPr>
          <w:rFonts w:ascii="Times New Roman" w:hAnsi="Times New Roman" w:cs="Times New Roman"/>
          <w:sz w:val="24"/>
          <w:szCs w:val="24"/>
        </w:rPr>
        <w:t xml:space="preserve">; işlem hacmi ve bakiyeli hesap sayısıdır. Tahmin sonuçlarında ortalama etkinliğin oldukça düşük olduğu gözlemlenmiştir. Çalışmadaki 116 aracı kurumdan sadece 4 tanesi tam etkin bulunmuştur. </w:t>
      </w:r>
    </w:p>
    <w:p w:rsidR="003322E9" w:rsidRPr="002E402A" w:rsidRDefault="000B139C" w:rsidP="00626395">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Aktaş ve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Pr="002E402A">
        <w:rPr>
          <w:rFonts w:ascii="Times New Roman" w:hAnsi="Times New Roman" w:cs="Times New Roman"/>
          <w:sz w:val="24"/>
          <w:szCs w:val="24"/>
        </w:rPr>
        <w:t>gın’ın</w:t>
      </w:r>
      <w:r w:rsidR="003322E9" w:rsidRPr="002E402A">
        <w:rPr>
          <w:rFonts w:ascii="Times New Roman" w:hAnsi="Times New Roman" w:cs="Times New Roman"/>
          <w:sz w:val="24"/>
          <w:szCs w:val="24"/>
        </w:rPr>
        <w:t xml:space="preserve"> çalışmasında</w:t>
      </w:r>
      <w:r w:rsidR="000646DC" w:rsidRPr="002E402A">
        <w:rPr>
          <w:rFonts w:ascii="Times New Roman" w:hAnsi="Times New Roman" w:cs="Times New Roman"/>
          <w:sz w:val="24"/>
          <w:szCs w:val="24"/>
        </w:rPr>
        <w:t xml:space="preserve"> (Aktaş ve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0646DC" w:rsidRPr="002E402A">
        <w:rPr>
          <w:rFonts w:ascii="Times New Roman" w:hAnsi="Times New Roman" w:cs="Times New Roman"/>
          <w:sz w:val="24"/>
          <w:szCs w:val="24"/>
        </w:rPr>
        <w:t>gın,</w:t>
      </w:r>
      <w:r w:rsidR="00B41D4E" w:rsidRPr="002E402A">
        <w:rPr>
          <w:rFonts w:ascii="Times New Roman" w:hAnsi="Times New Roman" w:cs="Times New Roman"/>
          <w:sz w:val="24"/>
          <w:szCs w:val="24"/>
        </w:rPr>
        <w:t xml:space="preserve"> </w:t>
      </w:r>
      <w:r w:rsidR="00626395">
        <w:rPr>
          <w:rFonts w:ascii="Times New Roman" w:hAnsi="Times New Roman" w:cs="Times New Roman"/>
          <w:sz w:val="24"/>
          <w:szCs w:val="24"/>
        </w:rPr>
        <w:t>2007: 97-117</w:t>
      </w:r>
      <w:r w:rsidR="000646DC" w:rsidRPr="002E402A">
        <w:rPr>
          <w:rFonts w:ascii="Times New Roman" w:hAnsi="Times New Roman" w:cs="Times New Roman"/>
          <w:sz w:val="24"/>
          <w:szCs w:val="24"/>
        </w:rPr>
        <w:t>)</w:t>
      </w:r>
      <w:r w:rsidR="003322E9" w:rsidRPr="002E402A">
        <w:rPr>
          <w:rFonts w:ascii="Times New Roman" w:hAnsi="Times New Roman" w:cs="Times New Roman"/>
          <w:sz w:val="24"/>
          <w:szCs w:val="24"/>
        </w:rPr>
        <w:t>, 2000-2005 döneminde, Türk sermaye piyasasında faaliyet gösteren aracı kurumların pay alım satımına ilişk</w:t>
      </w:r>
      <w:r w:rsidR="00B8078C" w:rsidRPr="002E402A">
        <w:rPr>
          <w:rFonts w:ascii="Times New Roman" w:hAnsi="Times New Roman" w:cs="Times New Roman"/>
          <w:sz w:val="24"/>
          <w:szCs w:val="24"/>
        </w:rPr>
        <w:t xml:space="preserve">in etkinlikleri VZA yöntemi </w:t>
      </w:r>
      <w:r w:rsidR="00B8078C" w:rsidRPr="002E402A">
        <w:rPr>
          <w:rFonts w:ascii="Times New Roman" w:hAnsi="Times New Roman" w:cs="Times New Roman"/>
          <w:color w:val="000000" w:themeColor="text1"/>
          <w:sz w:val="24"/>
          <w:szCs w:val="24"/>
        </w:rPr>
        <w:t>ile</w:t>
      </w:r>
      <w:r w:rsidR="003322E9" w:rsidRPr="002E402A">
        <w:rPr>
          <w:rFonts w:ascii="Times New Roman" w:hAnsi="Times New Roman" w:cs="Times New Roman"/>
          <w:color w:val="000000" w:themeColor="text1"/>
          <w:sz w:val="24"/>
          <w:szCs w:val="24"/>
        </w:rPr>
        <w:t xml:space="preserve"> </w:t>
      </w:r>
      <w:r w:rsidR="003322E9" w:rsidRPr="002E402A">
        <w:rPr>
          <w:rFonts w:ascii="Times New Roman" w:hAnsi="Times New Roman" w:cs="Times New Roman"/>
          <w:sz w:val="24"/>
          <w:szCs w:val="24"/>
        </w:rPr>
        <w:t xml:space="preserve">verimlilikleri ise Malmquist Toplam Faktör Verimliliği Endeksi yöntemi kullanılarak ölçülmüştür. Sonuçta, aracı kurumların incelenen dönemde önemli bir etkinlik ve verimlilik artışı sağlayamadıkları sonucuna ulaşılmıştır. </w:t>
      </w:r>
    </w:p>
    <w:p w:rsidR="008A652C" w:rsidRPr="002E402A" w:rsidRDefault="000B139C" w:rsidP="00626395">
      <w:pPr>
        <w:spacing w:line="240" w:lineRule="auto"/>
        <w:rPr>
          <w:rFonts w:ascii="Times New Roman" w:hAnsi="Times New Roman" w:cs="Times New Roman"/>
          <w:sz w:val="24"/>
          <w:szCs w:val="24"/>
        </w:rPr>
      </w:pPr>
      <w:r w:rsidRPr="002E402A">
        <w:rPr>
          <w:rFonts w:ascii="Times New Roman" w:hAnsi="Times New Roman" w:cs="Times New Roman"/>
          <w:sz w:val="24"/>
          <w:szCs w:val="24"/>
        </w:rPr>
        <w:t>Seyrek ve Ata</w:t>
      </w:r>
      <w:r w:rsidR="00704420" w:rsidRPr="002E402A">
        <w:rPr>
          <w:rFonts w:ascii="Times New Roman" w:hAnsi="Times New Roman" w:cs="Times New Roman"/>
          <w:sz w:val="24"/>
          <w:szCs w:val="24"/>
        </w:rPr>
        <w:t xml:space="preserve"> </w:t>
      </w:r>
      <w:r w:rsidR="008A652C" w:rsidRPr="002E402A">
        <w:rPr>
          <w:rFonts w:ascii="Times New Roman" w:hAnsi="Times New Roman" w:cs="Times New Roman"/>
          <w:sz w:val="24"/>
          <w:szCs w:val="24"/>
        </w:rPr>
        <w:t>tarafından</w:t>
      </w:r>
      <w:r w:rsidR="000646DC" w:rsidRPr="002E402A">
        <w:rPr>
          <w:rFonts w:ascii="Times New Roman" w:hAnsi="Times New Roman" w:cs="Times New Roman"/>
          <w:sz w:val="24"/>
          <w:szCs w:val="24"/>
        </w:rPr>
        <w:t xml:space="preserve"> (Seyrek </w:t>
      </w:r>
      <w:r w:rsidR="00626395">
        <w:rPr>
          <w:rFonts w:ascii="Times New Roman" w:hAnsi="Times New Roman" w:cs="Times New Roman"/>
          <w:sz w:val="24"/>
          <w:szCs w:val="24"/>
        </w:rPr>
        <w:t>ve Ata, 2010: 67-84</w:t>
      </w:r>
      <w:r w:rsidR="000646DC" w:rsidRPr="002E402A">
        <w:rPr>
          <w:rFonts w:ascii="Times New Roman" w:hAnsi="Times New Roman" w:cs="Times New Roman"/>
          <w:sz w:val="24"/>
          <w:szCs w:val="24"/>
        </w:rPr>
        <w:t>)</w:t>
      </w:r>
      <w:r w:rsidR="008A652C" w:rsidRPr="002E402A">
        <w:rPr>
          <w:rFonts w:ascii="Times New Roman" w:hAnsi="Times New Roman" w:cs="Times New Roman"/>
          <w:sz w:val="24"/>
          <w:szCs w:val="24"/>
        </w:rPr>
        <w:t xml:space="preserve"> </w:t>
      </w:r>
      <w:r w:rsidR="00F01031" w:rsidRPr="002E402A">
        <w:rPr>
          <w:rFonts w:ascii="Times New Roman" w:hAnsi="Times New Roman" w:cs="Times New Roman"/>
          <w:sz w:val="24"/>
          <w:szCs w:val="24"/>
        </w:rPr>
        <w:t xml:space="preserve">20 Türk mevduat bankasının 2003-2008 dönemi mali tablo bilgilerinden 120 adet veri üzerinde VZA yapılarak bankaların etkinliği üzerine çalışma yapılmıştır. </w:t>
      </w:r>
      <w:r w:rsidR="00DF67AA" w:rsidRPr="002E402A">
        <w:rPr>
          <w:rFonts w:ascii="Times New Roman" w:hAnsi="Times New Roman" w:cs="Times New Roman"/>
          <w:sz w:val="24"/>
          <w:szCs w:val="24"/>
        </w:rPr>
        <w:t>Analizde ç</w:t>
      </w:r>
      <w:r w:rsidR="00F01031" w:rsidRPr="002E402A">
        <w:rPr>
          <w:rFonts w:ascii="Times New Roman" w:hAnsi="Times New Roman" w:cs="Times New Roman"/>
          <w:sz w:val="24"/>
          <w:szCs w:val="24"/>
        </w:rPr>
        <w:t xml:space="preserve">ıktı değişken olarak; </w:t>
      </w:r>
      <w:r w:rsidR="008A652C" w:rsidRPr="002E402A">
        <w:rPr>
          <w:rFonts w:ascii="Times New Roman" w:hAnsi="Times New Roman" w:cs="Times New Roman"/>
          <w:sz w:val="24"/>
          <w:szCs w:val="24"/>
        </w:rPr>
        <w:t>toplam kredi, faiz geliri, faiz dışı gelir;</w:t>
      </w:r>
      <w:r w:rsidR="00F01031" w:rsidRPr="002E402A">
        <w:rPr>
          <w:rFonts w:ascii="Times New Roman" w:hAnsi="Times New Roman" w:cs="Times New Roman"/>
          <w:sz w:val="24"/>
          <w:szCs w:val="24"/>
        </w:rPr>
        <w:t xml:space="preserve"> girdi değişken olarak</w:t>
      </w:r>
      <w:r w:rsidR="008A652C" w:rsidRPr="002E402A">
        <w:rPr>
          <w:rFonts w:ascii="Times New Roman" w:hAnsi="Times New Roman" w:cs="Times New Roman"/>
          <w:sz w:val="24"/>
          <w:szCs w:val="24"/>
        </w:rPr>
        <w:t xml:space="preserve"> toplam mevduat, faiz gideri, faiz dışı gider kullanılmıştır. 28 kayıt etkin, 66 kayıt etkin olmayan ve 26 kayıt etkin ya</w:t>
      </w:r>
      <w:r w:rsidR="005A79FD" w:rsidRPr="002E402A">
        <w:rPr>
          <w:rFonts w:ascii="Times New Roman" w:hAnsi="Times New Roman" w:cs="Times New Roman"/>
          <w:sz w:val="24"/>
          <w:szCs w:val="24"/>
        </w:rPr>
        <w:t xml:space="preserve"> </w:t>
      </w:r>
      <w:r w:rsidR="008A652C" w:rsidRPr="002E402A">
        <w:rPr>
          <w:rFonts w:ascii="Times New Roman" w:hAnsi="Times New Roman" w:cs="Times New Roman"/>
          <w:sz w:val="24"/>
          <w:szCs w:val="24"/>
        </w:rPr>
        <w:t xml:space="preserve">da etkin olmayan olarak </w:t>
      </w:r>
      <w:r w:rsidR="00F01031" w:rsidRPr="002E402A">
        <w:rPr>
          <w:rFonts w:ascii="Times New Roman" w:hAnsi="Times New Roman" w:cs="Times New Roman"/>
          <w:sz w:val="24"/>
          <w:szCs w:val="24"/>
        </w:rPr>
        <w:t>belirtil</w:t>
      </w:r>
      <w:r w:rsidR="008A652C" w:rsidRPr="002E402A">
        <w:rPr>
          <w:rFonts w:ascii="Times New Roman" w:hAnsi="Times New Roman" w:cs="Times New Roman"/>
          <w:sz w:val="24"/>
          <w:szCs w:val="24"/>
        </w:rPr>
        <w:t>miş</w:t>
      </w:r>
      <w:r w:rsidR="00C324A9" w:rsidRPr="002E402A">
        <w:rPr>
          <w:rFonts w:ascii="Times New Roman" w:hAnsi="Times New Roman" w:cs="Times New Roman"/>
          <w:sz w:val="24"/>
          <w:szCs w:val="24"/>
        </w:rPr>
        <w:t>ti</w:t>
      </w:r>
      <w:r w:rsidR="008A652C" w:rsidRPr="002E402A">
        <w:rPr>
          <w:rFonts w:ascii="Times New Roman" w:hAnsi="Times New Roman" w:cs="Times New Roman"/>
          <w:sz w:val="24"/>
          <w:szCs w:val="24"/>
        </w:rPr>
        <w:t>r.</w:t>
      </w:r>
    </w:p>
    <w:p w:rsidR="006B4569" w:rsidRPr="002E402A" w:rsidRDefault="00C84778" w:rsidP="000A330A">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 xml:space="preserve">Yaşa </w:t>
      </w:r>
      <w:r w:rsidR="00CC530E" w:rsidRPr="002E402A">
        <w:rPr>
          <w:rFonts w:ascii="Times New Roman" w:hAnsi="Times New Roman" w:cs="Times New Roman"/>
          <w:sz w:val="24"/>
          <w:szCs w:val="24"/>
        </w:rPr>
        <w:t>(</w:t>
      </w:r>
      <w:r w:rsidR="0025505D" w:rsidRPr="002E402A">
        <w:rPr>
          <w:rFonts w:ascii="Times New Roman" w:hAnsi="Times New Roman" w:cs="Times New Roman"/>
          <w:sz w:val="24"/>
          <w:szCs w:val="24"/>
        </w:rPr>
        <w:t xml:space="preserve">Yaşa, </w:t>
      </w:r>
      <w:r w:rsidR="00CC530E" w:rsidRPr="002E402A">
        <w:rPr>
          <w:rFonts w:ascii="Times New Roman" w:hAnsi="Times New Roman" w:cs="Times New Roman"/>
          <w:sz w:val="24"/>
          <w:szCs w:val="24"/>
        </w:rPr>
        <w:t>2008)</w:t>
      </w:r>
      <w:r w:rsidR="0025505D" w:rsidRPr="002E402A">
        <w:rPr>
          <w:rFonts w:ascii="Times New Roman" w:hAnsi="Times New Roman" w:cs="Times New Roman"/>
          <w:sz w:val="24"/>
          <w:szCs w:val="24"/>
        </w:rPr>
        <w:t>’</w:t>
      </w:r>
      <w:r w:rsidR="00CC530E" w:rsidRPr="002E402A">
        <w:rPr>
          <w:rFonts w:ascii="Times New Roman" w:hAnsi="Times New Roman" w:cs="Times New Roman"/>
          <w:sz w:val="24"/>
          <w:szCs w:val="24"/>
        </w:rPr>
        <w:t>nı</w:t>
      </w:r>
      <w:r w:rsidRPr="002E402A">
        <w:rPr>
          <w:rFonts w:ascii="Times New Roman" w:hAnsi="Times New Roman" w:cs="Times New Roman"/>
          <w:sz w:val="24"/>
          <w:szCs w:val="24"/>
        </w:rPr>
        <w:t xml:space="preserve">n </w:t>
      </w:r>
      <w:r w:rsidR="005C19CA" w:rsidRPr="002E402A">
        <w:rPr>
          <w:rFonts w:ascii="Times New Roman" w:hAnsi="Times New Roman" w:cs="Times New Roman"/>
          <w:sz w:val="24"/>
          <w:szCs w:val="24"/>
        </w:rPr>
        <w:t>tez çalışmasın</w:t>
      </w:r>
      <w:r w:rsidR="005F3B22" w:rsidRPr="002E402A">
        <w:rPr>
          <w:rFonts w:ascii="Times New Roman" w:hAnsi="Times New Roman" w:cs="Times New Roman"/>
          <w:sz w:val="24"/>
          <w:szCs w:val="24"/>
        </w:rPr>
        <w:t>d</w:t>
      </w:r>
      <w:r w:rsidRPr="002E402A">
        <w:rPr>
          <w:rFonts w:ascii="Times New Roman" w:hAnsi="Times New Roman" w:cs="Times New Roman"/>
          <w:sz w:val="24"/>
          <w:szCs w:val="24"/>
        </w:rPr>
        <w:t xml:space="preserve">a, </w:t>
      </w:r>
      <w:r w:rsidR="00153275" w:rsidRPr="002E402A">
        <w:rPr>
          <w:rFonts w:ascii="Times New Roman" w:hAnsi="Times New Roman" w:cs="Times New Roman"/>
          <w:sz w:val="24"/>
          <w:szCs w:val="24"/>
        </w:rPr>
        <w:t xml:space="preserve">Türk bankacılık sisteminde 21 </w:t>
      </w:r>
      <w:r w:rsidR="006B4569" w:rsidRPr="002E402A">
        <w:rPr>
          <w:rFonts w:ascii="Times New Roman" w:hAnsi="Times New Roman" w:cs="Times New Roman"/>
          <w:sz w:val="24"/>
          <w:szCs w:val="24"/>
        </w:rPr>
        <w:t xml:space="preserve">adet özel ve kamu bankalarının etkinliği ölçülüp </w:t>
      </w:r>
      <w:r w:rsidR="006C078A" w:rsidRPr="002E402A">
        <w:rPr>
          <w:rFonts w:ascii="Times New Roman" w:hAnsi="Times New Roman" w:cs="Times New Roman"/>
          <w:sz w:val="24"/>
          <w:szCs w:val="24"/>
        </w:rPr>
        <w:t>2002, 2003 ve 200</w:t>
      </w:r>
      <w:r w:rsidR="006B4569" w:rsidRPr="002E402A">
        <w:rPr>
          <w:rFonts w:ascii="Times New Roman" w:hAnsi="Times New Roman" w:cs="Times New Roman"/>
          <w:sz w:val="24"/>
          <w:szCs w:val="24"/>
        </w:rPr>
        <w:t>4 yılları</w:t>
      </w:r>
      <w:r w:rsidR="00780DBF" w:rsidRPr="002E402A">
        <w:rPr>
          <w:rFonts w:ascii="Times New Roman" w:hAnsi="Times New Roman" w:cs="Times New Roman"/>
          <w:sz w:val="24"/>
          <w:szCs w:val="24"/>
        </w:rPr>
        <w:t>nda</w:t>
      </w:r>
      <w:r w:rsidR="006B4569" w:rsidRPr="002E402A">
        <w:rPr>
          <w:rFonts w:ascii="Times New Roman" w:hAnsi="Times New Roman" w:cs="Times New Roman"/>
          <w:sz w:val="24"/>
          <w:szCs w:val="24"/>
        </w:rPr>
        <w:t xml:space="preserve"> bankaların etkinliklerinde farklılık olup olmadığı incelenmiştir. </w:t>
      </w:r>
      <w:r w:rsidR="003C4C03" w:rsidRPr="002E402A">
        <w:rPr>
          <w:rFonts w:ascii="Times New Roman" w:hAnsi="Times New Roman" w:cs="Times New Roman"/>
          <w:sz w:val="24"/>
          <w:szCs w:val="24"/>
        </w:rPr>
        <w:t>Analizin</w:t>
      </w:r>
      <w:r w:rsidR="006B0D72" w:rsidRPr="002E402A">
        <w:rPr>
          <w:rFonts w:ascii="Times New Roman" w:hAnsi="Times New Roman" w:cs="Times New Roman"/>
          <w:sz w:val="24"/>
          <w:szCs w:val="24"/>
        </w:rPr>
        <w:t xml:space="preserve"> girdi</w:t>
      </w:r>
      <w:r w:rsidR="00780DBF" w:rsidRPr="002E402A">
        <w:rPr>
          <w:rFonts w:ascii="Times New Roman" w:hAnsi="Times New Roman" w:cs="Times New Roman"/>
          <w:sz w:val="24"/>
          <w:szCs w:val="24"/>
        </w:rPr>
        <w:t>ler</w:t>
      </w:r>
      <w:r w:rsidR="003C4C03" w:rsidRPr="002E402A">
        <w:rPr>
          <w:rFonts w:ascii="Times New Roman" w:hAnsi="Times New Roman" w:cs="Times New Roman"/>
          <w:sz w:val="24"/>
          <w:szCs w:val="24"/>
        </w:rPr>
        <w:t>i</w:t>
      </w:r>
      <w:r w:rsidR="006B0D72" w:rsidRPr="002E402A">
        <w:rPr>
          <w:rFonts w:ascii="Times New Roman" w:hAnsi="Times New Roman" w:cs="Times New Roman"/>
          <w:sz w:val="24"/>
          <w:szCs w:val="24"/>
        </w:rPr>
        <w:t>; personel sayısı, sermaye ve toplam aktif değişkenler</w:t>
      </w:r>
      <w:r w:rsidR="00780DBF" w:rsidRPr="002E402A">
        <w:rPr>
          <w:rFonts w:ascii="Times New Roman" w:hAnsi="Times New Roman" w:cs="Times New Roman"/>
          <w:sz w:val="24"/>
          <w:szCs w:val="24"/>
        </w:rPr>
        <w:t>dir</w:t>
      </w:r>
      <w:r w:rsidR="006B0D72" w:rsidRPr="002E402A">
        <w:rPr>
          <w:rFonts w:ascii="Times New Roman" w:hAnsi="Times New Roman" w:cs="Times New Roman"/>
          <w:sz w:val="24"/>
          <w:szCs w:val="24"/>
        </w:rPr>
        <w:t>. Çıktılar</w:t>
      </w:r>
      <w:r w:rsidR="003C4C03" w:rsidRPr="002E402A">
        <w:rPr>
          <w:rFonts w:ascii="Times New Roman" w:hAnsi="Times New Roman" w:cs="Times New Roman"/>
          <w:sz w:val="24"/>
          <w:szCs w:val="24"/>
        </w:rPr>
        <w:t>ı</w:t>
      </w:r>
      <w:r w:rsidR="006B0D72" w:rsidRPr="002E402A">
        <w:rPr>
          <w:rFonts w:ascii="Times New Roman" w:hAnsi="Times New Roman" w:cs="Times New Roman"/>
          <w:sz w:val="24"/>
          <w:szCs w:val="24"/>
        </w:rPr>
        <w:t>; t</w:t>
      </w:r>
      <w:r w:rsidR="00BB16B3" w:rsidRPr="002E402A">
        <w:rPr>
          <w:rFonts w:ascii="Times New Roman" w:hAnsi="Times New Roman" w:cs="Times New Roman"/>
          <w:sz w:val="24"/>
          <w:szCs w:val="24"/>
        </w:rPr>
        <w:t xml:space="preserve">oplam mevduat, toplam krediler ve </w:t>
      </w:r>
      <w:r w:rsidR="006B0D72" w:rsidRPr="002E402A">
        <w:rPr>
          <w:rFonts w:ascii="Times New Roman" w:hAnsi="Times New Roman" w:cs="Times New Roman"/>
          <w:sz w:val="24"/>
          <w:szCs w:val="24"/>
        </w:rPr>
        <w:t xml:space="preserve">net </w:t>
      </w:r>
      <w:r w:rsidR="007210D2" w:rsidRPr="002E402A">
        <w:rPr>
          <w:rFonts w:ascii="Times New Roman" w:hAnsi="Times New Roman" w:cs="Times New Roman"/>
          <w:sz w:val="24"/>
          <w:szCs w:val="24"/>
        </w:rPr>
        <w:t>kâr</w:t>
      </w:r>
      <w:r w:rsidR="006B0D72" w:rsidRPr="002E402A">
        <w:rPr>
          <w:rFonts w:ascii="Times New Roman" w:hAnsi="Times New Roman" w:cs="Times New Roman"/>
          <w:sz w:val="24"/>
          <w:szCs w:val="24"/>
        </w:rPr>
        <w:t xml:space="preserve">dır. </w:t>
      </w:r>
      <w:r w:rsidR="003C4C03" w:rsidRPr="002E402A">
        <w:rPr>
          <w:rFonts w:ascii="Times New Roman" w:hAnsi="Times New Roman" w:cs="Times New Roman"/>
          <w:sz w:val="24"/>
          <w:szCs w:val="24"/>
        </w:rPr>
        <w:t xml:space="preserve">Sonuçta, </w:t>
      </w:r>
      <w:r w:rsidR="006B4569" w:rsidRPr="002E402A">
        <w:rPr>
          <w:rFonts w:ascii="Times New Roman" w:hAnsi="Times New Roman" w:cs="Times New Roman"/>
          <w:sz w:val="24"/>
          <w:szCs w:val="24"/>
        </w:rPr>
        <w:t>kamu bankaları</w:t>
      </w:r>
      <w:r w:rsidR="003C4C03" w:rsidRPr="002E402A">
        <w:rPr>
          <w:rFonts w:ascii="Times New Roman" w:hAnsi="Times New Roman" w:cs="Times New Roman"/>
          <w:sz w:val="24"/>
          <w:szCs w:val="24"/>
        </w:rPr>
        <w:t>nın</w:t>
      </w:r>
      <w:r w:rsidR="006B4569" w:rsidRPr="002E402A">
        <w:rPr>
          <w:rFonts w:ascii="Times New Roman" w:hAnsi="Times New Roman" w:cs="Times New Roman"/>
          <w:sz w:val="24"/>
          <w:szCs w:val="24"/>
        </w:rPr>
        <w:t xml:space="preserve"> özel bankalara göre daha etkin çalış</w:t>
      </w:r>
      <w:r w:rsidR="007C000A" w:rsidRPr="002E402A">
        <w:rPr>
          <w:rFonts w:ascii="Times New Roman" w:hAnsi="Times New Roman" w:cs="Times New Roman"/>
          <w:sz w:val="24"/>
          <w:szCs w:val="24"/>
        </w:rPr>
        <w:t xml:space="preserve">tığı, </w:t>
      </w:r>
      <w:r w:rsidR="006B4569" w:rsidRPr="002E402A">
        <w:rPr>
          <w:rFonts w:ascii="Times New Roman" w:hAnsi="Times New Roman" w:cs="Times New Roman"/>
          <w:sz w:val="24"/>
          <w:szCs w:val="24"/>
        </w:rPr>
        <w:t>etkinli</w:t>
      </w:r>
      <w:r w:rsidR="007C000A" w:rsidRPr="002E402A">
        <w:rPr>
          <w:rFonts w:ascii="Times New Roman" w:hAnsi="Times New Roman" w:cs="Times New Roman"/>
          <w:sz w:val="24"/>
          <w:szCs w:val="24"/>
        </w:rPr>
        <w:t>k değerleri açısından 2002,</w:t>
      </w:r>
      <w:r w:rsidR="000A330A">
        <w:rPr>
          <w:rFonts w:ascii="Times New Roman" w:hAnsi="Times New Roman" w:cs="Times New Roman"/>
          <w:sz w:val="24"/>
          <w:szCs w:val="24"/>
        </w:rPr>
        <w:t xml:space="preserve"> </w:t>
      </w:r>
      <w:r w:rsidR="007C000A" w:rsidRPr="002E402A">
        <w:rPr>
          <w:rFonts w:ascii="Times New Roman" w:hAnsi="Times New Roman" w:cs="Times New Roman"/>
          <w:sz w:val="24"/>
          <w:szCs w:val="24"/>
        </w:rPr>
        <w:t xml:space="preserve">2003 ve </w:t>
      </w:r>
      <w:r w:rsidR="006B4569" w:rsidRPr="002E402A">
        <w:rPr>
          <w:rFonts w:ascii="Times New Roman" w:hAnsi="Times New Roman" w:cs="Times New Roman"/>
          <w:sz w:val="24"/>
          <w:szCs w:val="24"/>
        </w:rPr>
        <w:t xml:space="preserve">2004 yıllarında </w:t>
      </w:r>
      <w:r w:rsidR="007C000A" w:rsidRPr="002E402A">
        <w:rPr>
          <w:rFonts w:ascii="Times New Roman" w:hAnsi="Times New Roman" w:cs="Times New Roman"/>
          <w:sz w:val="24"/>
          <w:szCs w:val="24"/>
        </w:rPr>
        <w:t xml:space="preserve">etkinliğin </w:t>
      </w:r>
      <w:r w:rsidR="006B4569" w:rsidRPr="002E402A">
        <w:rPr>
          <w:rFonts w:ascii="Times New Roman" w:hAnsi="Times New Roman" w:cs="Times New Roman"/>
          <w:sz w:val="24"/>
          <w:szCs w:val="24"/>
        </w:rPr>
        <w:t>benz</w:t>
      </w:r>
      <w:r w:rsidR="00CA39EC" w:rsidRPr="002E402A">
        <w:rPr>
          <w:rFonts w:ascii="Times New Roman" w:hAnsi="Times New Roman" w:cs="Times New Roman"/>
          <w:sz w:val="24"/>
          <w:szCs w:val="24"/>
        </w:rPr>
        <w:t>erlik göster</w:t>
      </w:r>
      <w:r w:rsidR="007C000A" w:rsidRPr="002E402A">
        <w:rPr>
          <w:rFonts w:ascii="Times New Roman" w:hAnsi="Times New Roman" w:cs="Times New Roman"/>
          <w:sz w:val="24"/>
          <w:szCs w:val="24"/>
        </w:rPr>
        <w:t>diği, s</w:t>
      </w:r>
      <w:r w:rsidR="00CA39EC" w:rsidRPr="002E402A">
        <w:rPr>
          <w:rFonts w:ascii="Times New Roman" w:hAnsi="Times New Roman" w:cs="Times New Roman"/>
          <w:sz w:val="24"/>
          <w:szCs w:val="24"/>
        </w:rPr>
        <w:t>ektör</w:t>
      </w:r>
      <w:r w:rsidR="006B4569" w:rsidRPr="002E402A">
        <w:rPr>
          <w:rFonts w:ascii="Times New Roman" w:hAnsi="Times New Roman" w:cs="Times New Roman"/>
          <w:sz w:val="24"/>
          <w:szCs w:val="24"/>
        </w:rPr>
        <w:t>de</w:t>
      </w:r>
      <w:r w:rsidR="00CA39EC" w:rsidRPr="002E402A">
        <w:rPr>
          <w:rFonts w:ascii="Times New Roman" w:hAnsi="Times New Roman" w:cs="Times New Roman"/>
          <w:sz w:val="24"/>
          <w:szCs w:val="24"/>
        </w:rPr>
        <w:t>ki</w:t>
      </w:r>
      <w:r w:rsidR="006B4569" w:rsidRPr="002E402A">
        <w:rPr>
          <w:rFonts w:ascii="Times New Roman" w:hAnsi="Times New Roman" w:cs="Times New Roman"/>
          <w:sz w:val="24"/>
          <w:szCs w:val="24"/>
        </w:rPr>
        <w:t xml:space="preserve"> önemli aktif büyüklüğe sahip büyük ölçekli bankalar</w:t>
      </w:r>
      <w:r w:rsidR="00BB16B3" w:rsidRPr="002E402A">
        <w:rPr>
          <w:rFonts w:ascii="Times New Roman" w:hAnsi="Times New Roman" w:cs="Times New Roman"/>
          <w:sz w:val="24"/>
          <w:szCs w:val="24"/>
        </w:rPr>
        <w:t>ın</w:t>
      </w:r>
      <w:r w:rsidR="006B4569" w:rsidRPr="002E402A">
        <w:rPr>
          <w:rFonts w:ascii="Times New Roman" w:hAnsi="Times New Roman" w:cs="Times New Roman"/>
          <w:sz w:val="24"/>
          <w:szCs w:val="24"/>
        </w:rPr>
        <w:t xml:space="preserve"> etkinliğe daha yakın değer al</w:t>
      </w:r>
      <w:r w:rsidR="007C000A" w:rsidRPr="002E402A">
        <w:rPr>
          <w:rFonts w:ascii="Times New Roman" w:hAnsi="Times New Roman" w:cs="Times New Roman"/>
          <w:sz w:val="24"/>
          <w:szCs w:val="24"/>
        </w:rPr>
        <w:t>dığı ve k</w:t>
      </w:r>
      <w:r w:rsidR="006B4569" w:rsidRPr="002E402A">
        <w:rPr>
          <w:rFonts w:ascii="Times New Roman" w:hAnsi="Times New Roman" w:cs="Times New Roman"/>
          <w:sz w:val="24"/>
          <w:szCs w:val="24"/>
        </w:rPr>
        <w:t>amu sermayeli bankalar</w:t>
      </w:r>
      <w:r w:rsidR="007C000A" w:rsidRPr="002E402A">
        <w:rPr>
          <w:rFonts w:ascii="Times New Roman" w:hAnsi="Times New Roman" w:cs="Times New Roman"/>
          <w:sz w:val="24"/>
          <w:szCs w:val="24"/>
        </w:rPr>
        <w:t>ın</w:t>
      </w:r>
      <w:r w:rsidR="006B4569" w:rsidRPr="002E402A">
        <w:rPr>
          <w:rFonts w:ascii="Times New Roman" w:hAnsi="Times New Roman" w:cs="Times New Roman"/>
          <w:sz w:val="24"/>
          <w:szCs w:val="24"/>
        </w:rPr>
        <w:t xml:space="preserve">, özel sermayeli bankalara göre etkinliğe daha yakın değer </w:t>
      </w:r>
      <w:r w:rsidR="007C000A" w:rsidRPr="002E402A">
        <w:rPr>
          <w:rFonts w:ascii="Times New Roman" w:hAnsi="Times New Roman" w:cs="Times New Roman"/>
          <w:sz w:val="24"/>
          <w:szCs w:val="24"/>
        </w:rPr>
        <w:t>aldığı belirtilmiştir.</w:t>
      </w:r>
      <w:r w:rsidR="006B4569" w:rsidRPr="002E402A">
        <w:rPr>
          <w:rFonts w:ascii="Times New Roman" w:hAnsi="Times New Roman" w:cs="Times New Roman"/>
          <w:sz w:val="24"/>
          <w:szCs w:val="24"/>
        </w:rPr>
        <w:t xml:space="preserve"> </w:t>
      </w:r>
    </w:p>
    <w:p w:rsidR="002B2A94" w:rsidRPr="002E402A" w:rsidRDefault="002B2A94" w:rsidP="000A330A">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Dağ (Dağ, 2011) tarafından yapılan tez çalışmasında, VZA yapılarak katılım ve mevduat bankalarının 2006-2009 yılları arasında etkinliği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Pr="002E402A">
        <w:rPr>
          <w:rFonts w:ascii="Times New Roman" w:hAnsi="Times New Roman" w:cs="Times New Roman"/>
          <w:sz w:val="24"/>
          <w:szCs w:val="24"/>
        </w:rPr>
        <w:t xml:space="preserve">şılaştırılmıştır. </w:t>
      </w:r>
      <w:r w:rsidR="001C7DA8" w:rsidRPr="002E402A">
        <w:rPr>
          <w:rFonts w:ascii="Times New Roman" w:hAnsi="Times New Roman" w:cs="Times New Roman"/>
          <w:sz w:val="24"/>
          <w:szCs w:val="24"/>
        </w:rPr>
        <w:t xml:space="preserve"> Analizin girdileri; mevduat, faiz giderleri ve personel giderleridir. Çıktıları ise; krediler, faiz geliri ve ücret geliridir. Y</w:t>
      </w:r>
      <w:r w:rsidR="00584947" w:rsidRPr="002E402A">
        <w:rPr>
          <w:rFonts w:ascii="Times New Roman" w:hAnsi="Times New Roman" w:cs="Times New Roman"/>
          <w:sz w:val="24"/>
          <w:szCs w:val="24"/>
        </w:rPr>
        <w:t xml:space="preserve">aşanan süreçte bankaların kârlılıklarını arttırmalarına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584947" w:rsidRPr="002E402A">
        <w:rPr>
          <w:rFonts w:ascii="Times New Roman" w:hAnsi="Times New Roman" w:cs="Times New Roman"/>
          <w:sz w:val="24"/>
          <w:szCs w:val="24"/>
        </w:rPr>
        <w:t xml:space="preserve">şın ölçeğe göre sabit getiri ve ölçeğe göre değişken getiri yaklaşımları altında etkinlik düzeylerini koruyamadıkları ve etkinlik seviyesinden giderek uzaklaştıklarını buna rağmen katılım bankalarının özel sermayeli bankalara göre etkinlik skorlarının daha iyi seviyelerde olduğunu göstermektedir. Ayrıca </w:t>
      </w:r>
      <w:r w:rsidR="000A330A">
        <w:rPr>
          <w:rFonts w:ascii="Times New Roman" w:hAnsi="Times New Roman" w:cs="Times New Roman"/>
          <w:sz w:val="24"/>
          <w:szCs w:val="24"/>
        </w:rPr>
        <w:t>k</w:t>
      </w:r>
      <w:r w:rsidR="00584947" w:rsidRPr="002E402A">
        <w:rPr>
          <w:rFonts w:ascii="Times New Roman" w:hAnsi="Times New Roman" w:cs="Times New Roman"/>
          <w:sz w:val="24"/>
          <w:szCs w:val="24"/>
        </w:rPr>
        <w:t xml:space="preserve">atılım bankaları ile özel sermayeli bankaların toplam faktör verimlilik indeksi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584947" w:rsidRPr="002E402A">
        <w:rPr>
          <w:rFonts w:ascii="Times New Roman" w:hAnsi="Times New Roman" w:cs="Times New Roman"/>
          <w:sz w:val="24"/>
          <w:szCs w:val="24"/>
        </w:rPr>
        <w:t>şılaştırıldığında katılım bankalarının daha iyi değerlere sahip olduğu ve daha üretken olduğu gözlemlenmiştir.</w:t>
      </w:r>
      <w:r w:rsidR="001C7DA8" w:rsidRPr="002E402A">
        <w:rPr>
          <w:rFonts w:ascii="Times New Roman" w:hAnsi="Times New Roman" w:cs="Times New Roman"/>
          <w:sz w:val="24"/>
          <w:szCs w:val="24"/>
        </w:rPr>
        <w:t xml:space="preserve"> </w:t>
      </w:r>
    </w:p>
    <w:p w:rsidR="006B0D72" w:rsidRPr="002E402A" w:rsidRDefault="001B2DF9" w:rsidP="000A330A">
      <w:pPr>
        <w:spacing w:line="240" w:lineRule="auto"/>
        <w:rPr>
          <w:rFonts w:ascii="Times New Roman" w:hAnsi="Times New Roman" w:cs="Times New Roman"/>
          <w:sz w:val="24"/>
          <w:szCs w:val="24"/>
        </w:rPr>
      </w:pPr>
      <w:r w:rsidRPr="002E402A">
        <w:rPr>
          <w:rFonts w:ascii="Times New Roman" w:hAnsi="Times New Roman" w:cs="Times New Roman"/>
          <w:sz w:val="24"/>
          <w:szCs w:val="24"/>
        </w:rPr>
        <w:t>Bektaş</w:t>
      </w:r>
      <w:r w:rsidR="00737FC3" w:rsidRPr="002E402A">
        <w:rPr>
          <w:rFonts w:ascii="Times New Roman" w:hAnsi="Times New Roman" w:cs="Times New Roman"/>
          <w:sz w:val="24"/>
          <w:szCs w:val="24"/>
        </w:rPr>
        <w:t>’ın</w:t>
      </w:r>
      <w:r w:rsidRPr="002E402A">
        <w:rPr>
          <w:rFonts w:ascii="Times New Roman" w:hAnsi="Times New Roman" w:cs="Times New Roman"/>
          <w:sz w:val="24"/>
          <w:szCs w:val="24"/>
        </w:rPr>
        <w:t xml:space="preserve"> </w:t>
      </w:r>
      <w:r w:rsidR="00FE3316" w:rsidRPr="002E402A">
        <w:rPr>
          <w:rFonts w:ascii="Times New Roman" w:hAnsi="Times New Roman" w:cs="Times New Roman"/>
          <w:sz w:val="24"/>
          <w:szCs w:val="24"/>
        </w:rPr>
        <w:t>(</w:t>
      </w:r>
      <w:r w:rsidR="00E82021" w:rsidRPr="002E402A">
        <w:rPr>
          <w:rFonts w:ascii="Times New Roman" w:hAnsi="Times New Roman" w:cs="Times New Roman"/>
          <w:sz w:val="24"/>
          <w:szCs w:val="24"/>
        </w:rPr>
        <w:t xml:space="preserve">Bektaş, </w:t>
      </w:r>
      <w:r w:rsidR="00FE3316" w:rsidRPr="002E402A">
        <w:rPr>
          <w:rFonts w:ascii="Times New Roman" w:hAnsi="Times New Roman" w:cs="Times New Roman"/>
          <w:sz w:val="24"/>
          <w:szCs w:val="24"/>
        </w:rPr>
        <w:t>2013</w:t>
      </w:r>
      <w:r w:rsidR="000A330A">
        <w:rPr>
          <w:rFonts w:ascii="Times New Roman" w:hAnsi="Times New Roman" w:cs="Times New Roman"/>
          <w:sz w:val="24"/>
          <w:szCs w:val="24"/>
        </w:rPr>
        <w:t>:</w:t>
      </w:r>
      <w:r w:rsidR="00E82021" w:rsidRPr="002E402A">
        <w:rPr>
          <w:rFonts w:ascii="Times New Roman" w:hAnsi="Times New Roman" w:cs="Times New Roman"/>
          <w:sz w:val="24"/>
          <w:szCs w:val="24"/>
        </w:rPr>
        <w:t xml:space="preserve"> 277-294</w:t>
      </w:r>
      <w:r w:rsidR="00FE3316" w:rsidRPr="002E402A">
        <w:rPr>
          <w:rFonts w:ascii="Times New Roman" w:hAnsi="Times New Roman" w:cs="Times New Roman"/>
          <w:sz w:val="24"/>
          <w:szCs w:val="24"/>
        </w:rPr>
        <w:t>)</w:t>
      </w:r>
      <w:r w:rsidR="00EC363A" w:rsidRPr="002E402A">
        <w:rPr>
          <w:rFonts w:ascii="Times New Roman" w:hAnsi="Times New Roman" w:cs="Times New Roman"/>
          <w:sz w:val="24"/>
          <w:szCs w:val="24"/>
        </w:rPr>
        <w:t xml:space="preserve"> çalışmasında</w:t>
      </w:r>
      <w:r w:rsidRPr="002E402A">
        <w:rPr>
          <w:rFonts w:ascii="Times New Roman" w:hAnsi="Times New Roman" w:cs="Times New Roman"/>
          <w:sz w:val="24"/>
          <w:szCs w:val="24"/>
        </w:rPr>
        <w:t xml:space="preserve">, </w:t>
      </w:r>
      <w:r w:rsidR="00CA3B83" w:rsidRPr="002E402A">
        <w:rPr>
          <w:rFonts w:ascii="Times New Roman" w:hAnsi="Times New Roman" w:cs="Times New Roman"/>
          <w:sz w:val="24"/>
          <w:szCs w:val="24"/>
        </w:rPr>
        <w:t xml:space="preserve">VZA kullanılarak </w:t>
      </w:r>
      <w:r w:rsidR="00967759" w:rsidRPr="002E402A">
        <w:rPr>
          <w:rFonts w:ascii="Times New Roman" w:hAnsi="Times New Roman" w:cs="Times New Roman"/>
          <w:sz w:val="24"/>
          <w:szCs w:val="24"/>
        </w:rPr>
        <w:t>2007-2011 yıllar</w:t>
      </w:r>
      <w:r w:rsidR="00CA3B83" w:rsidRPr="002E402A">
        <w:rPr>
          <w:rFonts w:ascii="Times New Roman" w:hAnsi="Times New Roman" w:cs="Times New Roman"/>
          <w:sz w:val="24"/>
          <w:szCs w:val="24"/>
        </w:rPr>
        <w:t xml:space="preserve">ı arasında bankacılık sektörü özel ve yabancı sermayeli ticari bankalar </w:t>
      </w:r>
      <w:r w:rsidR="00177472" w:rsidRPr="002E402A">
        <w:rPr>
          <w:rFonts w:ascii="Times New Roman" w:hAnsi="Times New Roman" w:cs="Times New Roman"/>
          <w:sz w:val="24"/>
          <w:szCs w:val="24"/>
        </w:rPr>
        <w:t xml:space="preserve">şeklinde </w:t>
      </w:r>
      <w:r w:rsidR="00CA3B83" w:rsidRPr="002E402A">
        <w:rPr>
          <w:rFonts w:ascii="Times New Roman" w:hAnsi="Times New Roman" w:cs="Times New Roman"/>
          <w:sz w:val="24"/>
          <w:szCs w:val="24"/>
        </w:rPr>
        <w:t>iki gruba ayrılarak her grup kendi içinde değerlendirilmiştir.</w:t>
      </w:r>
      <w:r w:rsidR="00967759" w:rsidRPr="002E402A">
        <w:rPr>
          <w:rFonts w:ascii="Times New Roman" w:hAnsi="Times New Roman" w:cs="Times New Roman"/>
          <w:sz w:val="24"/>
          <w:szCs w:val="24"/>
        </w:rPr>
        <w:t xml:space="preserve"> </w:t>
      </w:r>
      <w:r w:rsidR="008F6962" w:rsidRPr="002E402A">
        <w:rPr>
          <w:rFonts w:ascii="Times New Roman" w:hAnsi="Times New Roman" w:cs="Times New Roman"/>
          <w:sz w:val="24"/>
          <w:szCs w:val="24"/>
        </w:rPr>
        <w:t>Analiz g</w:t>
      </w:r>
      <w:r w:rsidR="004012C1" w:rsidRPr="002E402A">
        <w:rPr>
          <w:rFonts w:ascii="Times New Roman" w:hAnsi="Times New Roman" w:cs="Times New Roman"/>
          <w:sz w:val="24"/>
          <w:szCs w:val="24"/>
        </w:rPr>
        <w:t>irdiler</w:t>
      </w:r>
      <w:r w:rsidR="00EC363A" w:rsidRPr="002E402A">
        <w:rPr>
          <w:rFonts w:ascii="Times New Roman" w:hAnsi="Times New Roman" w:cs="Times New Roman"/>
          <w:sz w:val="24"/>
          <w:szCs w:val="24"/>
        </w:rPr>
        <w:t>i</w:t>
      </w:r>
      <w:r w:rsidR="004012C1" w:rsidRPr="002E402A">
        <w:rPr>
          <w:rFonts w:ascii="Times New Roman" w:hAnsi="Times New Roman" w:cs="Times New Roman"/>
          <w:sz w:val="24"/>
          <w:szCs w:val="24"/>
        </w:rPr>
        <w:t xml:space="preserve">; toplam mevduat, faiz giderleri ve faiz dışı </w:t>
      </w:r>
      <w:r w:rsidR="00506A82" w:rsidRPr="002E402A">
        <w:rPr>
          <w:rFonts w:ascii="Times New Roman" w:hAnsi="Times New Roman" w:cs="Times New Roman"/>
          <w:sz w:val="24"/>
          <w:szCs w:val="24"/>
        </w:rPr>
        <w:t>giderler</w:t>
      </w:r>
      <w:r w:rsidR="004012C1" w:rsidRPr="002E402A">
        <w:rPr>
          <w:rFonts w:ascii="Times New Roman" w:hAnsi="Times New Roman" w:cs="Times New Roman"/>
          <w:sz w:val="24"/>
          <w:szCs w:val="24"/>
        </w:rPr>
        <w:t>dir. Çıktılar</w:t>
      </w:r>
      <w:r w:rsidR="00EC363A" w:rsidRPr="002E402A">
        <w:rPr>
          <w:rFonts w:ascii="Times New Roman" w:hAnsi="Times New Roman" w:cs="Times New Roman"/>
          <w:sz w:val="24"/>
          <w:szCs w:val="24"/>
        </w:rPr>
        <w:t>ı</w:t>
      </w:r>
      <w:r w:rsidR="004012C1" w:rsidRPr="002E402A">
        <w:rPr>
          <w:rFonts w:ascii="Times New Roman" w:hAnsi="Times New Roman" w:cs="Times New Roman"/>
          <w:sz w:val="24"/>
          <w:szCs w:val="24"/>
        </w:rPr>
        <w:t xml:space="preserve">; toplam krediler ve alacaklar, faiz </w:t>
      </w:r>
      <w:r w:rsidR="00506A82" w:rsidRPr="002E402A">
        <w:rPr>
          <w:rFonts w:ascii="Times New Roman" w:hAnsi="Times New Roman" w:cs="Times New Roman"/>
          <w:sz w:val="24"/>
          <w:szCs w:val="24"/>
        </w:rPr>
        <w:t>gelirleri ve faiz dışı gelirler</w:t>
      </w:r>
      <w:r w:rsidR="004012C1" w:rsidRPr="002E402A">
        <w:rPr>
          <w:rFonts w:ascii="Times New Roman" w:hAnsi="Times New Roman" w:cs="Times New Roman"/>
          <w:sz w:val="24"/>
          <w:szCs w:val="24"/>
        </w:rPr>
        <w:t xml:space="preserve">dir. </w:t>
      </w:r>
      <w:r w:rsidR="00637588" w:rsidRPr="002E402A">
        <w:rPr>
          <w:rFonts w:ascii="Times New Roman" w:hAnsi="Times New Roman" w:cs="Times New Roman"/>
          <w:sz w:val="24"/>
          <w:szCs w:val="24"/>
        </w:rPr>
        <w:t>Türk bankacılık sektöründe uygulanan VZA sonu</w:t>
      </w:r>
      <w:r w:rsidR="00B00A3E" w:rsidRPr="002E402A">
        <w:rPr>
          <w:rFonts w:ascii="Times New Roman" w:hAnsi="Times New Roman" w:cs="Times New Roman"/>
          <w:sz w:val="24"/>
          <w:szCs w:val="24"/>
        </w:rPr>
        <w:t>çları, sektörün genel görünümüyl</w:t>
      </w:r>
      <w:r w:rsidR="00637588" w:rsidRPr="002E402A">
        <w:rPr>
          <w:rFonts w:ascii="Times New Roman" w:hAnsi="Times New Roman" w:cs="Times New Roman"/>
          <w:sz w:val="24"/>
          <w:szCs w:val="24"/>
        </w:rPr>
        <w:t xml:space="preserve">e örtüşmektedir. Etkin </w:t>
      </w:r>
      <w:r w:rsidR="002B4AC8" w:rsidRPr="002E402A">
        <w:rPr>
          <w:rFonts w:ascii="Times New Roman" w:hAnsi="Times New Roman" w:cs="Times New Roman"/>
          <w:sz w:val="24"/>
          <w:szCs w:val="24"/>
        </w:rPr>
        <w:t>bankalar</w:t>
      </w:r>
      <w:r w:rsidR="00637588" w:rsidRPr="002E402A">
        <w:rPr>
          <w:rFonts w:ascii="Times New Roman" w:hAnsi="Times New Roman" w:cs="Times New Roman"/>
          <w:sz w:val="24"/>
          <w:szCs w:val="24"/>
        </w:rPr>
        <w:t xml:space="preserve"> arasında istatistiksel olarak anlamlı bir fark olmadığı </w:t>
      </w:r>
      <w:r w:rsidR="00B00A3E" w:rsidRPr="002E402A">
        <w:rPr>
          <w:rFonts w:ascii="Times New Roman" w:hAnsi="Times New Roman" w:cs="Times New Roman"/>
          <w:sz w:val="24"/>
          <w:szCs w:val="24"/>
        </w:rPr>
        <w:t>bulunmuştur</w:t>
      </w:r>
      <w:r w:rsidR="00637588" w:rsidRPr="002E402A">
        <w:rPr>
          <w:rFonts w:ascii="Times New Roman" w:hAnsi="Times New Roman" w:cs="Times New Roman"/>
          <w:sz w:val="24"/>
          <w:szCs w:val="24"/>
        </w:rPr>
        <w:t xml:space="preserve">. </w:t>
      </w:r>
    </w:p>
    <w:p w:rsidR="00955837" w:rsidRPr="002E402A" w:rsidRDefault="00CC0CFF" w:rsidP="000A330A">
      <w:pPr>
        <w:spacing w:line="240" w:lineRule="auto"/>
        <w:rPr>
          <w:rFonts w:ascii="Times New Roman" w:hAnsi="Times New Roman" w:cs="Times New Roman"/>
          <w:sz w:val="24"/>
          <w:szCs w:val="24"/>
        </w:rPr>
      </w:pPr>
      <w:r w:rsidRPr="002E402A">
        <w:rPr>
          <w:rFonts w:ascii="Times New Roman" w:hAnsi="Times New Roman" w:cs="Times New Roman"/>
          <w:sz w:val="24"/>
          <w:szCs w:val="24"/>
        </w:rPr>
        <w:t>Behdioğlu ve Özcan</w:t>
      </w:r>
      <w:r w:rsidR="00A41A31">
        <w:rPr>
          <w:rFonts w:ascii="Times New Roman" w:hAnsi="Times New Roman" w:cs="Times New Roman"/>
          <w:sz w:val="24"/>
          <w:szCs w:val="24"/>
        </w:rPr>
        <w:t>’</w:t>
      </w:r>
      <w:r w:rsidR="002655E2" w:rsidRPr="002E402A">
        <w:rPr>
          <w:rFonts w:ascii="Times New Roman" w:hAnsi="Times New Roman" w:cs="Times New Roman"/>
          <w:sz w:val="24"/>
          <w:szCs w:val="24"/>
        </w:rPr>
        <w:t>ın</w:t>
      </w:r>
      <w:r w:rsidRPr="002E402A">
        <w:rPr>
          <w:rFonts w:ascii="Times New Roman" w:hAnsi="Times New Roman" w:cs="Times New Roman"/>
          <w:sz w:val="24"/>
          <w:szCs w:val="24"/>
        </w:rPr>
        <w:t xml:space="preserve"> </w:t>
      </w:r>
      <w:r w:rsidR="00594CEA" w:rsidRPr="002E402A">
        <w:rPr>
          <w:rFonts w:ascii="Times New Roman" w:hAnsi="Times New Roman" w:cs="Times New Roman"/>
          <w:sz w:val="24"/>
          <w:szCs w:val="24"/>
        </w:rPr>
        <w:t>çalışma</w:t>
      </w:r>
      <w:r w:rsidR="002655E2" w:rsidRPr="002E402A">
        <w:rPr>
          <w:rFonts w:ascii="Times New Roman" w:hAnsi="Times New Roman" w:cs="Times New Roman"/>
          <w:sz w:val="24"/>
          <w:szCs w:val="24"/>
        </w:rPr>
        <w:t>sın</w:t>
      </w:r>
      <w:r w:rsidR="00594CEA" w:rsidRPr="002E402A">
        <w:rPr>
          <w:rFonts w:ascii="Times New Roman" w:hAnsi="Times New Roman" w:cs="Times New Roman"/>
          <w:sz w:val="24"/>
          <w:szCs w:val="24"/>
        </w:rPr>
        <w:t>da</w:t>
      </w:r>
      <w:r w:rsidR="000A330A">
        <w:rPr>
          <w:rFonts w:ascii="Times New Roman" w:hAnsi="Times New Roman" w:cs="Times New Roman"/>
          <w:sz w:val="24"/>
          <w:szCs w:val="24"/>
        </w:rPr>
        <w:t xml:space="preserve"> (Behdioğlu ve Özcan, 2009: 301-326</w:t>
      </w:r>
      <w:r w:rsidR="00FC230B" w:rsidRPr="002E402A">
        <w:rPr>
          <w:rFonts w:ascii="Times New Roman" w:hAnsi="Times New Roman" w:cs="Times New Roman"/>
          <w:sz w:val="24"/>
          <w:szCs w:val="24"/>
        </w:rPr>
        <w:t>)</w:t>
      </w:r>
      <w:r w:rsidR="00594CEA" w:rsidRPr="002E402A">
        <w:rPr>
          <w:rFonts w:ascii="Times New Roman" w:hAnsi="Times New Roman" w:cs="Times New Roman"/>
          <w:sz w:val="24"/>
          <w:szCs w:val="24"/>
        </w:rPr>
        <w:t xml:space="preserve">, </w:t>
      </w:r>
      <w:r w:rsidR="003A1B58" w:rsidRPr="002E402A">
        <w:rPr>
          <w:rFonts w:ascii="Times New Roman" w:hAnsi="Times New Roman" w:cs="Times New Roman"/>
          <w:sz w:val="24"/>
          <w:szCs w:val="24"/>
        </w:rPr>
        <w:t xml:space="preserve">1999-2005 yılları döneminde sürekli faaliyet gösteren 29 ticari bankanın verileri ile VZA yapılmıştır. </w:t>
      </w:r>
      <w:r w:rsidR="00061237" w:rsidRPr="002E402A">
        <w:rPr>
          <w:rFonts w:ascii="Times New Roman" w:hAnsi="Times New Roman" w:cs="Times New Roman"/>
          <w:sz w:val="24"/>
          <w:szCs w:val="24"/>
        </w:rPr>
        <w:t>Analizin</w:t>
      </w:r>
      <w:r w:rsidR="00955837" w:rsidRPr="002E402A">
        <w:rPr>
          <w:rFonts w:ascii="Times New Roman" w:hAnsi="Times New Roman" w:cs="Times New Roman"/>
          <w:sz w:val="24"/>
          <w:szCs w:val="24"/>
        </w:rPr>
        <w:t xml:space="preserve"> girdi</w:t>
      </w:r>
      <w:r w:rsidR="00320AD7" w:rsidRPr="002E402A">
        <w:rPr>
          <w:rFonts w:ascii="Times New Roman" w:hAnsi="Times New Roman" w:cs="Times New Roman"/>
          <w:sz w:val="24"/>
          <w:szCs w:val="24"/>
        </w:rPr>
        <w:t>ler</w:t>
      </w:r>
      <w:r w:rsidR="00061237" w:rsidRPr="002E402A">
        <w:rPr>
          <w:rFonts w:ascii="Times New Roman" w:hAnsi="Times New Roman" w:cs="Times New Roman"/>
          <w:sz w:val="24"/>
          <w:szCs w:val="24"/>
        </w:rPr>
        <w:t>i</w:t>
      </w:r>
      <w:r w:rsidR="00955837" w:rsidRPr="002E402A">
        <w:rPr>
          <w:rFonts w:ascii="Times New Roman" w:hAnsi="Times New Roman" w:cs="Times New Roman"/>
          <w:sz w:val="24"/>
          <w:szCs w:val="24"/>
        </w:rPr>
        <w:t>; personel sayısı, fai</w:t>
      </w:r>
      <w:r w:rsidR="00177472" w:rsidRPr="002E402A">
        <w:rPr>
          <w:rFonts w:ascii="Times New Roman" w:hAnsi="Times New Roman" w:cs="Times New Roman"/>
          <w:sz w:val="24"/>
          <w:szCs w:val="24"/>
        </w:rPr>
        <w:t>z dışı giderler, faiz giderleri ve</w:t>
      </w:r>
      <w:r w:rsidR="00955837" w:rsidRPr="002E402A">
        <w:rPr>
          <w:rFonts w:ascii="Times New Roman" w:hAnsi="Times New Roman" w:cs="Times New Roman"/>
          <w:sz w:val="24"/>
          <w:szCs w:val="24"/>
        </w:rPr>
        <w:t xml:space="preserve"> şube sayısı</w:t>
      </w:r>
      <w:r w:rsidR="00177472" w:rsidRPr="002E402A">
        <w:rPr>
          <w:rFonts w:ascii="Times New Roman" w:hAnsi="Times New Roman" w:cs="Times New Roman"/>
          <w:sz w:val="24"/>
          <w:szCs w:val="24"/>
        </w:rPr>
        <w:t>yken</w:t>
      </w:r>
      <w:r w:rsidR="00955837" w:rsidRPr="002E402A">
        <w:rPr>
          <w:rFonts w:ascii="Times New Roman" w:hAnsi="Times New Roman" w:cs="Times New Roman"/>
          <w:sz w:val="24"/>
          <w:szCs w:val="24"/>
        </w:rPr>
        <w:t xml:space="preserve"> çıktı</w:t>
      </w:r>
      <w:r w:rsidR="00320AD7" w:rsidRPr="002E402A">
        <w:rPr>
          <w:rFonts w:ascii="Times New Roman" w:hAnsi="Times New Roman" w:cs="Times New Roman"/>
          <w:sz w:val="24"/>
          <w:szCs w:val="24"/>
        </w:rPr>
        <w:t>lar</w:t>
      </w:r>
      <w:r w:rsidR="00061237" w:rsidRPr="002E402A">
        <w:rPr>
          <w:rFonts w:ascii="Times New Roman" w:hAnsi="Times New Roman" w:cs="Times New Roman"/>
          <w:sz w:val="24"/>
          <w:szCs w:val="24"/>
        </w:rPr>
        <w:t>ı</w:t>
      </w:r>
      <w:r w:rsidR="00955837" w:rsidRPr="002E402A">
        <w:rPr>
          <w:rFonts w:ascii="Times New Roman" w:hAnsi="Times New Roman" w:cs="Times New Roman"/>
          <w:sz w:val="24"/>
          <w:szCs w:val="24"/>
        </w:rPr>
        <w:t>; topla</w:t>
      </w:r>
      <w:r w:rsidR="00177472" w:rsidRPr="002E402A">
        <w:rPr>
          <w:rFonts w:ascii="Times New Roman" w:hAnsi="Times New Roman" w:cs="Times New Roman"/>
          <w:sz w:val="24"/>
          <w:szCs w:val="24"/>
        </w:rPr>
        <w:t>m mevduat, toplam kredi miktarı ve</w:t>
      </w:r>
      <w:r w:rsidR="00955837" w:rsidRPr="002E402A">
        <w:rPr>
          <w:rFonts w:ascii="Times New Roman" w:hAnsi="Times New Roman" w:cs="Times New Roman"/>
          <w:sz w:val="24"/>
          <w:szCs w:val="24"/>
        </w:rPr>
        <w:t xml:space="preserve"> net </w:t>
      </w:r>
      <w:r w:rsidR="007210D2" w:rsidRPr="002E402A">
        <w:rPr>
          <w:rFonts w:ascii="Times New Roman" w:hAnsi="Times New Roman" w:cs="Times New Roman"/>
          <w:sz w:val="24"/>
          <w:szCs w:val="24"/>
        </w:rPr>
        <w:t>kâr</w:t>
      </w:r>
      <w:r w:rsidR="00955837" w:rsidRPr="002E402A">
        <w:rPr>
          <w:rFonts w:ascii="Times New Roman" w:hAnsi="Times New Roman" w:cs="Times New Roman"/>
          <w:sz w:val="24"/>
          <w:szCs w:val="24"/>
        </w:rPr>
        <w:t>dır.</w:t>
      </w:r>
      <w:r w:rsidR="00061237" w:rsidRPr="002E402A">
        <w:rPr>
          <w:rFonts w:ascii="Times New Roman" w:hAnsi="Times New Roman" w:cs="Times New Roman"/>
          <w:sz w:val="24"/>
          <w:szCs w:val="24"/>
        </w:rPr>
        <w:t xml:space="preserve"> Ortalama etkinlik yüzdesi en yüksek olan banka grubu yabancı sermayeli bankalar olarak belirlenmiştir. </w:t>
      </w:r>
      <w:r w:rsidR="00B0347C" w:rsidRPr="002E402A">
        <w:rPr>
          <w:rFonts w:ascii="Times New Roman" w:hAnsi="Times New Roman" w:cs="Times New Roman"/>
          <w:sz w:val="24"/>
          <w:szCs w:val="24"/>
        </w:rPr>
        <w:t>Etkinlik sıralamasında önce büyük, sonra küçük ve orta ölçekli bankalar gel</w:t>
      </w:r>
      <w:r w:rsidR="008B0157" w:rsidRPr="002E402A">
        <w:rPr>
          <w:rFonts w:ascii="Times New Roman" w:hAnsi="Times New Roman" w:cs="Times New Roman"/>
          <w:sz w:val="24"/>
          <w:szCs w:val="24"/>
        </w:rPr>
        <w:t>mişt</w:t>
      </w:r>
      <w:r w:rsidR="00B0347C" w:rsidRPr="002E402A">
        <w:rPr>
          <w:rFonts w:ascii="Times New Roman" w:hAnsi="Times New Roman" w:cs="Times New Roman"/>
          <w:sz w:val="24"/>
          <w:szCs w:val="24"/>
        </w:rPr>
        <w:t xml:space="preserve">ir. </w:t>
      </w:r>
      <w:r w:rsidR="00061237" w:rsidRPr="002E402A">
        <w:rPr>
          <w:rFonts w:ascii="Times New Roman" w:hAnsi="Times New Roman" w:cs="Times New Roman"/>
          <w:sz w:val="24"/>
          <w:szCs w:val="24"/>
        </w:rPr>
        <w:t>T</w:t>
      </w:r>
      <w:r w:rsidR="00B430AB" w:rsidRPr="002E402A">
        <w:rPr>
          <w:rFonts w:ascii="Times New Roman" w:hAnsi="Times New Roman" w:cs="Times New Roman"/>
          <w:sz w:val="24"/>
          <w:szCs w:val="24"/>
        </w:rPr>
        <w:t>icaret bankalarının daha etkin hale gelebilmeleri amacıyla hangi girdilerin ne kadar azaltılacağı ve hangi çıktıların ne kadar arttırılacağı belirlenmiştir.</w:t>
      </w:r>
      <w:r w:rsidR="00B0347C" w:rsidRPr="002E402A">
        <w:rPr>
          <w:rFonts w:ascii="Times New Roman" w:hAnsi="Times New Roman" w:cs="Times New Roman"/>
          <w:sz w:val="24"/>
          <w:szCs w:val="24"/>
        </w:rPr>
        <w:t xml:space="preserve"> Ticaret bankaları sermayelerine göre, kamu, özel ve yabancı sermayeli olarak </w:t>
      </w:r>
      <w:r w:rsidR="00C92DC3" w:rsidRPr="002E402A">
        <w:rPr>
          <w:rFonts w:ascii="Times New Roman" w:hAnsi="Times New Roman" w:cs="Times New Roman"/>
          <w:sz w:val="24"/>
          <w:szCs w:val="24"/>
        </w:rPr>
        <w:t>üç</w:t>
      </w:r>
      <w:r w:rsidR="00B0347C" w:rsidRPr="002E402A">
        <w:rPr>
          <w:rFonts w:ascii="Times New Roman" w:hAnsi="Times New Roman" w:cs="Times New Roman"/>
          <w:sz w:val="24"/>
          <w:szCs w:val="24"/>
        </w:rPr>
        <w:t xml:space="preserve"> gruba ayrılmıştır. </w:t>
      </w:r>
      <w:r w:rsidR="0026536D" w:rsidRPr="002E402A">
        <w:rPr>
          <w:rFonts w:ascii="Times New Roman" w:hAnsi="Times New Roman" w:cs="Times New Roman"/>
          <w:sz w:val="24"/>
          <w:szCs w:val="24"/>
        </w:rPr>
        <w:t>CCR modeline göre, 9</w:t>
      </w:r>
      <w:r w:rsidR="00153275" w:rsidRPr="002E402A">
        <w:rPr>
          <w:rFonts w:ascii="Times New Roman" w:hAnsi="Times New Roman" w:cs="Times New Roman"/>
          <w:sz w:val="24"/>
          <w:szCs w:val="24"/>
        </w:rPr>
        <w:t xml:space="preserve"> </w:t>
      </w:r>
      <w:r w:rsidR="00133D3B" w:rsidRPr="002E402A">
        <w:rPr>
          <w:rFonts w:ascii="Times New Roman" w:hAnsi="Times New Roman" w:cs="Times New Roman"/>
          <w:sz w:val="24"/>
          <w:szCs w:val="24"/>
        </w:rPr>
        <w:t>adet</w:t>
      </w:r>
      <w:r w:rsidR="0026536D" w:rsidRPr="002E402A">
        <w:rPr>
          <w:rFonts w:ascii="Times New Roman" w:hAnsi="Times New Roman" w:cs="Times New Roman"/>
          <w:sz w:val="24"/>
          <w:szCs w:val="24"/>
        </w:rPr>
        <w:t xml:space="preserve"> ticaret bankası etkin bulunurken, BCC modeline göre 19 banka etkin bulunmuştur. Farklı sonuçlar çıkması</w:t>
      </w:r>
      <w:r w:rsidR="00C92DC3" w:rsidRPr="002E402A">
        <w:rPr>
          <w:rFonts w:ascii="Times New Roman" w:hAnsi="Times New Roman" w:cs="Times New Roman"/>
          <w:sz w:val="24"/>
          <w:szCs w:val="24"/>
        </w:rPr>
        <w:t>nın</w:t>
      </w:r>
      <w:r w:rsidR="0026536D" w:rsidRPr="002E402A">
        <w:rPr>
          <w:rFonts w:ascii="Times New Roman" w:hAnsi="Times New Roman" w:cs="Times New Roman"/>
          <w:sz w:val="24"/>
          <w:szCs w:val="24"/>
        </w:rPr>
        <w:t xml:space="preserve"> nedeni, BCC modeline göre etkin bankaların ölçek etkinliğini sağlayamadıklarından toplam etkinlik ölçümü yapan CCR modeline göre etkin bulunamamasıdır. </w:t>
      </w:r>
      <w:r w:rsidR="0003593A" w:rsidRPr="002E402A">
        <w:rPr>
          <w:rFonts w:ascii="Times New Roman" w:hAnsi="Times New Roman" w:cs="Times New Roman"/>
          <w:sz w:val="24"/>
          <w:szCs w:val="24"/>
        </w:rPr>
        <w:t>Bankaların kaynaklarını verimsiz kullandıkları, yatırım veya organik büyüme sürec</w:t>
      </w:r>
      <w:r w:rsidR="00061237" w:rsidRPr="002E402A">
        <w:rPr>
          <w:rFonts w:ascii="Times New Roman" w:hAnsi="Times New Roman" w:cs="Times New Roman"/>
          <w:sz w:val="24"/>
          <w:szCs w:val="24"/>
        </w:rPr>
        <w:t>inde oldukları,</w:t>
      </w:r>
      <w:r w:rsidR="0003593A" w:rsidRPr="002E402A">
        <w:rPr>
          <w:rFonts w:ascii="Times New Roman" w:hAnsi="Times New Roman" w:cs="Times New Roman"/>
          <w:sz w:val="24"/>
          <w:szCs w:val="24"/>
        </w:rPr>
        <w:t xml:space="preserve"> </w:t>
      </w:r>
      <w:r w:rsidR="00061237" w:rsidRPr="002E402A">
        <w:rPr>
          <w:rFonts w:ascii="Times New Roman" w:hAnsi="Times New Roman" w:cs="Times New Roman"/>
          <w:sz w:val="24"/>
          <w:szCs w:val="24"/>
        </w:rPr>
        <w:t>ö</w:t>
      </w:r>
      <w:r w:rsidR="0003593A" w:rsidRPr="002E402A">
        <w:rPr>
          <w:rFonts w:ascii="Times New Roman" w:hAnsi="Times New Roman" w:cs="Times New Roman"/>
          <w:sz w:val="24"/>
          <w:szCs w:val="24"/>
        </w:rPr>
        <w:t>lçeğe göre artan getiri eğiliminde olan 10</w:t>
      </w:r>
      <w:r w:rsidR="00A41A31">
        <w:rPr>
          <w:rFonts w:ascii="Times New Roman" w:hAnsi="Times New Roman" w:cs="Times New Roman"/>
          <w:sz w:val="24"/>
          <w:szCs w:val="24"/>
        </w:rPr>
        <w:t xml:space="preserve"> </w:t>
      </w:r>
      <w:r w:rsidR="00133D3B" w:rsidRPr="002E402A">
        <w:rPr>
          <w:rFonts w:ascii="Times New Roman" w:hAnsi="Times New Roman" w:cs="Times New Roman"/>
          <w:sz w:val="24"/>
          <w:szCs w:val="24"/>
        </w:rPr>
        <w:t>adet</w:t>
      </w:r>
      <w:r w:rsidR="0003593A" w:rsidRPr="002E402A">
        <w:rPr>
          <w:rFonts w:ascii="Times New Roman" w:hAnsi="Times New Roman" w:cs="Times New Roman"/>
          <w:sz w:val="24"/>
          <w:szCs w:val="24"/>
        </w:rPr>
        <w:t xml:space="preserve"> banka için kaynaklar</w:t>
      </w:r>
      <w:r w:rsidR="00061237" w:rsidRPr="002E402A">
        <w:rPr>
          <w:rFonts w:ascii="Times New Roman" w:hAnsi="Times New Roman" w:cs="Times New Roman"/>
          <w:sz w:val="24"/>
          <w:szCs w:val="24"/>
        </w:rPr>
        <w:t>ın</w:t>
      </w:r>
      <w:r w:rsidR="0003593A" w:rsidRPr="002E402A">
        <w:rPr>
          <w:rFonts w:ascii="Times New Roman" w:hAnsi="Times New Roman" w:cs="Times New Roman"/>
          <w:sz w:val="24"/>
          <w:szCs w:val="24"/>
        </w:rPr>
        <w:t xml:space="preserve"> yetersiz kullanıl</w:t>
      </w:r>
      <w:r w:rsidR="00061237" w:rsidRPr="002E402A">
        <w:rPr>
          <w:rFonts w:ascii="Times New Roman" w:hAnsi="Times New Roman" w:cs="Times New Roman"/>
          <w:sz w:val="24"/>
          <w:szCs w:val="24"/>
        </w:rPr>
        <w:t>dığı sonucuna varıl</w:t>
      </w:r>
      <w:r w:rsidR="0003593A" w:rsidRPr="002E402A">
        <w:rPr>
          <w:rFonts w:ascii="Times New Roman" w:hAnsi="Times New Roman" w:cs="Times New Roman"/>
          <w:sz w:val="24"/>
          <w:szCs w:val="24"/>
        </w:rPr>
        <w:t>mıştır.</w:t>
      </w:r>
    </w:p>
    <w:p w:rsidR="00D46F66" w:rsidRPr="002E402A" w:rsidRDefault="00B81618" w:rsidP="00A41A31">
      <w:pPr>
        <w:spacing w:line="240" w:lineRule="auto"/>
        <w:rPr>
          <w:rFonts w:ascii="Times New Roman" w:hAnsi="Times New Roman" w:cs="Times New Roman"/>
          <w:sz w:val="24"/>
          <w:szCs w:val="24"/>
        </w:rPr>
      </w:pPr>
      <w:r w:rsidRPr="002E402A">
        <w:rPr>
          <w:rFonts w:ascii="Times New Roman" w:hAnsi="Times New Roman" w:cs="Times New Roman"/>
          <w:sz w:val="24"/>
          <w:szCs w:val="24"/>
        </w:rPr>
        <w:t>Şahin</w:t>
      </w:r>
      <w:r w:rsidR="000E584D" w:rsidRPr="002E402A">
        <w:rPr>
          <w:rFonts w:ascii="Times New Roman" w:hAnsi="Times New Roman" w:cs="Times New Roman"/>
          <w:sz w:val="24"/>
          <w:szCs w:val="24"/>
        </w:rPr>
        <w:t xml:space="preserve"> ve diğerleri</w:t>
      </w:r>
      <w:r w:rsidR="00AA3207" w:rsidRPr="002E402A">
        <w:rPr>
          <w:rFonts w:ascii="Times New Roman" w:hAnsi="Times New Roman" w:cs="Times New Roman"/>
          <w:sz w:val="24"/>
          <w:szCs w:val="24"/>
        </w:rPr>
        <w:t>nin</w:t>
      </w:r>
      <w:r w:rsidR="00FE3316" w:rsidRPr="002E402A">
        <w:rPr>
          <w:rFonts w:ascii="Times New Roman" w:hAnsi="Times New Roman" w:cs="Times New Roman"/>
          <w:sz w:val="24"/>
          <w:szCs w:val="24"/>
        </w:rPr>
        <w:t xml:space="preserve"> (</w:t>
      </w:r>
      <w:r w:rsidRPr="002E402A">
        <w:rPr>
          <w:rFonts w:ascii="Times New Roman" w:hAnsi="Times New Roman" w:cs="Times New Roman"/>
          <w:sz w:val="24"/>
          <w:szCs w:val="24"/>
        </w:rPr>
        <w:t>Şahin, Aktaş</w:t>
      </w:r>
      <w:r w:rsidR="00396C2F" w:rsidRPr="002E402A">
        <w:rPr>
          <w:rFonts w:ascii="Times New Roman" w:hAnsi="Times New Roman" w:cs="Times New Roman"/>
          <w:sz w:val="24"/>
          <w:szCs w:val="24"/>
        </w:rPr>
        <w:t xml:space="preserve"> ve </w:t>
      </w:r>
      <w:r w:rsidRPr="002E402A">
        <w:rPr>
          <w:rFonts w:ascii="Times New Roman" w:hAnsi="Times New Roman" w:cs="Times New Roman"/>
          <w:sz w:val="24"/>
          <w:szCs w:val="24"/>
        </w:rPr>
        <w:t>Boyacıoğlu</w:t>
      </w:r>
      <w:r w:rsidR="00396C2F" w:rsidRPr="002E402A">
        <w:rPr>
          <w:rFonts w:ascii="Times New Roman" w:hAnsi="Times New Roman" w:cs="Times New Roman"/>
          <w:sz w:val="24"/>
          <w:szCs w:val="24"/>
        </w:rPr>
        <w:t xml:space="preserve">, </w:t>
      </w:r>
      <w:r w:rsidR="00FE3316" w:rsidRPr="002E402A">
        <w:rPr>
          <w:rFonts w:ascii="Times New Roman" w:hAnsi="Times New Roman" w:cs="Times New Roman"/>
          <w:sz w:val="24"/>
          <w:szCs w:val="24"/>
        </w:rPr>
        <w:t>2009</w:t>
      </w:r>
      <w:r w:rsidR="00A41A31">
        <w:rPr>
          <w:rFonts w:ascii="Times New Roman" w:hAnsi="Times New Roman" w:cs="Times New Roman"/>
          <w:sz w:val="24"/>
          <w:szCs w:val="24"/>
        </w:rPr>
        <w:t>:</w:t>
      </w:r>
      <w:r w:rsidRPr="002E402A">
        <w:rPr>
          <w:rFonts w:ascii="Times New Roman" w:hAnsi="Times New Roman" w:cs="Times New Roman"/>
          <w:sz w:val="24"/>
          <w:szCs w:val="24"/>
        </w:rPr>
        <w:t xml:space="preserve"> 301-326</w:t>
      </w:r>
      <w:r w:rsidR="00FE3316" w:rsidRPr="002E402A">
        <w:rPr>
          <w:rFonts w:ascii="Times New Roman" w:hAnsi="Times New Roman" w:cs="Times New Roman"/>
          <w:sz w:val="24"/>
          <w:szCs w:val="24"/>
        </w:rPr>
        <w:t>)</w:t>
      </w:r>
      <w:r w:rsidR="000E584D" w:rsidRPr="002E402A">
        <w:rPr>
          <w:rFonts w:ascii="Times New Roman" w:hAnsi="Times New Roman" w:cs="Times New Roman"/>
          <w:sz w:val="24"/>
          <w:szCs w:val="24"/>
        </w:rPr>
        <w:t xml:space="preserve"> çalışma</w:t>
      </w:r>
      <w:r w:rsidR="00AA3207" w:rsidRPr="002E402A">
        <w:rPr>
          <w:rFonts w:ascii="Times New Roman" w:hAnsi="Times New Roman" w:cs="Times New Roman"/>
          <w:sz w:val="24"/>
          <w:szCs w:val="24"/>
        </w:rPr>
        <w:t>sın</w:t>
      </w:r>
      <w:r w:rsidR="000E584D" w:rsidRPr="002E402A">
        <w:rPr>
          <w:rFonts w:ascii="Times New Roman" w:hAnsi="Times New Roman" w:cs="Times New Roman"/>
          <w:sz w:val="24"/>
          <w:szCs w:val="24"/>
        </w:rPr>
        <w:t xml:space="preserve">da, </w:t>
      </w:r>
      <w:r w:rsidR="008B4E58" w:rsidRPr="002E402A">
        <w:rPr>
          <w:rFonts w:ascii="Times New Roman" w:hAnsi="Times New Roman" w:cs="Times New Roman"/>
          <w:sz w:val="24"/>
          <w:szCs w:val="24"/>
        </w:rPr>
        <w:t>2007- 2009 yılları arasında 16 ticari banka</w:t>
      </w:r>
      <w:r w:rsidR="002E4557" w:rsidRPr="002E402A">
        <w:rPr>
          <w:rFonts w:ascii="Times New Roman" w:hAnsi="Times New Roman" w:cs="Times New Roman"/>
          <w:sz w:val="24"/>
          <w:szCs w:val="24"/>
        </w:rPr>
        <w:t xml:space="preserve"> verisi il</w:t>
      </w:r>
      <w:r w:rsidR="00AA3207" w:rsidRPr="002E402A">
        <w:rPr>
          <w:rFonts w:ascii="Times New Roman" w:hAnsi="Times New Roman" w:cs="Times New Roman"/>
          <w:sz w:val="24"/>
          <w:szCs w:val="24"/>
        </w:rPr>
        <w:t>e</w:t>
      </w:r>
      <w:r w:rsidR="008B4E58" w:rsidRPr="002E402A">
        <w:rPr>
          <w:rFonts w:ascii="Times New Roman" w:hAnsi="Times New Roman" w:cs="Times New Roman"/>
          <w:sz w:val="24"/>
          <w:szCs w:val="24"/>
        </w:rPr>
        <w:t xml:space="preserve"> VZA tekniği kullanılmıştır.</w:t>
      </w:r>
      <w:r w:rsidR="002618CF" w:rsidRPr="002E402A">
        <w:rPr>
          <w:rFonts w:ascii="Times New Roman" w:hAnsi="Times New Roman" w:cs="Times New Roman"/>
          <w:sz w:val="24"/>
          <w:szCs w:val="24"/>
        </w:rPr>
        <w:t xml:space="preserve"> </w:t>
      </w:r>
      <w:r w:rsidR="00AA3207" w:rsidRPr="002E402A">
        <w:rPr>
          <w:rFonts w:ascii="Times New Roman" w:hAnsi="Times New Roman" w:cs="Times New Roman"/>
          <w:sz w:val="24"/>
          <w:szCs w:val="24"/>
        </w:rPr>
        <w:t xml:space="preserve">Analizin </w:t>
      </w:r>
      <w:r w:rsidR="00026453" w:rsidRPr="002E402A">
        <w:rPr>
          <w:rFonts w:ascii="Times New Roman" w:hAnsi="Times New Roman" w:cs="Times New Roman"/>
          <w:sz w:val="24"/>
          <w:szCs w:val="24"/>
        </w:rPr>
        <w:t>g</w:t>
      </w:r>
      <w:r w:rsidR="002618CF" w:rsidRPr="002E402A">
        <w:rPr>
          <w:rFonts w:ascii="Times New Roman" w:hAnsi="Times New Roman" w:cs="Times New Roman"/>
          <w:sz w:val="24"/>
          <w:szCs w:val="24"/>
        </w:rPr>
        <w:t>irdi</w:t>
      </w:r>
      <w:r w:rsidR="00026453" w:rsidRPr="002E402A">
        <w:rPr>
          <w:rFonts w:ascii="Times New Roman" w:hAnsi="Times New Roman" w:cs="Times New Roman"/>
          <w:sz w:val="24"/>
          <w:szCs w:val="24"/>
        </w:rPr>
        <w:t>ler</w:t>
      </w:r>
      <w:r w:rsidR="00AA3207" w:rsidRPr="002E402A">
        <w:rPr>
          <w:rFonts w:ascii="Times New Roman" w:hAnsi="Times New Roman" w:cs="Times New Roman"/>
          <w:sz w:val="24"/>
          <w:szCs w:val="24"/>
        </w:rPr>
        <w:t>i;</w:t>
      </w:r>
      <w:r w:rsidR="002618CF" w:rsidRPr="002E402A">
        <w:rPr>
          <w:rFonts w:ascii="Times New Roman" w:hAnsi="Times New Roman" w:cs="Times New Roman"/>
          <w:sz w:val="24"/>
          <w:szCs w:val="24"/>
        </w:rPr>
        <w:t xml:space="preserve"> ödenmiş sermayenin toplam varlıklara oranı, personel harcamal</w:t>
      </w:r>
      <w:r w:rsidR="002E4557" w:rsidRPr="002E402A">
        <w:rPr>
          <w:rFonts w:ascii="Times New Roman" w:hAnsi="Times New Roman" w:cs="Times New Roman"/>
          <w:sz w:val="24"/>
          <w:szCs w:val="24"/>
        </w:rPr>
        <w:t xml:space="preserve">arının toplam varlıklara oranı ve </w:t>
      </w:r>
      <w:r w:rsidR="002618CF" w:rsidRPr="002E402A">
        <w:rPr>
          <w:rFonts w:ascii="Times New Roman" w:hAnsi="Times New Roman" w:cs="Times New Roman"/>
          <w:sz w:val="24"/>
          <w:szCs w:val="24"/>
        </w:rPr>
        <w:t>şube başına personel sayısı</w:t>
      </w:r>
      <w:r w:rsidR="00671F99" w:rsidRPr="002E402A">
        <w:rPr>
          <w:rFonts w:ascii="Times New Roman" w:hAnsi="Times New Roman" w:cs="Times New Roman"/>
          <w:sz w:val="24"/>
          <w:szCs w:val="24"/>
        </w:rPr>
        <w:t>dır. Ç</w:t>
      </w:r>
      <w:r w:rsidR="002618CF" w:rsidRPr="002E402A">
        <w:rPr>
          <w:rFonts w:ascii="Times New Roman" w:hAnsi="Times New Roman" w:cs="Times New Roman"/>
          <w:sz w:val="24"/>
          <w:szCs w:val="24"/>
        </w:rPr>
        <w:t>ıktı</w:t>
      </w:r>
      <w:r w:rsidR="00026453" w:rsidRPr="002E402A">
        <w:rPr>
          <w:rFonts w:ascii="Times New Roman" w:hAnsi="Times New Roman" w:cs="Times New Roman"/>
          <w:sz w:val="24"/>
          <w:szCs w:val="24"/>
        </w:rPr>
        <w:t>lar</w:t>
      </w:r>
      <w:r w:rsidR="00AA3207" w:rsidRPr="002E402A">
        <w:rPr>
          <w:rFonts w:ascii="Times New Roman" w:hAnsi="Times New Roman" w:cs="Times New Roman"/>
          <w:sz w:val="24"/>
          <w:szCs w:val="24"/>
        </w:rPr>
        <w:t>ı</w:t>
      </w:r>
      <w:r w:rsidR="00026453" w:rsidRPr="002E402A">
        <w:rPr>
          <w:rFonts w:ascii="Times New Roman" w:hAnsi="Times New Roman" w:cs="Times New Roman"/>
          <w:sz w:val="24"/>
          <w:szCs w:val="24"/>
        </w:rPr>
        <w:t xml:space="preserve"> ise,</w:t>
      </w:r>
      <w:r w:rsidR="002618CF" w:rsidRPr="002E402A">
        <w:rPr>
          <w:rFonts w:ascii="Times New Roman" w:hAnsi="Times New Roman" w:cs="Times New Roman"/>
          <w:sz w:val="24"/>
          <w:szCs w:val="24"/>
        </w:rPr>
        <w:t xml:space="preserve"> </w:t>
      </w:r>
      <w:r w:rsidR="00227BD4" w:rsidRPr="002E402A">
        <w:rPr>
          <w:rFonts w:ascii="Times New Roman" w:hAnsi="Times New Roman" w:cs="Times New Roman"/>
          <w:sz w:val="24"/>
          <w:szCs w:val="24"/>
        </w:rPr>
        <w:t xml:space="preserve">toplam borçların ve alacakların toplam varlıklara oranı ve toplam </w:t>
      </w:r>
      <w:r w:rsidR="00026453" w:rsidRPr="002E402A">
        <w:rPr>
          <w:rFonts w:ascii="Times New Roman" w:hAnsi="Times New Roman" w:cs="Times New Roman"/>
          <w:sz w:val="24"/>
          <w:szCs w:val="24"/>
        </w:rPr>
        <w:t>mevduatın varlıklara oranı</w:t>
      </w:r>
      <w:r w:rsidR="00AA3207" w:rsidRPr="002E402A">
        <w:rPr>
          <w:rFonts w:ascii="Times New Roman" w:hAnsi="Times New Roman" w:cs="Times New Roman"/>
          <w:sz w:val="24"/>
          <w:szCs w:val="24"/>
        </w:rPr>
        <w:t>d</w:t>
      </w:r>
      <w:r w:rsidR="00227BD4" w:rsidRPr="002E402A">
        <w:rPr>
          <w:rFonts w:ascii="Times New Roman" w:hAnsi="Times New Roman" w:cs="Times New Roman"/>
          <w:sz w:val="24"/>
          <w:szCs w:val="24"/>
        </w:rPr>
        <w:t>ır.</w:t>
      </w:r>
      <w:r w:rsidR="002618CF" w:rsidRPr="002E402A">
        <w:rPr>
          <w:rFonts w:ascii="Times New Roman" w:hAnsi="Times New Roman" w:cs="Times New Roman"/>
          <w:sz w:val="24"/>
          <w:szCs w:val="24"/>
        </w:rPr>
        <w:t xml:space="preserve"> </w:t>
      </w:r>
      <w:r w:rsidR="008B4E58" w:rsidRPr="002E402A">
        <w:rPr>
          <w:rFonts w:ascii="Times New Roman" w:hAnsi="Times New Roman" w:cs="Times New Roman"/>
          <w:sz w:val="24"/>
          <w:szCs w:val="24"/>
        </w:rPr>
        <w:t xml:space="preserve">Yıl bazında toplam faktör verimlliklerinde zayıf artış olduğu ve </w:t>
      </w:r>
      <w:r w:rsidR="00022575" w:rsidRPr="002E402A">
        <w:rPr>
          <w:rFonts w:ascii="Times New Roman" w:hAnsi="Times New Roman" w:cs="Times New Roman"/>
          <w:sz w:val="24"/>
          <w:szCs w:val="24"/>
        </w:rPr>
        <w:t>2007-2008 yıllarında bankaların ortalama üretim fon</w:t>
      </w:r>
      <w:r w:rsidR="00CB37E9" w:rsidRPr="002E402A">
        <w:rPr>
          <w:rFonts w:ascii="Times New Roman" w:hAnsi="Times New Roman" w:cs="Times New Roman"/>
          <w:sz w:val="24"/>
          <w:szCs w:val="24"/>
        </w:rPr>
        <w:t>ksiyonları etkin bulunmuştur.</w:t>
      </w:r>
    </w:p>
    <w:p w:rsidR="00285FA1" w:rsidRPr="002E402A" w:rsidRDefault="00285FA1" w:rsidP="00A41A31">
      <w:pPr>
        <w:spacing w:line="240" w:lineRule="auto"/>
        <w:rPr>
          <w:rFonts w:ascii="Times New Roman" w:hAnsi="Times New Roman" w:cs="Times New Roman"/>
          <w:sz w:val="24"/>
          <w:szCs w:val="24"/>
        </w:rPr>
      </w:pPr>
      <w:r w:rsidRPr="002E402A">
        <w:rPr>
          <w:rFonts w:ascii="Times New Roman" w:hAnsi="Times New Roman" w:cs="Times New Roman"/>
          <w:sz w:val="24"/>
          <w:szCs w:val="24"/>
        </w:rPr>
        <w:t>Koçyiğit (</w:t>
      </w:r>
      <w:r w:rsidR="009F0001" w:rsidRPr="002E402A">
        <w:rPr>
          <w:rFonts w:ascii="Times New Roman" w:hAnsi="Times New Roman" w:cs="Times New Roman"/>
          <w:sz w:val="24"/>
          <w:szCs w:val="24"/>
        </w:rPr>
        <w:t xml:space="preserve">Koçyiğit, </w:t>
      </w:r>
      <w:r w:rsidRPr="002E402A">
        <w:rPr>
          <w:rFonts w:ascii="Times New Roman" w:hAnsi="Times New Roman" w:cs="Times New Roman"/>
          <w:sz w:val="24"/>
          <w:szCs w:val="24"/>
        </w:rPr>
        <w:t xml:space="preserve">2013) tarafından, 2006-2010 yılları arasında borsada işlem gören 13 mevduat bankasının etkinliği ile hisse senedi getirileri arasındaki ilişki VZA yöntemi ile konsolide olmayan </w:t>
      </w:r>
      <w:r w:rsidRPr="002E402A">
        <w:rPr>
          <w:rFonts w:ascii="Times New Roman" w:hAnsi="Times New Roman" w:cs="Times New Roman"/>
          <w:sz w:val="24"/>
          <w:szCs w:val="24"/>
        </w:rPr>
        <w:lastRenderedPageBreak/>
        <w:t>finansal tablolar ve borsa tarafından yayımlanan hisse senedi getiri verileri kullanılarak incelenmiştir. Analiz girdileri; faiz geliri, net ücret ve komisyo</w:t>
      </w:r>
      <w:r w:rsidR="002E4557" w:rsidRPr="002E402A">
        <w:rPr>
          <w:rFonts w:ascii="Times New Roman" w:hAnsi="Times New Roman" w:cs="Times New Roman"/>
          <w:sz w:val="24"/>
          <w:szCs w:val="24"/>
        </w:rPr>
        <w:t>n geliri, diğer faaliyet geliri</w:t>
      </w:r>
      <w:r w:rsidR="00C83BB0" w:rsidRPr="002E402A">
        <w:rPr>
          <w:rFonts w:ascii="Times New Roman" w:hAnsi="Times New Roman" w:cs="Times New Roman"/>
          <w:sz w:val="24"/>
          <w:szCs w:val="24"/>
        </w:rPr>
        <w:t>dir. Ç</w:t>
      </w:r>
      <w:r w:rsidRPr="002E402A">
        <w:rPr>
          <w:rFonts w:ascii="Times New Roman" w:hAnsi="Times New Roman" w:cs="Times New Roman"/>
          <w:sz w:val="24"/>
          <w:szCs w:val="24"/>
        </w:rPr>
        <w:t>ıktıları</w:t>
      </w:r>
      <w:r w:rsidR="00C83BB0" w:rsidRPr="002E402A">
        <w:rPr>
          <w:rFonts w:ascii="Times New Roman" w:hAnsi="Times New Roman" w:cs="Times New Roman"/>
          <w:sz w:val="24"/>
          <w:szCs w:val="24"/>
        </w:rPr>
        <w:t xml:space="preserve"> ise</w:t>
      </w:r>
      <w:r w:rsidRPr="002E402A">
        <w:rPr>
          <w:rFonts w:ascii="Times New Roman" w:hAnsi="Times New Roman" w:cs="Times New Roman"/>
          <w:sz w:val="24"/>
          <w:szCs w:val="24"/>
        </w:rPr>
        <w:t xml:space="preserve">; faiz gideri, kredi ve diğer alacaklar değer düşüklüğü </w:t>
      </w:r>
      <w:r w:rsidR="007210D2" w:rsidRPr="002E402A">
        <w:rPr>
          <w:rFonts w:ascii="Times New Roman" w:hAnsi="Times New Roman" w:cs="Times New Roman"/>
          <w:sz w:val="24"/>
          <w:szCs w:val="24"/>
        </w:rPr>
        <w:t>k</w:t>
      </w:r>
      <w:r w:rsidR="00B8078C" w:rsidRPr="002E402A">
        <w:rPr>
          <w:rFonts w:ascii="Times New Roman" w:hAnsi="Times New Roman" w:cs="Times New Roman"/>
          <w:sz w:val="24"/>
          <w:szCs w:val="24"/>
        </w:rPr>
        <w:t>a</w:t>
      </w:r>
      <w:r w:rsidR="007210D2" w:rsidRPr="002E402A">
        <w:rPr>
          <w:rFonts w:ascii="Times New Roman" w:hAnsi="Times New Roman" w:cs="Times New Roman"/>
          <w:sz w:val="24"/>
          <w:szCs w:val="24"/>
        </w:rPr>
        <w:t>r</w:t>
      </w:r>
      <w:r w:rsidRPr="002E402A">
        <w:rPr>
          <w:rFonts w:ascii="Times New Roman" w:hAnsi="Times New Roman" w:cs="Times New Roman"/>
          <w:sz w:val="24"/>
          <w:szCs w:val="24"/>
        </w:rPr>
        <w:t>şılığı, diğer faaliyet gideri</w:t>
      </w:r>
      <w:r w:rsidR="002E4557" w:rsidRPr="002E402A">
        <w:rPr>
          <w:rFonts w:ascii="Times New Roman" w:hAnsi="Times New Roman" w:cs="Times New Roman"/>
          <w:sz w:val="24"/>
          <w:szCs w:val="24"/>
        </w:rPr>
        <w:t xml:space="preserve"> şeklinde</w:t>
      </w:r>
      <w:r w:rsidRPr="002E402A">
        <w:rPr>
          <w:rFonts w:ascii="Times New Roman" w:hAnsi="Times New Roman" w:cs="Times New Roman"/>
          <w:sz w:val="24"/>
          <w:szCs w:val="24"/>
        </w:rPr>
        <w:t xml:space="preserve">dir. Sonuçta, mevduat bankalarının etkinliği ile hisse getirileri arasında anlamlı ilişkinin olmadığı sonucuna ulaşılmıştır. Yatırımcıların mevduat bankalarının hisse senetlerine yatırım yaparken etkinliğini dikkate almadıkları düşünülmüştür. </w:t>
      </w:r>
    </w:p>
    <w:p w:rsidR="00C823F1" w:rsidRPr="002E402A" w:rsidRDefault="00C823F1" w:rsidP="00A41A31">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Atan (Atan, 2003) tarafından yapılan çalışmada 1999-2001 yılları dönemi verileri VZA yöntemi kullanılarak incelenmiştir. </w:t>
      </w:r>
      <w:r w:rsidR="008866A1" w:rsidRPr="002E402A">
        <w:rPr>
          <w:rFonts w:ascii="Times New Roman" w:hAnsi="Times New Roman" w:cs="Times New Roman"/>
          <w:sz w:val="24"/>
          <w:szCs w:val="24"/>
        </w:rPr>
        <w:t>Çalışmada g</w:t>
      </w:r>
      <w:r w:rsidRPr="002E402A">
        <w:rPr>
          <w:rFonts w:ascii="Times New Roman" w:hAnsi="Times New Roman" w:cs="Times New Roman"/>
          <w:sz w:val="24"/>
          <w:szCs w:val="24"/>
        </w:rPr>
        <w:t>irdi olarak, mevduat, mevduat dışı kaynaklar, öz</w:t>
      </w:r>
      <w:r w:rsidR="00506A82" w:rsidRPr="002E402A">
        <w:rPr>
          <w:rFonts w:ascii="Times New Roman" w:hAnsi="Times New Roman" w:cs="Times New Roman"/>
          <w:sz w:val="24"/>
          <w:szCs w:val="24"/>
        </w:rPr>
        <w:t xml:space="preserve"> </w:t>
      </w:r>
      <w:r w:rsidRPr="002E402A">
        <w:rPr>
          <w:rFonts w:ascii="Times New Roman" w:hAnsi="Times New Roman" w:cs="Times New Roman"/>
          <w:sz w:val="24"/>
          <w:szCs w:val="24"/>
        </w:rPr>
        <w:t>kaynaklar, faiz giderleri, faiz dışı giderler, şube sayısı ve personel sayısı</w:t>
      </w:r>
      <w:r w:rsidR="008866A1" w:rsidRPr="002E402A">
        <w:rPr>
          <w:rFonts w:ascii="Times New Roman" w:hAnsi="Times New Roman" w:cs="Times New Roman"/>
          <w:sz w:val="24"/>
          <w:szCs w:val="24"/>
        </w:rPr>
        <w:t xml:space="preserve"> kullanılmış olup ç</w:t>
      </w:r>
      <w:r w:rsidRPr="002E402A">
        <w:rPr>
          <w:rFonts w:ascii="Times New Roman" w:hAnsi="Times New Roman" w:cs="Times New Roman"/>
          <w:sz w:val="24"/>
          <w:szCs w:val="24"/>
        </w:rPr>
        <w:t xml:space="preserve">ıktı olarak, toplam krediler esas alınmıştır. </w:t>
      </w:r>
      <w:r w:rsidR="00722242" w:rsidRPr="002E402A">
        <w:rPr>
          <w:rFonts w:ascii="Times New Roman" w:hAnsi="Times New Roman" w:cs="Times New Roman"/>
          <w:sz w:val="24"/>
          <w:szCs w:val="24"/>
        </w:rPr>
        <w:t xml:space="preserve">Sonuçta, kamu sermayeli ve özel sermayeli ticaret bankalarının yabancı sermayeli veya Türkiye'de şube açan yabancı sermayeli bankalara göre etkinliğe </w:t>
      </w:r>
      <w:r w:rsidR="00A41A31" w:rsidRPr="002E402A">
        <w:rPr>
          <w:rFonts w:ascii="Times New Roman" w:hAnsi="Times New Roman" w:cs="Times New Roman"/>
          <w:sz w:val="24"/>
          <w:szCs w:val="24"/>
        </w:rPr>
        <w:t xml:space="preserve">daha </w:t>
      </w:r>
      <w:r w:rsidR="00722242" w:rsidRPr="002E402A">
        <w:rPr>
          <w:rFonts w:ascii="Times New Roman" w:hAnsi="Times New Roman" w:cs="Times New Roman"/>
          <w:sz w:val="24"/>
          <w:szCs w:val="24"/>
        </w:rPr>
        <w:t>yakın değerler elde etmiş olduğu belirlenmiştir.</w:t>
      </w:r>
    </w:p>
    <w:p w:rsidR="00EC5A0C" w:rsidRPr="002E402A" w:rsidRDefault="00EC5A0C" w:rsidP="00A41A31">
      <w:pPr>
        <w:spacing w:line="240" w:lineRule="auto"/>
        <w:rPr>
          <w:rFonts w:ascii="Times New Roman" w:hAnsi="Times New Roman" w:cs="Times New Roman"/>
          <w:sz w:val="24"/>
          <w:szCs w:val="24"/>
        </w:rPr>
      </w:pPr>
      <w:r w:rsidRPr="002E402A">
        <w:rPr>
          <w:rFonts w:ascii="Times New Roman" w:hAnsi="Times New Roman" w:cs="Times New Roman"/>
          <w:sz w:val="24"/>
          <w:szCs w:val="24"/>
        </w:rPr>
        <w:t>Akbalık ve Sırma (</w:t>
      </w:r>
      <w:r w:rsidR="001502CE" w:rsidRPr="002E402A">
        <w:rPr>
          <w:rFonts w:ascii="Times New Roman" w:hAnsi="Times New Roman" w:cs="Times New Roman"/>
          <w:sz w:val="24"/>
          <w:szCs w:val="24"/>
        </w:rPr>
        <w:t>Akbalık ve Sır</w:t>
      </w:r>
      <w:r w:rsidR="00B41D4E" w:rsidRPr="002E402A">
        <w:rPr>
          <w:rFonts w:ascii="Times New Roman" w:hAnsi="Times New Roman" w:cs="Times New Roman"/>
          <w:sz w:val="24"/>
          <w:szCs w:val="24"/>
        </w:rPr>
        <w:t xml:space="preserve">ma, </w:t>
      </w:r>
      <w:r w:rsidRPr="002E402A">
        <w:rPr>
          <w:rFonts w:ascii="Times New Roman" w:hAnsi="Times New Roman" w:cs="Times New Roman"/>
          <w:sz w:val="24"/>
          <w:szCs w:val="24"/>
        </w:rPr>
        <w:t>2013</w:t>
      </w:r>
      <w:r w:rsidR="00A41A31">
        <w:rPr>
          <w:rFonts w:ascii="Times New Roman" w:hAnsi="Times New Roman" w:cs="Times New Roman"/>
          <w:sz w:val="24"/>
          <w:szCs w:val="24"/>
        </w:rPr>
        <w:t>: 1-16</w:t>
      </w:r>
      <w:r w:rsidRPr="002E402A">
        <w:rPr>
          <w:rFonts w:ascii="Times New Roman" w:hAnsi="Times New Roman" w:cs="Times New Roman"/>
          <w:sz w:val="24"/>
          <w:szCs w:val="24"/>
        </w:rPr>
        <w:t>)</w:t>
      </w:r>
      <w:r w:rsidR="00CC0CFF"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nın çalışmasında, 2001 </w:t>
      </w:r>
      <w:r w:rsidR="00A41A31">
        <w:rPr>
          <w:rFonts w:ascii="Times New Roman" w:hAnsi="Times New Roman" w:cs="Times New Roman"/>
          <w:sz w:val="24"/>
          <w:szCs w:val="24"/>
        </w:rPr>
        <w:t>K</w:t>
      </w:r>
      <w:r w:rsidRPr="002E402A">
        <w:rPr>
          <w:rFonts w:ascii="Times New Roman" w:hAnsi="Times New Roman" w:cs="Times New Roman"/>
          <w:sz w:val="24"/>
          <w:szCs w:val="24"/>
        </w:rPr>
        <w:t>rizi sonrası bankalarda satın alma ve ortaklık şeklinde yabancı sermayeli bankalar içindeki faaliyet etkinliği VZA tekniği 2008-2012 dönemi için Türkiye Bankalar Birliği verileri kullanılarak incelenmiştir.</w:t>
      </w:r>
      <w:r w:rsidR="008866A1" w:rsidRPr="002E402A">
        <w:rPr>
          <w:rFonts w:ascii="Times New Roman" w:hAnsi="Times New Roman" w:cs="Times New Roman"/>
          <w:sz w:val="24"/>
          <w:szCs w:val="24"/>
        </w:rPr>
        <w:t xml:space="preserve"> Çalışmanın girdileri, mevduat ve faaliyet giderleridir (faiz, personel, faiz dışı giderler toplamı). Çıktıları ise; krediler ve faaliyet gelirleri</w:t>
      </w:r>
      <w:r w:rsidR="00C469DA">
        <w:rPr>
          <w:rFonts w:ascii="Times New Roman" w:hAnsi="Times New Roman" w:cs="Times New Roman"/>
          <w:sz w:val="24"/>
          <w:szCs w:val="24"/>
        </w:rPr>
        <w:t>dir</w:t>
      </w:r>
      <w:r w:rsidR="008866A1" w:rsidRPr="002E402A">
        <w:rPr>
          <w:rFonts w:ascii="Times New Roman" w:hAnsi="Times New Roman" w:cs="Times New Roman"/>
          <w:sz w:val="24"/>
          <w:szCs w:val="24"/>
        </w:rPr>
        <w:t xml:space="preserve"> (faiz gelirleri, ücret ve komisyon gelirleri).  </w:t>
      </w:r>
      <w:r w:rsidRPr="002E402A">
        <w:rPr>
          <w:rFonts w:ascii="Times New Roman" w:hAnsi="Times New Roman" w:cs="Times New Roman"/>
          <w:sz w:val="24"/>
          <w:szCs w:val="24"/>
        </w:rPr>
        <w:t>Sonuçta, yabancı bankaların etkinliğinin yıllar içinde azaldığı ve ölçek olarak da sistem içindeki ağırlıklarının belirleyici olmadığı gözlenmiştir. Yabancı sermayeli bankaların kredi hacmi, sermaye gibi düşük ölçekte olduklarından sektörde göreceli olarak Türk sermayeli bankalara göre başarılı oldukları görülmüştür. Bankacılık faaliyetlerine büyüklüğü ve katma değeri gösteren temel göstergeler olan aktif büyüklüğü, kredi hacmi, müşteri sayısı, şube sayısı gibi kalemlerle değerlendirilirse yabancı sermayeli bankaların çok etkin o</w:t>
      </w:r>
      <w:r w:rsidR="00506A82" w:rsidRPr="002E402A">
        <w:rPr>
          <w:rFonts w:ascii="Times New Roman" w:hAnsi="Times New Roman" w:cs="Times New Roman"/>
          <w:sz w:val="24"/>
          <w:szCs w:val="24"/>
        </w:rPr>
        <w:t>l</w:t>
      </w:r>
      <w:r w:rsidRPr="002E402A">
        <w:rPr>
          <w:rFonts w:ascii="Times New Roman" w:hAnsi="Times New Roman" w:cs="Times New Roman"/>
          <w:sz w:val="24"/>
          <w:szCs w:val="24"/>
        </w:rPr>
        <w:t>madığı anlaşılmıştır.</w:t>
      </w:r>
    </w:p>
    <w:p w:rsidR="00EC5A0C" w:rsidRPr="002E402A" w:rsidRDefault="00EC5A0C" w:rsidP="00CF0954">
      <w:pPr>
        <w:spacing w:line="240" w:lineRule="auto"/>
        <w:rPr>
          <w:rFonts w:ascii="Times New Roman" w:hAnsi="Times New Roman" w:cs="Times New Roman"/>
          <w:sz w:val="24"/>
          <w:szCs w:val="24"/>
        </w:rPr>
      </w:pPr>
      <w:r w:rsidRPr="002E402A">
        <w:rPr>
          <w:rFonts w:ascii="Times New Roman" w:hAnsi="Times New Roman" w:cs="Times New Roman"/>
          <w:sz w:val="24"/>
          <w:szCs w:val="24"/>
        </w:rPr>
        <w:t>Demir ve Gençtürk’ün (</w:t>
      </w:r>
      <w:r w:rsidR="00FD7E8C" w:rsidRPr="002E402A">
        <w:rPr>
          <w:rFonts w:ascii="Times New Roman" w:hAnsi="Times New Roman" w:cs="Times New Roman"/>
          <w:sz w:val="24"/>
          <w:szCs w:val="24"/>
        </w:rPr>
        <w:t xml:space="preserve">Demir ve Gençtürk, </w:t>
      </w:r>
      <w:r w:rsidRPr="002E402A">
        <w:rPr>
          <w:rFonts w:ascii="Times New Roman" w:hAnsi="Times New Roman" w:cs="Times New Roman"/>
          <w:sz w:val="24"/>
          <w:szCs w:val="24"/>
        </w:rPr>
        <w:t>2006</w:t>
      </w:r>
      <w:r w:rsidR="00CF0954">
        <w:rPr>
          <w:rFonts w:ascii="Times New Roman" w:hAnsi="Times New Roman" w:cs="Times New Roman"/>
          <w:sz w:val="24"/>
          <w:szCs w:val="24"/>
        </w:rPr>
        <w:t>:</w:t>
      </w:r>
      <w:r w:rsidR="00B17AF1" w:rsidRPr="002E402A">
        <w:rPr>
          <w:rFonts w:ascii="Times New Roman" w:hAnsi="Times New Roman" w:cs="Times New Roman"/>
          <w:sz w:val="24"/>
          <w:szCs w:val="24"/>
        </w:rPr>
        <w:t xml:space="preserve"> 49-74</w:t>
      </w:r>
      <w:r w:rsidRPr="002E402A">
        <w:rPr>
          <w:rFonts w:ascii="Times New Roman" w:hAnsi="Times New Roman" w:cs="Times New Roman"/>
          <w:sz w:val="24"/>
          <w:szCs w:val="24"/>
        </w:rPr>
        <w:t xml:space="preserve">) çalışmasında, 2000 yılından itibaren borsada işlem gören 14 bankanın 2000- 2006 (3) dönemi etkinlikleri VZA ile ortaya koyulmuş ve yabancı bankaların yerli bankalara göre etkinlikleri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Pr="002E402A">
        <w:rPr>
          <w:rFonts w:ascii="Times New Roman" w:hAnsi="Times New Roman" w:cs="Times New Roman"/>
          <w:sz w:val="24"/>
          <w:szCs w:val="24"/>
        </w:rPr>
        <w:t>şılaştırılmıştır. Çalışmanın girdileri; işgücü, sermaye ve mevduatlar</w:t>
      </w:r>
      <w:r w:rsidR="007F3C18" w:rsidRPr="002E402A">
        <w:rPr>
          <w:rFonts w:ascii="Times New Roman" w:hAnsi="Times New Roman" w:cs="Times New Roman"/>
          <w:sz w:val="24"/>
          <w:szCs w:val="24"/>
        </w:rPr>
        <w:t>dır. Ç</w:t>
      </w:r>
      <w:r w:rsidRPr="002E402A">
        <w:rPr>
          <w:rFonts w:ascii="Times New Roman" w:hAnsi="Times New Roman" w:cs="Times New Roman"/>
          <w:sz w:val="24"/>
          <w:szCs w:val="24"/>
        </w:rPr>
        <w:t>ıktıları</w:t>
      </w:r>
      <w:r w:rsidR="007F3C18" w:rsidRPr="002E402A">
        <w:rPr>
          <w:rFonts w:ascii="Times New Roman" w:hAnsi="Times New Roman" w:cs="Times New Roman"/>
          <w:sz w:val="24"/>
          <w:szCs w:val="24"/>
        </w:rPr>
        <w:t xml:space="preserve"> ise</w:t>
      </w:r>
      <w:r w:rsidRPr="002E402A">
        <w:rPr>
          <w:rFonts w:ascii="Times New Roman" w:hAnsi="Times New Roman" w:cs="Times New Roman"/>
          <w:sz w:val="24"/>
          <w:szCs w:val="24"/>
        </w:rPr>
        <w:t>; krediler, faiz gelirleri ve faiz dışı gelirlerdir. Sonuçta, yabancı katılımının olmadığı 2000– 2004 döneminin ortalama etkinlik değerleri bankacılık krizinin yaşandığı 2001 yılı dışında 2004 yılına kadar düzenli bir artış göstermiştir. Yabancı bankaların katılımı ile Türk bankacılık sektörünün ortalama etkinliği de artmıştır. Yerli sermayeli bankalar ile yabancı bankaların etkinlik açısından göreli mukayesesin</w:t>
      </w:r>
      <w:r w:rsidR="00CF0954">
        <w:rPr>
          <w:rFonts w:ascii="Times New Roman" w:hAnsi="Times New Roman" w:cs="Times New Roman"/>
          <w:sz w:val="24"/>
          <w:szCs w:val="24"/>
        </w:rPr>
        <w:t>de</w:t>
      </w:r>
      <w:r w:rsidRPr="002E402A">
        <w:rPr>
          <w:rFonts w:ascii="Times New Roman" w:hAnsi="Times New Roman" w:cs="Times New Roman"/>
          <w:sz w:val="24"/>
          <w:szCs w:val="24"/>
        </w:rPr>
        <w:t xml:space="preserve"> 2005 yılında yabancı bankaların, 2006 yılında ise yerli bankaların daha etkin olduğu ortaya çıkmıştır. </w:t>
      </w:r>
    </w:p>
    <w:p w:rsidR="00EC5A0C" w:rsidRPr="002E402A" w:rsidRDefault="006E5631" w:rsidP="00CF0954">
      <w:pPr>
        <w:spacing w:line="240" w:lineRule="auto"/>
        <w:rPr>
          <w:rFonts w:ascii="Times New Roman" w:hAnsi="Times New Roman" w:cs="Times New Roman"/>
          <w:sz w:val="24"/>
          <w:szCs w:val="24"/>
        </w:rPr>
      </w:pPr>
      <w:r>
        <w:rPr>
          <w:rFonts w:ascii="Times New Roman" w:hAnsi="Times New Roman" w:cs="Times New Roman"/>
          <w:sz w:val="24"/>
          <w:szCs w:val="24"/>
        </w:rPr>
        <w:t>Behdioğlu ve Özcan’</w:t>
      </w:r>
      <w:r w:rsidR="00EC5A0C" w:rsidRPr="002E402A">
        <w:rPr>
          <w:rFonts w:ascii="Times New Roman" w:hAnsi="Times New Roman" w:cs="Times New Roman"/>
          <w:sz w:val="24"/>
          <w:szCs w:val="24"/>
        </w:rPr>
        <w:t>ın (</w:t>
      </w:r>
      <w:r w:rsidR="00FD7E8C" w:rsidRPr="002E402A">
        <w:rPr>
          <w:rFonts w:ascii="Times New Roman" w:hAnsi="Times New Roman" w:cs="Times New Roman"/>
          <w:sz w:val="24"/>
          <w:szCs w:val="24"/>
        </w:rPr>
        <w:t xml:space="preserve">Behdioğlu ve Özcan, </w:t>
      </w:r>
      <w:r w:rsidR="00EC5A0C" w:rsidRPr="002E402A">
        <w:rPr>
          <w:rFonts w:ascii="Times New Roman" w:hAnsi="Times New Roman" w:cs="Times New Roman"/>
          <w:sz w:val="24"/>
          <w:szCs w:val="24"/>
        </w:rPr>
        <w:t>2009</w:t>
      </w:r>
      <w:r w:rsidR="00CF0954">
        <w:rPr>
          <w:rFonts w:ascii="Times New Roman" w:hAnsi="Times New Roman" w:cs="Times New Roman"/>
          <w:sz w:val="24"/>
          <w:szCs w:val="24"/>
        </w:rPr>
        <w:t>:</w:t>
      </w:r>
      <w:r w:rsidR="00FD7E8C" w:rsidRPr="002E402A">
        <w:rPr>
          <w:rFonts w:ascii="Times New Roman" w:hAnsi="Times New Roman" w:cs="Times New Roman"/>
          <w:sz w:val="24"/>
          <w:szCs w:val="24"/>
        </w:rPr>
        <w:t xml:space="preserve"> 301-326.</w:t>
      </w:r>
      <w:r w:rsidR="00EC5A0C" w:rsidRPr="002E402A">
        <w:rPr>
          <w:rFonts w:ascii="Times New Roman" w:hAnsi="Times New Roman" w:cs="Times New Roman"/>
          <w:sz w:val="24"/>
          <w:szCs w:val="24"/>
        </w:rPr>
        <w:t xml:space="preserve">) çalışmasında VZA tekniği kullanılarak, 1999-2005 dönemi sürekli faaliyet gösteren 29 ticari banka verileri kullanılmıştır. </w:t>
      </w:r>
      <w:r w:rsidR="007F3C18" w:rsidRPr="002E402A">
        <w:rPr>
          <w:rFonts w:ascii="Times New Roman" w:hAnsi="Times New Roman" w:cs="Times New Roman"/>
          <w:sz w:val="24"/>
          <w:szCs w:val="24"/>
        </w:rPr>
        <w:t xml:space="preserve">Çalışma girdileri; personel sayısı, faiz dışı giderler, faiz giderleri ve şube sayısıdır. Çıktıları ise; toplam mevduat, toplam kredi miktarı ve net </w:t>
      </w:r>
      <w:r w:rsidR="007210D2" w:rsidRPr="002E402A">
        <w:rPr>
          <w:rFonts w:ascii="Times New Roman" w:hAnsi="Times New Roman" w:cs="Times New Roman"/>
          <w:sz w:val="24"/>
          <w:szCs w:val="24"/>
        </w:rPr>
        <w:t>kâr</w:t>
      </w:r>
      <w:r w:rsidR="007F3C18" w:rsidRPr="002E402A">
        <w:rPr>
          <w:rFonts w:ascii="Times New Roman" w:hAnsi="Times New Roman" w:cs="Times New Roman"/>
          <w:sz w:val="24"/>
          <w:szCs w:val="24"/>
        </w:rPr>
        <w:t xml:space="preserve">dır. </w:t>
      </w:r>
      <w:r w:rsidR="00EC5A0C" w:rsidRPr="002E402A">
        <w:rPr>
          <w:rFonts w:ascii="Times New Roman" w:hAnsi="Times New Roman" w:cs="Times New Roman"/>
          <w:sz w:val="24"/>
          <w:szCs w:val="24"/>
        </w:rPr>
        <w:t xml:space="preserve">Sonuçta, ortalama etkinliği en yüksek banka grubu yabancı sermayeli bankalar olarak belirlenmiştir. </w:t>
      </w:r>
    </w:p>
    <w:p w:rsidR="00EC5A0C" w:rsidRPr="002E402A" w:rsidRDefault="006E5631" w:rsidP="00CF0954">
      <w:pPr>
        <w:spacing w:line="240" w:lineRule="auto"/>
        <w:rPr>
          <w:rFonts w:ascii="Times New Roman" w:hAnsi="Times New Roman" w:cs="Times New Roman"/>
          <w:sz w:val="24"/>
          <w:szCs w:val="24"/>
        </w:rPr>
      </w:pPr>
      <w:r>
        <w:rPr>
          <w:rFonts w:ascii="Times New Roman" w:hAnsi="Times New Roman" w:cs="Times New Roman"/>
          <w:sz w:val="24"/>
          <w:szCs w:val="24"/>
        </w:rPr>
        <w:t>Fethi ve d</w:t>
      </w:r>
      <w:r w:rsidR="00EC5A0C" w:rsidRPr="002E402A">
        <w:rPr>
          <w:rFonts w:ascii="Times New Roman" w:hAnsi="Times New Roman" w:cs="Times New Roman"/>
          <w:sz w:val="24"/>
          <w:szCs w:val="24"/>
        </w:rPr>
        <w:t>iğerlerinin (</w:t>
      </w:r>
      <w:r w:rsidR="007E6BD5" w:rsidRPr="002E402A">
        <w:rPr>
          <w:rFonts w:ascii="Times New Roman" w:hAnsi="Times New Roman" w:cs="Times New Roman"/>
          <w:sz w:val="24"/>
          <w:szCs w:val="24"/>
        </w:rPr>
        <w:t xml:space="preserve">Fethi, Jackson ve Weyman-Jones, </w:t>
      </w:r>
      <w:r w:rsidR="00EC5A0C" w:rsidRPr="002E402A">
        <w:rPr>
          <w:rFonts w:ascii="Times New Roman" w:hAnsi="Times New Roman" w:cs="Times New Roman"/>
          <w:sz w:val="24"/>
          <w:szCs w:val="24"/>
        </w:rPr>
        <w:t xml:space="preserve">2001) çalışmasında, Türkiye’deki 36 ticari bankanın 1999 yılındaki performans etkinliği üzerine VZA ve stokastik VZA yöntemleri kullanılmıştır. Ticari bankaların performans etkinliklerinin varyansının yüksek olması nedeniyle, bu yıla ait etkinlik skorlarının, düzenleme ve politika üretmek için uygun olmadığı sonucuna ulaşılmıştır. Etkinlik skorlarının kötü çıkmasının nedeni Türk bankacılık sisteminde hızlı bir düzenleme değişikliği ve dış şokların banka bilançolarına yansımaması olmuştur. </w:t>
      </w:r>
    </w:p>
    <w:p w:rsidR="00EC5A0C" w:rsidRPr="002E402A" w:rsidRDefault="00EC5A0C" w:rsidP="006E5631">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Çıtak’ın (</w:t>
      </w:r>
      <w:r w:rsidR="00641F18" w:rsidRPr="002E402A">
        <w:rPr>
          <w:rFonts w:ascii="Times New Roman" w:hAnsi="Times New Roman" w:cs="Times New Roman"/>
          <w:sz w:val="24"/>
          <w:szCs w:val="24"/>
        </w:rPr>
        <w:t xml:space="preserve">Çıtak, </w:t>
      </w:r>
      <w:r w:rsidRPr="002E402A">
        <w:rPr>
          <w:rFonts w:ascii="Times New Roman" w:hAnsi="Times New Roman" w:cs="Times New Roman"/>
          <w:sz w:val="24"/>
          <w:szCs w:val="24"/>
        </w:rPr>
        <w:t>2008</w:t>
      </w:r>
      <w:r w:rsidR="006E5631">
        <w:rPr>
          <w:rFonts w:ascii="Times New Roman" w:hAnsi="Times New Roman" w:cs="Times New Roman"/>
          <w:sz w:val="24"/>
          <w:szCs w:val="24"/>
        </w:rPr>
        <w:t>: 69-94</w:t>
      </w:r>
      <w:r w:rsidRPr="002E402A">
        <w:rPr>
          <w:rFonts w:ascii="Times New Roman" w:hAnsi="Times New Roman" w:cs="Times New Roman"/>
          <w:sz w:val="24"/>
          <w:szCs w:val="24"/>
        </w:rPr>
        <w:t xml:space="preserve">) çalışmasında, yatırım ortaklığı şirketlerinin </w:t>
      </w:r>
      <w:r w:rsidR="007F3C18" w:rsidRPr="002E402A">
        <w:rPr>
          <w:rFonts w:ascii="Times New Roman" w:hAnsi="Times New Roman" w:cs="Times New Roman"/>
          <w:sz w:val="24"/>
          <w:szCs w:val="24"/>
        </w:rPr>
        <w:t xml:space="preserve">VZA yönteminde, </w:t>
      </w:r>
      <w:r w:rsidRPr="002E402A">
        <w:rPr>
          <w:rFonts w:ascii="Times New Roman" w:hAnsi="Times New Roman" w:cs="Times New Roman"/>
          <w:sz w:val="24"/>
          <w:szCs w:val="24"/>
        </w:rPr>
        <w:t>2005-2007</w:t>
      </w:r>
      <w:r w:rsidR="007F3C18" w:rsidRPr="002E402A">
        <w:rPr>
          <w:rFonts w:ascii="Times New Roman" w:hAnsi="Times New Roman" w:cs="Times New Roman"/>
          <w:sz w:val="24"/>
          <w:szCs w:val="24"/>
        </w:rPr>
        <w:t xml:space="preserve"> yılları dönemine ait veriler </w:t>
      </w:r>
      <w:r w:rsidRPr="002E402A">
        <w:rPr>
          <w:rFonts w:ascii="Times New Roman" w:hAnsi="Times New Roman" w:cs="Times New Roman"/>
          <w:sz w:val="24"/>
          <w:szCs w:val="24"/>
        </w:rPr>
        <w:t>kullanılmıştır. Çalışmanın girdileri; faaliyet giderleri oranı, portföy ve yatırım danışmanlığı ücret oranı ve ödenmiş sermayedir. Çıktıları</w:t>
      </w:r>
      <w:r w:rsidR="00C554D1" w:rsidRPr="002E402A">
        <w:rPr>
          <w:rFonts w:ascii="Times New Roman" w:hAnsi="Times New Roman" w:cs="Times New Roman"/>
          <w:sz w:val="24"/>
          <w:szCs w:val="24"/>
        </w:rPr>
        <w:t xml:space="preserve"> ise</w:t>
      </w:r>
      <w:r w:rsidRPr="002E402A">
        <w:rPr>
          <w:rFonts w:ascii="Times New Roman" w:hAnsi="Times New Roman" w:cs="Times New Roman"/>
          <w:sz w:val="24"/>
          <w:szCs w:val="24"/>
        </w:rPr>
        <w:t>; net varlık değeri, toplam aktifler ve yatırım ortaklığı toplam piyasa değeridir. Yatırım ortaklıklarındaki etkinsizliğin, ölçek etkinsizliği olduğu, son dönemde ölçek etkinlikleri artırılarak daha etkin hale getirildiği, ortaklıkların çoğunluğunun ölçeğe göre artan getiri sağladığı, yani genişleyerek daha etkin hale gelebildiği, büyük menkul kıymet yatırım ortaklıkları</w:t>
      </w:r>
      <w:r w:rsidR="00BA04FF">
        <w:rPr>
          <w:rFonts w:ascii="Times New Roman" w:hAnsi="Times New Roman" w:cs="Times New Roman"/>
          <w:sz w:val="24"/>
          <w:szCs w:val="24"/>
        </w:rPr>
        <w:t>nın</w:t>
      </w:r>
      <w:r w:rsidRPr="002E402A">
        <w:rPr>
          <w:rFonts w:ascii="Times New Roman" w:hAnsi="Times New Roman" w:cs="Times New Roman"/>
          <w:sz w:val="24"/>
          <w:szCs w:val="24"/>
        </w:rPr>
        <w:t xml:space="preserve"> küçüklerine göre daha etkin olduğu bulunmuştur. Son dönemde M</w:t>
      </w:r>
      <w:r w:rsidR="00D43809" w:rsidRPr="002E402A">
        <w:rPr>
          <w:rFonts w:ascii="Times New Roman" w:hAnsi="Times New Roman" w:cs="Times New Roman"/>
          <w:sz w:val="24"/>
          <w:szCs w:val="24"/>
        </w:rPr>
        <w:t>enkul kıymet yatırım</w:t>
      </w:r>
      <w:r w:rsidRPr="002E402A">
        <w:rPr>
          <w:rFonts w:ascii="Times New Roman" w:hAnsi="Times New Roman" w:cs="Times New Roman"/>
          <w:sz w:val="24"/>
          <w:szCs w:val="24"/>
        </w:rPr>
        <w:t xml:space="preserve"> ortaklıkları etkinliklerini arttırma nedeni</w:t>
      </w:r>
      <w:r w:rsidR="00BA04FF">
        <w:rPr>
          <w:rFonts w:ascii="Times New Roman" w:hAnsi="Times New Roman" w:cs="Times New Roman"/>
          <w:sz w:val="24"/>
          <w:szCs w:val="24"/>
        </w:rPr>
        <w:t>nin</w:t>
      </w:r>
      <w:r w:rsidRPr="002E402A">
        <w:rPr>
          <w:rFonts w:ascii="Times New Roman" w:hAnsi="Times New Roman" w:cs="Times New Roman"/>
          <w:sz w:val="24"/>
          <w:szCs w:val="24"/>
        </w:rPr>
        <w:t xml:space="preserve"> ölçek etkinliğini artırmaları olduğu, genişleyerek ölçek etkinliği artırıldığında faaliyet etkinliği</w:t>
      </w:r>
      <w:r w:rsidR="00BA04FF">
        <w:rPr>
          <w:rFonts w:ascii="Times New Roman" w:hAnsi="Times New Roman" w:cs="Times New Roman"/>
          <w:sz w:val="24"/>
          <w:szCs w:val="24"/>
        </w:rPr>
        <w:t>ni</w:t>
      </w:r>
      <w:r w:rsidR="00585BDF">
        <w:rPr>
          <w:rFonts w:ascii="Times New Roman" w:hAnsi="Times New Roman" w:cs="Times New Roman"/>
          <w:sz w:val="24"/>
          <w:szCs w:val="24"/>
        </w:rPr>
        <w:t>n</w:t>
      </w:r>
      <w:r w:rsidR="00BA04FF">
        <w:rPr>
          <w:rFonts w:ascii="Times New Roman" w:hAnsi="Times New Roman" w:cs="Times New Roman"/>
          <w:sz w:val="24"/>
          <w:szCs w:val="24"/>
        </w:rPr>
        <w:t xml:space="preserve"> de</w:t>
      </w:r>
      <w:r w:rsidRPr="002E402A">
        <w:rPr>
          <w:rFonts w:ascii="Times New Roman" w:hAnsi="Times New Roman" w:cs="Times New Roman"/>
          <w:sz w:val="24"/>
          <w:szCs w:val="24"/>
        </w:rPr>
        <w:t xml:space="preserve"> (TTE</w:t>
      </w:r>
      <w:r w:rsidR="00D43809" w:rsidRPr="002E402A">
        <w:rPr>
          <w:rFonts w:ascii="Times New Roman" w:hAnsi="Times New Roman" w:cs="Times New Roman"/>
          <w:sz w:val="24"/>
          <w:szCs w:val="24"/>
        </w:rPr>
        <w:t>: Toplam Teknik Etkinlik</w:t>
      </w:r>
      <w:r w:rsidRPr="002E402A">
        <w:rPr>
          <w:rFonts w:ascii="Times New Roman" w:hAnsi="Times New Roman" w:cs="Times New Roman"/>
          <w:sz w:val="24"/>
          <w:szCs w:val="24"/>
        </w:rPr>
        <w:t xml:space="preserve">) artırılabileceği söylenir. Ayrıca, piyasa değeri büyük </w:t>
      </w:r>
      <w:r w:rsidR="00055066" w:rsidRPr="002E402A">
        <w:rPr>
          <w:rFonts w:ascii="Times New Roman" w:hAnsi="Times New Roman" w:cs="Times New Roman"/>
          <w:sz w:val="24"/>
          <w:szCs w:val="24"/>
        </w:rPr>
        <w:t xml:space="preserve">menkul kıymet yatırım </w:t>
      </w:r>
      <w:r w:rsidRPr="002E402A">
        <w:rPr>
          <w:rFonts w:ascii="Times New Roman" w:hAnsi="Times New Roman" w:cs="Times New Roman"/>
          <w:sz w:val="24"/>
          <w:szCs w:val="24"/>
        </w:rPr>
        <w:t>ortaklıkları, daha küçüklere göre dah</w:t>
      </w:r>
      <w:r w:rsidR="008C7E83" w:rsidRPr="002E402A">
        <w:rPr>
          <w:rFonts w:ascii="Times New Roman" w:hAnsi="Times New Roman" w:cs="Times New Roman"/>
          <w:sz w:val="24"/>
          <w:szCs w:val="24"/>
        </w:rPr>
        <w:t>a etkin bulunmuştur. Sektörde, toplam teknik</w:t>
      </w:r>
      <w:r w:rsidRPr="002E402A">
        <w:rPr>
          <w:rFonts w:ascii="Times New Roman" w:hAnsi="Times New Roman" w:cs="Times New Roman"/>
          <w:sz w:val="24"/>
          <w:szCs w:val="24"/>
        </w:rPr>
        <w:t xml:space="preserve"> etkinlikleri h</w:t>
      </w:r>
      <w:r w:rsidR="00585BDF">
        <w:rPr>
          <w:rFonts w:ascii="Times New Roman" w:hAnsi="Times New Roman" w:cs="Times New Roman"/>
          <w:sz w:val="24"/>
          <w:szCs w:val="24"/>
        </w:rPr>
        <w:t>â</w:t>
      </w:r>
      <w:r w:rsidRPr="002E402A">
        <w:rPr>
          <w:rFonts w:ascii="Times New Roman" w:hAnsi="Times New Roman" w:cs="Times New Roman"/>
          <w:sz w:val="24"/>
          <w:szCs w:val="24"/>
        </w:rPr>
        <w:t>l</w:t>
      </w:r>
      <w:r w:rsidR="00585BDF">
        <w:rPr>
          <w:rFonts w:ascii="Times New Roman" w:hAnsi="Times New Roman" w:cs="Times New Roman"/>
          <w:sz w:val="24"/>
          <w:szCs w:val="24"/>
        </w:rPr>
        <w:t>â</w:t>
      </w:r>
      <w:r w:rsidRPr="002E402A">
        <w:rPr>
          <w:rFonts w:ascii="Times New Roman" w:hAnsi="Times New Roman" w:cs="Times New Roman"/>
          <w:sz w:val="24"/>
          <w:szCs w:val="24"/>
        </w:rPr>
        <w:t xml:space="preserve"> düşük şirketl</w:t>
      </w:r>
      <w:r w:rsidR="00055066" w:rsidRPr="002E402A">
        <w:rPr>
          <w:rFonts w:ascii="Times New Roman" w:hAnsi="Times New Roman" w:cs="Times New Roman"/>
          <w:sz w:val="24"/>
          <w:szCs w:val="24"/>
        </w:rPr>
        <w:t>er olduğu, ama sektörde</w:t>
      </w:r>
      <w:r w:rsidR="005506DF" w:rsidRPr="002E402A">
        <w:rPr>
          <w:rFonts w:ascii="Times New Roman" w:hAnsi="Times New Roman" w:cs="Times New Roman"/>
          <w:sz w:val="24"/>
          <w:szCs w:val="24"/>
        </w:rPr>
        <w:t>ki</w:t>
      </w:r>
      <w:r w:rsidR="00055066" w:rsidRPr="002E402A">
        <w:rPr>
          <w:rFonts w:ascii="Times New Roman" w:hAnsi="Times New Roman" w:cs="Times New Roman"/>
          <w:sz w:val="24"/>
          <w:szCs w:val="24"/>
        </w:rPr>
        <w:t xml:space="preserve"> etkinliğin</w:t>
      </w:r>
      <w:r w:rsidRPr="002E402A">
        <w:rPr>
          <w:rFonts w:ascii="Times New Roman" w:hAnsi="Times New Roman" w:cs="Times New Roman"/>
          <w:sz w:val="24"/>
          <w:szCs w:val="24"/>
        </w:rPr>
        <w:t xml:space="preserve"> genel olarak arttığı görülmüştür.</w:t>
      </w:r>
    </w:p>
    <w:p w:rsidR="003770EA" w:rsidRPr="002E402A" w:rsidRDefault="003770EA" w:rsidP="008B4FC8">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Kılıç </w:t>
      </w:r>
      <w:r w:rsidR="008B4FC8">
        <w:rPr>
          <w:rFonts w:ascii="Times New Roman" w:hAnsi="Times New Roman" w:cs="Times New Roman"/>
          <w:sz w:val="24"/>
          <w:szCs w:val="24"/>
        </w:rPr>
        <w:t>ve Akın’ın (Kılıç ve Akın, 2008:</w:t>
      </w:r>
      <w:r w:rsidRPr="002E402A">
        <w:rPr>
          <w:rFonts w:ascii="Times New Roman" w:hAnsi="Times New Roman" w:cs="Times New Roman"/>
          <w:sz w:val="24"/>
          <w:szCs w:val="24"/>
        </w:rPr>
        <w:t xml:space="preserve"> 229-255) çalışmasında, 2002-2008 yılları döneminde sürekli faaliyet gösteren satın alınan ve satın alınmayan tüm bankalar, yatırım ve kalkınma, katılım bankaları hariç, analiz kapsamına alınarak VZA yöntemi kullanılarak çalışma yapılmıştır.</w:t>
      </w:r>
      <w:r w:rsidR="003C4FF1"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 </w:t>
      </w:r>
      <w:r w:rsidR="003C4FF1" w:rsidRPr="002E402A">
        <w:rPr>
          <w:rFonts w:ascii="Times New Roman" w:hAnsi="Times New Roman" w:cs="Times New Roman"/>
          <w:sz w:val="24"/>
          <w:szCs w:val="24"/>
        </w:rPr>
        <w:t xml:space="preserve">Çalışmada girdi olarak, personel sayısı, faiz giderleri, faiz dışı giderler ve toplam mevduat, çıktı olarak ise toplam krediler, faiz gelirleri ve faiz dışı gelirler kullanılmıştır. </w:t>
      </w:r>
      <w:r w:rsidR="008B4FC8">
        <w:rPr>
          <w:rFonts w:ascii="Times New Roman" w:hAnsi="Times New Roman" w:cs="Times New Roman"/>
          <w:sz w:val="24"/>
          <w:szCs w:val="24"/>
        </w:rPr>
        <w:t>Sonuçta, a</w:t>
      </w:r>
      <w:r w:rsidRPr="002E402A">
        <w:rPr>
          <w:rFonts w:ascii="Times New Roman" w:hAnsi="Times New Roman" w:cs="Times New Roman"/>
          <w:sz w:val="24"/>
          <w:szCs w:val="24"/>
        </w:rPr>
        <w:t xml:space="preserve">naliz sonucunda, satın alınan bankalarda belirgin bir etkinlik artışı tespit edilememiştir. Satın alınan on adet bankanın yedisinin etkinlik değişim yüzdesinin negatif olduğu saptanmıştır. Satın alınan ve satın alınmayan bankaların etkinlik değerleri incelendiğinde satın alma öncesi, süreci ve sonrasında satın alınmayan bankaların etkinlik ortalamalarının satın alınan bankalara göre daha yüksek olduğu belirlenmiştir. Son olarak, satın alınan bankalarda ölçek etkinsizliğinin söz konusu olduğu, bu durumun da toplam etkinlik değerlerini olumsuz etkilediği tespit edilmiştir. </w:t>
      </w:r>
    </w:p>
    <w:p w:rsidR="009508E6" w:rsidRPr="002E402A" w:rsidRDefault="009508E6" w:rsidP="008B4FC8">
      <w:pPr>
        <w:spacing w:line="240" w:lineRule="auto"/>
        <w:rPr>
          <w:rFonts w:ascii="Times New Roman" w:hAnsi="Times New Roman" w:cs="Times New Roman"/>
          <w:sz w:val="24"/>
          <w:szCs w:val="24"/>
        </w:rPr>
      </w:pPr>
      <w:r w:rsidRPr="002E402A">
        <w:rPr>
          <w:rFonts w:ascii="Times New Roman" w:hAnsi="Times New Roman" w:cs="Times New Roman"/>
          <w:sz w:val="24"/>
          <w:szCs w:val="24"/>
        </w:rPr>
        <w:t>Önc</w:t>
      </w:r>
      <w:r w:rsidR="008B4FC8">
        <w:rPr>
          <w:rFonts w:ascii="Times New Roman" w:hAnsi="Times New Roman" w:cs="Times New Roman"/>
          <w:sz w:val="24"/>
          <w:szCs w:val="24"/>
        </w:rPr>
        <w:t>ü ve Aktaş (Öncü ve Aktaş, 2007:</w:t>
      </w:r>
      <w:r w:rsidRPr="002E402A">
        <w:rPr>
          <w:rFonts w:ascii="Times New Roman" w:hAnsi="Times New Roman" w:cs="Times New Roman"/>
          <w:sz w:val="24"/>
          <w:szCs w:val="24"/>
        </w:rPr>
        <w:t xml:space="preserve"> 247-266) tarafından, yeniden yapılandırma döneminde Türk bankalarının verimlilik değişimini ölçmek amacıyla, 2002-2005 yılları dönemi banka verileri kullanılarak bir çalışma yapılmıştır. </w:t>
      </w:r>
      <w:r w:rsidR="008B4FC8" w:rsidRPr="002E402A">
        <w:rPr>
          <w:rFonts w:ascii="Times New Roman" w:hAnsi="Times New Roman" w:cs="Times New Roman"/>
          <w:sz w:val="24"/>
          <w:szCs w:val="24"/>
        </w:rPr>
        <w:t>Girdilerini</w:t>
      </w:r>
      <w:r w:rsidR="001306CE" w:rsidRPr="002E402A">
        <w:rPr>
          <w:rFonts w:ascii="Times New Roman" w:hAnsi="Times New Roman" w:cs="Times New Roman"/>
          <w:sz w:val="24"/>
          <w:szCs w:val="24"/>
        </w:rPr>
        <w:t xml:space="preserve"> i) personel sayısı, ii) fiziki sermaye ve iii) ödünç alınan fonlar olu</w:t>
      </w:r>
      <w:r w:rsidR="006F7AF7" w:rsidRPr="002E402A">
        <w:rPr>
          <w:rFonts w:ascii="Times New Roman" w:hAnsi="Times New Roman" w:cs="Times New Roman"/>
          <w:sz w:val="24"/>
          <w:szCs w:val="24"/>
        </w:rPr>
        <w:t>ş</w:t>
      </w:r>
      <w:r w:rsidR="001306CE" w:rsidRPr="002E402A">
        <w:rPr>
          <w:rFonts w:ascii="Times New Roman" w:hAnsi="Times New Roman" w:cs="Times New Roman"/>
          <w:sz w:val="24"/>
          <w:szCs w:val="24"/>
        </w:rPr>
        <w:t xml:space="preserve">turmaktadır. Modelin çıktıları ise, i) </w:t>
      </w:r>
      <w:r w:rsidR="00506A82" w:rsidRPr="002E402A">
        <w:rPr>
          <w:rFonts w:ascii="Times New Roman" w:hAnsi="Times New Roman" w:cs="Times New Roman"/>
          <w:sz w:val="24"/>
          <w:szCs w:val="24"/>
        </w:rPr>
        <w:t>toplam krediler (net) ve ii) diğ</w:t>
      </w:r>
      <w:r w:rsidR="001306CE" w:rsidRPr="002E402A">
        <w:rPr>
          <w:rFonts w:ascii="Times New Roman" w:hAnsi="Times New Roman" w:cs="Times New Roman"/>
          <w:sz w:val="24"/>
          <w:szCs w:val="24"/>
        </w:rPr>
        <w:t>er gelir getiric</w:t>
      </w:r>
      <w:r w:rsidR="006F7AF7" w:rsidRPr="002E402A">
        <w:rPr>
          <w:rFonts w:ascii="Times New Roman" w:hAnsi="Times New Roman" w:cs="Times New Roman"/>
          <w:sz w:val="24"/>
          <w:szCs w:val="24"/>
        </w:rPr>
        <w:t>i varlıklardan (menkul değ</w:t>
      </w:r>
      <w:r w:rsidR="001306CE" w:rsidRPr="002E402A">
        <w:rPr>
          <w:rFonts w:ascii="Times New Roman" w:hAnsi="Times New Roman" w:cs="Times New Roman"/>
          <w:sz w:val="24"/>
          <w:szCs w:val="24"/>
        </w:rPr>
        <w:t>erler cüzdanı, bankalar arası para piyasasında s</w:t>
      </w:r>
      <w:r w:rsidR="00506A82" w:rsidRPr="002E402A">
        <w:rPr>
          <w:rFonts w:ascii="Times New Roman" w:hAnsi="Times New Roman" w:cs="Times New Roman"/>
          <w:sz w:val="24"/>
          <w:szCs w:val="24"/>
        </w:rPr>
        <w:t>atılan fonlar ve bankalar ve diğ</w:t>
      </w:r>
      <w:r w:rsidR="001306CE" w:rsidRPr="002E402A">
        <w:rPr>
          <w:rFonts w:ascii="Times New Roman" w:hAnsi="Times New Roman" w:cs="Times New Roman"/>
          <w:sz w:val="24"/>
          <w:szCs w:val="24"/>
        </w:rPr>
        <w:t xml:space="preserve">er mali kuruluşlar) oluşturmaktadır. </w:t>
      </w:r>
      <w:r w:rsidRPr="002E402A">
        <w:rPr>
          <w:rFonts w:ascii="Times New Roman" w:hAnsi="Times New Roman" w:cs="Times New Roman"/>
          <w:sz w:val="24"/>
          <w:szCs w:val="24"/>
        </w:rPr>
        <w:t>Sonuçta, bu dönemde bankaların faktör verimliliğinin arttığı, teknoloji kaynaklı verimlilik artışı sağla</w:t>
      </w:r>
      <w:r w:rsidR="007F79E9" w:rsidRPr="002E402A">
        <w:rPr>
          <w:rFonts w:ascii="Times New Roman" w:hAnsi="Times New Roman" w:cs="Times New Roman"/>
          <w:sz w:val="24"/>
          <w:szCs w:val="24"/>
        </w:rPr>
        <w:t>n</w:t>
      </w:r>
      <w:r w:rsidRPr="002E402A">
        <w:rPr>
          <w:rFonts w:ascii="Times New Roman" w:hAnsi="Times New Roman" w:cs="Times New Roman"/>
          <w:sz w:val="24"/>
          <w:szCs w:val="24"/>
        </w:rPr>
        <w:t>dığı ve verimlilik artışına katkı sağlayan etkinlik artışının büyük ölçüde ölçek etkinliğindeki iyileşmeden kaynaklandığı belirlenmiştir.</w:t>
      </w:r>
    </w:p>
    <w:p w:rsidR="000E584D" w:rsidRPr="002E402A" w:rsidRDefault="007A5961" w:rsidP="008D7F60">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Yurtdışı çalışmalarda da </w:t>
      </w:r>
      <w:r w:rsidR="00865C99" w:rsidRPr="002E402A">
        <w:rPr>
          <w:rFonts w:ascii="Times New Roman" w:hAnsi="Times New Roman" w:cs="Times New Roman"/>
          <w:sz w:val="24"/>
          <w:szCs w:val="24"/>
        </w:rPr>
        <w:t xml:space="preserve">bankaların teknik etkinliği konusundaki yapılan çalışmaların çoğunda </w:t>
      </w:r>
      <w:r w:rsidR="00D46F66" w:rsidRPr="002E402A">
        <w:rPr>
          <w:rFonts w:ascii="Times New Roman" w:hAnsi="Times New Roman" w:cs="Times New Roman"/>
          <w:sz w:val="24"/>
          <w:szCs w:val="24"/>
        </w:rPr>
        <w:t>VZA</w:t>
      </w:r>
      <w:r w:rsidR="00865C99" w:rsidRPr="002E402A">
        <w:rPr>
          <w:rFonts w:ascii="Times New Roman" w:hAnsi="Times New Roman" w:cs="Times New Roman"/>
          <w:sz w:val="24"/>
          <w:szCs w:val="24"/>
        </w:rPr>
        <w:t xml:space="preserve"> </w:t>
      </w:r>
      <w:r w:rsidR="00D668B4" w:rsidRPr="002E402A">
        <w:rPr>
          <w:rFonts w:ascii="Times New Roman" w:hAnsi="Times New Roman" w:cs="Times New Roman"/>
          <w:sz w:val="24"/>
          <w:szCs w:val="24"/>
        </w:rPr>
        <w:t xml:space="preserve">yöntemi </w:t>
      </w:r>
      <w:r w:rsidR="00865C99" w:rsidRPr="002E402A">
        <w:rPr>
          <w:rFonts w:ascii="Times New Roman" w:hAnsi="Times New Roman" w:cs="Times New Roman"/>
          <w:sz w:val="24"/>
          <w:szCs w:val="24"/>
        </w:rPr>
        <w:t>kullanılmıştır.</w:t>
      </w:r>
      <w:r w:rsidR="00D668B4" w:rsidRPr="002E402A">
        <w:rPr>
          <w:rFonts w:ascii="Times New Roman" w:hAnsi="Times New Roman" w:cs="Times New Roman"/>
          <w:sz w:val="24"/>
          <w:szCs w:val="24"/>
        </w:rPr>
        <w:t xml:space="preserve"> </w:t>
      </w:r>
      <w:r w:rsidRPr="002E402A">
        <w:rPr>
          <w:rFonts w:ascii="Times New Roman" w:hAnsi="Times New Roman" w:cs="Times New Roman"/>
          <w:sz w:val="24"/>
          <w:szCs w:val="24"/>
        </w:rPr>
        <w:t>Berger ve Mes</w:t>
      </w:r>
      <w:r w:rsidR="00D56843" w:rsidRPr="002E402A">
        <w:rPr>
          <w:rFonts w:ascii="Times New Roman" w:hAnsi="Times New Roman" w:cs="Times New Roman"/>
          <w:sz w:val="24"/>
          <w:szCs w:val="24"/>
        </w:rPr>
        <w:t>ter</w:t>
      </w:r>
      <w:r w:rsidR="00A14505" w:rsidRPr="002E402A">
        <w:rPr>
          <w:rFonts w:ascii="Times New Roman" w:hAnsi="Times New Roman" w:cs="Times New Roman"/>
          <w:sz w:val="24"/>
          <w:szCs w:val="24"/>
        </w:rPr>
        <w:t xml:space="preserve">’ın </w:t>
      </w:r>
      <w:r w:rsidR="00D56843" w:rsidRPr="002E402A">
        <w:rPr>
          <w:rFonts w:ascii="Times New Roman" w:hAnsi="Times New Roman" w:cs="Times New Roman"/>
          <w:sz w:val="24"/>
          <w:szCs w:val="24"/>
        </w:rPr>
        <w:t>(1997)</w:t>
      </w:r>
      <w:r w:rsidR="00A14505" w:rsidRPr="002E402A">
        <w:rPr>
          <w:rFonts w:ascii="Times New Roman" w:hAnsi="Times New Roman" w:cs="Times New Roman"/>
          <w:sz w:val="24"/>
          <w:szCs w:val="24"/>
        </w:rPr>
        <w:t xml:space="preserve"> çalışmasında</w:t>
      </w:r>
      <w:r w:rsidR="00D56843" w:rsidRPr="002E402A">
        <w:rPr>
          <w:rFonts w:ascii="Times New Roman" w:hAnsi="Times New Roman" w:cs="Times New Roman"/>
          <w:sz w:val="24"/>
          <w:szCs w:val="24"/>
        </w:rPr>
        <w:t>, A</w:t>
      </w:r>
      <w:r w:rsidRPr="002E402A">
        <w:rPr>
          <w:rFonts w:ascii="Times New Roman" w:hAnsi="Times New Roman" w:cs="Times New Roman"/>
          <w:sz w:val="24"/>
          <w:szCs w:val="24"/>
        </w:rPr>
        <w:t>merika’da bankaların etkinliğini ölçmede ekonometrik verimliliğin öncü mode</w:t>
      </w:r>
      <w:r w:rsidR="00D668B4" w:rsidRPr="002E402A">
        <w:rPr>
          <w:rFonts w:ascii="Times New Roman" w:hAnsi="Times New Roman" w:cs="Times New Roman"/>
          <w:sz w:val="24"/>
          <w:szCs w:val="24"/>
        </w:rPr>
        <w:t>lleri kullanılmıştır. B</w:t>
      </w:r>
      <w:r w:rsidRPr="002E402A">
        <w:rPr>
          <w:rFonts w:ascii="Times New Roman" w:hAnsi="Times New Roman" w:cs="Times New Roman"/>
          <w:sz w:val="24"/>
          <w:szCs w:val="24"/>
        </w:rPr>
        <w:t>ankaların ortalama maliyet etkinliği %</w:t>
      </w:r>
      <w:r w:rsidR="008B4FC8">
        <w:rPr>
          <w:rFonts w:ascii="Times New Roman" w:hAnsi="Times New Roman" w:cs="Times New Roman"/>
          <w:sz w:val="24"/>
          <w:szCs w:val="24"/>
        </w:rPr>
        <w:t xml:space="preserve"> </w:t>
      </w:r>
      <w:r w:rsidRPr="002E402A">
        <w:rPr>
          <w:rFonts w:ascii="Times New Roman" w:hAnsi="Times New Roman" w:cs="Times New Roman"/>
          <w:sz w:val="24"/>
          <w:szCs w:val="24"/>
        </w:rPr>
        <w:t>86 olurken, ortalama kazanç etkinlikleri %</w:t>
      </w:r>
      <w:r w:rsidR="008B4FC8">
        <w:rPr>
          <w:rFonts w:ascii="Times New Roman" w:hAnsi="Times New Roman" w:cs="Times New Roman"/>
          <w:sz w:val="24"/>
          <w:szCs w:val="24"/>
        </w:rPr>
        <w:t xml:space="preserve"> </w:t>
      </w:r>
      <w:r w:rsidRPr="002E402A">
        <w:rPr>
          <w:rFonts w:ascii="Times New Roman" w:hAnsi="Times New Roman" w:cs="Times New Roman"/>
          <w:sz w:val="24"/>
          <w:szCs w:val="24"/>
        </w:rPr>
        <w:t>47 olmuştur. Buna göre, onlar maliyet</w:t>
      </w:r>
      <w:r w:rsidR="00D668B4" w:rsidRPr="002E402A">
        <w:rPr>
          <w:rFonts w:ascii="Times New Roman" w:hAnsi="Times New Roman" w:cs="Times New Roman"/>
          <w:sz w:val="24"/>
          <w:szCs w:val="24"/>
        </w:rPr>
        <w:t xml:space="preserve"> etkinliklerini yönetebilirken,</w:t>
      </w:r>
      <w:r w:rsidRPr="002E402A">
        <w:rPr>
          <w:rFonts w:ascii="Times New Roman" w:hAnsi="Times New Roman" w:cs="Times New Roman"/>
          <w:sz w:val="24"/>
          <w:szCs w:val="24"/>
        </w:rPr>
        <w:t xml:space="preserve">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 xml:space="preserve"> verimliliğinde ciddi azalma olmaktadır. Kwan ve Wilcox (1999), Akhavein (1997), Berger</w:t>
      </w:r>
      <w:r w:rsidR="008B4FC8">
        <w:rPr>
          <w:rFonts w:ascii="Times New Roman" w:hAnsi="Times New Roman" w:cs="Times New Roman"/>
          <w:sz w:val="24"/>
          <w:szCs w:val="24"/>
        </w:rPr>
        <w:t xml:space="preserve"> </w:t>
      </w:r>
      <w:r w:rsidRPr="002E402A">
        <w:rPr>
          <w:rFonts w:ascii="Times New Roman" w:hAnsi="Times New Roman" w:cs="Times New Roman"/>
          <w:sz w:val="24"/>
          <w:szCs w:val="24"/>
        </w:rPr>
        <w:t xml:space="preserve">(1999), DeYoung ve Hasan (1998) çalışmalarında, banka </w:t>
      </w:r>
      <w:r w:rsidR="00C87B73" w:rsidRPr="002E402A">
        <w:rPr>
          <w:rFonts w:ascii="Times New Roman" w:hAnsi="Times New Roman" w:cs="Times New Roman"/>
          <w:sz w:val="24"/>
          <w:szCs w:val="24"/>
        </w:rPr>
        <w:t>birleşmeleri</w:t>
      </w:r>
      <w:r w:rsidR="008B4FC8">
        <w:rPr>
          <w:rFonts w:ascii="Times New Roman" w:hAnsi="Times New Roman" w:cs="Times New Roman"/>
          <w:sz w:val="24"/>
          <w:szCs w:val="24"/>
        </w:rPr>
        <w:t>nin</w:t>
      </w:r>
      <w:r w:rsidR="00C87B73" w:rsidRPr="002E402A">
        <w:rPr>
          <w:rFonts w:ascii="Times New Roman" w:hAnsi="Times New Roman" w:cs="Times New Roman"/>
          <w:sz w:val="24"/>
          <w:szCs w:val="24"/>
        </w:rPr>
        <w:t xml:space="preserve"> verimlilik artışını </w:t>
      </w:r>
      <w:r w:rsidR="008B4FC8">
        <w:rPr>
          <w:rFonts w:ascii="Times New Roman" w:hAnsi="Times New Roman" w:cs="Times New Roman"/>
          <w:sz w:val="24"/>
          <w:szCs w:val="24"/>
        </w:rPr>
        <w:t>sağladığı sonucuna ulaş</w:t>
      </w:r>
      <w:r w:rsidR="00C87B73" w:rsidRPr="002E402A">
        <w:rPr>
          <w:rFonts w:ascii="Times New Roman" w:hAnsi="Times New Roman" w:cs="Times New Roman"/>
          <w:sz w:val="24"/>
          <w:szCs w:val="24"/>
        </w:rPr>
        <w:t>mıştır. Sturm ve Williams (2008), Avustralya bankalarının etkinliği üzerine yaptıkları çalışmalarında, bankalarda yabancı sermaye miktarı, bankaların etkinlik seviyesi ve bu banka yönetim mantığı ve düzenlemeleriyle ilgilenmişlerdir. R</w:t>
      </w:r>
      <w:r w:rsidR="008D7F60">
        <w:rPr>
          <w:rFonts w:ascii="Times New Roman" w:hAnsi="Times New Roman" w:cs="Times New Roman"/>
          <w:sz w:val="24"/>
          <w:szCs w:val="24"/>
        </w:rPr>
        <w:t>ezitis’in (2008) çalışmasında, Y</w:t>
      </w:r>
      <w:r w:rsidR="00C87B73" w:rsidRPr="002E402A">
        <w:rPr>
          <w:rFonts w:ascii="Times New Roman" w:hAnsi="Times New Roman" w:cs="Times New Roman"/>
          <w:sz w:val="24"/>
          <w:szCs w:val="24"/>
        </w:rPr>
        <w:t>unan bankalarının toplam faktör verimliliği ve etkinliği üzerinde satın</w:t>
      </w:r>
      <w:r w:rsidR="00506A82" w:rsidRPr="002E402A">
        <w:rPr>
          <w:rFonts w:ascii="Times New Roman" w:hAnsi="Times New Roman" w:cs="Times New Roman"/>
          <w:sz w:val="24"/>
          <w:szCs w:val="24"/>
        </w:rPr>
        <w:t xml:space="preserve"> </w:t>
      </w:r>
      <w:r w:rsidR="00C87B73" w:rsidRPr="002E402A">
        <w:rPr>
          <w:rFonts w:ascii="Times New Roman" w:hAnsi="Times New Roman" w:cs="Times New Roman"/>
          <w:sz w:val="24"/>
          <w:szCs w:val="24"/>
        </w:rPr>
        <w:t xml:space="preserve">alma ve birleşmelerin etkisi üzerine bir çalışma ele alınmıştır. Yunan bankalarının toplam faktör verimliliği ve teknik etkinliği üzerinde birleşme ve satın almaların negatif etkileri olduğu görülmüştür. </w:t>
      </w:r>
      <w:r w:rsidRPr="002E402A">
        <w:rPr>
          <w:rFonts w:ascii="Times New Roman" w:hAnsi="Times New Roman" w:cs="Times New Roman"/>
          <w:sz w:val="24"/>
          <w:szCs w:val="24"/>
        </w:rPr>
        <w:t xml:space="preserve"> </w:t>
      </w:r>
      <w:r w:rsidR="001D116E" w:rsidRPr="002E402A">
        <w:rPr>
          <w:rFonts w:ascii="Times New Roman" w:hAnsi="Times New Roman" w:cs="Times New Roman"/>
          <w:sz w:val="24"/>
          <w:szCs w:val="24"/>
        </w:rPr>
        <w:t>Das ve Gho</w:t>
      </w:r>
      <w:r w:rsidR="00D56843" w:rsidRPr="002E402A">
        <w:rPr>
          <w:rFonts w:ascii="Times New Roman" w:hAnsi="Times New Roman" w:cs="Times New Roman"/>
          <w:sz w:val="24"/>
          <w:szCs w:val="24"/>
        </w:rPr>
        <w:t>sh (2009), 1999-2004</w:t>
      </w:r>
      <w:r w:rsidR="001943A7" w:rsidRPr="002E402A">
        <w:rPr>
          <w:rFonts w:ascii="Times New Roman" w:hAnsi="Times New Roman" w:cs="Times New Roman"/>
          <w:sz w:val="24"/>
          <w:szCs w:val="24"/>
        </w:rPr>
        <w:t xml:space="preserve"> yılları</w:t>
      </w:r>
      <w:r w:rsidR="00D56843" w:rsidRPr="002E402A">
        <w:rPr>
          <w:rFonts w:ascii="Times New Roman" w:hAnsi="Times New Roman" w:cs="Times New Roman"/>
          <w:sz w:val="24"/>
          <w:szCs w:val="24"/>
        </w:rPr>
        <w:t xml:space="preserve"> döneminde H</w:t>
      </w:r>
      <w:r w:rsidR="001D116E" w:rsidRPr="002E402A">
        <w:rPr>
          <w:rFonts w:ascii="Times New Roman" w:hAnsi="Times New Roman" w:cs="Times New Roman"/>
          <w:sz w:val="24"/>
          <w:szCs w:val="24"/>
        </w:rPr>
        <w:t xml:space="preserve">indistan’da ticari bankaların kazanç ve maliyet etkinliğinde finansal yeniden düzenlemenin etkinliği </w:t>
      </w:r>
      <w:r w:rsidR="001943A7" w:rsidRPr="002E402A">
        <w:rPr>
          <w:rFonts w:ascii="Times New Roman" w:hAnsi="Times New Roman" w:cs="Times New Roman"/>
          <w:sz w:val="24"/>
          <w:szCs w:val="24"/>
        </w:rPr>
        <w:t>VZA yöntemiy</w:t>
      </w:r>
      <w:r w:rsidR="00D668B4" w:rsidRPr="002E402A">
        <w:rPr>
          <w:rFonts w:ascii="Times New Roman" w:hAnsi="Times New Roman" w:cs="Times New Roman"/>
          <w:sz w:val="24"/>
          <w:szCs w:val="24"/>
        </w:rPr>
        <w:t>le ölçülm</w:t>
      </w:r>
      <w:r w:rsidR="001D116E" w:rsidRPr="002E402A">
        <w:rPr>
          <w:rFonts w:ascii="Times New Roman" w:hAnsi="Times New Roman" w:cs="Times New Roman"/>
          <w:sz w:val="24"/>
          <w:szCs w:val="24"/>
        </w:rPr>
        <w:t>ü</w:t>
      </w:r>
      <w:r w:rsidR="00D668B4" w:rsidRPr="002E402A">
        <w:rPr>
          <w:rFonts w:ascii="Times New Roman" w:hAnsi="Times New Roman" w:cs="Times New Roman"/>
          <w:sz w:val="24"/>
          <w:szCs w:val="24"/>
        </w:rPr>
        <w:t>ştür</w:t>
      </w:r>
      <w:r w:rsidR="001D116E" w:rsidRPr="002E402A">
        <w:rPr>
          <w:rFonts w:ascii="Times New Roman" w:hAnsi="Times New Roman" w:cs="Times New Roman"/>
          <w:sz w:val="24"/>
          <w:szCs w:val="24"/>
        </w:rPr>
        <w:t>. Kazanç etkinliğinde düşük maliye</w:t>
      </w:r>
      <w:r w:rsidR="00A1722F" w:rsidRPr="002E402A">
        <w:rPr>
          <w:rFonts w:ascii="Times New Roman" w:hAnsi="Times New Roman" w:cs="Times New Roman"/>
          <w:sz w:val="24"/>
          <w:szCs w:val="24"/>
        </w:rPr>
        <w:t xml:space="preserve">t etkinliğinde yüksek </w:t>
      </w:r>
      <w:r w:rsidR="00A1722F" w:rsidRPr="002E402A">
        <w:rPr>
          <w:rFonts w:ascii="Times New Roman" w:hAnsi="Times New Roman" w:cs="Times New Roman"/>
          <w:sz w:val="24"/>
          <w:szCs w:val="24"/>
        </w:rPr>
        <w:lastRenderedPageBreak/>
        <w:t>seviyeler ve</w:t>
      </w:r>
      <w:r w:rsidR="001D116E" w:rsidRPr="002E402A">
        <w:rPr>
          <w:rFonts w:ascii="Times New Roman" w:hAnsi="Times New Roman" w:cs="Times New Roman"/>
          <w:sz w:val="24"/>
          <w:szCs w:val="24"/>
        </w:rPr>
        <w:t xml:space="preserve"> bankacılık faal</w:t>
      </w:r>
      <w:r w:rsidR="00BC05BD" w:rsidRPr="002E402A">
        <w:rPr>
          <w:rFonts w:ascii="Times New Roman" w:hAnsi="Times New Roman" w:cs="Times New Roman"/>
          <w:sz w:val="24"/>
          <w:szCs w:val="24"/>
        </w:rPr>
        <w:t>iyetlerinin gelir verimsizliği</w:t>
      </w:r>
      <w:r w:rsidR="001D116E" w:rsidRPr="002E402A">
        <w:rPr>
          <w:rFonts w:ascii="Times New Roman" w:hAnsi="Times New Roman" w:cs="Times New Roman"/>
          <w:sz w:val="24"/>
          <w:szCs w:val="24"/>
        </w:rPr>
        <w:t xml:space="preserve"> gösterdiği</w:t>
      </w:r>
      <w:r w:rsidR="00BC05BD" w:rsidRPr="002E402A">
        <w:rPr>
          <w:rFonts w:ascii="Times New Roman" w:hAnsi="Times New Roman" w:cs="Times New Roman"/>
          <w:sz w:val="24"/>
          <w:szCs w:val="24"/>
        </w:rPr>
        <w:t xml:space="preserve"> görülmüştür</w:t>
      </w:r>
      <w:r w:rsidR="001D116E" w:rsidRPr="002E402A">
        <w:rPr>
          <w:rFonts w:ascii="Times New Roman" w:hAnsi="Times New Roman" w:cs="Times New Roman"/>
          <w:sz w:val="24"/>
          <w:szCs w:val="24"/>
        </w:rPr>
        <w:t>. Bankaların büyüklüğü, onların sahiplik yapısı, ürün çeşitliliği ve pozitif finansal eğilimler, etkinlik seviyesinde fark</w:t>
      </w:r>
      <w:r w:rsidR="009C60D7" w:rsidRPr="002E402A">
        <w:rPr>
          <w:rFonts w:ascii="Times New Roman" w:hAnsi="Times New Roman" w:cs="Times New Roman"/>
          <w:sz w:val="24"/>
          <w:szCs w:val="24"/>
        </w:rPr>
        <w:t>lılaşmaya neden olan sebepler olmuştur</w:t>
      </w:r>
      <w:r w:rsidR="001D116E" w:rsidRPr="002E402A">
        <w:rPr>
          <w:rFonts w:ascii="Times New Roman" w:hAnsi="Times New Roman" w:cs="Times New Roman"/>
          <w:sz w:val="24"/>
          <w:szCs w:val="24"/>
        </w:rPr>
        <w:t xml:space="preserve">. </w:t>
      </w:r>
    </w:p>
    <w:p w:rsidR="00137147" w:rsidRPr="002E402A" w:rsidRDefault="002F697D" w:rsidP="008D7F60">
      <w:pPr>
        <w:spacing w:line="240" w:lineRule="auto"/>
        <w:rPr>
          <w:rFonts w:ascii="Times New Roman" w:hAnsi="Times New Roman" w:cs="Times New Roman"/>
          <w:sz w:val="24"/>
          <w:szCs w:val="24"/>
        </w:rPr>
      </w:pPr>
      <w:r w:rsidRPr="002E402A">
        <w:rPr>
          <w:rFonts w:ascii="Times New Roman" w:hAnsi="Times New Roman" w:cs="Times New Roman"/>
          <w:sz w:val="24"/>
          <w:szCs w:val="24"/>
        </w:rPr>
        <w:t>Avkiran’ın (Avkiran, 2010</w:t>
      </w:r>
      <w:r w:rsidR="008D7F60">
        <w:rPr>
          <w:rFonts w:ascii="Times New Roman" w:hAnsi="Times New Roman" w:cs="Times New Roman"/>
          <w:sz w:val="24"/>
          <w:szCs w:val="24"/>
        </w:rPr>
        <w:t>:</w:t>
      </w:r>
      <w:r w:rsidRPr="002E402A">
        <w:rPr>
          <w:rFonts w:ascii="Times New Roman" w:hAnsi="Times New Roman" w:cs="Times New Roman"/>
          <w:sz w:val="24"/>
          <w:szCs w:val="24"/>
        </w:rPr>
        <w:t xml:space="preserve"> 330-332) çalışmasında, VZA yöntemi kullan</w:t>
      </w:r>
      <w:r w:rsidR="008D7F60">
        <w:rPr>
          <w:rFonts w:ascii="Times New Roman" w:hAnsi="Times New Roman" w:cs="Times New Roman"/>
          <w:sz w:val="24"/>
          <w:szCs w:val="24"/>
        </w:rPr>
        <w:t>ıl</w:t>
      </w:r>
      <w:r w:rsidRPr="002E402A">
        <w:rPr>
          <w:rFonts w:ascii="Times New Roman" w:hAnsi="Times New Roman" w:cs="Times New Roman"/>
          <w:sz w:val="24"/>
          <w:szCs w:val="24"/>
        </w:rPr>
        <w:t>arak Çin ba</w:t>
      </w:r>
      <w:r w:rsidR="00D1055D" w:rsidRPr="002E402A">
        <w:rPr>
          <w:rFonts w:ascii="Times New Roman" w:hAnsi="Times New Roman" w:cs="Times New Roman"/>
          <w:sz w:val="24"/>
          <w:szCs w:val="24"/>
        </w:rPr>
        <w:t>nkalarının etkin</w:t>
      </w:r>
      <w:r w:rsidR="00906607" w:rsidRPr="002E402A">
        <w:rPr>
          <w:rFonts w:ascii="Times New Roman" w:hAnsi="Times New Roman" w:cs="Times New Roman"/>
          <w:sz w:val="24"/>
          <w:szCs w:val="24"/>
        </w:rPr>
        <w:t>liği ölçülmüştür. G</w:t>
      </w:r>
      <w:r w:rsidR="00D1055D" w:rsidRPr="002E402A">
        <w:rPr>
          <w:rFonts w:ascii="Times New Roman" w:hAnsi="Times New Roman" w:cs="Times New Roman"/>
          <w:sz w:val="24"/>
          <w:szCs w:val="24"/>
        </w:rPr>
        <w:t>irdi olarak faiz ve faiz dışı harcamalar; çıktı olarak faiz ve faiz dışı gelirler kullanılmıştır. Çalışma sonucunda, Çin bankalarının</w:t>
      </w:r>
      <w:r w:rsidRPr="002E402A">
        <w:rPr>
          <w:rFonts w:ascii="Times New Roman" w:hAnsi="Times New Roman" w:cs="Times New Roman"/>
          <w:sz w:val="24"/>
          <w:szCs w:val="24"/>
        </w:rPr>
        <w:t xml:space="preserve"> yeterince etkin çalışmadığı </w:t>
      </w:r>
      <w:r w:rsidR="00C979E1" w:rsidRPr="002E402A">
        <w:rPr>
          <w:rFonts w:ascii="Times New Roman" w:hAnsi="Times New Roman" w:cs="Times New Roman"/>
          <w:sz w:val="24"/>
          <w:szCs w:val="24"/>
        </w:rPr>
        <w:t>belirtilmiştir.</w:t>
      </w:r>
    </w:p>
    <w:p w:rsidR="00DD44A6" w:rsidRPr="002E402A" w:rsidRDefault="008D7F60" w:rsidP="008D7F60">
      <w:pPr>
        <w:spacing w:line="240" w:lineRule="auto"/>
        <w:rPr>
          <w:rFonts w:ascii="Times New Roman" w:hAnsi="Times New Roman" w:cs="Times New Roman"/>
          <w:sz w:val="24"/>
          <w:szCs w:val="24"/>
        </w:rPr>
      </w:pPr>
      <w:r>
        <w:rPr>
          <w:rFonts w:ascii="Times New Roman" w:hAnsi="Times New Roman" w:cs="Times New Roman"/>
          <w:sz w:val="24"/>
          <w:szCs w:val="24"/>
        </w:rPr>
        <w:t>Çınar’ın (Çınar, 2009:</w:t>
      </w:r>
      <w:r w:rsidR="00DD44A6" w:rsidRPr="002E402A">
        <w:rPr>
          <w:rFonts w:ascii="Times New Roman" w:hAnsi="Times New Roman" w:cs="Times New Roman"/>
          <w:sz w:val="24"/>
          <w:szCs w:val="24"/>
        </w:rPr>
        <w:t xml:space="preserve"> 87-106) çalışmasında, 2003-2009 yılları döneminde Türk ticari bankalarının VZA yöntemi kullanılarak performans ve </w:t>
      </w:r>
      <w:r w:rsidR="007210D2" w:rsidRPr="002E402A">
        <w:rPr>
          <w:rFonts w:ascii="Times New Roman" w:hAnsi="Times New Roman" w:cs="Times New Roman"/>
          <w:sz w:val="24"/>
          <w:szCs w:val="24"/>
        </w:rPr>
        <w:t>kâr</w:t>
      </w:r>
      <w:r w:rsidR="00DD44A6" w:rsidRPr="002E402A">
        <w:rPr>
          <w:rFonts w:ascii="Times New Roman" w:hAnsi="Times New Roman" w:cs="Times New Roman"/>
          <w:sz w:val="24"/>
          <w:szCs w:val="24"/>
        </w:rPr>
        <w:t>lılık analizi yapılmıştır. Girdi olarak, faiz ve faiz dışı giderlerin, donmuş kredilerin, mevduatın aktife oranları;</w:t>
      </w:r>
      <w:r w:rsidR="006135DB" w:rsidRPr="002E402A">
        <w:rPr>
          <w:rFonts w:ascii="Times New Roman" w:hAnsi="Times New Roman" w:cs="Times New Roman"/>
          <w:sz w:val="24"/>
          <w:szCs w:val="24"/>
        </w:rPr>
        <w:t xml:space="preserve"> </w:t>
      </w:r>
      <w:r w:rsidR="00DD44A6" w:rsidRPr="002E402A">
        <w:rPr>
          <w:rFonts w:ascii="Times New Roman" w:hAnsi="Times New Roman" w:cs="Times New Roman"/>
          <w:sz w:val="24"/>
          <w:szCs w:val="24"/>
        </w:rPr>
        <w:t>çıktı olarak, borçların, faiz ve faiz dışı gelirlerin, hissedar payı ve net kazancın aktife oranları kullanılmıştır. Çalışma sonucunda, bankacılık sektöründe performansın genel olarak düzeldiği, global kriz</w:t>
      </w:r>
      <w:r w:rsidR="00C3674C">
        <w:rPr>
          <w:rFonts w:ascii="Times New Roman" w:hAnsi="Times New Roman" w:cs="Times New Roman"/>
          <w:sz w:val="24"/>
          <w:szCs w:val="24"/>
        </w:rPr>
        <w:t>in</w:t>
      </w:r>
      <w:r w:rsidR="00DD44A6" w:rsidRPr="002E402A">
        <w:rPr>
          <w:rFonts w:ascii="Times New Roman" w:hAnsi="Times New Roman" w:cs="Times New Roman"/>
          <w:sz w:val="24"/>
          <w:szCs w:val="24"/>
        </w:rPr>
        <w:t xml:space="preserve"> ikinci yarısından sonra performansın azaldığı, büyük yabancı bankaların bu yapı dışında seyir gösterdiği, yakın gelecekte kredi riskinin izlenmesinin önemli olduğu belirtilmiştir.</w:t>
      </w:r>
    </w:p>
    <w:p w:rsidR="004D3EB2" w:rsidRPr="002E402A" w:rsidRDefault="00C3674C" w:rsidP="008D7F60">
      <w:pPr>
        <w:spacing w:line="240" w:lineRule="auto"/>
        <w:rPr>
          <w:rFonts w:ascii="Times New Roman" w:hAnsi="Times New Roman" w:cs="Times New Roman"/>
          <w:sz w:val="24"/>
          <w:szCs w:val="24"/>
        </w:rPr>
      </w:pPr>
      <w:r>
        <w:rPr>
          <w:rFonts w:ascii="Times New Roman" w:hAnsi="Times New Roman" w:cs="Times New Roman"/>
          <w:sz w:val="24"/>
          <w:szCs w:val="24"/>
        </w:rPr>
        <w:t>Ebrahimnejad ve d</w:t>
      </w:r>
      <w:r w:rsidR="004D3EB2" w:rsidRPr="002E402A">
        <w:rPr>
          <w:rFonts w:ascii="Times New Roman" w:hAnsi="Times New Roman" w:cs="Times New Roman"/>
          <w:sz w:val="24"/>
          <w:szCs w:val="24"/>
        </w:rPr>
        <w:t>iğerlerinin (Ebrahimnejad, Tavana, Lotfi, Shahverdi ve Yousefpour, 2013</w:t>
      </w:r>
      <w:r w:rsidR="008D7F60">
        <w:rPr>
          <w:rFonts w:ascii="Times New Roman" w:hAnsi="Times New Roman" w:cs="Times New Roman"/>
          <w:sz w:val="24"/>
          <w:szCs w:val="24"/>
        </w:rPr>
        <w:t>:</w:t>
      </w:r>
      <w:r w:rsidR="004D3EB2" w:rsidRPr="002E402A">
        <w:rPr>
          <w:rFonts w:ascii="Times New Roman" w:hAnsi="Times New Roman" w:cs="Times New Roman"/>
          <w:sz w:val="24"/>
          <w:szCs w:val="24"/>
        </w:rPr>
        <w:t xml:space="preserve"> 308-319) çalışmasında VZA analizinde üç aşamalı bir ölçümleme yapılmıştır. </w:t>
      </w:r>
      <w:r w:rsidR="0010204D" w:rsidRPr="002E402A">
        <w:rPr>
          <w:rFonts w:ascii="Times New Roman" w:hAnsi="Times New Roman" w:cs="Times New Roman"/>
          <w:sz w:val="24"/>
          <w:szCs w:val="24"/>
        </w:rPr>
        <w:t>Çalışmada g</w:t>
      </w:r>
      <w:r w:rsidR="003C34B4" w:rsidRPr="002E402A">
        <w:rPr>
          <w:rFonts w:ascii="Times New Roman" w:hAnsi="Times New Roman" w:cs="Times New Roman"/>
          <w:sz w:val="24"/>
          <w:szCs w:val="24"/>
        </w:rPr>
        <w:t xml:space="preserve">irdi olarak, operasyonel ve sermaye maliyetleri; çıktı olarak </w:t>
      </w:r>
      <w:r w:rsidR="0010204D" w:rsidRPr="002E402A">
        <w:rPr>
          <w:rFonts w:ascii="Times New Roman" w:hAnsi="Times New Roman" w:cs="Times New Roman"/>
          <w:sz w:val="24"/>
          <w:szCs w:val="24"/>
        </w:rPr>
        <w:t xml:space="preserve">ise </w:t>
      </w:r>
      <w:r w:rsidR="003C34B4" w:rsidRPr="002E402A">
        <w:rPr>
          <w:rFonts w:ascii="Times New Roman" w:hAnsi="Times New Roman" w:cs="Times New Roman"/>
          <w:sz w:val="24"/>
          <w:szCs w:val="24"/>
        </w:rPr>
        <w:t xml:space="preserve">bireysel ticari banka kredileri ve mevduatları kullanılmıştır. </w:t>
      </w:r>
      <w:r w:rsidR="00F004CD" w:rsidRPr="002E402A">
        <w:rPr>
          <w:rFonts w:ascii="Times New Roman" w:hAnsi="Times New Roman" w:cs="Times New Roman"/>
          <w:sz w:val="24"/>
          <w:szCs w:val="24"/>
        </w:rPr>
        <w:t>Şubelerin çoğu etkin bulunmazken çok az kısmının etkin olduğu belirtilmiştir.</w:t>
      </w:r>
    </w:p>
    <w:p w:rsidR="00517926" w:rsidRPr="002E402A" w:rsidRDefault="00517926" w:rsidP="008D7F60">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Halkos ve Salamouris </w:t>
      </w:r>
      <w:r w:rsidR="008D7F60">
        <w:rPr>
          <w:rFonts w:ascii="Times New Roman" w:hAnsi="Times New Roman" w:cs="Times New Roman"/>
          <w:sz w:val="24"/>
          <w:szCs w:val="24"/>
        </w:rPr>
        <w:t>(Halkos ve Salamouris, 2004:</w:t>
      </w:r>
      <w:r w:rsidR="00A91155" w:rsidRPr="002E402A">
        <w:rPr>
          <w:rFonts w:ascii="Times New Roman" w:hAnsi="Times New Roman" w:cs="Times New Roman"/>
          <w:sz w:val="24"/>
          <w:szCs w:val="24"/>
        </w:rPr>
        <w:t xml:space="preserve"> 201-224) </w:t>
      </w:r>
      <w:r w:rsidRPr="002E402A">
        <w:rPr>
          <w:rFonts w:ascii="Times New Roman" w:hAnsi="Times New Roman" w:cs="Times New Roman"/>
          <w:sz w:val="24"/>
          <w:szCs w:val="24"/>
        </w:rPr>
        <w:t xml:space="preserve">tarafından gerçekleştirilen çalışmada VZA yöntemiyle </w:t>
      </w:r>
      <w:r w:rsidR="005D535C" w:rsidRPr="002E402A">
        <w:rPr>
          <w:rFonts w:ascii="Times New Roman" w:hAnsi="Times New Roman" w:cs="Times New Roman"/>
          <w:sz w:val="24"/>
          <w:szCs w:val="24"/>
        </w:rPr>
        <w:t xml:space="preserve">Yunan mevduat bankalarının etkinlik ölçümü yapılmıştır. </w:t>
      </w:r>
      <w:r w:rsidR="00756952" w:rsidRPr="002E402A">
        <w:rPr>
          <w:rFonts w:ascii="Times New Roman" w:hAnsi="Times New Roman" w:cs="Times New Roman"/>
          <w:sz w:val="24"/>
          <w:szCs w:val="24"/>
        </w:rPr>
        <w:t>1997-1999 yılları döneminde bankaların finansal oranları kullanılmıştır.</w:t>
      </w:r>
      <w:r w:rsidR="00883F8C" w:rsidRPr="002E402A">
        <w:rPr>
          <w:rFonts w:ascii="Times New Roman" w:hAnsi="Times New Roman" w:cs="Times New Roman"/>
          <w:sz w:val="24"/>
          <w:szCs w:val="24"/>
        </w:rPr>
        <w:t xml:space="preserve"> </w:t>
      </w:r>
      <w:r w:rsidR="0010204D" w:rsidRPr="002E402A">
        <w:rPr>
          <w:rFonts w:ascii="Times New Roman" w:hAnsi="Times New Roman" w:cs="Times New Roman"/>
          <w:sz w:val="24"/>
          <w:szCs w:val="24"/>
        </w:rPr>
        <w:t>Çalışmada g</w:t>
      </w:r>
      <w:r w:rsidR="00883F8C" w:rsidRPr="002E402A">
        <w:rPr>
          <w:rFonts w:ascii="Times New Roman" w:hAnsi="Times New Roman" w:cs="Times New Roman"/>
          <w:sz w:val="24"/>
          <w:szCs w:val="24"/>
        </w:rPr>
        <w:t xml:space="preserve">irdi olarak, faiz giderleri, toplam aktifler, işgücü sayısı ve operasyonel harcamalar kullanılırken; çıktı olarak </w:t>
      </w:r>
      <w:r w:rsidR="0010204D" w:rsidRPr="002E402A">
        <w:rPr>
          <w:rFonts w:ascii="Times New Roman" w:hAnsi="Times New Roman" w:cs="Times New Roman"/>
          <w:sz w:val="24"/>
          <w:szCs w:val="24"/>
        </w:rPr>
        <w:t xml:space="preserve">ise </w:t>
      </w:r>
      <w:r w:rsidR="00883F8C" w:rsidRPr="002E402A">
        <w:rPr>
          <w:rFonts w:ascii="Times New Roman" w:hAnsi="Times New Roman" w:cs="Times New Roman"/>
          <w:sz w:val="24"/>
          <w:szCs w:val="24"/>
        </w:rPr>
        <w:t>faiz geliri ve net kazanç kullanılmıştır.</w:t>
      </w:r>
      <w:r w:rsidR="00756952" w:rsidRPr="002E402A">
        <w:rPr>
          <w:rFonts w:ascii="Times New Roman" w:hAnsi="Times New Roman" w:cs="Times New Roman"/>
          <w:sz w:val="24"/>
          <w:szCs w:val="24"/>
        </w:rPr>
        <w:t xml:space="preserve"> </w:t>
      </w:r>
      <w:r w:rsidR="00A91155" w:rsidRPr="002E402A">
        <w:rPr>
          <w:rFonts w:ascii="Times New Roman" w:hAnsi="Times New Roman" w:cs="Times New Roman"/>
          <w:sz w:val="24"/>
          <w:szCs w:val="24"/>
        </w:rPr>
        <w:t xml:space="preserve">Küçük bankaların birleşmesi sonucu banka sayısında azalma olurken banka verimliliklerinin arttığı belirlenmiştir. </w:t>
      </w:r>
      <w:r w:rsidR="00883F8C" w:rsidRPr="002E402A">
        <w:rPr>
          <w:rFonts w:ascii="Times New Roman" w:hAnsi="Times New Roman" w:cs="Times New Roman"/>
          <w:sz w:val="24"/>
          <w:szCs w:val="24"/>
        </w:rPr>
        <w:t>B</w:t>
      </w:r>
      <w:r w:rsidR="00B52480">
        <w:rPr>
          <w:rFonts w:ascii="Times New Roman" w:hAnsi="Times New Roman" w:cs="Times New Roman"/>
          <w:sz w:val="24"/>
          <w:szCs w:val="24"/>
        </w:rPr>
        <w:t>ankaların</w:t>
      </w:r>
      <w:r w:rsidR="007513DD" w:rsidRPr="002E402A">
        <w:rPr>
          <w:rFonts w:ascii="Times New Roman" w:hAnsi="Times New Roman" w:cs="Times New Roman"/>
          <w:sz w:val="24"/>
          <w:szCs w:val="24"/>
        </w:rPr>
        <w:t xml:space="preserve"> büyüklüğünün artması ile etkinliğinin arttığı görülmüştür. </w:t>
      </w:r>
      <w:r w:rsidR="00FE53BD" w:rsidRPr="002E402A">
        <w:rPr>
          <w:rFonts w:ascii="Times New Roman" w:hAnsi="Times New Roman" w:cs="Times New Roman"/>
          <w:sz w:val="24"/>
          <w:szCs w:val="24"/>
        </w:rPr>
        <w:t xml:space="preserve">Bankaların yıllar itibariyle </w:t>
      </w:r>
      <w:r w:rsidR="00A7617F" w:rsidRPr="002E402A">
        <w:rPr>
          <w:rFonts w:ascii="Times New Roman" w:hAnsi="Times New Roman" w:cs="Times New Roman"/>
          <w:sz w:val="24"/>
          <w:szCs w:val="24"/>
        </w:rPr>
        <w:t>gelirleri</w:t>
      </w:r>
      <w:r w:rsidR="00FE53BD" w:rsidRPr="002E402A">
        <w:rPr>
          <w:rFonts w:ascii="Times New Roman" w:hAnsi="Times New Roman" w:cs="Times New Roman"/>
          <w:sz w:val="24"/>
          <w:szCs w:val="24"/>
        </w:rPr>
        <w:t xml:space="preserve"> artarken operasyonel harcamaların</w:t>
      </w:r>
      <w:r w:rsidR="00455791" w:rsidRPr="002E402A">
        <w:rPr>
          <w:rFonts w:ascii="Times New Roman" w:hAnsi="Times New Roman" w:cs="Times New Roman"/>
          <w:sz w:val="24"/>
          <w:szCs w:val="24"/>
        </w:rPr>
        <w:t>ın azalması</w:t>
      </w:r>
      <w:r w:rsidR="00B52480">
        <w:rPr>
          <w:rFonts w:ascii="Times New Roman" w:hAnsi="Times New Roman" w:cs="Times New Roman"/>
          <w:sz w:val="24"/>
          <w:szCs w:val="24"/>
        </w:rPr>
        <w:t>nın</w:t>
      </w:r>
      <w:r w:rsidR="00455791" w:rsidRPr="002E402A">
        <w:rPr>
          <w:rFonts w:ascii="Times New Roman" w:hAnsi="Times New Roman" w:cs="Times New Roman"/>
          <w:sz w:val="24"/>
          <w:szCs w:val="24"/>
        </w:rPr>
        <w:t xml:space="preserve"> sağlan</w:t>
      </w:r>
      <w:r w:rsidR="00B52480">
        <w:rPr>
          <w:rFonts w:ascii="Times New Roman" w:hAnsi="Times New Roman" w:cs="Times New Roman"/>
          <w:sz w:val="24"/>
          <w:szCs w:val="24"/>
        </w:rPr>
        <w:t>madığı, sağlansaydı</w:t>
      </w:r>
      <w:r w:rsidR="00FE53BD" w:rsidRPr="002E402A">
        <w:rPr>
          <w:rFonts w:ascii="Times New Roman" w:hAnsi="Times New Roman" w:cs="Times New Roman"/>
          <w:sz w:val="24"/>
          <w:szCs w:val="24"/>
        </w:rPr>
        <w:t>,</w:t>
      </w:r>
      <w:r w:rsidR="00455791" w:rsidRPr="002E402A">
        <w:rPr>
          <w:rFonts w:ascii="Times New Roman" w:hAnsi="Times New Roman" w:cs="Times New Roman"/>
          <w:sz w:val="24"/>
          <w:szCs w:val="24"/>
        </w:rPr>
        <w:t xml:space="preserve"> gelecek yıllarda</w:t>
      </w:r>
      <w:r w:rsidR="00FE53BD" w:rsidRPr="002E402A">
        <w:rPr>
          <w:rFonts w:ascii="Times New Roman" w:hAnsi="Times New Roman" w:cs="Times New Roman"/>
          <w:sz w:val="24"/>
          <w:szCs w:val="24"/>
        </w:rPr>
        <w:t xml:space="preserve"> rekabet gücünün artacağı belirtilmiştir. </w:t>
      </w:r>
    </w:p>
    <w:p w:rsidR="00B715D3" w:rsidRPr="002E402A" w:rsidRDefault="00206222" w:rsidP="00B52480">
      <w:pPr>
        <w:spacing w:line="240" w:lineRule="auto"/>
        <w:rPr>
          <w:rFonts w:ascii="Times New Roman" w:hAnsi="Times New Roman" w:cs="Times New Roman"/>
          <w:sz w:val="24"/>
          <w:szCs w:val="24"/>
        </w:rPr>
      </w:pPr>
      <w:r>
        <w:rPr>
          <w:rFonts w:ascii="Times New Roman" w:hAnsi="Times New Roman" w:cs="Times New Roman"/>
          <w:sz w:val="24"/>
          <w:szCs w:val="24"/>
        </w:rPr>
        <w:t>Kohandel ve d</w:t>
      </w:r>
      <w:r w:rsidR="00165178" w:rsidRPr="002E402A">
        <w:rPr>
          <w:rFonts w:ascii="Times New Roman" w:hAnsi="Times New Roman" w:cs="Times New Roman"/>
          <w:sz w:val="24"/>
          <w:szCs w:val="24"/>
        </w:rPr>
        <w:t>iğerlerinin (</w:t>
      </w:r>
      <w:r w:rsidR="00B52480">
        <w:rPr>
          <w:rFonts w:ascii="Times New Roman" w:hAnsi="Times New Roman" w:cs="Times New Roman"/>
          <w:sz w:val="24"/>
          <w:szCs w:val="24"/>
        </w:rPr>
        <w:t>Kohandel, Fardi ve Javadi, 2015:</w:t>
      </w:r>
      <w:r w:rsidR="00165178" w:rsidRPr="002E402A">
        <w:rPr>
          <w:rFonts w:ascii="Times New Roman" w:hAnsi="Times New Roman" w:cs="Times New Roman"/>
          <w:sz w:val="24"/>
          <w:szCs w:val="24"/>
        </w:rPr>
        <w:t xml:space="preserve"> 1761-1774) çalışmasında,</w:t>
      </w:r>
      <w:r w:rsidR="00BA7A1F" w:rsidRPr="002E402A">
        <w:rPr>
          <w:rFonts w:ascii="Times New Roman" w:hAnsi="Times New Roman" w:cs="Times New Roman"/>
          <w:sz w:val="24"/>
          <w:szCs w:val="24"/>
        </w:rPr>
        <w:t xml:space="preserve"> İran borsasındaki şirketlerin verileri kullanılmış ve VZA yöntemi kullanılmıştır. </w:t>
      </w:r>
      <w:r w:rsidR="00BF676B" w:rsidRPr="002E402A">
        <w:rPr>
          <w:rFonts w:ascii="Times New Roman" w:hAnsi="Times New Roman" w:cs="Times New Roman"/>
          <w:sz w:val="24"/>
          <w:szCs w:val="24"/>
        </w:rPr>
        <w:t>Girdi olarak, aktif toplamı ve operasyonel maliyetler</w:t>
      </w:r>
      <w:r w:rsidR="00D64E65" w:rsidRPr="002E402A">
        <w:rPr>
          <w:rFonts w:ascii="Times New Roman" w:hAnsi="Times New Roman" w:cs="Times New Roman"/>
          <w:sz w:val="24"/>
          <w:szCs w:val="24"/>
        </w:rPr>
        <w:t>; çıktı olarak, operasyonel kazançlar, dönem başındaki tasarruflar</w:t>
      </w:r>
      <w:r w:rsidR="00BF676B" w:rsidRPr="002E402A">
        <w:rPr>
          <w:rFonts w:ascii="Times New Roman" w:hAnsi="Times New Roman" w:cs="Times New Roman"/>
          <w:sz w:val="24"/>
          <w:szCs w:val="24"/>
        </w:rPr>
        <w:t xml:space="preserve"> </w:t>
      </w:r>
      <w:r w:rsidR="00D64E65" w:rsidRPr="002E402A">
        <w:rPr>
          <w:rFonts w:ascii="Times New Roman" w:hAnsi="Times New Roman" w:cs="Times New Roman"/>
          <w:sz w:val="24"/>
          <w:szCs w:val="24"/>
        </w:rPr>
        <w:t xml:space="preserve">esas alınmıştır. </w:t>
      </w:r>
      <w:r w:rsidR="00165178" w:rsidRPr="002E402A">
        <w:rPr>
          <w:rFonts w:ascii="Times New Roman" w:hAnsi="Times New Roman" w:cs="Times New Roman"/>
          <w:sz w:val="24"/>
          <w:szCs w:val="24"/>
        </w:rPr>
        <w:t>VZA yöntemi</w:t>
      </w:r>
      <w:r w:rsidR="00BA7A1F" w:rsidRPr="002E402A">
        <w:rPr>
          <w:rFonts w:ascii="Times New Roman" w:hAnsi="Times New Roman" w:cs="Times New Roman"/>
          <w:sz w:val="24"/>
          <w:szCs w:val="24"/>
        </w:rPr>
        <w:t xml:space="preserve"> ile diğer tahmin yöntemleri kullanıldığında</w:t>
      </w:r>
      <w:r w:rsidR="00A227F8" w:rsidRPr="002E402A">
        <w:rPr>
          <w:rFonts w:ascii="Times New Roman" w:hAnsi="Times New Roman" w:cs="Times New Roman"/>
          <w:sz w:val="24"/>
          <w:szCs w:val="24"/>
        </w:rPr>
        <w:t xml:space="preserve"> </w:t>
      </w:r>
      <w:r w:rsidR="00165178" w:rsidRPr="002E402A">
        <w:rPr>
          <w:rFonts w:ascii="Times New Roman" w:hAnsi="Times New Roman" w:cs="Times New Roman"/>
          <w:sz w:val="24"/>
          <w:szCs w:val="24"/>
        </w:rPr>
        <w:t>finansal krizlerin önceden belirlen</w:t>
      </w:r>
      <w:r w:rsidR="00BA7A1F" w:rsidRPr="002E402A">
        <w:rPr>
          <w:rFonts w:ascii="Times New Roman" w:hAnsi="Times New Roman" w:cs="Times New Roman"/>
          <w:sz w:val="24"/>
          <w:szCs w:val="24"/>
        </w:rPr>
        <w:t>mesinde</w:t>
      </w:r>
      <w:r w:rsidR="00E65F88" w:rsidRPr="002E402A">
        <w:rPr>
          <w:rFonts w:ascii="Times New Roman" w:hAnsi="Times New Roman" w:cs="Times New Roman"/>
          <w:sz w:val="24"/>
          <w:szCs w:val="24"/>
        </w:rPr>
        <w:t xml:space="preserve">, beş ayrı </w:t>
      </w:r>
      <w:r w:rsidR="00103654" w:rsidRPr="002E402A">
        <w:rPr>
          <w:rFonts w:ascii="Times New Roman" w:hAnsi="Times New Roman" w:cs="Times New Roman"/>
          <w:sz w:val="24"/>
          <w:szCs w:val="24"/>
        </w:rPr>
        <w:t xml:space="preserve">tahmin </w:t>
      </w:r>
      <w:r w:rsidR="00E65F88" w:rsidRPr="002E402A">
        <w:rPr>
          <w:rFonts w:ascii="Times New Roman" w:hAnsi="Times New Roman" w:cs="Times New Roman"/>
          <w:sz w:val="24"/>
          <w:szCs w:val="24"/>
        </w:rPr>
        <w:t>model</w:t>
      </w:r>
      <w:r w:rsidR="00103654" w:rsidRPr="002E402A">
        <w:rPr>
          <w:rFonts w:ascii="Times New Roman" w:hAnsi="Times New Roman" w:cs="Times New Roman"/>
          <w:sz w:val="24"/>
          <w:szCs w:val="24"/>
        </w:rPr>
        <w:t>i</w:t>
      </w:r>
      <w:r w:rsidR="00E65F88" w:rsidRPr="002E402A">
        <w:rPr>
          <w:rFonts w:ascii="Times New Roman" w:hAnsi="Times New Roman" w:cs="Times New Roman"/>
          <w:sz w:val="24"/>
          <w:szCs w:val="24"/>
        </w:rPr>
        <w:t xml:space="preserve"> ve VZA </w:t>
      </w:r>
      <w:r w:rsidR="00B8078C"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E65F88" w:rsidRPr="002E402A">
        <w:rPr>
          <w:rFonts w:ascii="Times New Roman" w:hAnsi="Times New Roman" w:cs="Times New Roman"/>
          <w:sz w:val="24"/>
          <w:szCs w:val="24"/>
        </w:rPr>
        <w:t xml:space="preserve">şılaştırılmış ve </w:t>
      </w:r>
      <w:r w:rsidR="00D64E65" w:rsidRPr="002E402A">
        <w:rPr>
          <w:rFonts w:ascii="Times New Roman" w:hAnsi="Times New Roman" w:cs="Times New Roman"/>
          <w:sz w:val="24"/>
          <w:szCs w:val="24"/>
        </w:rPr>
        <w:t>elde edilen sonuçl</w:t>
      </w:r>
      <w:r w:rsidR="00E65F88" w:rsidRPr="002E402A">
        <w:rPr>
          <w:rFonts w:ascii="Times New Roman" w:hAnsi="Times New Roman" w:cs="Times New Roman"/>
          <w:sz w:val="24"/>
          <w:szCs w:val="24"/>
        </w:rPr>
        <w:t>a</w:t>
      </w:r>
      <w:r w:rsidR="00D64E65" w:rsidRPr="002E402A">
        <w:rPr>
          <w:rFonts w:ascii="Times New Roman" w:hAnsi="Times New Roman" w:cs="Times New Roman"/>
          <w:sz w:val="24"/>
          <w:szCs w:val="24"/>
        </w:rPr>
        <w:t>ra göre</w:t>
      </w:r>
      <w:r w:rsidR="00BA7A1F" w:rsidRPr="002E402A">
        <w:rPr>
          <w:rFonts w:ascii="Times New Roman" w:hAnsi="Times New Roman" w:cs="Times New Roman"/>
          <w:sz w:val="24"/>
          <w:szCs w:val="24"/>
        </w:rPr>
        <w:t xml:space="preserve"> </w:t>
      </w:r>
      <w:r w:rsidR="009A5206" w:rsidRPr="002E402A">
        <w:rPr>
          <w:rFonts w:ascii="Times New Roman" w:hAnsi="Times New Roman" w:cs="Times New Roman"/>
          <w:sz w:val="24"/>
          <w:szCs w:val="24"/>
        </w:rPr>
        <w:t>spraingate modeli</w:t>
      </w:r>
      <w:r w:rsidR="00D64E65" w:rsidRPr="002E402A">
        <w:rPr>
          <w:rFonts w:ascii="Times New Roman" w:hAnsi="Times New Roman" w:cs="Times New Roman"/>
          <w:sz w:val="24"/>
          <w:szCs w:val="24"/>
        </w:rPr>
        <w:t xml:space="preserve"> </w:t>
      </w:r>
      <w:r w:rsidR="00E65F88" w:rsidRPr="002E402A">
        <w:rPr>
          <w:rFonts w:ascii="Times New Roman" w:hAnsi="Times New Roman" w:cs="Times New Roman"/>
          <w:sz w:val="24"/>
          <w:szCs w:val="24"/>
        </w:rPr>
        <w:t xml:space="preserve">finansal krizlerin önceden belirlenmesinde </w:t>
      </w:r>
      <w:r w:rsidR="009A5206" w:rsidRPr="002E402A">
        <w:rPr>
          <w:rFonts w:ascii="Times New Roman" w:hAnsi="Times New Roman" w:cs="Times New Roman"/>
          <w:sz w:val="24"/>
          <w:szCs w:val="24"/>
        </w:rPr>
        <w:t>daha üstün bulunmuştur.</w:t>
      </w:r>
    </w:p>
    <w:p w:rsidR="00165178" w:rsidRPr="002E402A" w:rsidRDefault="00B52480" w:rsidP="00B52480">
      <w:pPr>
        <w:spacing w:line="240" w:lineRule="auto"/>
        <w:rPr>
          <w:rFonts w:ascii="Times New Roman" w:hAnsi="Times New Roman" w:cs="Times New Roman"/>
          <w:sz w:val="24"/>
          <w:szCs w:val="24"/>
        </w:rPr>
      </w:pPr>
      <w:r>
        <w:rPr>
          <w:rFonts w:ascii="Times New Roman" w:hAnsi="Times New Roman" w:cs="Times New Roman"/>
          <w:sz w:val="24"/>
          <w:szCs w:val="24"/>
        </w:rPr>
        <w:t>Tahir ve d</w:t>
      </w:r>
      <w:r w:rsidR="00AF57EF" w:rsidRPr="002E402A">
        <w:rPr>
          <w:rFonts w:ascii="Times New Roman" w:hAnsi="Times New Roman" w:cs="Times New Roman"/>
          <w:sz w:val="24"/>
          <w:szCs w:val="24"/>
        </w:rPr>
        <w:t>iğerlerinin (Tahir, Yusof ve Razali, 2010</w:t>
      </w:r>
      <w:r>
        <w:rPr>
          <w:rFonts w:ascii="Times New Roman" w:hAnsi="Times New Roman" w:cs="Times New Roman"/>
          <w:sz w:val="24"/>
          <w:szCs w:val="24"/>
        </w:rPr>
        <w:t>:</w:t>
      </w:r>
      <w:r w:rsidR="00AF57EF" w:rsidRPr="002E402A">
        <w:rPr>
          <w:rFonts w:ascii="Times New Roman" w:hAnsi="Times New Roman" w:cs="Times New Roman"/>
          <w:sz w:val="24"/>
          <w:szCs w:val="24"/>
        </w:rPr>
        <w:t xml:space="preserve"> 43-52) çalışmasında, </w:t>
      </w:r>
      <w:r w:rsidR="008C4A02" w:rsidRPr="002E402A">
        <w:rPr>
          <w:rFonts w:ascii="Times New Roman" w:hAnsi="Times New Roman" w:cs="Times New Roman"/>
          <w:sz w:val="24"/>
          <w:szCs w:val="24"/>
        </w:rPr>
        <w:t xml:space="preserve">2004-2008 yılları döneminde </w:t>
      </w:r>
      <w:r w:rsidR="006148F7" w:rsidRPr="002E402A">
        <w:rPr>
          <w:rFonts w:ascii="Times New Roman" w:hAnsi="Times New Roman" w:cs="Times New Roman"/>
          <w:sz w:val="24"/>
          <w:szCs w:val="24"/>
        </w:rPr>
        <w:t xml:space="preserve">Malezya’daki </w:t>
      </w:r>
      <w:r w:rsidR="00926E46" w:rsidRPr="002E402A">
        <w:rPr>
          <w:rFonts w:ascii="Times New Roman" w:hAnsi="Times New Roman" w:cs="Times New Roman"/>
          <w:sz w:val="24"/>
          <w:szCs w:val="24"/>
        </w:rPr>
        <w:t>14 halka açık şirket</w:t>
      </w:r>
      <w:r w:rsidR="006148F7" w:rsidRPr="002E402A">
        <w:rPr>
          <w:rFonts w:ascii="Times New Roman" w:hAnsi="Times New Roman" w:cs="Times New Roman"/>
          <w:sz w:val="24"/>
          <w:szCs w:val="24"/>
        </w:rPr>
        <w:t xml:space="preserve">in operasyon performansını ölçmede VZA yöntemi kullanılmıştır. </w:t>
      </w:r>
      <w:r w:rsidR="00103654" w:rsidRPr="002E402A">
        <w:rPr>
          <w:rFonts w:ascii="Times New Roman" w:hAnsi="Times New Roman" w:cs="Times New Roman"/>
          <w:sz w:val="24"/>
          <w:szCs w:val="24"/>
        </w:rPr>
        <w:t xml:space="preserve"> </w:t>
      </w:r>
      <w:r w:rsidR="00602683" w:rsidRPr="002E402A">
        <w:rPr>
          <w:rFonts w:ascii="Times New Roman" w:hAnsi="Times New Roman" w:cs="Times New Roman"/>
          <w:sz w:val="24"/>
          <w:szCs w:val="24"/>
        </w:rPr>
        <w:t>Girdi olarak, operasyonel ve finansal harcamalar ve aktif toplamı kullanılmış, çıktı olarak satış gelirleri esas alınmıştır. Elde edilen sonuçlara göre sadece bir şirketin göreceli olarak etkin olduğu belirlenmiştir.</w:t>
      </w:r>
    </w:p>
    <w:p w:rsidR="00C80D5C" w:rsidRPr="002E402A" w:rsidRDefault="00B52480" w:rsidP="00206222">
      <w:pPr>
        <w:spacing w:line="240" w:lineRule="auto"/>
        <w:rPr>
          <w:rFonts w:ascii="Times New Roman" w:hAnsi="Times New Roman" w:cs="Times New Roman"/>
          <w:sz w:val="24"/>
          <w:szCs w:val="24"/>
        </w:rPr>
      </w:pPr>
      <w:r>
        <w:rPr>
          <w:rFonts w:ascii="Times New Roman" w:hAnsi="Times New Roman" w:cs="Times New Roman"/>
          <w:sz w:val="24"/>
          <w:szCs w:val="24"/>
        </w:rPr>
        <w:t>Ni</w:t>
      </w:r>
      <w:r w:rsidR="00CE71F7" w:rsidRPr="002E402A">
        <w:rPr>
          <w:rFonts w:ascii="Times New Roman" w:hAnsi="Times New Roman" w:cs="Times New Roman"/>
          <w:sz w:val="24"/>
          <w:szCs w:val="24"/>
        </w:rPr>
        <w:t>gmonov</w:t>
      </w:r>
      <w:r>
        <w:rPr>
          <w:rFonts w:ascii="Times New Roman" w:hAnsi="Times New Roman" w:cs="Times New Roman"/>
          <w:sz w:val="24"/>
          <w:szCs w:val="24"/>
        </w:rPr>
        <w:t>’un çalışmasında</w:t>
      </w:r>
      <w:r w:rsidR="00CE71F7" w:rsidRPr="002E402A">
        <w:rPr>
          <w:rFonts w:ascii="Times New Roman" w:hAnsi="Times New Roman" w:cs="Times New Roman"/>
          <w:sz w:val="24"/>
          <w:szCs w:val="24"/>
        </w:rPr>
        <w:t xml:space="preserve"> </w:t>
      </w:r>
      <w:r w:rsidR="0010444D" w:rsidRPr="002E402A">
        <w:rPr>
          <w:rFonts w:ascii="Times New Roman" w:hAnsi="Times New Roman" w:cs="Times New Roman"/>
          <w:sz w:val="24"/>
          <w:szCs w:val="24"/>
        </w:rPr>
        <w:t>(</w:t>
      </w:r>
      <w:r>
        <w:rPr>
          <w:rFonts w:ascii="Times New Roman" w:hAnsi="Times New Roman" w:cs="Times New Roman"/>
          <w:sz w:val="24"/>
          <w:szCs w:val="24"/>
        </w:rPr>
        <w:t>Ni</w:t>
      </w:r>
      <w:r w:rsidR="0010444D" w:rsidRPr="002E402A">
        <w:rPr>
          <w:rFonts w:ascii="Times New Roman" w:hAnsi="Times New Roman" w:cs="Times New Roman"/>
          <w:sz w:val="24"/>
          <w:szCs w:val="24"/>
        </w:rPr>
        <w:t>gmonov</w:t>
      </w:r>
      <w:r>
        <w:rPr>
          <w:rFonts w:ascii="Times New Roman" w:hAnsi="Times New Roman" w:cs="Times New Roman"/>
          <w:sz w:val="24"/>
          <w:szCs w:val="24"/>
        </w:rPr>
        <w:t>, 2010:</w:t>
      </w:r>
      <w:r w:rsidR="0010444D" w:rsidRPr="002E402A">
        <w:rPr>
          <w:rFonts w:ascii="Times New Roman" w:hAnsi="Times New Roman" w:cs="Times New Roman"/>
          <w:sz w:val="24"/>
          <w:szCs w:val="24"/>
        </w:rPr>
        <w:t xml:space="preserve"> 1-25) </w:t>
      </w:r>
      <w:r w:rsidR="00206222">
        <w:rPr>
          <w:rFonts w:ascii="Times New Roman" w:hAnsi="Times New Roman" w:cs="Times New Roman"/>
          <w:sz w:val="24"/>
          <w:szCs w:val="24"/>
        </w:rPr>
        <w:t>ölçüm</w:t>
      </w:r>
      <w:r w:rsidR="003C4C77" w:rsidRPr="002E402A">
        <w:rPr>
          <w:rFonts w:ascii="Times New Roman" w:hAnsi="Times New Roman" w:cs="Times New Roman"/>
          <w:sz w:val="24"/>
          <w:szCs w:val="24"/>
        </w:rPr>
        <w:t xml:space="preserve"> VZA yöntemi ile yapılmıştır. </w:t>
      </w:r>
      <w:r w:rsidR="00A921EC" w:rsidRPr="002E402A">
        <w:rPr>
          <w:rFonts w:ascii="Times New Roman" w:hAnsi="Times New Roman" w:cs="Times New Roman"/>
          <w:sz w:val="24"/>
          <w:szCs w:val="24"/>
        </w:rPr>
        <w:t>Girdi olarak, operasyonel harcamalar, sabit varlıklar, toplam mevduat; çıktı olarak ise, toplam krediler, faiz dışı gelirler, komisyon geliri dışındaki faiz dışı gelirler alınmıştır. Çalışma sonucunda d</w:t>
      </w:r>
      <w:r w:rsidR="006C694D" w:rsidRPr="002E402A">
        <w:rPr>
          <w:rFonts w:ascii="Times New Roman" w:hAnsi="Times New Roman" w:cs="Times New Roman"/>
          <w:sz w:val="24"/>
          <w:szCs w:val="24"/>
        </w:rPr>
        <w:t xml:space="preserve">önem boyunca bankaların etkinlik seviyesinin düştüğü belirlenmiştir. </w:t>
      </w:r>
    </w:p>
    <w:p w:rsidR="00B91CB8" w:rsidRPr="002E402A" w:rsidRDefault="00532028" w:rsidP="00206222">
      <w:pPr>
        <w:spacing w:line="240" w:lineRule="auto"/>
        <w:rPr>
          <w:rFonts w:ascii="Times New Roman" w:hAnsi="Times New Roman" w:cs="Times New Roman"/>
          <w:sz w:val="24"/>
          <w:szCs w:val="24"/>
        </w:rPr>
      </w:pPr>
      <w:r w:rsidRPr="002E402A">
        <w:rPr>
          <w:rFonts w:ascii="Times New Roman" w:hAnsi="Times New Roman" w:cs="Times New Roman"/>
          <w:sz w:val="24"/>
          <w:szCs w:val="24"/>
        </w:rPr>
        <w:t>VZA yöntemi kullan</w:t>
      </w:r>
      <w:r w:rsidR="00206222">
        <w:rPr>
          <w:rFonts w:ascii="Times New Roman" w:hAnsi="Times New Roman" w:cs="Times New Roman"/>
          <w:sz w:val="24"/>
          <w:szCs w:val="24"/>
        </w:rPr>
        <w:t>ıl</w:t>
      </w:r>
      <w:r w:rsidRPr="002E402A">
        <w:rPr>
          <w:rFonts w:ascii="Times New Roman" w:hAnsi="Times New Roman" w:cs="Times New Roman"/>
          <w:sz w:val="24"/>
          <w:szCs w:val="24"/>
        </w:rPr>
        <w:t xml:space="preserve">arak </w:t>
      </w:r>
      <w:r w:rsidR="00206222">
        <w:rPr>
          <w:rFonts w:ascii="Times New Roman" w:hAnsi="Times New Roman" w:cs="Times New Roman"/>
          <w:sz w:val="24"/>
          <w:szCs w:val="24"/>
        </w:rPr>
        <w:t xml:space="preserve">yapılan </w:t>
      </w:r>
      <w:r w:rsidRPr="002E402A">
        <w:rPr>
          <w:rFonts w:ascii="Times New Roman" w:hAnsi="Times New Roman" w:cs="Times New Roman"/>
          <w:sz w:val="24"/>
          <w:szCs w:val="24"/>
        </w:rPr>
        <w:t xml:space="preserve">diğer bazı çalışmalar şunlardır; Chortareas ve diğerleri tarafından (Chortareas, Garza-Garcia ve Girardone) yapılan çalışmada Latin Amerika’da bankacılık </w:t>
      </w:r>
      <w:r w:rsidRPr="002E402A">
        <w:rPr>
          <w:rFonts w:ascii="Times New Roman" w:hAnsi="Times New Roman" w:cs="Times New Roman"/>
          <w:sz w:val="24"/>
          <w:szCs w:val="24"/>
        </w:rPr>
        <w:lastRenderedPageBreak/>
        <w:t>sektörü etkinliği ölçülmüştür. Memic ve Skaljic Memic tarafından (Memic ve Skaljic Memic, 2013</w:t>
      </w:r>
      <w:r w:rsidR="00206222">
        <w:rPr>
          <w:rFonts w:ascii="Times New Roman" w:hAnsi="Times New Roman" w:cs="Times New Roman"/>
          <w:sz w:val="24"/>
          <w:szCs w:val="24"/>
        </w:rPr>
        <w:t>:</w:t>
      </w:r>
      <w:r w:rsidRPr="002E402A">
        <w:rPr>
          <w:rFonts w:ascii="Times New Roman" w:hAnsi="Times New Roman" w:cs="Times New Roman"/>
          <w:sz w:val="24"/>
          <w:szCs w:val="24"/>
        </w:rPr>
        <w:t xml:space="preserve"> 17-29) yapılan çalışmada Bosna-Hersek bankalarının performansı ölçülmüştür. </w:t>
      </w:r>
      <w:r w:rsidR="00036DDA">
        <w:rPr>
          <w:rFonts w:ascii="Times New Roman" w:hAnsi="Times New Roman" w:cs="Times New Roman"/>
          <w:sz w:val="24"/>
          <w:szCs w:val="24"/>
        </w:rPr>
        <w:t>Curi ve d</w:t>
      </w:r>
      <w:r w:rsidR="00B91CB8" w:rsidRPr="002E402A">
        <w:rPr>
          <w:rFonts w:ascii="Times New Roman" w:hAnsi="Times New Roman" w:cs="Times New Roman"/>
          <w:sz w:val="24"/>
          <w:szCs w:val="24"/>
        </w:rPr>
        <w:t>iğerlerinin (Curi, Guarda, L</w:t>
      </w:r>
      <w:r w:rsidR="001A014B">
        <w:rPr>
          <w:rFonts w:ascii="Times New Roman" w:hAnsi="Times New Roman" w:cs="Times New Roman"/>
          <w:sz w:val="24"/>
          <w:szCs w:val="24"/>
        </w:rPr>
        <w:t>ozano - Vivas ve Zelenyuk, 2012:</w:t>
      </w:r>
      <w:r w:rsidR="00B91CB8" w:rsidRPr="002E402A">
        <w:rPr>
          <w:rFonts w:ascii="Times New Roman" w:hAnsi="Times New Roman" w:cs="Times New Roman"/>
          <w:sz w:val="24"/>
          <w:szCs w:val="24"/>
        </w:rPr>
        <w:t xml:space="preserve"> 367-882) çalışmasında, 1999 -2009 dönemi verileri ile Luksemburg’ta bulunan yabancı bankaların etkinliği; Chhi</w:t>
      </w:r>
      <w:r w:rsidR="007210D2" w:rsidRPr="002E402A">
        <w:rPr>
          <w:rFonts w:ascii="Times New Roman" w:hAnsi="Times New Roman" w:cs="Times New Roman"/>
          <w:sz w:val="24"/>
          <w:szCs w:val="24"/>
        </w:rPr>
        <w:t>kâr</w:t>
      </w:r>
      <w:r w:rsidR="00B91CB8" w:rsidRPr="002E402A">
        <w:rPr>
          <w:rFonts w:ascii="Times New Roman" w:hAnsi="Times New Roman" w:cs="Times New Roman"/>
          <w:sz w:val="24"/>
          <w:szCs w:val="24"/>
        </w:rPr>
        <w:t>a ve Rani (Chhi</w:t>
      </w:r>
      <w:r w:rsidR="007210D2" w:rsidRPr="002E402A">
        <w:rPr>
          <w:rFonts w:ascii="Times New Roman" w:hAnsi="Times New Roman" w:cs="Times New Roman"/>
          <w:sz w:val="24"/>
          <w:szCs w:val="24"/>
        </w:rPr>
        <w:t>kâr</w:t>
      </w:r>
      <w:r w:rsidR="00036DDA">
        <w:rPr>
          <w:rFonts w:ascii="Times New Roman" w:hAnsi="Times New Roman" w:cs="Times New Roman"/>
          <w:sz w:val="24"/>
          <w:szCs w:val="24"/>
        </w:rPr>
        <w:t>a ve Rani, 2012:</w:t>
      </w:r>
      <w:r w:rsidR="00B91CB8" w:rsidRPr="002E402A">
        <w:rPr>
          <w:rFonts w:ascii="Times New Roman" w:hAnsi="Times New Roman" w:cs="Times New Roman"/>
          <w:sz w:val="24"/>
          <w:szCs w:val="24"/>
        </w:rPr>
        <w:t xml:space="preserve"> 2-15) tarafından yapılan çalışmada, 2010 – 2011 yılları verileri ile Hindistan’daki bireysel b</w:t>
      </w:r>
      <w:r w:rsidR="00036DDA">
        <w:rPr>
          <w:rFonts w:ascii="Times New Roman" w:hAnsi="Times New Roman" w:cs="Times New Roman"/>
          <w:sz w:val="24"/>
          <w:szCs w:val="24"/>
        </w:rPr>
        <w:t>ankaların etkinliği; Daleya ve d</w:t>
      </w:r>
      <w:r w:rsidR="00B91CB8" w:rsidRPr="002E402A">
        <w:rPr>
          <w:rFonts w:ascii="Times New Roman" w:hAnsi="Times New Roman" w:cs="Times New Roman"/>
          <w:sz w:val="24"/>
          <w:szCs w:val="24"/>
        </w:rPr>
        <w:t>iğerlerinin (Da</w:t>
      </w:r>
      <w:r w:rsidR="001A014B">
        <w:rPr>
          <w:rFonts w:ascii="Times New Roman" w:hAnsi="Times New Roman" w:cs="Times New Roman"/>
          <w:sz w:val="24"/>
          <w:szCs w:val="24"/>
        </w:rPr>
        <w:t>leya, Matthewsb ve Zhangc, 2013:</w:t>
      </w:r>
      <w:r w:rsidR="00B91CB8" w:rsidRPr="002E402A">
        <w:rPr>
          <w:rFonts w:ascii="Times New Roman" w:hAnsi="Times New Roman" w:cs="Times New Roman"/>
          <w:sz w:val="24"/>
          <w:szCs w:val="24"/>
        </w:rPr>
        <w:t xml:space="preserve"> 1599-1607) çalışmasında, 1998-2009 yılları dönemi Jamaika bankalarının verileri kullanılarak kriz sonrası ma</w:t>
      </w:r>
      <w:r w:rsidR="001A014B">
        <w:rPr>
          <w:rFonts w:ascii="Times New Roman" w:hAnsi="Times New Roman" w:cs="Times New Roman"/>
          <w:sz w:val="24"/>
          <w:szCs w:val="24"/>
        </w:rPr>
        <w:t>liyet etkinliği; Kamarudina ve d</w:t>
      </w:r>
      <w:r w:rsidR="00B8078C" w:rsidRPr="002E402A">
        <w:rPr>
          <w:rFonts w:ascii="Times New Roman" w:hAnsi="Times New Roman" w:cs="Times New Roman"/>
          <w:sz w:val="24"/>
          <w:szCs w:val="24"/>
        </w:rPr>
        <w:t>iğerlerinin (Kamarudina, Ismail</w:t>
      </w:r>
      <w:r w:rsidR="00B91CB8" w:rsidRPr="002E402A">
        <w:rPr>
          <w:rFonts w:ascii="Times New Roman" w:hAnsi="Times New Roman" w:cs="Times New Roman"/>
          <w:sz w:val="24"/>
          <w:szCs w:val="24"/>
        </w:rPr>
        <w:t xml:space="preserve"> </w:t>
      </w:r>
      <w:r w:rsidR="001A014B">
        <w:rPr>
          <w:rFonts w:ascii="Times New Roman" w:hAnsi="Times New Roman" w:cs="Times New Roman"/>
          <w:sz w:val="24"/>
          <w:szCs w:val="24"/>
        </w:rPr>
        <w:t>ve Mohdc, 2014:</w:t>
      </w:r>
      <w:r w:rsidR="00B91CB8" w:rsidRPr="002E402A">
        <w:rPr>
          <w:rFonts w:ascii="Times New Roman" w:hAnsi="Times New Roman" w:cs="Times New Roman"/>
          <w:sz w:val="24"/>
          <w:szCs w:val="24"/>
        </w:rPr>
        <w:t xml:space="preserve"> 934-938) çalışmasında, Malezya islami bankalarının varlık</w:t>
      </w:r>
      <w:r w:rsidR="00036DDA">
        <w:rPr>
          <w:rFonts w:ascii="Times New Roman" w:hAnsi="Times New Roman" w:cs="Times New Roman"/>
          <w:sz w:val="24"/>
          <w:szCs w:val="24"/>
        </w:rPr>
        <w:t>,</w:t>
      </w:r>
      <w:r w:rsidR="00B91CB8" w:rsidRPr="002E402A">
        <w:rPr>
          <w:rFonts w:ascii="Times New Roman" w:hAnsi="Times New Roman" w:cs="Times New Roman"/>
          <w:sz w:val="24"/>
          <w:szCs w:val="24"/>
        </w:rPr>
        <w:t xml:space="preserve"> etki</w:t>
      </w:r>
      <w:r w:rsidR="00036DDA">
        <w:rPr>
          <w:rFonts w:ascii="Times New Roman" w:hAnsi="Times New Roman" w:cs="Times New Roman"/>
          <w:sz w:val="24"/>
          <w:szCs w:val="24"/>
        </w:rPr>
        <w:t>nlik ve verimliliği; Abbott ve d</w:t>
      </w:r>
      <w:r w:rsidR="00B91CB8" w:rsidRPr="002E402A">
        <w:rPr>
          <w:rFonts w:ascii="Times New Roman" w:hAnsi="Times New Roman" w:cs="Times New Roman"/>
          <w:sz w:val="24"/>
          <w:szCs w:val="24"/>
        </w:rPr>
        <w:t>iğerle</w:t>
      </w:r>
      <w:r w:rsidR="001A014B">
        <w:rPr>
          <w:rFonts w:ascii="Times New Roman" w:hAnsi="Times New Roman" w:cs="Times New Roman"/>
          <w:sz w:val="24"/>
          <w:szCs w:val="24"/>
        </w:rPr>
        <w:t>rinin (Abbott, Wu ve Wang, 2011:</w:t>
      </w:r>
      <w:r w:rsidR="00B91CB8" w:rsidRPr="002E402A">
        <w:rPr>
          <w:rFonts w:ascii="Times New Roman" w:hAnsi="Times New Roman" w:cs="Times New Roman"/>
          <w:sz w:val="24"/>
          <w:szCs w:val="24"/>
        </w:rPr>
        <w:t xml:space="preserve"> 122-135) çalışmasında, düzenlemeler sonrasında, 1990 – 2000 yılları döneminde Avustralya’nın büyük bankalarının verimlil</w:t>
      </w:r>
      <w:r w:rsidR="00036DDA">
        <w:rPr>
          <w:rFonts w:ascii="Times New Roman" w:hAnsi="Times New Roman" w:cs="Times New Roman"/>
          <w:sz w:val="24"/>
          <w:szCs w:val="24"/>
        </w:rPr>
        <w:t>ik ve etkinliği; Kamaruddin ve d</w:t>
      </w:r>
      <w:r w:rsidR="00B91CB8" w:rsidRPr="002E402A">
        <w:rPr>
          <w:rFonts w:ascii="Times New Roman" w:hAnsi="Times New Roman" w:cs="Times New Roman"/>
          <w:sz w:val="24"/>
          <w:szCs w:val="24"/>
        </w:rPr>
        <w:t xml:space="preserve">iğerlerinin </w:t>
      </w:r>
      <w:r w:rsidR="001A014B">
        <w:rPr>
          <w:rFonts w:ascii="Times New Roman" w:hAnsi="Times New Roman" w:cs="Times New Roman"/>
          <w:sz w:val="24"/>
          <w:szCs w:val="24"/>
        </w:rPr>
        <w:t>(Kamaruddin, Safa ve Mohd, 2008:</w:t>
      </w:r>
      <w:r w:rsidR="00B91CB8" w:rsidRPr="002E402A">
        <w:rPr>
          <w:rFonts w:ascii="Times New Roman" w:hAnsi="Times New Roman" w:cs="Times New Roman"/>
          <w:sz w:val="24"/>
          <w:szCs w:val="24"/>
        </w:rPr>
        <w:t xml:space="preserve"> 31-48) çalışmasında, 1998-2004 yılları döneminde banka verileri kullanılarak, Malezya’daki islami bankaların verimlilik ve etkinliği ölçümünde VZA yöntemi kullanılmıştır.</w:t>
      </w:r>
    </w:p>
    <w:p w:rsidR="0010590F" w:rsidRPr="002E402A" w:rsidRDefault="009D3212" w:rsidP="00036DDA">
      <w:pPr>
        <w:spacing w:line="240" w:lineRule="auto"/>
        <w:rPr>
          <w:rFonts w:ascii="Times New Roman" w:hAnsi="Times New Roman" w:cs="Times New Roman"/>
          <w:sz w:val="24"/>
          <w:szCs w:val="24"/>
        </w:rPr>
      </w:pPr>
      <w:r w:rsidRPr="002E402A">
        <w:rPr>
          <w:rFonts w:ascii="Times New Roman" w:hAnsi="Times New Roman" w:cs="Times New Roman"/>
          <w:sz w:val="24"/>
          <w:szCs w:val="24"/>
        </w:rPr>
        <w:t>Literatür taraması</w:t>
      </w:r>
      <w:r w:rsidR="00E859EE" w:rsidRPr="002E402A">
        <w:rPr>
          <w:rFonts w:ascii="Times New Roman" w:hAnsi="Times New Roman" w:cs="Times New Roman"/>
          <w:sz w:val="24"/>
          <w:szCs w:val="24"/>
        </w:rPr>
        <w:t xml:space="preserve"> sırası</w:t>
      </w:r>
      <w:r w:rsidRPr="002E402A">
        <w:rPr>
          <w:rFonts w:ascii="Times New Roman" w:hAnsi="Times New Roman" w:cs="Times New Roman"/>
          <w:sz w:val="24"/>
          <w:szCs w:val="24"/>
        </w:rPr>
        <w:t xml:space="preserve">nda, </w:t>
      </w:r>
      <w:r w:rsidR="001634B1" w:rsidRPr="002E402A">
        <w:rPr>
          <w:rFonts w:ascii="Times New Roman" w:hAnsi="Times New Roman" w:cs="Times New Roman"/>
          <w:sz w:val="24"/>
          <w:szCs w:val="24"/>
        </w:rPr>
        <w:t>VZA yöntemi ile finans sektörü</w:t>
      </w:r>
      <w:r w:rsidR="00CD3513" w:rsidRPr="002E402A">
        <w:rPr>
          <w:rFonts w:ascii="Times New Roman" w:hAnsi="Times New Roman" w:cs="Times New Roman"/>
          <w:sz w:val="24"/>
          <w:szCs w:val="24"/>
        </w:rPr>
        <w:t>nde ve finans sektörü</w:t>
      </w:r>
      <w:r w:rsidR="001634B1" w:rsidRPr="002E402A">
        <w:rPr>
          <w:rFonts w:ascii="Times New Roman" w:hAnsi="Times New Roman" w:cs="Times New Roman"/>
          <w:sz w:val="24"/>
          <w:szCs w:val="24"/>
        </w:rPr>
        <w:t xml:space="preserve"> dışında da etkinlik ölçümü yapılan </w:t>
      </w:r>
      <w:r w:rsidR="00A1722F" w:rsidRPr="002E402A">
        <w:rPr>
          <w:rFonts w:ascii="Times New Roman" w:hAnsi="Times New Roman" w:cs="Times New Roman"/>
          <w:sz w:val="24"/>
          <w:szCs w:val="24"/>
        </w:rPr>
        <w:t>çok sayıda çalışmanın yer aldığı gözlenmiştir.</w:t>
      </w:r>
      <w:r w:rsidR="00CD3513" w:rsidRPr="002E402A">
        <w:rPr>
          <w:rFonts w:ascii="Times New Roman" w:hAnsi="Times New Roman" w:cs="Times New Roman"/>
          <w:sz w:val="24"/>
          <w:szCs w:val="24"/>
        </w:rPr>
        <w:t xml:space="preserve"> </w:t>
      </w:r>
      <w:r w:rsidR="0010590F" w:rsidRPr="002E402A">
        <w:rPr>
          <w:rFonts w:ascii="Times New Roman" w:hAnsi="Times New Roman" w:cs="Times New Roman"/>
          <w:sz w:val="24"/>
          <w:szCs w:val="24"/>
        </w:rPr>
        <w:t xml:space="preserve">Bu çalışmalardan banka ve aracı kurumlar üzerine yapılan çalışmalara bakıldığında, yoğunlukla bankalar üzerine etkinlik ve verimlilik ölçümlemesi yapıldığı görülmüştür. Bu çalışmalarda, hangi özellikteki bankaların etkin ve verimli çalıştığı diğer banka türlerine göre kıyaslanmıştır. </w:t>
      </w:r>
      <w:r w:rsidR="00322248" w:rsidRPr="002E402A">
        <w:rPr>
          <w:rFonts w:ascii="Times New Roman" w:hAnsi="Times New Roman" w:cs="Times New Roman"/>
          <w:sz w:val="24"/>
          <w:szCs w:val="24"/>
        </w:rPr>
        <w:t xml:space="preserve">Farklı dönemlerde farklı veri setleri ve farklı kıyaslama esaslarına göre yapılan çalışmalarda, ortak görüş veren çok az sayıda çalışma olduğu belirlenmiştir. </w:t>
      </w:r>
    </w:p>
    <w:p w:rsidR="007849A8" w:rsidRPr="002E402A" w:rsidRDefault="00363AF1" w:rsidP="00036DDA">
      <w:pPr>
        <w:spacing w:line="240" w:lineRule="auto"/>
        <w:rPr>
          <w:rFonts w:ascii="Times New Roman" w:hAnsi="Times New Roman" w:cs="Times New Roman"/>
          <w:b/>
          <w:sz w:val="24"/>
          <w:szCs w:val="24"/>
        </w:rPr>
      </w:pPr>
      <w:r w:rsidRPr="002E402A">
        <w:rPr>
          <w:rFonts w:ascii="Times New Roman" w:hAnsi="Times New Roman" w:cs="Times New Roman"/>
          <w:sz w:val="24"/>
          <w:szCs w:val="24"/>
        </w:rPr>
        <w:t>VZA, analiz</w:t>
      </w:r>
      <w:r w:rsidR="00763D4A" w:rsidRPr="002E402A">
        <w:rPr>
          <w:rFonts w:ascii="Times New Roman" w:hAnsi="Times New Roman" w:cs="Times New Roman"/>
          <w:sz w:val="24"/>
          <w:szCs w:val="24"/>
        </w:rPr>
        <w:t>de kullanılan girdi ve çıktı değişkenlerine</w:t>
      </w:r>
      <w:r w:rsidRPr="002E402A">
        <w:rPr>
          <w:rFonts w:ascii="Times New Roman" w:hAnsi="Times New Roman" w:cs="Times New Roman"/>
          <w:sz w:val="24"/>
          <w:szCs w:val="24"/>
        </w:rPr>
        <w:t xml:space="preserve"> bağlı sonuçlar ver</w:t>
      </w:r>
      <w:r w:rsidR="00C37495" w:rsidRPr="002E402A">
        <w:rPr>
          <w:rFonts w:ascii="Times New Roman" w:hAnsi="Times New Roman" w:cs="Times New Roman"/>
          <w:sz w:val="24"/>
          <w:szCs w:val="24"/>
        </w:rPr>
        <w:t>mekted</w:t>
      </w:r>
      <w:r w:rsidRPr="002E402A">
        <w:rPr>
          <w:rFonts w:ascii="Times New Roman" w:hAnsi="Times New Roman" w:cs="Times New Roman"/>
          <w:sz w:val="24"/>
          <w:szCs w:val="24"/>
        </w:rPr>
        <w:t xml:space="preserve">ir. Dolayısıyla, </w:t>
      </w:r>
      <w:r w:rsidR="00763D4A" w:rsidRPr="002E402A">
        <w:rPr>
          <w:rFonts w:ascii="Times New Roman" w:hAnsi="Times New Roman" w:cs="Times New Roman"/>
          <w:sz w:val="24"/>
          <w:szCs w:val="24"/>
        </w:rPr>
        <w:t xml:space="preserve">daha önce de ifade edildiği gibi, </w:t>
      </w:r>
      <w:r w:rsidRPr="002E402A">
        <w:rPr>
          <w:rFonts w:ascii="Times New Roman" w:hAnsi="Times New Roman" w:cs="Times New Roman"/>
          <w:sz w:val="24"/>
          <w:szCs w:val="24"/>
        </w:rPr>
        <w:t>literatür taraması yapılırken</w:t>
      </w:r>
      <w:r w:rsidR="00C37495" w:rsidRPr="002E402A">
        <w:rPr>
          <w:rFonts w:ascii="Times New Roman" w:hAnsi="Times New Roman" w:cs="Times New Roman"/>
          <w:sz w:val="24"/>
          <w:szCs w:val="24"/>
        </w:rPr>
        <w:t>,</w:t>
      </w:r>
      <w:r w:rsidRPr="002E402A">
        <w:rPr>
          <w:rFonts w:ascii="Times New Roman" w:hAnsi="Times New Roman" w:cs="Times New Roman"/>
          <w:sz w:val="24"/>
          <w:szCs w:val="24"/>
        </w:rPr>
        <w:t xml:space="preserve"> VZA kullanılan çalışm</w:t>
      </w:r>
      <w:r w:rsidR="00763D4A" w:rsidRPr="002E402A">
        <w:rPr>
          <w:rFonts w:ascii="Times New Roman" w:hAnsi="Times New Roman" w:cs="Times New Roman"/>
          <w:sz w:val="24"/>
          <w:szCs w:val="24"/>
        </w:rPr>
        <w:t>alarda hangi girdi ve çıktı değişkenlerinin</w:t>
      </w:r>
      <w:r w:rsidRPr="002E402A">
        <w:rPr>
          <w:rFonts w:ascii="Times New Roman" w:hAnsi="Times New Roman" w:cs="Times New Roman"/>
          <w:sz w:val="24"/>
          <w:szCs w:val="24"/>
        </w:rPr>
        <w:t xml:space="preserve"> esas alındığı da incelen</w:t>
      </w:r>
      <w:r w:rsidR="00763D4A" w:rsidRPr="002E402A">
        <w:rPr>
          <w:rFonts w:ascii="Times New Roman" w:hAnsi="Times New Roman" w:cs="Times New Roman"/>
          <w:sz w:val="24"/>
          <w:szCs w:val="24"/>
        </w:rPr>
        <w:t>miştir.</w:t>
      </w:r>
      <w:r w:rsidR="005A3ADD" w:rsidRPr="002E402A">
        <w:rPr>
          <w:rFonts w:ascii="Times New Roman" w:hAnsi="Times New Roman" w:cs="Times New Roman"/>
          <w:sz w:val="24"/>
          <w:szCs w:val="24"/>
        </w:rPr>
        <w:t xml:space="preserve"> A</w:t>
      </w:r>
      <w:r w:rsidR="00763D4A" w:rsidRPr="002E402A">
        <w:rPr>
          <w:rFonts w:ascii="Times New Roman" w:hAnsi="Times New Roman" w:cs="Times New Roman"/>
          <w:sz w:val="24"/>
          <w:szCs w:val="24"/>
        </w:rPr>
        <w:t>yrıca</w:t>
      </w:r>
      <w:r w:rsidR="005A3ADD" w:rsidRPr="002E402A">
        <w:rPr>
          <w:rFonts w:ascii="Times New Roman" w:hAnsi="Times New Roman" w:cs="Times New Roman"/>
          <w:sz w:val="24"/>
          <w:szCs w:val="24"/>
        </w:rPr>
        <w:t>, aracı kurum</w:t>
      </w:r>
      <w:r w:rsidR="00227D66" w:rsidRPr="002E402A">
        <w:rPr>
          <w:rFonts w:ascii="Times New Roman" w:hAnsi="Times New Roman" w:cs="Times New Roman"/>
          <w:sz w:val="24"/>
          <w:szCs w:val="24"/>
        </w:rPr>
        <w:t>ların etkinliği üzerine VZA yön</w:t>
      </w:r>
      <w:r w:rsidR="005A3ADD" w:rsidRPr="002E402A">
        <w:rPr>
          <w:rFonts w:ascii="Times New Roman" w:hAnsi="Times New Roman" w:cs="Times New Roman"/>
          <w:sz w:val="24"/>
          <w:szCs w:val="24"/>
        </w:rPr>
        <w:t>t</w:t>
      </w:r>
      <w:r w:rsidR="00227D66" w:rsidRPr="002E402A">
        <w:rPr>
          <w:rFonts w:ascii="Times New Roman" w:hAnsi="Times New Roman" w:cs="Times New Roman"/>
          <w:sz w:val="24"/>
          <w:szCs w:val="24"/>
        </w:rPr>
        <w:t>e</w:t>
      </w:r>
      <w:r w:rsidR="005A3ADD" w:rsidRPr="002E402A">
        <w:rPr>
          <w:rFonts w:ascii="Times New Roman" w:hAnsi="Times New Roman" w:cs="Times New Roman"/>
          <w:sz w:val="24"/>
          <w:szCs w:val="24"/>
        </w:rPr>
        <w:t>m</w:t>
      </w:r>
      <w:r w:rsidR="00227D66" w:rsidRPr="002E402A">
        <w:rPr>
          <w:rFonts w:ascii="Times New Roman" w:hAnsi="Times New Roman" w:cs="Times New Roman"/>
          <w:sz w:val="24"/>
          <w:szCs w:val="24"/>
        </w:rPr>
        <w:t>i</w:t>
      </w:r>
      <w:r w:rsidR="005A3ADD" w:rsidRPr="002E402A">
        <w:rPr>
          <w:rFonts w:ascii="Times New Roman" w:hAnsi="Times New Roman" w:cs="Times New Roman"/>
          <w:sz w:val="24"/>
          <w:szCs w:val="24"/>
        </w:rPr>
        <w:t xml:space="preserve"> kullanılarak yapılan çok az sayıda çalışma olduğu görülmüştür. Bu nedenle, </w:t>
      </w:r>
      <w:r w:rsidR="00C105E0" w:rsidRPr="002E402A">
        <w:rPr>
          <w:rFonts w:ascii="Times New Roman" w:hAnsi="Times New Roman" w:cs="Times New Roman"/>
          <w:sz w:val="24"/>
          <w:szCs w:val="24"/>
        </w:rPr>
        <w:t>bu alanda yapılan çalışmaların zayıf kaldığı görülerek</w:t>
      </w:r>
      <w:r w:rsidR="00C37495" w:rsidRPr="002E402A">
        <w:rPr>
          <w:rFonts w:ascii="Times New Roman" w:hAnsi="Times New Roman" w:cs="Times New Roman"/>
          <w:sz w:val="24"/>
          <w:szCs w:val="24"/>
        </w:rPr>
        <w:t xml:space="preserve"> bu</w:t>
      </w:r>
      <w:r w:rsidR="005A6B0D" w:rsidRPr="002E402A">
        <w:rPr>
          <w:rFonts w:ascii="Times New Roman" w:hAnsi="Times New Roman" w:cs="Times New Roman"/>
          <w:sz w:val="24"/>
          <w:szCs w:val="24"/>
        </w:rPr>
        <w:t xml:space="preserve"> çalışma gerçekleştirilmiştir. A</w:t>
      </w:r>
      <w:r w:rsidR="005A3ADD" w:rsidRPr="002E402A">
        <w:rPr>
          <w:rFonts w:ascii="Times New Roman" w:hAnsi="Times New Roman" w:cs="Times New Roman"/>
          <w:sz w:val="24"/>
          <w:szCs w:val="24"/>
        </w:rPr>
        <w:t>racı kurumlara en yakın özellikleri taşıyan işletmeler olan bankalar üzerine</w:t>
      </w:r>
      <w:r w:rsidR="000200CF" w:rsidRPr="002E402A">
        <w:rPr>
          <w:rFonts w:ascii="Times New Roman" w:hAnsi="Times New Roman" w:cs="Times New Roman"/>
          <w:sz w:val="24"/>
          <w:szCs w:val="24"/>
        </w:rPr>
        <w:t xml:space="preserve"> VZA yöntemi kullanılarak</w:t>
      </w:r>
      <w:r w:rsidR="005A3ADD" w:rsidRPr="002E402A">
        <w:rPr>
          <w:rFonts w:ascii="Times New Roman" w:hAnsi="Times New Roman" w:cs="Times New Roman"/>
          <w:sz w:val="24"/>
          <w:szCs w:val="24"/>
        </w:rPr>
        <w:t xml:space="preserve"> yap</w:t>
      </w:r>
      <w:r w:rsidR="005A6B0D" w:rsidRPr="002E402A">
        <w:rPr>
          <w:rFonts w:ascii="Times New Roman" w:hAnsi="Times New Roman" w:cs="Times New Roman"/>
          <w:sz w:val="24"/>
          <w:szCs w:val="24"/>
        </w:rPr>
        <w:t>ılan çalışmalar da incelenerek,</w:t>
      </w:r>
      <w:r w:rsidR="005A3ADD" w:rsidRPr="002E402A">
        <w:rPr>
          <w:rFonts w:ascii="Times New Roman" w:hAnsi="Times New Roman" w:cs="Times New Roman"/>
          <w:sz w:val="24"/>
          <w:szCs w:val="24"/>
        </w:rPr>
        <w:t xml:space="preserve"> </w:t>
      </w:r>
      <w:r w:rsidR="005A6B0D" w:rsidRPr="002E402A">
        <w:rPr>
          <w:rFonts w:ascii="Times New Roman" w:hAnsi="Times New Roman" w:cs="Times New Roman"/>
          <w:sz w:val="24"/>
          <w:szCs w:val="24"/>
        </w:rPr>
        <w:t>a</w:t>
      </w:r>
      <w:r w:rsidR="00630E52" w:rsidRPr="002E402A">
        <w:rPr>
          <w:rFonts w:ascii="Times New Roman" w:hAnsi="Times New Roman" w:cs="Times New Roman"/>
          <w:sz w:val="24"/>
          <w:szCs w:val="24"/>
        </w:rPr>
        <w:t>şağıda</w:t>
      </w:r>
      <w:r w:rsidR="005A3ADD" w:rsidRPr="002E402A">
        <w:rPr>
          <w:rFonts w:ascii="Times New Roman" w:hAnsi="Times New Roman" w:cs="Times New Roman"/>
          <w:sz w:val="24"/>
          <w:szCs w:val="24"/>
        </w:rPr>
        <w:t xml:space="preserve"> yer alan</w:t>
      </w:r>
      <w:r w:rsidR="000A015E" w:rsidRPr="002E402A">
        <w:rPr>
          <w:rFonts w:ascii="Times New Roman" w:hAnsi="Times New Roman" w:cs="Times New Roman"/>
          <w:sz w:val="24"/>
          <w:szCs w:val="24"/>
        </w:rPr>
        <w:t xml:space="preserve"> Çizelge</w:t>
      </w:r>
      <w:r w:rsidR="00B838F9" w:rsidRPr="002E402A">
        <w:rPr>
          <w:rFonts w:ascii="Times New Roman" w:hAnsi="Times New Roman" w:cs="Times New Roman"/>
          <w:sz w:val="24"/>
          <w:szCs w:val="24"/>
        </w:rPr>
        <w:t xml:space="preserve"> 2 oluşturulmuştur.</w:t>
      </w:r>
      <w:r w:rsidR="00630E52" w:rsidRPr="002E402A">
        <w:rPr>
          <w:rFonts w:ascii="Times New Roman" w:hAnsi="Times New Roman" w:cs="Times New Roman"/>
          <w:sz w:val="24"/>
          <w:szCs w:val="24"/>
        </w:rPr>
        <w:t xml:space="preserve"> </w:t>
      </w:r>
      <w:r w:rsidR="00B838F9" w:rsidRPr="002E402A">
        <w:rPr>
          <w:rFonts w:ascii="Times New Roman" w:hAnsi="Times New Roman" w:cs="Times New Roman"/>
          <w:sz w:val="24"/>
          <w:szCs w:val="24"/>
        </w:rPr>
        <w:t xml:space="preserve">Söz konusu </w:t>
      </w:r>
      <w:r w:rsidR="000A015E" w:rsidRPr="002E402A">
        <w:rPr>
          <w:rFonts w:ascii="Times New Roman" w:hAnsi="Times New Roman" w:cs="Times New Roman"/>
          <w:sz w:val="24"/>
          <w:szCs w:val="24"/>
        </w:rPr>
        <w:t>çizelge</w:t>
      </w:r>
      <w:r w:rsidR="00B838F9" w:rsidRPr="002E402A">
        <w:rPr>
          <w:rFonts w:ascii="Times New Roman" w:hAnsi="Times New Roman" w:cs="Times New Roman"/>
          <w:sz w:val="24"/>
          <w:szCs w:val="24"/>
        </w:rPr>
        <w:t xml:space="preserve">, literatür taramasında ele alınan </w:t>
      </w:r>
      <w:r w:rsidR="00B85355" w:rsidRPr="002E402A">
        <w:rPr>
          <w:rFonts w:ascii="Times New Roman" w:hAnsi="Times New Roman" w:cs="Times New Roman"/>
          <w:sz w:val="24"/>
          <w:szCs w:val="24"/>
        </w:rPr>
        <w:t>çalışmalar</w:t>
      </w:r>
      <w:r w:rsidR="007C4F17" w:rsidRPr="002E402A">
        <w:rPr>
          <w:rFonts w:ascii="Times New Roman" w:hAnsi="Times New Roman" w:cs="Times New Roman"/>
          <w:sz w:val="24"/>
          <w:szCs w:val="24"/>
        </w:rPr>
        <w:t xml:space="preserve">da </w:t>
      </w:r>
      <w:r w:rsidR="00B838F9" w:rsidRPr="002E402A">
        <w:rPr>
          <w:rFonts w:ascii="Times New Roman" w:hAnsi="Times New Roman" w:cs="Times New Roman"/>
          <w:sz w:val="24"/>
          <w:szCs w:val="24"/>
        </w:rPr>
        <w:t>kullanılan</w:t>
      </w:r>
      <w:r w:rsidR="00B85355" w:rsidRPr="002E402A">
        <w:rPr>
          <w:rFonts w:ascii="Times New Roman" w:hAnsi="Times New Roman" w:cs="Times New Roman"/>
          <w:sz w:val="24"/>
          <w:szCs w:val="24"/>
        </w:rPr>
        <w:t xml:space="preserve"> </w:t>
      </w:r>
      <w:r w:rsidR="005347D4" w:rsidRPr="002E402A">
        <w:rPr>
          <w:rFonts w:ascii="Times New Roman" w:hAnsi="Times New Roman" w:cs="Times New Roman"/>
          <w:sz w:val="24"/>
          <w:szCs w:val="24"/>
        </w:rPr>
        <w:t>gird</w:t>
      </w:r>
      <w:r w:rsidR="00612C6B" w:rsidRPr="002E402A">
        <w:rPr>
          <w:rFonts w:ascii="Times New Roman" w:hAnsi="Times New Roman" w:cs="Times New Roman"/>
          <w:sz w:val="24"/>
          <w:szCs w:val="24"/>
        </w:rPr>
        <w:t>i</w:t>
      </w:r>
      <w:r w:rsidR="0083279E" w:rsidRPr="002E402A">
        <w:rPr>
          <w:rFonts w:ascii="Times New Roman" w:hAnsi="Times New Roman" w:cs="Times New Roman"/>
          <w:sz w:val="24"/>
          <w:szCs w:val="24"/>
        </w:rPr>
        <w:t>-</w:t>
      </w:r>
      <w:r w:rsidR="00B838F9" w:rsidRPr="002E402A">
        <w:rPr>
          <w:rFonts w:ascii="Times New Roman" w:hAnsi="Times New Roman" w:cs="Times New Roman"/>
          <w:sz w:val="24"/>
          <w:szCs w:val="24"/>
        </w:rPr>
        <w:t>çıktı değişkenlerini özetlemektedir</w:t>
      </w:r>
      <w:r w:rsidR="005347D4" w:rsidRPr="002E402A">
        <w:rPr>
          <w:rFonts w:ascii="Times New Roman" w:hAnsi="Times New Roman" w:cs="Times New Roman"/>
          <w:sz w:val="24"/>
          <w:szCs w:val="24"/>
        </w:rPr>
        <w:t>.</w:t>
      </w:r>
    </w:p>
    <w:p w:rsidR="005E5D23" w:rsidRPr="002E402A" w:rsidRDefault="005E5D23"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5B5ED9" w:rsidRDefault="005B5ED9" w:rsidP="000A7CD7">
      <w:pPr>
        <w:spacing w:line="240" w:lineRule="auto"/>
        <w:ind w:firstLine="567"/>
        <w:jc w:val="left"/>
        <w:rPr>
          <w:rFonts w:ascii="Times New Roman" w:hAnsi="Times New Roman" w:cs="Times New Roman"/>
          <w:b/>
          <w:sz w:val="24"/>
          <w:szCs w:val="24"/>
        </w:rPr>
      </w:pPr>
    </w:p>
    <w:p w:rsidR="00CD3513" w:rsidRPr="002E402A" w:rsidRDefault="000A015E" w:rsidP="000A7CD7">
      <w:pPr>
        <w:spacing w:line="240" w:lineRule="auto"/>
        <w:ind w:firstLine="567"/>
        <w:jc w:val="left"/>
        <w:rPr>
          <w:rFonts w:ascii="Times New Roman" w:hAnsi="Times New Roman" w:cs="Times New Roman"/>
          <w:b/>
          <w:sz w:val="24"/>
          <w:szCs w:val="24"/>
        </w:rPr>
      </w:pPr>
      <w:r w:rsidRPr="002E402A">
        <w:rPr>
          <w:rFonts w:ascii="Times New Roman" w:hAnsi="Times New Roman" w:cs="Times New Roman"/>
          <w:b/>
          <w:sz w:val="24"/>
          <w:szCs w:val="24"/>
        </w:rPr>
        <w:lastRenderedPageBreak/>
        <w:t>Çizelge</w:t>
      </w:r>
      <w:r w:rsidR="00CD5868" w:rsidRPr="002E402A">
        <w:rPr>
          <w:rFonts w:ascii="Times New Roman" w:hAnsi="Times New Roman" w:cs="Times New Roman"/>
          <w:b/>
          <w:sz w:val="24"/>
          <w:szCs w:val="24"/>
        </w:rPr>
        <w:t xml:space="preserve"> 2</w:t>
      </w:r>
      <w:r w:rsidR="00346EB1" w:rsidRPr="002E402A">
        <w:rPr>
          <w:rFonts w:ascii="Times New Roman" w:hAnsi="Times New Roman" w:cs="Times New Roman"/>
          <w:b/>
          <w:sz w:val="24"/>
          <w:szCs w:val="24"/>
        </w:rPr>
        <w:t>.</w:t>
      </w:r>
      <w:r w:rsidR="00346EB1" w:rsidRPr="002E402A">
        <w:rPr>
          <w:rFonts w:ascii="Times New Roman" w:hAnsi="Times New Roman" w:cs="Times New Roman"/>
          <w:sz w:val="24"/>
          <w:szCs w:val="24"/>
        </w:rPr>
        <w:t xml:space="preserve"> </w:t>
      </w:r>
      <w:r w:rsidR="00346EB1" w:rsidRPr="002E402A">
        <w:rPr>
          <w:rFonts w:ascii="Times New Roman" w:hAnsi="Times New Roman" w:cs="Times New Roman"/>
          <w:b/>
          <w:sz w:val="24"/>
          <w:szCs w:val="24"/>
        </w:rPr>
        <w:t xml:space="preserve">Literatürde VZA Kullanılan Çalışmalardaki Girdi ve Çıktı </w:t>
      </w:r>
      <w:r w:rsidR="00B838F9" w:rsidRPr="002E402A">
        <w:rPr>
          <w:rFonts w:ascii="Times New Roman" w:hAnsi="Times New Roman" w:cs="Times New Roman"/>
          <w:b/>
          <w:sz w:val="24"/>
          <w:szCs w:val="24"/>
        </w:rPr>
        <w:t>Değişkenleri</w:t>
      </w:r>
    </w:p>
    <w:p w:rsidR="005E5D23" w:rsidRPr="002E402A" w:rsidRDefault="005E5D23" w:rsidP="000A7CD7">
      <w:pPr>
        <w:spacing w:line="240" w:lineRule="auto"/>
        <w:ind w:firstLine="567"/>
        <w:jc w:val="left"/>
        <w:rPr>
          <w:rFonts w:ascii="Times New Roman" w:hAnsi="Times New Roman" w:cs="Times New Roman"/>
          <w:b/>
          <w:sz w:val="24"/>
          <w:szCs w:val="24"/>
        </w:rPr>
      </w:pPr>
      <w:r w:rsidRPr="002E402A">
        <w:rPr>
          <w:rFonts w:ascii="Times New Roman" w:hAnsi="Times New Roman" w:cs="Times New Roman"/>
          <w:noProof/>
          <w:sz w:val="24"/>
          <w:szCs w:val="24"/>
          <w:lang w:eastAsia="tr-TR"/>
        </w:rPr>
        <w:drawing>
          <wp:inline distT="0" distB="0" distL="0" distR="0" wp14:anchorId="70440DAD" wp14:editId="7DCDA479">
            <wp:extent cx="5745014" cy="3951798"/>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290" cy="3954739"/>
                    </a:xfrm>
                    <a:prstGeom prst="rect">
                      <a:avLst/>
                    </a:prstGeom>
                    <a:noFill/>
                    <a:ln>
                      <a:noFill/>
                    </a:ln>
                  </pic:spPr>
                </pic:pic>
              </a:graphicData>
            </a:graphic>
          </wp:inline>
        </w:drawing>
      </w:r>
    </w:p>
    <w:p w:rsidR="000200CF" w:rsidRPr="002E402A" w:rsidRDefault="000200CF" w:rsidP="000A7CD7">
      <w:pPr>
        <w:pStyle w:val="ListeParagraf"/>
        <w:spacing w:line="240" w:lineRule="auto"/>
        <w:ind w:left="851"/>
        <w:rPr>
          <w:rFonts w:ascii="Times New Roman" w:hAnsi="Times New Roman" w:cs="Times New Roman"/>
          <w:b/>
          <w:sz w:val="24"/>
          <w:szCs w:val="24"/>
        </w:rPr>
      </w:pPr>
    </w:p>
    <w:p w:rsidR="00F01C9C" w:rsidRPr="005B5ED9" w:rsidRDefault="005B5ED9" w:rsidP="005B5ED9">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00F01C9C" w:rsidRPr="005B5ED9">
        <w:rPr>
          <w:rFonts w:ascii="Times New Roman" w:hAnsi="Times New Roman" w:cs="Times New Roman"/>
          <w:b/>
          <w:sz w:val="24"/>
          <w:szCs w:val="24"/>
        </w:rPr>
        <w:t>METODOLOJİ</w:t>
      </w:r>
      <w:r w:rsidR="005F1B9E" w:rsidRPr="005B5ED9">
        <w:rPr>
          <w:rFonts w:ascii="Times New Roman" w:hAnsi="Times New Roman" w:cs="Times New Roman"/>
          <w:b/>
          <w:sz w:val="24"/>
          <w:szCs w:val="24"/>
        </w:rPr>
        <w:t xml:space="preserve"> (YÖNTEM)</w:t>
      </w:r>
    </w:p>
    <w:p w:rsidR="00584E93" w:rsidRPr="002E402A" w:rsidRDefault="00F2333E" w:rsidP="005B5ED9">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Çalışmada, </w:t>
      </w:r>
      <w:r w:rsidR="00434EC4" w:rsidRPr="002E402A">
        <w:rPr>
          <w:rFonts w:ascii="Times New Roman" w:hAnsi="Times New Roman" w:cs="Times New Roman"/>
          <w:sz w:val="24"/>
          <w:szCs w:val="24"/>
        </w:rPr>
        <w:t>aracı kurumlarda</w:t>
      </w:r>
      <w:r w:rsidRPr="002E402A">
        <w:rPr>
          <w:rFonts w:ascii="Times New Roman" w:hAnsi="Times New Roman" w:cs="Times New Roman"/>
          <w:sz w:val="24"/>
          <w:szCs w:val="24"/>
        </w:rPr>
        <w:t xml:space="preserve"> </w:t>
      </w:r>
      <w:r w:rsidR="00434EC4" w:rsidRPr="002E402A">
        <w:rPr>
          <w:rFonts w:ascii="Times New Roman" w:hAnsi="Times New Roman" w:cs="Times New Roman"/>
          <w:sz w:val="24"/>
          <w:szCs w:val="24"/>
        </w:rPr>
        <w:t xml:space="preserve">finansal </w:t>
      </w:r>
      <w:r w:rsidRPr="002E402A">
        <w:rPr>
          <w:rFonts w:ascii="Times New Roman" w:hAnsi="Times New Roman" w:cs="Times New Roman"/>
          <w:sz w:val="24"/>
          <w:szCs w:val="24"/>
        </w:rPr>
        <w:t>etkinliğin ve performansın değerlendirilmesi ve geliştirilmesi</w:t>
      </w:r>
      <w:r w:rsidR="009671E7" w:rsidRPr="002E402A">
        <w:rPr>
          <w:rFonts w:ascii="Times New Roman" w:hAnsi="Times New Roman" w:cs="Times New Roman"/>
          <w:sz w:val="24"/>
          <w:szCs w:val="24"/>
        </w:rPr>
        <w:t xml:space="preserve"> amacıyla</w:t>
      </w:r>
      <w:r w:rsidRPr="002E402A">
        <w:rPr>
          <w:rFonts w:ascii="Times New Roman" w:hAnsi="Times New Roman" w:cs="Times New Roman"/>
          <w:sz w:val="24"/>
          <w:szCs w:val="24"/>
        </w:rPr>
        <w:t xml:space="preserve"> VZA yöntemi kullanılmıştır. Araştırma</w:t>
      </w:r>
      <w:r w:rsidR="005E5802" w:rsidRPr="002E402A">
        <w:rPr>
          <w:rFonts w:ascii="Times New Roman" w:hAnsi="Times New Roman" w:cs="Times New Roman"/>
          <w:sz w:val="24"/>
          <w:szCs w:val="24"/>
        </w:rPr>
        <w:t>ya esas olan</w:t>
      </w:r>
      <w:r w:rsidRPr="002E402A">
        <w:rPr>
          <w:rFonts w:ascii="Times New Roman" w:hAnsi="Times New Roman" w:cs="Times New Roman"/>
          <w:sz w:val="24"/>
          <w:szCs w:val="24"/>
        </w:rPr>
        <w:t xml:space="preserve"> verileri</w:t>
      </w:r>
      <w:r w:rsidR="00B838F9" w:rsidRPr="002E402A">
        <w:rPr>
          <w:rFonts w:ascii="Times New Roman" w:hAnsi="Times New Roman" w:cs="Times New Roman"/>
          <w:sz w:val="24"/>
          <w:szCs w:val="24"/>
        </w:rPr>
        <w:t>n</w:t>
      </w:r>
      <w:r w:rsidR="005E5802" w:rsidRPr="002E402A">
        <w:rPr>
          <w:rFonts w:ascii="Times New Roman" w:hAnsi="Times New Roman" w:cs="Times New Roman"/>
          <w:sz w:val="24"/>
          <w:szCs w:val="24"/>
        </w:rPr>
        <w:t xml:space="preserve"> sağlanmasında</w:t>
      </w:r>
      <w:r w:rsidRPr="002E402A">
        <w:rPr>
          <w:rFonts w:ascii="Times New Roman" w:hAnsi="Times New Roman" w:cs="Times New Roman"/>
          <w:sz w:val="24"/>
          <w:szCs w:val="24"/>
        </w:rPr>
        <w:t xml:space="preserve">, kamuyu aydınlatma platformu </w:t>
      </w:r>
      <w:r w:rsidR="001B3A9F" w:rsidRPr="002E402A">
        <w:rPr>
          <w:rFonts w:ascii="Times New Roman" w:hAnsi="Times New Roman" w:cs="Times New Roman"/>
          <w:sz w:val="24"/>
          <w:szCs w:val="24"/>
        </w:rPr>
        <w:t xml:space="preserve">ve aracı kuruluşlar birliği </w:t>
      </w:r>
      <w:r w:rsidRPr="002E402A">
        <w:rPr>
          <w:rFonts w:ascii="Times New Roman" w:hAnsi="Times New Roman" w:cs="Times New Roman"/>
          <w:sz w:val="24"/>
          <w:szCs w:val="24"/>
        </w:rPr>
        <w:t>internet sitesi</w:t>
      </w:r>
      <w:r w:rsidR="00821AD0" w:rsidRPr="002E402A">
        <w:rPr>
          <w:rFonts w:ascii="Times New Roman" w:hAnsi="Times New Roman" w:cs="Times New Roman"/>
          <w:sz w:val="24"/>
          <w:szCs w:val="24"/>
        </w:rPr>
        <w:t>nde</w:t>
      </w:r>
      <w:r w:rsidR="00FE5D53" w:rsidRPr="002E402A">
        <w:rPr>
          <w:rFonts w:ascii="Times New Roman" w:hAnsi="Times New Roman" w:cs="Times New Roman"/>
          <w:sz w:val="24"/>
          <w:szCs w:val="24"/>
        </w:rPr>
        <w:t>n sağlanan</w:t>
      </w:r>
      <w:r w:rsidR="001E5A01" w:rsidRPr="002E402A">
        <w:rPr>
          <w:rFonts w:ascii="Times New Roman" w:hAnsi="Times New Roman" w:cs="Times New Roman"/>
          <w:sz w:val="24"/>
          <w:szCs w:val="24"/>
        </w:rPr>
        <w:t xml:space="preserve"> aracı kurumlara ait</w:t>
      </w:r>
      <w:r w:rsidR="00911743" w:rsidRPr="002E402A">
        <w:rPr>
          <w:rFonts w:ascii="Times New Roman" w:hAnsi="Times New Roman" w:cs="Times New Roman"/>
          <w:sz w:val="24"/>
          <w:szCs w:val="24"/>
        </w:rPr>
        <w:t xml:space="preserve"> </w:t>
      </w:r>
      <w:r w:rsidR="00FE5D53" w:rsidRPr="002E402A">
        <w:rPr>
          <w:rFonts w:ascii="Times New Roman" w:hAnsi="Times New Roman" w:cs="Times New Roman"/>
          <w:sz w:val="24"/>
          <w:szCs w:val="24"/>
        </w:rPr>
        <w:t>f</w:t>
      </w:r>
      <w:r w:rsidR="001A6BA9" w:rsidRPr="002E402A">
        <w:rPr>
          <w:rFonts w:ascii="Times New Roman" w:hAnsi="Times New Roman" w:cs="Times New Roman"/>
          <w:sz w:val="24"/>
          <w:szCs w:val="24"/>
        </w:rPr>
        <w:t>aaliyet</w:t>
      </w:r>
      <w:r w:rsidR="00E22BDE" w:rsidRPr="002E402A">
        <w:rPr>
          <w:rFonts w:ascii="Times New Roman" w:hAnsi="Times New Roman" w:cs="Times New Roman"/>
          <w:sz w:val="24"/>
          <w:szCs w:val="24"/>
        </w:rPr>
        <w:t xml:space="preserve"> raporları ve finansal tablolar</w:t>
      </w:r>
      <w:r w:rsidR="00A76655" w:rsidRPr="002E402A">
        <w:rPr>
          <w:rFonts w:ascii="Times New Roman" w:hAnsi="Times New Roman" w:cs="Times New Roman"/>
          <w:sz w:val="24"/>
          <w:szCs w:val="24"/>
        </w:rPr>
        <w:t>dan yararlanılmıştır</w:t>
      </w:r>
      <w:r w:rsidR="001A6BA9" w:rsidRPr="002E402A">
        <w:rPr>
          <w:rFonts w:ascii="Times New Roman" w:hAnsi="Times New Roman" w:cs="Times New Roman"/>
          <w:sz w:val="24"/>
          <w:szCs w:val="24"/>
        </w:rPr>
        <w:t xml:space="preserve">. </w:t>
      </w:r>
    </w:p>
    <w:p w:rsidR="008B7879" w:rsidRPr="002E402A" w:rsidRDefault="001A6BA9" w:rsidP="005B5ED9">
      <w:pPr>
        <w:spacing w:line="240" w:lineRule="auto"/>
        <w:rPr>
          <w:rFonts w:ascii="Times New Roman" w:hAnsi="Times New Roman" w:cs="Times New Roman"/>
          <w:sz w:val="24"/>
          <w:szCs w:val="24"/>
        </w:rPr>
      </w:pPr>
      <w:r w:rsidRPr="002E402A">
        <w:rPr>
          <w:rFonts w:ascii="Times New Roman" w:hAnsi="Times New Roman" w:cs="Times New Roman"/>
          <w:sz w:val="24"/>
          <w:szCs w:val="24"/>
        </w:rPr>
        <w:t>Çalışma kap</w:t>
      </w:r>
      <w:r w:rsidR="009A1F9D" w:rsidRPr="002E402A">
        <w:rPr>
          <w:rFonts w:ascii="Times New Roman" w:hAnsi="Times New Roman" w:cs="Times New Roman"/>
          <w:sz w:val="24"/>
          <w:szCs w:val="24"/>
        </w:rPr>
        <w:t>samında verilerin analizinde DEAOS isimli</w:t>
      </w:r>
      <w:r w:rsidRPr="002E402A">
        <w:rPr>
          <w:rFonts w:ascii="Times New Roman" w:hAnsi="Times New Roman" w:cs="Times New Roman"/>
          <w:sz w:val="24"/>
          <w:szCs w:val="24"/>
        </w:rPr>
        <w:t xml:space="preserve"> </w:t>
      </w:r>
      <w:r w:rsidR="009A1F9D" w:rsidRPr="002E402A">
        <w:rPr>
          <w:rFonts w:ascii="Times New Roman" w:hAnsi="Times New Roman" w:cs="Times New Roman"/>
          <w:sz w:val="24"/>
          <w:szCs w:val="24"/>
        </w:rPr>
        <w:t>yazılım</w:t>
      </w:r>
      <w:r w:rsidR="00FC4CAB" w:rsidRPr="002E402A">
        <w:rPr>
          <w:rFonts w:ascii="Times New Roman" w:hAnsi="Times New Roman" w:cs="Times New Roman"/>
          <w:sz w:val="24"/>
          <w:szCs w:val="24"/>
        </w:rPr>
        <w:t>dan yararlanılmış</w:t>
      </w:r>
      <w:r w:rsidRPr="002E402A">
        <w:rPr>
          <w:rFonts w:ascii="Times New Roman" w:hAnsi="Times New Roman" w:cs="Times New Roman"/>
          <w:sz w:val="24"/>
          <w:szCs w:val="24"/>
        </w:rPr>
        <w:t xml:space="preserve"> </w:t>
      </w:r>
      <w:r w:rsidR="00FC4CAB" w:rsidRPr="002E402A">
        <w:rPr>
          <w:rFonts w:ascii="Times New Roman" w:hAnsi="Times New Roman" w:cs="Times New Roman"/>
          <w:sz w:val="24"/>
          <w:szCs w:val="24"/>
        </w:rPr>
        <w:t xml:space="preserve">ve analiz tekniği olarak da </w:t>
      </w:r>
      <w:r w:rsidRPr="002E402A">
        <w:rPr>
          <w:rFonts w:ascii="Times New Roman" w:hAnsi="Times New Roman" w:cs="Times New Roman"/>
          <w:sz w:val="24"/>
          <w:szCs w:val="24"/>
        </w:rPr>
        <w:t>VZA doğrusal (lineer) programlama modeli kullanılmıştır.</w:t>
      </w:r>
      <w:r w:rsidR="009C69B4" w:rsidRPr="002E402A">
        <w:rPr>
          <w:rFonts w:ascii="Times New Roman" w:hAnsi="Times New Roman" w:cs="Times New Roman"/>
          <w:sz w:val="24"/>
          <w:szCs w:val="24"/>
        </w:rPr>
        <w:t xml:space="preserve"> </w:t>
      </w:r>
      <w:r w:rsidR="008B7879" w:rsidRPr="002E402A">
        <w:rPr>
          <w:rFonts w:ascii="Times New Roman" w:hAnsi="Times New Roman" w:cs="Times New Roman"/>
          <w:sz w:val="24"/>
          <w:szCs w:val="24"/>
        </w:rPr>
        <w:t>Şirketlerin finansal etkinliklerinin değerlendirilme</w:t>
      </w:r>
      <w:r w:rsidR="00496AA8" w:rsidRPr="002E402A">
        <w:rPr>
          <w:rFonts w:ascii="Times New Roman" w:hAnsi="Times New Roman" w:cs="Times New Roman"/>
          <w:sz w:val="24"/>
          <w:szCs w:val="24"/>
        </w:rPr>
        <w:t>sin</w:t>
      </w:r>
      <w:r w:rsidR="00B838F9" w:rsidRPr="002E402A">
        <w:rPr>
          <w:rFonts w:ascii="Times New Roman" w:hAnsi="Times New Roman" w:cs="Times New Roman"/>
          <w:sz w:val="24"/>
          <w:szCs w:val="24"/>
        </w:rPr>
        <w:t>d</w:t>
      </w:r>
      <w:r w:rsidR="00496AA8" w:rsidRPr="002E402A">
        <w:rPr>
          <w:rFonts w:ascii="Times New Roman" w:hAnsi="Times New Roman" w:cs="Times New Roman"/>
          <w:sz w:val="24"/>
          <w:szCs w:val="24"/>
        </w:rPr>
        <w:t xml:space="preserve">e </w:t>
      </w:r>
      <w:r w:rsidR="008B7879" w:rsidRPr="002E402A">
        <w:rPr>
          <w:rFonts w:ascii="Times New Roman" w:hAnsi="Times New Roman" w:cs="Times New Roman"/>
          <w:sz w:val="24"/>
          <w:szCs w:val="24"/>
        </w:rPr>
        <w:t>parametrik</w:t>
      </w:r>
      <w:r w:rsidR="00D82BDB" w:rsidRPr="002E402A">
        <w:rPr>
          <w:rFonts w:ascii="Times New Roman" w:hAnsi="Times New Roman" w:cs="Times New Roman"/>
          <w:sz w:val="24"/>
          <w:szCs w:val="24"/>
        </w:rPr>
        <w:t>,</w:t>
      </w:r>
      <w:r w:rsidR="008B7879" w:rsidRPr="002E402A">
        <w:rPr>
          <w:rFonts w:ascii="Times New Roman" w:hAnsi="Times New Roman" w:cs="Times New Roman"/>
          <w:sz w:val="24"/>
          <w:szCs w:val="24"/>
        </w:rPr>
        <w:t xml:space="preserve"> parametrik olmayan</w:t>
      </w:r>
      <w:r w:rsidR="00D25622" w:rsidRPr="002E402A">
        <w:rPr>
          <w:rFonts w:ascii="Times New Roman" w:hAnsi="Times New Roman" w:cs="Times New Roman"/>
          <w:sz w:val="24"/>
          <w:szCs w:val="24"/>
        </w:rPr>
        <w:t xml:space="preserve"> ve oran analizi yöntem</w:t>
      </w:r>
      <w:r w:rsidR="00824DD0" w:rsidRPr="002E402A">
        <w:rPr>
          <w:rFonts w:ascii="Times New Roman" w:hAnsi="Times New Roman" w:cs="Times New Roman"/>
          <w:sz w:val="24"/>
          <w:szCs w:val="24"/>
        </w:rPr>
        <w:t>ler</w:t>
      </w:r>
      <w:r w:rsidR="008B7879" w:rsidRPr="002E402A">
        <w:rPr>
          <w:rFonts w:ascii="Times New Roman" w:hAnsi="Times New Roman" w:cs="Times New Roman"/>
          <w:sz w:val="24"/>
          <w:szCs w:val="24"/>
        </w:rPr>
        <w:t xml:space="preserve">i </w:t>
      </w:r>
      <w:r w:rsidR="00B838F9" w:rsidRPr="002E402A">
        <w:rPr>
          <w:rFonts w:ascii="Times New Roman" w:hAnsi="Times New Roman" w:cs="Times New Roman"/>
          <w:sz w:val="24"/>
          <w:szCs w:val="24"/>
        </w:rPr>
        <w:t>kullanılmaktadır</w:t>
      </w:r>
      <w:r w:rsidR="008B7879" w:rsidRPr="002E402A">
        <w:rPr>
          <w:rFonts w:ascii="Times New Roman" w:hAnsi="Times New Roman" w:cs="Times New Roman"/>
          <w:sz w:val="24"/>
          <w:szCs w:val="24"/>
        </w:rPr>
        <w:t>. Oran analizinde, tek girdi ve tek çıktı niteliğindeki iki değişken arasındaki ilişkiyi veren analiz yapılır. Diğer etkinlik unsurlarını dikkate almadığı için yeterli görülmez. Çoklu girdi ve çıktılı üretim alanlarında kullanılamadığı için zayıf kalır</w:t>
      </w:r>
      <w:r w:rsidR="007123AB" w:rsidRPr="002E402A">
        <w:rPr>
          <w:rFonts w:ascii="Times New Roman" w:hAnsi="Times New Roman" w:cs="Times New Roman"/>
          <w:sz w:val="24"/>
          <w:szCs w:val="24"/>
        </w:rPr>
        <w:t>.</w:t>
      </w:r>
    </w:p>
    <w:p w:rsidR="00081A8B" w:rsidRPr="002E402A" w:rsidRDefault="00081A8B" w:rsidP="005B5ED9">
      <w:pPr>
        <w:spacing w:line="240" w:lineRule="auto"/>
        <w:rPr>
          <w:rFonts w:ascii="Times New Roman" w:hAnsi="Times New Roman" w:cs="Times New Roman"/>
          <w:sz w:val="24"/>
          <w:szCs w:val="24"/>
        </w:rPr>
      </w:pPr>
      <w:r w:rsidRPr="002E402A">
        <w:rPr>
          <w:rFonts w:ascii="Times New Roman" w:hAnsi="Times New Roman" w:cs="Times New Roman"/>
          <w:sz w:val="24"/>
          <w:szCs w:val="24"/>
        </w:rPr>
        <w:t>VZA, parametrik olmayan bir analiz tekniğidir. Parametrik olmayan yöntemlerde, finansal analizde kullanılan satışlar, varlıklar, net k</w:t>
      </w:r>
      <w:r w:rsidR="00B838F9" w:rsidRPr="002E402A">
        <w:rPr>
          <w:rFonts w:ascii="Times New Roman" w:hAnsi="Times New Roman" w:cs="Times New Roman"/>
          <w:sz w:val="24"/>
          <w:szCs w:val="24"/>
        </w:rPr>
        <w:t>â</w:t>
      </w:r>
      <w:r w:rsidRPr="002E402A">
        <w:rPr>
          <w:rFonts w:ascii="Times New Roman" w:hAnsi="Times New Roman" w:cs="Times New Roman"/>
          <w:sz w:val="24"/>
          <w:szCs w:val="24"/>
        </w:rPr>
        <w:t xml:space="preserve">r ve sermaye gibi firma değerleri teknik etkinliğin ölçümünde de kullanılabilir. Toplam varlıklar ve sermaye tanım gereği belli bir düzeyde olması gereken girdileri, net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 xml:space="preserve">da ise maksimize edilmesi gereken çıktıları temsil eder. Etkinlik ölçümü, kaynakların </w:t>
      </w:r>
      <w:r w:rsidR="00506A82" w:rsidRPr="002E402A">
        <w:rPr>
          <w:rFonts w:ascii="Times New Roman" w:hAnsi="Times New Roman" w:cs="Times New Roman"/>
          <w:sz w:val="24"/>
          <w:szCs w:val="24"/>
        </w:rPr>
        <w:t>belirli zamanda ve biçimde kull</w:t>
      </w:r>
      <w:r w:rsidRPr="002E402A">
        <w:rPr>
          <w:rFonts w:ascii="Times New Roman" w:hAnsi="Times New Roman" w:cs="Times New Roman"/>
          <w:sz w:val="24"/>
          <w:szCs w:val="24"/>
        </w:rPr>
        <w:t xml:space="preserve">anımı ile gerçekleşen sonuçların, hedeflenen sonuçlara göre değerlendirilmesidir. Etkinlik analizi ölçüm yöntemi olan VZA,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 xml:space="preserve"> amacı olan veya olmayan işletmelerin göreli etkinliğini ölçmeye y</w:t>
      </w:r>
      <w:r w:rsidR="007210D2" w:rsidRPr="002E402A">
        <w:rPr>
          <w:rFonts w:ascii="Times New Roman" w:hAnsi="Times New Roman" w:cs="Times New Roman"/>
          <w:sz w:val="24"/>
          <w:szCs w:val="24"/>
        </w:rPr>
        <w:t>arayan parametrik olmayan</w:t>
      </w:r>
      <w:r w:rsidRPr="002E402A">
        <w:rPr>
          <w:rFonts w:ascii="Times New Roman" w:hAnsi="Times New Roman" w:cs="Times New Roman"/>
          <w:sz w:val="24"/>
          <w:szCs w:val="24"/>
        </w:rPr>
        <w:t xml:space="preserve"> ve doğrusal programlama tabanlı bir yöntemdir. VZA yönteminde; bir şirketin etkinliği, diğer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verici tüm şirketlere </w:t>
      </w:r>
      <w:r w:rsidRPr="002E402A">
        <w:rPr>
          <w:rFonts w:ascii="Times New Roman" w:hAnsi="Times New Roman" w:cs="Times New Roman"/>
          <w:sz w:val="24"/>
          <w:szCs w:val="24"/>
        </w:rPr>
        <w:lastRenderedPageBreak/>
        <w:t xml:space="preserve">nispetle ölçülür. Tüm </w:t>
      </w:r>
      <w:r w:rsidR="007210D2" w:rsidRPr="002E402A">
        <w:rPr>
          <w:rFonts w:ascii="Times New Roman" w:hAnsi="Times New Roman" w:cs="Times New Roman"/>
          <w:sz w:val="24"/>
          <w:szCs w:val="24"/>
        </w:rPr>
        <w:t>kar</w:t>
      </w:r>
      <w:r w:rsidRPr="002E402A">
        <w:rPr>
          <w:rFonts w:ascii="Times New Roman" w:hAnsi="Times New Roman" w:cs="Times New Roman"/>
          <w:sz w:val="24"/>
          <w:szCs w:val="24"/>
        </w:rPr>
        <w:t xml:space="preserve">ar verici birimler ise etkin sınırda veya etkin sınır altında bulunurlar. Bir </w:t>
      </w:r>
      <w:r w:rsidR="007210D2" w:rsidRPr="002E402A">
        <w:rPr>
          <w:rFonts w:ascii="Times New Roman" w:hAnsi="Times New Roman" w:cs="Times New Roman"/>
          <w:sz w:val="24"/>
          <w:szCs w:val="24"/>
        </w:rPr>
        <w:t>kar</w:t>
      </w:r>
      <w:r w:rsidRPr="002E402A">
        <w:rPr>
          <w:rFonts w:ascii="Times New Roman" w:hAnsi="Times New Roman" w:cs="Times New Roman"/>
          <w:sz w:val="24"/>
          <w:szCs w:val="24"/>
        </w:rPr>
        <w:t>ar biriminin etkin değerinin 1 olması şirketin incelenen girdi-çıktı ilişkisine göre etkin olduğunu; 1’den küçük olması ise 1’e yaklaşabilmesi için girdi-çıktı arasındaki ilişkinin değerlendirilip bu alanlarda iyileştir</w:t>
      </w:r>
      <w:r w:rsidR="005B5ED9">
        <w:rPr>
          <w:rFonts w:ascii="Times New Roman" w:hAnsi="Times New Roman" w:cs="Times New Roman"/>
          <w:sz w:val="24"/>
          <w:szCs w:val="24"/>
        </w:rPr>
        <w:t>me yapılması gereğini gösterir (Akbalık ve Sırma, 2013: 9-10</w:t>
      </w:r>
      <w:r w:rsidR="00A0750C" w:rsidRPr="002E402A">
        <w:rPr>
          <w:rFonts w:ascii="Times New Roman" w:hAnsi="Times New Roman" w:cs="Times New Roman"/>
          <w:sz w:val="24"/>
          <w:szCs w:val="24"/>
        </w:rPr>
        <w:t>)</w:t>
      </w:r>
      <w:r w:rsidR="005B5ED9">
        <w:rPr>
          <w:rFonts w:ascii="Times New Roman" w:hAnsi="Times New Roman" w:cs="Times New Roman"/>
          <w:sz w:val="24"/>
          <w:szCs w:val="24"/>
        </w:rPr>
        <w:t>.</w:t>
      </w:r>
    </w:p>
    <w:p w:rsidR="001D3E55" w:rsidRPr="002E402A" w:rsidRDefault="001D1907" w:rsidP="003E38DB">
      <w:pPr>
        <w:spacing w:line="240" w:lineRule="auto"/>
        <w:rPr>
          <w:rFonts w:ascii="Times New Roman" w:hAnsi="Times New Roman" w:cs="Times New Roman"/>
          <w:sz w:val="24"/>
          <w:szCs w:val="24"/>
        </w:rPr>
      </w:pPr>
      <w:r w:rsidRPr="002E402A">
        <w:rPr>
          <w:rFonts w:ascii="Times New Roman" w:hAnsi="Times New Roman" w:cs="Times New Roman"/>
          <w:sz w:val="24"/>
          <w:szCs w:val="24"/>
        </w:rPr>
        <w:t>Veri Zarflama Analizi (VZA); do</w:t>
      </w:r>
      <w:r w:rsidR="00F15D51" w:rsidRPr="002E402A">
        <w:rPr>
          <w:rFonts w:ascii="Times New Roman" w:hAnsi="Times New Roman" w:cs="Times New Roman"/>
          <w:sz w:val="24"/>
          <w:szCs w:val="24"/>
        </w:rPr>
        <w:t>ğ</w:t>
      </w:r>
      <w:r w:rsidRPr="002E402A">
        <w:rPr>
          <w:rFonts w:ascii="Times New Roman" w:hAnsi="Times New Roman" w:cs="Times New Roman"/>
          <w:sz w:val="24"/>
          <w:szCs w:val="24"/>
        </w:rPr>
        <w:t>rusal programlamanın özel bir uygulama şekli olup, ayn</w:t>
      </w:r>
      <w:r w:rsidR="005D111A" w:rsidRPr="002E402A">
        <w:rPr>
          <w:rFonts w:ascii="Times New Roman" w:hAnsi="Times New Roman" w:cs="Times New Roman"/>
          <w:sz w:val="24"/>
          <w:szCs w:val="24"/>
        </w:rPr>
        <w:t>ı</w:t>
      </w:r>
      <w:r w:rsidRPr="002E402A">
        <w:rPr>
          <w:rFonts w:ascii="Times New Roman" w:hAnsi="Times New Roman" w:cs="Times New Roman"/>
          <w:sz w:val="24"/>
          <w:szCs w:val="24"/>
        </w:rPr>
        <w:t xml:space="preserve"> amaç ve hedeflere sahip işletmelerin göreceli olarak verimliliğini ö</w:t>
      </w:r>
      <w:r w:rsidR="003E38DB">
        <w:rPr>
          <w:rFonts w:ascii="Times New Roman" w:hAnsi="Times New Roman" w:cs="Times New Roman"/>
          <w:sz w:val="24"/>
          <w:szCs w:val="24"/>
        </w:rPr>
        <w:t>lçmede kullanılan bir yöntemdir (Tetik, 2003:</w:t>
      </w:r>
      <w:r w:rsidRPr="002E402A">
        <w:rPr>
          <w:rFonts w:ascii="Times New Roman" w:hAnsi="Times New Roman" w:cs="Times New Roman"/>
          <w:sz w:val="24"/>
          <w:szCs w:val="24"/>
        </w:rPr>
        <w:t xml:space="preserve"> 222)</w:t>
      </w:r>
      <w:r w:rsidR="003E38DB">
        <w:rPr>
          <w:rFonts w:ascii="Times New Roman" w:hAnsi="Times New Roman" w:cs="Times New Roman"/>
          <w:sz w:val="24"/>
          <w:szCs w:val="24"/>
        </w:rPr>
        <w:t>.</w:t>
      </w:r>
      <w:r w:rsidRPr="002E402A">
        <w:rPr>
          <w:rFonts w:ascii="Times New Roman" w:hAnsi="Times New Roman" w:cs="Times New Roman"/>
          <w:sz w:val="24"/>
          <w:szCs w:val="24"/>
        </w:rPr>
        <w:t xml:space="preserve"> </w:t>
      </w:r>
      <w:r w:rsidR="00913EFE">
        <w:rPr>
          <w:rFonts w:ascii="Times New Roman" w:hAnsi="Times New Roman" w:cs="Times New Roman"/>
          <w:sz w:val="24"/>
          <w:szCs w:val="24"/>
        </w:rPr>
        <w:t>VZA’da</w:t>
      </w:r>
      <w:r w:rsidR="0056376C" w:rsidRPr="002E402A">
        <w:rPr>
          <w:rFonts w:ascii="Times New Roman" w:hAnsi="Times New Roman" w:cs="Times New Roman"/>
          <w:sz w:val="24"/>
          <w:szCs w:val="24"/>
        </w:rPr>
        <w:t xml:space="preserve">, modele </w:t>
      </w:r>
      <w:r w:rsidR="00B8078C" w:rsidRPr="002E402A">
        <w:rPr>
          <w:rFonts w:ascii="Times New Roman" w:hAnsi="Times New Roman" w:cs="Times New Roman"/>
          <w:sz w:val="24"/>
          <w:szCs w:val="24"/>
        </w:rPr>
        <w:t>dâhil</w:t>
      </w:r>
      <w:r w:rsidR="0056376C" w:rsidRPr="002E402A">
        <w:rPr>
          <w:rFonts w:ascii="Times New Roman" w:hAnsi="Times New Roman" w:cs="Times New Roman"/>
          <w:sz w:val="24"/>
          <w:szCs w:val="24"/>
        </w:rPr>
        <w:t xml:space="preserve"> edilen değişkenler arasında ilişkiler saptanarak tek toplam performans ölçümü geliştirilmesinde, birden çok bağımsız </w:t>
      </w:r>
      <w:r w:rsidR="007064FC" w:rsidRPr="002E402A">
        <w:rPr>
          <w:rFonts w:ascii="Times New Roman" w:hAnsi="Times New Roman" w:cs="Times New Roman"/>
          <w:sz w:val="24"/>
          <w:szCs w:val="24"/>
        </w:rPr>
        <w:t>değişken</w:t>
      </w:r>
      <w:r w:rsidR="0056376C" w:rsidRPr="002E402A">
        <w:rPr>
          <w:rFonts w:ascii="Times New Roman" w:hAnsi="Times New Roman" w:cs="Times New Roman"/>
          <w:sz w:val="24"/>
          <w:szCs w:val="24"/>
        </w:rPr>
        <w:t xml:space="preserve"> aynı anda değerlendirilir.</w:t>
      </w:r>
      <w:r w:rsidR="007210D2" w:rsidRPr="002E402A">
        <w:rPr>
          <w:rFonts w:ascii="Times New Roman" w:hAnsi="Times New Roman" w:cs="Times New Roman"/>
          <w:sz w:val="24"/>
          <w:szCs w:val="24"/>
        </w:rPr>
        <w:t xml:space="preserve"> </w:t>
      </w:r>
      <w:r w:rsidR="0056376C" w:rsidRPr="002E402A">
        <w:rPr>
          <w:rFonts w:ascii="Times New Roman" w:hAnsi="Times New Roman" w:cs="Times New Roman"/>
          <w:sz w:val="24"/>
          <w:szCs w:val="24"/>
        </w:rPr>
        <w:t xml:space="preserve">VZA bugüne kadar hastaneler, eczaneler, okul ve eğitim programları, üretim, yer seçimi problemi, benchmarking, fast food restoranları, toptancı mağazaları, pazarlama faaliyetleri, hisse senedi değerlendirmesi, bankacılık, silahlı kuvvetler, mahkemeler, tarım, uzay araştırmaları, spor vs. gibi alanlarda; </w:t>
      </w:r>
      <w:r w:rsidR="007210D2" w:rsidRPr="002E402A">
        <w:rPr>
          <w:rFonts w:ascii="Times New Roman" w:hAnsi="Times New Roman" w:cs="Times New Roman"/>
          <w:sz w:val="24"/>
          <w:szCs w:val="24"/>
        </w:rPr>
        <w:t>kar</w:t>
      </w:r>
      <w:r w:rsidR="0056376C" w:rsidRPr="002E402A">
        <w:rPr>
          <w:rFonts w:ascii="Times New Roman" w:hAnsi="Times New Roman" w:cs="Times New Roman"/>
          <w:sz w:val="24"/>
          <w:szCs w:val="24"/>
        </w:rPr>
        <w:t>şılaştırma yapmak, yönetim performanslarını değerlendirmek, nispi kaynak kullanım etkinliğini ölçmek amacıyla uygulanmıştır.</w:t>
      </w:r>
      <w:r w:rsidR="00911B08" w:rsidRPr="002E402A">
        <w:rPr>
          <w:rFonts w:ascii="Times New Roman" w:hAnsi="Times New Roman" w:cs="Times New Roman"/>
          <w:sz w:val="24"/>
          <w:szCs w:val="24"/>
        </w:rPr>
        <w:t xml:space="preserve"> </w:t>
      </w:r>
      <w:r w:rsidR="001D3E55" w:rsidRPr="002E402A">
        <w:rPr>
          <w:rFonts w:ascii="Times New Roman" w:hAnsi="Times New Roman" w:cs="Times New Roman"/>
          <w:sz w:val="24"/>
          <w:szCs w:val="24"/>
        </w:rPr>
        <w:t>VZA’nin 3 temel özelliği vardır;</w:t>
      </w:r>
      <w:r w:rsidR="001F2069" w:rsidRPr="002E402A">
        <w:rPr>
          <w:rFonts w:ascii="Times New Roman" w:hAnsi="Times New Roman" w:cs="Times New Roman"/>
          <w:sz w:val="24"/>
          <w:szCs w:val="24"/>
        </w:rPr>
        <w:t xml:space="preserve"> birincisi,</w:t>
      </w:r>
      <w:r w:rsidR="001D3E55" w:rsidRPr="002E402A">
        <w:rPr>
          <w:rFonts w:ascii="Times New Roman" w:hAnsi="Times New Roman" w:cs="Times New Roman"/>
          <w:sz w:val="24"/>
          <w:szCs w:val="24"/>
        </w:rPr>
        <w:t xml:space="preserve"> </w:t>
      </w:r>
      <w:r w:rsidR="007210D2" w:rsidRPr="002E402A">
        <w:rPr>
          <w:rFonts w:ascii="Times New Roman" w:hAnsi="Times New Roman" w:cs="Times New Roman"/>
          <w:sz w:val="24"/>
          <w:szCs w:val="24"/>
        </w:rPr>
        <w:t>karar</w:t>
      </w:r>
      <w:r w:rsidR="001D3E55" w:rsidRPr="002E402A">
        <w:rPr>
          <w:rFonts w:ascii="Times New Roman" w:hAnsi="Times New Roman" w:cs="Times New Roman"/>
          <w:sz w:val="24"/>
          <w:szCs w:val="24"/>
        </w:rPr>
        <w:t xml:space="preserve"> birimleri arasında minimum girdi kul</w:t>
      </w:r>
      <w:r w:rsidR="00506A82" w:rsidRPr="002E402A">
        <w:rPr>
          <w:rFonts w:ascii="Times New Roman" w:hAnsi="Times New Roman" w:cs="Times New Roman"/>
          <w:sz w:val="24"/>
          <w:szCs w:val="24"/>
        </w:rPr>
        <w:t>l</w:t>
      </w:r>
      <w:r w:rsidR="001D3E55" w:rsidRPr="002E402A">
        <w:rPr>
          <w:rFonts w:ascii="Times New Roman" w:hAnsi="Times New Roman" w:cs="Times New Roman"/>
          <w:sz w:val="24"/>
          <w:szCs w:val="24"/>
        </w:rPr>
        <w:t xml:space="preserve">anıp maksimum çıktı sağlayan veya etkinlik sınırı oluşturup her </w:t>
      </w:r>
      <w:r w:rsidR="007210D2" w:rsidRPr="002E402A">
        <w:rPr>
          <w:rFonts w:ascii="Times New Roman" w:hAnsi="Times New Roman" w:cs="Times New Roman"/>
          <w:sz w:val="24"/>
          <w:szCs w:val="24"/>
        </w:rPr>
        <w:t>karar</w:t>
      </w:r>
      <w:r w:rsidR="001D3E55" w:rsidRPr="002E402A">
        <w:rPr>
          <w:rFonts w:ascii="Times New Roman" w:hAnsi="Times New Roman" w:cs="Times New Roman"/>
          <w:sz w:val="24"/>
          <w:szCs w:val="24"/>
        </w:rPr>
        <w:t xml:space="preserve"> birimi etkinliğinin nispi etkinlik skorunu verir.</w:t>
      </w:r>
      <w:r w:rsidR="001F2069" w:rsidRPr="002E402A">
        <w:rPr>
          <w:rFonts w:ascii="Times New Roman" w:hAnsi="Times New Roman" w:cs="Times New Roman"/>
          <w:sz w:val="24"/>
          <w:szCs w:val="24"/>
        </w:rPr>
        <w:t xml:space="preserve"> İkincisi, e</w:t>
      </w:r>
      <w:r w:rsidR="001D3E55" w:rsidRPr="002E402A">
        <w:rPr>
          <w:rFonts w:ascii="Times New Roman" w:hAnsi="Times New Roman" w:cs="Times New Roman"/>
          <w:sz w:val="24"/>
          <w:szCs w:val="24"/>
        </w:rPr>
        <w:t xml:space="preserve">tkinlik sınırı referans alınarak etkin olmayan birimlerin sınıra uzaklığı veya etkinsizlik düzeyleri belirlenerek, en iyi uygulamalar referans alınıp kendi durumlarını iyileştiren projeksiyonlar oluşturulur. </w:t>
      </w:r>
      <w:r w:rsidR="001F2069" w:rsidRPr="002E402A">
        <w:rPr>
          <w:rFonts w:ascii="Times New Roman" w:hAnsi="Times New Roman" w:cs="Times New Roman"/>
          <w:sz w:val="24"/>
          <w:szCs w:val="24"/>
        </w:rPr>
        <w:t>Son olarak ise, d</w:t>
      </w:r>
      <w:r w:rsidR="001D3E55" w:rsidRPr="002E402A">
        <w:rPr>
          <w:rFonts w:ascii="Times New Roman" w:hAnsi="Times New Roman" w:cs="Times New Roman"/>
          <w:sz w:val="24"/>
          <w:szCs w:val="24"/>
        </w:rPr>
        <w:t>eğişken seçimi ve veri hatalarına duyarlı olduğundan dikkat edilmesi gerekir.</w:t>
      </w:r>
    </w:p>
    <w:p w:rsidR="00F349D4" w:rsidRPr="002E402A" w:rsidRDefault="00F349D4"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VZA yönteminin uygulama aşamaları;</w:t>
      </w:r>
    </w:p>
    <w:p w:rsidR="00F349D4" w:rsidRPr="002E402A" w:rsidRDefault="00F349D4"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(1) Girdi ve çıktı faktörlerinin belirlenmesi,</w:t>
      </w:r>
    </w:p>
    <w:p w:rsidR="00F349D4" w:rsidRPr="002E402A" w:rsidRDefault="00F349D4"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(2) Veri setinin oluşturulması,</w:t>
      </w:r>
    </w:p>
    <w:p w:rsidR="00F349D4" w:rsidRPr="002E402A" w:rsidRDefault="00F349D4"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 xml:space="preserve">(3) Doğrusal programlama modelinin uygulanarak çözümlerin (verimlilik değerlerinin) </w:t>
      </w:r>
      <w:r w:rsidR="00506A82" w:rsidRPr="002E402A">
        <w:rPr>
          <w:rFonts w:ascii="Times New Roman" w:hAnsi="Times New Roman" w:cs="Times New Roman"/>
          <w:sz w:val="24"/>
          <w:szCs w:val="24"/>
        </w:rPr>
        <w:t>bulunması</w:t>
      </w:r>
      <w:r w:rsidRPr="002E402A">
        <w:rPr>
          <w:rFonts w:ascii="Times New Roman" w:hAnsi="Times New Roman" w:cs="Times New Roman"/>
          <w:sz w:val="24"/>
          <w:szCs w:val="24"/>
        </w:rPr>
        <w:t xml:space="preserve"> ve</w:t>
      </w:r>
    </w:p>
    <w:p w:rsidR="00F349D4" w:rsidRPr="002E402A" w:rsidRDefault="00F349D4"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(4) Elde edilen bulguların değerlendirilmesi, şeklinde sıralanabilir (T</w:t>
      </w:r>
      <w:r w:rsidR="005D111A" w:rsidRPr="002E402A">
        <w:rPr>
          <w:rFonts w:ascii="Times New Roman" w:hAnsi="Times New Roman" w:cs="Times New Roman"/>
          <w:sz w:val="24"/>
          <w:szCs w:val="24"/>
        </w:rPr>
        <w:t>ekt</w:t>
      </w:r>
      <w:r w:rsidRPr="002E402A">
        <w:rPr>
          <w:rFonts w:ascii="Times New Roman" w:hAnsi="Times New Roman" w:cs="Times New Roman"/>
          <w:sz w:val="24"/>
          <w:szCs w:val="24"/>
        </w:rPr>
        <w:t>üfekçi, 20</w:t>
      </w:r>
      <w:r w:rsidR="00CE4345">
        <w:rPr>
          <w:rFonts w:ascii="Times New Roman" w:hAnsi="Times New Roman" w:cs="Times New Roman"/>
          <w:sz w:val="24"/>
          <w:szCs w:val="24"/>
        </w:rPr>
        <w:t>10:</w:t>
      </w:r>
      <w:r w:rsidRPr="002E402A">
        <w:rPr>
          <w:rFonts w:ascii="Times New Roman" w:hAnsi="Times New Roman" w:cs="Times New Roman"/>
          <w:sz w:val="24"/>
          <w:szCs w:val="24"/>
        </w:rPr>
        <w:t xml:space="preserve"> 72)</w:t>
      </w:r>
      <w:r w:rsidR="00CE4345">
        <w:rPr>
          <w:rFonts w:ascii="Times New Roman" w:hAnsi="Times New Roman" w:cs="Times New Roman"/>
          <w:sz w:val="24"/>
          <w:szCs w:val="24"/>
        </w:rPr>
        <w:t>.</w:t>
      </w:r>
    </w:p>
    <w:p w:rsidR="001D3E55" w:rsidRPr="002E402A" w:rsidRDefault="001D3E55" w:rsidP="00212208">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VZA, nitelikleri itibariyle benzer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birimlerinin birbiri ile ilişkili etkinliklerinin değerlendirilmesinde kullanılan doğrusal programlama tabanlı bir yöntemdir. Veri içine alınmayan birimlerin eldeki birimlerden daha yüksek etkinliği olma olasılığı vardır. Eldeki veriler ile etkin sınır belirlendikten sonra etkin sınır üzerinde olmayan birimlerin etkin olmama dereceleri, bu etkin sınıra göre belirlenir. Etkinlik= Çıktıların ağırlıklı toplamı/ Girdilerin ağırlıklı toplamı. Birimlerin amacı, bu değeri maksimize etmektir.</w:t>
      </w:r>
      <w:r w:rsidR="008B279B" w:rsidRPr="002E402A">
        <w:rPr>
          <w:rFonts w:ascii="Times New Roman" w:hAnsi="Times New Roman" w:cs="Times New Roman"/>
          <w:sz w:val="24"/>
          <w:szCs w:val="24"/>
        </w:rPr>
        <w:t xml:space="preserve"> </w:t>
      </w:r>
    </w:p>
    <w:p w:rsidR="00731A85" w:rsidRPr="002E402A" w:rsidRDefault="00731A85" w:rsidP="000A7CD7">
      <w:pPr>
        <w:spacing w:line="240" w:lineRule="auto"/>
        <w:ind w:firstLine="567"/>
        <w:rPr>
          <w:rFonts w:ascii="Times New Roman" w:hAnsi="Times New Roman" w:cs="Times New Roman"/>
          <w:sz w:val="24"/>
          <w:szCs w:val="24"/>
        </w:rPr>
      </w:pPr>
      <w:r w:rsidRPr="002E402A">
        <w:rPr>
          <w:rFonts w:ascii="Times New Roman" w:hAnsi="Times New Roman" w:cs="Times New Roman"/>
          <w:position w:val="-30"/>
          <w:sz w:val="24"/>
          <w:szCs w:val="24"/>
        </w:rPr>
        <w:object w:dxaOrig="2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6.75pt" o:ole="">
            <v:imagedata r:id="rId11" o:title=""/>
          </v:shape>
          <o:OLEObject Type="Embed" ProgID="Equation.3" ShapeID="_x0000_i1025" DrawAspect="Content" ObjectID="_1518866140" r:id="rId12"/>
        </w:object>
      </w:r>
    </w:p>
    <w:p w:rsidR="00731A85" w:rsidRPr="002E402A" w:rsidRDefault="002B5606"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Yu</w:t>
      </w:r>
      <w:r w:rsidR="007210D2" w:rsidRPr="002E402A">
        <w:rPr>
          <w:rFonts w:ascii="Times New Roman" w:hAnsi="Times New Roman" w:cs="Times New Roman"/>
          <w:sz w:val="24"/>
          <w:szCs w:val="24"/>
        </w:rPr>
        <w:t>kar</w:t>
      </w:r>
      <w:r w:rsidRPr="002E402A">
        <w:rPr>
          <w:rFonts w:ascii="Times New Roman" w:hAnsi="Times New Roman" w:cs="Times New Roman"/>
          <w:sz w:val="24"/>
          <w:szCs w:val="24"/>
        </w:rPr>
        <w:t xml:space="preserve">ıdaki kesirde, </w:t>
      </w:r>
      <w:r w:rsidR="00731A85" w:rsidRPr="002E402A">
        <w:rPr>
          <w:rFonts w:ascii="Times New Roman" w:hAnsi="Times New Roman" w:cs="Times New Roman"/>
          <w:sz w:val="24"/>
          <w:szCs w:val="24"/>
        </w:rPr>
        <w:t xml:space="preserve">j. </w:t>
      </w:r>
      <w:r w:rsidR="007210D2" w:rsidRPr="002E402A">
        <w:rPr>
          <w:rFonts w:ascii="Times New Roman" w:hAnsi="Times New Roman" w:cs="Times New Roman"/>
          <w:sz w:val="24"/>
          <w:szCs w:val="24"/>
        </w:rPr>
        <w:t>karar</w:t>
      </w:r>
      <w:r w:rsidR="00731A85" w:rsidRPr="002E402A">
        <w:rPr>
          <w:rFonts w:ascii="Times New Roman" w:hAnsi="Times New Roman" w:cs="Times New Roman"/>
          <w:sz w:val="24"/>
          <w:szCs w:val="24"/>
        </w:rPr>
        <w:t xml:space="preserve"> noktası için n adet çıktı ve m adet girdi vardır, u</w:t>
      </w:r>
      <w:r w:rsidR="00731A85" w:rsidRPr="002E402A">
        <w:rPr>
          <w:rFonts w:ascii="Times New Roman" w:hAnsi="Times New Roman" w:cs="Times New Roman"/>
          <w:sz w:val="24"/>
          <w:szCs w:val="24"/>
          <w:vertAlign w:val="subscript"/>
        </w:rPr>
        <w:t>n</w:t>
      </w:r>
      <w:r w:rsidR="00731A85" w:rsidRPr="002E402A">
        <w:rPr>
          <w:rFonts w:ascii="Times New Roman" w:hAnsi="Times New Roman" w:cs="Times New Roman"/>
          <w:sz w:val="24"/>
          <w:szCs w:val="24"/>
        </w:rPr>
        <w:t xml:space="preserve"> n. </w:t>
      </w:r>
      <w:r w:rsidR="00804A90" w:rsidRPr="002E402A">
        <w:rPr>
          <w:rFonts w:ascii="Times New Roman" w:hAnsi="Times New Roman" w:cs="Times New Roman"/>
          <w:sz w:val="24"/>
          <w:szCs w:val="24"/>
        </w:rPr>
        <w:t>ç</w:t>
      </w:r>
      <w:r w:rsidR="00731A85" w:rsidRPr="002E402A">
        <w:rPr>
          <w:rFonts w:ascii="Times New Roman" w:hAnsi="Times New Roman" w:cs="Times New Roman"/>
          <w:sz w:val="24"/>
          <w:szCs w:val="24"/>
        </w:rPr>
        <w:t xml:space="preserve">ıktının ağırlığını, </w:t>
      </w:r>
      <w:r w:rsidR="00804A90" w:rsidRPr="002E402A">
        <w:rPr>
          <w:rFonts w:ascii="Times New Roman" w:hAnsi="Times New Roman" w:cs="Times New Roman"/>
          <w:sz w:val="24"/>
          <w:szCs w:val="24"/>
        </w:rPr>
        <w:t>y</w:t>
      </w:r>
      <w:r w:rsidR="00804A90" w:rsidRPr="002E402A">
        <w:rPr>
          <w:rFonts w:ascii="Times New Roman" w:hAnsi="Times New Roman" w:cs="Times New Roman"/>
          <w:sz w:val="24"/>
          <w:szCs w:val="24"/>
          <w:vertAlign w:val="subscript"/>
        </w:rPr>
        <w:t>n</w:t>
      </w:r>
      <w:r w:rsidR="00731A85" w:rsidRPr="002E402A">
        <w:rPr>
          <w:rFonts w:ascii="Times New Roman" w:hAnsi="Times New Roman" w:cs="Times New Roman"/>
          <w:sz w:val="24"/>
          <w:szCs w:val="24"/>
        </w:rPr>
        <w:t xml:space="preserve">  n. çıktının miktarını, </w:t>
      </w:r>
      <w:r w:rsidR="00804A90" w:rsidRPr="002E402A">
        <w:rPr>
          <w:rFonts w:ascii="Times New Roman" w:hAnsi="Times New Roman" w:cs="Times New Roman"/>
          <w:sz w:val="24"/>
          <w:szCs w:val="24"/>
        </w:rPr>
        <w:t>v</w:t>
      </w:r>
      <w:r w:rsidR="00804A90" w:rsidRPr="002E402A">
        <w:rPr>
          <w:rFonts w:ascii="Times New Roman" w:hAnsi="Times New Roman" w:cs="Times New Roman"/>
          <w:sz w:val="24"/>
          <w:szCs w:val="24"/>
          <w:vertAlign w:val="subscript"/>
        </w:rPr>
        <w:t>m</w:t>
      </w:r>
      <w:r w:rsidR="00731A85" w:rsidRPr="002E402A">
        <w:rPr>
          <w:rFonts w:ascii="Times New Roman" w:hAnsi="Times New Roman" w:cs="Times New Roman"/>
          <w:sz w:val="24"/>
          <w:szCs w:val="24"/>
        </w:rPr>
        <w:t xml:space="preserve">  m. girdinin ağırlığını ve </w:t>
      </w:r>
      <w:r w:rsidR="00804A90" w:rsidRPr="002E402A">
        <w:rPr>
          <w:rFonts w:ascii="Times New Roman" w:hAnsi="Times New Roman" w:cs="Times New Roman"/>
          <w:sz w:val="24"/>
          <w:szCs w:val="24"/>
        </w:rPr>
        <w:t>x</w:t>
      </w:r>
      <w:r w:rsidR="00804A90" w:rsidRPr="002E402A">
        <w:rPr>
          <w:rFonts w:ascii="Times New Roman" w:hAnsi="Times New Roman" w:cs="Times New Roman"/>
          <w:sz w:val="24"/>
          <w:szCs w:val="24"/>
          <w:vertAlign w:val="subscript"/>
        </w:rPr>
        <w:t>m</w:t>
      </w:r>
      <w:r w:rsidR="00731A85" w:rsidRPr="002E402A">
        <w:rPr>
          <w:rFonts w:ascii="Times New Roman" w:hAnsi="Times New Roman" w:cs="Times New Roman"/>
          <w:sz w:val="24"/>
          <w:szCs w:val="24"/>
        </w:rPr>
        <w:t xml:space="preserve">  m. girdinin miktarını göstermektedir.</w:t>
      </w:r>
      <w:r w:rsidR="00711519" w:rsidRPr="002E402A">
        <w:rPr>
          <w:rFonts w:ascii="Times New Roman" w:hAnsi="Times New Roman" w:cs="Times New Roman"/>
          <w:sz w:val="24"/>
          <w:szCs w:val="24"/>
        </w:rPr>
        <w:t xml:space="preserve"> </w:t>
      </w:r>
    </w:p>
    <w:p w:rsidR="007B1FFA" w:rsidRPr="002E402A" w:rsidRDefault="007B1FFA" w:rsidP="00212208">
      <w:pPr>
        <w:spacing w:after="0" w:line="240" w:lineRule="auto"/>
        <w:rPr>
          <w:rFonts w:ascii="Times New Roman" w:hAnsi="Times New Roman" w:cs="Times New Roman"/>
          <w:sz w:val="24"/>
          <w:szCs w:val="24"/>
        </w:rPr>
      </w:pPr>
      <w:r w:rsidRPr="002E402A">
        <w:rPr>
          <w:rFonts w:ascii="Times New Roman" w:hAnsi="Times New Roman" w:cs="Times New Roman"/>
          <w:sz w:val="24"/>
          <w:szCs w:val="24"/>
        </w:rPr>
        <w:t>Veri Zarflama Analizinde temel ola</w:t>
      </w:r>
      <w:r w:rsidR="00212208">
        <w:rPr>
          <w:rFonts w:ascii="Times New Roman" w:hAnsi="Times New Roman" w:cs="Times New Roman"/>
          <w:sz w:val="24"/>
          <w:szCs w:val="24"/>
        </w:rPr>
        <w:t>rak üç yöntem kullanılmaktadır:</w:t>
      </w:r>
    </w:p>
    <w:p w:rsidR="007B1FFA" w:rsidRPr="002E402A" w:rsidRDefault="007B1FFA" w:rsidP="004B0E83">
      <w:pPr>
        <w:spacing w:before="120" w:afterLines="120" w:after="288"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w:t>
      </w:r>
      <w:r w:rsidRPr="002E402A">
        <w:rPr>
          <w:rFonts w:ascii="Times New Roman" w:hAnsi="Times New Roman" w:cs="Times New Roman"/>
          <w:sz w:val="24"/>
          <w:szCs w:val="24"/>
        </w:rPr>
        <w:tab/>
        <w:t>CCR (Charnes-Cooper-Rhodes) Yöntemi</w:t>
      </w:r>
    </w:p>
    <w:p w:rsidR="007B1FFA" w:rsidRPr="002E402A" w:rsidRDefault="007B1FFA" w:rsidP="004B0E83">
      <w:pPr>
        <w:spacing w:before="120" w:afterLines="120" w:after="288"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w:t>
      </w:r>
      <w:r w:rsidRPr="002E402A">
        <w:rPr>
          <w:rFonts w:ascii="Times New Roman" w:hAnsi="Times New Roman" w:cs="Times New Roman"/>
          <w:sz w:val="24"/>
          <w:szCs w:val="24"/>
        </w:rPr>
        <w:tab/>
        <w:t>BCC (Banker-Chaenes-Cooper) Yöntemi</w:t>
      </w:r>
    </w:p>
    <w:p w:rsidR="007B1FFA" w:rsidRPr="002E402A" w:rsidRDefault="004B0E83" w:rsidP="004B0E83">
      <w:pPr>
        <w:spacing w:before="120" w:afterLines="120" w:after="288"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Toplamsal Yöntem</w:t>
      </w:r>
    </w:p>
    <w:p w:rsidR="007B1FFA" w:rsidRPr="002E402A" w:rsidRDefault="007B1FFA" w:rsidP="007C1220">
      <w:pPr>
        <w:spacing w:line="240" w:lineRule="auto"/>
        <w:rPr>
          <w:rFonts w:ascii="Times New Roman" w:hAnsi="Times New Roman" w:cs="Times New Roman"/>
          <w:sz w:val="24"/>
          <w:szCs w:val="24"/>
        </w:rPr>
      </w:pPr>
      <w:r w:rsidRPr="002E402A">
        <w:rPr>
          <w:rFonts w:ascii="Times New Roman" w:hAnsi="Times New Roman" w:cs="Times New Roman"/>
          <w:sz w:val="24"/>
          <w:szCs w:val="24"/>
        </w:rPr>
        <w:t>CCR ve BCC modelleri girdi ve çıktıya yönelik iki g</w:t>
      </w:r>
      <w:r w:rsidR="00C07DB2" w:rsidRPr="002E402A">
        <w:rPr>
          <w:rFonts w:ascii="Times New Roman" w:hAnsi="Times New Roman" w:cs="Times New Roman"/>
          <w:sz w:val="24"/>
          <w:szCs w:val="24"/>
        </w:rPr>
        <w:t>rupta incelenen iki temel model</w:t>
      </w:r>
      <w:r w:rsidRPr="002E402A">
        <w:rPr>
          <w:rFonts w:ascii="Times New Roman" w:hAnsi="Times New Roman" w:cs="Times New Roman"/>
          <w:sz w:val="24"/>
          <w:szCs w:val="24"/>
        </w:rPr>
        <w:t xml:space="preserve">dir. Girdiye yönelik VZA modelleri, belirli bir çıktı bileşiminin en etkin üretilmesi için kullanılacak en uygun girdi birleşimini araştırır. Çıktıya yönelik VZA modelleri, belirli girdi bileşimi ile en fazla çıktı bileşimi sağlamayı araştırır. </w:t>
      </w:r>
    </w:p>
    <w:p w:rsidR="000041D0" w:rsidRPr="002E402A" w:rsidRDefault="007B1FFA" w:rsidP="007C1220">
      <w:pPr>
        <w:spacing w:line="240" w:lineRule="auto"/>
        <w:rPr>
          <w:rFonts w:ascii="Times New Roman" w:hAnsi="Times New Roman" w:cs="Times New Roman"/>
          <w:sz w:val="24"/>
          <w:szCs w:val="24"/>
        </w:rPr>
      </w:pPr>
      <w:r w:rsidRPr="002E402A">
        <w:rPr>
          <w:rFonts w:ascii="Times New Roman" w:hAnsi="Times New Roman" w:cs="Times New Roman"/>
          <w:sz w:val="24"/>
          <w:szCs w:val="24"/>
        </w:rPr>
        <w:t>Doğrusal programlama temeline dayanan</w:t>
      </w:r>
      <w:r w:rsidR="009C35E9" w:rsidRPr="002E402A">
        <w:rPr>
          <w:rFonts w:ascii="Times New Roman" w:hAnsi="Times New Roman" w:cs="Times New Roman"/>
          <w:sz w:val="24"/>
          <w:szCs w:val="24"/>
        </w:rPr>
        <w:t xml:space="preserve"> VZA’nın uygula</w:t>
      </w:r>
      <w:r w:rsidR="007C1220">
        <w:rPr>
          <w:rFonts w:ascii="Times New Roman" w:hAnsi="Times New Roman" w:cs="Times New Roman"/>
          <w:sz w:val="24"/>
          <w:szCs w:val="24"/>
        </w:rPr>
        <w:t>n</w:t>
      </w:r>
      <w:r w:rsidR="009C35E9" w:rsidRPr="002E402A">
        <w:rPr>
          <w:rFonts w:ascii="Times New Roman" w:hAnsi="Times New Roman" w:cs="Times New Roman"/>
          <w:sz w:val="24"/>
          <w:szCs w:val="24"/>
        </w:rPr>
        <w:t>ması</w:t>
      </w:r>
      <w:r w:rsidR="007C1220">
        <w:rPr>
          <w:rFonts w:ascii="Times New Roman" w:hAnsi="Times New Roman" w:cs="Times New Roman"/>
          <w:sz w:val="24"/>
          <w:szCs w:val="24"/>
        </w:rPr>
        <w:t>,</w:t>
      </w:r>
      <w:r w:rsidRPr="002E402A">
        <w:rPr>
          <w:rFonts w:ascii="Times New Roman" w:hAnsi="Times New Roman" w:cs="Times New Roman"/>
          <w:sz w:val="24"/>
          <w:szCs w:val="24"/>
        </w:rPr>
        <w:t xml:space="preserve"> etkinlik ölçümü olarak VZA ilk kez, Farrel’in 1957’deki performans etkinliğini belirlemedeki teorik çalışmasına dayanmaktadır. Bu çalışmadan yola çı</w:t>
      </w:r>
      <w:r w:rsidR="007210D2" w:rsidRPr="002E402A">
        <w:rPr>
          <w:rFonts w:ascii="Times New Roman" w:hAnsi="Times New Roman" w:cs="Times New Roman"/>
          <w:sz w:val="24"/>
          <w:szCs w:val="24"/>
        </w:rPr>
        <w:t>kar</w:t>
      </w:r>
      <w:r w:rsidRPr="002E402A">
        <w:rPr>
          <w:rFonts w:ascii="Times New Roman" w:hAnsi="Times New Roman" w:cs="Times New Roman"/>
          <w:sz w:val="24"/>
          <w:szCs w:val="24"/>
        </w:rPr>
        <w:t xml:space="preserve">ak Charnes, Cooper ve Rhodes (1978) tarafından ortaya konulan CCR modeli araştırma etkinliğinin değerlendirilmesinde, parametrik olmayan yaklaşımdaki daha sonraki tüm gelişmeler için temel olmuştur. Parametrik olmayan çok sayıda girdi ve çok sayıda çıktı kullanılması sonucunda bulunan etkin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birimi ve etkin olmayan firmaların sınıra olan uzaklıkları hesaplanmaktadır. Ölçeğe göre sabit getiri varsayımı altında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birimlerinin toplam etkinlik skorları</w:t>
      </w:r>
      <w:r w:rsidR="00B84E93" w:rsidRPr="002E402A">
        <w:rPr>
          <w:rFonts w:ascii="Times New Roman" w:hAnsi="Times New Roman" w:cs="Times New Roman"/>
          <w:sz w:val="24"/>
          <w:szCs w:val="24"/>
        </w:rPr>
        <w:t xml:space="preserve"> belirlenmektedir.</w:t>
      </w:r>
      <w:r w:rsidRPr="002E402A">
        <w:rPr>
          <w:rFonts w:ascii="Times New Roman" w:hAnsi="Times New Roman" w:cs="Times New Roman"/>
          <w:sz w:val="24"/>
          <w:szCs w:val="24"/>
        </w:rPr>
        <w:t xml:space="preserve"> </w:t>
      </w:r>
      <w:r w:rsidR="000041D0" w:rsidRPr="002E402A">
        <w:rPr>
          <w:rFonts w:ascii="Times New Roman" w:hAnsi="Times New Roman" w:cs="Times New Roman"/>
          <w:sz w:val="24"/>
          <w:szCs w:val="24"/>
        </w:rPr>
        <w:t xml:space="preserve">Toplam etkinlik skoru, teknik etkinlik ve ölçek etkinliği değerleri çarpımıdır ve kaynakları belirleyerek, yetersiz olanları tahmin etmektedir.  Farklı ölçeklerle ölçülmüş veya farklı ölçü birimlerine sahip firmaların girdi ve çıktıları arasında etkinlik </w:t>
      </w:r>
      <w:r w:rsidR="007210D2" w:rsidRPr="002E402A">
        <w:rPr>
          <w:rFonts w:ascii="Times New Roman" w:hAnsi="Times New Roman" w:cs="Times New Roman"/>
          <w:sz w:val="24"/>
          <w:szCs w:val="24"/>
        </w:rPr>
        <w:t>kar</w:t>
      </w:r>
      <w:r w:rsidR="000041D0" w:rsidRPr="002E402A">
        <w:rPr>
          <w:rFonts w:ascii="Times New Roman" w:hAnsi="Times New Roman" w:cs="Times New Roman"/>
          <w:sz w:val="24"/>
          <w:szCs w:val="24"/>
        </w:rPr>
        <w:t xml:space="preserve">şılaştırılması yapılarak firmaların göreceli olarak performansı ölçülebilmektedir. Girdiye yönelik CCR modelinde etkin olan bir </w:t>
      </w:r>
      <w:r w:rsidR="007210D2" w:rsidRPr="002E402A">
        <w:rPr>
          <w:rFonts w:ascii="Times New Roman" w:hAnsi="Times New Roman" w:cs="Times New Roman"/>
          <w:sz w:val="24"/>
          <w:szCs w:val="24"/>
        </w:rPr>
        <w:t>karar</w:t>
      </w:r>
      <w:r w:rsidR="000041D0" w:rsidRPr="002E402A">
        <w:rPr>
          <w:rFonts w:ascii="Times New Roman" w:hAnsi="Times New Roman" w:cs="Times New Roman"/>
          <w:sz w:val="24"/>
          <w:szCs w:val="24"/>
        </w:rPr>
        <w:t xml:space="preserve"> birimi çıktıya yönelik </w:t>
      </w:r>
      <w:r w:rsidR="007210D2" w:rsidRPr="002E402A">
        <w:rPr>
          <w:rFonts w:ascii="Times New Roman" w:hAnsi="Times New Roman" w:cs="Times New Roman"/>
          <w:sz w:val="24"/>
          <w:szCs w:val="24"/>
        </w:rPr>
        <w:t>karar</w:t>
      </w:r>
      <w:r w:rsidR="000041D0" w:rsidRPr="002E402A">
        <w:rPr>
          <w:rFonts w:ascii="Times New Roman" w:hAnsi="Times New Roman" w:cs="Times New Roman"/>
          <w:sz w:val="24"/>
          <w:szCs w:val="24"/>
        </w:rPr>
        <w:t xml:space="preserve"> biriminde de mutlaka etkindir. En uygun ağırlıklar CCR’nin önerdiği doğrusal programlama modeli ile bulunabilir. Teknik etkinliğin 1 olması etkin sınır üzerinde yer almasını göstermektedir. Burada, birimlerin ölçeğe göre sabit getiri düzeninde üretim yaptıkları varsayılır.</w:t>
      </w:r>
    </w:p>
    <w:p w:rsidR="00B22A65" w:rsidRPr="002E402A" w:rsidRDefault="00B22A65" w:rsidP="007C7C72">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1984’de Banker, Charnes ve Cooper tarafından BCC veri zarflama analizi modeli geliştirilmiştir. Bu model, bir ölçeğe göre teknik etkinliği verir. Ölçeğe göre artan, azalan veya sabit getiri altında, teknik ve ölçek etkinliği ayrımı yapar. </w:t>
      </w:r>
    </w:p>
    <w:p w:rsidR="007B1FFA" w:rsidRPr="002E402A" w:rsidRDefault="007B1FFA" w:rsidP="007C7C72">
      <w:pPr>
        <w:spacing w:line="240" w:lineRule="auto"/>
        <w:rPr>
          <w:rFonts w:ascii="Times New Roman" w:hAnsi="Times New Roman" w:cs="Times New Roman"/>
          <w:sz w:val="24"/>
          <w:szCs w:val="24"/>
        </w:rPr>
      </w:pPr>
      <w:r w:rsidRPr="002E402A">
        <w:rPr>
          <w:rFonts w:ascii="Times New Roman" w:hAnsi="Times New Roman" w:cs="Times New Roman"/>
          <w:sz w:val="24"/>
          <w:szCs w:val="24"/>
        </w:rPr>
        <w:t>CCR modelinde ölçeğe göre sabit getiri altında toplam etkinlik ölçülürken, BCC modeli</w:t>
      </w:r>
      <w:r w:rsidR="00186D71" w:rsidRPr="002E402A">
        <w:rPr>
          <w:rFonts w:ascii="Times New Roman" w:hAnsi="Times New Roman" w:cs="Times New Roman"/>
          <w:sz w:val="24"/>
          <w:szCs w:val="24"/>
        </w:rPr>
        <w:t>nde</w:t>
      </w:r>
      <w:r w:rsidRPr="002E402A">
        <w:rPr>
          <w:rFonts w:ascii="Times New Roman" w:hAnsi="Times New Roman" w:cs="Times New Roman"/>
          <w:sz w:val="24"/>
          <w:szCs w:val="24"/>
        </w:rPr>
        <w:t xml:space="preserve"> ölçeğe göre değişken getiri altında teknik etkinlik ölçülür. Ölçeğe göre sabit getiride,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biriminin etkinlik değerinin 1 olması için hem teknik hem de ölçek etkinliğine sahip olması gerekir. Ölçeğe göre değişken getiri durumunda, ölçek etkinliği olmayan bir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birimi eğer teknik etkinliğe sahipse etkin sınır üzerinde bulunabilir. Girdiye yönelik BCC modeli, girdiler oransal azaldıkça sınır doğrultusunda maksimum hareketi, çıktıya yönelik BCC modelinde çıktıların oransal artırımı ile sınır doğrultusunda maksimum hareketi amaçlar. </w:t>
      </w:r>
    </w:p>
    <w:p w:rsidR="005A6AA4" w:rsidRPr="002E402A" w:rsidRDefault="005A6AA4" w:rsidP="007C7C72">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CCR yönteminde amaç, eğer j.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biriminin etkinliği ise amaç, bu değerin maksimizasyonu </w:t>
      </w:r>
      <w:r w:rsidR="007C7C72">
        <w:rPr>
          <w:rFonts w:ascii="Times New Roman" w:hAnsi="Times New Roman" w:cs="Times New Roman"/>
          <w:sz w:val="24"/>
          <w:szCs w:val="24"/>
        </w:rPr>
        <w:t xml:space="preserve">olarak </w:t>
      </w:r>
      <w:r w:rsidRPr="002E402A">
        <w:rPr>
          <w:rFonts w:ascii="Times New Roman" w:hAnsi="Times New Roman" w:cs="Times New Roman"/>
          <w:sz w:val="24"/>
          <w:szCs w:val="24"/>
        </w:rPr>
        <w:t xml:space="preserve">hedeflenir. Amaç fonksiyonu girdi odaklılık varsayımı altında aşağıdaki formüldeki gibi ifade edilebilir. </w:t>
      </w:r>
    </w:p>
    <w:p w:rsidR="00497590" w:rsidRPr="002E402A" w:rsidRDefault="00E875C7" w:rsidP="000A7CD7">
      <w:pPr>
        <w:spacing w:line="240" w:lineRule="auto"/>
        <w:ind w:firstLine="567"/>
        <w:rPr>
          <w:rFonts w:ascii="Times New Roman" w:hAnsi="Times New Roman" w:cs="Times New Roman"/>
          <w:sz w:val="24"/>
          <w:szCs w:val="24"/>
        </w:rPr>
      </w:pPr>
      <w:r w:rsidRPr="002E402A">
        <w:rPr>
          <w:rFonts w:ascii="Times New Roman" w:hAnsi="Times New Roman" w:cs="Times New Roman"/>
          <w:position w:val="-60"/>
          <w:sz w:val="24"/>
          <w:szCs w:val="24"/>
        </w:rPr>
        <w:object w:dxaOrig="1660" w:dyaOrig="1320">
          <v:shape id="_x0000_i1026" type="#_x0000_t75" style="width:86.25pt;height:64.5pt" o:ole="">
            <v:imagedata r:id="rId13" o:title=""/>
          </v:shape>
          <o:OLEObject Type="Embed" ProgID="Equation.3" ShapeID="_x0000_i1026" DrawAspect="Content" ObjectID="_1518866141" r:id="rId14"/>
        </w:object>
      </w:r>
      <w:r w:rsidR="008564A6" w:rsidRPr="002E402A">
        <w:rPr>
          <w:rFonts w:ascii="Times New Roman" w:hAnsi="Times New Roman" w:cs="Times New Roman"/>
          <w:sz w:val="24"/>
          <w:szCs w:val="24"/>
        </w:rPr>
        <w:t xml:space="preserve">   </w:t>
      </w:r>
      <w:r w:rsidR="00497590" w:rsidRPr="002E402A">
        <w:rPr>
          <w:rFonts w:ascii="Times New Roman" w:hAnsi="Times New Roman" w:cs="Times New Roman"/>
          <w:sz w:val="24"/>
          <w:szCs w:val="24"/>
        </w:rPr>
        <w:t xml:space="preserve"> </w:t>
      </w:r>
      <w:r w:rsidR="00497590" w:rsidRPr="002E402A">
        <w:rPr>
          <w:rFonts w:ascii="Times New Roman" w:hAnsi="Times New Roman" w:cs="Times New Roman"/>
          <w:sz w:val="24"/>
          <w:szCs w:val="24"/>
        </w:rPr>
        <w:tab/>
      </w:r>
      <w:r w:rsidR="00497590" w:rsidRPr="002E402A">
        <w:rPr>
          <w:rFonts w:ascii="Times New Roman" w:hAnsi="Times New Roman" w:cs="Times New Roman"/>
          <w:sz w:val="24"/>
          <w:szCs w:val="24"/>
        </w:rPr>
        <w:tab/>
      </w:r>
      <w:r w:rsidR="00497590" w:rsidRPr="002E402A">
        <w:rPr>
          <w:rFonts w:ascii="Times New Roman" w:hAnsi="Times New Roman" w:cs="Times New Roman"/>
          <w:sz w:val="24"/>
          <w:szCs w:val="24"/>
        </w:rPr>
        <w:tab/>
      </w:r>
    </w:p>
    <w:p w:rsidR="008564A6" w:rsidRPr="002E402A" w:rsidRDefault="008564A6"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lastRenderedPageBreak/>
        <w:t>Kısıtlar</w:t>
      </w:r>
      <w:r w:rsidR="00514428" w:rsidRPr="002E402A">
        <w:rPr>
          <w:rFonts w:ascii="Times New Roman" w:hAnsi="Times New Roman" w:cs="Times New Roman"/>
          <w:sz w:val="24"/>
          <w:szCs w:val="24"/>
        </w:rPr>
        <w:t>ı</w:t>
      </w:r>
      <w:r w:rsidRPr="002E402A">
        <w:rPr>
          <w:rFonts w:ascii="Times New Roman" w:hAnsi="Times New Roman" w:cs="Times New Roman"/>
          <w:sz w:val="24"/>
          <w:szCs w:val="24"/>
        </w:rPr>
        <w:t xml:space="preserve"> şöyledir;      </w:t>
      </w:r>
      <w:r w:rsidR="00497590" w:rsidRPr="002E402A">
        <w:rPr>
          <w:rFonts w:ascii="Times New Roman" w:hAnsi="Times New Roman" w:cs="Times New Roman"/>
          <w:sz w:val="24"/>
          <w:szCs w:val="24"/>
        </w:rPr>
        <w:t xml:space="preserve"> </w:t>
      </w:r>
      <w:r w:rsidR="0042511D" w:rsidRPr="002E402A">
        <w:rPr>
          <w:rFonts w:ascii="Times New Roman" w:hAnsi="Times New Roman" w:cs="Times New Roman"/>
          <w:position w:val="-48"/>
          <w:sz w:val="24"/>
          <w:szCs w:val="24"/>
        </w:rPr>
        <w:object w:dxaOrig="1140" w:dyaOrig="2060">
          <v:shape id="_x0000_i1027" type="#_x0000_t75" style="width:50.25pt;height:86.25pt" o:ole="">
            <v:imagedata r:id="rId15" o:title=""/>
          </v:shape>
          <o:OLEObject Type="Embed" ProgID="Equation.3" ShapeID="_x0000_i1027" DrawAspect="Content" ObjectID="_1518866142" r:id="rId16"/>
        </w:object>
      </w:r>
    </w:p>
    <w:p w:rsidR="000F1F59" w:rsidRPr="002E402A" w:rsidRDefault="00514428"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Aşağıdaki formüller, girdi odaklılık durumu için düzenlenmiştir;</w:t>
      </w:r>
    </w:p>
    <w:p w:rsidR="00514428" w:rsidRPr="002E402A" w:rsidRDefault="00DE3957" w:rsidP="000A7CD7">
      <w:pPr>
        <w:spacing w:line="240" w:lineRule="auto"/>
        <w:ind w:firstLine="567"/>
        <w:rPr>
          <w:rFonts w:ascii="Times New Roman" w:hAnsi="Times New Roman" w:cs="Times New Roman"/>
          <w:sz w:val="24"/>
          <w:szCs w:val="24"/>
        </w:rPr>
      </w:pPr>
      <w:r w:rsidRPr="002E402A">
        <w:rPr>
          <w:rFonts w:ascii="Times New Roman" w:hAnsi="Times New Roman" w:cs="Times New Roman"/>
          <w:position w:val="-28"/>
          <w:sz w:val="24"/>
          <w:szCs w:val="24"/>
        </w:rPr>
        <w:object w:dxaOrig="1620" w:dyaOrig="680">
          <v:shape id="_x0000_i1028" type="#_x0000_t75" style="width:79.5pt;height:36.75pt" o:ole="">
            <v:imagedata r:id="rId17" o:title=""/>
          </v:shape>
          <o:OLEObject Type="Embed" ProgID="Equation.3" ShapeID="_x0000_i1028" DrawAspect="Content" ObjectID="_1518866143" r:id="rId18"/>
        </w:object>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position w:val="-28"/>
          <w:sz w:val="24"/>
          <w:szCs w:val="24"/>
        </w:rPr>
        <w:object w:dxaOrig="1020" w:dyaOrig="680">
          <v:shape id="_x0000_i1029" type="#_x0000_t75" style="width:50.25pt;height:36.75pt" o:ole="">
            <v:imagedata r:id="rId19" o:title=""/>
          </v:shape>
          <o:OLEObject Type="Embed" ProgID="Equation.3" ShapeID="_x0000_i1029" DrawAspect="Content" ObjectID="_1518866144" r:id="rId20"/>
        </w:object>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position w:val="-46"/>
          <w:sz w:val="24"/>
          <w:szCs w:val="24"/>
        </w:rPr>
        <w:object w:dxaOrig="1980" w:dyaOrig="1040">
          <v:shape id="_x0000_i1030" type="#_x0000_t75" style="width:99.75pt;height:50.25pt" o:ole="">
            <v:imagedata r:id="rId21" o:title=""/>
          </v:shape>
          <o:OLEObject Type="Embed" ProgID="Equation.3" ShapeID="_x0000_i1030" DrawAspect="Content" ObjectID="_1518866145" r:id="rId22"/>
        </w:object>
      </w:r>
    </w:p>
    <w:p w:rsidR="000F1F59" w:rsidRPr="002E402A" w:rsidRDefault="00B071BC"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Eğer çıktı odaklılık durumu için CCR yöntemi kullanılacaksa bu durumda doğrusal programlama modeli aşağıdaki formüllerindeki gibi olacaktır.</w:t>
      </w:r>
    </w:p>
    <w:p w:rsidR="00B071BC" w:rsidRPr="002E402A" w:rsidRDefault="00484BDD" w:rsidP="000A7CD7">
      <w:pPr>
        <w:spacing w:line="240" w:lineRule="auto"/>
        <w:ind w:firstLine="567"/>
        <w:rPr>
          <w:rFonts w:ascii="Times New Roman" w:hAnsi="Times New Roman" w:cs="Times New Roman"/>
          <w:sz w:val="24"/>
          <w:szCs w:val="24"/>
        </w:rPr>
      </w:pPr>
      <w:r w:rsidRPr="002E402A">
        <w:rPr>
          <w:rFonts w:ascii="Times New Roman" w:hAnsi="Times New Roman" w:cs="Times New Roman"/>
          <w:position w:val="-28"/>
          <w:sz w:val="24"/>
          <w:szCs w:val="24"/>
        </w:rPr>
        <w:object w:dxaOrig="1560" w:dyaOrig="680">
          <v:shape id="_x0000_i1031" type="#_x0000_t75" style="width:79.5pt;height:36.75pt" o:ole="">
            <v:imagedata r:id="rId23" o:title=""/>
          </v:shape>
          <o:OLEObject Type="Embed" ProgID="Equation.3" ShapeID="_x0000_i1031" DrawAspect="Content" ObjectID="_1518866146" r:id="rId24"/>
        </w:object>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position w:val="-28"/>
          <w:sz w:val="24"/>
          <w:szCs w:val="24"/>
        </w:rPr>
        <w:object w:dxaOrig="1100" w:dyaOrig="680">
          <v:shape id="_x0000_i1032" type="#_x0000_t75" style="width:57.75pt;height:36.75pt" o:ole="">
            <v:imagedata r:id="rId25" o:title=""/>
          </v:shape>
          <o:OLEObject Type="Embed" ProgID="Equation.3" ShapeID="_x0000_i1032" DrawAspect="Content" ObjectID="_1518866147" r:id="rId26"/>
        </w:object>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position w:val="-46"/>
          <w:sz w:val="24"/>
          <w:szCs w:val="24"/>
        </w:rPr>
        <w:object w:dxaOrig="2160" w:dyaOrig="1040">
          <v:shape id="_x0000_i1033" type="#_x0000_t75" style="width:108.75pt;height:50.25pt" o:ole="">
            <v:imagedata r:id="rId27" o:title=""/>
          </v:shape>
          <o:OLEObject Type="Embed" ProgID="Equation.3" ShapeID="_x0000_i1033" DrawAspect="Content" ObjectID="_1518866148" r:id="rId28"/>
        </w:object>
      </w:r>
    </w:p>
    <w:p w:rsidR="005A143B" w:rsidRPr="002E402A" w:rsidRDefault="007C7C72" w:rsidP="007C7C72">
      <w:pPr>
        <w:spacing w:line="240" w:lineRule="auto"/>
        <w:rPr>
          <w:rFonts w:ascii="Times New Roman" w:hAnsi="Times New Roman" w:cs="Times New Roman"/>
          <w:sz w:val="24"/>
          <w:szCs w:val="24"/>
        </w:rPr>
      </w:pPr>
      <w:r>
        <w:rPr>
          <w:rFonts w:ascii="Times New Roman" w:hAnsi="Times New Roman" w:cs="Times New Roman"/>
          <w:sz w:val="24"/>
          <w:szCs w:val="24"/>
        </w:rPr>
        <w:t>BCC y</w:t>
      </w:r>
      <w:r w:rsidR="005A143B" w:rsidRPr="002E402A">
        <w:rPr>
          <w:rFonts w:ascii="Times New Roman" w:hAnsi="Times New Roman" w:cs="Times New Roman"/>
          <w:sz w:val="24"/>
          <w:szCs w:val="24"/>
        </w:rPr>
        <w:t xml:space="preserve">öntemi, CCR modelinin varsayımlarında değişiklik yapılarak elde edilmiş modeldir. BCC modeli temelde ölçeğe göre değişken getiri varsayımına dayanır. BCC modelini kullanarak tüm </w:t>
      </w:r>
      <w:r w:rsidR="007210D2" w:rsidRPr="002E402A">
        <w:rPr>
          <w:rFonts w:ascii="Times New Roman" w:hAnsi="Times New Roman" w:cs="Times New Roman"/>
          <w:sz w:val="24"/>
          <w:szCs w:val="24"/>
        </w:rPr>
        <w:t>karar</w:t>
      </w:r>
      <w:r w:rsidR="005A143B" w:rsidRPr="002E402A">
        <w:rPr>
          <w:rFonts w:ascii="Times New Roman" w:hAnsi="Times New Roman" w:cs="Times New Roman"/>
          <w:sz w:val="24"/>
          <w:szCs w:val="24"/>
        </w:rPr>
        <w:t xml:space="preserve"> birimleri için ölçeğe göre getiri tipi de belirlenebilir. BCC sınırı her zaman CCR sınırının altında yer alır. Bu yüzden CCR etkinlik skoru, BCC etkinlik skorundan küçük veya ona eşit olacaktır.</w:t>
      </w:r>
    </w:p>
    <w:p w:rsidR="00F9186C" w:rsidRPr="002E402A" w:rsidRDefault="005A143B" w:rsidP="00D2010F">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BCC modelinin CCR modelinden tek farkı, ölçeğe göre değişken getiri varsayımı altında her bir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birimi için çözülecek doğrusal program sonucu elde edilecek  (etkin olmayan bir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noktası için etkin olası girdi çıktı bileşimi oluşturmak için gereken bilgiyi sağlayan değer) değerlerinin toplamının 1’e eşit ol</w:t>
      </w:r>
      <w:r w:rsidR="00F9186C" w:rsidRPr="002E402A">
        <w:rPr>
          <w:rFonts w:ascii="Times New Roman" w:hAnsi="Times New Roman" w:cs="Times New Roman"/>
          <w:sz w:val="24"/>
          <w:szCs w:val="24"/>
        </w:rPr>
        <w:t xml:space="preserve">masıdır. BCC yönteminin modeli aşağıda </w:t>
      </w:r>
      <w:r w:rsidRPr="002E402A">
        <w:rPr>
          <w:rFonts w:ascii="Times New Roman" w:hAnsi="Times New Roman" w:cs="Times New Roman"/>
          <w:sz w:val="24"/>
          <w:szCs w:val="24"/>
        </w:rPr>
        <w:t>verilmiştir.</w:t>
      </w:r>
      <w:r w:rsidR="00F9186C" w:rsidRPr="002E402A">
        <w:rPr>
          <w:rFonts w:ascii="Times New Roman" w:hAnsi="Times New Roman" w:cs="Times New Roman"/>
          <w:sz w:val="24"/>
          <w:szCs w:val="24"/>
        </w:rPr>
        <w:t xml:space="preserve"> Amaç fonksiyonu,</w:t>
      </w:r>
    </w:p>
    <w:p w:rsidR="00F9186C" w:rsidRPr="002E402A" w:rsidRDefault="00F9186C" w:rsidP="000A7CD7">
      <w:pPr>
        <w:spacing w:line="240" w:lineRule="auto"/>
        <w:ind w:firstLine="567"/>
        <w:rPr>
          <w:rFonts w:ascii="Times New Roman" w:hAnsi="Times New Roman" w:cs="Times New Roman"/>
          <w:sz w:val="24"/>
          <w:szCs w:val="24"/>
        </w:rPr>
      </w:pPr>
      <w:r w:rsidRPr="002E402A">
        <w:rPr>
          <w:rFonts w:ascii="Times New Roman" w:hAnsi="Times New Roman" w:cs="Times New Roman"/>
          <w:position w:val="-12"/>
          <w:sz w:val="24"/>
          <w:szCs w:val="24"/>
        </w:rPr>
        <w:object w:dxaOrig="720" w:dyaOrig="360">
          <v:shape id="_x0000_i1034" type="#_x0000_t75" style="width:36.75pt;height:14.25pt" o:ole="">
            <v:imagedata r:id="rId29" o:title=""/>
          </v:shape>
          <o:OLEObject Type="Embed" ProgID="Equation.3" ShapeID="_x0000_i1034" DrawAspect="Content" ObjectID="_1518866149" r:id="rId30"/>
        </w:object>
      </w:r>
    </w:p>
    <w:p w:rsidR="00F9186C" w:rsidRPr="002E402A" w:rsidRDefault="00F9186C"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Kısıtları,</w:t>
      </w:r>
    </w:p>
    <w:p w:rsidR="00F9186C" w:rsidRPr="002E402A" w:rsidRDefault="00F9186C" w:rsidP="000A7CD7">
      <w:pPr>
        <w:spacing w:line="240" w:lineRule="auto"/>
        <w:ind w:firstLine="567"/>
        <w:rPr>
          <w:rFonts w:ascii="Times New Roman" w:hAnsi="Times New Roman" w:cs="Times New Roman"/>
          <w:sz w:val="24"/>
          <w:szCs w:val="24"/>
        </w:rPr>
      </w:pPr>
      <w:r w:rsidRPr="002E402A">
        <w:rPr>
          <w:rFonts w:ascii="Times New Roman" w:hAnsi="Times New Roman" w:cs="Times New Roman"/>
          <w:position w:val="-48"/>
          <w:sz w:val="24"/>
          <w:szCs w:val="24"/>
        </w:rPr>
        <w:object w:dxaOrig="1440" w:dyaOrig="1080">
          <v:shape id="_x0000_i1035" type="#_x0000_t75" style="width:1in;height:57.75pt" o:ole="">
            <v:imagedata r:id="rId31" o:title=""/>
          </v:shape>
          <o:OLEObject Type="Embed" ProgID="Equation.3" ShapeID="_x0000_i1035" DrawAspect="Content" ObjectID="_1518866150" r:id="rId32"/>
        </w:object>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position w:val="-30"/>
          <w:sz w:val="24"/>
          <w:szCs w:val="24"/>
        </w:rPr>
        <w:object w:dxaOrig="1980" w:dyaOrig="700">
          <v:shape id="_x0000_i1036" type="#_x0000_t75" style="width:99.75pt;height:36.75pt" o:ole="">
            <v:imagedata r:id="rId33" o:title=""/>
          </v:shape>
          <o:OLEObject Type="Embed" ProgID="Equation.3" ShapeID="_x0000_i1036" DrawAspect="Content" ObjectID="_1518866151" r:id="rId34"/>
        </w:object>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sz w:val="24"/>
          <w:szCs w:val="24"/>
        </w:rPr>
        <w:tab/>
      </w:r>
      <w:r w:rsidRPr="002E402A">
        <w:rPr>
          <w:rFonts w:ascii="Times New Roman" w:hAnsi="Times New Roman" w:cs="Times New Roman"/>
          <w:position w:val="-30"/>
          <w:sz w:val="24"/>
          <w:szCs w:val="24"/>
        </w:rPr>
        <w:object w:dxaOrig="920" w:dyaOrig="700">
          <v:shape id="_x0000_i1037" type="#_x0000_t75" style="width:44.25pt;height:36.75pt" o:ole="">
            <v:imagedata r:id="rId35" o:title=""/>
          </v:shape>
          <o:OLEObject Type="Embed" ProgID="Equation.3" ShapeID="_x0000_i1037" DrawAspect="Content" ObjectID="_1518866152" r:id="rId36"/>
        </w:object>
      </w:r>
    </w:p>
    <w:p w:rsidR="003F00FD" w:rsidRPr="002E402A" w:rsidRDefault="00D42C2C" w:rsidP="00D2010F">
      <w:pPr>
        <w:spacing w:line="240" w:lineRule="auto"/>
        <w:rPr>
          <w:rFonts w:ascii="Times New Roman" w:hAnsi="Times New Roman" w:cs="Times New Roman"/>
          <w:sz w:val="24"/>
          <w:szCs w:val="24"/>
        </w:rPr>
      </w:pPr>
      <w:r w:rsidRPr="002E402A">
        <w:rPr>
          <w:rFonts w:ascii="Times New Roman" w:hAnsi="Times New Roman" w:cs="Times New Roman"/>
          <w:sz w:val="24"/>
          <w:szCs w:val="24"/>
        </w:rPr>
        <w:t>Toplam etkinlik değerini belirlemede iki çarpandan biri olan t</w:t>
      </w:r>
      <w:r w:rsidR="00D36C91" w:rsidRPr="002E402A">
        <w:rPr>
          <w:rFonts w:ascii="Times New Roman" w:hAnsi="Times New Roman" w:cs="Times New Roman"/>
          <w:sz w:val="24"/>
          <w:szCs w:val="24"/>
        </w:rPr>
        <w:t>eknik etkinlikte</w:t>
      </w:r>
      <w:r w:rsidR="00761B26" w:rsidRPr="002E402A">
        <w:rPr>
          <w:rFonts w:ascii="Times New Roman" w:hAnsi="Times New Roman" w:cs="Times New Roman"/>
          <w:sz w:val="24"/>
          <w:szCs w:val="24"/>
        </w:rPr>
        <w:t xml:space="preserve"> (TE)</w:t>
      </w:r>
      <w:r w:rsidR="00D36C91" w:rsidRPr="002E402A">
        <w:rPr>
          <w:rFonts w:ascii="Times New Roman" w:hAnsi="Times New Roman" w:cs="Times New Roman"/>
          <w:sz w:val="24"/>
          <w:szCs w:val="24"/>
        </w:rPr>
        <w:t xml:space="preserve">; mevcut teknolojide, belirli girdi bileşimi ile </w:t>
      </w:r>
      <w:r w:rsidR="0073315F" w:rsidRPr="002E402A">
        <w:rPr>
          <w:rFonts w:ascii="Times New Roman" w:hAnsi="Times New Roman" w:cs="Times New Roman"/>
          <w:sz w:val="24"/>
          <w:szCs w:val="24"/>
        </w:rPr>
        <w:t>maksimum</w:t>
      </w:r>
      <w:r w:rsidR="00D36C91" w:rsidRPr="002E402A">
        <w:rPr>
          <w:rFonts w:ascii="Times New Roman" w:hAnsi="Times New Roman" w:cs="Times New Roman"/>
          <w:sz w:val="24"/>
          <w:szCs w:val="24"/>
        </w:rPr>
        <w:t xml:space="preserve"> çıktı sağlanması veya belirli çıktı bileşiminin </w:t>
      </w:r>
      <w:r w:rsidR="0073315F" w:rsidRPr="002E402A">
        <w:rPr>
          <w:rFonts w:ascii="Times New Roman" w:hAnsi="Times New Roman" w:cs="Times New Roman"/>
          <w:sz w:val="24"/>
          <w:szCs w:val="24"/>
        </w:rPr>
        <w:t>minimum</w:t>
      </w:r>
      <w:r w:rsidR="00D36C91" w:rsidRPr="002E402A">
        <w:rPr>
          <w:rFonts w:ascii="Times New Roman" w:hAnsi="Times New Roman" w:cs="Times New Roman"/>
          <w:sz w:val="24"/>
          <w:szCs w:val="24"/>
        </w:rPr>
        <w:t xml:space="preserve"> girdi kullanılarak üretilmesine bağlıdır. Tahsis etkinliği, maliyetleri de dikkate alarak en uygun oranda girdi kullanma kabiliyetidir. </w:t>
      </w:r>
      <w:r w:rsidR="00C15A27" w:rsidRPr="002E402A">
        <w:rPr>
          <w:rFonts w:ascii="Times New Roman" w:hAnsi="Times New Roman" w:cs="Times New Roman"/>
          <w:sz w:val="24"/>
          <w:szCs w:val="24"/>
        </w:rPr>
        <w:t xml:space="preserve">Hesaplanan teknik etkinlik değerinin </w:t>
      </w:r>
      <w:r w:rsidR="0073315F" w:rsidRPr="002E402A">
        <w:rPr>
          <w:rFonts w:ascii="Times New Roman" w:hAnsi="Times New Roman" w:cs="Times New Roman"/>
          <w:sz w:val="24"/>
          <w:szCs w:val="24"/>
        </w:rPr>
        <w:t>1</w:t>
      </w:r>
      <w:r w:rsidR="00C15A27" w:rsidRPr="002E402A">
        <w:rPr>
          <w:rFonts w:ascii="Times New Roman" w:hAnsi="Times New Roman" w:cs="Times New Roman"/>
          <w:sz w:val="24"/>
          <w:szCs w:val="24"/>
        </w:rPr>
        <w:t xml:space="preserve"> olması o arac</w:t>
      </w:r>
      <w:r w:rsidR="0073315F" w:rsidRPr="002E402A">
        <w:rPr>
          <w:rFonts w:ascii="Times New Roman" w:hAnsi="Times New Roman" w:cs="Times New Roman"/>
          <w:sz w:val="24"/>
          <w:szCs w:val="24"/>
        </w:rPr>
        <w:t>ı kurumun etkin olduğunu, 1’den</w:t>
      </w:r>
      <w:r w:rsidR="00C15A27" w:rsidRPr="002E402A">
        <w:rPr>
          <w:rFonts w:ascii="Times New Roman" w:hAnsi="Times New Roman" w:cs="Times New Roman"/>
          <w:sz w:val="24"/>
          <w:szCs w:val="24"/>
        </w:rPr>
        <w:t xml:space="preserve"> küçük olması ise, etkinsizlik olduğunu gösterir</w:t>
      </w:r>
      <w:r w:rsidR="00F15075" w:rsidRPr="002E402A">
        <w:rPr>
          <w:rFonts w:ascii="Times New Roman" w:hAnsi="Times New Roman" w:cs="Times New Roman"/>
          <w:sz w:val="24"/>
          <w:szCs w:val="24"/>
        </w:rPr>
        <w:t xml:space="preserve">. </w:t>
      </w:r>
      <w:r w:rsidR="00761B26" w:rsidRPr="002E402A">
        <w:rPr>
          <w:rFonts w:ascii="Times New Roman" w:hAnsi="Times New Roman" w:cs="Times New Roman"/>
          <w:sz w:val="24"/>
          <w:szCs w:val="24"/>
        </w:rPr>
        <w:t xml:space="preserve">TE’nin 1’e yaklaşması etkinlik düzeyinin artması olarak değerlendirilir. </w:t>
      </w:r>
      <w:r w:rsidR="00F15075" w:rsidRPr="002E402A">
        <w:rPr>
          <w:rFonts w:ascii="Times New Roman" w:hAnsi="Times New Roman" w:cs="Times New Roman"/>
          <w:sz w:val="24"/>
          <w:szCs w:val="24"/>
        </w:rPr>
        <w:t>Etkinsizlik düzeyi</w:t>
      </w:r>
      <w:r w:rsidR="00C15A27" w:rsidRPr="002E402A">
        <w:rPr>
          <w:rFonts w:ascii="Times New Roman" w:hAnsi="Times New Roman" w:cs="Times New Roman"/>
          <w:sz w:val="24"/>
          <w:szCs w:val="24"/>
        </w:rPr>
        <w:t xml:space="preserve">=(1-TE)’dir. Teknik etkinlik veya etkinsizlik endeksi aynı zamanda, üretim faktörlerinin kullanım performanslarını </w:t>
      </w:r>
      <w:r w:rsidR="00F15075" w:rsidRPr="002E402A">
        <w:rPr>
          <w:rFonts w:ascii="Times New Roman" w:hAnsi="Times New Roman" w:cs="Times New Roman"/>
          <w:sz w:val="24"/>
          <w:szCs w:val="24"/>
        </w:rPr>
        <w:t>verir</w:t>
      </w:r>
      <w:r w:rsidR="00C15A27" w:rsidRPr="002E402A">
        <w:rPr>
          <w:rFonts w:ascii="Times New Roman" w:hAnsi="Times New Roman" w:cs="Times New Roman"/>
          <w:sz w:val="24"/>
          <w:szCs w:val="24"/>
        </w:rPr>
        <w:t xml:space="preserve">. </w:t>
      </w:r>
      <w:r w:rsidR="0073315F" w:rsidRPr="002E402A">
        <w:rPr>
          <w:rFonts w:ascii="Times New Roman" w:hAnsi="Times New Roman" w:cs="Times New Roman"/>
          <w:sz w:val="24"/>
          <w:szCs w:val="24"/>
        </w:rPr>
        <w:t>Ölçülen teknik etkinlik değeriy</w:t>
      </w:r>
      <w:r w:rsidR="00C15A27" w:rsidRPr="002E402A">
        <w:rPr>
          <w:rFonts w:ascii="Times New Roman" w:hAnsi="Times New Roman" w:cs="Times New Roman"/>
          <w:sz w:val="24"/>
          <w:szCs w:val="24"/>
        </w:rPr>
        <w:t>le tam teknik etkinlik değeri arasındaki fark (1-TE), üretim faktörlerinin etkinsiz kullanım oranlarını</w:t>
      </w:r>
      <w:r w:rsidR="0073315F" w:rsidRPr="002E402A">
        <w:rPr>
          <w:rFonts w:ascii="Times New Roman" w:hAnsi="Times New Roman" w:cs="Times New Roman"/>
          <w:sz w:val="24"/>
          <w:szCs w:val="24"/>
        </w:rPr>
        <w:t xml:space="preserve"> sağlar</w:t>
      </w:r>
      <w:r w:rsidR="00C15A27" w:rsidRPr="002E402A">
        <w:rPr>
          <w:rFonts w:ascii="Times New Roman" w:hAnsi="Times New Roman" w:cs="Times New Roman"/>
          <w:sz w:val="24"/>
          <w:szCs w:val="24"/>
        </w:rPr>
        <w:t>. Endeksin 1’den küçük olması, mevcut teknoloji</w:t>
      </w:r>
      <w:r w:rsidR="0073315F" w:rsidRPr="002E402A">
        <w:rPr>
          <w:rFonts w:ascii="Times New Roman" w:hAnsi="Times New Roman" w:cs="Times New Roman"/>
          <w:sz w:val="24"/>
          <w:szCs w:val="24"/>
        </w:rPr>
        <w:t>de</w:t>
      </w:r>
      <w:r w:rsidR="00C15A27" w:rsidRPr="002E402A">
        <w:rPr>
          <w:rFonts w:ascii="Times New Roman" w:hAnsi="Times New Roman" w:cs="Times New Roman"/>
          <w:sz w:val="24"/>
          <w:szCs w:val="24"/>
        </w:rPr>
        <w:t xml:space="preserve"> </w:t>
      </w:r>
      <w:r w:rsidR="00C15A27" w:rsidRPr="002E402A">
        <w:rPr>
          <w:rFonts w:ascii="Times New Roman" w:hAnsi="Times New Roman" w:cs="Times New Roman"/>
          <w:sz w:val="24"/>
          <w:szCs w:val="24"/>
        </w:rPr>
        <w:lastRenderedPageBreak/>
        <w:t xml:space="preserve">veri girdilerle en yüksek çıktının üretilmediğini veya fiili çıktının oransal olarak daha az girdilerle üretilebileceğini ve üretim faktörlerinin oransal olarak atıl kaldığını </w:t>
      </w:r>
      <w:r w:rsidR="00EA02E9" w:rsidRPr="002E402A">
        <w:rPr>
          <w:rFonts w:ascii="Times New Roman" w:hAnsi="Times New Roman" w:cs="Times New Roman"/>
          <w:sz w:val="24"/>
          <w:szCs w:val="24"/>
        </w:rPr>
        <w:t>gösterir</w:t>
      </w:r>
      <w:r w:rsidR="00C15A27" w:rsidRPr="002E402A">
        <w:rPr>
          <w:rFonts w:ascii="Times New Roman" w:hAnsi="Times New Roman" w:cs="Times New Roman"/>
          <w:sz w:val="24"/>
          <w:szCs w:val="24"/>
        </w:rPr>
        <w:t xml:space="preserve">. </w:t>
      </w:r>
      <w:r w:rsidR="00D26F18" w:rsidRPr="002E402A">
        <w:rPr>
          <w:rFonts w:ascii="Times New Roman" w:hAnsi="Times New Roman" w:cs="Times New Roman"/>
          <w:sz w:val="24"/>
          <w:szCs w:val="24"/>
        </w:rPr>
        <w:t>CCR modelinden sağlanan toplam etkinlik değerinin BCC modelinden sağlanan teknik etkinliğe oranlanması</w:t>
      </w:r>
      <w:r w:rsidR="0045300F" w:rsidRPr="002E402A">
        <w:rPr>
          <w:rFonts w:ascii="Times New Roman" w:hAnsi="Times New Roman" w:cs="Times New Roman"/>
          <w:sz w:val="24"/>
          <w:szCs w:val="24"/>
        </w:rPr>
        <w:t>yla</w:t>
      </w:r>
      <w:r w:rsidR="00D26F18" w:rsidRPr="002E402A">
        <w:rPr>
          <w:rFonts w:ascii="Times New Roman" w:hAnsi="Times New Roman" w:cs="Times New Roman"/>
          <w:sz w:val="24"/>
          <w:szCs w:val="24"/>
        </w:rPr>
        <w:t xml:space="preserve"> “ölçek etkinliği” bulunur.</w:t>
      </w:r>
      <w:r w:rsidR="003F00FD" w:rsidRPr="002E402A">
        <w:rPr>
          <w:rFonts w:ascii="Times New Roman" w:hAnsi="Times New Roman" w:cs="Times New Roman"/>
          <w:sz w:val="24"/>
          <w:szCs w:val="24"/>
        </w:rPr>
        <w:t xml:space="preserve"> </w:t>
      </w:r>
      <w:r w:rsidR="007210D2" w:rsidRPr="002E402A">
        <w:rPr>
          <w:rFonts w:ascii="Times New Roman" w:hAnsi="Times New Roman" w:cs="Times New Roman"/>
          <w:sz w:val="24"/>
          <w:szCs w:val="24"/>
        </w:rPr>
        <w:t>Karar</w:t>
      </w:r>
      <w:r w:rsidR="003F00FD" w:rsidRPr="002E402A">
        <w:rPr>
          <w:rFonts w:ascii="Times New Roman" w:hAnsi="Times New Roman" w:cs="Times New Roman"/>
          <w:sz w:val="24"/>
          <w:szCs w:val="24"/>
        </w:rPr>
        <w:t xml:space="preserve"> birimi te</w:t>
      </w:r>
      <w:r w:rsidR="001C5ED2" w:rsidRPr="002E402A">
        <w:rPr>
          <w:rFonts w:ascii="Times New Roman" w:hAnsi="Times New Roman" w:cs="Times New Roman"/>
          <w:sz w:val="24"/>
          <w:szCs w:val="24"/>
        </w:rPr>
        <w:t>knik etkinliği korunarak, ölçek</w:t>
      </w:r>
      <w:r w:rsidR="003F00FD" w:rsidRPr="002E402A">
        <w:rPr>
          <w:rFonts w:ascii="Times New Roman" w:hAnsi="Times New Roman" w:cs="Times New Roman"/>
          <w:sz w:val="24"/>
          <w:szCs w:val="24"/>
        </w:rPr>
        <w:t xml:space="preserve"> büyütüldüğü zaman verimliliği artarsa ölçeğe göre artan getiri</w:t>
      </w:r>
      <w:r w:rsidR="001C5ED2" w:rsidRPr="002E402A">
        <w:rPr>
          <w:rFonts w:ascii="Times New Roman" w:hAnsi="Times New Roman" w:cs="Times New Roman"/>
          <w:sz w:val="24"/>
          <w:szCs w:val="24"/>
        </w:rPr>
        <w:t>; ö</w:t>
      </w:r>
      <w:r w:rsidR="003F00FD" w:rsidRPr="002E402A">
        <w:rPr>
          <w:rFonts w:ascii="Times New Roman" w:hAnsi="Times New Roman" w:cs="Times New Roman"/>
          <w:sz w:val="24"/>
          <w:szCs w:val="24"/>
        </w:rPr>
        <w:t xml:space="preserve">lçek küçültülünce verimliliği artarsa ölçeğe göre azalan getiri sağlanır. Üretim sınırında, ölçeğe göre artan, azalan ve sabit getiri aralıklarının birlikte bulunabileceğinin kabulü, ölçeğe göre değişken getiriyi gösterir. Teknik etkinlik, tahsis etkinliği bir araya getirilerek toplam ekonomik etkinlik elde edilmektedir </w:t>
      </w:r>
      <w:r w:rsidR="00D2010F">
        <w:rPr>
          <w:rFonts w:ascii="Times New Roman" w:hAnsi="Times New Roman" w:cs="Times New Roman"/>
          <w:sz w:val="24"/>
          <w:szCs w:val="24"/>
        </w:rPr>
        <w:t>(Benli, 2012:</w:t>
      </w:r>
      <w:r w:rsidR="00C32836" w:rsidRPr="002E402A">
        <w:rPr>
          <w:rFonts w:ascii="Times New Roman" w:hAnsi="Times New Roman" w:cs="Times New Roman"/>
          <w:sz w:val="24"/>
          <w:szCs w:val="24"/>
        </w:rPr>
        <w:t xml:space="preserve"> 376-377)</w:t>
      </w:r>
      <w:r w:rsidR="00D2010F">
        <w:rPr>
          <w:rFonts w:ascii="Times New Roman" w:hAnsi="Times New Roman" w:cs="Times New Roman"/>
          <w:sz w:val="24"/>
          <w:szCs w:val="24"/>
        </w:rPr>
        <w:t>.</w:t>
      </w:r>
    </w:p>
    <w:p w:rsidR="00FE2E01" w:rsidRPr="002E402A" w:rsidRDefault="00353BD0" w:rsidP="00D2010F">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Malmquist </w:t>
      </w:r>
      <w:r w:rsidR="00D2010F" w:rsidRPr="002E402A">
        <w:rPr>
          <w:rFonts w:ascii="Times New Roman" w:hAnsi="Times New Roman" w:cs="Times New Roman"/>
          <w:sz w:val="24"/>
          <w:szCs w:val="24"/>
        </w:rPr>
        <w:t xml:space="preserve">toplam faktör verimliliği endeksi </w:t>
      </w:r>
      <w:r w:rsidRPr="002E402A">
        <w:rPr>
          <w:rFonts w:ascii="Times New Roman" w:hAnsi="Times New Roman" w:cs="Times New Roman"/>
          <w:sz w:val="24"/>
          <w:szCs w:val="24"/>
        </w:rPr>
        <w:t>ölçümü</w:t>
      </w:r>
      <w:r w:rsidR="00A267CC">
        <w:rPr>
          <w:rFonts w:ascii="Times New Roman" w:hAnsi="Times New Roman" w:cs="Times New Roman"/>
          <w:sz w:val="24"/>
          <w:szCs w:val="24"/>
        </w:rPr>
        <w:t xml:space="preserve"> (Akyüz, Yıldız, Kaya, 2013:120</w:t>
      </w:r>
      <w:r w:rsidRPr="002E402A">
        <w:rPr>
          <w:rFonts w:ascii="Times New Roman" w:hAnsi="Times New Roman" w:cs="Times New Roman"/>
          <w:sz w:val="24"/>
          <w:szCs w:val="24"/>
        </w:rPr>
        <w:t xml:space="preserve">), 1982 yılında Caves, Christensen ve Diewert tarafından geliştirilen VZA temelli bir tekniktir. Malmquist Toplam Faktör Verimliliği (TFV) endeksi, ortak teknolojiye göre her bir veri noktasının farklarının oranlarını hesaplayarak, iki veri noktası arasındaki toplam faktör verimliliğindeki değişmeyi ölçmektedir ve bu ölçüm için uzaklık fonksiyonu kullanılmaktadır. </w:t>
      </w:r>
      <w:r w:rsidR="00FE2E01" w:rsidRPr="002E402A">
        <w:rPr>
          <w:rFonts w:ascii="Times New Roman" w:hAnsi="Times New Roman" w:cs="Times New Roman"/>
          <w:sz w:val="24"/>
          <w:szCs w:val="24"/>
        </w:rPr>
        <w:t>Toplam faktör verimliliğindeki değişim endeksi; teknik etkinlikteki değişim değeri ile teknolojik değişim değerinin çarpımından oluş</w:t>
      </w:r>
      <w:r w:rsidR="001053CC" w:rsidRPr="002E402A">
        <w:rPr>
          <w:rFonts w:ascii="Times New Roman" w:hAnsi="Times New Roman" w:cs="Times New Roman"/>
          <w:sz w:val="24"/>
          <w:szCs w:val="24"/>
        </w:rPr>
        <w:t>u</w:t>
      </w:r>
      <w:r w:rsidR="00FE2E01" w:rsidRPr="002E402A">
        <w:rPr>
          <w:rFonts w:ascii="Times New Roman" w:hAnsi="Times New Roman" w:cs="Times New Roman"/>
          <w:sz w:val="24"/>
          <w:szCs w:val="24"/>
        </w:rPr>
        <w:t xml:space="preserve">r. Toplam faktör verimliliği bileşenlerinden teknik etkinlikteki değişme ve teknolojik değişme endekslerinin 1’den büyük olması teknik etkinlikte ve teknolojideki ilerlemeyi </w:t>
      </w:r>
      <w:r w:rsidR="00880B8D" w:rsidRPr="002E402A">
        <w:rPr>
          <w:rFonts w:ascii="Times New Roman" w:hAnsi="Times New Roman" w:cs="Times New Roman"/>
          <w:sz w:val="24"/>
          <w:szCs w:val="24"/>
        </w:rPr>
        <w:t>verirken</w:t>
      </w:r>
      <w:r w:rsidR="00A3024D" w:rsidRPr="002E402A">
        <w:rPr>
          <w:rFonts w:ascii="Times New Roman" w:hAnsi="Times New Roman" w:cs="Times New Roman"/>
          <w:sz w:val="24"/>
          <w:szCs w:val="24"/>
        </w:rPr>
        <w:t xml:space="preserve">, </w:t>
      </w:r>
      <w:r w:rsidR="00FE2E01" w:rsidRPr="002E402A">
        <w:rPr>
          <w:rFonts w:ascii="Times New Roman" w:hAnsi="Times New Roman" w:cs="Times New Roman"/>
          <w:sz w:val="24"/>
          <w:szCs w:val="24"/>
        </w:rPr>
        <w:t>küçük olmaları gerilemeyi gösterir. Teknik etkinlikteki değişme endeksinin 1’den büyük olması işletmenin üretim sınırını yakalama etkisini ve teknolojik değişme endeksinin 1’den büyük olması işletmelerin etkinlik sınırını yu</w:t>
      </w:r>
      <w:r w:rsidR="000C4764"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FE2E01" w:rsidRPr="002E402A">
        <w:rPr>
          <w:rFonts w:ascii="Times New Roman" w:hAnsi="Times New Roman" w:cs="Times New Roman"/>
          <w:sz w:val="24"/>
          <w:szCs w:val="24"/>
        </w:rPr>
        <w:t>ı yönlü hareke</w:t>
      </w:r>
      <w:r w:rsidR="00974FC1" w:rsidRPr="002E402A">
        <w:rPr>
          <w:rFonts w:ascii="Times New Roman" w:hAnsi="Times New Roman" w:cs="Times New Roman"/>
          <w:sz w:val="24"/>
          <w:szCs w:val="24"/>
        </w:rPr>
        <w:t>t ettirmede başarılı olduğunu</w:t>
      </w:r>
      <w:r w:rsidR="00FE2E01" w:rsidRPr="002E402A">
        <w:rPr>
          <w:rFonts w:ascii="Times New Roman" w:hAnsi="Times New Roman" w:cs="Times New Roman"/>
          <w:sz w:val="24"/>
          <w:szCs w:val="24"/>
        </w:rPr>
        <w:t xml:space="preserve"> gösterir. Teknolojideki değişim endeksinin olumsuz yönde değişim göstermesi benzer miktarda girdi kullanılarak üretilebilen çıktı miktarında azalma olduğunu göstermektedir. Teknik etkinlikteki değişme, kendi içerisinde saf teknik etkinlikte değişme ve ölçek etkinliğinde değişme olarak ikiye ayrışmaktadır. Teknik etkinlikteki değişme endeksi, saf teknik etkinlikteki değişme endeksi ile ölçek etkinliğindeki değişme endeksi çarpılmasıyla </w:t>
      </w:r>
      <w:r w:rsidR="00974FC1" w:rsidRPr="002E402A">
        <w:rPr>
          <w:rFonts w:ascii="Times New Roman" w:hAnsi="Times New Roman" w:cs="Times New Roman"/>
          <w:sz w:val="24"/>
          <w:szCs w:val="24"/>
        </w:rPr>
        <w:t>sağlanır</w:t>
      </w:r>
      <w:r w:rsidR="00FE2E01" w:rsidRPr="002E402A">
        <w:rPr>
          <w:rFonts w:ascii="Times New Roman" w:hAnsi="Times New Roman" w:cs="Times New Roman"/>
          <w:sz w:val="24"/>
          <w:szCs w:val="24"/>
        </w:rPr>
        <w:t>. Saf teknik etkinlik yönetsel etkinliği ölçme etkinliği ise</w:t>
      </w:r>
      <w:r w:rsidR="009E166D" w:rsidRPr="002E402A">
        <w:rPr>
          <w:rFonts w:ascii="Times New Roman" w:hAnsi="Times New Roman" w:cs="Times New Roman"/>
          <w:sz w:val="24"/>
          <w:szCs w:val="24"/>
        </w:rPr>
        <w:t>,</w:t>
      </w:r>
      <w:r w:rsidR="00FE2E01" w:rsidRPr="002E402A">
        <w:rPr>
          <w:rFonts w:ascii="Times New Roman" w:hAnsi="Times New Roman" w:cs="Times New Roman"/>
          <w:sz w:val="24"/>
          <w:szCs w:val="24"/>
        </w:rPr>
        <w:t xml:space="preserve"> işletmenin uygun ölçekte çalışıp ça</w:t>
      </w:r>
      <w:r w:rsidR="009E166D" w:rsidRPr="002E402A">
        <w:rPr>
          <w:rFonts w:ascii="Times New Roman" w:hAnsi="Times New Roman" w:cs="Times New Roman"/>
          <w:sz w:val="24"/>
          <w:szCs w:val="24"/>
        </w:rPr>
        <w:t>lışmadığını sorgulamakta, u</w:t>
      </w:r>
      <w:r w:rsidR="00FE2E01" w:rsidRPr="002E402A">
        <w:rPr>
          <w:rFonts w:ascii="Times New Roman" w:hAnsi="Times New Roman" w:cs="Times New Roman"/>
          <w:sz w:val="24"/>
          <w:szCs w:val="24"/>
        </w:rPr>
        <w:t xml:space="preserve">ygun ölçekte üretim </w:t>
      </w:r>
      <w:r w:rsidR="009E166D" w:rsidRPr="002E402A">
        <w:rPr>
          <w:rFonts w:ascii="Times New Roman" w:hAnsi="Times New Roman" w:cs="Times New Roman"/>
          <w:sz w:val="24"/>
          <w:szCs w:val="24"/>
        </w:rPr>
        <w:t>yapma başarısını göstermek</w:t>
      </w:r>
      <w:r w:rsidR="009D09C1" w:rsidRPr="002E402A">
        <w:rPr>
          <w:rFonts w:ascii="Times New Roman" w:hAnsi="Times New Roman" w:cs="Times New Roman"/>
          <w:sz w:val="24"/>
          <w:szCs w:val="24"/>
        </w:rPr>
        <w:t>te</w:t>
      </w:r>
      <w:r w:rsidR="009E166D" w:rsidRPr="002E402A">
        <w:rPr>
          <w:rFonts w:ascii="Times New Roman" w:hAnsi="Times New Roman" w:cs="Times New Roman"/>
          <w:sz w:val="24"/>
          <w:szCs w:val="24"/>
        </w:rPr>
        <w:t xml:space="preserve"> olup, s</w:t>
      </w:r>
      <w:r w:rsidR="00FE2E01" w:rsidRPr="002E402A">
        <w:rPr>
          <w:rFonts w:ascii="Times New Roman" w:hAnsi="Times New Roman" w:cs="Times New Roman"/>
          <w:sz w:val="24"/>
          <w:szCs w:val="24"/>
        </w:rPr>
        <w:t>af teknik etkinlikte olan azalma yönetsel etkinlikte bozulma</w:t>
      </w:r>
      <w:r w:rsidR="009E166D" w:rsidRPr="002E402A">
        <w:rPr>
          <w:rFonts w:ascii="Times New Roman" w:hAnsi="Times New Roman" w:cs="Times New Roman"/>
          <w:sz w:val="24"/>
          <w:szCs w:val="24"/>
        </w:rPr>
        <w:t>yı</w:t>
      </w:r>
      <w:r w:rsidR="00FE2E01" w:rsidRPr="002E402A">
        <w:rPr>
          <w:rFonts w:ascii="Times New Roman" w:hAnsi="Times New Roman" w:cs="Times New Roman"/>
          <w:sz w:val="24"/>
          <w:szCs w:val="24"/>
        </w:rPr>
        <w:t xml:space="preserve"> göstermektedir. Ölçek etkinliğinde gerileme, işletmelerin sorun yaşadıkları anlamındadır. Malmquist toplam faktör verimliliği endeksinin bu unsurlara ayrışması toplam faktör verimliliğindeki artışın ana kaynaklarının tespit edilmesinde önemlidir.</w:t>
      </w:r>
      <w:r w:rsidR="00343437" w:rsidRPr="002E402A">
        <w:rPr>
          <w:rFonts w:ascii="Times New Roman" w:hAnsi="Times New Roman" w:cs="Times New Roman"/>
          <w:sz w:val="24"/>
          <w:szCs w:val="24"/>
        </w:rPr>
        <w:t xml:space="preserve"> </w:t>
      </w:r>
    </w:p>
    <w:p w:rsidR="00F01C9C" w:rsidRPr="007C17F1" w:rsidRDefault="007C17F1" w:rsidP="007C17F1">
      <w:pPr>
        <w:spacing w:line="240" w:lineRule="auto"/>
        <w:rPr>
          <w:rFonts w:ascii="Times New Roman" w:hAnsi="Times New Roman" w:cs="Times New Roman"/>
          <w:b/>
          <w:sz w:val="24"/>
          <w:szCs w:val="24"/>
        </w:rPr>
      </w:pPr>
      <w:r>
        <w:rPr>
          <w:rFonts w:ascii="Times New Roman" w:hAnsi="Times New Roman" w:cs="Times New Roman"/>
          <w:b/>
          <w:sz w:val="24"/>
          <w:szCs w:val="24"/>
        </w:rPr>
        <w:t>4.</w:t>
      </w:r>
      <w:r w:rsidR="00966A51" w:rsidRPr="007C17F1">
        <w:rPr>
          <w:rFonts w:ascii="Times New Roman" w:hAnsi="Times New Roman" w:cs="Times New Roman"/>
          <w:b/>
          <w:sz w:val="24"/>
          <w:szCs w:val="24"/>
        </w:rPr>
        <w:t>ARACI KURUMLARA AİT GENEL DEĞERLENDİR</w:t>
      </w:r>
      <w:r w:rsidR="00E26977" w:rsidRPr="007C17F1">
        <w:rPr>
          <w:rFonts w:ascii="Times New Roman" w:hAnsi="Times New Roman" w:cs="Times New Roman"/>
          <w:b/>
          <w:sz w:val="24"/>
          <w:szCs w:val="24"/>
        </w:rPr>
        <w:t>ME</w:t>
      </w:r>
    </w:p>
    <w:p w:rsidR="00100CEB" w:rsidRPr="002E402A" w:rsidRDefault="003C26E8" w:rsidP="007C17F1">
      <w:pPr>
        <w:spacing w:line="240" w:lineRule="auto"/>
        <w:rPr>
          <w:rFonts w:ascii="Times New Roman" w:hAnsi="Times New Roman" w:cs="Times New Roman"/>
          <w:sz w:val="24"/>
          <w:szCs w:val="24"/>
        </w:rPr>
      </w:pPr>
      <w:r w:rsidRPr="002E402A">
        <w:rPr>
          <w:rFonts w:ascii="Times New Roman" w:hAnsi="Times New Roman" w:cs="Times New Roman"/>
          <w:sz w:val="24"/>
          <w:szCs w:val="24"/>
        </w:rPr>
        <w:t>Bu çalışma kapsamında</w:t>
      </w:r>
      <w:r w:rsidR="00F92A8C" w:rsidRPr="002E402A">
        <w:rPr>
          <w:rFonts w:ascii="Times New Roman" w:hAnsi="Times New Roman" w:cs="Times New Roman"/>
          <w:sz w:val="24"/>
          <w:szCs w:val="24"/>
        </w:rPr>
        <w:t>,</w:t>
      </w:r>
      <w:r w:rsidRPr="002E402A">
        <w:rPr>
          <w:rFonts w:ascii="Times New Roman" w:hAnsi="Times New Roman" w:cs="Times New Roman"/>
          <w:sz w:val="24"/>
          <w:szCs w:val="24"/>
        </w:rPr>
        <w:t xml:space="preserve"> </w:t>
      </w:r>
      <w:r w:rsidR="00100CEB" w:rsidRPr="002E402A">
        <w:rPr>
          <w:rFonts w:ascii="Times New Roman" w:hAnsi="Times New Roman" w:cs="Times New Roman"/>
          <w:sz w:val="24"/>
          <w:szCs w:val="24"/>
        </w:rPr>
        <w:t>2009-2013 yı</w:t>
      </w:r>
      <w:r w:rsidR="00B32203" w:rsidRPr="002E402A">
        <w:rPr>
          <w:rFonts w:ascii="Times New Roman" w:hAnsi="Times New Roman" w:cs="Times New Roman"/>
          <w:sz w:val="24"/>
          <w:szCs w:val="24"/>
        </w:rPr>
        <w:t xml:space="preserve">lları döneminde yıl bazında </w:t>
      </w:r>
      <w:r w:rsidR="00100CEB" w:rsidRPr="002E402A">
        <w:rPr>
          <w:rFonts w:ascii="Times New Roman" w:hAnsi="Times New Roman" w:cs="Times New Roman"/>
          <w:sz w:val="24"/>
          <w:szCs w:val="24"/>
        </w:rPr>
        <w:t>faaliyet göstermiş aracı kurumların bilanço ve gelir tablolarındaki değerlerin</w:t>
      </w:r>
      <w:r w:rsidR="009B7AF4" w:rsidRPr="002E402A">
        <w:rPr>
          <w:rFonts w:ascii="Times New Roman" w:hAnsi="Times New Roman" w:cs="Times New Roman"/>
          <w:sz w:val="24"/>
          <w:szCs w:val="24"/>
        </w:rPr>
        <w:t>e göre değişimleri incelenmiş ve</w:t>
      </w:r>
      <w:r w:rsidR="00100CEB" w:rsidRPr="002E402A">
        <w:rPr>
          <w:rFonts w:ascii="Times New Roman" w:hAnsi="Times New Roman" w:cs="Times New Roman"/>
          <w:sz w:val="24"/>
          <w:szCs w:val="24"/>
        </w:rPr>
        <w:t xml:space="preserve"> </w:t>
      </w:r>
      <w:r w:rsidR="009B7AF4" w:rsidRPr="002E402A">
        <w:rPr>
          <w:rFonts w:ascii="Times New Roman" w:hAnsi="Times New Roman" w:cs="Times New Roman"/>
          <w:sz w:val="24"/>
          <w:szCs w:val="24"/>
        </w:rPr>
        <w:t>p</w:t>
      </w:r>
      <w:r w:rsidR="00100CEB" w:rsidRPr="002E402A">
        <w:rPr>
          <w:rFonts w:ascii="Times New Roman" w:hAnsi="Times New Roman" w:cs="Times New Roman"/>
          <w:sz w:val="24"/>
          <w:szCs w:val="24"/>
        </w:rPr>
        <w:t xml:space="preserve">iyasanın aracı kurum alanındaki genel olarak gelişimi değerlendirilmiştir. </w:t>
      </w:r>
      <w:r w:rsidR="00E15777" w:rsidRPr="002E402A">
        <w:rPr>
          <w:rFonts w:ascii="Times New Roman" w:hAnsi="Times New Roman" w:cs="Times New Roman"/>
          <w:sz w:val="24"/>
          <w:szCs w:val="24"/>
        </w:rPr>
        <w:t xml:space="preserve">2009 yılında 91 </w:t>
      </w:r>
      <w:r w:rsidRPr="002E402A">
        <w:rPr>
          <w:rFonts w:ascii="Times New Roman" w:hAnsi="Times New Roman" w:cs="Times New Roman"/>
          <w:sz w:val="24"/>
          <w:szCs w:val="24"/>
        </w:rPr>
        <w:t>aracı kurum faaliyet gösterirken</w:t>
      </w:r>
      <w:r w:rsidR="006760BD" w:rsidRPr="002E402A">
        <w:rPr>
          <w:rFonts w:ascii="Times New Roman" w:hAnsi="Times New Roman" w:cs="Times New Roman"/>
          <w:sz w:val="24"/>
          <w:szCs w:val="24"/>
        </w:rPr>
        <w:t>,</w:t>
      </w:r>
      <w:r w:rsidR="00E15777" w:rsidRPr="002E402A">
        <w:rPr>
          <w:rFonts w:ascii="Times New Roman" w:hAnsi="Times New Roman" w:cs="Times New Roman"/>
          <w:sz w:val="24"/>
          <w:szCs w:val="24"/>
        </w:rPr>
        <w:t xml:space="preserve"> 2012 yılında</w:t>
      </w:r>
      <w:r w:rsidRPr="002E402A">
        <w:rPr>
          <w:rFonts w:ascii="Times New Roman" w:hAnsi="Times New Roman" w:cs="Times New Roman"/>
          <w:sz w:val="24"/>
          <w:szCs w:val="24"/>
        </w:rPr>
        <w:t xml:space="preserve"> aracı kurum sayısı 97,</w:t>
      </w:r>
      <w:r w:rsidR="00E15777" w:rsidRPr="002E402A">
        <w:rPr>
          <w:rFonts w:ascii="Times New Roman" w:hAnsi="Times New Roman" w:cs="Times New Roman"/>
          <w:sz w:val="24"/>
          <w:szCs w:val="24"/>
        </w:rPr>
        <w:t xml:space="preserve"> 2013 yılında 95 olmuştur. </w:t>
      </w:r>
      <w:r w:rsidR="00093C95" w:rsidRPr="002E402A">
        <w:rPr>
          <w:rFonts w:ascii="Times New Roman" w:hAnsi="Times New Roman" w:cs="Times New Roman"/>
          <w:sz w:val="24"/>
          <w:szCs w:val="24"/>
        </w:rPr>
        <w:t xml:space="preserve">Brüt </w:t>
      </w:r>
      <w:r w:rsidR="007210D2" w:rsidRPr="002E402A">
        <w:rPr>
          <w:rFonts w:ascii="Times New Roman" w:hAnsi="Times New Roman" w:cs="Times New Roman"/>
          <w:sz w:val="24"/>
          <w:szCs w:val="24"/>
        </w:rPr>
        <w:t>kâr</w:t>
      </w:r>
      <w:r w:rsidR="00093C95" w:rsidRPr="002E402A">
        <w:rPr>
          <w:rFonts w:ascii="Times New Roman" w:hAnsi="Times New Roman" w:cs="Times New Roman"/>
          <w:sz w:val="24"/>
          <w:szCs w:val="24"/>
        </w:rPr>
        <w:t xml:space="preserve"> eden aracı kurum sayısındaki artış ile aracı kurum sayısındaki artış aynı paralelde kalmıştır. </w:t>
      </w:r>
      <w:r w:rsidR="006E4BCD" w:rsidRPr="002E402A">
        <w:rPr>
          <w:rFonts w:ascii="Times New Roman" w:hAnsi="Times New Roman" w:cs="Times New Roman"/>
          <w:sz w:val="24"/>
          <w:szCs w:val="24"/>
        </w:rPr>
        <w:t xml:space="preserve">Ancak, net </w:t>
      </w:r>
      <w:r w:rsidR="007210D2" w:rsidRPr="002E402A">
        <w:rPr>
          <w:rFonts w:ascii="Times New Roman" w:hAnsi="Times New Roman" w:cs="Times New Roman"/>
          <w:sz w:val="24"/>
          <w:szCs w:val="24"/>
        </w:rPr>
        <w:t>kâr</w:t>
      </w:r>
      <w:r w:rsidR="006E4BCD" w:rsidRPr="002E402A">
        <w:rPr>
          <w:rFonts w:ascii="Times New Roman" w:hAnsi="Times New Roman" w:cs="Times New Roman"/>
          <w:sz w:val="24"/>
          <w:szCs w:val="24"/>
        </w:rPr>
        <w:t>lardaki</w:t>
      </w:r>
      <w:r w:rsidR="00F92A8C" w:rsidRPr="002E402A">
        <w:rPr>
          <w:rFonts w:ascii="Times New Roman" w:hAnsi="Times New Roman" w:cs="Times New Roman"/>
          <w:sz w:val="24"/>
          <w:szCs w:val="24"/>
        </w:rPr>
        <w:t xml:space="preserve"> değişime bakıldığında 2009-2013</w:t>
      </w:r>
      <w:r w:rsidR="006E4BCD" w:rsidRPr="002E402A">
        <w:rPr>
          <w:rFonts w:ascii="Times New Roman" w:hAnsi="Times New Roman" w:cs="Times New Roman"/>
          <w:sz w:val="24"/>
          <w:szCs w:val="24"/>
        </w:rPr>
        <w:t xml:space="preserve"> yılları döneminde aracı kurum sayısı ve brüt </w:t>
      </w:r>
      <w:r w:rsidR="007210D2" w:rsidRPr="002E402A">
        <w:rPr>
          <w:rFonts w:ascii="Times New Roman" w:hAnsi="Times New Roman" w:cs="Times New Roman"/>
          <w:sz w:val="24"/>
          <w:szCs w:val="24"/>
        </w:rPr>
        <w:t>kâr</w:t>
      </w:r>
      <w:r w:rsidR="006E4BCD" w:rsidRPr="002E402A">
        <w:rPr>
          <w:rFonts w:ascii="Times New Roman" w:hAnsi="Times New Roman" w:cs="Times New Roman"/>
          <w:sz w:val="24"/>
          <w:szCs w:val="24"/>
        </w:rPr>
        <w:t xml:space="preserve"> eden aracı kurum sayısı artarken</w:t>
      </w:r>
      <w:r w:rsidR="006538B9" w:rsidRPr="002E402A">
        <w:rPr>
          <w:rFonts w:ascii="Times New Roman" w:hAnsi="Times New Roman" w:cs="Times New Roman"/>
          <w:sz w:val="24"/>
          <w:szCs w:val="24"/>
        </w:rPr>
        <w:t>,</w:t>
      </w:r>
      <w:r w:rsidR="006E4BCD" w:rsidRPr="002E402A">
        <w:rPr>
          <w:rFonts w:ascii="Times New Roman" w:hAnsi="Times New Roman" w:cs="Times New Roman"/>
          <w:sz w:val="24"/>
          <w:szCs w:val="24"/>
        </w:rPr>
        <w:t xml:space="preserve"> net </w:t>
      </w:r>
      <w:r w:rsidR="007210D2" w:rsidRPr="002E402A">
        <w:rPr>
          <w:rFonts w:ascii="Times New Roman" w:hAnsi="Times New Roman" w:cs="Times New Roman"/>
          <w:sz w:val="24"/>
          <w:szCs w:val="24"/>
        </w:rPr>
        <w:t>kâr</w:t>
      </w:r>
      <w:r w:rsidR="006E4BCD" w:rsidRPr="002E402A">
        <w:rPr>
          <w:rFonts w:ascii="Times New Roman" w:hAnsi="Times New Roman" w:cs="Times New Roman"/>
          <w:sz w:val="24"/>
          <w:szCs w:val="24"/>
        </w:rPr>
        <w:t xml:space="preserve"> </w:t>
      </w:r>
      <w:r w:rsidR="006538B9" w:rsidRPr="002E402A">
        <w:rPr>
          <w:rFonts w:ascii="Times New Roman" w:hAnsi="Times New Roman" w:cs="Times New Roman"/>
          <w:sz w:val="24"/>
          <w:szCs w:val="24"/>
        </w:rPr>
        <w:t xml:space="preserve">elde eden </w:t>
      </w:r>
      <w:r w:rsidR="00451AF0" w:rsidRPr="002E402A">
        <w:rPr>
          <w:rFonts w:ascii="Times New Roman" w:hAnsi="Times New Roman" w:cs="Times New Roman"/>
          <w:sz w:val="24"/>
          <w:szCs w:val="24"/>
        </w:rPr>
        <w:t xml:space="preserve">aracı kurum sayısında </w:t>
      </w:r>
      <w:r w:rsidR="006E4BCD" w:rsidRPr="002E402A">
        <w:rPr>
          <w:rFonts w:ascii="Times New Roman" w:hAnsi="Times New Roman" w:cs="Times New Roman"/>
          <w:sz w:val="24"/>
          <w:szCs w:val="24"/>
        </w:rPr>
        <w:t xml:space="preserve">düşüş yaşanmıştır. </w:t>
      </w:r>
      <w:r w:rsidR="000F1746" w:rsidRPr="002E402A">
        <w:rPr>
          <w:rFonts w:ascii="Times New Roman" w:hAnsi="Times New Roman" w:cs="Times New Roman"/>
          <w:sz w:val="24"/>
          <w:szCs w:val="24"/>
        </w:rPr>
        <w:t>Aynı döne</w:t>
      </w:r>
      <w:r w:rsidR="007C17F1">
        <w:rPr>
          <w:rFonts w:ascii="Times New Roman" w:hAnsi="Times New Roman" w:cs="Times New Roman"/>
          <w:sz w:val="24"/>
          <w:szCs w:val="24"/>
        </w:rPr>
        <w:t>mde, 2009 yılında şube sayısı 6184 iken, 2013 yılında 7</w:t>
      </w:r>
      <w:r w:rsidR="000F1746" w:rsidRPr="002E402A">
        <w:rPr>
          <w:rFonts w:ascii="Times New Roman" w:hAnsi="Times New Roman" w:cs="Times New Roman"/>
          <w:sz w:val="24"/>
          <w:szCs w:val="24"/>
        </w:rPr>
        <w:t>174</w:t>
      </w:r>
      <w:r w:rsidR="002F54E0" w:rsidRPr="002E402A">
        <w:rPr>
          <w:rFonts w:ascii="Times New Roman" w:hAnsi="Times New Roman" w:cs="Times New Roman"/>
          <w:sz w:val="24"/>
          <w:szCs w:val="24"/>
        </w:rPr>
        <w:t>;</w:t>
      </w:r>
      <w:r w:rsidR="007C17F1">
        <w:rPr>
          <w:rFonts w:ascii="Times New Roman" w:hAnsi="Times New Roman" w:cs="Times New Roman"/>
          <w:sz w:val="24"/>
          <w:szCs w:val="24"/>
        </w:rPr>
        <w:t xml:space="preserve"> personel sayısı 2009 yılında 4</w:t>
      </w:r>
      <w:r w:rsidR="000F1746" w:rsidRPr="002E402A">
        <w:rPr>
          <w:rFonts w:ascii="Times New Roman" w:hAnsi="Times New Roman" w:cs="Times New Roman"/>
          <w:sz w:val="24"/>
          <w:szCs w:val="24"/>
        </w:rPr>
        <w:t>175 ve 2013 yılında 5480 olmuş</w:t>
      </w:r>
      <w:r w:rsidR="00CB1F54" w:rsidRPr="002E402A">
        <w:rPr>
          <w:rFonts w:ascii="Times New Roman" w:hAnsi="Times New Roman" w:cs="Times New Roman"/>
          <w:sz w:val="24"/>
          <w:szCs w:val="24"/>
        </w:rPr>
        <w:t>tur.</w:t>
      </w:r>
      <w:r w:rsidR="002F54E0" w:rsidRPr="002E402A">
        <w:rPr>
          <w:rFonts w:ascii="Times New Roman" w:hAnsi="Times New Roman" w:cs="Times New Roman"/>
          <w:sz w:val="24"/>
          <w:szCs w:val="24"/>
        </w:rPr>
        <w:t xml:space="preserve"> 2009 yılında bakiyeli hesap sayısı 529.873 iken 2013 yılında 598.182 olmuş</w:t>
      </w:r>
      <w:r w:rsidR="000F1746" w:rsidRPr="002E402A">
        <w:rPr>
          <w:rFonts w:ascii="Times New Roman" w:hAnsi="Times New Roman" w:cs="Times New Roman"/>
          <w:sz w:val="24"/>
          <w:szCs w:val="24"/>
        </w:rPr>
        <w:t xml:space="preserve"> ve yıllar itibari ile sürekli artış görülmüştür. </w:t>
      </w:r>
      <w:r w:rsidR="00BB4824" w:rsidRPr="002E402A">
        <w:rPr>
          <w:rFonts w:ascii="Times New Roman" w:hAnsi="Times New Roman" w:cs="Times New Roman"/>
          <w:sz w:val="24"/>
          <w:szCs w:val="24"/>
        </w:rPr>
        <w:t>Bu durum,</w:t>
      </w:r>
      <w:r w:rsidR="009E0F3F" w:rsidRPr="002E402A">
        <w:rPr>
          <w:rFonts w:ascii="Times New Roman" w:hAnsi="Times New Roman" w:cs="Times New Roman"/>
          <w:sz w:val="24"/>
          <w:szCs w:val="24"/>
        </w:rPr>
        <w:t xml:space="preserve"> piyasada aracı kurum sayısı, personel sayısı, şube sayısı</w:t>
      </w:r>
      <w:r w:rsidR="002F54E0" w:rsidRPr="002E402A">
        <w:rPr>
          <w:rFonts w:ascii="Times New Roman" w:hAnsi="Times New Roman" w:cs="Times New Roman"/>
          <w:sz w:val="24"/>
          <w:szCs w:val="24"/>
        </w:rPr>
        <w:t xml:space="preserve"> ve bakiyeli hesap sayısı</w:t>
      </w:r>
      <w:r w:rsidR="009E0F3F" w:rsidRPr="002E402A">
        <w:rPr>
          <w:rFonts w:ascii="Times New Roman" w:hAnsi="Times New Roman" w:cs="Times New Roman"/>
          <w:sz w:val="24"/>
          <w:szCs w:val="24"/>
        </w:rPr>
        <w:t xml:space="preserve">na paralel </w:t>
      </w:r>
      <w:r w:rsidR="008E38B0" w:rsidRPr="002E402A">
        <w:rPr>
          <w:rFonts w:ascii="Times New Roman" w:hAnsi="Times New Roman" w:cs="Times New Roman"/>
          <w:sz w:val="24"/>
          <w:szCs w:val="24"/>
        </w:rPr>
        <w:t xml:space="preserve">olarak net </w:t>
      </w:r>
      <w:r w:rsidR="007210D2" w:rsidRPr="002E402A">
        <w:rPr>
          <w:rFonts w:ascii="Times New Roman" w:hAnsi="Times New Roman" w:cs="Times New Roman"/>
          <w:sz w:val="24"/>
          <w:szCs w:val="24"/>
        </w:rPr>
        <w:t>kâr</w:t>
      </w:r>
      <w:r w:rsidR="008E38B0" w:rsidRPr="002E402A">
        <w:rPr>
          <w:rFonts w:ascii="Times New Roman" w:hAnsi="Times New Roman" w:cs="Times New Roman"/>
          <w:sz w:val="24"/>
          <w:szCs w:val="24"/>
        </w:rPr>
        <w:t xml:space="preserve"> toplamında artış olan </w:t>
      </w:r>
      <w:r w:rsidR="009E0F3F" w:rsidRPr="002E402A">
        <w:rPr>
          <w:rFonts w:ascii="Times New Roman" w:hAnsi="Times New Roman" w:cs="Times New Roman"/>
          <w:sz w:val="24"/>
          <w:szCs w:val="24"/>
        </w:rPr>
        <w:t xml:space="preserve">piyasa gelişimi yaşanmadığı şeklinde yorumlanabilir. </w:t>
      </w:r>
      <w:r w:rsidR="00630C24" w:rsidRPr="002E402A">
        <w:rPr>
          <w:rFonts w:ascii="Times New Roman" w:hAnsi="Times New Roman" w:cs="Times New Roman"/>
          <w:sz w:val="24"/>
          <w:szCs w:val="24"/>
        </w:rPr>
        <w:t>Konu olan başlıkların 2009-2013 yılları dö</w:t>
      </w:r>
      <w:r w:rsidR="003C356B" w:rsidRPr="002E402A">
        <w:rPr>
          <w:rFonts w:ascii="Times New Roman" w:hAnsi="Times New Roman" w:cs="Times New Roman"/>
          <w:sz w:val="24"/>
          <w:szCs w:val="24"/>
        </w:rPr>
        <w:t>nemi değişimi Şekil</w:t>
      </w:r>
      <w:r w:rsidR="009F0292" w:rsidRPr="002E402A">
        <w:rPr>
          <w:rFonts w:ascii="Times New Roman" w:hAnsi="Times New Roman" w:cs="Times New Roman"/>
          <w:sz w:val="24"/>
          <w:szCs w:val="24"/>
        </w:rPr>
        <w:t xml:space="preserve"> </w:t>
      </w:r>
      <w:r w:rsidR="003A261C" w:rsidRPr="002E402A">
        <w:rPr>
          <w:rFonts w:ascii="Times New Roman" w:hAnsi="Times New Roman" w:cs="Times New Roman"/>
          <w:sz w:val="24"/>
          <w:szCs w:val="24"/>
        </w:rPr>
        <w:t>1’de</w:t>
      </w:r>
      <w:r w:rsidR="00917782">
        <w:rPr>
          <w:rFonts w:ascii="Times New Roman" w:hAnsi="Times New Roman" w:cs="Times New Roman"/>
          <w:sz w:val="24"/>
          <w:szCs w:val="24"/>
        </w:rPr>
        <w:t xml:space="preserve"> yer almaktadır</w:t>
      </w:r>
      <w:r w:rsidR="00280F66" w:rsidRPr="002E402A">
        <w:rPr>
          <w:rFonts w:ascii="Times New Roman" w:hAnsi="Times New Roman" w:cs="Times New Roman"/>
          <w:sz w:val="24"/>
          <w:szCs w:val="24"/>
        </w:rPr>
        <w:t xml:space="preserve"> (</w:t>
      </w:r>
      <w:r w:rsidR="00B81D72" w:rsidRPr="002E402A">
        <w:rPr>
          <w:rFonts w:ascii="Times New Roman" w:hAnsi="Times New Roman" w:cs="Times New Roman"/>
          <w:sz w:val="24"/>
          <w:szCs w:val="24"/>
        </w:rPr>
        <w:t>Bu bölümdeki tüm veriler, Borsa İstanbul ve Türkiye Sermaye Piyasaları Birliği sayfalarından sağlanan veril</w:t>
      </w:r>
      <w:r w:rsidR="00917782">
        <w:rPr>
          <w:rFonts w:ascii="Times New Roman" w:hAnsi="Times New Roman" w:cs="Times New Roman"/>
          <w:sz w:val="24"/>
          <w:szCs w:val="24"/>
        </w:rPr>
        <w:t>erden derlenerek hazırlanmıştır</w:t>
      </w:r>
      <w:r w:rsidR="00B81D72" w:rsidRPr="002E402A">
        <w:rPr>
          <w:rFonts w:ascii="Times New Roman" w:hAnsi="Times New Roman" w:cs="Times New Roman"/>
          <w:sz w:val="24"/>
          <w:szCs w:val="24"/>
        </w:rPr>
        <w:t>)</w:t>
      </w:r>
      <w:r w:rsidR="00917782">
        <w:rPr>
          <w:rFonts w:ascii="Times New Roman" w:hAnsi="Times New Roman" w:cs="Times New Roman"/>
          <w:sz w:val="24"/>
          <w:szCs w:val="24"/>
        </w:rPr>
        <w:t>.</w:t>
      </w:r>
    </w:p>
    <w:p w:rsidR="005E5D23" w:rsidRPr="002E402A" w:rsidRDefault="005E5D23" w:rsidP="000A7CD7">
      <w:pPr>
        <w:spacing w:line="240" w:lineRule="auto"/>
        <w:ind w:firstLine="567"/>
        <w:rPr>
          <w:rFonts w:ascii="Times New Roman" w:hAnsi="Times New Roman" w:cs="Times New Roman"/>
          <w:b/>
          <w:sz w:val="24"/>
          <w:szCs w:val="24"/>
        </w:rPr>
      </w:pPr>
    </w:p>
    <w:p w:rsidR="005E5D23" w:rsidRPr="002E402A" w:rsidRDefault="005E5D23" w:rsidP="000A7CD7">
      <w:pPr>
        <w:spacing w:line="240" w:lineRule="auto"/>
        <w:ind w:firstLine="567"/>
        <w:rPr>
          <w:rFonts w:ascii="Times New Roman" w:hAnsi="Times New Roman" w:cs="Times New Roman"/>
          <w:b/>
          <w:sz w:val="24"/>
          <w:szCs w:val="24"/>
        </w:rPr>
      </w:pPr>
    </w:p>
    <w:p w:rsidR="00630C24" w:rsidRPr="002E402A" w:rsidRDefault="005E5D23" w:rsidP="000A7CD7">
      <w:pPr>
        <w:spacing w:line="240" w:lineRule="auto"/>
        <w:ind w:left="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552BB542" wp14:editId="08D59632">
            <wp:extent cx="4429125" cy="275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47110" cy="2763200"/>
                    </a:xfrm>
                    <a:prstGeom prst="rect">
                      <a:avLst/>
                    </a:prstGeom>
                    <a:noFill/>
                  </pic:spPr>
                </pic:pic>
              </a:graphicData>
            </a:graphic>
          </wp:inline>
        </w:drawing>
      </w:r>
    </w:p>
    <w:p w:rsidR="009D42D9" w:rsidRPr="002E402A" w:rsidRDefault="009D42D9" w:rsidP="009D42D9">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Şekil 1.  Aracı Kurumların 2009 – 2013 Yılları Dönemi Görüntüsü</w:t>
      </w:r>
    </w:p>
    <w:p w:rsidR="00943C80" w:rsidRPr="002E402A" w:rsidRDefault="00943C80" w:rsidP="000A7CD7">
      <w:pPr>
        <w:spacing w:line="240" w:lineRule="auto"/>
        <w:ind w:firstLine="567"/>
        <w:rPr>
          <w:rFonts w:ascii="Times New Roman" w:hAnsi="Times New Roman" w:cs="Times New Roman"/>
          <w:b/>
          <w:sz w:val="24"/>
          <w:szCs w:val="24"/>
        </w:rPr>
      </w:pPr>
    </w:p>
    <w:p w:rsidR="00F35D8B" w:rsidRPr="002E402A" w:rsidRDefault="005E5D23" w:rsidP="000A7CD7">
      <w:pPr>
        <w:spacing w:line="240" w:lineRule="auto"/>
        <w:ind w:left="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04EFC140" wp14:editId="7CD579DB">
            <wp:extent cx="5372100" cy="3926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28863" cy="3967560"/>
                    </a:xfrm>
                    <a:prstGeom prst="rect">
                      <a:avLst/>
                    </a:prstGeom>
                    <a:noFill/>
                  </pic:spPr>
                </pic:pic>
              </a:graphicData>
            </a:graphic>
          </wp:inline>
        </w:drawing>
      </w:r>
    </w:p>
    <w:p w:rsidR="00F35D8B" w:rsidRPr="002E402A" w:rsidRDefault="00F35D8B" w:rsidP="000A7CD7">
      <w:pPr>
        <w:spacing w:line="240" w:lineRule="auto"/>
        <w:rPr>
          <w:rFonts w:ascii="Times New Roman" w:hAnsi="Times New Roman" w:cs="Times New Roman"/>
          <w:sz w:val="24"/>
          <w:szCs w:val="24"/>
        </w:rPr>
        <w:sectPr w:rsidR="00F35D8B" w:rsidRPr="002E402A" w:rsidSect="00F35D8B">
          <w:footerReference w:type="default" r:id="rId39"/>
          <w:type w:val="continuous"/>
          <w:pgSz w:w="11906" w:h="16838" w:code="9"/>
          <w:pgMar w:top="1701" w:right="1134" w:bottom="1701" w:left="1134" w:header="709" w:footer="709" w:gutter="0"/>
          <w:cols w:space="708"/>
          <w:docGrid w:linePitch="360"/>
        </w:sectPr>
      </w:pPr>
    </w:p>
    <w:p w:rsidR="009D42D9" w:rsidRPr="002E402A" w:rsidRDefault="009D42D9" w:rsidP="009D42D9">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lastRenderedPageBreak/>
        <w:t>Şekil 2. Aracı Kurumların Ana Bilanço Toplamlarındaki Değişim</w:t>
      </w:r>
    </w:p>
    <w:p w:rsidR="009D42D9" w:rsidRDefault="009D42D9" w:rsidP="000A7CD7">
      <w:pPr>
        <w:spacing w:line="240" w:lineRule="auto"/>
        <w:ind w:firstLine="567"/>
        <w:rPr>
          <w:rFonts w:ascii="Times New Roman" w:hAnsi="Times New Roman" w:cs="Times New Roman"/>
          <w:sz w:val="24"/>
          <w:szCs w:val="24"/>
        </w:rPr>
      </w:pPr>
    </w:p>
    <w:p w:rsidR="00D77963" w:rsidRPr="002E402A" w:rsidRDefault="00A34A9B" w:rsidP="000B25DB">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Şekil</w:t>
      </w:r>
      <w:r w:rsidR="00153275" w:rsidRPr="002E402A">
        <w:rPr>
          <w:rFonts w:ascii="Times New Roman" w:hAnsi="Times New Roman" w:cs="Times New Roman"/>
          <w:sz w:val="24"/>
          <w:szCs w:val="24"/>
        </w:rPr>
        <w:t xml:space="preserve"> </w:t>
      </w:r>
      <w:r w:rsidR="009956D8" w:rsidRPr="002E402A">
        <w:rPr>
          <w:rFonts w:ascii="Times New Roman" w:hAnsi="Times New Roman" w:cs="Times New Roman"/>
          <w:sz w:val="24"/>
          <w:szCs w:val="24"/>
        </w:rPr>
        <w:t>2’de</w:t>
      </w:r>
      <w:r w:rsidR="00D77963" w:rsidRPr="002E402A">
        <w:rPr>
          <w:rFonts w:ascii="Times New Roman" w:hAnsi="Times New Roman" w:cs="Times New Roman"/>
          <w:sz w:val="24"/>
          <w:szCs w:val="24"/>
        </w:rPr>
        <w:t xml:space="preserve"> belirtildiği şekilde; tüm aracı kurumların 2009-2013 yılları döneminde, dönen varlıklar toplamında, kısa vadeli yükümlülükler ve özkaynaklar toplamında, toplam varlıklardaki artışa paralel artış yaşanmıştır. </w:t>
      </w:r>
      <w:r w:rsidR="0003601A" w:rsidRPr="002E402A">
        <w:rPr>
          <w:rFonts w:ascii="Times New Roman" w:hAnsi="Times New Roman" w:cs="Times New Roman"/>
          <w:sz w:val="24"/>
          <w:szCs w:val="24"/>
        </w:rPr>
        <w:t>Duran varlıklar toplamı ve uzun vadeli yükümlülükler toplamında yıllar itibariyle toplam varlıklar gibi bir artış yaşanmadığı aynı seviyelerde kaldığı görülmektedir.</w:t>
      </w:r>
    </w:p>
    <w:p w:rsidR="00F82CAF" w:rsidRPr="002E402A" w:rsidRDefault="005E4DA4" w:rsidP="000B25DB">
      <w:pPr>
        <w:spacing w:line="240" w:lineRule="auto"/>
        <w:rPr>
          <w:rFonts w:ascii="Times New Roman" w:hAnsi="Times New Roman" w:cs="Times New Roman"/>
          <w:sz w:val="24"/>
          <w:szCs w:val="24"/>
        </w:rPr>
      </w:pPr>
      <w:r w:rsidRPr="002E402A">
        <w:rPr>
          <w:rFonts w:ascii="Times New Roman" w:hAnsi="Times New Roman" w:cs="Times New Roman"/>
          <w:sz w:val="24"/>
          <w:szCs w:val="24"/>
        </w:rPr>
        <w:t>2009</w:t>
      </w:r>
      <w:r w:rsidR="00AA68E5" w:rsidRPr="002E402A">
        <w:rPr>
          <w:rFonts w:ascii="Times New Roman" w:hAnsi="Times New Roman" w:cs="Times New Roman"/>
          <w:sz w:val="24"/>
          <w:szCs w:val="24"/>
        </w:rPr>
        <w:t xml:space="preserve"> </w:t>
      </w:r>
      <w:r w:rsidRPr="002E402A">
        <w:rPr>
          <w:rFonts w:ascii="Times New Roman" w:hAnsi="Times New Roman" w:cs="Times New Roman"/>
          <w:sz w:val="24"/>
          <w:szCs w:val="24"/>
        </w:rPr>
        <w:t>-</w:t>
      </w:r>
      <w:r w:rsidR="00AA68E5"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2012 yılları döneminde </w:t>
      </w:r>
      <w:r w:rsidR="009C32B0" w:rsidRPr="002E402A">
        <w:rPr>
          <w:rFonts w:ascii="Times New Roman" w:hAnsi="Times New Roman" w:cs="Times New Roman"/>
          <w:sz w:val="24"/>
          <w:szCs w:val="24"/>
        </w:rPr>
        <w:t xml:space="preserve">aracı kurum sayısındaki artışa paralel olarak net satış gelirlerinde artış yaşanmamıştır. </w:t>
      </w:r>
      <w:r w:rsidR="0027122C" w:rsidRPr="002E402A">
        <w:rPr>
          <w:rFonts w:ascii="Times New Roman" w:hAnsi="Times New Roman" w:cs="Times New Roman"/>
          <w:sz w:val="24"/>
          <w:szCs w:val="24"/>
        </w:rPr>
        <w:t>2013 yılında yaşanan net satış gelirlerindeki artış ise pay piyasasındaki işlem hacminde artıştan k</w:t>
      </w:r>
      <w:r w:rsidR="000C4764" w:rsidRPr="002E402A">
        <w:rPr>
          <w:rFonts w:ascii="Times New Roman" w:hAnsi="Times New Roman" w:cs="Times New Roman"/>
          <w:sz w:val="24"/>
          <w:szCs w:val="24"/>
        </w:rPr>
        <w:t>aynaklanmaktadır.</w:t>
      </w:r>
      <w:r w:rsidR="00D102AF" w:rsidRPr="002E402A">
        <w:rPr>
          <w:rFonts w:ascii="Times New Roman" w:hAnsi="Times New Roman" w:cs="Times New Roman"/>
          <w:sz w:val="24"/>
          <w:szCs w:val="24"/>
        </w:rPr>
        <w:t xml:space="preserve"> </w:t>
      </w:r>
      <w:r w:rsidR="003D69B3" w:rsidRPr="002E402A">
        <w:rPr>
          <w:rFonts w:ascii="Times New Roman" w:hAnsi="Times New Roman" w:cs="Times New Roman"/>
          <w:sz w:val="24"/>
          <w:szCs w:val="24"/>
        </w:rPr>
        <w:t>Çizelge</w:t>
      </w:r>
      <w:r w:rsidR="00EB670B" w:rsidRPr="002E402A">
        <w:rPr>
          <w:rFonts w:ascii="Times New Roman" w:hAnsi="Times New Roman" w:cs="Times New Roman"/>
          <w:sz w:val="24"/>
          <w:szCs w:val="24"/>
        </w:rPr>
        <w:t xml:space="preserve"> </w:t>
      </w:r>
      <w:r w:rsidR="00D102AF" w:rsidRPr="002E402A">
        <w:rPr>
          <w:rFonts w:ascii="Times New Roman" w:hAnsi="Times New Roman" w:cs="Times New Roman"/>
          <w:sz w:val="24"/>
          <w:szCs w:val="24"/>
        </w:rPr>
        <w:t>3’de</w:t>
      </w:r>
      <w:r w:rsidR="00036561" w:rsidRPr="002E402A">
        <w:rPr>
          <w:rFonts w:ascii="Times New Roman" w:hAnsi="Times New Roman" w:cs="Times New Roman"/>
          <w:sz w:val="24"/>
          <w:szCs w:val="24"/>
        </w:rPr>
        <w:t xml:space="preserve"> yer aldığı </w:t>
      </w:r>
      <w:r w:rsidR="000B25DB">
        <w:rPr>
          <w:rFonts w:ascii="Times New Roman" w:hAnsi="Times New Roman" w:cs="Times New Roman"/>
          <w:sz w:val="24"/>
          <w:szCs w:val="24"/>
        </w:rPr>
        <w:t>haliyle</w:t>
      </w:r>
      <w:r w:rsidR="00C339A1" w:rsidRPr="002E402A">
        <w:rPr>
          <w:rFonts w:ascii="Times New Roman" w:hAnsi="Times New Roman" w:cs="Times New Roman"/>
          <w:sz w:val="24"/>
          <w:szCs w:val="24"/>
        </w:rPr>
        <w:t>,</w:t>
      </w:r>
      <w:r w:rsidR="00036561" w:rsidRPr="002E402A">
        <w:rPr>
          <w:rFonts w:ascii="Times New Roman" w:hAnsi="Times New Roman" w:cs="Times New Roman"/>
          <w:sz w:val="24"/>
          <w:szCs w:val="24"/>
        </w:rPr>
        <w:t xml:space="preserve"> satışların maliyetleri de satış gelirlerine paralel olarak </w:t>
      </w:r>
      <w:r w:rsidR="009D7AAD" w:rsidRPr="002E402A">
        <w:rPr>
          <w:rFonts w:ascii="Times New Roman" w:hAnsi="Times New Roman" w:cs="Times New Roman"/>
          <w:sz w:val="24"/>
          <w:szCs w:val="24"/>
        </w:rPr>
        <w:t xml:space="preserve">yükselmiştir. </w:t>
      </w:r>
      <w:r w:rsidR="003D69B3" w:rsidRPr="002E402A">
        <w:rPr>
          <w:rFonts w:ascii="Times New Roman" w:hAnsi="Times New Roman" w:cs="Times New Roman"/>
          <w:sz w:val="24"/>
          <w:szCs w:val="24"/>
        </w:rPr>
        <w:t>Çizelge</w:t>
      </w:r>
      <w:r w:rsidR="00930F2B" w:rsidRPr="002E402A">
        <w:rPr>
          <w:rFonts w:ascii="Times New Roman" w:hAnsi="Times New Roman" w:cs="Times New Roman"/>
          <w:sz w:val="24"/>
          <w:szCs w:val="24"/>
        </w:rPr>
        <w:t xml:space="preserve"> </w:t>
      </w:r>
      <w:r w:rsidR="00970C27" w:rsidRPr="002E402A">
        <w:rPr>
          <w:rFonts w:ascii="Times New Roman" w:hAnsi="Times New Roman" w:cs="Times New Roman"/>
          <w:sz w:val="24"/>
          <w:szCs w:val="24"/>
        </w:rPr>
        <w:t xml:space="preserve">5’de yer aldığı </w:t>
      </w:r>
      <w:r w:rsidR="000B25DB">
        <w:rPr>
          <w:rFonts w:ascii="Times New Roman" w:hAnsi="Times New Roman" w:cs="Times New Roman"/>
          <w:sz w:val="24"/>
          <w:szCs w:val="24"/>
        </w:rPr>
        <w:t>haliyle</w:t>
      </w:r>
      <w:r w:rsidR="00970C27" w:rsidRPr="002E402A">
        <w:rPr>
          <w:rFonts w:ascii="Times New Roman" w:hAnsi="Times New Roman" w:cs="Times New Roman"/>
          <w:sz w:val="24"/>
          <w:szCs w:val="24"/>
        </w:rPr>
        <w:t xml:space="preserve">, </w:t>
      </w:r>
      <w:r w:rsidR="002749EF" w:rsidRPr="002E402A">
        <w:rPr>
          <w:rFonts w:ascii="Times New Roman" w:hAnsi="Times New Roman" w:cs="Times New Roman"/>
          <w:sz w:val="24"/>
          <w:szCs w:val="24"/>
        </w:rPr>
        <w:t xml:space="preserve">2009-2013 döneminde, pay piyasası, sabit getirili menkul kıymetler piyasası ve türev işlemler piyasasındaki işlem hacminde olan artışlara paralel olarak </w:t>
      </w:r>
      <w:r w:rsidR="003D69B3" w:rsidRPr="002E402A">
        <w:rPr>
          <w:rFonts w:ascii="Times New Roman" w:hAnsi="Times New Roman" w:cs="Times New Roman"/>
          <w:sz w:val="24"/>
          <w:szCs w:val="24"/>
        </w:rPr>
        <w:t>Çizelge</w:t>
      </w:r>
      <w:r w:rsidR="00930F2B" w:rsidRPr="002E402A">
        <w:rPr>
          <w:rFonts w:ascii="Times New Roman" w:hAnsi="Times New Roman" w:cs="Times New Roman"/>
          <w:sz w:val="24"/>
          <w:szCs w:val="24"/>
        </w:rPr>
        <w:t xml:space="preserve"> </w:t>
      </w:r>
      <w:r w:rsidR="00970C27" w:rsidRPr="002E402A">
        <w:rPr>
          <w:rFonts w:ascii="Times New Roman" w:hAnsi="Times New Roman" w:cs="Times New Roman"/>
          <w:sz w:val="24"/>
          <w:szCs w:val="24"/>
        </w:rPr>
        <w:t xml:space="preserve">6’da görüldüğü gibi </w:t>
      </w:r>
      <w:r w:rsidR="002749EF" w:rsidRPr="002E402A">
        <w:rPr>
          <w:rFonts w:ascii="Times New Roman" w:hAnsi="Times New Roman" w:cs="Times New Roman"/>
          <w:sz w:val="24"/>
          <w:szCs w:val="24"/>
        </w:rPr>
        <w:t xml:space="preserve">brüt dönem </w:t>
      </w:r>
      <w:r w:rsidR="007210D2" w:rsidRPr="002E402A">
        <w:rPr>
          <w:rFonts w:ascii="Times New Roman" w:hAnsi="Times New Roman" w:cs="Times New Roman"/>
          <w:sz w:val="24"/>
          <w:szCs w:val="24"/>
        </w:rPr>
        <w:t>kâr</w:t>
      </w:r>
      <w:r w:rsidR="002749EF" w:rsidRPr="002E402A">
        <w:rPr>
          <w:rFonts w:ascii="Times New Roman" w:hAnsi="Times New Roman" w:cs="Times New Roman"/>
          <w:sz w:val="24"/>
          <w:szCs w:val="24"/>
        </w:rPr>
        <w:t xml:space="preserve">ında artış yaşanmıştır. Ancak, </w:t>
      </w:r>
      <w:r w:rsidR="003D69B3" w:rsidRPr="002E402A">
        <w:rPr>
          <w:rFonts w:ascii="Times New Roman" w:hAnsi="Times New Roman" w:cs="Times New Roman"/>
          <w:sz w:val="24"/>
          <w:szCs w:val="24"/>
        </w:rPr>
        <w:t xml:space="preserve">Çizelge </w:t>
      </w:r>
      <w:r w:rsidR="005C329A" w:rsidRPr="002E402A">
        <w:rPr>
          <w:rFonts w:ascii="Times New Roman" w:hAnsi="Times New Roman" w:cs="Times New Roman"/>
          <w:sz w:val="24"/>
          <w:szCs w:val="24"/>
        </w:rPr>
        <w:t xml:space="preserve">6’da görüldüğü gibi, </w:t>
      </w:r>
      <w:r w:rsidR="002749EF" w:rsidRPr="002E402A">
        <w:rPr>
          <w:rFonts w:ascii="Times New Roman" w:hAnsi="Times New Roman" w:cs="Times New Roman"/>
          <w:sz w:val="24"/>
          <w:szCs w:val="24"/>
        </w:rPr>
        <w:t xml:space="preserve">faaliyet giderleri, genel yönetim giderleri ve personel ücret giderlerindeki </w:t>
      </w:r>
      <w:r w:rsidR="001D33DC" w:rsidRPr="002E402A">
        <w:rPr>
          <w:rFonts w:ascii="Times New Roman" w:hAnsi="Times New Roman" w:cs="Times New Roman"/>
          <w:sz w:val="24"/>
          <w:szCs w:val="24"/>
        </w:rPr>
        <w:t>her yıl yaşanan artış trendi</w:t>
      </w:r>
      <w:r w:rsidR="005C329A" w:rsidRPr="002E402A">
        <w:rPr>
          <w:rFonts w:ascii="Times New Roman" w:hAnsi="Times New Roman" w:cs="Times New Roman"/>
          <w:sz w:val="24"/>
          <w:szCs w:val="24"/>
        </w:rPr>
        <w:t xml:space="preserve"> vardır. K</w:t>
      </w:r>
      <w:r w:rsidR="001D33DC" w:rsidRPr="002E402A">
        <w:rPr>
          <w:rFonts w:ascii="Times New Roman" w:hAnsi="Times New Roman" w:cs="Times New Roman"/>
          <w:sz w:val="24"/>
          <w:szCs w:val="24"/>
        </w:rPr>
        <w:t>omisyon kazançlarında, işlem hacminde</w:t>
      </w:r>
      <w:r w:rsidR="005C329A" w:rsidRPr="002E402A">
        <w:rPr>
          <w:rFonts w:ascii="Times New Roman" w:hAnsi="Times New Roman" w:cs="Times New Roman"/>
          <w:sz w:val="24"/>
          <w:szCs w:val="24"/>
        </w:rPr>
        <w:t xml:space="preserve"> ve giderlerde</w:t>
      </w:r>
      <w:r w:rsidR="001D33DC" w:rsidRPr="002E402A">
        <w:rPr>
          <w:rFonts w:ascii="Times New Roman" w:hAnsi="Times New Roman" w:cs="Times New Roman"/>
          <w:sz w:val="24"/>
          <w:szCs w:val="24"/>
        </w:rPr>
        <w:t xml:space="preserve"> artışın aksine düşüş</w:t>
      </w:r>
      <w:r w:rsidR="00A70E5E" w:rsidRPr="002E402A">
        <w:rPr>
          <w:rFonts w:ascii="Times New Roman" w:hAnsi="Times New Roman" w:cs="Times New Roman"/>
          <w:sz w:val="24"/>
          <w:szCs w:val="24"/>
        </w:rPr>
        <w:t xml:space="preserve"> </w:t>
      </w:r>
      <w:r w:rsidR="000C4764" w:rsidRPr="002E402A">
        <w:rPr>
          <w:rFonts w:ascii="Times New Roman" w:hAnsi="Times New Roman" w:cs="Times New Roman"/>
          <w:sz w:val="24"/>
          <w:szCs w:val="24"/>
        </w:rPr>
        <w:t>yaşanmıştır</w:t>
      </w:r>
      <w:r w:rsidR="00A70E5E" w:rsidRPr="002E402A">
        <w:rPr>
          <w:rFonts w:ascii="Times New Roman" w:hAnsi="Times New Roman" w:cs="Times New Roman"/>
          <w:sz w:val="24"/>
          <w:szCs w:val="24"/>
        </w:rPr>
        <w:t xml:space="preserve">. Ayrıca, komisyon kazançlarında ve giderlerdeki artışa paralel olarak </w:t>
      </w:r>
      <w:r w:rsidR="001D33DC" w:rsidRPr="002E402A">
        <w:rPr>
          <w:rFonts w:ascii="Times New Roman" w:hAnsi="Times New Roman" w:cs="Times New Roman"/>
          <w:sz w:val="24"/>
          <w:szCs w:val="24"/>
        </w:rPr>
        <w:t xml:space="preserve">net </w:t>
      </w:r>
      <w:r w:rsidR="007210D2" w:rsidRPr="002E402A">
        <w:rPr>
          <w:rFonts w:ascii="Times New Roman" w:hAnsi="Times New Roman" w:cs="Times New Roman"/>
          <w:sz w:val="24"/>
          <w:szCs w:val="24"/>
        </w:rPr>
        <w:t>kâr</w:t>
      </w:r>
      <w:r w:rsidR="001D33DC" w:rsidRPr="002E402A">
        <w:rPr>
          <w:rFonts w:ascii="Times New Roman" w:hAnsi="Times New Roman" w:cs="Times New Roman"/>
          <w:sz w:val="24"/>
          <w:szCs w:val="24"/>
        </w:rPr>
        <w:t xml:space="preserve">larda </w:t>
      </w:r>
      <w:r w:rsidR="00A70E5E" w:rsidRPr="002E402A">
        <w:rPr>
          <w:rFonts w:ascii="Times New Roman" w:hAnsi="Times New Roman" w:cs="Times New Roman"/>
          <w:sz w:val="24"/>
          <w:szCs w:val="24"/>
        </w:rPr>
        <w:t xml:space="preserve">ve </w:t>
      </w:r>
      <w:r w:rsidR="001D33DC" w:rsidRPr="002E402A">
        <w:rPr>
          <w:rFonts w:ascii="Times New Roman" w:hAnsi="Times New Roman" w:cs="Times New Roman"/>
          <w:sz w:val="24"/>
          <w:szCs w:val="24"/>
        </w:rPr>
        <w:t xml:space="preserve">brüt </w:t>
      </w:r>
      <w:r w:rsidR="007210D2" w:rsidRPr="002E402A">
        <w:rPr>
          <w:rFonts w:ascii="Times New Roman" w:hAnsi="Times New Roman" w:cs="Times New Roman"/>
          <w:sz w:val="24"/>
          <w:szCs w:val="24"/>
        </w:rPr>
        <w:t>kâr</w:t>
      </w:r>
      <w:r w:rsidR="001D33DC" w:rsidRPr="002E402A">
        <w:rPr>
          <w:rFonts w:ascii="Times New Roman" w:hAnsi="Times New Roman" w:cs="Times New Roman"/>
          <w:sz w:val="24"/>
          <w:szCs w:val="24"/>
        </w:rPr>
        <w:t>larda artış yaşanmam</w:t>
      </w:r>
      <w:r w:rsidR="00A70E5E" w:rsidRPr="002E402A">
        <w:rPr>
          <w:rFonts w:ascii="Times New Roman" w:hAnsi="Times New Roman" w:cs="Times New Roman"/>
          <w:sz w:val="24"/>
          <w:szCs w:val="24"/>
        </w:rPr>
        <w:t>ıştır.</w:t>
      </w:r>
      <w:r w:rsidR="000C4764" w:rsidRPr="002E402A">
        <w:rPr>
          <w:rFonts w:ascii="Times New Roman" w:hAnsi="Times New Roman" w:cs="Times New Roman"/>
          <w:sz w:val="24"/>
          <w:szCs w:val="24"/>
        </w:rPr>
        <w:t xml:space="preserve"> Faaliyet giderleri ve </w:t>
      </w:r>
      <w:r w:rsidR="001D33DC" w:rsidRPr="002E402A">
        <w:rPr>
          <w:rFonts w:ascii="Times New Roman" w:hAnsi="Times New Roman" w:cs="Times New Roman"/>
          <w:sz w:val="24"/>
          <w:szCs w:val="24"/>
        </w:rPr>
        <w:t>genel yönetim giderlerinde</w:t>
      </w:r>
      <w:r w:rsidR="000C4764" w:rsidRPr="002E402A">
        <w:rPr>
          <w:rFonts w:ascii="Times New Roman" w:hAnsi="Times New Roman" w:cs="Times New Roman"/>
          <w:sz w:val="24"/>
          <w:szCs w:val="24"/>
        </w:rPr>
        <w:t>ki</w:t>
      </w:r>
      <w:r w:rsidR="001D33DC" w:rsidRPr="002E402A">
        <w:rPr>
          <w:rFonts w:ascii="Times New Roman" w:hAnsi="Times New Roman" w:cs="Times New Roman"/>
          <w:sz w:val="24"/>
          <w:szCs w:val="24"/>
        </w:rPr>
        <w:t xml:space="preserve"> artış</w:t>
      </w:r>
      <w:r w:rsidR="000C4764" w:rsidRPr="002E402A">
        <w:rPr>
          <w:rFonts w:ascii="Times New Roman" w:hAnsi="Times New Roman" w:cs="Times New Roman"/>
          <w:sz w:val="24"/>
          <w:szCs w:val="24"/>
        </w:rPr>
        <w:t>,</w:t>
      </w:r>
      <w:r w:rsidR="001D33DC" w:rsidRPr="002E402A">
        <w:rPr>
          <w:rFonts w:ascii="Times New Roman" w:hAnsi="Times New Roman" w:cs="Times New Roman"/>
          <w:sz w:val="24"/>
          <w:szCs w:val="24"/>
        </w:rPr>
        <w:t xml:space="preserve"> aracı kurum sayısı, personel sayısı ve şube sayılarındaki artışlara paralel artış göstermiştir. Ancak,</w:t>
      </w:r>
      <w:r w:rsidR="00CB7DA3" w:rsidRPr="002E402A">
        <w:rPr>
          <w:rFonts w:ascii="Times New Roman" w:hAnsi="Times New Roman" w:cs="Times New Roman"/>
          <w:sz w:val="24"/>
          <w:szCs w:val="24"/>
        </w:rPr>
        <w:t xml:space="preserve"> piyasa büyür</w:t>
      </w:r>
      <w:r w:rsidR="00BD0E94" w:rsidRPr="002E402A">
        <w:rPr>
          <w:rFonts w:ascii="Times New Roman" w:hAnsi="Times New Roman" w:cs="Times New Roman"/>
          <w:sz w:val="24"/>
          <w:szCs w:val="24"/>
        </w:rPr>
        <w:t>ken</w:t>
      </w:r>
      <w:r w:rsidR="00CB7DA3" w:rsidRPr="002E402A">
        <w:rPr>
          <w:rFonts w:ascii="Times New Roman" w:hAnsi="Times New Roman" w:cs="Times New Roman"/>
          <w:sz w:val="24"/>
          <w:szCs w:val="24"/>
        </w:rPr>
        <w:t>,</w:t>
      </w:r>
      <w:r w:rsidR="001D33DC" w:rsidRPr="002E402A">
        <w:rPr>
          <w:rFonts w:ascii="Times New Roman" w:hAnsi="Times New Roman" w:cs="Times New Roman"/>
          <w:sz w:val="24"/>
          <w:szCs w:val="24"/>
        </w:rPr>
        <w:t xml:space="preserve"> </w:t>
      </w:r>
      <w:r w:rsidR="00DC2B11" w:rsidRPr="002E402A">
        <w:rPr>
          <w:rFonts w:ascii="Times New Roman" w:hAnsi="Times New Roman" w:cs="Times New Roman"/>
          <w:sz w:val="24"/>
          <w:szCs w:val="24"/>
        </w:rPr>
        <w:t>işlem hac</w:t>
      </w:r>
      <w:r w:rsidR="002258D5" w:rsidRPr="002E402A">
        <w:rPr>
          <w:rFonts w:ascii="Times New Roman" w:hAnsi="Times New Roman" w:cs="Times New Roman"/>
          <w:sz w:val="24"/>
          <w:szCs w:val="24"/>
        </w:rPr>
        <w:t>i</w:t>
      </w:r>
      <w:r w:rsidR="00DC2B11" w:rsidRPr="002E402A">
        <w:rPr>
          <w:rFonts w:ascii="Times New Roman" w:hAnsi="Times New Roman" w:cs="Times New Roman"/>
          <w:sz w:val="24"/>
          <w:szCs w:val="24"/>
        </w:rPr>
        <w:t>mleri artarken net komisyon gelirlerinde</w:t>
      </w:r>
      <w:r w:rsidR="002258D5" w:rsidRPr="002E402A">
        <w:rPr>
          <w:rFonts w:ascii="Times New Roman" w:hAnsi="Times New Roman" w:cs="Times New Roman"/>
          <w:sz w:val="24"/>
          <w:szCs w:val="24"/>
        </w:rPr>
        <w:t xml:space="preserve"> artış yaşanamaması</w:t>
      </w:r>
      <w:r w:rsidR="00DC2B11" w:rsidRPr="002E402A">
        <w:rPr>
          <w:rFonts w:ascii="Times New Roman" w:hAnsi="Times New Roman" w:cs="Times New Roman"/>
          <w:sz w:val="24"/>
          <w:szCs w:val="24"/>
        </w:rPr>
        <w:t>, sermaye piyasasında gelir pastasının büyümediği, komisyon rekabetinin yaşandığı, komisyon indirimlerinin yüksek olduğu şeklinde yorumlanabilir.</w:t>
      </w:r>
      <w:r w:rsidR="00CB7DA3" w:rsidRPr="002E402A">
        <w:rPr>
          <w:rFonts w:ascii="Times New Roman" w:hAnsi="Times New Roman" w:cs="Times New Roman"/>
          <w:sz w:val="24"/>
          <w:szCs w:val="24"/>
        </w:rPr>
        <w:t xml:space="preserve"> 2009-2013 yılları döneminde yabancı işlem hacmi payının da sürekli yükselişte olduğu belirlenmektedir.</w:t>
      </w:r>
    </w:p>
    <w:p w:rsidR="00D82A3F" w:rsidRPr="002E402A" w:rsidRDefault="00D82A3F" w:rsidP="000A7CD7">
      <w:pPr>
        <w:spacing w:line="240" w:lineRule="auto"/>
        <w:rPr>
          <w:rFonts w:ascii="Times New Roman" w:hAnsi="Times New Roman" w:cs="Times New Roman"/>
          <w:sz w:val="24"/>
          <w:szCs w:val="24"/>
        </w:rPr>
        <w:sectPr w:rsidR="00D82A3F" w:rsidRPr="002E402A" w:rsidSect="00D82A3F">
          <w:footerReference w:type="default" r:id="rId40"/>
          <w:type w:val="continuous"/>
          <w:pgSz w:w="11906" w:h="16838" w:code="9"/>
          <w:pgMar w:top="1701" w:right="1134" w:bottom="1701" w:left="1701" w:header="708" w:footer="708" w:gutter="0"/>
          <w:cols w:space="720"/>
          <w:docGrid w:linePitch="360"/>
        </w:sectPr>
      </w:pPr>
    </w:p>
    <w:p w:rsidR="0069018B" w:rsidRDefault="0069018B" w:rsidP="0069018B">
      <w:pPr>
        <w:spacing w:line="240" w:lineRule="auto"/>
        <w:ind w:firstLine="567"/>
        <w:jc w:val="left"/>
        <w:rPr>
          <w:rFonts w:ascii="Times New Roman" w:hAnsi="Times New Roman" w:cs="Times New Roman"/>
          <w:b/>
          <w:sz w:val="24"/>
          <w:szCs w:val="24"/>
        </w:rPr>
      </w:pPr>
    </w:p>
    <w:p w:rsidR="0069018B" w:rsidRDefault="0069018B" w:rsidP="0069018B">
      <w:pPr>
        <w:spacing w:line="240" w:lineRule="auto"/>
        <w:ind w:firstLine="567"/>
        <w:jc w:val="left"/>
        <w:rPr>
          <w:rFonts w:ascii="Times New Roman" w:hAnsi="Times New Roman" w:cs="Times New Roman"/>
          <w:b/>
          <w:sz w:val="24"/>
          <w:szCs w:val="24"/>
        </w:rPr>
      </w:pPr>
      <w:r w:rsidRPr="002E402A">
        <w:rPr>
          <w:rFonts w:ascii="Times New Roman" w:hAnsi="Times New Roman" w:cs="Times New Roman"/>
          <w:noProof/>
          <w:sz w:val="24"/>
          <w:szCs w:val="24"/>
          <w:lang w:eastAsia="tr-TR"/>
        </w:rPr>
        <w:drawing>
          <wp:inline distT="0" distB="0" distL="0" distR="0" wp14:anchorId="4EDC1125" wp14:editId="6B8A8D42">
            <wp:extent cx="3204058" cy="2154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11656" cy="2159806"/>
                    </a:xfrm>
                    <a:prstGeom prst="rect">
                      <a:avLst/>
                    </a:prstGeom>
                    <a:noFill/>
                  </pic:spPr>
                </pic:pic>
              </a:graphicData>
            </a:graphic>
          </wp:inline>
        </w:drawing>
      </w:r>
    </w:p>
    <w:p w:rsidR="0069018B" w:rsidRPr="002E402A" w:rsidRDefault="0069018B" w:rsidP="0069018B">
      <w:pPr>
        <w:spacing w:line="240" w:lineRule="auto"/>
        <w:ind w:firstLine="567"/>
        <w:jc w:val="center"/>
        <w:rPr>
          <w:rFonts w:ascii="Times New Roman" w:hAnsi="Times New Roman" w:cs="Times New Roman"/>
          <w:sz w:val="24"/>
          <w:szCs w:val="24"/>
        </w:rPr>
        <w:sectPr w:rsidR="0069018B" w:rsidRPr="002E402A" w:rsidSect="00035041">
          <w:footerReference w:type="default" r:id="rId42"/>
          <w:type w:val="continuous"/>
          <w:pgSz w:w="11906" w:h="16838" w:code="9"/>
          <w:pgMar w:top="1701" w:right="1134" w:bottom="1701" w:left="1134" w:header="708" w:footer="708" w:gutter="0"/>
          <w:cols w:space="708"/>
          <w:docGrid w:linePitch="360"/>
        </w:sectPr>
      </w:pPr>
      <w:r w:rsidRPr="002E402A">
        <w:rPr>
          <w:rFonts w:ascii="Times New Roman" w:hAnsi="Times New Roman" w:cs="Times New Roman"/>
          <w:b/>
          <w:sz w:val="24"/>
          <w:szCs w:val="24"/>
        </w:rPr>
        <w:t>Şekil 3.</w:t>
      </w:r>
      <w:r w:rsidRPr="002E402A">
        <w:rPr>
          <w:rFonts w:ascii="Times New Roman" w:hAnsi="Times New Roman" w:cs="Times New Roman"/>
          <w:sz w:val="24"/>
          <w:szCs w:val="24"/>
        </w:rPr>
        <w:t xml:space="preserve"> </w:t>
      </w:r>
      <w:r w:rsidRPr="002E402A">
        <w:rPr>
          <w:rFonts w:ascii="Times New Roman" w:hAnsi="Times New Roman" w:cs="Times New Roman"/>
          <w:b/>
          <w:sz w:val="24"/>
          <w:szCs w:val="24"/>
        </w:rPr>
        <w:t>Aracı Kurumların 2009 – 2013 Yılları Döneminde Gelir ve Maliyet Bilgileri</w:t>
      </w:r>
    </w:p>
    <w:p w:rsidR="00171524" w:rsidRPr="002E402A" w:rsidRDefault="00171524" w:rsidP="0069018B">
      <w:pPr>
        <w:spacing w:line="240" w:lineRule="auto"/>
        <w:jc w:val="center"/>
        <w:rPr>
          <w:rFonts w:ascii="Times New Roman" w:hAnsi="Times New Roman" w:cs="Times New Roman"/>
          <w:sz w:val="24"/>
          <w:szCs w:val="24"/>
        </w:rPr>
      </w:pPr>
    </w:p>
    <w:p w:rsidR="0069018B" w:rsidRPr="002E402A" w:rsidRDefault="00F82CAF" w:rsidP="0069018B">
      <w:pPr>
        <w:spacing w:line="240" w:lineRule="auto"/>
        <w:rPr>
          <w:rFonts w:ascii="Times New Roman" w:hAnsi="Times New Roman" w:cs="Times New Roman"/>
          <w:b/>
          <w:sz w:val="24"/>
          <w:szCs w:val="24"/>
        </w:rPr>
      </w:pPr>
      <w:r w:rsidRPr="002E402A">
        <w:rPr>
          <w:rFonts w:ascii="Times New Roman" w:hAnsi="Times New Roman" w:cs="Times New Roman"/>
          <w:sz w:val="24"/>
          <w:szCs w:val="24"/>
        </w:rPr>
        <w:t xml:space="preserve"> </w:t>
      </w:r>
      <w:r w:rsidR="00D82A3F" w:rsidRPr="002E402A">
        <w:rPr>
          <w:rFonts w:ascii="Times New Roman" w:hAnsi="Times New Roman" w:cs="Times New Roman"/>
          <w:sz w:val="24"/>
          <w:szCs w:val="24"/>
        </w:rPr>
        <w:tab/>
      </w:r>
    </w:p>
    <w:p w:rsidR="00D82A3F" w:rsidRPr="002E402A" w:rsidRDefault="00D82A3F" w:rsidP="000A7CD7">
      <w:pPr>
        <w:spacing w:line="240" w:lineRule="auto"/>
        <w:rPr>
          <w:rFonts w:ascii="Times New Roman" w:hAnsi="Times New Roman" w:cs="Times New Roman"/>
          <w:b/>
          <w:sz w:val="24"/>
          <w:szCs w:val="24"/>
        </w:rPr>
      </w:pPr>
      <w:r w:rsidRPr="002E402A">
        <w:rPr>
          <w:rFonts w:ascii="Times New Roman" w:hAnsi="Times New Roman" w:cs="Times New Roman"/>
          <w:b/>
          <w:sz w:val="24"/>
          <w:szCs w:val="24"/>
        </w:rPr>
        <w:lastRenderedPageBreak/>
        <w:tab/>
      </w:r>
      <w:r w:rsidR="008F6832" w:rsidRPr="002E402A">
        <w:rPr>
          <w:rFonts w:ascii="Times New Roman" w:hAnsi="Times New Roman" w:cs="Times New Roman"/>
          <w:noProof/>
          <w:sz w:val="24"/>
          <w:szCs w:val="24"/>
          <w:lang w:eastAsia="tr-TR"/>
        </w:rPr>
        <w:drawing>
          <wp:inline distT="0" distB="0" distL="0" distR="0" wp14:anchorId="53D3634D" wp14:editId="6F956AD8">
            <wp:extent cx="3148716" cy="20398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73417" cy="2055895"/>
                    </a:xfrm>
                    <a:prstGeom prst="rect">
                      <a:avLst/>
                    </a:prstGeom>
                    <a:noFill/>
                  </pic:spPr>
                </pic:pic>
              </a:graphicData>
            </a:graphic>
          </wp:inline>
        </w:drawing>
      </w:r>
    </w:p>
    <w:p w:rsidR="0069018B" w:rsidRPr="002E402A" w:rsidRDefault="0069018B" w:rsidP="0069018B">
      <w:pPr>
        <w:spacing w:line="240" w:lineRule="auto"/>
        <w:jc w:val="center"/>
        <w:rPr>
          <w:rFonts w:ascii="Times New Roman" w:hAnsi="Times New Roman" w:cs="Times New Roman"/>
          <w:b/>
          <w:sz w:val="24"/>
          <w:szCs w:val="24"/>
        </w:rPr>
      </w:pPr>
      <w:r w:rsidRPr="002E402A">
        <w:rPr>
          <w:rFonts w:ascii="Times New Roman" w:hAnsi="Times New Roman" w:cs="Times New Roman"/>
          <w:b/>
          <w:sz w:val="24"/>
          <w:szCs w:val="24"/>
        </w:rPr>
        <w:t>Şekil 4.</w:t>
      </w:r>
      <w:r w:rsidRPr="002E402A">
        <w:rPr>
          <w:rFonts w:ascii="Times New Roman" w:hAnsi="Times New Roman" w:cs="Times New Roman"/>
          <w:sz w:val="24"/>
          <w:szCs w:val="24"/>
        </w:rPr>
        <w:t xml:space="preserve"> </w:t>
      </w:r>
      <w:r w:rsidRPr="002E402A">
        <w:rPr>
          <w:rFonts w:ascii="Times New Roman" w:hAnsi="Times New Roman" w:cs="Times New Roman"/>
          <w:b/>
          <w:sz w:val="24"/>
          <w:szCs w:val="24"/>
        </w:rPr>
        <w:t>Aracı Kurumların 2009 – 2013 Yılları Döneminde Net Dönem Kârı ve Zararı Bilgileri</w:t>
      </w:r>
    </w:p>
    <w:p w:rsidR="00D82A3F" w:rsidRPr="002E402A" w:rsidRDefault="008F6832"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5230D38F" wp14:editId="3630EECA">
            <wp:extent cx="3220279" cy="20772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43720" cy="2092328"/>
                    </a:xfrm>
                    <a:prstGeom prst="rect">
                      <a:avLst/>
                    </a:prstGeom>
                    <a:noFill/>
                  </pic:spPr>
                </pic:pic>
              </a:graphicData>
            </a:graphic>
          </wp:inline>
        </w:drawing>
      </w:r>
    </w:p>
    <w:p w:rsidR="0069018B" w:rsidRPr="002E402A" w:rsidRDefault="0069018B" w:rsidP="0069018B">
      <w:pPr>
        <w:spacing w:line="240" w:lineRule="auto"/>
        <w:ind w:left="567"/>
        <w:jc w:val="center"/>
        <w:rPr>
          <w:rFonts w:ascii="Times New Roman" w:hAnsi="Times New Roman" w:cs="Times New Roman"/>
          <w:sz w:val="24"/>
          <w:szCs w:val="24"/>
        </w:rPr>
      </w:pPr>
      <w:r w:rsidRPr="002E402A">
        <w:rPr>
          <w:rFonts w:ascii="Times New Roman" w:hAnsi="Times New Roman" w:cs="Times New Roman"/>
          <w:b/>
          <w:sz w:val="24"/>
          <w:szCs w:val="24"/>
        </w:rPr>
        <w:t>Şekil 5.</w:t>
      </w:r>
      <w:r w:rsidRPr="002E402A">
        <w:rPr>
          <w:rFonts w:ascii="Times New Roman" w:hAnsi="Times New Roman" w:cs="Times New Roman"/>
          <w:sz w:val="24"/>
          <w:szCs w:val="24"/>
        </w:rPr>
        <w:t xml:space="preserve"> </w:t>
      </w:r>
      <w:r w:rsidRPr="002E402A">
        <w:rPr>
          <w:rFonts w:ascii="Times New Roman" w:hAnsi="Times New Roman" w:cs="Times New Roman"/>
          <w:b/>
          <w:sz w:val="24"/>
          <w:szCs w:val="24"/>
        </w:rPr>
        <w:t>Aracı Kurumların 2009 – 2013 Yılları Döneminde Hisse, Sabit Getirili Menkul Kıymet ve Vadeli İşlem Piyasası Hacim Bilgileri</w:t>
      </w:r>
    </w:p>
    <w:p w:rsidR="0069018B" w:rsidRDefault="0069018B" w:rsidP="000A7CD7">
      <w:pPr>
        <w:spacing w:line="240" w:lineRule="auto"/>
        <w:ind w:left="567"/>
        <w:rPr>
          <w:rFonts w:ascii="Times New Roman" w:hAnsi="Times New Roman" w:cs="Times New Roman"/>
          <w:b/>
          <w:sz w:val="24"/>
          <w:szCs w:val="24"/>
        </w:rPr>
      </w:pPr>
    </w:p>
    <w:p w:rsidR="008F6832" w:rsidRPr="002E402A" w:rsidRDefault="008F6832"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0E458D0F" wp14:editId="1D412B7A">
            <wp:extent cx="3304540" cy="2121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04540" cy="2121535"/>
                    </a:xfrm>
                    <a:prstGeom prst="rect">
                      <a:avLst/>
                    </a:prstGeom>
                    <a:noFill/>
                  </pic:spPr>
                </pic:pic>
              </a:graphicData>
            </a:graphic>
          </wp:inline>
        </w:drawing>
      </w:r>
    </w:p>
    <w:p w:rsidR="0069018B" w:rsidRPr="002E402A" w:rsidRDefault="0069018B" w:rsidP="0069018B">
      <w:pPr>
        <w:spacing w:line="240" w:lineRule="auto"/>
        <w:ind w:left="567"/>
        <w:jc w:val="center"/>
        <w:rPr>
          <w:rFonts w:ascii="Times New Roman" w:hAnsi="Times New Roman" w:cs="Times New Roman"/>
          <w:sz w:val="24"/>
          <w:szCs w:val="24"/>
        </w:rPr>
      </w:pPr>
      <w:r w:rsidRPr="002E402A">
        <w:rPr>
          <w:rFonts w:ascii="Times New Roman" w:hAnsi="Times New Roman" w:cs="Times New Roman"/>
          <w:b/>
          <w:sz w:val="24"/>
          <w:szCs w:val="24"/>
        </w:rPr>
        <w:t>Şekil 6.</w:t>
      </w:r>
      <w:r w:rsidRPr="002E402A">
        <w:rPr>
          <w:rFonts w:ascii="Times New Roman" w:hAnsi="Times New Roman" w:cs="Times New Roman"/>
          <w:sz w:val="24"/>
          <w:szCs w:val="24"/>
        </w:rPr>
        <w:t xml:space="preserve"> </w:t>
      </w:r>
      <w:r w:rsidRPr="002E402A">
        <w:rPr>
          <w:rFonts w:ascii="Times New Roman" w:hAnsi="Times New Roman" w:cs="Times New Roman"/>
          <w:b/>
          <w:sz w:val="24"/>
          <w:szCs w:val="24"/>
        </w:rPr>
        <w:t>Aracı Kurumların 2009 – 2013 Yılları Döneminde Gelir, Gider ve Brüt Kâr Bilgileri</w:t>
      </w:r>
    </w:p>
    <w:p w:rsidR="008F6832" w:rsidRPr="002E402A" w:rsidRDefault="008F6832" w:rsidP="000A7CD7">
      <w:pPr>
        <w:spacing w:line="240" w:lineRule="auto"/>
        <w:rPr>
          <w:rFonts w:ascii="Times New Roman" w:hAnsi="Times New Roman" w:cs="Times New Roman"/>
          <w:sz w:val="24"/>
          <w:szCs w:val="24"/>
        </w:rPr>
      </w:pPr>
    </w:p>
    <w:p w:rsidR="00CA30C7" w:rsidRPr="002E402A" w:rsidRDefault="004A1447" w:rsidP="000A7CD7">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 xml:space="preserve">Aracı kurumların gelirlerinde en büyük etkinin pay </w:t>
      </w:r>
      <w:r w:rsidR="008866D9" w:rsidRPr="002E402A">
        <w:rPr>
          <w:rFonts w:ascii="Times New Roman" w:hAnsi="Times New Roman" w:cs="Times New Roman"/>
          <w:sz w:val="24"/>
          <w:szCs w:val="24"/>
        </w:rPr>
        <w:t>piyasasına bağlı olduğunu, pay</w:t>
      </w:r>
      <w:r w:rsidRPr="002E402A">
        <w:rPr>
          <w:rFonts w:ascii="Times New Roman" w:hAnsi="Times New Roman" w:cs="Times New Roman"/>
          <w:sz w:val="24"/>
          <w:szCs w:val="24"/>
        </w:rPr>
        <w:t xml:space="preserve"> piyasası hacmine paralel net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 xml:space="preserve"> sağlanmasından anla</w:t>
      </w:r>
      <w:r w:rsidR="006D0762" w:rsidRPr="002E402A">
        <w:rPr>
          <w:rFonts w:ascii="Times New Roman" w:hAnsi="Times New Roman" w:cs="Times New Roman"/>
          <w:sz w:val="24"/>
          <w:szCs w:val="24"/>
        </w:rPr>
        <w:t>şılmaktadır</w:t>
      </w:r>
      <w:r w:rsidRPr="002E402A">
        <w:rPr>
          <w:rFonts w:ascii="Times New Roman" w:hAnsi="Times New Roman" w:cs="Times New Roman"/>
          <w:sz w:val="24"/>
          <w:szCs w:val="24"/>
        </w:rPr>
        <w:t xml:space="preserve">. </w:t>
      </w:r>
      <w:r w:rsidR="00CC1CCF" w:rsidRPr="002E402A">
        <w:rPr>
          <w:rFonts w:ascii="Times New Roman" w:hAnsi="Times New Roman" w:cs="Times New Roman"/>
          <w:sz w:val="24"/>
          <w:szCs w:val="24"/>
        </w:rPr>
        <w:t>2009 yılında net zarar eden aracı kurum sayısı 23</w:t>
      </w:r>
      <w:r w:rsidR="00717525" w:rsidRPr="002E402A">
        <w:rPr>
          <w:rFonts w:ascii="Times New Roman" w:hAnsi="Times New Roman" w:cs="Times New Roman"/>
          <w:sz w:val="24"/>
          <w:szCs w:val="24"/>
        </w:rPr>
        <w:t xml:space="preserve"> </w:t>
      </w:r>
      <w:r w:rsidR="006A3003" w:rsidRPr="002E402A">
        <w:rPr>
          <w:rFonts w:ascii="Times New Roman" w:hAnsi="Times New Roman" w:cs="Times New Roman"/>
          <w:sz w:val="24"/>
          <w:szCs w:val="24"/>
        </w:rPr>
        <w:t>adet</w:t>
      </w:r>
      <w:r w:rsidR="00CC1CCF" w:rsidRPr="002E402A">
        <w:rPr>
          <w:rFonts w:ascii="Times New Roman" w:hAnsi="Times New Roman" w:cs="Times New Roman"/>
          <w:sz w:val="24"/>
          <w:szCs w:val="24"/>
        </w:rPr>
        <w:t xml:space="preserve"> iken, 2010 yılında 29, 2011</w:t>
      </w:r>
      <w:r w:rsidR="00D84401" w:rsidRPr="002E402A">
        <w:rPr>
          <w:rFonts w:ascii="Times New Roman" w:hAnsi="Times New Roman" w:cs="Times New Roman"/>
          <w:sz w:val="24"/>
          <w:szCs w:val="24"/>
        </w:rPr>
        <w:t>’de</w:t>
      </w:r>
      <w:r w:rsidR="00CC1CCF" w:rsidRPr="002E402A">
        <w:rPr>
          <w:rFonts w:ascii="Times New Roman" w:hAnsi="Times New Roman" w:cs="Times New Roman"/>
          <w:sz w:val="24"/>
          <w:szCs w:val="24"/>
        </w:rPr>
        <w:t xml:space="preserve"> 33, 2012</w:t>
      </w:r>
      <w:r w:rsidR="00D84401" w:rsidRPr="002E402A">
        <w:rPr>
          <w:rFonts w:ascii="Times New Roman" w:hAnsi="Times New Roman" w:cs="Times New Roman"/>
          <w:sz w:val="24"/>
          <w:szCs w:val="24"/>
        </w:rPr>
        <w:t>’de</w:t>
      </w:r>
      <w:r w:rsidR="00333521" w:rsidRPr="002E402A">
        <w:rPr>
          <w:rFonts w:ascii="Times New Roman" w:hAnsi="Times New Roman" w:cs="Times New Roman"/>
          <w:sz w:val="24"/>
          <w:szCs w:val="24"/>
        </w:rPr>
        <w:t xml:space="preserve"> 46</w:t>
      </w:r>
      <w:r w:rsidR="00CC1CCF" w:rsidRPr="002E402A">
        <w:rPr>
          <w:rFonts w:ascii="Times New Roman" w:hAnsi="Times New Roman" w:cs="Times New Roman"/>
          <w:sz w:val="24"/>
          <w:szCs w:val="24"/>
        </w:rPr>
        <w:t xml:space="preserve"> ve 2013</w:t>
      </w:r>
      <w:r w:rsidR="00D84401" w:rsidRPr="002E402A">
        <w:rPr>
          <w:rFonts w:ascii="Times New Roman" w:hAnsi="Times New Roman" w:cs="Times New Roman"/>
          <w:sz w:val="24"/>
          <w:szCs w:val="24"/>
        </w:rPr>
        <w:t>’de</w:t>
      </w:r>
      <w:r w:rsidR="00CC1CCF" w:rsidRPr="002E402A">
        <w:rPr>
          <w:rFonts w:ascii="Times New Roman" w:hAnsi="Times New Roman" w:cs="Times New Roman"/>
          <w:sz w:val="24"/>
          <w:szCs w:val="24"/>
        </w:rPr>
        <w:t xml:space="preserve"> 41</w:t>
      </w:r>
      <w:r w:rsidR="00717525" w:rsidRPr="002E402A">
        <w:rPr>
          <w:rFonts w:ascii="Times New Roman" w:hAnsi="Times New Roman" w:cs="Times New Roman"/>
          <w:sz w:val="24"/>
          <w:szCs w:val="24"/>
        </w:rPr>
        <w:t xml:space="preserve"> </w:t>
      </w:r>
      <w:r w:rsidR="00C46739" w:rsidRPr="002E402A">
        <w:rPr>
          <w:rFonts w:ascii="Times New Roman" w:hAnsi="Times New Roman" w:cs="Times New Roman"/>
          <w:sz w:val="24"/>
          <w:szCs w:val="24"/>
        </w:rPr>
        <w:t>adet</w:t>
      </w:r>
      <w:r w:rsidR="00CC1CCF" w:rsidRPr="002E402A">
        <w:rPr>
          <w:rFonts w:ascii="Times New Roman" w:hAnsi="Times New Roman" w:cs="Times New Roman"/>
          <w:sz w:val="24"/>
          <w:szCs w:val="24"/>
        </w:rPr>
        <w:t xml:space="preserve"> olmuştur.</w:t>
      </w:r>
      <w:r w:rsidR="009E796E" w:rsidRPr="002E402A">
        <w:rPr>
          <w:rFonts w:ascii="Times New Roman" w:hAnsi="Times New Roman" w:cs="Times New Roman"/>
          <w:sz w:val="24"/>
          <w:szCs w:val="24"/>
        </w:rPr>
        <w:t xml:space="preserve"> </w:t>
      </w:r>
      <w:r w:rsidR="007011F5" w:rsidRPr="002E402A">
        <w:rPr>
          <w:rFonts w:ascii="Times New Roman" w:hAnsi="Times New Roman" w:cs="Times New Roman"/>
          <w:sz w:val="24"/>
          <w:szCs w:val="24"/>
        </w:rPr>
        <w:t>2012 yılına kadar zarar eden aracı kurum sayısındaki artış</w:t>
      </w:r>
      <w:r w:rsidR="00D91EC6" w:rsidRPr="002E402A">
        <w:rPr>
          <w:rFonts w:ascii="Times New Roman" w:hAnsi="Times New Roman" w:cs="Times New Roman"/>
          <w:sz w:val="24"/>
          <w:szCs w:val="24"/>
        </w:rPr>
        <w:t xml:space="preserve">ın nedenleri; işlem hacimlerinde ve komisyonlarda düşüş yanında, </w:t>
      </w:r>
      <w:r w:rsidR="007011F5" w:rsidRPr="002E402A">
        <w:rPr>
          <w:rFonts w:ascii="Times New Roman" w:hAnsi="Times New Roman" w:cs="Times New Roman"/>
          <w:sz w:val="24"/>
          <w:szCs w:val="24"/>
        </w:rPr>
        <w:t>aracı kurum sayısı, şube</w:t>
      </w:r>
      <w:r w:rsidR="00D1063C" w:rsidRPr="002E402A">
        <w:rPr>
          <w:rFonts w:ascii="Times New Roman" w:hAnsi="Times New Roman" w:cs="Times New Roman"/>
          <w:sz w:val="24"/>
          <w:szCs w:val="24"/>
        </w:rPr>
        <w:t xml:space="preserve"> ve</w:t>
      </w:r>
      <w:r w:rsidR="007011F5" w:rsidRPr="002E402A">
        <w:rPr>
          <w:rFonts w:ascii="Times New Roman" w:hAnsi="Times New Roman" w:cs="Times New Roman"/>
          <w:sz w:val="24"/>
          <w:szCs w:val="24"/>
        </w:rPr>
        <w:t xml:space="preserve"> personel sayısı artışları nedeniyle genel yön</w:t>
      </w:r>
      <w:r w:rsidR="00D91EC6" w:rsidRPr="002E402A">
        <w:rPr>
          <w:rFonts w:ascii="Times New Roman" w:hAnsi="Times New Roman" w:cs="Times New Roman"/>
          <w:sz w:val="24"/>
          <w:szCs w:val="24"/>
        </w:rPr>
        <w:t>etim, faaliyet giderlerinde artış olarak görülmektedir. Yani, r</w:t>
      </w:r>
      <w:r w:rsidR="007011F5" w:rsidRPr="002E402A">
        <w:rPr>
          <w:rFonts w:ascii="Times New Roman" w:hAnsi="Times New Roman" w:cs="Times New Roman"/>
          <w:sz w:val="24"/>
          <w:szCs w:val="24"/>
        </w:rPr>
        <w:t xml:space="preserve">ekabete dayanamayan kurumlarda artış </w:t>
      </w:r>
      <w:r w:rsidR="00D91EC6" w:rsidRPr="002E402A">
        <w:rPr>
          <w:rFonts w:ascii="Times New Roman" w:hAnsi="Times New Roman" w:cs="Times New Roman"/>
          <w:sz w:val="24"/>
          <w:szCs w:val="24"/>
        </w:rPr>
        <w:t>bulunmaktadır.</w:t>
      </w:r>
    </w:p>
    <w:p w:rsidR="00F53E5B" w:rsidRPr="002E402A" w:rsidRDefault="00F11188" w:rsidP="00B20864">
      <w:pPr>
        <w:spacing w:line="240" w:lineRule="auto"/>
        <w:rPr>
          <w:rFonts w:ascii="Times New Roman" w:hAnsi="Times New Roman" w:cs="Times New Roman"/>
          <w:sz w:val="24"/>
          <w:szCs w:val="24"/>
        </w:rPr>
      </w:pPr>
      <w:r w:rsidRPr="002E402A">
        <w:rPr>
          <w:rFonts w:ascii="Times New Roman" w:hAnsi="Times New Roman" w:cs="Times New Roman"/>
          <w:sz w:val="24"/>
          <w:szCs w:val="24"/>
        </w:rPr>
        <w:t>F</w:t>
      </w:r>
      <w:r w:rsidR="004A7C3B" w:rsidRPr="002E402A">
        <w:rPr>
          <w:rFonts w:ascii="Times New Roman" w:hAnsi="Times New Roman" w:cs="Times New Roman"/>
          <w:sz w:val="24"/>
          <w:szCs w:val="24"/>
        </w:rPr>
        <w:t>inansal oran</w:t>
      </w:r>
      <w:r w:rsidR="00961EC6" w:rsidRPr="002E402A">
        <w:rPr>
          <w:rFonts w:ascii="Times New Roman" w:hAnsi="Times New Roman" w:cs="Times New Roman"/>
          <w:sz w:val="24"/>
          <w:szCs w:val="24"/>
        </w:rPr>
        <w:t>lar</w:t>
      </w:r>
      <w:r w:rsidR="004A7C3B" w:rsidRPr="002E402A">
        <w:rPr>
          <w:rFonts w:ascii="Times New Roman" w:hAnsi="Times New Roman" w:cs="Times New Roman"/>
          <w:sz w:val="24"/>
          <w:szCs w:val="24"/>
        </w:rPr>
        <w:t xml:space="preserve"> açısından aracı kurumların beş yıllık ortalamalarına göre değerlendirmeler</w:t>
      </w:r>
      <w:r w:rsidR="00D1063C" w:rsidRPr="002E402A">
        <w:rPr>
          <w:rFonts w:ascii="Times New Roman" w:hAnsi="Times New Roman" w:cs="Times New Roman"/>
          <w:sz w:val="24"/>
          <w:szCs w:val="24"/>
        </w:rPr>
        <w:t xml:space="preserve"> yapılırsa</w:t>
      </w:r>
      <w:r w:rsidR="004A7C3B" w:rsidRPr="002E402A">
        <w:rPr>
          <w:rFonts w:ascii="Times New Roman" w:hAnsi="Times New Roman" w:cs="Times New Roman"/>
          <w:sz w:val="24"/>
          <w:szCs w:val="24"/>
        </w:rPr>
        <w:t>;</w:t>
      </w:r>
      <w:r w:rsidR="00D45083" w:rsidRPr="002E402A">
        <w:rPr>
          <w:rFonts w:ascii="Times New Roman" w:hAnsi="Times New Roman" w:cs="Times New Roman"/>
          <w:sz w:val="24"/>
          <w:szCs w:val="24"/>
        </w:rPr>
        <w:t xml:space="preserve"> 2009-2013 yılları döneminde </w:t>
      </w:r>
      <w:r w:rsidR="002E0967" w:rsidRPr="002E402A">
        <w:rPr>
          <w:rFonts w:ascii="Times New Roman" w:hAnsi="Times New Roman" w:cs="Times New Roman"/>
          <w:sz w:val="24"/>
          <w:szCs w:val="24"/>
        </w:rPr>
        <w:t>aracı kurum</w:t>
      </w:r>
      <w:r w:rsidR="00F17DB7" w:rsidRPr="002E402A">
        <w:rPr>
          <w:rFonts w:ascii="Times New Roman" w:hAnsi="Times New Roman" w:cs="Times New Roman"/>
          <w:sz w:val="24"/>
          <w:szCs w:val="24"/>
        </w:rPr>
        <w:t>ların</w:t>
      </w:r>
      <w:r w:rsidR="002E0967" w:rsidRPr="002E402A">
        <w:rPr>
          <w:rFonts w:ascii="Times New Roman" w:hAnsi="Times New Roman" w:cs="Times New Roman"/>
          <w:sz w:val="24"/>
          <w:szCs w:val="24"/>
        </w:rPr>
        <w:t xml:space="preserve"> </w:t>
      </w:r>
      <w:r w:rsidR="00B20864">
        <w:rPr>
          <w:rFonts w:ascii="Times New Roman" w:hAnsi="Times New Roman" w:cs="Times New Roman"/>
          <w:sz w:val="24"/>
          <w:szCs w:val="24"/>
        </w:rPr>
        <w:t>cari oran ortalaması 1,</w:t>
      </w:r>
      <w:r w:rsidR="00D45083" w:rsidRPr="002E402A">
        <w:rPr>
          <w:rFonts w:ascii="Times New Roman" w:hAnsi="Times New Roman" w:cs="Times New Roman"/>
          <w:sz w:val="24"/>
          <w:szCs w:val="24"/>
        </w:rPr>
        <w:t xml:space="preserve">32’dir. </w:t>
      </w:r>
      <w:r w:rsidR="004D0955" w:rsidRPr="002E402A">
        <w:rPr>
          <w:rFonts w:ascii="Times New Roman" w:hAnsi="Times New Roman" w:cs="Times New Roman"/>
          <w:sz w:val="24"/>
          <w:szCs w:val="24"/>
        </w:rPr>
        <w:t>Cari o</w:t>
      </w:r>
      <w:r w:rsidR="00D45083" w:rsidRPr="002E402A">
        <w:rPr>
          <w:rFonts w:ascii="Times New Roman" w:hAnsi="Times New Roman" w:cs="Times New Roman"/>
          <w:sz w:val="24"/>
          <w:szCs w:val="24"/>
        </w:rPr>
        <w:t xml:space="preserve">ran 1’den büyük olduğu için aracı kurumların kısa vadeli yabancı kaynağını dönen </w:t>
      </w:r>
      <w:r w:rsidR="004D0955" w:rsidRPr="002E402A">
        <w:rPr>
          <w:rFonts w:ascii="Times New Roman" w:hAnsi="Times New Roman" w:cs="Times New Roman"/>
          <w:sz w:val="24"/>
          <w:szCs w:val="24"/>
        </w:rPr>
        <w:t>varlıkları</w:t>
      </w:r>
      <w:r w:rsidR="009E796E" w:rsidRPr="002E402A">
        <w:rPr>
          <w:rFonts w:ascii="Times New Roman" w:hAnsi="Times New Roman" w:cs="Times New Roman"/>
          <w:sz w:val="24"/>
          <w:szCs w:val="24"/>
        </w:rPr>
        <w:t>nı</w:t>
      </w:r>
      <w:r w:rsidR="004D0955" w:rsidRPr="002E402A">
        <w:rPr>
          <w:rFonts w:ascii="Times New Roman" w:hAnsi="Times New Roman" w:cs="Times New Roman"/>
          <w:sz w:val="24"/>
          <w:szCs w:val="24"/>
        </w:rPr>
        <w:t xml:space="preserve"> </w:t>
      </w:r>
      <w:r w:rsidR="009E796E"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4D0955" w:rsidRPr="002E402A">
        <w:rPr>
          <w:rFonts w:ascii="Times New Roman" w:hAnsi="Times New Roman" w:cs="Times New Roman"/>
          <w:sz w:val="24"/>
          <w:szCs w:val="24"/>
        </w:rPr>
        <w:t>şıladığı söylenebilir. A</w:t>
      </w:r>
      <w:r w:rsidR="009D6496" w:rsidRPr="002E402A">
        <w:rPr>
          <w:rFonts w:ascii="Times New Roman" w:hAnsi="Times New Roman" w:cs="Times New Roman"/>
          <w:sz w:val="24"/>
          <w:szCs w:val="24"/>
        </w:rPr>
        <w:t xml:space="preserve">ncak </w:t>
      </w:r>
      <w:r w:rsidR="004D0955" w:rsidRPr="002E402A">
        <w:rPr>
          <w:rFonts w:ascii="Times New Roman" w:hAnsi="Times New Roman" w:cs="Times New Roman"/>
          <w:sz w:val="24"/>
          <w:szCs w:val="24"/>
        </w:rPr>
        <w:t>cari oranın 1</w:t>
      </w:r>
      <w:r w:rsidR="00B20864">
        <w:rPr>
          <w:rFonts w:ascii="Times New Roman" w:hAnsi="Times New Roman" w:cs="Times New Roman"/>
          <w:sz w:val="24"/>
          <w:szCs w:val="24"/>
        </w:rPr>
        <w:t>,</w:t>
      </w:r>
      <w:r w:rsidR="004D0955" w:rsidRPr="002E402A">
        <w:rPr>
          <w:rFonts w:ascii="Times New Roman" w:hAnsi="Times New Roman" w:cs="Times New Roman"/>
          <w:sz w:val="24"/>
          <w:szCs w:val="24"/>
        </w:rPr>
        <w:t>5</w:t>
      </w:r>
      <w:r w:rsidR="00B20864">
        <w:rPr>
          <w:rFonts w:ascii="Times New Roman" w:hAnsi="Times New Roman" w:cs="Times New Roman"/>
          <w:sz w:val="24"/>
          <w:szCs w:val="24"/>
        </w:rPr>
        <w:t>’in</w:t>
      </w:r>
      <w:r w:rsidR="004D0955" w:rsidRPr="002E402A">
        <w:rPr>
          <w:rFonts w:ascii="Times New Roman" w:hAnsi="Times New Roman" w:cs="Times New Roman"/>
          <w:sz w:val="24"/>
          <w:szCs w:val="24"/>
        </w:rPr>
        <w:t xml:space="preserve"> </w:t>
      </w:r>
      <w:r w:rsidR="009D6496" w:rsidRPr="002E402A">
        <w:rPr>
          <w:rFonts w:ascii="Times New Roman" w:hAnsi="Times New Roman" w:cs="Times New Roman"/>
          <w:sz w:val="24"/>
          <w:szCs w:val="24"/>
        </w:rPr>
        <w:t>altında ol</w:t>
      </w:r>
      <w:r w:rsidR="004D0955" w:rsidRPr="002E402A">
        <w:rPr>
          <w:rFonts w:ascii="Times New Roman" w:hAnsi="Times New Roman" w:cs="Times New Roman"/>
          <w:sz w:val="24"/>
          <w:szCs w:val="24"/>
        </w:rPr>
        <w:t>ması nedeniyle piyasada</w:t>
      </w:r>
      <w:r w:rsidR="009D6496" w:rsidRPr="002E402A">
        <w:rPr>
          <w:rFonts w:ascii="Times New Roman" w:hAnsi="Times New Roman" w:cs="Times New Roman"/>
          <w:sz w:val="24"/>
          <w:szCs w:val="24"/>
        </w:rPr>
        <w:t xml:space="preserve"> olumsuz</w:t>
      </w:r>
      <w:r w:rsidR="004D0955" w:rsidRPr="002E402A">
        <w:rPr>
          <w:rFonts w:ascii="Times New Roman" w:hAnsi="Times New Roman" w:cs="Times New Roman"/>
          <w:sz w:val="24"/>
          <w:szCs w:val="24"/>
        </w:rPr>
        <w:t>luk yaşanması halinde</w:t>
      </w:r>
      <w:r w:rsidR="009D6496" w:rsidRPr="002E402A">
        <w:rPr>
          <w:rFonts w:ascii="Times New Roman" w:hAnsi="Times New Roman" w:cs="Times New Roman"/>
          <w:sz w:val="24"/>
          <w:szCs w:val="24"/>
        </w:rPr>
        <w:t xml:space="preserve"> kısa vadeli borçlarını ödeme güçlüğü yaşayanlar ol</w:t>
      </w:r>
      <w:r w:rsidR="004D0955" w:rsidRPr="002E402A">
        <w:rPr>
          <w:rFonts w:ascii="Times New Roman" w:hAnsi="Times New Roman" w:cs="Times New Roman"/>
          <w:sz w:val="24"/>
          <w:szCs w:val="24"/>
        </w:rPr>
        <w:t xml:space="preserve">abileceğini </w:t>
      </w:r>
      <w:r w:rsidR="00AE1C99" w:rsidRPr="002E402A">
        <w:rPr>
          <w:rFonts w:ascii="Times New Roman" w:hAnsi="Times New Roman" w:cs="Times New Roman"/>
          <w:sz w:val="24"/>
          <w:szCs w:val="24"/>
        </w:rPr>
        <w:t>göstermektedir.</w:t>
      </w:r>
      <w:r w:rsidR="009D6496" w:rsidRPr="002E402A">
        <w:rPr>
          <w:rFonts w:ascii="Times New Roman" w:hAnsi="Times New Roman" w:cs="Times New Roman"/>
          <w:sz w:val="24"/>
          <w:szCs w:val="24"/>
        </w:rPr>
        <w:t xml:space="preserve"> </w:t>
      </w:r>
    </w:p>
    <w:p w:rsidR="00EB6572" w:rsidRPr="002E402A" w:rsidRDefault="007723A2" w:rsidP="00911FA2">
      <w:pPr>
        <w:spacing w:line="240" w:lineRule="auto"/>
        <w:rPr>
          <w:rFonts w:ascii="Times New Roman" w:hAnsi="Times New Roman" w:cs="Times New Roman"/>
          <w:sz w:val="24"/>
          <w:szCs w:val="24"/>
        </w:rPr>
      </w:pPr>
      <w:r w:rsidRPr="002E402A">
        <w:rPr>
          <w:rFonts w:ascii="Times New Roman" w:hAnsi="Times New Roman" w:cs="Times New Roman"/>
          <w:sz w:val="24"/>
          <w:szCs w:val="24"/>
        </w:rPr>
        <w:t>Gelişmiş finans kurumlarında finansal kaldıraç oranının %</w:t>
      </w:r>
      <w:r w:rsidR="00B20864">
        <w:rPr>
          <w:rFonts w:ascii="Times New Roman" w:hAnsi="Times New Roman" w:cs="Times New Roman"/>
          <w:sz w:val="24"/>
          <w:szCs w:val="24"/>
        </w:rPr>
        <w:t xml:space="preserve"> </w:t>
      </w:r>
      <w:r w:rsidRPr="002E402A">
        <w:rPr>
          <w:rFonts w:ascii="Times New Roman" w:hAnsi="Times New Roman" w:cs="Times New Roman"/>
          <w:sz w:val="24"/>
          <w:szCs w:val="24"/>
        </w:rPr>
        <w:t>50’den küçük olması istenirken, %</w:t>
      </w:r>
      <w:r w:rsidR="00B20864">
        <w:rPr>
          <w:rFonts w:ascii="Times New Roman" w:hAnsi="Times New Roman" w:cs="Times New Roman"/>
          <w:sz w:val="24"/>
          <w:szCs w:val="24"/>
        </w:rPr>
        <w:t xml:space="preserve"> </w:t>
      </w:r>
      <w:r w:rsidRPr="002E402A">
        <w:rPr>
          <w:rFonts w:ascii="Times New Roman" w:hAnsi="Times New Roman" w:cs="Times New Roman"/>
          <w:sz w:val="24"/>
          <w:szCs w:val="24"/>
        </w:rPr>
        <w:t xml:space="preserve">60’dan büyük olması ülkemiz gibi sermaye arzının düşük olduğu ülkelerde normal </w:t>
      </w:r>
      <w:r w:rsidR="007210D2" w:rsidRPr="002E402A">
        <w:rPr>
          <w:rFonts w:ascii="Times New Roman" w:hAnsi="Times New Roman" w:cs="Times New Roman"/>
          <w:sz w:val="24"/>
          <w:szCs w:val="24"/>
        </w:rPr>
        <w:t>k</w:t>
      </w:r>
      <w:r w:rsidR="009E796E" w:rsidRPr="002E402A">
        <w:rPr>
          <w:rFonts w:ascii="Times New Roman" w:hAnsi="Times New Roman" w:cs="Times New Roman"/>
          <w:sz w:val="24"/>
          <w:szCs w:val="24"/>
        </w:rPr>
        <w:t>a</w:t>
      </w:r>
      <w:r w:rsidR="007210D2" w:rsidRPr="002E402A">
        <w:rPr>
          <w:rFonts w:ascii="Times New Roman" w:hAnsi="Times New Roman" w:cs="Times New Roman"/>
          <w:sz w:val="24"/>
          <w:szCs w:val="24"/>
        </w:rPr>
        <w:t>r</w:t>
      </w:r>
      <w:r w:rsidR="009E796E" w:rsidRPr="002E402A">
        <w:rPr>
          <w:rFonts w:ascii="Times New Roman" w:hAnsi="Times New Roman" w:cs="Times New Roman"/>
          <w:sz w:val="24"/>
          <w:szCs w:val="24"/>
        </w:rPr>
        <w:t>şılanmaktadır</w:t>
      </w:r>
      <w:r w:rsidR="009C171B" w:rsidRPr="002E402A">
        <w:rPr>
          <w:rFonts w:ascii="Times New Roman" w:hAnsi="Times New Roman" w:cs="Times New Roman"/>
          <w:sz w:val="24"/>
          <w:szCs w:val="24"/>
        </w:rPr>
        <w:t xml:space="preserve"> </w:t>
      </w:r>
      <w:r w:rsidRPr="002E402A">
        <w:rPr>
          <w:rFonts w:ascii="Times New Roman" w:hAnsi="Times New Roman" w:cs="Times New Roman"/>
          <w:sz w:val="24"/>
          <w:szCs w:val="24"/>
        </w:rPr>
        <w:t>(Kurnaz, 2015)</w:t>
      </w:r>
      <w:r w:rsidR="00911FA2">
        <w:rPr>
          <w:rFonts w:ascii="Times New Roman" w:hAnsi="Times New Roman" w:cs="Times New Roman"/>
          <w:sz w:val="24"/>
          <w:szCs w:val="24"/>
        </w:rPr>
        <w:t>.</w:t>
      </w:r>
      <w:r w:rsidRPr="002E402A">
        <w:rPr>
          <w:rFonts w:ascii="Times New Roman" w:hAnsi="Times New Roman" w:cs="Times New Roman"/>
          <w:sz w:val="24"/>
          <w:szCs w:val="24"/>
        </w:rPr>
        <w:t xml:space="preserve"> </w:t>
      </w:r>
      <w:r w:rsidR="00D77DA2" w:rsidRPr="002E402A">
        <w:rPr>
          <w:rFonts w:ascii="Times New Roman" w:hAnsi="Times New Roman" w:cs="Times New Roman"/>
          <w:sz w:val="24"/>
          <w:szCs w:val="24"/>
        </w:rPr>
        <w:t>Ancak, konu olan dönemde bu oranın ortalama %</w:t>
      </w:r>
      <w:r w:rsidR="00B20864">
        <w:rPr>
          <w:rFonts w:ascii="Times New Roman" w:hAnsi="Times New Roman" w:cs="Times New Roman"/>
          <w:sz w:val="24"/>
          <w:szCs w:val="24"/>
        </w:rPr>
        <w:t xml:space="preserve"> </w:t>
      </w:r>
      <w:r w:rsidR="00D77DA2" w:rsidRPr="002E402A">
        <w:rPr>
          <w:rFonts w:ascii="Times New Roman" w:hAnsi="Times New Roman" w:cs="Times New Roman"/>
          <w:sz w:val="24"/>
          <w:szCs w:val="24"/>
        </w:rPr>
        <w:t>69 olması itibari</w:t>
      </w:r>
      <w:r w:rsidR="00B20864">
        <w:rPr>
          <w:rFonts w:ascii="Times New Roman" w:hAnsi="Times New Roman" w:cs="Times New Roman"/>
          <w:sz w:val="24"/>
          <w:szCs w:val="24"/>
        </w:rPr>
        <w:t>yle</w:t>
      </w:r>
      <w:r w:rsidR="00D77DA2" w:rsidRPr="002E402A">
        <w:rPr>
          <w:rFonts w:ascii="Times New Roman" w:hAnsi="Times New Roman" w:cs="Times New Roman"/>
          <w:sz w:val="24"/>
          <w:szCs w:val="24"/>
        </w:rPr>
        <w:t xml:space="preserve"> işletmeler</w:t>
      </w:r>
      <w:r w:rsidR="0034401E" w:rsidRPr="002E402A">
        <w:rPr>
          <w:rFonts w:ascii="Times New Roman" w:hAnsi="Times New Roman" w:cs="Times New Roman"/>
          <w:sz w:val="24"/>
          <w:szCs w:val="24"/>
        </w:rPr>
        <w:t>in</w:t>
      </w:r>
      <w:r w:rsidR="00D77DA2" w:rsidRPr="002E402A">
        <w:rPr>
          <w:rFonts w:ascii="Times New Roman" w:hAnsi="Times New Roman" w:cs="Times New Roman"/>
          <w:sz w:val="24"/>
          <w:szCs w:val="24"/>
        </w:rPr>
        <w:t xml:space="preserve"> riskli olarak idare edildiği belirtilebilir. </w:t>
      </w:r>
      <w:r w:rsidR="001F113B" w:rsidRPr="002E402A">
        <w:rPr>
          <w:rFonts w:ascii="Times New Roman" w:hAnsi="Times New Roman" w:cs="Times New Roman"/>
          <w:sz w:val="24"/>
          <w:szCs w:val="24"/>
        </w:rPr>
        <w:t>Aracı kurumların ö</w:t>
      </w:r>
      <w:r w:rsidR="00EA68B4" w:rsidRPr="002E402A">
        <w:rPr>
          <w:rFonts w:ascii="Times New Roman" w:hAnsi="Times New Roman" w:cs="Times New Roman"/>
          <w:sz w:val="24"/>
          <w:szCs w:val="24"/>
        </w:rPr>
        <w:t>zkaynak oranı beş yıl ortalaması %</w:t>
      </w:r>
      <w:r w:rsidR="00B20864">
        <w:rPr>
          <w:rFonts w:ascii="Times New Roman" w:hAnsi="Times New Roman" w:cs="Times New Roman"/>
          <w:sz w:val="24"/>
          <w:szCs w:val="24"/>
        </w:rPr>
        <w:t xml:space="preserve"> </w:t>
      </w:r>
      <w:r w:rsidR="00EA68B4" w:rsidRPr="002E402A">
        <w:rPr>
          <w:rFonts w:ascii="Times New Roman" w:hAnsi="Times New Roman" w:cs="Times New Roman"/>
          <w:sz w:val="24"/>
          <w:szCs w:val="24"/>
        </w:rPr>
        <w:t>31’dir. Bu oranın %</w:t>
      </w:r>
      <w:r w:rsidR="00B20864">
        <w:rPr>
          <w:rFonts w:ascii="Times New Roman" w:hAnsi="Times New Roman" w:cs="Times New Roman"/>
          <w:sz w:val="24"/>
          <w:szCs w:val="24"/>
        </w:rPr>
        <w:t xml:space="preserve"> </w:t>
      </w:r>
      <w:r w:rsidR="00EA68B4" w:rsidRPr="002E402A">
        <w:rPr>
          <w:rFonts w:ascii="Times New Roman" w:hAnsi="Times New Roman" w:cs="Times New Roman"/>
          <w:sz w:val="24"/>
          <w:szCs w:val="24"/>
        </w:rPr>
        <w:t xml:space="preserve">50 olması </w:t>
      </w:r>
      <w:r w:rsidR="001A661C" w:rsidRPr="002E402A">
        <w:rPr>
          <w:rFonts w:ascii="Times New Roman" w:hAnsi="Times New Roman" w:cs="Times New Roman"/>
          <w:sz w:val="24"/>
          <w:szCs w:val="24"/>
        </w:rPr>
        <w:t>bekl</w:t>
      </w:r>
      <w:r w:rsidR="00EA68B4" w:rsidRPr="002E402A">
        <w:rPr>
          <w:rFonts w:ascii="Times New Roman" w:hAnsi="Times New Roman" w:cs="Times New Roman"/>
          <w:sz w:val="24"/>
          <w:szCs w:val="24"/>
        </w:rPr>
        <w:t xml:space="preserve">enir. </w:t>
      </w:r>
      <w:r w:rsidR="009A3CC0" w:rsidRPr="002E402A">
        <w:rPr>
          <w:rFonts w:ascii="Times New Roman" w:hAnsi="Times New Roman" w:cs="Times New Roman"/>
          <w:sz w:val="24"/>
          <w:szCs w:val="24"/>
        </w:rPr>
        <w:t xml:space="preserve">Oranın yüksek olması ödeme gücünün yüksek olmasıdır. </w:t>
      </w:r>
      <w:r w:rsidR="005542A7" w:rsidRPr="002E402A">
        <w:rPr>
          <w:rFonts w:ascii="Times New Roman" w:hAnsi="Times New Roman" w:cs="Times New Roman"/>
          <w:sz w:val="24"/>
          <w:szCs w:val="24"/>
        </w:rPr>
        <w:t>Mevcut</w:t>
      </w:r>
      <w:r w:rsidR="004A7C3B" w:rsidRPr="002E402A">
        <w:rPr>
          <w:rFonts w:ascii="Times New Roman" w:hAnsi="Times New Roman" w:cs="Times New Roman"/>
          <w:sz w:val="24"/>
          <w:szCs w:val="24"/>
        </w:rPr>
        <w:t xml:space="preserve"> orana göre o</w:t>
      </w:r>
      <w:r w:rsidR="009A3CC0" w:rsidRPr="002E402A">
        <w:rPr>
          <w:rFonts w:ascii="Times New Roman" w:hAnsi="Times New Roman" w:cs="Times New Roman"/>
          <w:sz w:val="24"/>
          <w:szCs w:val="24"/>
        </w:rPr>
        <w:t>rtalamada, işletme varlıklarının 1/3’ü işletme sahibi tarafından finanse edilmektedir.</w:t>
      </w:r>
      <w:r w:rsidR="00213E21" w:rsidRPr="002E402A">
        <w:rPr>
          <w:rFonts w:ascii="Times New Roman" w:hAnsi="Times New Roman" w:cs="Times New Roman"/>
          <w:sz w:val="24"/>
          <w:szCs w:val="24"/>
        </w:rPr>
        <w:t xml:space="preserve"> </w:t>
      </w:r>
      <w:r w:rsidR="005542A7" w:rsidRPr="002E402A">
        <w:rPr>
          <w:rFonts w:ascii="Times New Roman" w:hAnsi="Times New Roman" w:cs="Times New Roman"/>
          <w:sz w:val="24"/>
          <w:szCs w:val="24"/>
        </w:rPr>
        <w:t>Son olarak a</w:t>
      </w:r>
      <w:r w:rsidR="004A7C3B" w:rsidRPr="002E402A">
        <w:rPr>
          <w:rFonts w:ascii="Times New Roman" w:hAnsi="Times New Roman" w:cs="Times New Roman"/>
          <w:sz w:val="24"/>
          <w:szCs w:val="24"/>
        </w:rPr>
        <w:t xml:space="preserve">ktif devir </w:t>
      </w:r>
      <w:r w:rsidR="004C5614" w:rsidRPr="002E402A">
        <w:rPr>
          <w:rFonts w:ascii="Times New Roman" w:hAnsi="Times New Roman" w:cs="Times New Roman"/>
          <w:sz w:val="24"/>
          <w:szCs w:val="24"/>
        </w:rPr>
        <w:t>hızının yüksek olması</w:t>
      </w:r>
      <w:r w:rsidR="005542A7" w:rsidRPr="002E402A">
        <w:rPr>
          <w:rFonts w:ascii="Times New Roman" w:hAnsi="Times New Roman" w:cs="Times New Roman"/>
          <w:sz w:val="24"/>
          <w:szCs w:val="24"/>
        </w:rPr>
        <w:t xml:space="preserve"> halinde</w:t>
      </w:r>
      <w:r w:rsidR="001A661C" w:rsidRPr="002E402A">
        <w:rPr>
          <w:rFonts w:ascii="Times New Roman" w:hAnsi="Times New Roman" w:cs="Times New Roman"/>
          <w:sz w:val="24"/>
          <w:szCs w:val="24"/>
        </w:rPr>
        <w:t>,</w:t>
      </w:r>
      <w:r w:rsidR="005542A7" w:rsidRPr="002E402A">
        <w:rPr>
          <w:rFonts w:ascii="Times New Roman" w:hAnsi="Times New Roman" w:cs="Times New Roman"/>
          <w:sz w:val="24"/>
          <w:szCs w:val="24"/>
        </w:rPr>
        <w:t xml:space="preserve"> </w:t>
      </w:r>
      <w:r w:rsidR="007210D2" w:rsidRPr="002E402A">
        <w:rPr>
          <w:rFonts w:ascii="Times New Roman" w:hAnsi="Times New Roman" w:cs="Times New Roman"/>
          <w:sz w:val="24"/>
          <w:szCs w:val="24"/>
        </w:rPr>
        <w:t>kâr</w:t>
      </w:r>
      <w:r w:rsidR="005542A7" w:rsidRPr="002E402A">
        <w:rPr>
          <w:rFonts w:ascii="Times New Roman" w:hAnsi="Times New Roman" w:cs="Times New Roman"/>
          <w:sz w:val="24"/>
          <w:szCs w:val="24"/>
        </w:rPr>
        <w:t>lılığın</w:t>
      </w:r>
      <w:r w:rsidR="00EB6572" w:rsidRPr="002E402A">
        <w:rPr>
          <w:rFonts w:ascii="Times New Roman" w:hAnsi="Times New Roman" w:cs="Times New Roman"/>
          <w:sz w:val="24"/>
          <w:szCs w:val="24"/>
        </w:rPr>
        <w:t xml:space="preserve"> yüksek olacağı düşünülür</w:t>
      </w:r>
      <w:r w:rsidR="004C5614" w:rsidRPr="002E402A">
        <w:rPr>
          <w:rFonts w:ascii="Times New Roman" w:hAnsi="Times New Roman" w:cs="Times New Roman"/>
          <w:sz w:val="24"/>
          <w:szCs w:val="24"/>
        </w:rPr>
        <w:t xml:space="preserve">. </w:t>
      </w:r>
      <w:r w:rsidR="00380C0F" w:rsidRPr="002E402A">
        <w:rPr>
          <w:rFonts w:ascii="Times New Roman" w:hAnsi="Times New Roman" w:cs="Times New Roman"/>
          <w:sz w:val="24"/>
          <w:szCs w:val="24"/>
        </w:rPr>
        <w:t>Böylelikle, a</w:t>
      </w:r>
      <w:r w:rsidR="004C5614" w:rsidRPr="002E402A">
        <w:rPr>
          <w:rFonts w:ascii="Times New Roman" w:hAnsi="Times New Roman" w:cs="Times New Roman"/>
          <w:sz w:val="24"/>
          <w:szCs w:val="24"/>
        </w:rPr>
        <w:t>ktifin tam kapasite ile ve</w:t>
      </w:r>
      <w:r w:rsidR="00265485" w:rsidRPr="002E402A">
        <w:rPr>
          <w:rFonts w:ascii="Times New Roman" w:hAnsi="Times New Roman" w:cs="Times New Roman"/>
          <w:sz w:val="24"/>
          <w:szCs w:val="24"/>
        </w:rPr>
        <w:t>rimli bir şekilde kullanıldığı,</w:t>
      </w:r>
      <w:r w:rsidR="004C5614" w:rsidRPr="002E402A">
        <w:rPr>
          <w:rFonts w:ascii="Times New Roman" w:hAnsi="Times New Roman" w:cs="Times New Roman"/>
          <w:sz w:val="24"/>
          <w:szCs w:val="24"/>
        </w:rPr>
        <w:t xml:space="preserve"> dol</w:t>
      </w:r>
      <w:r w:rsidR="00265485" w:rsidRPr="002E402A">
        <w:rPr>
          <w:rFonts w:ascii="Times New Roman" w:hAnsi="Times New Roman" w:cs="Times New Roman"/>
          <w:sz w:val="24"/>
          <w:szCs w:val="24"/>
        </w:rPr>
        <w:t xml:space="preserve">ayısıyla yüksek </w:t>
      </w:r>
      <w:r w:rsidR="007210D2" w:rsidRPr="002E402A">
        <w:rPr>
          <w:rFonts w:ascii="Times New Roman" w:hAnsi="Times New Roman" w:cs="Times New Roman"/>
          <w:sz w:val="24"/>
          <w:szCs w:val="24"/>
        </w:rPr>
        <w:t>kâr</w:t>
      </w:r>
      <w:r w:rsidR="00265485" w:rsidRPr="002E402A">
        <w:rPr>
          <w:rFonts w:ascii="Times New Roman" w:hAnsi="Times New Roman" w:cs="Times New Roman"/>
          <w:sz w:val="24"/>
          <w:szCs w:val="24"/>
        </w:rPr>
        <w:t xml:space="preserve"> sağlandığı</w:t>
      </w:r>
      <w:r w:rsidR="004C5614" w:rsidRPr="002E402A">
        <w:rPr>
          <w:rFonts w:ascii="Times New Roman" w:hAnsi="Times New Roman" w:cs="Times New Roman"/>
          <w:sz w:val="24"/>
          <w:szCs w:val="24"/>
        </w:rPr>
        <w:t>, düşük olması</w:t>
      </w:r>
      <w:r w:rsidR="00265485" w:rsidRPr="002E402A">
        <w:rPr>
          <w:rFonts w:ascii="Times New Roman" w:hAnsi="Times New Roman" w:cs="Times New Roman"/>
          <w:sz w:val="24"/>
          <w:szCs w:val="24"/>
        </w:rPr>
        <w:t xml:space="preserve"> halinde atıl kapasitenin bulunduğu ifade edilir.</w:t>
      </w:r>
      <w:r w:rsidR="004C5614" w:rsidRPr="002E402A">
        <w:rPr>
          <w:rFonts w:ascii="Times New Roman" w:hAnsi="Times New Roman" w:cs="Times New Roman"/>
          <w:sz w:val="24"/>
          <w:szCs w:val="24"/>
        </w:rPr>
        <w:t xml:space="preserve"> Beş yıllık aracı kurumlar</w:t>
      </w:r>
      <w:r w:rsidR="00B20864">
        <w:rPr>
          <w:rFonts w:ascii="Times New Roman" w:hAnsi="Times New Roman" w:cs="Times New Roman"/>
          <w:sz w:val="24"/>
          <w:szCs w:val="24"/>
        </w:rPr>
        <w:t xml:space="preserve"> aktif devir hızı ortalaması 16,</w:t>
      </w:r>
      <w:r w:rsidR="004C5614" w:rsidRPr="002E402A">
        <w:rPr>
          <w:rFonts w:ascii="Times New Roman" w:hAnsi="Times New Roman" w:cs="Times New Roman"/>
          <w:sz w:val="24"/>
          <w:szCs w:val="24"/>
        </w:rPr>
        <w:t xml:space="preserve">04’tür. </w:t>
      </w:r>
    </w:p>
    <w:p w:rsidR="00C3598F" w:rsidRPr="002E402A" w:rsidRDefault="000A015E" w:rsidP="00911FA2">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E40092" w:rsidRPr="002E402A">
        <w:rPr>
          <w:rFonts w:ascii="Times New Roman" w:hAnsi="Times New Roman" w:cs="Times New Roman"/>
          <w:b/>
          <w:sz w:val="24"/>
          <w:szCs w:val="24"/>
        </w:rPr>
        <w:t xml:space="preserve"> 3</w:t>
      </w:r>
      <w:r w:rsidR="002956AF" w:rsidRPr="002E402A">
        <w:rPr>
          <w:rFonts w:ascii="Times New Roman" w:hAnsi="Times New Roman" w:cs="Times New Roman"/>
          <w:b/>
          <w:sz w:val="24"/>
          <w:szCs w:val="24"/>
        </w:rPr>
        <w:t>.</w:t>
      </w:r>
      <w:r w:rsidR="00C3598F" w:rsidRPr="002E402A">
        <w:rPr>
          <w:rFonts w:ascii="Times New Roman" w:hAnsi="Times New Roman" w:cs="Times New Roman"/>
          <w:b/>
          <w:sz w:val="24"/>
          <w:szCs w:val="24"/>
        </w:rPr>
        <w:t xml:space="preserve"> </w:t>
      </w:r>
      <w:r w:rsidR="002956AF" w:rsidRPr="002E402A">
        <w:rPr>
          <w:rFonts w:ascii="Times New Roman" w:hAnsi="Times New Roman" w:cs="Times New Roman"/>
          <w:b/>
          <w:sz w:val="24"/>
          <w:szCs w:val="24"/>
        </w:rPr>
        <w:t>Aracı K</w:t>
      </w:r>
      <w:r w:rsidR="00C3598F" w:rsidRPr="002E402A">
        <w:rPr>
          <w:rFonts w:ascii="Times New Roman" w:hAnsi="Times New Roman" w:cs="Times New Roman"/>
          <w:b/>
          <w:sz w:val="24"/>
          <w:szCs w:val="24"/>
        </w:rPr>
        <w:t>urumlar</w:t>
      </w:r>
      <w:r w:rsidR="002956AF" w:rsidRPr="002E402A">
        <w:rPr>
          <w:rFonts w:ascii="Times New Roman" w:hAnsi="Times New Roman" w:cs="Times New Roman"/>
          <w:b/>
          <w:sz w:val="24"/>
          <w:szCs w:val="24"/>
        </w:rPr>
        <w:t>ın 2009-2013 D</w:t>
      </w:r>
      <w:r w:rsidR="000659E3" w:rsidRPr="002E402A">
        <w:rPr>
          <w:rFonts w:ascii="Times New Roman" w:hAnsi="Times New Roman" w:cs="Times New Roman"/>
          <w:b/>
          <w:sz w:val="24"/>
          <w:szCs w:val="24"/>
        </w:rPr>
        <w:t xml:space="preserve">önemi ve </w:t>
      </w:r>
      <w:r w:rsidR="002956AF" w:rsidRPr="002E402A">
        <w:rPr>
          <w:rFonts w:ascii="Times New Roman" w:hAnsi="Times New Roman" w:cs="Times New Roman"/>
          <w:b/>
          <w:sz w:val="24"/>
          <w:szCs w:val="24"/>
        </w:rPr>
        <w:t>F</w:t>
      </w:r>
      <w:r w:rsidR="00C3598F" w:rsidRPr="002E402A">
        <w:rPr>
          <w:rFonts w:ascii="Times New Roman" w:hAnsi="Times New Roman" w:cs="Times New Roman"/>
          <w:b/>
          <w:sz w:val="24"/>
          <w:szCs w:val="24"/>
        </w:rPr>
        <w:t xml:space="preserve">inansal </w:t>
      </w:r>
      <w:r w:rsidR="002956AF" w:rsidRPr="002E402A">
        <w:rPr>
          <w:rFonts w:ascii="Times New Roman" w:hAnsi="Times New Roman" w:cs="Times New Roman"/>
          <w:b/>
          <w:sz w:val="24"/>
          <w:szCs w:val="24"/>
        </w:rPr>
        <w:t>O</w:t>
      </w:r>
      <w:r w:rsidR="00C3598F" w:rsidRPr="002E402A">
        <w:rPr>
          <w:rFonts w:ascii="Times New Roman" w:hAnsi="Times New Roman" w:cs="Times New Roman"/>
          <w:b/>
          <w:sz w:val="24"/>
          <w:szCs w:val="24"/>
        </w:rPr>
        <w:t>ranları</w:t>
      </w:r>
    </w:p>
    <w:tbl>
      <w:tblPr>
        <w:tblW w:w="7141" w:type="dxa"/>
        <w:tblInd w:w="637" w:type="dxa"/>
        <w:tblCellMar>
          <w:left w:w="70" w:type="dxa"/>
          <w:right w:w="70" w:type="dxa"/>
        </w:tblCellMar>
        <w:tblLook w:val="04A0" w:firstRow="1" w:lastRow="0" w:firstColumn="1" w:lastColumn="0" w:noHBand="0" w:noVBand="1"/>
      </w:tblPr>
      <w:tblGrid>
        <w:gridCol w:w="2581"/>
        <w:gridCol w:w="680"/>
        <w:gridCol w:w="709"/>
        <w:gridCol w:w="680"/>
        <w:gridCol w:w="708"/>
        <w:gridCol w:w="709"/>
        <w:gridCol w:w="1567"/>
      </w:tblGrid>
      <w:tr w:rsidR="006B698E" w:rsidRPr="002E402A" w:rsidTr="006B698E">
        <w:trPr>
          <w:trHeight w:val="251"/>
        </w:trPr>
        <w:tc>
          <w:tcPr>
            <w:tcW w:w="2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698E" w:rsidRPr="002E402A" w:rsidRDefault="006B698E" w:rsidP="003D69B3">
            <w:pPr>
              <w:spacing w:after="0" w:line="240" w:lineRule="auto"/>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K</w:t>
            </w:r>
            <w:r w:rsidR="009275E2" w:rsidRPr="002E402A">
              <w:rPr>
                <w:rFonts w:ascii="Times New Roman" w:eastAsia="Times New Roman" w:hAnsi="Times New Roman" w:cs="Times New Roman"/>
                <w:b/>
                <w:bCs/>
                <w:sz w:val="24"/>
                <w:szCs w:val="24"/>
                <w:lang w:eastAsia="tr-TR"/>
              </w:rPr>
              <w:t>riterler</w:t>
            </w:r>
          </w:p>
        </w:tc>
        <w:tc>
          <w:tcPr>
            <w:tcW w:w="6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98E" w:rsidRPr="002E402A" w:rsidRDefault="006B698E" w:rsidP="003D69B3">
            <w:pPr>
              <w:spacing w:after="0" w:line="240" w:lineRule="auto"/>
              <w:jc w:val="center"/>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2009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98E" w:rsidRPr="002E402A" w:rsidRDefault="006B698E" w:rsidP="003D69B3">
            <w:pPr>
              <w:spacing w:after="0" w:line="240" w:lineRule="auto"/>
              <w:jc w:val="center"/>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2010</w:t>
            </w:r>
          </w:p>
        </w:tc>
        <w:tc>
          <w:tcPr>
            <w:tcW w:w="64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98E" w:rsidRPr="002E402A" w:rsidRDefault="006B698E" w:rsidP="003D69B3">
            <w:pPr>
              <w:spacing w:after="0" w:line="240" w:lineRule="auto"/>
              <w:jc w:val="center"/>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2011</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98E" w:rsidRPr="002E402A" w:rsidRDefault="006B698E" w:rsidP="003D69B3">
            <w:pPr>
              <w:spacing w:after="0" w:line="240" w:lineRule="auto"/>
              <w:jc w:val="center"/>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2012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98E" w:rsidRPr="002E402A" w:rsidRDefault="006B698E" w:rsidP="003D69B3">
            <w:pPr>
              <w:spacing w:after="0" w:line="240" w:lineRule="auto"/>
              <w:jc w:val="center"/>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2013</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B698E" w:rsidRPr="002E402A" w:rsidRDefault="006B698E" w:rsidP="003D69B3">
            <w:pPr>
              <w:spacing w:after="0" w:line="240" w:lineRule="auto"/>
              <w:jc w:val="center"/>
              <w:rPr>
                <w:rFonts w:ascii="Times New Roman" w:eastAsia="Times New Roman" w:hAnsi="Times New Roman" w:cs="Times New Roman"/>
                <w:b/>
                <w:bCs/>
                <w:sz w:val="24"/>
                <w:szCs w:val="24"/>
                <w:lang w:eastAsia="tr-TR"/>
              </w:rPr>
            </w:pPr>
            <w:r w:rsidRPr="002E402A">
              <w:rPr>
                <w:rFonts w:ascii="Times New Roman" w:eastAsia="Times New Roman" w:hAnsi="Times New Roman" w:cs="Times New Roman"/>
                <w:b/>
                <w:bCs/>
                <w:sz w:val="24"/>
                <w:szCs w:val="24"/>
                <w:lang w:eastAsia="tr-TR"/>
              </w:rPr>
              <w:t>ORTALAMA</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Cari Oran</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40</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34</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40</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26</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23</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32</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Finansal Kaldıraç Oranı</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64</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68</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66</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73</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76</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69</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Özkaynak Oranı</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36</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32</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34</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0</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27</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24</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Toplam Yabancı Kaynaklar/ Özkaynaklar</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77</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w:t>
            </w:r>
            <w:r w:rsidR="006B698E" w:rsidRPr="002E402A">
              <w:rPr>
                <w:rFonts w:ascii="Times New Roman" w:eastAsia="Times New Roman" w:hAnsi="Times New Roman" w:cs="Times New Roman"/>
                <w:bCs/>
                <w:sz w:val="24"/>
                <w:szCs w:val="24"/>
                <w:lang w:eastAsia="tr-TR"/>
              </w:rPr>
              <w:t>08</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r w:rsidR="006B698E" w:rsidRPr="002E402A">
              <w:rPr>
                <w:rFonts w:ascii="Times New Roman" w:eastAsia="Times New Roman" w:hAnsi="Times New Roman" w:cs="Times New Roman"/>
                <w:bCs/>
                <w:sz w:val="24"/>
                <w:szCs w:val="24"/>
                <w:lang w:eastAsia="tr-TR"/>
              </w:rPr>
              <w:t>91</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w:t>
            </w:r>
            <w:r w:rsidR="006B698E" w:rsidRPr="002E402A">
              <w:rPr>
                <w:rFonts w:ascii="Times New Roman" w:eastAsia="Times New Roman" w:hAnsi="Times New Roman" w:cs="Times New Roman"/>
                <w:bCs/>
                <w:sz w:val="24"/>
                <w:szCs w:val="24"/>
                <w:lang w:eastAsia="tr-TR"/>
              </w:rPr>
              <w:t>72</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w:t>
            </w:r>
            <w:r w:rsidR="006B698E" w:rsidRPr="002E402A">
              <w:rPr>
                <w:rFonts w:ascii="Times New Roman" w:eastAsia="Times New Roman" w:hAnsi="Times New Roman" w:cs="Times New Roman"/>
                <w:bCs/>
                <w:sz w:val="24"/>
                <w:szCs w:val="24"/>
                <w:lang w:eastAsia="tr-TR"/>
              </w:rPr>
              <w:t>19</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w:t>
            </w:r>
            <w:r w:rsidR="006B698E" w:rsidRPr="002E402A">
              <w:rPr>
                <w:rFonts w:ascii="Times New Roman" w:eastAsia="Times New Roman" w:hAnsi="Times New Roman" w:cs="Times New Roman"/>
                <w:bCs/>
                <w:sz w:val="24"/>
                <w:szCs w:val="24"/>
                <w:lang w:eastAsia="tr-TR"/>
              </w:rPr>
              <w:t>33</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Kısa Vadeli Yabancı Kaynaklar/ Pasif Toplamı</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63</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67</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65</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72</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76</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69</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 xml:space="preserve">Uzun Vadeli Yabancı Kaynaklar/ Pasif Toplamı </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01</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01</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01</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01</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01</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01</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Duran Varlıklar/ Özkaynaklar</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32</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27</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33</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9275E2">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 xml:space="preserve">Duran Varlıklar/ (Uzun Vadeli </w:t>
            </w:r>
            <w:r>
              <w:rPr>
                <w:rFonts w:ascii="Times New Roman" w:eastAsia="Times New Roman" w:hAnsi="Times New Roman" w:cs="Times New Roman"/>
                <w:bCs/>
                <w:sz w:val="24"/>
                <w:szCs w:val="24"/>
                <w:lang w:eastAsia="tr-TR"/>
              </w:rPr>
              <w:t>K</w:t>
            </w:r>
            <w:r w:rsidRPr="009275E2">
              <w:rPr>
                <w:rFonts w:ascii="Times New Roman" w:eastAsia="Times New Roman" w:hAnsi="Times New Roman" w:cs="Times New Roman"/>
                <w:bCs/>
                <w:sz w:val="24"/>
                <w:szCs w:val="24"/>
                <w:lang w:eastAsia="tr-TR"/>
              </w:rPr>
              <w:t>aynaklar+Özkaynaklar</w:t>
            </w:r>
            <w:r w:rsidR="006B698E" w:rsidRPr="009275E2">
              <w:rPr>
                <w:rFonts w:ascii="Times New Roman" w:eastAsia="Times New Roman" w:hAnsi="Times New Roman" w:cs="Times New Roman"/>
                <w:bCs/>
                <w:sz w:val="24"/>
                <w:szCs w:val="24"/>
                <w:lang w:eastAsia="tr-TR"/>
              </w:rPr>
              <w:t>)</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26</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32</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30</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30</w:t>
            </w:r>
          </w:p>
        </w:tc>
      </w:tr>
      <w:tr w:rsidR="006B698E" w:rsidRPr="002E402A" w:rsidTr="006B698E">
        <w:trPr>
          <w:trHeight w:val="251"/>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9275E2">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 xml:space="preserve">Maddi Duran Varlıklar/ Uzun Vadeli Yabancı Kaynaklar </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32</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27</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33</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9275E2" w:rsidP="003D69B3">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0,</w:t>
            </w:r>
            <w:r w:rsidR="006B698E" w:rsidRPr="002E402A">
              <w:rPr>
                <w:rFonts w:ascii="Times New Roman" w:eastAsia="Times New Roman" w:hAnsi="Times New Roman" w:cs="Times New Roman"/>
                <w:bCs/>
                <w:sz w:val="24"/>
                <w:szCs w:val="24"/>
                <w:lang w:eastAsia="tr-TR"/>
              </w:rPr>
              <w:t>31</w:t>
            </w:r>
          </w:p>
        </w:tc>
      </w:tr>
      <w:tr w:rsidR="006B698E" w:rsidRPr="002E402A" w:rsidTr="006B698E">
        <w:trPr>
          <w:trHeight w:val="567"/>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6B698E" w:rsidRPr="009275E2" w:rsidRDefault="009275E2" w:rsidP="003D69B3">
            <w:pPr>
              <w:spacing w:after="0" w:line="240" w:lineRule="auto"/>
              <w:jc w:val="left"/>
              <w:rPr>
                <w:rFonts w:ascii="Times New Roman" w:eastAsia="Times New Roman" w:hAnsi="Times New Roman" w:cs="Times New Roman"/>
                <w:bCs/>
                <w:sz w:val="24"/>
                <w:szCs w:val="24"/>
                <w:lang w:eastAsia="tr-TR"/>
              </w:rPr>
            </w:pPr>
            <w:r w:rsidRPr="009275E2">
              <w:rPr>
                <w:rFonts w:ascii="Times New Roman" w:eastAsia="Times New Roman" w:hAnsi="Times New Roman" w:cs="Times New Roman"/>
                <w:bCs/>
                <w:sz w:val="24"/>
                <w:szCs w:val="24"/>
                <w:lang w:eastAsia="tr-TR"/>
              </w:rPr>
              <w:t>Aktif Devir Oranı</w:t>
            </w:r>
          </w:p>
        </w:tc>
        <w:tc>
          <w:tcPr>
            <w:tcW w:w="667"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16</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53</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20</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41</w:t>
            </w:r>
          </w:p>
        </w:tc>
        <w:tc>
          <w:tcPr>
            <w:tcW w:w="642"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17</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76</w:t>
            </w:r>
          </w:p>
        </w:tc>
        <w:tc>
          <w:tcPr>
            <w:tcW w:w="708"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12</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00</w:t>
            </w:r>
          </w:p>
        </w:tc>
        <w:tc>
          <w:tcPr>
            <w:tcW w:w="709"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13</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49</w:t>
            </w:r>
          </w:p>
        </w:tc>
        <w:tc>
          <w:tcPr>
            <w:tcW w:w="1092" w:type="dxa"/>
            <w:tcBorders>
              <w:top w:val="nil"/>
              <w:left w:val="nil"/>
              <w:bottom w:val="single" w:sz="4" w:space="0" w:color="auto"/>
              <w:right w:val="single" w:sz="4" w:space="0" w:color="auto"/>
            </w:tcBorders>
            <w:shd w:val="clear" w:color="auto" w:fill="auto"/>
            <w:noWrap/>
            <w:vAlign w:val="center"/>
            <w:hideMark/>
          </w:tcPr>
          <w:p w:rsidR="006B698E" w:rsidRPr="002E402A" w:rsidRDefault="006B698E" w:rsidP="009275E2">
            <w:pPr>
              <w:spacing w:after="0" w:line="240" w:lineRule="auto"/>
              <w:jc w:val="center"/>
              <w:rPr>
                <w:rFonts w:ascii="Times New Roman" w:eastAsia="Times New Roman" w:hAnsi="Times New Roman" w:cs="Times New Roman"/>
                <w:bCs/>
                <w:sz w:val="24"/>
                <w:szCs w:val="24"/>
                <w:lang w:eastAsia="tr-TR"/>
              </w:rPr>
            </w:pPr>
            <w:r w:rsidRPr="002E402A">
              <w:rPr>
                <w:rFonts w:ascii="Times New Roman" w:eastAsia="Times New Roman" w:hAnsi="Times New Roman" w:cs="Times New Roman"/>
                <w:bCs/>
                <w:sz w:val="24"/>
                <w:szCs w:val="24"/>
                <w:lang w:eastAsia="tr-TR"/>
              </w:rPr>
              <w:t>16</w:t>
            </w:r>
            <w:r w:rsidR="009275E2">
              <w:rPr>
                <w:rFonts w:ascii="Times New Roman" w:eastAsia="Times New Roman" w:hAnsi="Times New Roman" w:cs="Times New Roman"/>
                <w:bCs/>
                <w:sz w:val="24"/>
                <w:szCs w:val="24"/>
                <w:lang w:eastAsia="tr-TR"/>
              </w:rPr>
              <w:t>,</w:t>
            </w:r>
            <w:r w:rsidRPr="002E402A">
              <w:rPr>
                <w:rFonts w:ascii="Times New Roman" w:eastAsia="Times New Roman" w:hAnsi="Times New Roman" w:cs="Times New Roman"/>
                <w:bCs/>
                <w:sz w:val="24"/>
                <w:szCs w:val="24"/>
                <w:lang w:eastAsia="tr-TR"/>
              </w:rPr>
              <w:t>04</w:t>
            </w:r>
          </w:p>
        </w:tc>
      </w:tr>
    </w:tbl>
    <w:p w:rsidR="006B698E" w:rsidRPr="002E402A" w:rsidRDefault="006B698E" w:rsidP="006B698E">
      <w:pPr>
        <w:spacing w:line="240" w:lineRule="auto"/>
        <w:rPr>
          <w:rFonts w:ascii="Times New Roman" w:hAnsi="Times New Roman" w:cs="Times New Roman"/>
          <w:sz w:val="24"/>
          <w:szCs w:val="24"/>
        </w:rPr>
      </w:pPr>
    </w:p>
    <w:p w:rsidR="004C5614" w:rsidRPr="002E402A" w:rsidRDefault="00EC3FA5" w:rsidP="00FD63DE">
      <w:pPr>
        <w:spacing w:line="240" w:lineRule="auto"/>
        <w:jc w:val="left"/>
        <w:rPr>
          <w:rFonts w:ascii="Times New Roman" w:hAnsi="Times New Roman" w:cs="Times New Roman"/>
          <w:sz w:val="24"/>
          <w:szCs w:val="24"/>
        </w:rPr>
        <w:sectPr w:rsidR="004C5614" w:rsidRPr="002E402A" w:rsidSect="00B1060C">
          <w:type w:val="continuous"/>
          <w:pgSz w:w="11906" w:h="16838" w:code="9"/>
          <w:pgMar w:top="1701" w:right="1134" w:bottom="1701" w:left="567" w:header="709" w:footer="709" w:gutter="567"/>
          <w:cols w:space="708"/>
          <w:docGrid w:linePitch="360"/>
        </w:sectPr>
      </w:pPr>
      <w:r w:rsidRPr="002E402A">
        <w:rPr>
          <w:rFonts w:ascii="Times New Roman" w:hAnsi="Times New Roman" w:cs="Times New Roman"/>
          <w:sz w:val="24"/>
          <w:szCs w:val="24"/>
        </w:rPr>
        <w:t xml:space="preserve">2012 yılında beş yıllık ortalamanın da altında kalması itibariyle, şube, personel sayısı, bakiyeli hesap sayısı, aracı kurum sayısında artış </w:t>
      </w:r>
      <w:r w:rsidR="00684446" w:rsidRPr="002E402A">
        <w:rPr>
          <w:rFonts w:ascii="Times New Roman" w:hAnsi="Times New Roman" w:cs="Times New Roman"/>
          <w:sz w:val="24"/>
          <w:szCs w:val="24"/>
        </w:rPr>
        <w:t>vardır. P</w:t>
      </w:r>
      <w:r w:rsidRPr="002E402A">
        <w:rPr>
          <w:rFonts w:ascii="Times New Roman" w:hAnsi="Times New Roman" w:cs="Times New Roman"/>
          <w:sz w:val="24"/>
          <w:szCs w:val="24"/>
        </w:rPr>
        <w:t>ay piyasası işlem hacminde düşüşe bağlı olarak net satış gelirlerinin düşmesi sonucund</w:t>
      </w:r>
      <w:r w:rsidR="00684446" w:rsidRPr="002E402A">
        <w:rPr>
          <w:rFonts w:ascii="Times New Roman" w:hAnsi="Times New Roman" w:cs="Times New Roman"/>
          <w:sz w:val="24"/>
          <w:szCs w:val="24"/>
        </w:rPr>
        <w:t>a net komisyonlarda verimlilik</w:t>
      </w:r>
      <w:r w:rsidRPr="002E402A">
        <w:rPr>
          <w:rFonts w:ascii="Times New Roman" w:hAnsi="Times New Roman" w:cs="Times New Roman"/>
          <w:sz w:val="24"/>
          <w:szCs w:val="24"/>
        </w:rPr>
        <w:t xml:space="preserve"> düşük kal</w:t>
      </w:r>
      <w:r w:rsidR="00684446" w:rsidRPr="002E402A">
        <w:rPr>
          <w:rFonts w:ascii="Times New Roman" w:hAnsi="Times New Roman" w:cs="Times New Roman"/>
          <w:sz w:val="24"/>
          <w:szCs w:val="24"/>
        </w:rPr>
        <w:t>maktadır.</w:t>
      </w:r>
      <w:r w:rsidR="004C5614" w:rsidRPr="002E402A">
        <w:rPr>
          <w:rFonts w:ascii="Times New Roman" w:hAnsi="Times New Roman" w:cs="Times New Roman"/>
          <w:sz w:val="24"/>
          <w:szCs w:val="24"/>
        </w:rPr>
        <w:t xml:space="preserve"> </w:t>
      </w:r>
    </w:p>
    <w:p w:rsidR="00591900" w:rsidRPr="002E402A" w:rsidRDefault="00F96149" w:rsidP="00FD63DE">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Yu</w:t>
      </w:r>
      <w:r w:rsidR="009E796E"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Pr="002E402A">
        <w:rPr>
          <w:rFonts w:ascii="Times New Roman" w:hAnsi="Times New Roman" w:cs="Times New Roman"/>
          <w:sz w:val="24"/>
          <w:szCs w:val="24"/>
        </w:rPr>
        <w:t>ıda, genel olarak 2009-2013 yılları döneminde piyasada faaliyet gösteren tüm aracı kurumların finansal tablo ve piyasa kurum bilgileri</w:t>
      </w:r>
      <w:r w:rsidR="00FD4B0E" w:rsidRPr="002E402A">
        <w:rPr>
          <w:rFonts w:ascii="Times New Roman" w:hAnsi="Times New Roman" w:cs="Times New Roman"/>
          <w:sz w:val="24"/>
          <w:szCs w:val="24"/>
        </w:rPr>
        <w:t xml:space="preserve"> çeşitli veri kaynaklarından sağlanarak derlenmiş, işlenmiş ve</w:t>
      </w:r>
      <w:r w:rsidRPr="002E402A">
        <w:rPr>
          <w:rFonts w:ascii="Times New Roman" w:hAnsi="Times New Roman" w:cs="Times New Roman"/>
          <w:sz w:val="24"/>
          <w:szCs w:val="24"/>
        </w:rPr>
        <w:t xml:space="preserve"> değerlendirilmiştir. </w:t>
      </w:r>
      <w:r w:rsidR="00C30984" w:rsidRPr="002E402A">
        <w:rPr>
          <w:rFonts w:ascii="Times New Roman" w:hAnsi="Times New Roman" w:cs="Times New Roman"/>
          <w:sz w:val="24"/>
          <w:szCs w:val="24"/>
        </w:rPr>
        <w:t>İkinci aşamada, aşağıda yer aldığı şekilde; v</w:t>
      </w:r>
      <w:r w:rsidR="007C483F" w:rsidRPr="002E402A">
        <w:rPr>
          <w:rFonts w:ascii="Times New Roman" w:hAnsi="Times New Roman" w:cs="Times New Roman"/>
          <w:sz w:val="24"/>
          <w:szCs w:val="24"/>
        </w:rPr>
        <w:t xml:space="preserve">eri zarflama analizi ve malmquist toplam faktör verimliliği endeksi yöntemleri uygulanarak aracı kurumların </w:t>
      </w:r>
      <w:r w:rsidR="00D005B8" w:rsidRPr="002E402A">
        <w:rPr>
          <w:rFonts w:ascii="Times New Roman" w:hAnsi="Times New Roman" w:cs="Times New Roman"/>
          <w:sz w:val="24"/>
          <w:szCs w:val="24"/>
        </w:rPr>
        <w:t>teknik etkinlik ve teknik etkinlikteki değişme, teknolojik değişme ve toplam faktör verimliliğindeki d</w:t>
      </w:r>
      <w:r w:rsidR="00C30984" w:rsidRPr="002E402A">
        <w:rPr>
          <w:rFonts w:ascii="Times New Roman" w:hAnsi="Times New Roman" w:cs="Times New Roman"/>
          <w:sz w:val="24"/>
          <w:szCs w:val="24"/>
        </w:rPr>
        <w:t xml:space="preserve">eğişme endeksleri hesaplanarak </w:t>
      </w:r>
      <w:r w:rsidR="00D005B8" w:rsidRPr="002E402A">
        <w:rPr>
          <w:rFonts w:ascii="Times New Roman" w:hAnsi="Times New Roman" w:cs="Times New Roman"/>
          <w:sz w:val="24"/>
          <w:szCs w:val="24"/>
        </w:rPr>
        <w:t xml:space="preserve">elde edilen bulgular yorumlanmıştır. </w:t>
      </w:r>
      <w:r w:rsidR="003C27FC" w:rsidRPr="002E402A">
        <w:rPr>
          <w:rFonts w:ascii="Times New Roman" w:hAnsi="Times New Roman" w:cs="Times New Roman"/>
          <w:sz w:val="24"/>
          <w:szCs w:val="24"/>
        </w:rPr>
        <w:t xml:space="preserve">Bu endekslerin hesaplanmasında DEAOS bilgisayar programı kullanılmıştır. </w:t>
      </w:r>
    </w:p>
    <w:p w:rsidR="00380C0F" w:rsidRPr="0069018B" w:rsidRDefault="00FD63DE" w:rsidP="0069018B">
      <w:pPr>
        <w:spacing w:line="240" w:lineRule="auto"/>
        <w:rPr>
          <w:rFonts w:ascii="Times New Roman" w:hAnsi="Times New Roman" w:cs="Times New Roman"/>
          <w:b/>
          <w:sz w:val="24"/>
          <w:szCs w:val="24"/>
        </w:rPr>
      </w:pPr>
      <w:r>
        <w:rPr>
          <w:rFonts w:ascii="Times New Roman" w:hAnsi="Times New Roman" w:cs="Times New Roman"/>
          <w:b/>
          <w:sz w:val="24"/>
          <w:szCs w:val="24"/>
        </w:rPr>
        <w:t>5.</w:t>
      </w:r>
      <w:r w:rsidR="00324BCD" w:rsidRPr="0069018B">
        <w:rPr>
          <w:rFonts w:ascii="Times New Roman" w:hAnsi="Times New Roman" w:cs="Times New Roman"/>
          <w:b/>
          <w:sz w:val="24"/>
          <w:szCs w:val="24"/>
        </w:rPr>
        <w:t>VZA VE MALMQUIST TOPLAM FAKTÖR VERİMLİLİĞİ BULGULARI</w:t>
      </w:r>
    </w:p>
    <w:p w:rsidR="000F401F" w:rsidRPr="002E402A" w:rsidRDefault="00922B3D" w:rsidP="00FD63DE">
      <w:pPr>
        <w:spacing w:line="240" w:lineRule="auto"/>
        <w:rPr>
          <w:rFonts w:ascii="Times New Roman" w:hAnsi="Times New Roman" w:cs="Times New Roman"/>
          <w:sz w:val="24"/>
          <w:szCs w:val="24"/>
        </w:rPr>
      </w:pPr>
      <w:r w:rsidRPr="002E402A">
        <w:rPr>
          <w:rFonts w:ascii="Times New Roman" w:hAnsi="Times New Roman" w:cs="Times New Roman"/>
          <w:sz w:val="24"/>
          <w:szCs w:val="24"/>
        </w:rPr>
        <w:t>Performans ölçümüne esas olan girdi ve çıktı</w:t>
      </w:r>
      <w:r w:rsidR="004D0C38" w:rsidRPr="002E402A">
        <w:rPr>
          <w:rFonts w:ascii="Times New Roman" w:hAnsi="Times New Roman" w:cs="Times New Roman"/>
          <w:sz w:val="24"/>
          <w:szCs w:val="24"/>
        </w:rPr>
        <w:t>lar belirlenirken</w:t>
      </w:r>
      <w:r w:rsidR="002748FD" w:rsidRPr="002E402A">
        <w:rPr>
          <w:rFonts w:ascii="Times New Roman" w:hAnsi="Times New Roman" w:cs="Times New Roman"/>
          <w:sz w:val="24"/>
          <w:szCs w:val="24"/>
        </w:rPr>
        <w:t xml:space="preserve">, literatürde </w:t>
      </w:r>
      <w:r w:rsidR="006A4A12" w:rsidRPr="002E402A">
        <w:rPr>
          <w:rFonts w:ascii="Times New Roman" w:hAnsi="Times New Roman" w:cs="Times New Roman"/>
          <w:sz w:val="24"/>
          <w:szCs w:val="24"/>
        </w:rPr>
        <w:t xml:space="preserve">yapılmış çalışmalarda </w:t>
      </w:r>
      <w:r w:rsidR="002748FD" w:rsidRPr="002E402A">
        <w:rPr>
          <w:rFonts w:ascii="Times New Roman" w:hAnsi="Times New Roman" w:cs="Times New Roman"/>
          <w:sz w:val="24"/>
          <w:szCs w:val="24"/>
        </w:rPr>
        <w:t>kullanılan girdi ve çıktı kriterlerinden ve ayrıca</w:t>
      </w:r>
      <w:r w:rsidR="00C243C5"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aracılık ve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lılık yaklaşımlarından faydalanılmıştır.</w:t>
      </w:r>
      <w:r w:rsidR="00226E92" w:rsidRPr="002E402A">
        <w:rPr>
          <w:rFonts w:ascii="Times New Roman" w:hAnsi="Times New Roman" w:cs="Times New Roman"/>
          <w:sz w:val="24"/>
          <w:szCs w:val="24"/>
        </w:rPr>
        <w:t xml:space="preserve"> </w:t>
      </w:r>
    </w:p>
    <w:p w:rsidR="00922B3D" w:rsidRPr="002E402A" w:rsidRDefault="00D30BE9" w:rsidP="00FD63DE">
      <w:pPr>
        <w:spacing w:line="240" w:lineRule="auto"/>
        <w:rPr>
          <w:rFonts w:ascii="Times New Roman" w:hAnsi="Times New Roman" w:cs="Times New Roman"/>
          <w:sz w:val="24"/>
          <w:szCs w:val="24"/>
        </w:rPr>
      </w:pPr>
      <w:r w:rsidRPr="002E402A">
        <w:rPr>
          <w:rFonts w:ascii="Times New Roman" w:hAnsi="Times New Roman" w:cs="Times New Roman"/>
          <w:sz w:val="24"/>
          <w:szCs w:val="24"/>
        </w:rPr>
        <w:t>Aracı kurumlar</w:t>
      </w:r>
      <w:r w:rsidR="00226E92" w:rsidRPr="002E402A">
        <w:rPr>
          <w:rFonts w:ascii="Times New Roman" w:hAnsi="Times New Roman" w:cs="Times New Roman"/>
          <w:sz w:val="24"/>
          <w:szCs w:val="24"/>
        </w:rPr>
        <w:t>ın</w:t>
      </w:r>
      <w:r w:rsidR="000F401F" w:rsidRPr="002E402A">
        <w:rPr>
          <w:rFonts w:ascii="Times New Roman" w:hAnsi="Times New Roman" w:cs="Times New Roman"/>
          <w:sz w:val="24"/>
          <w:szCs w:val="24"/>
        </w:rPr>
        <w:t xml:space="preserve"> başlıca ana ve yan faaliyetleri şunlardır; </w:t>
      </w:r>
      <w:r w:rsidRPr="002E402A">
        <w:rPr>
          <w:rFonts w:ascii="Times New Roman" w:hAnsi="Times New Roman" w:cs="Times New Roman"/>
          <w:sz w:val="24"/>
          <w:szCs w:val="24"/>
        </w:rPr>
        <w:t>sermaye piyasalarında menkul kıymet işlemleri</w:t>
      </w:r>
      <w:r w:rsidR="00226E92" w:rsidRPr="002E402A">
        <w:rPr>
          <w:rFonts w:ascii="Times New Roman" w:hAnsi="Times New Roman" w:cs="Times New Roman"/>
          <w:sz w:val="24"/>
          <w:szCs w:val="24"/>
        </w:rPr>
        <w:t>ne aracılık yapmak</w:t>
      </w:r>
      <w:r w:rsidR="0026737C" w:rsidRPr="002E402A">
        <w:rPr>
          <w:rFonts w:ascii="Times New Roman" w:hAnsi="Times New Roman" w:cs="Times New Roman"/>
          <w:sz w:val="24"/>
          <w:szCs w:val="24"/>
        </w:rPr>
        <w:t>, portföy yönetim hizmeti ve</w:t>
      </w:r>
      <w:r w:rsidRPr="002E402A">
        <w:rPr>
          <w:rFonts w:ascii="Times New Roman" w:hAnsi="Times New Roman" w:cs="Times New Roman"/>
          <w:sz w:val="24"/>
          <w:szCs w:val="24"/>
        </w:rPr>
        <w:t xml:space="preserve"> yatırım danışmanlığı</w:t>
      </w:r>
      <w:r w:rsidR="00226E92" w:rsidRPr="002E402A">
        <w:rPr>
          <w:rFonts w:ascii="Times New Roman" w:hAnsi="Times New Roman" w:cs="Times New Roman"/>
          <w:sz w:val="24"/>
          <w:szCs w:val="24"/>
        </w:rPr>
        <w:t xml:space="preserve"> sağlamak</w:t>
      </w:r>
      <w:r w:rsidRPr="002E402A">
        <w:rPr>
          <w:rFonts w:ascii="Times New Roman" w:hAnsi="Times New Roman" w:cs="Times New Roman"/>
          <w:sz w:val="24"/>
          <w:szCs w:val="24"/>
        </w:rPr>
        <w:t>, halka arzlar</w:t>
      </w:r>
      <w:r w:rsidR="00226E92" w:rsidRPr="002E402A">
        <w:rPr>
          <w:rFonts w:ascii="Times New Roman" w:hAnsi="Times New Roman" w:cs="Times New Roman"/>
          <w:sz w:val="24"/>
          <w:szCs w:val="24"/>
        </w:rPr>
        <w:t>da satışlara aracılık yapmak</w:t>
      </w:r>
      <w:r w:rsidRPr="002E402A">
        <w:rPr>
          <w:rFonts w:ascii="Times New Roman" w:hAnsi="Times New Roman" w:cs="Times New Roman"/>
          <w:sz w:val="24"/>
          <w:szCs w:val="24"/>
        </w:rPr>
        <w:t>, yatırım faaliyetleri ile sınırlı olarak kredi, ödünç</w:t>
      </w:r>
      <w:r w:rsidR="00226E92" w:rsidRPr="002E402A">
        <w:rPr>
          <w:rFonts w:ascii="Times New Roman" w:hAnsi="Times New Roman" w:cs="Times New Roman"/>
          <w:sz w:val="24"/>
          <w:szCs w:val="24"/>
        </w:rPr>
        <w:t xml:space="preserve"> verme ve döviz hizmeti sunmak</w:t>
      </w:r>
      <w:r w:rsidRPr="002E402A">
        <w:rPr>
          <w:rFonts w:ascii="Times New Roman" w:hAnsi="Times New Roman" w:cs="Times New Roman"/>
          <w:sz w:val="24"/>
          <w:szCs w:val="24"/>
        </w:rPr>
        <w:t xml:space="preserve">, </w:t>
      </w:r>
      <w:r w:rsidR="00226E92" w:rsidRPr="002E402A">
        <w:rPr>
          <w:rFonts w:ascii="Times New Roman" w:hAnsi="Times New Roman" w:cs="Times New Roman"/>
          <w:sz w:val="24"/>
          <w:szCs w:val="24"/>
        </w:rPr>
        <w:t>finansal araştırma ve anali</w:t>
      </w:r>
      <w:r w:rsidR="000F401F" w:rsidRPr="002E402A">
        <w:rPr>
          <w:rFonts w:ascii="Times New Roman" w:hAnsi="Times New Roman" w:cs="Times New Roman"/>
          <w:sz w:val="24"/>
          <w:szCs w:val="24"/>
        </w:rPr>
        <w:t>z yapılıp genel tavsiyede bulun</w:t>
      </w:r>
      <w:r w:rsidR="00226E92" w:rsidRPr="002E402A">
        <w:rPr>
          <w:rFonts w:ascii="Times New Roman" w:hAnsi="Times New Roman" w:cs="Times New Roman"/>
          <w:sz w:val="24"/>
          <w:szCs w:val="24"/>
        </w:rPr>
        <w:t>ma</w:t>
      </w:r>
      <w:r w:rsidR="000F401F" w:rsidRPr="002E402A">
        <w:rPr>
          <w:rFonts w:ascii="Times New Roman" w:hAnsi="Times New Roman" w:cs="Times New Roman"/>
          <w:sz w:val="24"/>
          <w:szCs w:val="24"/>
        </w:rPr>
        <w:t>k</w:t>
      </w:r>
      <w:r w:rsidR="00226E92" w:rsidRPr="002E402A">
        <w:rPr>
          <w:rFonts w:ascii="Times New Roman" w:hAnsi="Times New Roman" w:cs="Times New Roman"/>
          <w:sz w:val="24"/>
          <w:szCs w:val="24"/>
        </w:rPr>
        <w:t>, borçlanma veya başka yollarla finansman sağlamada aracılık hizmeti vermek gibi.</w:t>
      </w:r>
      <w:r w:rsidRPr="002E402A">
        <w:rPr>
          <w:rFonts w:ascii="Times New Roman" w:hAnsi="Times New Roman" w:cs="Times New Roman"/>
          <w:sz w:val="24"/>
          <w:szCs w:val="24"/>
        </w:rPr>
        <w:t xml:space="preserve"> </w:t>
      </w:r>
      <w:r w:rsidR="00226E92" w:rsidRPr="002E402A">
        <w:rPr>
          <w:rFonts w:ascii="Times New Roman" w:hAnsi="Times New Roman" w:cs="Times New Roman"/>
          <w:sz w:val="24"/>
          <w:szCs w:val="24"/>
        </w:rPr>
        <w:t xml:space="preserve">Buna </w:t>
      </w:r>
      <w:r w:rsidR="00A06441" w:rsidRPr="002E402A">
        <w:rPr>
          <w:rFonts w:ascii="Times New Roman" w:hAnsi="Times New Roman" w:cs="Times New Roman"/>
          <w:sz w:val="24"/>
          <w:szCs w:val="24"/>
        </w:rPr>
        <w:t xml:space="preserve">göre VZA yönteminde; </w:t>
      </w:r>
      <w:r w:rsidR="00217818" w:rsidRPr="002E402A">
        <w:rPr>
          <w:rFonts w:ascii="Times New Roman" w:hAnsi="Times New Roman" w:cs="Times New Roman"/>
          <w:sz w:val="24"/>
          <w:szCs w:val="24"/>
        </w:rPr>
        <w:t xml:space="preserve">verileri süreklilik arz eden </w:t>
      </w:r>
      <w:r w:rsidR="007210D2" w:rsidRPr="002E402A">
        <w:rPr>
          <w:rFonts w:ascii="Times New Roman" w:hAnsi="Times New Roman" w:cs="Times New Roman"/>
          <w:sz w:val="24"/>
          <w:szCs w:val="24"/>
        </w:rPr>
        <w:t>kâr</w:t>
      </w:r>
      <w:r w:rsidR="00217818" w:rsidRPr="002E402A">
        <w:rPr>
          <w:rFonts w:ascii="Times New Roman" w:hAnsi="Times New Roman" w:cs="Times New Roman"/>
          <w:sz w:val="24"/>
          <w:szCs w:val="24"/>
        </w:rPr>
        <w:t xml:space="preserve"> eden aracı kurumların </w:t>
      </w:r>
      <w:r w:rsidR="00226E92" w:rsidRPr="002E402A">
        <w:rPr>
          <w:rFonts w:ascii="Times New Roman" w:hAnsi="Times New Roman" w:cs="Times New Roman"/>
          <w:sz w:val="24"/>
          <w:szCs w:val="24"/>
        </w:rPr>
        <w:t>varlıklar</w:t>
      </w:r>
      <w:r w:rsidR="00CC3A73" w:rsidRPr="002E402A">
        <w:rPr>
          <w:rFonts w:ascii="Times New Roman" w:hAnsi="Times New Roman" w:cs="Times New Roman"/>
          <w:sz w:val="24"/>
          <w:szCs w:val="24"/>
        </w:rPr>
        <w:t>ı</w:t>
      </w:r>
      <w:r w:rsidR="00226E92" w:rsidRPr="002E402A">
        <w:rPr>
          <w:rFonts w:ascii="Times New Roman" w:hAnsi="Times New Roman" w:cs="Times New Roman"/>
          <w:sz w:val="24"/>
          <w:szCs w:val="24"/>
        </w:rPr>
        <w:t>, personel ve sermaye</w:t>
      </w:r>
      <w:r w:rsidR="0026737C" w:rsidRPr="002E402A">
        <w:rPr>
          <w:rFonts w:ascii="Times New Roman" w:hAnsi="Times New Roman" w:cs="Times New Roman"/>
          <w:sz w:val="24"/>
          <w:szCs w:val="24"/>
        </w:rPr>
        <w:t xml:space="preserve"> değişkenleri</w:t>
      </w:r>
      <w:r w:rsidR="00226E92" w:rsidRPr="002E402A">
        <w:rPr>
          <w:rFonts w:ascii="Times New Roman" w:hAnsi="Times New Roman" w:cs="Times New Roman"/>
          <w:sz w:val="24"/>
          <w:szCs w:val="24"/>
        </w:rPr>
        <w:t xml:space="preserve"> girdi olarak </w:t>
      </w:r>
      <w:r w:rsidR="00A06441" w:rsidRPr="002E402A">
        <w:rPr>
          <w:rFonts w:ascii="Times New Roman" w:hAnsi="Times New Roman" w:cs="Times New Roman"/>
          <w:sz w:val="24"/>
          <w:szCs w:val="24"/>
        </w:rPr>
        <w:t>kullanılmış</w:t>
      </w:r>
      <w:r w:rsidR="00CC3A73" w:rsidRPr="002E402A">
        <w:rPr>
          <w:rFonts w:ascii="Times New Roman" w:hAnsi="Times New Roman" w:cs="Times New Roman"/>
          <w:sz w:val="24"/>
          <w:szCs w:val="24"/>
        </w:rPr>
        <w:t>tır. B</w:t>
      </w:r>
      <w:r w:rsidR="00217818" w:rsidRPr="002E402A">
        <w:rPr>
          <w:rFonts w:ascii="Times New Roman" w:hAnsi="Times New Roman" w:cs="Times New Roman"/>
          <w:sz w:val="24"/>
          <w:szCs w:val="24"/>
        </w:rPr>
        <w:t xml:space="preserve">una </w:t>
      </w:r>
      <w:r w:rsidR="009E796E"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217818" w:rsidRPr="002E402A">
        <w:rPr>
          <w:rFonts w:ascii="Times New Roman" w:hAnsi="Times New Roman" w:cs="Times New Roman"/>
          <w:sz w:val="24"/>
          <w:szCs w:val="24"/>
        </w:rPr>
        <w:t>şılık</w:t>
      </w:r>
      <w:r w:rsidR="00CC3A73" w:rsidRPr="002E402A">
        <w:rPr>
          <w:rFonts w:ascii="Times New Roman" w:hAnsi="Times New Roman" w:cs="Times New Roman"/>
          <w:sz w:val="24"/>
          <w:szCs w:val="24"/>
        </w:rPr>
        <w:t>,</w:t>
      </w:r>
      <w:r w:rsidR="00226E92" w:rsidRPr="002E402A">
        <w:rPr>
          <w:rFonts w:ascii="Times New Roman" w:hAnsi="Times New Roman" w:cs="Times New Roman"/>
          <w:sz w:val="24"/>
          <w:szCs w:val="24"/>
        </w:rPr>
        <w:t xml:space="preserve"> hesap sayı</w:t>
      </w:r>
      <w:r w:rsidR="00A06441" w:rsidRPr="002E402A">
        <w:rPr>
          <w:rFonts w:ascii="Times New Roman" w:hAnsi="Times New Roman" w:cs="Times New Roman"/>
          <w:sz w:val="24"/>
          <w:szCs w:val="24"/>
        </w:rPr>
        <w:t>sı</w:t>
      </w:r>
      <w:r w:rsidR="00226E92" w:rsidRPr="002E402A">
        <w:rPr>
          <w:rFonts w:ascii="Times New Roman" w:hAnsi="Times New Roman" w:cs="Times New Roman"/>
          <w:sz w:val="24"/>
          <w:szCs w:val="24"/>
        </w:rPr>
        <w:t>,</w:t>
      </w:r>
      <w:r w:rsidR="005C23DD" w:rsidRPr="002E402A">
        <w:rPr>
          <w:rFonts w:ascii="Times New Roman" w:hAnsi="Times New Roman" w:cs="Times New Roman"/>
          <w:sz w:val="24"/>
          <w:szCs w:val="24"/>
        </w:rPr>
        <w:t xml:space="preserve"> işlem yap</w:t>
      </w:r>
      <w:r w:rsidR="00217818" w:rsidRPr="002E402A">
        <w:rPr>
          <w:rFonts w:ascii="Times New Roman" w:hAnsi="Times New Roman" w:cs="Times New Roman"/>
          <w:sz w:val="24"/>
          <w:szCs w:val="24"/>
        </w:rPr>
        <w:t>ılan</w:t>
      </w:r>
      <w:r w:rsidR="00226E92" w:rsidRPr="002E402A">
        <w:rPr>
          <w:rFonts w:ascii="Times New Roman" w:hAnsi="Times New Roman" w:cs="Times New Roman"/>
          <w:sz w:val="24"/>
          <w:szCs w:val="24"/>
        </w:rPr>
        <w:t xml:space="preserve"> piyasalarda</w:t>
      </w:r>
      <w:r w:rsidR="00217818" w:rsidRPr="002E402A">
        <w:rPr>
          <w:rFonts w:ascii="Times New Roman" w:hAnsi="Times New Roman" w:cs="Times New Roman"/>
          <w:sz w:val="24"/>
          <w:szCs w:val="24"/>
        </w:rPr>
        <w:t>ki</w:t>
      </w:r>
      <w:r w:rsidR="00A06441" w:rsidRPr="002E402A">
        <w:rPr>
          <w:rFonts w:ascii="Times New Roman" w:hAnsi="Times New Roman" w:cs="Times New Roman"/>
          <w:sz w:val="24"/>
          <w:szCs w:val="24"/>
        </w:rPr>
        <w:t xml:space="preserve"> işlem hacimleri</w:t>
      </w:r>
      <w:r w:rsidR="00226E92" w:rsidRPr="002E402A">
        <w:rPr>
          <w:rFonts w:ascii="Times New Roman" w:hAnsi="Times New Roman" w:cs="Times New Roman"/>
          <w:sz w:val="24"/>
          <w:szCs w:val="24"/>
        </w:rPr>
        <w:t xml:space="preserve">, </w:t>
      </w:r>
      <w:r w:rsidR="00A06441" w:rsidRPr="002E402A">
        <w:rPr>
          <w:rFonts w:ascii="Times New Roman" w:hAnsi="Times New Roman" w:cs="Times New Roman"/>
          <w:sz w:val="24"/>
          <w:szCs w:val="24"/>
        </w:rPr>
        <w:t xml:space="preserve">net </w:t>
      </w:r>
      <w:r w:rsidR="00226E92" w:rsidRPr="002E402A">
        <w:rPr>
          <w:rFonts w:ascii="Times New Roman" w:hAnsi="Times New Roman" w:cs="Times New Roman"/>
          <w:sz w:val="24"/>
          <w:szCs w:val="24"/>
        </w:rPr>
        <w:t xml:space="preserve">komisyon geliri ve </w:t>
      </w:r>
      <w:r w:rsidR="00A06441" w:rsidRPr="002E402A">
        <w:rPr>
          <w:rFonts w:ascii="Times New Roman" w:hAnsi="Times New Roman" w:cs="Times New Roman"/>
          <w:sz w:val="24"/>
          <w:szCs w:val="24"/>
        </w:rPr>
        <w:t xml:space="preserve">net </w:t>
      </w:r>
      <w:r w:rsidR="007210D2" w:rsidRPr="002E402A">
        <w:rPr>
          <w:rFonts w:ascii="Times New Roman" w:hAnsi="Times New Roman" w:cs="Times New Roman"/>
          <w:sz w:val="24"/>
          <w:szCs w:val="24"/>
        </w:rPr>
        <w:t>kâr</w:t>
      </w:r>
      <w:r w:rsidR="0026737C" w:rsidRPr="002E402A">
        <w:rPr>
          <w:rFonts w:ascii="Times New Roman" w:hAnsi="Times New Roman" w:cs="Times New Roman"/>
          <w:sz w:val="24"/>
          <w:szCs w:val="24"/>
        </w:rPr>
        <w:t xml:space="preserve"> değişkenleri</w:t>
      </w:r>
      <w:r w:rsidR="00A06441" w:rsidRPr="002E402A">
        <w:rPr>
          <w:rFonts w:ascii="Times New Roman" w:hAnsi="Times New Roman" w:cs="Times New Roman"/>
          <w:sz w:val="24"/>
          <w:szCs w:val="24"/>
        </w:rPr>
        <w:t xml:space="preserve"> çıktı olarak kabul edilmiştir.</w:t>
      </w:r>
      <w:r w:rsidR="00D63E3D" w:rsidRPr="002E402A">
        <w:rPr>
          <w:rFonts w:ascii="Times New Roman" w:hAnsi="Times New Roman" w:cs="Times New Roman"/>
          <w:sz w:val="24"/>
          <w:szCs w:val="24"/>
        </w:rPr>
        <w:t xml:space="preserve"> </w:t>
      </w:r>
      <w:r w:rsidR="00FD63DE">
        <w:rPr>
          <w:rFonts w:ascii="Times New Roman" w:hAnsi="Times New Roman" w:cs="Times New Roman"/>
          <w:sz w:val="24"/>
          <w:szCs w:val="24"/>
        </w:rPr>
        <w:t>Bu çalışmada,</w:t>
      </w:r>
      <w:r w:rsidR="009E796E" w:rsidRPr="002E402A">
        <w:rPr>
          <w:rFonts w:ascii="Times New Roman" w:hAnsi="Times New Roman" w:cs="Times New Roman"/>
          <w:sz w:val="24"/>
          <w:szCs w:val="24"/>
        </w:rPr>
        <w:t xml:space="preserve"> </w:t>
      </w:r>
      <w:r w:rsidR="00D63E3D" w:rsidRPr="002E402A">
        <w:rPr>
          <w:rFonts w:ascii="Times New Roman" w:hAnsi="Times New Roman" w:cs="Times New Roman"/>
          <w:sz w:val="24"/>
          <w:szCs w:val="24"/>
        </w:rPr>
        <w:t xml:space="preserve"> verimlilik ve etkinlik incelemesinde kurumların isimlerinden çok yapısal özellikleri</w:t>
      </w:r>
      <w:r w:rsidR="00FB3B45" w:rsidRPr="002E402A">
        <w:rPr>
          <w:rFonts w:ascii="Times New Roman" w:hAnsi="Times New Roman" w:cs="Times New Roman"/>
          <w:sz w:val="24"/>
          <w:szCs w:val="24"/>
        </w:rPr>
        <w:t>nin</w:t>
      </w:r>
      <w:r w:rsidR="00D63E3D" w:rsidRPr="002E402A">
        <w:rPr>
          <w:rFonts w:ascii="Times New Roman" w:hAnsi="Times New Roman" w:cs="Times New Roman"/>
          <w:sz w:val="24"/>
          <w:szCs w:val="24"/>
        </w:rPr>
        <w:t xml:space="preserve"> anlatılmasının daha uygun olacağını</w:t>
      </w:r>
      <w:r w:rsidR="009E796E" w:rsidRPr="002E402A">
        <w:rPr>
          <w:rFonts w:ascii="Times New Roman" w:hAnsi="Times New Roman" w:cs="Times New Roman"/>
          <w:sz w:val="24"/>
          <w:szCs w:val="24"/>
        </w:rPr>
        <w:t xml:space="preserve">n düşünülmesi nedeniyle </w:t>
      </w:r>
      <w:r w:rsidR="00D63E3D" w:rsidRPr="002E402A">
        <w:rPr>
          <w:rFonts w:ascii="Times New Roman" w:hAnsi="Times New Roman" w:cs="Times New Roman"/>
          <w:sz w:val="24"/>
          <w:szCs w:val="24"/>
        </w:rPr>
        <w:t>aracı kurum isimleri kodlanmıştır.</w:t>
      </w:r>
      <w:r w:rsidR="00602F97" w:rsidRPr="002E402A">
        <w:rPr>
          <w:rFonts w:ascii="Times New Roman" w:hAnsi="Times New Roman" w:cs="Times New Roman"/>
          <w:sz w:val="24"/>
          <w:szCs w:val="24"/>
        </w:rPr>
        <w:t xml:space="preserve"> </w:t>
      </w:r>
      <w:r w:rsidR="009E796E" w:rsidRPr="002E402A">
        <w:rPr>
          <w:rFonts w:ascii="Times New Roman" w:hAnsi="Times New Roman" w:cs="Times New Roman"/>
          <w:sz w:val="24"/>
          <w:szCs w:val="24"/>
        </w:rPr>
        <w:t xml:space="preserve"> Dolayısıyla, v</w:t>
      </w:r>
      <w:r w:rsidR="00602F97" w:rsidRPr="002E402A">
        <w:rPr>
          <w:rFonts w:ascii="Times New Roman" w:hAnsi="Times New Roman" w:cs="Times New Roman"/>
          <w:sz w:val="24"/>
          <w:szCs w:val="24"/>
        </w:rPr>
        <w:t xml:space="preserve">erimlilik ve etkinlik gösteren kurumların </w:t>
      </w:r>
      <w:r w:rsidR="00A80AF4" w:rsidRPr="002E402A">
        <w:rPr>
          <w:rFonts w:ascii="Times New Roman" w:hAnsi="Times New Roman" w:cs="Times New Roman"/>
          <w:sz w:val="24"/>
          <w:szCs w:val="24"/>
        </w:rPr>
        <w:t xml:space="preserve">genel </w:t>
      </w:r>
      <w:r w:rsidR="00602F97" w:rsidRPr="002E402A">
        <w:rPr>
          <w:rFonts w:ascii="Times New Roman" w:hAnsi="Times New Roman" w:cs="Times New Roman"/>
          <w:sz w:val="24"/>
          <w:szCs w:val="24"/>
        </w:rPr>
        <w:t>özellikleri ele alınmıştır.</w:t>
      </w:r>
    </w:p>
    <w:p w:rsidR="00384271" w:rsidRPr="002E402A" w:rsidRDefault="00384271" w:rsidP="00FD63DE">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Analize esas olan veri setleri 2009 – 2013 dönemi </w:t>
      </w:r>
      <w:r w:rsidR="000A015E" w:rsidRPr="002E402A">
        <w:rPr>
          <w:rFonts w:ascii="Times New Roman" w:hAnsi="Times New Roman" w:cs="Times New Roman"/>
          <w:sz w:val="24"/>
          <w:szCs w:val="24"/>
        </w:rPr>
        <w:t>yılları için aşağıdaki beş çizelgede</w:t>
      </w:r>
      <w:r w:rsidR="00FD63DE">
        <w:rPr>
          <w:rFonts w:ascii="Times New Roman" w:hAnsi="Times New Roman" w:cs="Times New Roman"/>
          <w:sz w:val="24"/>
          <w:szCs w:val="24"/>
        </w:rPr>
        <w:t xml:space="preserve"> yer almaktadır:</w:t>
      </w: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007F57" w:rsidRDefault="00007F57" w:rsidP="000A7CD7">
      <w:pPr>
        <w:spacing w:line="240" w:lineRule="auto"/>
        <w:ind w:firstLine="567"/>
        <w:rPr>
          <w:rFonts w:ascii="Times New Roman" w:hAnsi="Times New Roman" w:cs="Times New Roman"/>
          <w:b/>
          <w:sz w:val="24"/>
          <w:szCs w:val="24"/>
        </w:rPr>
      </w:pPr>
    </w:p>
    <w:p w:rsidR="00007F57" w:rsidRDefault="00007F57" w:rsidP="000A7CD7">
      <w:pPr>
        <w:spacing w:line="240" w:lineRule="auto"/>
        <w:ind w:firstLine="567"/>
        <w:rPr>
          <w:rFonts w:ascii="Times New Roman" w:hAnsi="Times New Roman" w:cs="Times New Roman"/>
          <w:b/>
          <w:sz w:val="24"/>
          <w:szCs w:val="24"/>
        </w:rPr>
      </w:pPr>
    </w:p>
    <w:p w:rsidR="00007F57" w:rsidRDefault="00007F57" w:rsidP="000A7CD7">
      <w:pPr>
        <w:spacing w:line="240" w:lineRule="auto"/>
        <w:ind w:firstLine="567"/>
        <w:rPr>
          <w:rFonts w:ascii="Times New Roman" w:hAnsi="Times New Roman" w:cs="Times New Roman"/>
          <w:b/>
          <w:sz w:val="24"/>
          <w:szCs w:val="24"/>
        </w:rPr>
      </w:pPr>
    </w:p>
    <w:p w:rsidR="00007F57" w:rsidRDefault="00007F57" w:rsidP="000A7CD7">
      <w:pPr>
        <w:spacing w:line="240" w:lineRule="auto"/>
        <w:ind w:firstLine="567"/>
        <w:rPr>
          <w:rFonts w:ascii="Times New Roman" w:hAnsi="Times New Roman" w:cs="Times New Roman"/>
          <w:b/>
          <w:sz w:val="24"/>
          <w:szCs w:val="24"/>
        </w:rPr>
      </w:pPr>
    </w:p>
    <w:p w:rsidR="00007F57" w:rsidRDefault="00007F57" w:rsidP="000A7CD7">
      <w:pPr>
        <w:spacing w:line="240" w:lineRule="auto"/>
        <w:ind w:firstLine="567"/>
        <w:rPr>
          <w:rFonts w:ascii="Times New Roman" w:hAnsi="Times New Roman" w:cs="Times New Roman"/>
          <w:b/>
          <w:sz w:val="24"/>
          <w:szCs w:val="24"/>
        </w:rPr>
      </w:pPr>
    </w:p>
    <w:p w:rsidR="00384271" w:rsidRPr="002E402A" w:rsidRDefault="000A015E" w:rsidP="00007F57">
      <w:pPr>
        <w:spacing w:line="240" w:lineRule="auto"/>
        <w:ind w:firstLine="567"/>
        <w:jc w:val="center"/>
        <w:rPr>
          <w:rFonts w:ascii="Times New Roman" w:hAnsi="Times New Roman" w:cs="Times New Roman"/>
          <w:sz w:val="24"/>
          <w:szCs w:val="24"/>
        </w:rPr>
      </w:pPr>
      <w:r w:rsidRPr="002E402A">
        <w:rPr>
          <w:rFonts w:ascii="Times New Roman" w:hAnsi="Times New Roman" w:cs="Times New Roman"/>
          <w:b/>
          <w:sz w:val="24"/>
          <w:szCs w:val="24"/>
        </w:rPr>
        <w:lastRenderedPageBreak/>
        <w:t>Çizelge</w:t>
      </w:r>
      <w:r w:rsidR="00384271" w:rsidRPr="002E402A">
        <w:rPr>
          <w:rFonts w:ascii="Times New Roman" w:hAnsi="Times New Roman" w:cs="Times New Roman"/>
          <w:b/>
          <w:sz w:val="24"/>
          <w:szCs w:val="24"/>
        </w:rPr>
        <w:t xml:space="preserve"> 4.</w:t>
      </w:r>
      <w:r w:rsidR="00384271" w:rsidRPr="002E402A">
        <w:rPr>
          <w:rFonts w:ascii="Times New Roman" w:hAnsi="Times New Roman" w:cs="Times New Roman"/>
          <w:sz w:val="24"/>
          <w:szCs w:val="24"/>
        </w:rPr>
        <w:t xml:space="preserve"> </w:t>
      </w:r>
      <w:r w:rsidR="00384271" w:rsidRPr="002E402A">
        <w:rPr>
          <w:rFonts w:ascii="Times New Roman" w:hAnsi="Times New Roman" w:cs="Times New Roman"/>
          <w:b/>
          <w:sz w:val="24"/>
          <w:szCs w:val="24"/>
        </w:rPr>
        <w:t>Analize Esas Aracı Kurumların 2009 Yılı Girdi ve Çıktı Değerleri</w:t>
      </w:r>
    </w:p>
    <w:p w:rsidR="00384271" w:rsidRPr="002E402A" w:rsidRDefault="006B698E"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682DB58B" wp14:editId="3C9A879D">
            <wp:extent cx="5715000" cy="3276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lum contrast="50000"/>
                      <a:extLst>
                        <a:ext uri="{28A0092B-C50C-407E-A947-70E740481C1C}">
                          <a14:useLocalDpi xmlns:a14="http://schemas.microsoft.com/office/drawing/2010/main" val="0"/>
                        </a:ext>
                      </a:extLst>
                    </a:blip>
                    <a:srcRect/>
                    <a:stretch>
                      <a:fillRect/>
                    </a:stretch>
                  </pic:blipFill>
                  <pic:spPr bwMode="auto">
                    <a:xfrm>
                      <a:off x="0" y="0"/>
                      <a:ext cx="5755903" cy="3300051"/>
                    </a:xfrm>
                    <a:prstGeom prst="rect">
                      <a:avLst/>
                    </a:prstGeom>
                    <a:noFill/>
                    <a:ln>
                      <a:noFill/>
                    </a:ln>
                  </pic:spPr>
                </pic:pic>
              </a:graphicData>
            </a:graphic>
          </wp:inline>
        </w:drawing>
      </w:r>
    </w:p>
    <w:p w:rsidR="00384271" w:rsidRPr="002E402A" w:rsidRDefault="000A015E" w:rsidP="00007F57">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384271" w:rsidRPr="002E402A">
        <w:rPr>
          <w:rFonts w:ascii="Times New Roman" w:hAnsi="Times New Roman" w:cs="Times New Roman"/>
          <w:b/>
          <w:sz w:val="24"/>
          <w:szCs w:val="24"/>
        </w:rPr>
        <w:t xml:space="preserve"> </w:t>
      </w:r>
      <w:r w:rsidR="00517A85" w:rsidRPr="002E402A">
        <w:rPr>
          <w:rFonts w:ascii="Times New Roman" w:hAnsi="Times New Roman" w:cs="Times New Roman"/>
          <w:b/>
          <w:sz w:val="24"/>
          <w:szCs w:val="24"/>
        </w:rPr>
        <w:t>5</w:t>
      </w:r>
      <w:r w:rsidR="00384271" w:rsidRPr="002E402A">
        <w:rPr>
          <w:rFonts w:ascii="Times New Roman" w:hAnsi="Times New Roman" w:cs="Times New Roman"/>
          <w:b/>
          <w:sz w:val="24"/>
          <w:szCs w:val="24"/>
        </w:rPr>
        <w:t>.</w:t>
      </w:r>
      <w:r w:rsidR="00384271" w:rsidRPr="002E402A">
        <w:rPr>
          <w:rFonts w:ascii="Times New Roman" w:hAnsi="Times New Roman" w:cs="Times New Roman"/>
          <w:sz w:val="24"/>
          <w:szCs w:val="24"/>
        </w:rPr>
        <w:t xml:space="preserve"> </w:t>
      </w:r>
      <w:r w:rsidR="00384271" w:rsidRPr="002E402A">
        <w:rPr>
          <w:rFonts w:ascii="Times New Roman" w:hAnsi="Times New Roman" w:cs="Times New Roman"/>
          <w:b/>
          <w:sz w:val="24"/>
          <w:szCs w:val="24"/>
        </w:rPr>
        <w:t>Analize Esas Aracı Kurumların 2010 Yılı Girdi ve Çıktı Değerleri</w:t>
      </w:r>
    </w:p>
    <w:p w:rsidR="00384271" w:rsidRPr="002E402A" w:rsidRDefault="006B698E"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0F515E04" wp14:editId="3F9079F9">
            <wp:extent cx="5715000" cy="318709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lum contrast="50000"/>
                      <a:extLst>
                        <a:ext uri="{28A0092B-C50C-407E-A947-70E740481C1C}">
                          <a14:useLocalDpi xmlns:a14="http://schemas.microsoft.com/office/drawing/2010/main" val="0"/>
                        </a:ext>
                      </a:extLst>
                    </a:blip>
                    <a:srcRect/>
                    <a:stretch>
                      <a:fillRect/>
                    </a:stretch>
                  </pic:blipFill>
                  <pic:spPr bwMode="auto">
                    <a:xfrm>
                      <a:off x="0" y="0"/>
                      <a:ext cx="5731712" cy="3196418"/>
                    </a:xfrm>
                    <a:prstGeom prst="rect">
                      <a:avLst/>
                    </a:prstGeom>
                    <a:noFill/>
                    <a:ln>
                      <a:noFill/>
                    </a:ln>
                  </pic:spPr>
                </pic:pic>
              </a:graphicData>
            </a:graphic>
          </wp:inline>
        </w:drawing>
      </w: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6B698E" w:rsidRPr="002E402A" w:rsidRDefault="006B698E" w:rsidP="000A7CD7">
      <w:pPr>
        <w:spacing w:line="240" w:lineRule="auto"/>
        <w:ind w:firstLine="567"/>
        <w:rPr>
          <w:rFonts w:ascii="Times New Roman" w:hAnsi="Times New Roman" w:cs="Times New Roman"/>
          <w:b/>
          <w:sz w:val="24"/>
          <w:szCs w:val="24"/>
        </w:rPr>
      </w:pPr>
    </w:p>
    <w:p w:rsidR="00517A85" w:rsidRPr="002E402A" w:rsidRDefault="000A015E" w:rsidP="00007F57">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517A85" w:rsidRPr="002E402A">
        <w:rPr>
          <w:rFonts w:ascii="Times New Roman" w:hAnsi="Times New Roman" w:cs="Times New Roman"/>
          <w:b/>
          <w:sz w:val="24"/>
          <w:szCs w:val="24"/>
        </w:rPr>
        <w:t xml:space="preserve"> 6.</w:t>
      </w:r>
      <w:r w:rsidR="00517A85" w:rsidRPr="002E402A">
        <w:rPr>
          <w:rFonts w:ascii="Times New Roman" w:hAnsi="Times New Roman" w:cs="Times New Roman"/>
          <w:sz w:val="24"/>
          <w:szCs w:val="24"/>
        </w:rPr>
        <w:t xml:space="preserve"> </w:t>
      </w:r>
      <w:r w:rsidR="00517A85" w:rsidRPr="002E402A">
        <w:rPr>
          <w:rFonts w:ascii="Times New Roman" w:hAnsi="Times New Roman" w:cs="Times New Roman"/>
          <w:b/>
          <w:sz w:val="24"/>
          <w:szCs w:val="24"/>
        </w:rPr>
        <w:t>Analize Esas Aracı Kurumların 2011 Yılı Girdi ve Çıktı Değerleri</w:t>
      </w:r>
    </w:p>
    <w:p w:rsidR="00384271" w:rsidRPr="002E402A" w:rsidRDefault="006B698E"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24A419FA" wp14:editId="46856177">
            <wp:extent cx="5638800" cy="3295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52616" cy="3303725"/>
                    </a:xfrm>
                    <a:prstGeom prst="rect">
                      <a:avLst/>
                    </a:prstGeom>
                    <a:noFill/>
                    <a:ln>
                      <a:noFill/>
                    </a:ln>
                  </pic:spPr>
                </pic:pic>
              </a:graphicData>
            </a:graphic>
          </wp:inline>
        </w:drawing>
      </w:r>
    </w:p>
    <w:p w:rsidR="00623BC5" w:rsidRPr="002E402A" w:rsidRDefault="000A015E" w:rsidP="00007F57">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623BC5" w:rsidRPr="002E402A">
        <w:rPr>
          <w:rFonts w:ascii="Times New Roman" w:hAnsi="Times New Roman" w:cs="Times New Roman"/>
          <w:b/>
          <w:sz w:val="24"/>
          <w:szCs w:val="24"/>
        </w:rPr>
        <w:t xml:space="preserve"> 7.</w:t>
      </w:r>
      <w:r w:rsidR="00623BC5" w:rsidRPr="002E402A">
        <w:rPr>
          <w:rFonts w:ascii="Times New Roman" w:hAnsi="Times New Roman" w:cs="Times New Roman"/>
          <w:sz w:val="24"/>
          <w:szCs w:val="24"/>
        </w:rPr>
        <w:t xml:space="preserve"> </w:t>
      </w:r>
      <w:r w:rsidR="00623BC5" w:rsidRPr="002E402A">
        <w:rPr>
          <w:rFonts w:ascii="Times New Roman" w:hAnsi="Times New Roman" w:cs="Times New Roman"/>
          <w:b/>
          <w:sz w:val="24"/>
          <w:szCs w:val="24"/>
        </w:rPr>
        <w:t>Analize Esas Aracı Kurumların 2012 Yılı Girdi ve Çıktı Değerleri</w:t>
      </w:r>
    </w:p>
    <w:p w:rsidR="00B15085" w:rsidRPr="002E402A" w:rsidRDefault="006B698E"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05F8DD50" wp14:editId="374EF9B0">
            <wp:extent cx="5781675" cy="3274376"/>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88396" cy="3278182"/>
                    </a:xfrm>
                    <a:prstGeom prst="rect">
                      <a:avLst/>
                    </a:prstGeom>
                    <a:noFill/>
                    <a:ln>
                      <a:noFill/>
                    </a:ln>
                  </pic:spPr>
                </pic:pic>
              </a:graphicData>
            </a:graphic>
          </wp:inline>
        </w:drawing>
      </w:r>
    </w:p>
    <w:p w:rsidR="00B25B5B" w:rsidRPr="002E402A" w:rsidRDefault="00B25B5B" w:rsidP="000A7CD7">
      <w:pPr>
        <w:spacing w:line="240" w:lineRule="auto"/>
        <w:ind w:firstLine="567"/>
        <w:rPr>
          <w:rFonts w:ascii="Times New Roman" w:hAnsi="Times New Roman" w:cs="Times New Roman"/>
          <w:b/>
          <w:sz w:val="24"/>
          <w:szCs w:val="24"/>
        </w:rPr>
      </w:pPr>
    </w:p>
    <w:p w:rsidR="00B25B5B" w:rsidRPr="002E402A" w:rsidRDefault="00B25B5B" w:rsidP="000A7CD7">
      <w:pPr>
        <w:spacing w:line="240" w:lineRule="auto"/>
        <w:ind w:firstLine="567"/>
        <w:rPr>
          <w:rFonts w:ascii="Times New Roman" w:hAnsi="Times New Roman" w:cs="Times New Roman"/>
          <w:b/>
          <w:sz w:val="24"/>
          <w:szCs w:val="24"/>
        </w:rPr>
      </w:pPr>
    </w:p>
    <w:p w:rsidR="00B25B5B" w:rsidRPr="002E402A" w:rsidRDefault="00B25B5B" w:rsidP="000A7CD7">
      <w:pPr>
        <w:spacing w:line="240" w:lineRule="auto"/>
        <w:ind w:firstLine="567"/>
        <w:rPr>
          <w:rFonts w:ascii="Times New Roman" w:hAnsi="Times New Roman" w:cs="Times New Roman"/>
          <w:b/>
          <w:sz w:val="24"/>
          <w:szCs w:val="24"/>
        </w:rPr>
      </w:pPr>
    </w:p>
    <w:p w:rsidR="00B25B5B" w:rsidRPr="002E402A" w:rsidRDefault="00B25B5B" w:rsidP="000A7CD7">
      <w:pPr>
        <w:spacing w:line="240" w:lineRule="auto"/>
        <w:ind w:firstLine="567"/>
        <w:rPr>
          <w:rFonts w:ascii="Times New Roman" w:hAnsi="Times New Roman" w:cs="Times New Roman"/>
          <w:b/>
          <w:sz w:val="24"/>
          <w:szCs w:val="24"/>
        </w:rPr>
      </w:pPr>
    </w:p>
    <w:p w:rsidR="00240955" w:rsidRPr="002E402A" w:rsidRDefault="000A015E" w:rsidP="00007F57">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240955" w:rsidRPr="002E402A">
        <w:rPr>
          <w:rFonts w:ascii="Times New Roman" w:hAnsi="Times New Roman" w:cs="Times New Roman"/>
          <w:b/>
          <w:sz w:val="24"/>
          <w:szCs w:val="24"/>
        </w:rPr>
        <w:t xml:space="preserve"> 8.</w:t>
      </w:r>
      <w:r w:rsidR="00240955" w:rsidRPr="002E402A">
        <w:rPr>
          <w:rFonts w:ascii="Times New Roman" w:hAnsi="Times New Roman" w:cs="Times New Roman"/>
          <w:sz w:val="24"/>
          <w:szCs w:val="24"/>
        </w:rPr>
        <w:t xml:space="preserve"> </w:t>
      </w:r>
      <w:r w:rsidR="00240955" w:rsidRPr="002E402A">
        <w:rPr>
          <w:rFonts w:ascii="Times New Roman" w:hAnsi="Times New Roman" w:cs="Times New Roman"/>
          <w:b/>
          <w:sz w:val="24"/>
          <w:szCs w:val="24"/>
        </w:rPr>
        <w:t>Analize Esas Aracı Kurumların 2013 Yılı Girdi ve Çıktı Değerleri</w:t>
      </w:r>
    </w:p>
    <w:p w:rsidR="006B698E" w:rsidRPr="002E402A" w:rsidRDefault="006B698E" w:rsidP="000A7CD7">
      <w:pPr>
        <w:spacing w:line="240" w:lineRule="auto"/>
        <w:ind w:firstLine="567"/>
        <w:rPr>
          <w:rFonts w:ascii="Times New Roman" w:hAnsi="Times New Roman" w:cs="Times New Roman"/>
          <w:b/>
          <w:sz w:val="24"/>
          <w:szCs w:val="24"/>
        </w:rPr>
      </w:pPr>
      <w:r w:rsidRPr="002E402A">
        <w:rPr>
          <w:rFonts w:ascii="Times New Roman" w:hAnsi="Times New Roman" w:cs="Times New Roman"/>
          <w:noProof/>
          <w:sz w:val="24"/>
          <w:szCs w:val="24"/>
          <w:lang w:eastAsia="tr-TR"/>
        </w:rPr>
        <w:drawing>
          <wp:inline distT="0" distB="0" distL="0" distR="0" wp14:anchorId="6BCDB48B" wp14:editId="4D943002">
            <wp:extent cx="5619750" cy="326678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7422" cy="3265433"/>
                    </a:xfrm>
                    <a:prstGeom prst="rect">
                      <a:avLst/>
                    </a:prstGeom>
                    <a:noFill/>
                    <a:ln>
                      <a:noFill/>
                    </a:ln>
                  </pic:spPr>
                </pic:pic>
              </a:graphicData>
            </a:graphic>
          </wp:inline>
        </w:drawing>
      </w:r>
    </w:p>
    <w:p w:rsidR="00860088" w:rsidRPr="002E402A" w:rsidRDefault="000A015E" w:rsidP="00007F57">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884140" w:rsidRPr="002E402A">
        <w:rPr>
          <w:rFonts w:ascii="Times New Roman" w:hAnsi="Times New Roman" w:cs="Times New Roman"/>
          <w:b/>
          <w:sz w:val="24"/>
          <w:szCs w:val="24"/>
        </w:rPr>
        <w:t xml:space="preserve"> </w:t>
      </w:r>
      <w:r w:rsidR="000E0FC2" w:rsidRPr="002E402A">
        <w:rPr>
          <w:rFonts w:ascii="Times New Roman" w:hAnsi="Times New Roman" w:cs="Times New Roman"/>
          <w:b/>
          <w:sz w:val="24"/>
          <w:szCs w:val="24"/>
        </w:rPr>
        <w:t>9</w:t>
      </w:r>
      <w:r w:rsidR="00884140" w:rsidRPr="002E402A">
        <w:rPr>
          <w:rFonts w:ascii="Times New Roman" w:hAnsi="Times New Roman" w:cs="Times New Roman"/>
          <w:b/>
          <w:sz w:val="24"/>
          <w:szCs w:val="24"/>
        </w:rPr>
        <w:t>.</w:t>
      </w:r>
      <w:r w:rsidR="00884140" w:rsidRPr="002E402A">
        <w:rPr>
          <w:rFonts w:ascii="Times New Roman" w:hAnsi="Times New Roman" w:cs="Times New Roman"/>
          <w:sz w:val="24"/>
          <w:szCs w:val="24"/>
        </w:rPr>
        <w:t xml:space="preserve"> </w:t>
      </w:r>
      <w:r w:rsidR="00884140" w:rsidRPr="002E402A">
        <w:rPr>
          <w:rFonts w:ascii="Times New Roman" w:hAnsi="Times New Roman" w:cs="Times New Roman"/>
          <w:b/>
          <w:sz w:val="24"/>
          <w:szCs w:val="24"/>
        </w:rPr>
        <w:t>Aracı K</w:t>
      </w:r>
      <w:r w:rsidR="00860088" w:rsidRPr="002E402A">
        <w:rPr>
          <w:rFonts w:ascii="Times New Roman" w:hAnsi="Times New Roman" w:cs="Times New Roman"/>
          <w:b/>
          <w:sz w:val="24"/>
          <w:szCs w:val="24"/>
        </w:rPr>
        <w:t xml:space="preserve">urumların </w:t>
      </w:r>
      <w:r w:rsidR="00884140" w:rsidRPr="002E402A">
        <w:rPr>
          <w:rFonts w:ascii="Times New Roman" w:hAnsi="Times New Roman" w:cs="Times New Roman"/>
          <w:b/>
          <w:sz w:val="24"/>
          <w:szCs w:val="24"/>
        </w:rPr>
        <w:t>2009-2013 Yılları D</w:t>
      </w:r>
      <w:r w:rsidR="00BD1709" w:rsidRPr="002E402A">
        <w:rPr>
          <w:rFonts w:ascii="Times New Roman" w:hAnsi="Times New Roman" w:cs="Times New Roman"/>
          <w:b/>
          <w:sz w:val="24"/>
          <w:szCs w:val="24"/>
        </w:rPr>
        <w:t xml:space="preserve">önemi </w:t>
      </w:r>
      <w:r w:rsidR="00884140" w:rsidRPr="002E402A">
        <w:rPr>
          <w:rFonts w:ascii="Times New Roman" w:hAnsi="Times New Roman" w:cs="Times New Roman"/>
          <w:b/>
          <w:sz w:val="24"/>
          <w:szCs w:val="24"/>
        </w:rPr>
        <w:t>VZA S</w:t>
      </w:r>
      <w:r w:rsidR="005919EE" w:rsidRPr="002E402A">
        <w:rPr>
          <w:rFonts w:ascii="Times New Roman" w:hAnsi="Times New Roman" w:cs="Times New Roman"/>
          <w:b/>
          <w:sz w:val="24"/>
          <w:szCs w:val="24"/>
        </w:rPr>
        <w:t xml:space="preserve">onucu </w:t>
      </w:r>
      <w:r w:rsidR="00884140" w:rsidRPr="002E402A">
        <w:rPr>
          <w:rFonts w:ascii="Times New Roman" w:hAnsi="Times New Roman" w:cs="Times New Roman"/>
          <w:b/>
          <w:sz w:val="24"/>
          <w:szCs w:val="24"/>
        </w:rPr>
        <w:t>E</w:t>
      </w:r>
      <w:r w:rsidR="00860088" w:rsidRPr="002E402A">
        <w:rPr>
          <w:rFonts w:ascii="Times New Roman" w:hAnsi="Times New Roman" w:cs="Times New Roman"/>
          <w:b/>
          <w:sz w:val="24"/>
          <w:szCs w:val="24"/>
        </w:rPr>
        <w:t>tkinl</w:t>
      </w:r>
      <w:r w:rsidR="005919EE" w:rsidRPr="002E402A">
        <w:rPr>
          <w:rFonts w:ascii="Times New Roman" w:hAnsi="Times New Roman" w:cs="Times New Roman"/>
          <w:b/>
          <w:sz w:val="24"/>
          <w:szCs w:val="24"/>
        </w:rPr>
        <w:t>i</w:t>
      </w:r>
      <w:r w:rsidR="00884140" w:rsidRPr="002E402A">
        <w:rPr>
          <w:rFonts w:ascii="Times New Roman" w:hAnsi="Times New Roman" w:cs="Times New Roman"/>
          <w:b/>
          <w:sz w:val="24"/>
          <w:szCs w:val="24"/>
        </w:rPr>
        <w:t>k D</w:t>
      </w:r>
      <w:r w:rsidR="00860088" w:rsidRPr="002E402A">
        <w:rPr>
          <w:rFonts w:ascii="Times New Roman" w:hAnsi="Times New Roman" w:cs="Times New Roman"/>
          <w:b/>
          <w:sz w:val="24"/>
          <w:szCs w:val="24"/>
        </w:rPr>
        <w:t>eğerleri</w:t>
      </w:r>
    </w:p>
    <w:p w:rsidR="006B698E" w:rsidRPr="002E402A" w:rsidRDefault="006B698E" w:rsidP="000A7CD7">
      <w:pPr>
        <w:spacing w:line="240" w:lineRule="auto"/>
        <w:ind w:firstLine="567"/>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49028BC7" wp14:editId="01B91CFA">
            <wp:extent cx="5018013" cy="3581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56352" cy="3608763"/>
                    </a:xfrm>
                    <a:prstGeom prst="rect">
                      <a:avLst/>
                    </a:prstGeom>
                    <a:noFill/>
                    <a:ln>
                      <a:noFill/>
                    </a:ln>
                  </pic:spPr>
                </pic:pic>
              </a:graphicData>
            </a:graphic>
          </wp:inline>
        </w:drawing>
      </w:r>
    </w:p>
    <w:p w:rsidR="00217818" w:rsidRPr="002E402A" w:rsidRDefault="00217818" w:rsidP="000A7CD7">
      <w:pPr>
        <w:spacing w:line="240" w:lineRule="auto"/>
        <w:ind w:left="567"/>
        <w:rPr>
          <w:rFonts w:ascii="Times New Roman" w:hAnsi="Times New Roman" w:cs="Times New Roman"/>
          <w:color w:val="4F81BD" w:themeColor="accent1"/>
          <w:sz w:val="24"/>
          <w:szCs w:val="24"/>
        </w:rPr>
      </w:pPr>
    </w:p>
    <w:p w:rsidR="001A35D4" w:rsidRPr="002E402A" w:rsidRDefault="000A015E" w:rsidP="00007F57">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Çizelge</w:t>
      </w:r>
      <w:r w:rsidR="00FF7A1E" w:rsidRPr="002E402A">
        <w:rPr>
          <w:rFonts w:ascii="Times New Roman" w:hAnsi="Times New Roman" w:cs="Times New Roman"/>
          <w:sz w:val="24"/>
          <w:szCs w:val="24"/>
        </w:rPr>
        <w:t xml:space="preserve"> </w:t>
      </w:r>
      <w:r w:rsidR="000E0FC2" w:rsidRPr="002E402A">
        <w:rPr>
          <w:rFonts w:ascii="Times New Roman" w:hAnsi="Times New Roman" w:cs="Times New Roman"/>
          <w:sz w:val="24"/>
          <w:szCs w:val="24"/>
        </w:rPr>
        <w:t>9’da</w:t>
      </w:r>
      <w:r w:rsidR="005E6E1B" w:rsidRPr="002E402A">
        <w:rPr>
          <w:rFonts w:ascii="Times New Roman" w:hAnsi="Times New Roman" w:cs="Times New Roman"/>
          <w:sz w:val="24"/>
          <w:szCs w:val="24"/>
        </w:rPr>
        <w:t>ki (*)</w:t>
      </w:r>
      <w:r w:rsidR="00FA0368" w:rsidRPr="002E402A">
        <w:rPr>
          <w:rFonts w:ascii="Times New Roman" w:hAnsi="Times New Roman" w:cs="Times New Roman"/>
          <w:sz w:val="24"/>
          <w:szCs w:val="24"/>
        </w:rPr>
        <w:t xml:space="preserve"> işareti</w:t>
      </w:r>
      <w:r w:rsidR="005E6E1B" w:rsidRPr="002E402A">
        <w:rPr>
          <w:rFonts w:ascii="Times New Roman" w:hAnsi="Times New Roman" w:cs="Times New Roman"/>
          <w:sz w:val="24"/>
          <w:szCs w:val="24"/>
        </w:rPr>
        <w:t xml:space="preserve"> zayıf etkinliği göstermektedir. </w:t>
      </w:r>
      <w:r w:rsidR="002E799C" w:rsidRPr="002E402A">
        <w:rPr>
          <w:rFonts w:ascii="Times New Roman" w:hAnsi="Times New Roman" w:cs="Times New Roman"/>
          <w:sz w:val="24"/>
          <w:szCs w:val="24"/>
        </w:rPr>
        <w:t>2009-</w:t>
      </w:r>
      <w:r w:rsidR="00086132" w:rsidRPr="002E402A">
        <w:rPr>
          <w:rFonts w:ascii="Times New Roman" w:hAnsi="Times New Roman" w:cs="Times New Roman"/>
          <w:sz w:val="24"/>
          <w:szCs w:val="24"/>
        </w:rPr>
        <w:t>2013</w:t>
      </w:r>
      <w:r w:rsidR="00F564E1" w:rsidRPr="002E402A">
        <w:rPr>
          <w:rFonts w:ascii="Times New Roman" w:hAnsi="Times New Roman" w:cs="Times New Roman"/>
          <w:sz w:val="24"/>
          <w:szCs w:val="24"/>
        </w:rPr>
        <w:t xml:space="preserve"> dönemi</w:t>
      </w:r>
      <w:r w:rsidR="00086132" w:rsidRPr="002E402A">
        <w:rPr>
          <w:rFonts w:ascii="Times New Roman" w:hAnsi="Times New Roman" w:cs="Times New Roman"/>
          <w:sz w:val="24"/>
          <w:szCs w:val="24"/>
        </w:rPr>
        <w:t xml:space="preserve"> yılları itibariyle, sürekli </w:t>
      </w:r>
      <w:r w:rsidR="007210D2" w:rsidRPr="002E402A">
        <w:rPr>
          <w:rFonts w:ascii="Times New Roman" w:hAnsi="Times New Roman" w:cs="Times New Roman"/>
          <w:sz w:val="24"/>
          <w:szCs w:val="24"/>
        </w:rPr>
        <w:t>kâr</w:t>
      </w:r>
      <w:r w:rsidR="00086132" w:rsidRPr="002E402A">
        <w:rPr>
          <w:rFonts w:ascii="Times New Roman" w:hAnsi="Times New Roman" w:cs="Times New Roman"/>
          <w:sz w:val="24"/>
          <w:szCs w:val="24"/>
        </w:rPr>
        <w:t xml:space="preserve"> eden aracı kurumların girdi ve çıktıları analize tabi tutulduğunda, beş yıl boyunca %</w:t>
      </w:r>
      <w:r w:rsidR="00007F57">
        <w:rPr>
          <w:rFonts w:ascii="Times New Roman" w:hAnsi="Times New Roman" w:cs="Times New Roman"/>
          <w:sz w:val="24"/>
          <w:szCs w:val="24"/>
        </w:rPr>
        <w:t xml:space="preserve"> </w:t>
      </w:r>
      <w:r w:rsidR="00086132" w:rsidRPr="002E402A">
        <w:rPr>
          <w:rFonts w:ascii="Times New Roman" w:hAnsi="Times New Roman" w:cs="Times New Roman"/>
          <w:sz w:val="24"/>
          <w:szCs w:val="24"/>
        </w:rPr>
        <w:t>100 etkinlik gösteren</w:t>
      </w:r>
      <w:r w:rsidR="009E796E" w:rsidRPr="002E402A">
        <w:rPr>
          <w:rFonts w:ascii="Times New Roman" w:hAnsi="Times New Roman" w:cs="Times New Roman"/>
          <w:sz w:val="24"/>
          <w:szCs w:val="24"/>
        </w:rPr>
        <w:t xml:space="preserve"> 32 kurum arasında sadece</w:t>
      </w:r>
      <w:r w:rsidR="006F0100" w:rsidRPr="002E402A">
        <w:rPr>
          <w:rFonts w:ascii="Times New Roman" w:hAnsi="Times New Roman" w:cs="Times New Roman"/>
          <w:sz w:val="24"/>
          <w:szCs w:val="24"/>
        </w:rPr>
        <w:t xml:space="preserve"> yed</w:t>
      </w:r>
      <w:r w:rsidR="00894989" w:rsidRPr="002E402A">
        <w:rPr>
          <w:rFonts w:ascii="Times New Roman" w:hAnsi="Times New Roman" w:cs="Times New Roman"/>
          <w:sz w:val="24"/>
          <w:szCs w:val="24"/>
        </w:rPr>
        <w:t>i kurum</w:t>
      </w:r>
      <w:r w:rsidR="00086132" w:rsidRPr="002E402A">
        <w:rPr>
          <w:rFonts w:ascii="Times New Roman" w:hAnsi="Times New Roman" w:cs="Times New Roman"/>
          <w:sz w:val="24"/>
          <w:szCs w:val="24"/>
        </w:rPr>
        <w:t xml:space="preserve"> bulun</w:t>
      </w:r>
      <w:r w:rsidR="007A6211" w:rsidRPr="002E402A">
        <w:rPr>
          <w:rFonts w:ascii="Times New Roman" w:hAnsi="Times New Roman" w:cs="Times New Roman"/>
          <w:sz w:val="24"/>
          <w:szCs w:val="24"/>
        </w:rPr>
        <w:t>maktadı</w:t>
      </w:r>
      <w:r w:rsidR="00086132" w:rsidRPr="002E402A">
        <w:rPr>
          <w:rFonts w:ascii="Times New Roman" w:hAnsi="Times New Roman" w:cs="Times New Roman"/>
          <w:sz w:val="24"/>
          <w:szCs w:val="24"/>
        </w:rPr>
        <w:t xml:space="preserve">r. </w:t>
      </w:r>
      <w:r w:rsidR="00944592" w:rsidRPr="002E402A">
        <w:rPr>
          <w:rFonts w:ascii="Times New Roman" w:hAnsi="Times New Roman" w:cs="Times New Roman"/>
          <w:sz w:val="24"/>
          <w:szCs w:val="24"/>
        </w:rPr>
        <w:t>Kurumların yıllar itibariyle etkinlik ortalamaları %</w:t>
      </w:r>
      <w:r w:rsidR="00007F57">
        <w:rPr>
          <w:rFonts w:ascii="Times New Roman" w:hAnsi="Times New Roman" w:cs="Times New Roman"/>
          <w:sz w:val="24"/>
          <w:szCs w:val="24"/>
        </w:rPr>
        <w:t xml:space="preserve"> </w:t>
      </w:r>
      <w:r w:rsidR="00944592" w:rsidRPr="002E402A">
        <w:rPr>
          <w:rFonts w:ascii="Times New Roman" w:hAnsi="Times New Roman" w:cs="Times New Roman"/>
          <w:sz w:val="24"/>
          <w:szCs w:val="24"/>
        </w:rPr>
        <w:t>65 ile %</w:t>
      </w:r>
      <w:r w:rsidR="00007F57">
        <w:rPr>
          <w:rFonts w:ascii="Times New Roman" w:hAnsi="Times New Roman" w:cs="Times New Roman"/>
          <w:sz w:val="24"/>
          <w:szCs w:val="24"/>
        </w:rPr>
        <w:t xml:space="preserve"> </w:t>
      </w:r>
      <w:r w:rsidR="00944592" w:rsidRPr="002E402A">
        <w:rPr>
          <w:rFonts w:ascii="Times New Roman" w:hAnsi="Times New Roman" w:cs="Times New Roman"/>
          <w:sz w:val="24"/>
          <w:szCs w:val="24"/>
        </w:rPr>
        <w:t>78 arasında</w:t>
      </w:r>
      <w:r w:rsidR="009E796E" w:rsidRPr="002E402A">
        <w:rPr>
          <w:rFonts w:ascii="Times New Roman" w:hAnsi="Times New Roman" w:cs="Times New Roman"/>
          <w:sz w:val="24"/>
          <w:szCs w:val="24"/>
        </w:rPr>
        <w:t xml:space="preserve"> olup etkinliğin süreklilik göstermediği ve </w:t>
      </w:r>
      <w:r w:rsidR="00944592" w:rsidRPr="002E402A">
        <w:rPr>
          <w:rFonts w:ascii="Times New Roman" w:hAnsi="Times New Roman" w:cs="Times New Roman"/>
          <w:sz w:val="24"/>
          <w:szCs w:val="24"/>
        </w:rPr>
        <w:t>bir sene</w:t>
      </w:r>
      <w:r w:rsidR="009E796E" w:rsidRPr="002E402A">
        <w:rPr>
          <w:rFonts w:ascii="Times New Roman" w:hAnsi="Times New Roman" w:cs="Times New Roman"/>
          <w:sz w:val="24"/>
          <w:szCs w:val="24"/>
        </w:rPr>
        <w:t xml:space="preserve"> ortalamaya göre</w:t>
      </w:r>
      <w:r w:rsidR="00944592" w:rsidRPr="002E402A">
        <w:rPr>
          <w:rFonts w:ascii="Times New Roman" w:hAnsi="Times New Roman" w:cs="Times New Roman"/>
          <w:sz w:val="24"/>
          <w:szCs w:val="24"/>
        </w:rPr>
        <w:t xml:space="preserve"> artış bir sene</w:t>
      </w:r>
      <w:r w:rsidR="009E796E" w:rsidRPr="002E402A">
        <w:rPr>
          <w:rFonts w:ascii="Times New Roman" w:hAnsi="Times New Roman" w:cs="Times New Roman"/>
          <w:sz w:val="24"/>
          <w:szCs w:val="24"/>
        </w:rPr>
        <w:t xml:space="preserve"> sonra ise</w:t>
      </w:r>
      <w:r w:rsidR="00944592" w:rsidRPr="002E402A">
        <w:rPr>
          <w:rFonts w:ascii="Times New Roman" w:hAnsi="Times New Roman" w:cs="Times New Roman"/>
          <w:sz w:val="24"/>
          <w:szCs w:val="24"/>
        </w:rPr>
        <w:t xml:space="preserve"> düşüş gösterdiği görülmüştür.</w:t>
      </w:r>
      <w:r w:rsidR="000B05ED" w:rsidRPr="002E402A">
        <w:rPr>
          <w:rFonts w:ascii="Times New Roman" w:hAnsi="Times New Roman" w:cs="Times New Roman"/>
          <w:sz w:val="24"/>
          <w:szCs w:val="24"/>
        </w:rPr>
        <w:t xml:space="preserve"> </w:t>
      </w:r>
      <w:r w:rsidR="001820C3" w:rsidRPr="002E402A">
        <w:rPr>
          <w:rFonts w:ascii="Times New Roman" w:hAnsi="Times New Roman" w:cs="Times New Roman"/>
          <w:sz w:val="24"/>
          <w:szCs w:val="24"/>
        </w:rPr>
        <w:t>Etkinlik oranında %</w:t>
      </w:r>
      <w:r w:rsidR="00F131C3">
        <w:rPr>
          <w:rFonts w:ascii="Times New Roman" w:hAnsi="Times New Roman" w:cs="Times New Roman"/>
          <w:sz w:val="24"/>
          <w:szCs w:val="24"/>
        </w:rPr>
        <w:t xml:space="preserve"> </w:t>
      </w:r>
      <w:r w:rsidR="001820C3" w:rsidRPr="002E402A">
        <w:rPr>
          <w:rFonts w:ascii="Times New Roman" w:hAnsi="Times New Roman" w:cs="Times New Roman"/>
          <w:sz w:val="24"/>
          <w:szCs w:val="24"/>
        </w:rPr>
        <w:t>100</w:t>
      </w:r>
      <w:r w:rsidR="00F131C3">
        <w:rPr>
          <w:rFonts w:ascii="Times New Roman" w:hAnsi="Times New Roman" w:cs="Times New Roman"/>
          <w:sz w:val="24"/>
          <w:szCs w:val="24"/>
        </w:rPr>
        <w:t>’ün</w:t>
      </w:r>
      <w:r w:rsidR="001820C3" w:rsidRPr="002E402A">
        <w:rPr>
          <w:rFonts w:ascii="Times New Roman" w:hAnsi="Times New Roman" w:cs="Times New Roman"/>
          <w:sz w:val="24"/>
          <w:szCs w:val="24"/>
        </w:rPr>
        <w:t xml:space="preserve"> altında olan, yıllar itibariyle önemli gelişme gösteremeyen veya düşüş</w:t>
      </w:r>
      <w:r w:rsidR="00A63E70" w:rsidRPr="002E402A">
        <w:rPr>
          <w:rFonts w:ascii="Times New Roman" w:hAnsi="Times New Roman" w:cs="Times New Roman"/>
          <w:sz w:val="24"/>
          <w:szCs w:val="24"/>
        </w:rPr>
        <w:t xml:space="preserve"> yönünde</w:t>
      </w:r>
      <w:r w:rsidR="001820C3" w:rsidRPr="002E402A">
        <w:rPr>
          <w:rFonts w:ascii="Times New Roman" w:hAnsi="Times New Roman" w:cs="Times New Roman"/>
          <w:sz w:val="24"/>
          <w:szCs w:val="24"/>
        </w:rPr>
        <w:t xml:space="preserve"> </w:t>
      </w:r>
      <w:r w:rsidR="00FA0368" w:rsidRPr="002E402A">
        <w:rPr>
          <w:rFonts w:ascii="Times New Roman" w:hAnsi="Times New Roman" w:cs="Times New Roman"/>
          <w:sz w:val="24"/>
          <w:szCs w:val="24"/>
        </w:rPr>
        <w:t xml:space="preserve">gelişme </w:t>
      </w:r>
      <w:r w:rsidR="001820C3" w:rsidRPr="002E402A">
        <w:rPr>
          <w:rFonts w:ascii="Times New Roman" w:hAnsi="Times New Roman" w:cs="Times New Roman"/>
          <w:sz w:val="24"/>
          <w:szCs w:val="24"/>
        </w:rPr>
        <w:t>gösteren aracı kurum</w:t>
      </w:r>
      <w:r w:rsidR="00711D59" w:rsidRPr="002E402A">
        <w:rPr>
          <w:rFonts w:ascii="Times New Roman" w:hAnsi="Times New Roman" w:cs="Times New Roman"/>
          <w:sz w:val="24"/>
          <w:szCs w:val="24"/>
        </w:rPr>
        <w:t xml:space="preserve"> sayısı onbirdir</w:t>
      </w:r>
      <w:r w:rsidR="006744A4" w:rsidRPr="002E402A">
        <w:rPr>
          <w:rFonts w:ascii="Times New Roman" w:hAnsi="Times New Roman" w:cs="Times New Roman"/>
          <w:sz w:val="24"/>
          <w:szCs w:val="24"/>
        </w:rPr>
        <w:t xml:space="preserve">. Etkinlik oranı yıllar itibariyle </w:t>
      </w:r>
      <w:r w:rsidR="00885613" w:rsidRPr="002E402A">
        <w:rPr>
          <w:rFonts w:ascii="Times New Roman" w:hAnsi="Times New Roman" w:cs="Times New Roman"/>
          <w:sz w:val="24"/>
          <w:szCs w:val="24"/>
        </w:rPr>
        <w:t>dengesi</w:t>
      </w:r>
      <w:r w:rsidR="00391897" w:rsidRPr="002E402A">
        <w:rPr>
          <w:rFonts w:ascii="Times New Roman" w:hAnsi="Times New Roman" w:cs="Times New Roman"/>
          <w:sz w:val="24"/>
          <w:szCs w:val="24"/>
        </w:rPr>
        <w:t>z</w:t>
      </w:r>
      <w:r w:rsidR="00885613" w:rsidRPr="002E402A">
        <w:rPr>
          <w:rFonts w:ascii="Times New Roman" w:hAnsi="Times New Roman" w:cs="Times New Roman"/>
          <w:sz w:val="24"/>
          <w:szCs w:val="24"/>
        </w:rPr>
        <w:t xml:space="preserve"> trend izleyen</w:t>
      </w:r>
      <w:r w:rsidR="006744A4" w:rsidRPr="002E402A">
        <w:rPr>
          <w:rFonts w:ascii="Times New Roman" w:hAnsi="Times New Roman" w:cs="Times New Roman"/>
          <w:sz w:val="24"/>
          <w:szCs w:val="24"/>
        </w:rPr>
        <w:t xml:space="preserve"> </w:t>
      </w:r>
      <w:r w:rsidR="006C1EA4" w:rsidRPr="002E402A">
        <w:rPr>
          <w:rFonts w:ascii="Times New Roman" w:hAnsi="Times New Roman" w:cs="Times New Roman"/>
          <w:sz w:val="24"/>
          <w:szCs w:val="24"/>
        </w:rPr>
        <w:t xml:space="preserve">veya etkinliği son yıl bozulan veya düzelen </w:t>
      </w:r>
      <w:r w:rsidR="006744A4" w:rsidRPr="002E402A">
        <w:rPr>
          <w:rFonts w:ascii="Times New Roman" w:hAnsi="Times New Roman" w:cs="Times New Roman"/>
          <w:sz w:val="24"/>
          <w:szCs w:val="24"/>
        </w:rPr>
        <w:t xml:space="preserve">kurumlar </w:t>
      </w:r>
      <w:r w:rsidR="00885613" w:rsidRPr="002E402A">
        <w:rPr>
          <w:rFonts w:ascii="Times New Roman" w:hAnsi="Times New Roman" w:cs="Times New Roman"/>
          <w:sz w:val="24"/>
          <w:szCs w:val="24"/>
        </w:rPr>
        <w:t>k2,</w:t>
      </w:r>
      <w:r w:rsidR="00007F57">
        <w:rPr>
          <w:rFonts w:ascii="Times New Roman" w:hAnsi="Times New Roman" w:cs="Times New Roman"/>
          <w:sz w:val="24"/>
          <w:szCs w:val="24"/>
        </w:rPr>
        <w:t xml:space="preserve"> </w:t>
      </w:r>
      <w:r w:rsidR="00885613" w:rsidRPr="002E402A">
        <w:rPr>
          <w:rFonts w:ascii="Times New Roman" w:hAnsi="Times New Roman" w:cs="Times New Roman"/>
          <w:sz w:val="24"/>
          <w:szCs w:val="24"/>
        </w:rPr>
        <w:t>k3,</w:t>
      </w:r>
      <w:r w:rsidR="00007F57">
        <w:rPr>
          <w:rFonts w:ascii="Times New Roman" w:hAnsi="Times New Roman" w:cs="Times New Roman"/>
          <w:sz w:val="24"/>
          <w:szCs w:val="24"/>
        </w:rPr>
        <w:t xml:space="preserve"> </w:t>
      </w:r>
      <w:r w:rsidR="00885613" w:rsidRPr="002E402A">
        <w:rPr>
          <w:rFonts w:ascii="Times New Roman" w:hAnsi="Times New Roman" w:cs="Times New Roman"/>
          <w:sz w:val="24"/>
          <w:szCs w:val="24"/>
        </w:rPr>
        <w:t>k6,</w:t>
      </w:r>
      <w:r w:rsidR="00007F57">
        <w:rPr>
          <w:rFonts w:ascii="Times New Roman" w:hAnsi="Times New Roman" w:cs="Times New Roman"/>
          <w:sz w:val="24"/>
          <w:szCs w:val="24"/>
        </w:rPr>
        <w:t xml:space="preserve"> </w:t>
      </w:r>
      <w:r w:rsidR="00885613" w:rsidRPr="002E402A">
        <w:rPr>
          <w:rFonts w:ascii="Times New Roman" w:hAnsi="Times New Roman" w:cs="Times New Roman"/>
          <w:sz w:val="24"/>
          <w:szCs w:val="24"/>
        </w:rPr>
        <w:t>k7,</w:t>
      </w:r>
      <w:r w:rsidR="00007F57">
        <w:rPr>
          <w:rFonts w:ascii="Times New Roman" w:hAnsi="Times New Roman" w:cs="Times New Roman"/>
          <w:sz w:val="24"/>
          <w:szCs w:val="24"/>
        </w:rPr>
        <w:t xml:space="preserve"> </w:t>
      </w:r>
      <w:r w:rsidR="006C1EA4" w:rsidRPr="002E402A">
        <w:rPr>
          <w:rFonts w:ascii="Times New Roman" w:hAnsi="Times New Roman" w:cs="Times New Roman"/>
          <w:sz w:val="24"/>
          <w:szCs w:val="24"/>
        </w:rPr>
        <w:t>k8,</w:t>
      </w:r>
      <w:r w:rsidR="00007F57">
        <w:rPr>
          <w:rFonts w:ascii="Times New Roman" w:hAnsi="Times New Roman" w:cs="Times New Roman"/>
          <w:sz w:val="24"/>
          <w:szCs w:val="24"/>
        </w:rPr>
        <w:t xml:space="preserve"> </w:t>
      </w:r>
      <w:r w:rsidR="00885613" w:rsidRPr="002E402A">
        <w:rPr>
          <w:rFonts w:ascii="Times New Roman" w:hAnsi="Times New Roman" w:cs="Times New Roman"/>
          <w:sz w:val="24"/>
          <w:szCs w:val="24"/>
        </w:rPr>
        <w:t>k13,</w:t>
      </w:r>
      <w:r w:rsidR="00007F57">
        <w:rPr>
          <w:rFonts w:ascii="Times New Roman" w:hAnsi="Times New Roman" w:cs="Times New Roman"/>
          <w:sz w:val="24"/>
          <w:szCs w:val="24"/>
        </w:rPr>
        <w:t xml:space="preserve"> </w:t>
      </w:r>
      <w:r w:rsidR="00885613" w:rsidRPr="002E402A">
        <w:rPr>
          <w:rFonts w:ascii="Times New Roman" w:hAnsi="Times New Roman" w:cs="Times New Roman"/>
          <w:sz w:val="24"/>
          <w:szCs w:val="24"/>
        </w:rPr>
        <w:t>k16,</w:t>
      </w:r>
      <w:r w:rsidR="00007F57">
        <w:rPr>
          <w:rFonts w:ascii="Times New Roman" w:hAnsi="Times New Roman" w:cs="Times New Roman"/>
          <w:sz w:val="24"/>
          <w:szCs w:val="24"/>
        </w:rPr>
        <w:t xml:space="preserve"> </w:t>
      </w:r>
      <w:r w:rsidR="00885613" w:rsidRPr="002E402A">
        <w:rPr>
          <w:rFonts w:ascii="Times New Roman" w:hAnsi="Times New Roman" w:cs="Times New Roman"/>
          <w:sz w:val="24"/>
          <w:szCs w:val="24"/>
        </w:rPr>
        <w:t>k</w:t>
      </w:r>
      <w:r w:rsidR="006C1EA4" w:rsidRPr="002E402A">
        <w:rPr>
          <w:rFonts w:ascii="Times New Roman" w:hAnsi="Times New Roman" w:cs="Times New Roman"/>
          <w:sz w:val="24"/>
          <w:szCs w:val="24"/>
        </w:rPr>
        <w:t>20,</w:t>
      </w:r>
      <w:r w:rsidR="00007F57">
        <w:rPr>
          <w:rFonts w:ascii="Times New Roman" w:hAnsi="Times New Roman" w:cs="Times New Roman"/>
          <w:sz w:val="24"/>
          <w:szCs w:val="24"/>
        </w:rPr>
        <w:t xml:space="preserve"> </w:t>
      </w:r>
      <w:r w:rsidR="006C1EA4" w:rsidRPr="002E402A">
        <w:rPr>
          <w:rFonts w:ascii="Times New Roman" w:hAnsi="Times New Roman" w:cs="Times New Roman"/>
          <w:sz w:val="24"/>
          <w:szCs w:val="24"/>
        </w:rPr>
        <w:t>k22,</w:t>
      </w:r>
      <w:r w:rsidR="00007F57">
        <w:rPr>
          <w:rFonts w:ascii="Times New Roman" w:hAnsi="Times New Roman" w:cs="Times New Roman"/>
          <w:sz w:val="24"/>
          <w:szCs w:val="24"/>
        </w:rPr>
        <w:t xml:space="preserve"> </w:t>
      </w:r>
      <w:r w:rsidR="006C1EA4" w:rsidRPr="002E402A">
        <w:rPr>
          <w:rFonts w:ascii="Times New Roman" w:hAnsi="Times New Roman" w:cs="Times New Roman"/>
          <w:sz w:val="24"/>
          <w:szCs w:val="24"/>
        </w:rPr>
        <w:t>k25,</w:t>
      </w:r>
      <w:r w:rsidR="00007F57">
        <w:rPr>
          <w:rFonts w:ascii="Times New Roman" w:hAnsi="Times New Roman" w:cs="Times New Roman"/>
          <w:sz w:val="24"/>
          <w:szCs w:val="24"/>
        </w:rPr>
        <w:t xml:space="preserve"> </w:t>
      </w:r>
      <w:r w:rsidR="006C1EA4" w:rsidRPr="002E402A">
        <w:rPr>
          <w:rFonts w:ascii="Times New Roman" w:hAnsi="Times New Roman" w:cs="Times New Roman"/>
          <w:sz w:val="24"/>
          <w:szCs w:val="24"/>
        </w:rPr>
        <w:t>k26, k27,</w:t>
      </w:r>
      <w:r w:rsidR="00007F57">
        <w:rPr>
          <w:rFonts w:ascii="Times New Roman" w:hAnsi="Times New Roman" w:cs="Times New Roman"/>
          <w:sz w:val="24"/>
          <w:szCs w:val="24"/>
        </w:rPr>
        <w:t xml:space="preserve"> </w:t>
      </w:r>
      <w:r w:rsidR="006C1EA4" w:rsidRPr="002E402A">
        <w:rPr>
          <w:rFonts w:ascii="Times New Roman" w:hAnsi="Times New Roman" w:cs="Times New Roman"/>
          <w:sz w:val="24"/>
          <w:szCs w:val="24"/>
        </w:rPr>
        <w:t>k28,</w:t>
      </w:r>
      <w:r w:rsidR="00007F57">
        <w:rPr>
          <w:rFonts w:ascii="Times New Roman" w:hAnsi="Times New Roman" w:cs="Times New Roman"/>
          <w:sz w:val="24"/>
          <w:szCs w:val="24"/>
        </w:rPr>
        <w:t xml:space="preserve"> </w:t>
      </w:r>
      <w:r w:rsidR="006C1EA4" w:rsidRPr="002E402A">
        <w:rPr>
          <w:rFonts w:ascii="Times New Roman" w:hAnsi="Times New Roman" w:cs="Times New Roman"/>
          <w:sz w:val="24"/>
          <w:szCs w:val="24"/>
        </w:rPr>
        <w:t>k29</w:t>
      </w:r>
      <w:r w:rsidR="00300AFA" w:rsidRPr="002E402A">
        <w:rPr>
          <w:rFonts w:ascii="Times New Roman" w:hAnsi="Times New Roman" w:cs="Times New Roman"/>
          <w:sz w:val="24"/>
          <w:szCs w:val="24"/>
        </w:rPr>
        <w:t xml:space="preserve"> olmak üzere 14 kurum</w:t>
      </w:r>
      <w:r w:rsidR="006C1EA4" w:rsidRPr="002E402A">
        <w:rPr>
          <w:rFonts w:ascii="Times New Roman" w:hAnsi="Times New Roman" w:cs="Times New Roman"/>
          <w:sz w:val="24"/>
          <w:szCs w:val="24"/>
        </w:rPr>
        <w:t>dur. Hatta k29 kurumunu etkin bile saymak mümkündür.</w:t>
      </w:r>
      <w:r w:rsidR="001A35D4" w:rsidRPr="002E402A">
        <w:rPr>
          <w:rFonts w:ascii="Times New Roman" w:hAnsi="Times New Roman" w:cs="Times New Roman"/>
          <w:sz w:val="24"/>
          <w:szCs w:val="24"/>
        </w:rPr>
        <w:t xml:space="preserve"> </w:t>
      </w:r>
      <w:r w:rsidR="00A63E70" w:rsidRPr="002E402A">
        <w:rPr>
          <w:rFonts w:ascii="Times New Roman" w:hAnsi="Times New Roman" w:cs="Times New Roman"/>
          <w:sz w:val="24"/>
          <w:szCs w:val="24"/>
        </w:rPr>
        <w:t>Ç</w:t>
      </w:r>
      <w:r w:rsidR="001A35D4" w:rsidRPr="002E402A">
        <w:rPr>
          <w:rFonts w:ascii="Times New Roman" w:hAnsi="Times New Roman" w:cs="Times New Roman"/>
          <w:sz w:val="24"/>
          <w:szCs w:val="24"/>
        </w:rPr>
        <w:t>ıktı odaklı ya</w:t>
      </w:r>
      <w:r w:rsidR="00D94763" w:rsidRPr="002E402A">
        <w:rPr>
          <w:rFonts w:ascii="Times New Roman" w:hAnsi="Times New Roman" w:cs="Times New Roman"/>
          <w:sz w:val="24"/>
          <w:szCs w:val="24"/>
        </w:rPr>
        <w:t>klaşım göz</w:t>
      </w:r>
      <w:r w:rsidR="00506A82" w:rsidRPr="002E402A">
        <w:rPr>
          <w:rFonts w:ascii="Times New Roman" w:hAnsi="Times New Roman" w:cs="Times New Roman"/>
          <w:sz w:val="24"/>
          <w:szCs w:val="24"/>
        </w:rPr>
        <w:t xml:space="preserve"> </w:t>
      </w:r>
      <w:r w:rsidR="00D94763" w:rsidRPr="002E402A">
        <w:rPr>
          <w:rFonts w:ascii="Times New Roman" w:hAnsi="Times New Roman" w:cs="Times New Roman"/>
          <w:sz w:val="24"/>
          <w:szCs w:val="24"/>
        </w:rPr>
        <w:t>önüne alındığında</w:t>
      </w:r>
      <w:r w:rsidR="001A35D4" w:rsidRPr="002E402A">
        <w:rPr>
          <w:rFonts w:ascii="Times New Roman" w:hAnsi="Times New Roman" w:cs="Times New Roman"/>
          <w:sz w:val="24"/>
          <w:szCs w:val="24"/>
        </w:rPr>
        <w:t xml:space="preserve">, aktif toplamı, sermaye ve personel sayısı sabit tutularak, hesap </w:t>
      </w:r>
      <w:r w:rsidR="00667522" w:rsidRPr="002E402A">
        <w:rPr>
          <w:rFonts w:ascii="Times New Roman" w:hAnsi="Times New Roman" w:cs="Times New Roman"/>
          <w:sz w:val="24"/>
          <w:szCs w:val="24"/>
        </w:rPr>
        <w:t xml:space="preserve">sayısı, net </w:t>
      </w:r>
      <w:r w:rsidR="007210D2" w:rsidRPr="002E402A">
        <w:rPr>
          <w:rFonts w:ascii="Times New Roman" w:hAnsi="Times New Roman" w:cs="Times New Roman"/>
          <w:sz w:val="24"/>
          <w:szCs w:val="24"/>
        </w:rPr>
        <w:t>kâr</w:t>
      </w:r>
      <w:r w:rsidR="00667522" w:rsidRPr="002E402A">
        <w:rPr>
          <w:rFonts w:ascii="Times New Roman" w:hAnsi="Times New Roman" w:cs="Times New Roman"/>
          <w:sz w:val="24"/>
          <w:szCs w:val="24"/>
        </w:rPr>
        <w:t>, komisyon, pay</w:t>
      </w:r>
      <w:r w:rsidR="001A35D4" w:rsidRPr="002E402A">
        <w:rPr>
          <w:rFonts w:ascii="Times New Roman" w:hAnsi="Times New Roman" w:cs="Times New Roman"/>
          <w:sz w:val="24"/>
          <w:szCs w:val="24"/>
        </w:rPr>
        <w:t>, türev piyasa ve sabit getirili menkul kıymet işlem hacimlerinde</w:t>
      </w:r>
      <w:r w:rsidR="00A63E70" w:rsidRPr="002E402A">
        <w:rPr>
          <w:rFonts w:ascii="Times New Roman" w:hAnsi="Times New Roman" w:cs="Times New Roman"/>
          <w:sz w:val="24"/>
          <w:szCs w:val="24"/>
        </w:rPr>
        <w:t>n</w:t>
      </w:r>
      <w:r w:rsidR="001A35D4" w:rsidRPr="002E402A">
        <w:rPr>
          <w:rFonts w:ascii="Times New Roman" w:hAnsi="Times New Roman" w:cs="Times New Roman"/>
          <w:sz w:val="24"/>
          <w:szCs w:val="24"/>
        </w:rPr>
        <w:t xml:space="preserve"> maksimum getiri sağlandığı</w:t>
      </w:r>
      <w:r w:rsidR="00A63E70" w:rsidRPr="002E402A">
        <w:rPr>
          <w:rFonts w:ascii="Times New Roman" w:hAnsi="Times New Roman" w:cs="Times New Roman"/>
          <w:sz w:val="24"/>
          <w:szCs w:val="24"/>
        </w:rPr>
        <w:t>nı</w:t>
      </w:r>
      <w:r w:rsidR="001A35D4" w:rsidRPr="002E402A">
        <w:rPr>
          <w:rFonts w:ascii="Times New Roman" w:hAnsi="Times New Roman" w:cs="Times New Roman"/>
          <w:sz w:val="24"/>
          <w:szCs w:val="24"/>
        </w:rPr>
        <w:t xml:space="preserve"> ve bu</w:t>
      </w:r>
      <w:r w:rsidR="00A63E70" w:rsidRPr="002E402A">
        <w:rPr>
          <w:rFonts w:ascii="Times New Roman" w:hAnsi="Times New Roman" w:cs="Times New Roman"/>
          <w:sz w:val="24"/>
          <w:szCs w:val="24"/>
        </w:rPr>
        <w:t>nu yapan</w:t>
      </w:r>
      <w:r w:rsidR="001A35D4" w:rsidRPr="002E402A">
        <w:rPr>
          <w:rFonts w:ascii="Times New Roman" w:hAnsi="Times New Roman" w:cs="Times New Roman"/>
          <w:sz w:val="24"/>
          <w:szCs w:val="24"/>
        </w:rPr>
        <w:t xml:space="preserve"> aracı kurumların etkin olduğu, diğerlerinin </w:t>
      </w:r>
      <w:r w:rsidR="00A63E70" w:rsidRPr="002E402A">
        <w:rPr>
          <w:rFonts w:ascii="Times New Roman" w:hAnsi="Times New Roman" w:cs="Times New Roman"/>
          <w:sz w:val="24"/>
          <w:szCs w:val="24"/>
        </w:rPr>
        <w:t xml:space="preserve">ise </w:t>
      </w:r>
      <w:r w:rsidR="001A35D4" w:rsidRPr="002E402A">
        <w:rPr>
          <w:rFonts w:ascii="Times New Roman" w:hAnsi="Times New Roman" w:cs="Times New Roman"/>
          <w:sz w:val="24"/>
          <w:szCs w:val="24"/>
        </w:rPr>
        <w:t xml:space="preserve">etkin olmadığı </w:t>
      </w:r>
      <w:r w:rsidR="00B86631" w:rsidRPr="002E402A">
        <w:rPr>
          <w:rFonts w:ascii="Times New Roman" w:hAnsi="Times New Roman" w:cs="Times New Roman"/>
          <w:sz w:val="24"/>
          <w:szCs w:val="24"/>
        </w:rPr>
        <w:t>sonucuna ulaşılır.</w:t>
      </w:r>
      <w:r w:rsidR="001A35D4" w:rsidRPr="002E402A">
        <w:rPr>
          <w:rFonts w:ascii="Times New Roman" w:hAnsi="Times New Roman" w:cs="Times New Roman"/>
          <w:sz w:val="24"/>
          <w:szCs w:val="24"/>
        </w:rPr>
        <w:t xml:space="preserve"> Etkinlik sayılarına bakıldığında 5 yıl boyunca, verileri </w:t>
      </w:r>
      <w:r w:rsidR="00A63E70" w:rsidRPr="002E402A">
        <w:rPr>
          <w:rFonts w:ascii="Times New Roman" w:hAnsi="Times New Roman" w:cs="Times New Roman"/>
          <w:sz w:val="24"/>
          <w:szCs w:val="24"/>
        </w:rPr>
        <w:t xml:space="preserve">süreklilik arz eden 32 kurum arasında </w:t>
      </w:r>
      <w:r w:rsidR="001A35D4" w:rsidRPr="002E402A">
        <w:rPr>
          <w:rFonts w:ascii="Times New Roman" w:hAnsi="Times New Roman" w:cs="Times New Roman"/>
          <w:sz w:val="24"/>
          <w:szCs w:val="24"/>
        </w:rPr>
        <w:t>tam etkin olan aracı kurum</w:t>
      </w:r>
      <w:r w:rsidR="002E2659" w:rsidRPr="002E402A">
        <w:rPr>
          <w:rFonts w:ascii="Times New Roman" w:hAnsi="Times New Roman" w:cs="Times New Roman"/>
          <w:sz w:val="24"/>
          <w:szCs w:val="24"/>
        </w:rPr>
        <w:t xml:space="preserve"> sayısı</w:t>
      </w:r>
      <w:r w:rsidR="001A35D4" w:rsidRPr="002E402A">
        <w:rPr>
          <w:rFonts w:ascii="Times New Roman" w:hAnsi="Times New Roman" w:cs="Times New Roman"/>
          <w:sz w:val="24"/>
          <w:szCs w:val="24"/>
        </w:rPr>
        <w:t>n</w:t>
      </w:r>
      <w:r w:rsidR="002E2659" w:rsidRPr="002E402A">
        <w:rPr>
          <w:rFonts w:ascii="Times New Roman" w:hAnsi="Times New Roman" w:cs="Times New Roman"/>
          <w:sz w:val="24"/>
          <w:szCs w:val="24"/>
        </w:rPr>
        <w:t>ın</w:t>
      </w:r>
      <w:r w:rsidR="001A35D4" w:rsidRPr="002E402A">
        <w:rPr>
          <w:rFonts w:ascii="Times New Roman" w:hAnsi="Times New Roman" w:cs="Times New Roman"/>
          <w:sz w:val="24"/>
          <w:szCs w:val="24"/>
        </w:rPr>
        <w:t xml:space="preserve"> 7 olduğu görülmüştür. Bu aracı kurumlar</w:t>
      </w:r>
      <w:r w:rsidR="00B86631" w:rsidRPr="002E402A">
        <w:rPr>
          <w:rFonts w:ascii="Times New Roman" w:hAnsi="Times New Roman" w:cs="Times New Roman"/>
          <w:sz w:val="24"/>
          <w:szCs w:val="24"/>
        </w:rPr>
        <w:t>ın</w:t>
      </w:r>
      <w:r w:rsidR="001A35D4" w:rsidRPr="002E402A">
        <w:rPr>
          <w:rFonts w:ascii="Times New Roman" w:hAnsi="Times New Roman" w:cs="Times New Roman"/>
          <w:sz w:val="24"/>
          <w:szCs w:val="24"/>
        </w:rPr>
        <w:t xml:space="preserve">, nitelikli personel istihdamı, pazarlama, yönetim, müşteri memnuniyeti, sürdürülebilirlik, hizmet kalitesi, rekabet, koordinasyon vb. gibi alanlarda sorunları olmasına rağmen etkin çalıştığını göstermektedir. </w:t>
      </w:r>
      <w:r w:rsidR="000647BB" w:rsidRPr="002E402A">
        <w:rPr>
          <w:rFonts w:ascii="Times New Roman" w:hAnsi="Times New Roman" w:cs="Times New Roman"/>
          <w:sz w:val="24"/>
          <w:szCs w:val="24"/>
        </w:rPr>
        <w:t>Buna göre, incel</w:t>
      </w:r>
      <w:r w:rsidR="009870FA" w:rsidRPr="002E402A">
        <w:rPr>
          <w:rFonts w:ascii="Times New Roman" w:hAnsi="Times New Roman" w:cs="Times New Roman"/>
          <w:sz w:val="24"/>
          <w:szCs w:val="24"/>
        </w:rPr>
        <w:t>eme grubumuza göre piyasanın %</w:t>
      </w:r>
      <w:r w:rsidR="00253969">
        <w:rPr>
          <w:rFonts w:ascii="Times New Roman" w:hAnsi="Times New Roman" w:cs="Times New Roman"/>
          <w:sz w:val="24"/>
          <w:szCs w:val="24"/>
        </w:rPr>
        <w:t xml:space="preserve"> </w:t>
      </w:r>
      <w:r w:rsidR="009870FA" w:rsidRPr="002E402A">
        <w:rPr>
          <w:rFonts w:ascii="Times New Roman" w:hAnsi="Times New Roman" w:cs="Times New Roman"/>
          <w:sz w:val="24"/>
          <w:szCs w:val="24"/>
        </w:rPr>
        <w:t>2</w:t>
      </w:r>
      <w:r w:rsidR="00C02B66" w:rsidRPr="002E402A">
        <w:rPr>
          <w:rFonts w:ascii="Times New Roman" w:hAnsi="Times New Roman" w:cs="Times New Roman"/>
          <w:sz w:val="24"/>
          <w:szCs w:val="24"/>
        </w:rPr>
        <w:t>5</w:t>
      </w:r>
      <w:r w:rsidR="000647BB" w:rsidRPr="002E402A">
        <w:rPr>
          <w:rFonts w:ascii="Times New Roman" w:hAnsi="Times New Roman" w:cs="Times New Roman"/>
          <w:sz w:val="24"/>
          <w:szCs w:val="24"/>
        </w:rPr>
        <w:t xml:space="preserve">’i </w:t>
      </w:r>
      <w:r w:rsidR="0036338A" w:rsidRPr="002E402A">
        <w:rPr>
          <w:rFonts w:ascii="Times New Roman" w:hAnsi="Times New Roman" w:cs="Times New Roman"/>
          <w:sz w:val="24"/>
          <w:szCs w:val="24"/>
        </w:rPr>
        <w:t>VZA’d</w:t>
      </w:r>
      <w:r w:rsidR="00253969">
        <w:rPr>
          <w:rFonts w:ascii="Times New Roman" w:hAnsi="Times New Roman" w:cs="Times New Roman"/>
          <w:sz w:val="24"/>
          <w:szCs w:val="24"/>
        </w:rPr>
        <w:t>a</w:t>
      </w:r>
      <w:r w:rsidR="0036338A" w:rsidRPr="002E402A">
        <w:rPr>
          <w:rFonts w:ascii="Times New Roman" w:hAnsi="Times New Roman" w:cs="Times New Roman"/>
          <w:sz w:val="24"/>
          <w:szCs w:val="24"/>
        </w:rPr>
        <w:t xml:space="preserve"> </w:t>
      </w:r>
      <w:r w:rsidR="000647BB" w:rsidRPr="002E402A">
        <w:rPr>
          <w:rFonts w:ascii="Times New Roman" w:hAnsi="Times New Roman" w:cs="Times New Roman"/>
          <w:sz w:val="24"/>
          <w:szCs w:val="24"/>
        </w:rPr>
        <w:t>sürekli etkinlik göstermiştir.</w:t>
      </w:r>
    </w:p>
    <w:p w:rsidR="00587F43" w:rsidRPr="002E402A" w:rsidRDefault="007210D2" w:rsidP="00275B92">
      <w:pPr>
        <w:spacing w:line="240" w:lineRule="auto"/>
        <w:rPr>
          <w:rFonts w:ascii="Times New Roman" w:hAnsi="Times New Roman" w:cs="Times New Roman"/>
          <w:sz w:val="24"/>
          <w:szCs w:val="24"/>
        </w:rPr>
      </w:pPr>
      <w:r w:rsidRPr="002E402A">
        <w:rPr>
          <w:rFonts w:ascii="Times New Roman" w:hAnsi="Times New Roman" w:cs="Times New Roman"/>
          <w:sz w:val="24"/>
          <w:szCs w:val="24"/>
        </w:rPr>
        <w:t>Kâr</w:t>
      </w:r>
      <w:r w:rsidR="007C737E" w:rsidRPr="002E402A">
        <w:rPr>
          <w:rFonts w:ascii="Times New Roman" w:hAnsi="Times New Roman" w:cs="Times New Roman"/>
          <w:sz w:val="24"/>
          <w:szCs w:val="24"/>
        </w:rPr>
        <w:t xml:space="preserve"> eden </w:t>
      </w:r>
      <w:r w:rsidR="00B23F27" w:rsidRPr="002E402A">
        <w:rPr>
          <w:rFonts w:ascii="Times New Roman" w:hAnsi="Times New Roman" w:cs="Times New Roman"/>
          <w:sz w:val="24"/>
          <w:szCs w:val="24"/>
        </w:rPr>
        <w:t xml:space="preserve">ve yıllar itibariyle verileri süreklilik arz eden </w:t>
      </w:r>
      <w:r w:rsidR="007C737E" w:rsidRPr="002E402A">
        <w:rPr>
          <w:rFonts w:ascii="Times New Roman" w:hAnsi="Times New Roman" w:cs="Times New Roman"/>
          <w:sz w:val="24"/>
          <w:szCs w:val="24"/>
        </w:rPr>
        <w:t>aracı kurumlar</w:t>
      </w:r>
      <w:r w:rsidR="00A97AC8" w:rsidRPr="002E402A">
        <w:rPr>
          <w:rFonts w:ascii="Times New Roman" w:hAnsi="Times New Roman" w:cs="Times New Roman"/>
          <w:sz w:val="24"/>
          <w:szCs w:val="24"/>
        </w:rPr>
        <w:t xml:space="preserve"> üzerinde</w:t>
      </w:r>
      <w:r w:rsidR="007C737E" w:rsidRPr="002E402A">
        <w:rPr>
          <w:rFonts w:ascii="Times New Roman" w:hAnsi="Times New Roman" w:cs="Times New Roman"/>
          <w:sz w:val="24"/>
          <w:szCs w:val="24"/>
        </w:rPr>
        <w:t xml:space="preserve"> </w:t>
      </w:r>
      <w:r w:rsidR="00661146" w:rsidRPr="002E402A">
        <w:rPr>
          <w:rFonts w:ascii="Times New Roman" w:hAnsi="Times New Roman" w:cs="Times New Roman"/>
          <w:sz w:val="24"/>
          <w:szCs w:val="24"/>
        </w:rPr>
        <w:t xml:space="preserve">VZA tekniği ile </w:t>
      </w:r>
      <w:r w:rsidR="007C737E" w:rsidRPr="002E402A">
        <w:rPr>
          <w:rFonts w:ascii="Times New Roman" w:hAnsi="Times New Roman" w:cs="Times New Roman"/>
          <w:sz w:val="24"/>
          <w:szCs w:val="24"/>
        </w:rPr>
        <w:t xml:space="preserve">yapılan incelemeye göre, </w:t>
      </w:r>
      <w:r w:rsidR="00587F43" w:rsidRPr="002E402A">
        <w:rPr>
          <w:rFonts w:ascii="Times New Roman" w:hAnsi="Times New Roman" w:cs="Times New Roman"/>
          <w:sz w:val="24"/>
          <w:szCs w:val="24"/>
        </w:rPr>
        <w:t>2011 yılında ortalama teknik etkinlik %</w:t>
      </w:r>
      <w:r w:rsidR="00275B92">
        <w:rPr>
          <w:rFonts w:ascii="Times New Roman" w:hAnsi="Times New Roman" w:cs="Times New Roman"/>
          <w:sz w:val="24"/>
          <w:szCs w:val="24"/>
        </w:rPr>
        <w:t xml:space="preserve"> </w:t>
      </w:r>
      <w:r w:rsidR="00587F43" w:rsidRPr="002E402A">
        <w:rPr>
          <w:rFonts w:ascii="Times New Roman" w:hAnsi="Times New Roman" w:cs="Times New Roman"/>
          <w:sz w:val="24"/>
          <w:szCs w:val="24"/>
        </w:rPr>
        <w:t>78,46 oranla en yüksek ve 2012 yılında %</w:t>
      </w:r>
      <w:r w:rsidR="00275B92">
        <w:rPr>
          <w:rFonts w:ascii="Times New Roman" w:hAnsi="Times New Roman" w:cs="Times New Roman"/>
          <w:sz w:val="24"/>
          <w:szCs w:val="24"/>
        </w:rPr>
        <w:t xml:space="preserve"> </w:t>
      </w:r>
      <w:r w:rsidR="00587F43" w:rsidRPr="002E402A">
        <w:rPr>
          <w:rFonts w:ascii="Times New Roman" w:hAnsi="Times New Roman" w:cs="Times New Roman"/>
          <w:sz w:val="24"/>
          <w:szCs w:val="24"/>
        </w:rPr>
        <w:t>65,78 oranla en düşüktür. 2012 y</w:t>
      </w:r>
      <w:r w:rsidR="00306161" w:rsidRPr="002E402A">
        <w:rPr>
          <w:rFonts w:ascii="Times New Roman" w:hAnsi="Times New Roman" w:cs="Times New Roman"/>
          <w:sz w:val="24"/>
          <w:szCs w:val="24"/>
        </w:rPr>
        <w:t>ı</w:t>
      </w:r>
      <w:r w:rsidR="00587F43" w:rsidRPr="002E402A">
        <w:rPr>
          <w:rFonts w:ascii="Times New Roman" w:hAnsi="Times New Roman" w:cs="Times New Roman"/>
          <w:sz w:val="24"/>
          <w:szCs w:val="24"/>
        </w:rPr>
        <w:t xml:space="preserve">lında 2011 yılına göre en yüksek düşüş olmuştur. Teknik etkinlikte azalma kaynakların atıl kullanıldığını, kullanılan üretim faktörleri ile maksimum çıktı elde edilemediğini göstermektedir. </w:t>
      </w:r>
    </w:p>
    <w:p w:rsidR="000E0FC2" w:rsidRPr="002E402A" w:rsidRDefault="000E0FC2" w:rsidP="000A7CD7">
      <w:pPr>
        <w:spacing w:line="240" w:lineRule="auto"/>
        <w:ind w:firstLine="567"/>
        <w:rPr>
          <w:rFonts w:ascii="Times New Roman" w:hAnsi="Times New Roman" w:cs="Times New Roman"/>
          <w:b/>
          <w:sz w:val="24"/>
          <w:szCs w:val="24"/>
        </w:rPr>
      </w:pPr>
    </w:p>
    <w:p w:rsidR="005611F4" w:rsidRPr="002E402A" w:rsidRDefault="00E35DD2" w:rsidP="00275B92">
      <w:pPr>
        <w:spacing w:line="240" w:lineRule="auto"/>
        <w:ind w:firstLine="567"/>
        <w:jc w:val="center"/>
        <w:rPr>
          <w:rFonts w:ascii="Times New Roman" w:hAnsi="Times New Roman" w:cs="Times New Roman"/>
          <w:b/>
          <w:sz w:val="24"/>
          <w:szCs w:val="24"/>
        </w:rPr>
      </w:pPr>
      <w:r w:rsidRPr="002E402A">
        <w:rPr>
          <w:rFonts w:ascii="Times New Roman" w:hAnsi="Times New Roman" w:cs="Times New Roman"/>
          <w:b/>
          <w:sz w:val="24"/>
          <w:szCs w:val="24"/>
        </w:rPr>
        <w:t>Çizelge</w:t>
      </w:r>
      <w:r w:rsidR="00884140" w:rsidRPr="002E402A">
        <w:rPr>
          <w:rFonts w:ascii="Times New Roman" w:hAnsi="Times New Roman" w:cs="Times New Roman"/>
          <w:b/>
          <w:sz w:val="24"/>
          <w:szCs w:val="24"/>
        </w:rPr>
        <w:t xml:space="preserve"> </w:t>
      </w:r>
      <w:r w:rsidR="000E0FC2" w:rsidRPr="002E402A">
        <w:rPr>
          <w:rFonts w:ascii="Times New Roman" w:hAnsi="Times New Roman" w:cs="Times New Roman"/>
          <w:b/>
          <w:sz w:val="24"/>
          <w:szCs w:val="24"/>
        </w:rPr>
        <w:t>10</w:t>
      </w:r>
      <w:r w:rsidR="00884140" w:rsidRPr="002E402A">
        <w:rPr>
          <w:rFonts w:ascii="Times New Roman" w:hAnsi="Times New Roman" w:cs="Times New Roman"/>
          <w:b/>
          <w:sz w:val="24"/>
          <w:szCs w:val="24"/>
        </w:rPr>
        <w:t>. Etkin Olan Aracı Kurumlar ve Etkinlik O</w:t>
      </w:r>
      <w:r w:rsidR="005611F4" w:rsidRPr="002E402A">
        <w:rPr>
          <w:rFonts w:ascii="Times New Roman" w:hAnsi="Times New Roman" w:cs="Times New Roman"/>
          <w:b/>
          <w:sz w:val="24"/>
          <w:szCs w:val="24"/>
        </w:rPr>
        <w:t>ranları</w:t>
      </w:r>
    </w:p>
    <w:tbl>
      <w:tblPr>
        <w:tblW w:w="7724" w:type="dxa"/>
        <w:tblInd w:w="964" w:type="dxa"/>
        <w:tblLayout w:type="fixed"/>
        <w:tblCellMar>
          <w:left w:w="70" w:type="dxa"/>
          <w:right w:w="70" w:type="dxa"/>
        </w:tblCellMar>
        <w:tblLook w:val="04A0" w:firstRow="1" w:lastRow="0" w:firstColumn="1" w:lastColumn="0" w:noHBand="0" w:noVBand="1"/>
      </w:tblPr>
      <w:tblGrid>
        <w:gridCol w:w="866"/>
        <w:gridCol w:w="1897"/>
        <w:gridCol w:w="1417"/>
        <w:gridCol w:w="1589"/>
        <w:gridCol w:w="1955"/>
      </w:tblGrid>
      <w:tr w:rsidR="00275B92" w:rsidRPr="002E402A" w:rsidTr="00275B92">
        <w:trPr>
          <w:trHeight w:val="1032"/>
        </w:trPr>
        <w:tc>
          <w:tcPr>
            <w:tcW w:w="866" w:type="dxa"/>
            <w:tcBorders>
              <w:top w:val="single" w:sz="4" w:space="0" w:color="auto"/>
              <w:left w:val="single" w:sz="4" w:space="0" w:color="auto"/>
              <w:bottom w:val="single" w:sz="4" w:space="0" w:color="auto"/>
              <w:right w:val="single" w:sz="4" w:space="0" w:color="auto"/>
            </w:tcBorders>
            <w:shd w:val="clear" w:color="000000" w:fill="92CDDC"/>
            <w:vAlign w:val="center"/>
            <w:hideMark/>
          </w:tcPr>
          <w:p w:rsidR="006B698E" w:rsidRPr="002E402A" w:rsidRDefault="00275B92"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Yıllar</w:t>
            </w:r>
          </w:p>
        </w:tc>
        <w:tc>
          <w:tcPr>
            <w:tcW w:w="1897" w:type="dxa"/>
            <w:tcBorders>
              <w:top w:val="single" w:sz="4" w:space="0" w:color="auto"/>
              <w:left w:val="nil"/>
              <w:bottom w:val="single" w:sz="4" w:space="0" w:color="auto"/>
              <w:right w:val="single" w:sz="4" w:space="0" w:color="auto"/>
            </w:tcBorders>
            <w:shd w:val="clear" w:color="000000" w:fill="92CDDC"/>
            <w:vAlign w:val="center"/>
            <w:hideMark/>
          </w:tcPr>
          <w:p w:rsidR="006B698E" w:rsidRPr="002E402A" w:rsidRDefault="00275B92"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Kâ</w:t>
            </w:r>
            <w:r w:rsidRPr="002E402A">
              <w:rPr>
                <w:rFonts w:ascii="Times New Roman" w:eastAsia="Times New Roman" w:hAnsi="Times New Roman" w:cs="Times New Roman"/>
                <w:b/>
                <w:bCs/>
                <w:color w:val="000000"/>
                <w:sz w:val="24"/>
                <w:szCs w:val="24"/>
                <w:lang w:eastAsia="tr-TR"/>
              </w:rPr>
              <w:t>r Eden Kurumlardan Etkin Aracı Kurum Sayısı</w:t>
            </w:r>
          </w:p>
        </w:tc>
        <w:tc>
          <w:tcPr>
            <w:tcW w:w="1417" w:type="dxa"/>
            <w:tcBorders>
              <w:top w:val="single" w:sz="4" w:space="0" w:color="auto"/>
              <w:left w:val="nil"/>
              <w:bottom w:val="single" w:sz="4" w:space="0" w:color="auto"/>
              <w:right w:val="single" w:sz="4" w:space="0" w:color="auto"/>
            </w:tcBorders>
            <w:shd w:val="clear" w:color="000000" w:fill="92CDDC"/>
            <w:vAlign w:val="center"/>
            <w:hideMark/>
          </w:tcPr>
          <w:p w:rsidR="006B698E" w:rsidRPr="002E402A" w:rsidRDefault="00275B92"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Etkin Olmayan Aracı Kurum Sayısı</w:t>
            </w:r>
          </w:p>
        </w:tc>
        <w:tc>
          <w:tcPr>
            <w:tcW w:w="1589" w:type="dxa"/>
            <w:tcBorders>
              <w:top w:val="single" w:sz="4" w:space="0" w:color="auto"/>
              <w:left w:val="nil"/>
              <w:bottom w:val="single" w:sz="4" w:space="0" w:color="auto"/>
              <w:right w:val="single" w:sz="4" w:space="0" w:color="auto"/>
            </w:tcBorders>
            <w:shd w:val="clear" w:color="000000" w:fill="92CDDC"/>
            <w:vAlign w:val="center"/>
            <w:hideMark/>
          </w:tcPr>
          <w:p w:rsidR="006B698E" w:rsidRPr="002E402A" w:rsidRDefault="00275B92"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Kâ</w:t>
            </w:r>
            <w:r w:rsidRPr="002E402A">
              <w:rPr>
                <w:rFonts w:ascii="Times New Roman" w:eastAsia="Times New Roman" w:hAnsi="Times New Roman" w:cs="Times New Roman"/>
                <w:b/>
                <w:bCs/>
                <w:color w:val="000000"/>
                <w:sz w:val="24"/>
                <w:szCs w:val="24"/>
                <w:lang w:eastAsia="tr-TR"/>
              </w:rPr>
              <w:t>r Eden Kurumlarda Etkin Bulunanların Oranı</w:t>
            </w:r>
          </w:p>
        </w:tc>
        <w:tc>
          <w:tcPr>
            <w:tcW w:w="1955" w:type="dxa"/>
            <w:tcBorders>
              <w:top w:val="single" w:sz="4" w:space="0" w:color="auto"/>
              <w:left w:val="nil"/>
              <w:bottom w:val="single" w:sz="4" w:space="0" w:color="auto"/>
              <w:right w:val="single" w:sz="4" w:space="0" w:color="auto"/>
            </w:tcBorders>
            <w:shd w:val="clear" w:color="000000" w:fill="92CDDC"/>
            <w:vAlign w:val="center"/>
            <w:hideMark/>
          </w:tcPr>
          <w:p w:rsidR="006B698E" w:rsidRPr="002E402A" w:rsidRDefault="00275B92"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Hesaplanan Ortalama Etkinlik Oranı</w:t>
            </w:r>
          </w:p>
        </w:tc>
      </w:tr>
      <w:tr w:rsidR="006B698E" w:rsidRPr="002E402A" w:rsidTr="00275B92">
        <w:trPr>
          <w:trHeight w:val="324"/>
        </w:trPr>
        <w:tc>
          <w:tcPr>
            <w:tcW w:w="866"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2009</w:t>
            </w:r>
          </w:p>
        </w:tc>
        <w:tc>
          <w:tcPr>
            <w:tcW w:w="189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14</w:t>
            </w:r>
          </w:p>
        </w:tc>
        <w:tc>
          <w:tcPr>
            <w:tcW w:w="141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18</w:t>
            </w:r>
          </w:p>
        </w:tc>
        <w:tc>
          <w:tcPr>
            <w:tcW w:w="1589"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43,</w:t>
            </w:r>
            <w:r w:rsidR="006B698E" w:rsidRPr="002E402A">
              <w:rPr>
                <w:rFonts w:ascii="Times New Roman" w:eastAsia="Times New Roman" w:hAnsi="Times New Roman" w:cs="Times New Roman"/>
                <w:b/>
                <w:bCs/>
                <w:color w:val="000000"/>
                <w:sz w:val="24"/>
                <w:szCs w:val="24"/>
                <w:lang w:eastAsia="tr-TR"/>
              </w:rPr>
              <w:t>75</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c>
          <w:tcPr>
            <w:tcW w:w="1955"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77,</w:t>
            </w:r>
            <w:r w:rsidR="006B698E" w:rsidRPr="002E402A">
              <w:rPr>
                <w:rFonts w:ascii="Times New Roman" w:eastAsia="Times New Roman" w:hAnsi="Times New Roman" w:cs="Times New Roman"/>
                <w:b/>
                <w:bCs/>
                <w:color w:val="000000"/>
                <w:sz w:val="24"/>
                <w:szCs w:val="24"/>
                <w:lang w:eastAsia="tr-TR"/>
              </w:rPr>
              <w:t>99</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r>
      <w:tr w:rsidR="006B698E" w:rsidRPr="002E402A" w:rsidTr="00275B92">
        <w:trPr>
          <w:trHeight w:val="286"/>
        </w:trPr>
        <w:tc>
          <w:tcPr>
            <w:tcW w:w="866"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2010</w:t>
            </w:r>
          </w:p>
        </w:tc>
        <w:tc>
          <w:tcPr>
            <w:tcW w:w="189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11</w:t>
            </w:r>
          </w:p>
        </w:tc>
        <w:tc>
          <w:tcPr>
            <w:tcW w:w="141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21</w:t>
            </w:r>
          </w:p>
        </w:tc>
        <w:tc>
          <w:tcPr>
            <w:tcW w:w="1589"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34,</w:t>
            </w:r>
            <w:r w:rsidR="006B698E" w:rsidRPr="002E402A">
              <w:rPr>
                <w:rFonts w:ascii="Times New Roman" w:eastAsia="Times New Roman" w:hAnsi="Times New Roman" w:cs="Times New Roman"/>
                <w:b/>
                <w:bCs/>
                <w:color w:val="000000"/>
                <w:sz w:val="24"/>
                <w:szCs w:val="24"/>
                <w:lang w:eastAsia="tr-TR"/>
              </w:rPr>
              <w:t>38</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c>
          <w:tcPr>
            <w:tcW w:w="1955"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74,</w:t>
            </w:r>
            <w:r w:rsidR="006B698E" w:rsidRPr="002E402A">
              <w:rPr>
                <w:rFonts w:ascii="Times New Roman" w:eastAsia="Times New Roman" w:hAnsi="Times New Roman" w:cs="Times New Roman"/>
                <w:b/>
                <w:bCs/>
                <w:color w:val="000000"/>
                <w:sz w:val="24"/>
                <w:szCs w:val="24"/>
                <w:lang w:eastAsia="tr-TR"/>
              </w:rPr>
              <w:t>05</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r>
      <w:tr w:rsidR="006B698E" w:rsidRPr="002E402A" w:rsidTr="00275B92">
        <w:trPr>
          <w:trHeight w:val="254"/>
        </w:trPr>
        <w:tc>
          <w:tcPr>
            <w:tcW w:w="866"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2011</w:t>
            </w:r>
          </w:p>
        </w:tc>
        <w:tc>
          <w:tcPr>
            <w:tcW w:w="189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14</w:t>
            </w:r>
          </w:p>
        </w:tc>
        <w:tc>
          <w:tcPr>
            <w:tcW w:w="141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18</w:t>
            </w:r>
          </w:p>
        </w:tc>
        <w:tc>
          <w:tcPr>
            <w:tcW w:w="1589"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43,</w:t>
            </w:r>
            <w:r w:rsidR="006B698E" w:rsidRPr="002E402A">
              <w:rPr>
                <w:rFonts w:ascii="Times New Roman" w:eastAsia="Times New Roman" w:hAnsi="Times New Roman" w:cs="Times New Roman"/>
                <w:b/>
                <w:bCs/>
                <w:color w:val="000000"/>
                <w:sz w:val="24"/>
                <w:szCs w:val="24"/>
                <w:lang w:eastAsia="tr-TR"/>
              </w:rPr>
              <w:t>75</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c>
          <w:tcPr>
            <w:tcW w:w="1955"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78,</w:t>
            </w:r>
            <w:r w:rsidR="006B698E" w:rsidRPr="002E402A">
              <w:rPr>
                <w:rFonts w:ascii="Times New Roman" w:eastAsia="Times New Roman" w:hAnsi="Times New Roman" w:cs="Times New Roman"/>
                <w:b/>
                <w:bCs/>
                <w:color w:val="000000"/>
                <w:sz w:val="24"/>
                <w:szCs w:val="24"/>
                <w:lang w:eastAsia="tr-TR"/>
              </w:rPr>
              <w:t>46</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r>
      <w:tr w:rsidR="006B698E" w:rsidRPr="002E402A" w:rsidTr="00275B92">
        <w:trPr>
          <w:trHeight w:val="258"/>
        </w:trPr>
        <w:tc>
          <w:tcPr>
            <w:tcW w:w="866"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2012</w:t>
            </w:r>
          </w:p>
        </w:tc>
        <w:tc>
          <w:tcPr>
            <w:tcW w:w="189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9</w:t>
            </w:r>
          </w:p>
        </w:tc>
        <w:tc>
          <w:tcPr>
            <w:tcW w:w="141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23</w:t>
            </w:r>
          </w:p>
        </w:tc>
        <w:tc>
          <w:tcPr>
            <w:tcW w:w="1589"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28,</w:t>
            </w:r>
            <w:r w:rsidR="006B698E" w:rsidRPr="002E402A">
              <w:rPr>
                <w:rFonts w:ascii="Times New Roman" w:eastAsia="Times New Roman" w:hAnsi="Times New Roman" w:cs="Times New Roman"/>
                <w:b/>
                <w:bCs/>
                <w:color w:val="000000"/>
                <w:sz w:val="24"/>
                <w:szCs w:val="24"/>
                <w:lang w:eastAsia="tr-TR"/>
              </w:rPr>
              <w:t>13</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c>
          <w:tcPr>
            <w:tcW w:w="1955"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65,</w:t>
            </w:r>
            <w:r w:rsidR="006B698E" w:rsidRPr="002E402A">
              <w:rPr>
                <w:rFonts w:ascii="Times New Roman" w:eastAsia="Times New Roman" w:hAnsi="Times New Roman" w:cs="Times New Roman"/>
                <w:b/>
                <w:bCs/>
                <w:color w:val="000000"/>
                <w:sz w:val="24"/>
                <w:szCs w:val="24"/>
                <w:lang w:eastAsia="tr-TR"/>
              </w:rPr>
              <w:t>78</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r>
      <w:tr w:rsidR="006B698E" w:rsidRPr="002E402A" w:rsidTr="00275B92">
        <w:trPr>
          <w:trHeight w:val="262"/>
        </w:trPr>
        <w:tc>
          <w:tcPr>
            <w:tcW w:w="866"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2013</w:t>
            </w:r>
          </w:p>
        </w:tc>
        <w:tc>
          <w:tcPr>
            <w:tcW w:w="189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10</w:t>
            </w:r>
          </w:p>
        </w:tc>
        <w:tc>
          <w:tcPr>
            <w:tcW w:w="141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22</w:t>
            </w:r>
          </w:p>
        </w:tc>
        <w:tc>
          <w:tcPr>
            <w:tcW w:w="1589"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2A5190">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31</w:t>
            </w:r>
            <w:r w:rsidR="002A5190">
              <w:rPr>
                <w:rFonts w:ascii="Times New Roman" w:eastAsia="Times New Roman" w:hAnsi="Times New Roman" w:cs="Times New Roman"/>
                <w:b/>
                <w:bCs/>
                <w:color w:val="000000"/>
                <w:sz w:val="24"/>
                <w:szCs w:val="24"/>
                <w:lang w:eastAsia="tr-TR"/>
              </w:rPr>
              <w:t>,</w:t>
            </w:r>
            <w:r w:rsidRPr="002E402A">
              <w:rPr>
                <w:rFonts w:ascii="Times New Roman" w:eastAsia="Times New Roman" w:hAnsi="Times New Roman" w:cs="Times New Roman"/>
                <w:b/>
                <w:bCs/>
                <w:color w:val="000000"/>
                <w:sz w:val="24"/>
                <w:szCs w:val="24"/>
                <w:lang w:eastAsia="tr-TR"/>
              </w:rPr>
              <w:t>25</w:t>
            </w:r>
            <w:r w:rsidR="002A5190">
              <w:rPr>
                <w:rFonts w:ascii="Times New Roman" w:eastAsia="Times New Roman" w:hAnsi="Times New Roman" w:cs="Times New Roman"/>
                <w:b/>
                <w:bCs/>
                <w:color w:val="000000"/>
                <w:sz w:val="24"/>
                <w:szCs w:val="24"/>
                <w:lang w:eastAsia="tr-TR"/>
              </w:rPr>
              <w:t xml:space="preserve"> </w:t>
            </w:r>
            <w:r w:rsidRPr="002E402A">
              <w:rPr>
                <w:rFonts w:ascii="Times New Roman" w:eastAsia="Times New Roman" w:hAnsi="Times New Roman" w:cs="Times New Roman"/>
                <w:b/>
                <w:bCs/>
                <w:color w:val="000000"/>
                <w:sz w:val="24"/>
                <w:szCs w:val="24"/>
                <w:lang w:eastAsia="tr-TR"/>
              </w:rPr>
              <w:t>%</w:t>
            </w:r>
          </w:p>
        </w:tc>
        <w:tc>
          <w:tcPr>
            <w:tcW w:w="1955"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70,</w:t>
            </w:r>
            <w:r w:rsidR="006B698E" w:rsidRPr="002E402A">
              <w:rPr>
                <w:rFonts w:ascii="Times New Roman" w:eastAsia="Times New Roman" w:hAnsi="Times New Roman" w:cs="Times New Roman"/>
                <w:b/>
                <w:bCs/>
                <w:color w:val="000000"/>
                <w:sz w:val="24"/>
                <w:szCs w:val="24"/>
                <w:lang w:eastAsia="tr-TR"/>
              </w:rPr>
              <w:t>73</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r>
      <w:tr w:rsidR="006B698E" w:rsidRPr="002E402A" w:rsidTr="00275B92">
        <w:trPr>
          <w:trHeight w:val="398"/>
        </w:trPr>
        <w:tc>
          <w:tcPr>
            <w:tcW w:w="866"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ORT.</w:t>
            </w:r>
          </w:p>
        </w:tc>
        <w:tc>
          <w:tcPr>
            <w:tcW w:w="189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12</w:t>
            </w:r>
          </w:p>
        </w:tc>
        <w:tc>
          <w:tcPr>
            <w:tcW w:w="1417" w:type="dxa"/>
            <w:tcBorders>
              <w:top w:val="nil"/>
              <w:left w:val="nil"/>
              <w:bottom w:val="single" w:sz="4" w:space="0" w:color="auto"/>
              <w:right w:val="single" w:sz="4" w:space="0" w:color="auto"/>
            </w:tcBorders>
            <w:shd w:val="clear" w:color="auto" w:fill="auto"/>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w:t>
            </w:r>
          </w:p>
        </w:tc>
        <w:tc>
          <w:tcPr>
            <w:tcW w:w="1589"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36,</w:t>
            </w:r>
            <w:r w:rsidR="006B698E" w:rsidRPr="002E402A">
              <w:rPr>
                <w:rFonts w:ascii="Times New Roman" w:eastAsia="Times New Roman" w:hAnsi="Times New Roman" w:cs="Times New Roman"/>
                <w:b/>
                <w:bCs/>
                <w:color w:val="000000"/>
                <w:sz w:val="24"/>
                <w:szCs w:val="24"/>
                <w:lang w:eastAsia="tr-TR"/>
              </w:rPr>
              <w:t>25</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c>
          <w:tcPr>
            <w:tcW w:w="1955" w:type="dxa"/>
            <w:tcBorders>
              <w:top w:val="nil"/>
              <w:left w:val="nil"/>
              <w:bottom w:val="single" w:sz="4" w:space="0" w:color="auto"/>
              <w:right w:val="single" w:sz="4" w:space="0" w:color="auto"/>
            </w:tcBorders>
            <w:shd w:val="clear" w:color="auto" w:fill="auto"/>
            <w:vAlign w:val="center"/>
            <w:hideMark/>
          </w:tcPr>
          <w:p w:rsidR="006B698E" w:rsidRPr="002E402A" w:rsidRDefault="002A5190"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73,</w:t>
            </w:r>
            <w:r w:rsidR="006B698E" w:rsidRPr="002E402A">
              <w:rPr>
                <w:rFonts w:ascii="Times New Roman" w:eastAsia="Times New Roman" w:hAnsi="Times New Roman" w:cs="Times New Roman"/>
                <w:b/>
                <w:bCs/>
                <w:color w:val="000000"/>
                <w:sz w:val="24"/>
                <w:szCs w:val="24"/>
                <w:lang w:eastAsia="tr-TR"/>
              </w:rPr>
              <w:t>40</w:t>
            </w:r>
            <w:r>
              <w:rPr>
                <w:rFonts w:ascii="Times New Roman" w:eastAsia="Times New Roman" w:hAnsi="Times New Roman" w:cs="Times New Roman"/>
                <w:b/>
                <w:bCs/>
                <w:color w:val="000000"/>
                <w:sz w:val="24"/>
                <w:szCs w:val="24"/>
                <w:lang w:eastAsia="tr-TR"/>
              </w:rPr>
              <w:t xml:space="preserve"> </w:t>
            </w:r>
            <w:r w:rsidR="006B698E" w:rsidRPr="002E402A">
              <w:rPr>
                <w:rFonts w:ascii="Times New Roman" w:eastAsia="Times New Roman" w:hAnsi="Times New Roman" w:cs="Times New Roman"/>
                <w:b/>
                <w:bCs/>
                <w:color w:val="000000"/>
                <w:sz w:val="24"/>
                <w:szCs w:val="24"/>
                <w:lang w:eastAsia="tr-TR"/>
              </w:rPr>
              <w:t>%</w:t>
            </w:r>
          </w:p>
        </w:tc>
      </w:tr>
    </w:tbl>
    <w:p w:rsidR="006B698E" w:rsidRPr="002E402A" w:rsidRDefault="006B698E" w:rsidP="000A7CD7">
      <w:pPr>
        <w:spacing w:line="240" w:lineRule="auto"/>
        <w:ind w:firstLine="567"/>
        <w:rPr>
          <w:rFonts w:ascii="Times New Roman" w:hAnsi="Times New Roman" w:cs="Times New Roman"/>
          <w:sz w:val="24"/>
          <w:szCs w:val="24"/>
        </w:rPr>
      </w:pPr>
    </w:p>
    <w:p w:rsidR="00B23F27" w:rsidRPr="002E402A" w:rsidRDefault="00A26013" w:rsidP="005854EC">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Toplam faktör verimliliği </w:t>
      </w:r>
      <w:r w:rsidR="00153275" w:rsidRPr="002E402A">
        <w:rPr>
          <w:rFonts w:ascii="Times New Roman" w:hAnsi="Times New Roman" w:cs="Times New Roman"/>
          <w:sz w:val="24"/>
          <w:szCs w:val="24"/>
        </w:rPr>
        <w:t xml:space="preserve">analizine göre etkin bulunan 10 </w:t>
      </w:r>
      <w:r w:rsidRPr="002E402A">
        <w:rPr>
          <w:rFonts w:ascii="Times New Roman" w:hAnsi="Times New Roman" w:cs="Times New Roman"/>
          <w:sz w:val="24"/>
          <w:szCs w:val="24"/>
        </w:rPr>
        <w:t xml:space="preserve">adet aracı kurum </w:t>
      </w:r>
      <w:r w:rsidR="005656A5" w:rsidRPr="002E402A">
        <w:rPr>
          <w:rFonts w:ascii="Times New Roman" w:hAnsi="Times New Roman" w:cs="Times New Roman"/>
          <w:sz w:val="24"/>
          <w:szCs w:val="24"/>
        </w:rPr>
        <w:t>piyasadaki personelin ortalama %</w:t>
      </w:r>
      <w:r w:rsidR="005854EC">
        <w:rPr>
          <w:rFonts w:ascii="Times New Roman" w:hAnsi="Times New Roman" w:cs="Times New Roman"/>
          <w:sz w:val="24"/>
          <w:szCs w:val="24"/>
        </w:rPr>
        <w:t xml:space="preserve"> </w:t>
      </w:r>
      <w:r w:rsidR="005656A5" w:rsidRPr="002E402A">
        <w:rPr>
          <w:rFonts w:ascii="Times New Roman" w:hAnsi="Times New Roman" w:cs="Times New Roman"/>
          <w:sz w:val="24"/>
          <w:szCs w:val="24"/>
        </w:rPr>
        <w:t>10’unu, sermaye toplamının ortalama %</w:t>
      </w:r>
      <w:r w:rsidR="005854EC">
        <w:rPr>
          <w:rFonts w:ascii="Times New Roman" w:hAnsi="Times New Roman" w:cs="Times New Roman"/>
          <w:sz w:val="24"/>
          <w:szCs w:val="24"/>
        </w:rPr>
        <w:t xml:space="preserve"> </w:t>
      </w:r>
      <w:r w:rsidR="005656A5" w:rsidRPr="002E402A">
        <w:rPr>
          <w:rFonts w:ascii="Times New Roman" w:hAnsi="Times New Roman" w:cs="Times New Roman"/>
          <w:sz w:val="24"/>
          <w:szCs w:val="24"/>
        </w:rPr>
        <w:t>27’sini ve varlık toplamının %</w:t>
      </w:r>
      <w:r w:rsidR="005854EC">
        <w:rPr>
          <w:rFonts w:ascii="Times New Roman" w:hAnsi="Times New Roman" w:cs="Times New Roman"/>
          <w:sz w:val="24"/>
          <w:szCs w:val="24"/>
        </w:rPr>
        <w:t xml:space="preserve"> </w:t>
      </w:r>
      <w:r w:rsidR="005656A5" w:rsidRPr="002E402A">
        <w:rPr>
          <w:rFonts w:ascii="Times New Roman" w:hAnsi="Times New Roman" w:cs="Times New Roman"/>
          <w:sz w:val="24"/>
          <w:szCs w:val="24"/>
        </w:rPr>
        <w:t xml:space="preserve">22’sini kullanarak, </w:t>
      </w:r>
      <w:r w:rsidRPr="002E402A">
        <w:rPr>
          <w:rFonts w:ascii="Times New Roman" w:hAnsi="Times New Roman" w:cs="Times New Roman"/>
          <w:sz w:val="24"/>
          <w:szCs w:val="24"/>
        </w:rPr>
        <w:t xml:space="preserve">toplam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ın ortalama %</w:t>
      </w:r>
      <w:r w:rsidR="005854EC">
        <w:rPr>
          <w:rFonts w:ascii="Times New Roman" w:hAnsi="Times New Roman" w:cs="Times New Roman"/>
          <w:sz w:val="24"/>
          <w:szCs w:val="24"/>
        </w:rPr>
        <w:t xml:space="preserve"> </w:t>
      </w:r>
      <w:r w:rsidRPr="002E402A">
        <w:rPr>
          <w:rFonts w:ascii="Times New Roman" w:hAnsi="Times New Roman" w:cs="Times New Roman"/>
          <w:sz w:val="24"/>
          <w:szCs w:val="24"/>
        </w:rPr>
        <w:t xml:space="preserve">38’ini, piyasa </w:t>
      </w:r>
      <w:r w:rsidR="005656A5" w:rsidRPr="002E402A">
        <w:rPr>
          <w:rFonts w:ascii="Times New Roman" w:hAnsi="Times New Roman" w:cs="Times New Roman"/>
          <w:sz w:val="24"/>
          <w:szCs w:val="24"/>
        </w:rPr>
        <w:t>işlem hacminin ortalama %</w:t>
      </w:r>
      <w:r w:rsidR="005854EC">
        <w:rPr>
          <w:rFonts w:ascii="Times New Roman" w:hAnsi="Times New Roman" w:cs="Times New Roman"/>
          <w:sz w:val="24"/>
          <w:szCs w:val="24"/>
        </w:rPr>
        <w:t xml:space="preserve"> </w:t>
      </w:r>
      <w:r w:rsidR="005656A5" w:rsidRPr="002E402A">
        <w:rPr>
          <w:rFonts w:ascii="Times New Roman" w:hAnsi="Times New Roman" w:cs="Times New Roman"/>
          <w:sz w:val="24"/>
          <w:szCs w:val="24"/>
        </w:rPr>
        <w:t>35’ini</w:t>
      </w:r>
      <w:r w:rsidRPr="002E402A">
        <w:rPr>
          <w:rFonts w:ascii="Times New Roman" w:hAnsi="Times New Roman" w:cs="Times New Roman"/>
          <w:sz w:val="24"/>
          <w:szCs w:val="24"/>
        </w:rPr>
        <w:t xml:space="preserve"> </w:t>
      </w:r>
      <w:r w:rsidR="00A63E70" w:rsidRPr="002E402A">
        <w:rPr>
          <w:rFonts w:ascii="Times New Roman" w:hAnsi="Times New Roman" w:cs="Times New Roman"/>
          <w:sz w:val="24"/>
          <w:szCs w:val="24"/>
        </w:rPr>
        <w:t>elde etmektedir</w:t>
      </w:r>
      <w:r w:rsidRPr="002E402A">
        <w:rPr>
          <w:rFonts w:ascii="Times New Roman" w:hAnsi="Times New Roman" w:cs="Times New Roman"/>
          <w:sz w:val="24"/>
          <w:szCs w:val="24"/>
        </w:rPr>
        <w:t>.</w:t>
      </w:r>
    </w:p>
    <w:p w:rsidR="006B698E" w:rsidRPr="002E402A" w:rsidRDefault="006B698E" w:rsidP="000A7CD7">
      <w:pPr>
        <w:spacing w:line="240" w:lineRule="auto"/>
        <w:ind w:firstLine="567"/>
        <w:rPr>
          <w:rFonts w:ascii="Times New Roman" w:hAnsi="Times New Roman" w:cs="Times New Roman"/>
          <w:b/>
          <w:sz w:val="24"/>
          <w:szCs w:val="24"/>
        </w:rPr>
      </w:pPr>
    </w:p>
    <w:p w:rsidR="005611F4" w:rsidRPr="002E402A" w:rsidRDefault="00E35DD2" w:rsidP="000A7CD7">
      <w:pPr>
        <w:spacing w:line="240" w:lineRule="auto"/>
        <w:ind w:firstLine="567"/>
        <w:rPr>
          <w:rFonts w:ascii="Times New Roman" w:hAnsi="Times New Roman" w:cs="Times New Roman"/>
          <w:sz w:val="24"/>
          <w:szCs w:val="24"/>
        </w:rPr>
      </w:pPr>
      <w:r w:rsidRPr="002E402A">
        <w:rPr>
          <w:rFonts w:ascii="Times New Roman" w:hAnsi="Times New Roman" w:cs="Times New Roman"/>
          <w:b/>
          <w:sz w:val="24"/>
          <w:szCs w:val="24"/>
        </w:rPr>
        <w:lastRenderedPageBreak/>
        <w:t>Çizelge</w:t>
      </w:r>
      <w:r w:rsidR="00884140" w:rsidRPr="002E402A">
        <w:rPr>
          <w:rFonts w:ascii="Times New Roman" w:hAnsi="Times New Roman" w:cs="Times New Roman"/>
          <w:b/>
          <w:sz w:val="24"/>
          <w:szCs w:val="24"/>
        </w:rPr>
        <w:t xml:space="preserve"> </w:t>
      </w:r>
      <w:r w:rsidR="000E0FC2" w:rsidRPr="002E402A">
        <w:rPr>
          <w:rFonts w:ascii="Times New Roman" w:hAnsi="Times New Roman" w:cs="Times New Roman"/>
          <w:b/>
          <w:sz w:val="24"/>
          <w:szCs w:val="24"/>
        </w:rPr>
        <w:t>11</w:t>
      </w:r>
      <w:r w:rsidR="00884140" w:rsidRPr="002E402A">
        <w:rPr>
          <w:rFonts w:ascii="Times New Roman" w:hAnsi="Times New Roman" w:cs="Times New Roman"/>
          <w:b/>
          <w:sz w:val="24"/>
          <w:szCs w:val="24"/>
        </w:rPr>
        <w:t>.</w:t>
      </w:r>
      <w:r w:rsidR="005611F4" w:rsidRPr="002E402A">
        <w:rPr>
          <w:rFonts w:ascii="Times New Roman" w:hAnsi="Times New Roman" w:cs="Times New Roman"/>
          <w:sz w:val="24"/>
          <w:szCs w:val="24"/>
        </w:rPr>
        <w:t xml:space="preserve"> </w:t>
      </w:r>
      <w:r w:rsidR="00884140" w:rsidRPr="002E402A">
        <w:rPr>
          <w:rFonts w:ascii="Times New Roman" w:hAnsi="Times New Roman" w:cs="Times New Roman"/>
          <w:b/>
          <w:sz w:val="24"/>
          <w:szCs w:val="24"/>
        </w:rPr>
        <w:t>Etkin Bulunan Aracı Kurumlara Ait Piyasa Bilgileri-1</w:t>
      </w:r>
    </w:p>
    <w:tbl>
      <w:tblPr>
        <w:tblW w:w="10632" w:type="dxa"/>
        <w:tblInd w:w="-214" w:type="dxa"/>
        <w:tblLayout w:type="fixed"/>
        <w:tblCellMar>
          <w:left w:w="70" w:type="dxa"/>
          <w:right w:w="70" w:type="dxa"/>
        </w:tblCellMar>
        <w:tblLook w:val="04A0" w:firstRow="1" w:lastRow="0" w:firstColumn="1" w:lastColumn="0" w:noHBand="0" w:noVBand="1"/>
      </w:tblPr>
      <w:tblGrid>
        <w:gridCol w:w="993"/>
        <w:gridCol w:w="1559"/>
        <w:gridCol w:w="1560"/>
        <w:gridCol w:w="1134"/>
        <w:gridCol w:w="1559"/>
        <w:gridCol w:w="1134"/>
        <w:gridCol w:w="1559"/>
        <w:gridCol w:w="1134"/>
      </w:tblGrid>
      <w:tr w:rsidR="00BF0642" w:rsidRPr="002E402A" w:rsidTr="00BF0642">
        <w:trPr>
          <w:trHeight w:val="1403"/>
        </w:trPr>
        <w:tc>
          <w:tcPr>
            <w:tcW w:w="993" w:type="dxa"/>
            <w:tcBorders>
              <w:top w:val="single" w:sz="4" w:space="0" w:color="auto"/>
              <w:left w:val="single" w:sz="4" w:space="0" w:color="auto"/>
              <w:bottom w:val="single" w:sz="4" w:space="0" w:color="auto"/>
              <w:right w:val="single" w:sz="4" w:space="0" w:color="auto"/>
            </w:tcBorders>
            <w:shd w:val="clear" w:color="000000" w:fill="92CDDC"/>
            <w:vAlign w:val="center"/>
            <w:hideMark/>
          </w:tcPr>
          <w:p w:rsidR="006B698E" w:rsidRPr="002E402A" w:rsidRDefault="00BF0642"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Yıllar</w:t>
            </w:r>
          </w:p>
        </w:tc>
        <w:tc>
          <w:tcPr>
            <w:tcW w:w="1559"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3D69B3">
            <w:pPr>
              <w:spacing w:after="0" w:line="240" w:lineRule="auto"/>
              <w:jc w:val="center"/>
              <w:rPr>
                <w:rFonts w:ascii="Times New Roman" w:eastAsia="Times New Roman" w:hAnsi="Times New Roman" w:cs="Times New Roman"/>
                <w:b/>
                <w:bCs/>
                <w:color w:val="000000"/>
                <w:sz w:val="20"/>
                <w:szCs w:val="20"/>
                <w:lang w:eastAsia="tr-TR"/>
              </w:rPr>
            </w:pPr>
            <w:r w:rsidRPr="00BF0642">
              <w:rPr>
                <w:rFonts w:ascii="Times New Roman" w:eastAsia="Times New Roman" w:hAnsi="Times New Roman" w:cs="Times New Roman"/>
                <w:b/>
                <w:bCs/>
                <w:color w:val="000000"/>
                <w:sz w:val="20"/>
                <w:szCs w:val="20"/>
                <w:lang w:eastAsia="tr-TR"/>
              </w:rPr>
              <w:t xml:space="preserve">Aracı </w:t>
            </w:r>
            <w:r w:rsidR="000B2720">
              <w:rPr>
                <w:rFonts w:ascii="Times New Roman" w:eastAsia="Times New Roman" w:hAnsi="Times New Roman" w:cs="Times New Roman"/>
                <w:b/>
                <w:bCs/>
                <w:color w:val="000000"/>
                <w:sz w:val="20"/>
                <w:szCs w:val="20"/>
                <w:lang w:eastAsia="tr-TR"/>
              </w:rPr>
              <w:t>Kurumların Toplam Net Kâ</w:t>
            </w:r>
            <w:r w:rsidR="000B2720" w:rsidRPr="00BF0642">
              <w:rPr>
                <w:rFonts w:ascii="Times New Roman" w:eastAsia="Times New Roman" w:hAnsi="Times New Roman" w:cs="Times New Roman"/>
                <w:b/>
                <w:bCs/>
                <w:color w:val="000000"/>
                <w:sz w:val="20"/>
                <w:szCs w:val="20"/>
                <w:lang w:eastAsia="tr-TR"/>
              </w:rPr>
              <w:t>rı</w:t>
            </w:r>
          </w:p>
        </w:tc>
        <w:tc>
          <w:tcPr>
            <w:tcW w:w="1560"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0B2720">
            <w:pPr>
              <w:spacing w:after="0" w:line="240" w:lineRule="auto"/>
              <w:jc w:val="center"/>
              <w:rPr>
                <w:rFonts w:ascii="Times New Roman" w:eastAsia="Times New Roman" w:hAnsi="Times New Roman" w:cs="Times New Roman"/>
                <w:b/>
                <w:bCs/>
                <w:color w:val="000000"/>
                <w:sz w:val="20"/>
                <w:szCs w:val="20"/>
                <w:lang w:eastAsia="tr-TR"/>
              </w:rPr>
            </w:pPr>
            <w:r w:rsidRPr="00BF0642">
              <w:rPr>
                <w:rFonts w:ascii="Times New Roman" w:eastAsia="Times New Roman" w:hAnsi="Times New Roman" w:cs="Times New Roman"/>
                <w:b/>
                <w:bCs/>
                <w:color w:val="000000"/>
                <w:sz w:val="20"/>
                <w:szCs w:val="20"/>
                <w:lang w:eastAsia="tr-TR"/>
              </w:rPr>
              <w:t xml:space="preserve">Banka kökenli </w:t>
            </w:r>
            <w:r w:rsidR="000B2720" w:rsidRPr="00BF0642">
              <w:rPr>
                <w:rFonts w:ascii="Times New Roman" w:eastAsia="Times New Roman" w:hAnsi="Times New Roman" w:cs="Times New Roman"/>
                <w:b/>
                <w:bCs/>
                <w:color w:val="000000"/>
                <w:sz w:val="20"/>
                <w:szCs w:val="20"/>
                <w:lang w:eastAsia="tr-TR"/>
              </w:rPr>
              <w:t>Kurumların K</w:t>
            </w:r>
            <w:r w:rsidR="000B2720">
              <w:rPr>
                <w:rFonts w:ascii="Times New Roman" w:eastAsia="Times New Roman" w:hAnsi="Times New Roman" w:cs="Times New Roman"/>
                <w:b/>
                <w:bCs/>
                <w:color w:val="000000"/>
                <w:sz w:val="20"/>
                <w:szCs w:val="20"/>
                <w:lang w:eastAsia="tr-TR"/>
              </w:rPr>
              <w:t>â</w:t>
            </w:r>
            <w:r w:rsidR="000B2720" w:rsidRPr="00BF0642">
              <w:rPr>
                <w:rFonts w:ascii="Times New Roman" w:eastAsia="Times New Roman" w:hAnsi="Times New Roman" w:cs="Times New Roman"/>
                <w:b/>
                <w:bCs/>
                <w:color w:val="000000"/>
                <w:sz w:val="20"/>
                <w:szCs w:val="20"/>
                <w:lang w:eastAsia="tr-TR"/>
              </w:rPr>
              <w:t>r Toplamı</w:t>
            </w:r>
          </w:p>
        </w:tc>
        <w:tc>
          <w:tcPr>
            <w:tcW w:w="1134"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 xml:space="preserve">Banka </w:t>
            </w:r>
            <w:r w:rsidR="000B2720">
              <w:rPr>
                <w:rFonts w:ascii="Times New Roman" w:eastAsia="Times New Roman" w:hAnsi="Times New Roman" w:cs="Times New Roman"/>
                <w:b/>
                <w:bCs/>
                <w:color w:val="000000"/>
                <w:sz w:val="18"/>
                <w:szCs w:val="18"/>
                <w:lang w:eastAsia="tr-TR"/>
              </w:rPr>
              <w:t>Kökenli Kurumların Toplam Kâ</w:t>
            </w:r>
            <w:r w:rsidR="000B2720" w:rsidRPr="00BF0642">
              <w:rPr>
                <w:rFonts w:ascii="Times New Roman" w:eastAsia="Times New Roman" w:hAnsi="Times New Roman" w:cs="Times New Roman"/>
                <w:b/>
                <w:bCs/>
                <w:color w:val="000000"/>
                <w:sz w:val="18"/>
                <w:szCs w:val="18"/>
                <w:lang w:eastAsia="tr-TR"/>
              </w:rPr>
              <w:t>rda Payı</w:t>
            </w:r>
          </w:p>
        </w:tc>
        <w:tc>
          <w:tcPr>
            <w:tcW w:w="1559"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 xml:space="preserve">Yabancı </w:t>
            </w:r>
            <w:r w:rsidR="000B2720">
              <w:rPr>
                <w:rFonts w:ascii="Times New Roman" w:eastAsia="Times New Roman" w:hAnsi="Times New Roman" w:cs="Times New Roman"/>
                <w:b/>
                <w:bCs/>
                <w:color w:val="000000"/>
                <w:sz w:val="18"/>
                <w:szCs w:val="18"/>
                <w:lang w:eastAsia="tr-TR"/>
              </w:rPr>
              <w:t>Ortaklı Kurumların Kâ</w:t>
            </w:r>
            <w:r w:rsidR="000B2720" w:rsidRPr="00BF0642">
              <w:rPr>
                <w:rFonts w:ascii="Times New Roman" w:eastAsia="Times New Roman" w:hAnsi="Times New Roman" w:cs="Times New Roman"/>
                <w:b/>
                <w:bCs/>
                <w:color w:val="000000"/>
                <w:sz w:val="18"/>
                <w:szCs w:val="18"/>
                <w:lang w:eastAsia="tr-TR"/>
              </w:rPr>
              <w:t>r Toplamı</w:t>
            </w:r>
          </w:p>
        </w:tc>
        <w:tc>
          <w:tcPr>
            <w:tcW w:w="1134"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 xml:space="preserve">Yabancı </w:t>
            </w:r>
            <w:r w:rsidR="000B2720">
              <w:rPr>
                <w:rFonts w:ascii="Times New Roman" w:eastAsia="Times New Roman" w:hAnsi="Times New Roman" w:cs="Times New Roman"/>
                <w:b/>
                <w:bCs/>
                <w:color w:val="000000"/>
                <w:sz w:val="18"/>
                <w:szCs w:val="18"/>
                <w:lang w:eastAsia="tr-TR"/>
              </w:rPr>
              <w:t>Ortaklı Kurumların Toplam Kâ</w:t>
            </w:r>
            <w:r w:rsidR="000B2720" w:rsidRPr="00BF0642">
              <w:rPr>
                <w:rFonts w:ascii="Times New Roman" w:eastAsia="Times New Roman" w:hAnsi="Times New Roman" w:cs="Times New Roman"/>
                <w:b/>
                <w:bCs/>
                <w:color w:val="000000"/>
                <w:sz w:val="18"/>
                <w:szCs w:val="18"/>
                <w:lang w:eastAsia="tr-TR"/>
              </w:rPr>
              <w:t>rda Payı</w:t>
            </w:r>
          </w:p>
        </w:tc>
        <w:tc>
          <w:tcPr>
            <w:tcW w:w="1559"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0B2720">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 xml:space="preserve">Yabancı </w:t>
            </w:r>
            <w:r w:rsidR="000B2720" w:rsidRPr="00BF0642">
              <w:rPr>
                <w:rFonts w:ascii="Times New Roman" w:eastAsia="Times New Roman" w:hAnsi="Times New Roman" w:cs="Times New Roman"/>
                <w:b/>
                <w:bCs/>
                <w:color w:val="000000"/>
                <w:sz w:val="18"/>
                <w:szCs w:val="18"/>
                <w:lang w:eastAsia="tr-TR"/>
              </w:rPr>
              <w:t>Ortaklı Banka</w:t>
            </w:r>
            <w:r w:rsidR="000B2720">
              <w:rPr>
                <w:rFonts w:ascii="Times New Roman" w:eastAsia="Times New Roman" w:hAnsi="Times New Roman" w:cs="Times New Roman"/>
                <w:b/>
                <w:bCs/>
                <w:color w:val="000000"/>
                <w:sz w:val="18"/>
                <w:szCs w:val="18"/>
                <w:lang w:eastAsia="tr-TR"/>
              </w:rPr>
              <w:t xml:space="preserve"> </w:t>
            </w:r>
            <w:r w:rsidR="000B2720" w:rsidRPr="00BF0642">
              <w:rPr>
                <w:rFonts w:ascii="Times New Roman" w:eastAsia="Times New Roman" w:hAnsi="Times New Roman" w:cs="Times New Roman"/>
                <w:b/>
                <w:bCs/>
                <w:color w:val="000000"/>
                <w:sz w:val="18"/>
                <w:szCs w:val="18"/>
                <w:lang w:eastAsia="tr-TR"/>
              </w:rPr>
              <w:t>Kökenli Kurumların K</w:t>
            </w:r>
            <w:r w:rsidR="000B2720">
              <w:rPr>
                <w:rFonts w:ascii="Times New Roman" w:eastAsia="Times New Roman" w:hAnsi="Times New Roman" w:cs="Times New Roman"/>
                <w:b/>
                <w:bCs/>
                <w:color w:val="000000"/>
                <w:sz w:val="18"/>
                <w:szCs w:val="18"/>
                <w:lang w:eastAsia="tr-TR"/>
              </w:rPr>
              <w:t>â</w:t>
            </w:r>
            <w:r w:rsidR="000B2720" w:rsidRPr="00BF0642">
              <w:rPr>
                <w:rFonts w:ascii="Times New Roman" w:eastAsia="Times New Roman" w:hAnsi="Times New Roman" w:cs="Times New Roman"/>
                <w:b/>
                <w:bCs/>
                <w:color w:val="000000"/>
                <w:sz w:val="18"/>
                <w:szCs w:val="18"/>
                <w:lang w:eastAsia="tr-TR"/>
              </w:rPr>
              <w:t>r Toplamı</w:t>
            </w:r>
          </w:p>
        </w:tc>
        <w:tc>
          <w:tcPr>
            <w:tcW w:w="1134" w:type="dxa"/>
            <w:tcBorders>
              <w:top w:val="single" w:sz="4" w:space="0" w:color="auto"/>
              <w:left w:val="nil"/>
              <w:bottom w:val="single" w:sz="4" w:space="0" w:color="auto"/>
              <w:right w:val="single" w:sz="4" w:space="0" w:color="auto"/>
            </w:tcBorders>
            <w:shd w:val="clear" w:color="000000" w:fill="92CDDC"/>
            <w:vAlign w:val="center"/>
            <w:hideMark/>
          </w:tcPr>
          <w:p w:rsidR="006B698E" w:rsidRPr="00BF0642" w:rsidRDefault="00BF0642" w:rsidP="000B2720">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 xml:space="preserve">Yabancı </w:t>
            </w:r>
            <w:r w:rsidR="000B2720" w:rsidRPr="00BF0642">
              <w:rPr>
                <w:rFonts w:ascii="Times New Roman" w:eastAsia="Times New Roman" w:hAnsi="Times New Roman" w:cs="Times New Roman"/>
                <w:b/>
                <w:bCs/>
                <w:color w:val="000000"/>
                <w:sz w:val="18"/>
                <w:szCs w:val="18"/>
                <w:lang w:eastAsia="tr-TR"/>
              </w:rPr>
              <w:t>Ortaklı Banka</w:t>
            </w:r>
            <w:r w:rsidR="000B2720">
              <w:rPr>
                <w:rFonts w:ascii="Times New Roman" w:eastAsia="Times New Roman" w:hAnsi="Times New Roman" w:cs="Times New Roman"/>
                <w:b/>
                <w:bCs/>
                <w:color w:val="000000"/>
                <w:sz w:val="18"/>
                <w:szCs w:val="18"/>
                <w:lang w:eastAsia="tr-TR"/>
              </w:rPr>
              <w:t xml:space="preserve"> </w:t>
            </w:r>
            <w:r w:rsidR="000B2720" w:rsidRPr="00BF0642">
              <w:rPr>
                <w:rFonts w:ascii="Times New Roman" w:eastAsia="Times New Roman" w:hAnsi="Times New Roman" w:cs="Times New Roman"/>
                <w:b/>
                <w:bCs/>
                <w:color w:val="000000"/>
                <w:sz w:val="18"/>
                <w:szCs w:val="18"/>
                <w:lang w:eastAsia="tr-TR"/>
              </w:rPr>
              <w:t>Kökenli Kurumların K</w:t>
            </w:r>
            <w:r w:rsidR="000B2720">
              <w:rPr>
                <w:rFonts w:ascii="Times New Roman" w:eastAsia="Times New Roman" w:hAnsi="Times New Roman" w:cs="Times New Roman"/>
                <w:b/>
                <w:bCs/>
                <w:color w:val="000000"/>
                <w:sz w:val="18"/>
                <w:szCs w:val="18"/>
                <w:lang w:eastAsia="tr-TR"/>
              </w:rPr>
              <w:t>â</w:t>
            </w:r>
            <w:r w:rsidR="000B2720" w:rsidRPr="00BF0642">
              <w:rPr>
                <w:rFonts w:ascii="Times New Roman" w:eastAsia="Times New Roman" w:hAnsi="Times New Roman" w:cs="Times New Roman"/>
                <w:b/>
                <w:bCs/>
                <w:color w:val="000000"/>
                <w:sz w:val="18"/>
                <w:szCs w:val="18"/>
                <w:lang w:eastAsia="tr-TR"/>
              </w:rPr>
              <w:t>rda Payı</w:t>
            </w:r>
          </w:p>
        </w:tc>
      </w:tr>
      <w:tr w:rsidR="00BF0642" w:rsidRPr="002E402A" w:rsidTr="00BF0642">
        <w:trPr>
          <w:trHeight w:val="619"/>
        </w:trPr>
        <w:tc>
          <w:tcPr>
            <w:tcW w:w="993"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2009</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325.405.709,</w:t>
            </w:r>
            <w:r w:rsidR="006B698E" w:rsidRPr="00BF0642">
              <w:rPr>
                <w:rFonts w:ascii="Times New Roman" w:eastAsia="Times New Roman" w:hAnsi="Times New Roman" w:cs="Times New Roman"/>
                <w:b/>
                <w:bCs/>
                <w:color w:val="000000"/>
                <w:sz w:val="18"/>
                <w:szCs w:val="18"/>
                <w:lang w:eastAsia="tr-TR"/>
              </w:rPr>
              <w:t xml:space="preserve">30 ₺ </w:t>
            </w:r>
          </w:p>
        </w:tc>
        <w:tc>
          <w:tcPr>
            <w:tcW w:w="1560"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251.936.027,</w:t>
            </w:r>
            <w:r w:rsidR="006B698E" w:rsidRPr="00BF0642">
              <w:rPr>
                <w:rFonts w:ascii="Times New Roman" w:eastAsia="Times New Roman" w:hAnsi="Times New Roman" w:cs="Times New Roman"/>
                <w:b/>
                <w:bCs/>
                <w:color w:val="000000"/>
                <w:sz w:val="18"/>
                <w:szCs w:val="18"/>
                <w:lang w:eastAsia="tr-TR"/>
              </w:rPr>
              <w:t xml:space="preserve">76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77,</w:t>
            </w:r>
            <w:r w:rsidR="006B698E" w:rsidRPr="00BF0642">
              <w:rPr>
                <w:rFonts w:ascii="Times New Roman" w:eastAsia="Times New Roman" w:hAnsi="Times New Roman" w:cs="Times New Roman"/>
                <w:b/>
                <w:bCs/>
                <w:color w:val="000000"/>
                <w:sz w:val="18"/>
                <w:szCs w:val="18"/>
                <w:lang w:eastAsia="tr-TR"/>
              </w:rPr>
              <w:t>42</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67.948.152,</w:t>
            </w:r>
            <w:r w:rsidR="006B698E" w:rsidRPr="00BF0642">
              <w:rPr>
                <w:rFonts w:ascii="Times New Roman" w:eastAsia="Times New Roman" w:hAnsi="Times New Roman" w:cs="Times New Roman"/>
                <w:b/>
                <w:bCs/>
                <w:color w:val="000000"/>
                <w:sz w:val="18"/>
                <w:szCs w:val="18"/>
                <w:lang w:eastAsia="tr-TR"/>
              </w:rPr>
              <w:t xml:space="preserve">60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20.88</w:t>
            </w:r>
            <w:r w:rsidR="00BF0642">
              <w:rPr>
                <w:rFonts w:ascii="Times New Roman" w:eastAsia="Times New Roman" w:hAnsi="Times New Roman" w:cs="Times New Roman"/>
                <w:b/>
                <w:bCs/>
                <w:color w:val="000000"/>
                <w:sz w:val="18"/>
                <w:szCs w:val="18"/>
                <w:lang w:eastAsia="tr-TR"/>
              </w:rPr>
              <w:t xml:space="preserve"> </w:t>
            </w:r>
            <w:r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60.532.399,</w:t>
            </w:r>
            <w:r w:rsidR="006B698E" w:rsidRPr="00BF0642">
              <w:rPr>
                <w:rFonts w:ascii="Times New Roman" w:eastAsia="Times New Roman" w:hAnsi="Times New Roman" w:cs="Times New Roman"/>
                <w:b/>
                <w:bCs/>
                <w:color w:val="000000"/>
                <w:sz w:val="18"/>
                <w:szCs w:val="18"/>
                <w:lang w:eastAsia="tr-TR"/>
              </w:rPr>
              <w:t xml:space="preserve">60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18,</w:t>
            </w:r>
            <w:r w:rsidR="006B698E" w:rsidRPr="00BF0642">
              <w:rPr>
                <w:rFonts w:ascii="Times New Roman" w:eastAsia="Times New Roman" w:hAnsi="Times New Roman" w:cs="Times New Roman"/>
                <w:b/>
                <w:bCs/>
                <w:color w:val="000000"/>
                <w:sz w:val="18"/>
                <w:szCs w:val="18"/>
                <w:lang w:eastAsia="tr-TR"/>
              </w:rPr>
              <w:t>60</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r>
      <w:tr w:rsidR="00BF0642" w:rsidRPr="002E402A" w:rsidTr="00BF0642">
        <w:trPr>
          <w:trHeight w:val="557"/>
        </w:trPr>
        <w:tc>
          <w:tcPr>
            <w:tcW w:w="993"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2010</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372.742.241,</w:t>
            </w:r>
            <w:r w:rsidR="006B698E" w:rsidRPr="00BF0642">
              <w:rPr>
                <w:rFonts w:ascii="Times New Roman" w:eastAsia="Times New Roman" w:hAnsi="Times New Roman" w:cs="Times New Roman"/>
                <w:b/>
                <w:bCs/>
                <w:color w:val="000000"/>
                <w:sz w:val="18"/>
                <w:szCs w:val="18"/>
                <w:lang w:eastAsia="tr-TR"/>
              </w:rPr>
              <w:t xml:space="preserve">78 ₺ </w:t>
            </w:r>
          </w:p>
        </w:tc>
        <w:tc>
          <w:tcPr>
            <w:tcW w:w="1560"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0C18E8">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268.181.</w:t>
            </w:r>
            <w:r w:rsidR="006B698E" w:rsidRPr="00BF0642">
              <w:rPr>
                <w:rFonts w:ascii="Times New Roman" w:eastAsia="Times New Roman" w:hAnsi="Times New Roman" w:cs="Times New Roman"/>
                <w:b/>
                <w:bCs/>
                <w:color w:val="000000"/>
                <w:sz w:val="18"/>
                <w:szCs w:val="18"/>
                <w:lang w:eastAsia="tr-TR"/>
              </w:rPr>
              <w:t>406</w:t>
            </w:r>
            <w:r>
              <w:rPr>
                <w:rFonts w:ascii="Times New Roman" w:eastAsia="Times New Roman" w:hAnsi="Times New Roman" w:cs="Times New Roman"/>
                <w:b/>
                <w:bCs/>
                <w:color w:val="000000"/>
                <w:sz w:val="18"/>
                <w:szCs w:val="18"/>
                <w:lang w:eastAsia="tr-TR"/>
              </w:rPr>
              <w:t>,</w:t>
            </w:r>
            <w:r w:rsidR="006B698E" w:rsidRPr="00BF0642">
              <w:rPr>
                <w:rFonts w:ascii="Times New Roman" w:eastAsia="Times New Roman" w:hAnsi="Times New Roman" w:cs="Times New Roman"/>
                <w:b/>
                <w:bCs/>
                <w:color w:val="000000"/>
                <w:sz w:val="18"/>
                <w:szCs w:val="18"/>
                <w:lang w:eastAsia="tr-TR"/>
              </w:rPr>
              <w:t xml:space="preserve">90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71,</w:t>
            </w:r>
            <w:r w:rsidR="006B698E" w:rsidRPr="00BF0642">
              <w:rPr>
                <w:rFonts w:ascii="Times New Roman" w:eastAsia="Times New Roman" w:hAnsi="Times New Roman" w:cs="Times New Roman"/>
                <w:b/>
                <w:bCs/>
                <w:color w:val="000000"/>
                <w:sz w:val="18"/>
                <w:szCs w:val="18"/>
                <w:lang w:eastAsia="tr-TR"/>
              </w:rPr>
              <w:t>95</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72.789.871,</w:t>
            </w:r>
            <w:r w:rsidR="006B698E" w:rsidRPr="00BF0642">
              <w:rPr>
                <w:rFonts w:ascii="Times New Roman" w:eastAsia="Times New Roman" w:hAnsi="Times New Roman" w:cs="Times New Roman"/>
                <w:b/>
                <w:bCs/>
                <w:color w:val="000000"/>
                <w:sz w:val="18"/>
                <w:szCs w:val="18"/>
                <w:lang w:eastAsia="tr-TR"/>
              </w:rPr>
              <w:t xml:space="preserve">90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19.53</w:t>
            </w:r>
            <w:r w:rsidR="00BF0642">
              <w:rPr>
                <w:rFonts w:ascii="Times New Roman" w:eastAsia="Times New Roman" w:hAnsi="Times New Roman" w:cs="Times New Roman"/>
                <w:b/>
                <w:bCs/>
                <w:color w:val="000000"/>
                <w:sz w:val="18"/>
                <w:szCs w:val="18"/>
                <w:lang w:eastAsia="tr-TR"/>
              </w:rPr>
              <w:t xml:space="preserve"> </w:t>
            </w:r>
            <w:r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59.292.123,</w:t>
            </w:r>
            <w:r w:rsidR="006B698E" w:rsidRPr="00BF0642">
              <w:rPr>
                <w:rFonts w:ascii="Times New Roman" w:eastAsia="Times New Roman" w:hAnsi="Times New Roman" w:cs="Times New Roman"/>
                <w:b/>
                <w:bCs/>
                <w:color w:val="000000"/>
                <w:sz w:val="18"/>
                <w:szCs w:val="18"/>
                <w:lang w:eastAsia="tr-TR"/>
              </w:rPr>
              <w:t xml:space="preserve">90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15,</w:t>
            </w:r>
            <w:r w:rsidR="006B698E" w:rsidRPr="00BF0642">
              <w:rPr>
                <w:rFonts w:ascii="Times New Roman" w:eastAsia="Times New Roman" w:hAnsi="Times New Roman" w:cs="Times New Roman"/>
                <w:b/>
                <w:bCs/>
                <w:color w:val="000000"/>
                <w:sz w:val="18"/>
                <w:szCs w:val="18"/>
                <w:lang w:eastAsia="tr-TR"/>
              </w:rPr>
              <w:t>91</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r>
      <w:tr w:rsidR="00BF0642" w:rsidRPr="002E402A" w:rsidTr="00BF0642">
        <w:trPr>
          <w:trHeight w:val="551"/>
        </w:trPr>
        <w:tc>
          <w:tcPr>
            <w:tcW w:w="993"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2011</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429.148.834,</w:t>
            </w:r>
            <w:r w:rsidR="006B698E" w:rsidRPr="00BF0642">
              <w:rPr>
                <w:rFonts w:ascii="Times New Roman" w:eastAsia="Times New Roman" w:hAnsi="Times New Roman" w:cs="Times New Roman"/>
                <w:b/>
                <w:bCs/>
                <w:color w:val="000000"/>
                <w:sz w:val="18"/>
                <w:szCs w:val="18"/>
                <w:lang w:eastAsia="tr-TR"/>
              </w:rPr>
              <w:t xml:space="preserve">65 ₺ </w:t>
            </w:r>
          </w:p>
        </w:tc>
        <w:tc>
          <w:tcPr>
            <w:tcW w:w="1560"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322.100.063,</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75,</w:t>
            </w:r>
            <w:r w:rsidR="006B698E" w:rsidRPr="00BF0642">
              <w:rPr>
                <w:rFonts w:ascii="Times New Roman" w:eastAsia="Times New Roman" w:hAnsi="Times New Roman" w:cs="Times New Roman"/>
                <w:b/>
                <w:bCs/>
                <w:color w:val="000000"/>
                <w:sz w:val="18"/>
                <w:szCs w:val="18"/>
                <w:lang w:eastAsia="tr-TR"/>
              </w:rPr>
              <w:t>06</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85.546.005,</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19.93</w:t>
            </w:r>
            <w:r w:rsidR="00BF0642">
              <w:rPr>
                <w:rFonts w:ascii="Times New Roman" w:eastAsia="Times New Roman" w:hAnsi="Times New Roman" w:cs="Times New Roman"/>
                <w:b/>
                <w:bCs/>
                <w:color w:val="000000"/>
                <w:sz w:val="18"/>
                <w:szCs w:val="18"/>
                <w:lang w:eastAsia="tr-TR"/>
              </w:rPr>
              <w:t xml:space="preserve"> </w:t>
            </w:r>
            <w:r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75.768.972,</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17,</w:t>
            </w:r>
            <w:r w:rsidR="006B698E" w:rsidRPr="00BF0642">
              <w:rPr>
                <w:rFonts w:ascii="Times New Roman" w:eastAsia="Times New Roman" w:hAnsi="Times New Roman" w:cs="Times New Roman"/>
                <w:b/>
                <w:bCs/>
                <w:color w:val="000000"/>
                <w:sz w:val="18"/>
                <w:szCs w:val="18"/>
                <w:lang w:eastAsia="tr-TR"/>
              </w:rPr>
              <w:t>66</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r>
      <w:tr w:rsidR="00BF0642" w:rsidRPr="002E402A" w:rsidTr="00BF0642">
        <w:trPr>
          <w:trHeight w:val="559"/>
        </w:trPr>
        <w:tc>
          <w:tcPr>
            <w:tcW w:w="993"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2012</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341.887.329,</w:t>
            </w:r>
            <w:r w:rsidR="006B698E" w:rsidRPr="00BF0642">
              <w:rPr>
                <w:rFonts w:ascii="Times New Roman" w:eastAsia="Times New Roman" w:hAnsi="Times New Roman" w:cs="Times New Roman"/>
                <w:b/>
                <w:bCs/>
                <w:color w:val="000000"/>
                <w:sz w:val="18"/>
                <w:szCs w:val="18"/>
                <w:lang w:eastAsia="tr-TR"/>
              </w:rPr>
              <w:t xml:space="preserve">00 ₺ </w:t>
            </w:r>
          </w:p>
        </w:tc>
        <w:tc>
          <w:tcPr>
            <w:tcW w:w="1560"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0C18E8">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253.363.83,</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74,</w:t>
            </w:r>
            <w:r w:rsidR="006B698E" w:rsidRPr="00BF0642">
              <w:rPr>
                <w:rFonts w:ascii="Times New Roman" w:eastAsia="Times New Roman" w:hAnsi="Times New Roman" w:cs="Times New Roman"/>
                <w:b/>
                <w:bCs/>
                <w:color w:val="000000"/>
                <w:sz w:val="18"/>
                <w:szCs w:val="18"/>
                <w:lang w:eastAsia="tr-TR"/>
              </w:rPr>
              <w:t>11</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91.505.026,</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26.76</w:t>
            </w:r>
            <w:r w:rsidR="00BF0642">
              <w:rPr>
                <w:rFonts w:ascii="Times New Roman" w:eastAsia="Times New Roman" w:hAnsi="Times New Roman" w:cs="Times New Roman"/>
                <w:b/>
                <w:bCs/>
                <w:color w:val="000000"/>
                <w:sz w:val="18"/>
                <w:szCs w:val="18"/>
                <w:lang w:eastAsia="tr-TR"/>
              </w:rPr>
              <w:t xml:space="preserve"> </w:t>
            </w:r>
            <w:r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76.491.578,</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22,</w:t>
            </w:r>
            <w:r w:rsidR="006B698E" w:rsidRPr="00BF0642">
              <w:rPr>
                <w:rFonts w:ascii="Times New Roman" w:eastAsia="Times New Roman" w:hAnsi="Times New Roman" w:cs="Times New Roman"/>
                <w:b/>
                <w:bCs/>
                <w:color w:val="000000"/>
                <w:sz w:val="18"/>
                <w:szCs w:val="18"/>
                <w:lang w:eastAsia="tr-TR"/>
              </w:rPr>
              <w:t>37</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r>
      <w:tr w:rsidR="00BF0642" w:rsidRPr="002E402A" w:rsidTr="00BF0642">
        <w:trPr>
          <w:trHeight w:val="567"/>
        </w:trPr>
        <w:tc>
          <w:tcPr>
            <w:tcW w:w="993"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2013</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585.246.978,</w:t>
            </w:r>
            <w:r w:rsidR="006B698E" w:rsidRPr="00BF0642">
              <w:rPr>
                <w:rFonts w:ascii="Times New Roman" w:eastAsia="Times New Roman" w:hAnsi="Times New Roman" w:cs="Times New Roman"/>
                <w:b/>
                <w:bCs/>
                <w:color w:val="000000"/>
                <w:sz w:val="18"/>
                <w:szCs w:val="18"/>
                <w:lang w:eastAsia="tr-TR"/>
              </w:rPr>
              <w:t xml:space="preserve">00 ₺ </w:t>
            </w:r>
          </w:p>
        </w:tc>
        <w:tc>
          <w:tcPr>
            <w:tcW w:w="1560"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457.355.262,</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78,</w:t>
            </w:r>
            <w:r w:rsidR="006B698E" w:rsidRPr="00BF0642">
              <w:rPr>
                <w:rFonts w:ascii="Times New Roman" w:eastAsia="Times New Roman" w:hAnsi="Times New Roman" w:cs="Times New Roman"/>
                <w:b/>
                <w:bCs/>
                <w:color w:val="000000"/>
                <w:sz w:val="18"/>
                <w:szCs w:val="18"/>
                <w:lang w:eastAsia="tr-TR"/>
              </w:rPr>
              <w:t>15</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82.273.616,</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14.06</w:t>
            </w:r>
            <w:r w:rsidR="00BF0642">
              <w:rPr>
                <w:rFonts w:ascii="Times New Roman" w:eastAsia="Times New Roman" w:hAnsi="Times New Roman" w:cs="Times New Roman"/>
                <w:b/>
                <w:bCs/>
                <w:color w:val="000000"/>
                <w:sz w:val="18"/>
                <w:szCs w:val="18"/>
                <w:lang w:eastAsia="tr-TR"/>
              </w:rPr>
              <w:t xml:space="preserve"> </w:t>
            </w:r>
            <w:r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62.870.682,</w:t>
            </w:r>
            <w:r w:rsidR="006B698E" w:rsidRPr="00BF0642">
              <w:rPr>
                <w:rFonts w:ascii="Times New Roman" w:eastAsia="Times New Roman" w:hAnsi="Times New Roman" w:cs="Times New Roman"/>
                <w:b/>
                <w:bCs/>
                <w:color w:val="000000"/>
                <w:sz w:val="18"/>
                <w:szCs w:val="18"/>
                <w:lang w:eastAsia="tr-TR"/>
              </w:rPr>
              <w:t xml:space="preserve">00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10,</w:t>
            </w:r>
            <w:r w:rsidR="006B698E" w:rsidRPr="00BF0642">
              <w:rPr>
                <w:rFonts w:ascii="Times New Roman" w:eastAsia="Times New Roman" w:hAnsi="Times New Roman" w:cs="Times New Roman"/>
                <w:b/>
                <w:bCs/>
                <w:color w:val="000000"/>
                <w:sz w:val="18"/>
                <w:szCs w:val="18"/>
                <w:lang w:eastAsia="tr-TR"/>
              </w:rPr>
              <w:t>74</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r>
      <w:tr w:rsidR="00BF0642" w:rsidRPr="002E402A" w:rsidTr="00BF0642">
        <w:trPr>
          <w:trHeight w:val="981"/>
        </w:trPr>
        <w:tc>
          <w:tcPr>
            <w:tcW w:w="993"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ORT.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410.886.218,</w:t>
            </w:r>
            <w:r w:rsidR="006B698E" w:rsidRPr="00BF0642">
              <w:rPr>
                <w:rFonts w:ascii="Times New Roman" w:eastAsia="Times New Roman" w:hAnsi="Times New Roman" w:cs="Times New Roman"/>
                <w:b/>
                <w:bCs/>
                <w:color w:val="000000"/>
                <w:sz w:val="18"/>
                <w:szCs w:val="18"/>
                <w:lang w:eastAsia="tr-TR"/>
              </w:rPr>
              <w:t xml:space="preserve">55 ₺ </w:t>
            </w:r>
          </w:p>
        </w:tc>
        <w:tc>
          <w:tcPr>
            <w:tcW w:w="1560"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310.587.317,</w:t>
            </w:r>
            <w:r w:rsidR="006B698E" w:rsidRPr="00BF0642">
              <w:rPr>
                <w:rFonts w:ascii="Times New Roman" w:eastAsia="Times New Roman" w:hAnsi="Times New Roman" w:cs="Times New Roman"/>
                <w:b/>
                <w:bCs/>
                <w:color w:val="000000"/>
                <w:sz w:val="18"/>
                <w:szCs w:val="18"/>
                <w:lang w:eastAsia="tr-TR"/>
              </w:rPr>
              <w:t xml:space="preserve">93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75,</w:t>
            </w:r>
            <w:r w:rsidR="006B698E" w:rsidRPr="00BF0642">
              <w:rPr>
                <w:rFonts w:ascii="Times New Roman" w:eastAsia="Times New Roman" w:hAnsi="Times New Roman" w:cs="Times New Roman"/>
                <w:b/>
                <w:bCs/>
                <w:color w:val="000000"/>
                <w:sz w:val="18"/>
                <w:szCs w:val="18"/>
                <w:lang w:eastAsia="tr-TR"/>
              </w:rPr>
              <w:t>34</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80.012.534,</w:t>
            </w:r>
            <w:r w:rsidR="006B698E" w:rsidRPr="00BF0642">
              <w:rPr>
                <w:rFonts w:ascii="Times New Roman" w:eastAsia="Times New Roman" w:hAnsi="Times New Roman" w:cs="Times New Roman"/>
                <w:b/>
                <w:bCs/>
                <w:color w:val="000000"/>
                <w:sz w:val="18"/>
                <w:szCs w:val="18"/>
                <w:lang w:eastAsia="tr-TR"/>
              </w:rPr>
              <w:t xml:space="preserve">30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BF0642">
              <w:rPr>
                <w:rFonts w:ascii="Times New Roman" w:eastAsia="Times New Roman" w:hAnsi="Times New Roman" w:cs="Times New Roman"/>
                <w:b/>
                <w:bCs/>
                <w:color w:val="000000"/>
                <w:sz w:val="18"/>
                <w:szCs w:val="18"/>
                <w:lang w:eastAsia="tr-TR"/>
              </w:rPr>
              <w:t>20.23</w:t>
            </w:r>
            <w:r w:rsidR="00BF0642">
              <w:rPr>
                <w:rFonts w:ascii="Times New Roman" w:eastAsia="Times New Roman" w:hAnsi="Times New Roman" w:cs="Times New Roman"/>
                <w:b/>
                <w:bCs/>
                <w:color w:val="000000"/>
                <w:sz w:val="18"/>
                <w:szCs w:val="18"/>
                <w:lang w:eastAsia="tr-TR"/>
              </w:rPr>
              <w:t xml:space="preserve"> </w:t>
            </w:r>
            <w:r w:rsidRPr="00BF0642">
              <w:rPr>
                <w:rFonts w:ascii="Times New Roman" w:eastAsia="Times New Roman" w:hAnsi="Times New Roman" w:cs="Times New Roman"/>
                <w:b/>
                <w:bCs/>
                <w:color w:val="000000"/>
                <w:sz w:val="18"/>
                <w:szCs w:val="18"/>
                <w:lang w:eastAsia="tr-TR"/>
              </w:rPr>
              <w:t>%</w:t>
            </w:r>
          </w:p>
        </w:tc>
        <w:tc>
          <w:tcPr>
            <w:tcW w:w="1559"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66.991.151,</w:t>
            </w:r>
            <w:r w:rsidR="006B698E" w:rsidRPr="00BF0642">
              <w:rPr>
                <w:rFonts w:ascii="Times New Roman" w:eastAsia="Times New Roman" w:hAnsi="Times New Roman" w:cs="Times New Roman"/>
                <w:b/>
                <w:bCs/>
                <w:color w:val="000000"/>
                <w:sz w:val="18"/>
                <w:szCs w:val="18"/>
                <w:lang w:eastAsia="tr-TR"/>
              </w:rPr>
              <w:t xml:space="preserve">10 ₺ </w:t>
            </w:r>
          </w:p>
        </w:tc>
        <w:tc>
          <w:tcPr>
            <w:tcW w:w="1134" w:type="dxa"/>
            <w:tcBorders>
              <w:top w:val="nil"/>
              <w:left w:val="nil"/>
              <w:bottom w:val="single" w:sz="4" w:space="0" w:color="auto"/>
              <w:right w:val="single" w:sz="4" w:space="0" w:color="auto"/>
            </w:tcBorders>
            <w:shd w:val="clear" w:color="auto" w:fill="auto"/>
            <w:vAlign w:val="center"/>
            <w:hideMark/>
          </w:tcPr>
          <w:p w:rsidR="006B698E" w:rsidRPr="00BF0642" w:rsidRDefault="000C18E8"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17,</w:t>
            </w:r>
            <w:r w:rsidR="006B698E" w:rsidRPr="00BF0642">
              <w:rPr>
                <w:rFonts w:ascii="Times New Roman" w:eastAsia="Times New Roman" w:hAnsi="Times New Roman" w:cs="Times New Roman"/>
                <w:b/>
                <w:bCs/>
                <w:color w:val="000000"/>
                <w:sz w:val="18"/>
                <w:szCs w:val="18"/>
                <w:lang w:eastAsia="tr-TR"/>
              </w:rPr>
              <w:t>06</w:t>
            </w:r>
            <w:r w:rsidR="00BF0642">
              <w:rPr>
                <w:rFonts w:ascii="Times New Roman" w:eastAsia="Times New Roman" w:hAnsi="Times New Roman" w:cs="Times New Roman"/>
                <w:b/>
                <w:bCs/>
                <w:color w:val="000000"/>
                <w:sz w:val="18"/>
                <w:szCs w:val="18"/>
                <w:lang w:eastAsia="tr-TR"/>
              </w:rPr>
              <w:t xml:space="preserve"> </w:t>
            </w:r>
            <w:r w:rsidR="006B698E" w:rsidRPr="00BF0642">
              <w:rPr>
                <w:rFonts w:ascii="Times New Roman" w:eastAsia="Times New Roman" w:hAnsi="Times New Roman" w:cs="Times New Roman"/>
                <w:b/>
                <w:bCs/>
                <w:color w:val="000000"/>
                <w:sz w:val="18"/>
                <w:szCs w:val="18"/>
                <w:lang w:eastAsia="tr-TR"/>
              </w:rPr>
              <w:t>%</w:t>
            </w:r>
          </w:p>
        </w:tc>
      </w:tr>
    </w:tbl>
    <w:p w:rsidR="00E8123E" w:rsidRDefault="00E8123E" w:rsidP="00864360">
      <w:pPr>
        <w:spacing w:line="240" w:lineRule="auto"/>
        <w:rPr>
          <w:rFonts w:ascii="Times New Roman" w:hAnsi="Times New Roman" w:cs="Times New Roman"/>
          <w:sz w:val="24"/>
          <w:szCs w:val="24"/>
        </w:rPr>
      </w:pPr>
    </w:p>
    <w:p w:rsidR="00C171B6" w:rsidRPr="002E402A" w:rsidRDefault="00F822DD" w:rsidP="00864360">
      <w:pPr>
        <w:spacing w:line="240" w:lineRule="auto"/>
        <w:rPr>
          <w:rFonts w:ascii="Times New Roman" w:hAnsi="Times New Roman" w:cs="Times New Roman"/>
          <w:sz w:val="24"/>
          <w:szCs w:val="24"/>
        </w:rPr>
      </w:pPr>
      <w:r w:rsidRPr="002E402A">
        <w:rPr>
          <w:rFonts w:ascii="Times New Roman" w:hAnsi="Times New Roman" w:cs="Times New Roman"/>
          <w:sz w:val="24"/>
          <w:szCs w:val="24"/>
        </w:rPr>
        <w:t>Son 5 yılda, etkin çalışan kurumlarda ortalama 484 personel çalışmış olup, personel sayısı piyasadaki personelin %</w:t>
      </w:r>
      <w:r w:rsidR="00864360">
        <w:rPr>
          <w:rFonts w:ascii="Times New Roman" w:hAnsi="Times New Roman" w:cs="Times New Roman"/>
          <w:sz w:val="24"/>
          <w:szCs w:val="24"/>
        </w:rPr>
        <w:t xml:space="preserve"> </w:t>
      </w:r>
      <w:r w:rsidRPr="002E402A">
        <w:rPr>
          <w:rFonts w:ascii="Times New Roman" w:hAnsi="Times New Roman" w:cs="Times New Roman"/>
          <w:sz w:val="24"/>
          <w:szCs w:val="24"/>
        </w:rPr>
        <w:t>10’unu oluşturmaktadır. Etkin bulunan kurumların ortalama sermaye değeri 690.696.412,61-TL olup piyasadaki toplam sermayenin ortalama %</w:t>
      </w:r>
      <w:r w:rsidR="00864360">
        <w:rPr>
          <w:rFonts w:ascii="Times New Roman" w:hAnsi="Times New Roman" w:cs="Times New Roman"/>
          <w:sz w:val="24"/>
          <w:szCs w:val="24"/>
        </w:rPr>
        <w:t xml:space="preserve"> </w:t>
      </w:r>
      <w:r w:rsidRPr="002E402A">
        <w:rPr>
          <w:rFonts w:ascii="Times New Roman" w:hAnsi="Times New Roman" w:cs="Times New Roman"/>
          <w:sz w:val="24"/>
          <w:szCs w:val="24"/>
        </w:rPr>
        <w:t>26’sını oluşturmaktadır. Etkin bulunan kurumların kullandığı aktif toplamı ortalama 2.173.991.493,59-TL olup piyasadaki toplam a</w:t>
      </w:r>
      <w:r w:rsidR="00A63E70" w:rsidRPr="002E402A">
        <w:rPr>
          <w:rFonts w:ascii="Times New Roman" w:hAnsi="Times New Roman" w:cs="Times New Roman"/>
          <w:sz w:val="24"/>
          <w:szCs w:val="24"/>
        </w:rPr>
        <w:t>ktif değerinin ortalama %</w:t>
      </w:r>
      <w:r w:rsidR="00864360">
        <w:rPr>
          <w:rFonts w:ascii="Times New Roman" w:hAnsi="Times New Roman" w:cs="Times New Roman"/>
          <w:sz w:val="24"/>
          <w:szCs w:val="24"/>
        </w:rPr>
        <w:t xml:space="preserve"> </w:t>
      </w:r>
      <w:r w:rsidR="00A63E70" w:rsidRPr="002E402A">
        <w:rPr>
          <w:rFonts w:ascii="Times New Roman" w:hAnsi="Times New Roman" w:cs="Times New Roman"/>
          <w:sz w:val="24"/>
          <w:szCs w:val="24"/>
        </w:rPr>
        <w:t>22’sine</w:t>
      </w:r>
      <w:r w:rsidRPr="002E402A">
        <w:rPr>
          <w:rFonts w:ascii="Times New Roman" w:hAnsi="Times New Roman" w:cs="Times New Roman"/>
          <w:sz w:val="24"/>
          <w:szCs w:val="24"/>
        </w:rPr>
        <w:t xml:space="preserve"> </w:t>
      </w:r>
      <w:r w:rsidR="00A63E70" w:rsidRPr="002E402A">
        <w:rPr>
          <w:rFonts w:ascii="Times New Roman" w:hAnsi="Times New Roman" w:cs="Times New Roman"/>
          <w:sz w:val="24"/>
          <w:szCs w:val="24"/>
        </w:rPr>
        <w:t>sahip bulunmaktadır</w:t>
      </w:r>
      <w:r w:rsidRPr="002E402A">
        <w:rPr>
          <w:rFonts w:ascii="Times New Roman" w:hAnsi="Times New Roman" w:cs="Times New Roman"/>
          <w:sz w:val="24"/>
          <w:szCs w:val="24"/>
        </w:rPr>
        <w:t xml:space="preserve">. </w:t>
      </w:r>
      <w:r w:rsidR="00514BFA" w:rsidRPr="002E402A">
        <w:rPr>
          <w:rFonts w:ascii="Times New Roman" w:hAnsi="Times New Roman" w:cs="Times New Roman"/>
          <w:sz w:val="24"/>
          <w:szCs w:val="24"/>
        </w:rPr>
        <w:t>Buna göre, etkin ça</w:t>
      </w:r>
      <w:r w:rsidR="006900D1" w:rsidRPr="002E402A">
        <w:rPr>
          <w:rFonts w:ascii="Times New Roman" w:hAnsi="Times New Roman" w:cs="Times New Roman"/>
          <w:sz w:val="24"/>
          <w:szCs w:val="24"/>
        </w:rPr>
        <w:t>lışan 7 kurum aracı kurumlarda çalışan ortalama personel sayısının %</w:t>
      </w:r>
      <w:r w:rsidR="00A93195">
        <w:rPr>
          <w:rFonts w:ascii="Times New Roman" w:hAnsi="Times New Roman" w:cs="Times New Roman"/>
          <w:sz w:val="24"/>
          <w:szCs w:val="24"/>
        </w:rPr>
        <w:t xml:space="preserve"> </w:t>
      </w:r>
      <w:r w:rsidR="006900D1" w:rsidRPr="002E402A">
        <w:rPr>
          <w:rFonts w:ascii="Times New Roman" w:hAnsi="Times New Roman" w:cs="Times New Roman"/>
          <w:sz w:val="24"/>
          <w:szCs w:val="24"/>
        </w:rPr>
        <w:t>10’unu, sermayenin ortalama %</w:t>
      </w:r>
      <w:r w:rsidR="00A93195">
        <w:rPr>
          <w:rFonts w:ascii="Times New Roman" w:hAnsi="Times New Roman" w:cs="Times New Roman"/>
          <w:sz w:val="24"/>
          <w:szCs w:val="24"/>
        </w:rPr>
        <w:t xml:space="preserve"> </w:t>
      </w:r>
      <w:r w:rsidR="006900D1" w:rsidRPr="002E402A">
        <w:rPr>
          <w:rFonts w:ascii="Times New Roman" w:hAnsi="Times New Roman" w:cs="Times New Roman"/>
          <w:sz w:val="24"/>
          <w:szCs w:val="24"/>
        </w:rPr>
        <w:t>27’sini ve aracı kurum aktif toplamının ortalama %</w:t>
      </w:r>
      <w:r w:rsidR="00864360">
        <w:rPr>
          <w:rFonts w:ascii="Times New Roman" w:hAnsi="Times New Roman" w:cs="Times New Roman"/>
          <w:sz w:val="24"/>
          <w:szCs w:val="24"/>
        </w:rPr>
        <w:t xml:space="preserve"> </w:t>
      </w:r>
      <w:r w:rsidR="006900D1" w:rsidRPr="002E402A">
        <w:rPr>
          <w:rFonts w:ascii="Times New Roman" w:hAnsi="Times New Roman" w:cs="Times New Roman"/>
          <w:sz w:val="24"/>
          <w:szCs w:val="24"/>
        </w:rPr>
        <w:t xml:space="preserve">22’sini kullanarak net </w:t>
      </w:r>
      <w:r w:rsidR="007210D2" w:rsidRPr="002E402A">
        <w:rPr>
          <w:rFonts w:ascii="Times New Roman" w:hAnsi="Times New Roman" w:cs="Times New Roman"/>
          <w:sz w:val="24"/>
          <w:szCs w:val="24"/>
        </w:rPr>
        <w:t>kâr</w:t>
      </w:r>
      <w:r w:rsidR="006900D1" w:rsidRPr="002E402A">
        <w:rPr>
          <w:rFonts w:ascii="Times New Roman" w:hAnsi="Times New Roman" w:cs="Times New Roman"/>
          <w:sz w:val="24"/>
          <w:szCs w:val="24"/>
        </w:rPr>
        <w:t xml:space="preserve">ın </w:t>
      </w:r>
      <w:r w:rsidR="00E1101C" w:rsidRPr="002E402A">
        <w:rPr>
          <w:rFonts w:ascii="Times New Roman" w:hAnsi="Times New Roman" w:cs="Times New Roman"/>
          <w:sz w:val="24"/>
          <w:szCs w:val="24"/>
        </w:rPr>
        <w:t xml:space="preserve">ortalama </w:t>
      </w:r>
      <w:r w:rsidR="006900D1" w:rsidRPr="002E402A">
        <w:rPr>
          <w:rFonts w:ascii="Times New Roman" w:hAnsi="Times New Roman" w:cs="Times New Roman"/>
          <w:sz w:val="24"/>
          <w:szCs w:val="24"/>
        </w:rPr>
        <w:t>%</w:t>
      </w:r>
      <w:r w:rsidR="00E81444" w:rsidRPr="002E402A">
        <w:rPr>
          <w:rFonts w:ascii="Times New Roman" w:hAnsi="Times New Roman" w:cs="Times New Roman"/>
          <w:sz w:val="24"/>
          <w:szCs w:val="24"/>
        </w:rPr>
        <w:t xml:space="preserve"> </w:t>
      </w:r>
      <w:r w:rsidR="00E1101C" w:rsidRPr="002E402A">
        <w:rPr>
          <w:rFonts w:ascii="Times New Roman" w:hAnsi="Times New Roman" w:cs="Times New Roman"/>
          <w:sz w:val="24"/>
          <w:szCs w:val="24"/>
        </w:rPr>
        <w:t>38’ini</w:t>
      </w:r>
      <w:r w:rsidR="0086407C" w:rsidRPr="002E402A">
        <w:rPr>
          <w:rFonts w:ascii="Times New Roman" w:hAnsi="Times New Roman" w:cs="Times New Roman"/>
          <w:sz w:val="24"/>
          <w:szCs w:val="24"/>
        </w:rPr>
        <w:t>;</w:t>
      </w:r>
      <w:r w:rsidR="00E1101C" w:rsidRPr="002E402A">
        <w:rPr>
          <w:rFonts w:ascii="Times New Roman" w:hAnsi="Times New Roman" w:cs="Times New Roman"/>
          <w:sz w:val="24"/>
          <w:szCs w:val="24"/>
        </w:rPr>
        <w:t xml:space="preserve"> 2013 yılında ise</w:t>
      </w:r>
      <w:r w:rsidR="0086407C" w:rsidRPr="002E402A">
        <w:rPr>
          <w:rFonts w:ascii="Times New Roman" w:hAnsi="Times New Roman" w:cs="Times New Roman"/>
          <w:sz w:val="24"/>
          <w:szCs w:val="24"/>
        </w:rPr>
        <w:t xml:space="preserve"> personelin %</w:t>
      </w:r>
      <w:r w:rsidR="00E8123E">
        <w:rPr>
          <w:rFonts w:ascii="Times New Roman" w:hAnsi="Times New Roman" w:cs="Times New Roman"/>
          <w:sz w:val="24"/>
          <w:szCs w:val="24"/>
        </w:rPr>
        <w:t xml:space="preserve"> </w:t>
      </w:r>
      <w:r w:rsidR="0086407C" w:rsidRPr="002E402A">
        <w:rPr>
          <w:rFonts w:ascii="Times New Roman" w:hAnsi="Times New Roman" w:cs="Times New Roman"/>
          <w:sz w:val="24"/>
          <w:szCs w:val="24"/>
        </w:rPr>
        <w:t>9’unu, sermaye toplamının %</w:t>
      </w:r>
      <w:r w:rsidR="00864360">
        <w:rPr>
          <w:rFonts w:ascii="Times New Roman" w:hAnsi="Times New Roman" w:cs="Times New Roman"/>
          <w:sz w:val="24"/>
          <w:szCs w:val="24"/>
        </w:rPr>
        <w:t xml:space="preserve"> </w:t>
      </w:r>
      <w:r w:rsidR="0086407C" w:rsidRPr="002E402A">
        <w:rPr>
          <w:rFonts w:ascii="Times New Roman" w:hAnsi="Times New Roman" w:cs="Times New Roman"/>
          <w:sz w:val="24"/>
          <w:szCs w:val="24"/>
        </w:rPr>
        <w:t>26’sını, aktif toplamının %</w:t>
      </w:r>
      <w:r w:rsidR="00A93195">
        <w:rPr>
          <w:rFonts w:ascii="Times New Roman" w:hAnsi="Times New Roman" w:cs="Times New Roman"/>
          <w:sz w:val="24"/>
          <w:szCs w:val="24"/>
        </w:rPr>
        <w:t xml:space="preserve"> </w:t>
      </w:r>
      <w:r w:rsidR="0086407C" w:rsidRPr="002E402A">
        <w:rPr>
          <w:rFonts w:ascii="Times New Roman" w:hAnsi="Times New Roman" w:cs="Times New Roman"/>
          <w:sz w:val="24"/>
          <w:szCs w:val="24"/>
        </w:rPr>
        <w:t xml:space="preserve">29’unu kullanarak net </w:t>
      </w:r>
      <w:r w:rsidR="007210D2" w:rsidRPr="002E402A">
        <w:rPr>
          <w:rFonts w:ascii="Times New Roman" w:hAnsi="Times New Roman" w:cs="Times New Roman"/>
          <w:sz w:val="24"/>
          <w:szCs w:val="24"/>
        </w:rPr>
        <w:t>kâr</w:t>
      </w:r>
      <w:r w:rsidR="0086407C" w:rsidRPr="002E402A">
        <w:rPr>
          <w:rFonts w:ascii="Times New Roman" w:hAnsi="Times New Roman" w:cs="Times New Roman"/>
          <w:sz w:val="24"/>
          <w:szCs w:val="24"/>
        </w:rPr>
        <w:t>ın</w:t>
      </w:r>
      <w:r w:rsidR="00E1101C" w:rsidRPr="002E402A">
        <w:rPr>
          <w:rFonts w:ascii="Times New Roman" w:hAnsi="Times New Roman" w:cs="Times New Roman"/>
          <w:sz w:val="24"/>
          <w:szCs w:val="24"/>
        </w:rPr>
        <w:t xml:space="preserve"> %</w:t>
      </w:r>
      <w:r w:rsidR="00A93195">
        <w:rPr>
          <w:rFonts w:ascii="Times New Roman" w:hAnsi="Times New Roman" w:cs="Times New Roman"/>
          <w:sz w:val="24"/>
          <w:szCs w:val="24"/>
        </w:rPr>
        <w:t xml:space="preserve"> </w:t>
      </w:r>
      <w:r w:rsidR="00E1101C" w:rsidRPr="002E402A">
        <w:rPr>
          <w:rFonts w:ascii="Times New Roman" w:hAnsi="Times New Roman" w:cs="Times New Roman"/>
          <w:sz w:val="24"/>
          <w:szCs w:val="24"/>
        </w:rPr>
        <w:t>57’sini kazanmıştır.</w:t>
      </w:r>
      <w:r w:rsidR="0086407C" w:rsidRPr="002E402A">
        <w:rPr>
          <w:rFonts w:ascii="Times New Roman" w:hAnsi="Times New Roman" w:cs="Times New Roman"/>
          <w:sz w:val="24"/>
          <w:szCs w:val="24"/>
        </w:rPr>
        <w:t xml:space="preserve"> Yani etkinlik artışı vardır.</w:t>
      </w:r>
    </w:p>
    <w:p w:rsidR="005611F4" w:rsidRPr="002E402A" w:rsidRDefault="00E35DD2" w:rsidP="000A7CD7">
      <w:pPr>
        <w:spacing w:line="240" w:lineRule="auto"/>
        <w:ind w:firstLine="567"/>
        <w:rPr>
          <w:rFonts w:ascii="Times New Roman" w:hAnsi="Times New Roman" w:cs="Times New Roman"/>
          <w:b/>
          <w:sz w:val="24"/>
          <w:szCs w:val="24"/>
        </w:rPr>
      </w:pPr>
      <w:r w:rsidRPr="002E402A">
        <w:rPr>
          <w:rFonts w:ascii="Times New Roman" w:hAnsi="Times New Roman" w:cs="Times New Roman"/>
          <w:b/>
          <w:sz w:val="24"/>
          <w:szCs w:val="24"/>
        </w:rPr>
        <w:t>Çizelge</w:t>
      </w:r>
      <w:r w:rsidR="00884140" w:rsidRPr="002E402A">
        <w:rPr>
          <w:rFonts w:ascii="Times New Roman" w:hAnsi="Times New Roman" w:cs="Times New Roman"/>
          <w:b/>
          <w:sz w:val="24"/>
          <w:szCs w:val="24"/>
        </w:rPr>
        <w:t xml:space="preserve"> </w:t>
      </w:r>
      <w:r w:rsidR="000E0FC2" w:rsidRPr="002E402A">
        <w:rPr>
          <w:rFonts w:ascii="Times New Roman" w:hAnsi="Times New Roman" w:cs="Times New Roman"/>
          <w:b/>
          <w:sz w:val="24"/>
          <w:szCs w:val="24"/>
        </w:rPr>
        <w:t>12</w:t>
      </w:r>
      <w:r w:rsidR="00884140" w:rsidRPr="002E402A">
        <w:rPr>
          <w:rFonts w:ascii="Times New Roman" w:hAnsi="Times New Roman" w:cs="Times New Roman"/>
          <w:b/>
          <w:sz w:val="24"/>
          <w:szCs w:val="24"/>
        </w:rPr>
        <w:t>.</w:t>
      </w:r>
      <w:r w:rsidR="00884140" w:rsidRPr="002E402A">
        <w:rPr>
          <w:rFonts w:ascii="Times New Roman" w:hAnsi="Times New Roman" w:cs="Times New Roman"/>
          <w:sz w:val="24"/>
          <w:szCs w:val="24"/>
        </w:rPr>
        <w:t xml:space="preserve"> </w:t>
      </w:r>
      <w:r w:rsidR="00884140" w:rsidRPr="002E402A">
        <w:rPr>
          <w:rFonts w:ascii="Times New Roman" w:hAnsi="Times New Roman" w:cs="Times New Roman"/>
          <w:b/>
          <w:sz w:val="24"/>
          <w:szCs w:val="24"/>
        </w:rPr>
        <w:t>Etkin Bulunan Aracı Kurumlara Ait Piyasa B</w:t>
      </w:r>
      <w:r w:rsidR="005611F4" w:rsidRPr="002E402A">
        <w:rPr>
          <w:rFonts w:ascii="Times New Roman" w:hAnsi="Times New Roman" w:cs="Times New Roman"/>
          <w:b/>
          <w:sz w:val="24"/>
          <w:szCs w:val="24"/>
        </w:rPr>
        <w:t>ilgileri-2</w:t>
      </w:r>
    </w:p>
    <w:tbl>
      <w:tblPr>
        <w:tblW w:w="9513" w:type="dxa"/>
        <w:tblInd w:w="55" w:type="dxa"/>
        <w:tblLayout w:type="fixed"/>
        <w:tblCellMar>
          <w:left w:w="70" w:type="dxa"/>
          <w:right w:w="70" w:type="dxa"/>
        </w:tblCellMar>
        <w:tblLook w:val="04A0" w:firstRow="1" w:lastRow="0" w:firstColumn="1" w:lastColumn="0" w:noHBand="0" w:noVBand="1"/>
      </w:tblPr>
      <w:tblGrid>
        <w:gridCol w:w="740"/>
        <w:gridCol w:w="1400"/>
        <w:gridCol w:w="1277"/>
        <w:gridCol w:w="1560"/>
        <w:gridCol w:w="1417"/>
        <w:gridCol w:w="1701"/>
        <w:gridCol w:w="1418"/>
      </w:tblGrid>
      <w:tr w:rsidR="006B698E" w:rsidRPr="002E402A" w:rsidTr="00864360">
        <w:trPr>
          <w:trHeight w:val="1498"/>
        </w:trPr>
        <w:tc>
          <w:tcPr>
            <w:tcW w:w="740" w:type="dxa"/>
            <w:tcBorders>
              <w:top w:val="single" w:sz="4" w:space="0" w:color="auto"/>
              <w:left w:val="single" w:sz="4" w:space="0" w:color="auto"/>
              <w:bottom w:val="single" w:sz="4" w:space="0" w:color="auto"/>
              <w:right w:val="single" w:sz="4" w:space="0" w:color="auto"/>
            </w:tcBorders>
            <w:shd w:val="clear" w:color="000000" w:fill="92CDDC"/>
            <w:vAlign w:val="center"/>
            <w:hideMark/>
          </w:tcPr>
          <w:p w:rsidR="006B698E" w:rsidRPr="002E402A" w:rsidRDefault="00BB5FF5" w:rsidP="003D69B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w:t>
            </w:r>
            <w:r w:rsidRPr="002E402A">
              <w:rPr>
                <w:rFonts w:ascii="Times New Roman" w:eastAsia="Times New Roman" w:hAnsi="Times New Roman" w:cs="Times New Roman"/>
                <w:b/>
                <w:bCs/>
                <w:color w:val="000000"/>
                <w:sz w:val="24"/>
                <w:szCs w:val="24"/>
                <w:lang w:eastAsia="tr-TR"/>
              </w:rPr>
              <w:t>ıllar</w:t>
            </w:r>
          </w:p>
        </w:tc>
        <w:tc>
          <w:tcPr>
            <w:tcW w:w="1400" w:type="dxa"/>
            <w:tcBorders>
              <w:top w:val="single" w:sz="4" w:space="0" w:color="auto"/>
              <w:left w:val="nil"/>
              <w:bottom w:val="single" w:sz="4" w:space="0" w:color="auto"/>
              <w:right w:val="single" w:sz="4" w:space="0" w:color="auto"/>
            </w:tcBorders>
            <w:shd w:val="clear" w:color="000000" w:fill="92CDDC"/>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20"/>
                <w:szCs w:val="20"/>
                <w:lang w:eastAsia="tr-TR"/>
              </w:rPr>
            </w:pPr>
            <w:r w:rsidRPr="00864360">
              <w:rPr>
                <w:rFonts w:ascii="Times New Roman" w:eastAsia="Times New Roman" w:hAnsi="Times New Roman" w:cs="Times New Roman"/>
                <w:b/>
                <w:bCs/>
                <w:color w:val="000000"/>
                <w:sz w:val="20"/>
                <w:szCs w:val="20"/>
                <w:lang w:eastAsia="tr-TR"/>
              </w:rPr>
              <w:t>Etkin Bulunan Kurumların Personel Sayısı</w:t>
            </w:r>
          </w:p>
        </w:tc>
        <w:tc>
          <w:tcPr>
            <w:tcW w:w="1277" w:type="dxa"/>
            <w:tcBorders>
              <w:top w:val="single" w:sz="4" w:space="0" w:color="auto"/>
              <w:left w:val="nil"/>
              <w:bottom w:val="single" w:sz="4" w:space="0" w:color="auto"/>
              <w:right w:val="single" w:sz="4" w:space="0" w:color="auto"/>
            </w:tcBorders>
            <w:shd w:val="clear" w:color="000000" w:fill="92CDDC"/>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20"/>
                <w:szCs w:val="20"/>
                <w:lang w:eastAsia="tr-TR"/>
              </w:rPr>
            </w:pPr>
            <w:r w:rsidRPr="00864360">
              <w:rPr>
                <w:rFonts w:ascii="Times New Roman" w:eastAsia="Times New Roman" w:hAnsi="Times New Roman" w:cs="Times New Roman"/>
                <w:b/>
                <w:bCs/>
                <w:color w:val="000000"/>
                <w:sz w:val="20"/>
                <w:szCs w:val="20"/>
                <w:lang w:eastAsia="tr-TR"/>
              </w:rPr>
              <w:t>Etkin Kurumla</w:t>
            </w:r>
            <w:r>
              <w:rPr>
                <w:rFonts w:ascii="Times New Roman" w:eastAsia="Times New Roman" w:hAnsi="Times New Roman" w:cs="Times New Roman"/>
                <w:b/>
                <w:bCs/>
                <w:color w:val="000000"/>
                <w:sz w:val="20"/>
                <w:szCs w:val="20"/>
                <w:lang w:eastAsia="tr-TR"/>
              </w:rPr>
              <w:t>rın Piyasadaki Personel Sayısın</w:t>
            </w:r>
            <w:r w:rsidR="00E8123E">
              <w:rPr>
                <w:rFonts w:ascii="Times New Roman" w:eastAsia="Times New Roman" w:hAnsi="Times New Roman" w:cs="Times New Roman"/>
                <w:b/>
                <w:bCs/>
                <w:color w:val="000000"/>
                <w:sz w:val="20"/>
                <w:szCs w:val="20"/>
                <w:lang w:eastAsia="tr-TR"/>
              </w:rPr>
              <w:t>d</w:t>
            </w:r>
            <w:r w:rsidRPr="00864360">
              <w:rPr>
                <w:rFonts w:ascii="Times New Roman" w:eastAsia="Times New Roman" w:hAnsi="Times New Roman" w:cs="Times New Roman"/>
                <w:b/>
                <w:bCs/>
                <w:color w:val="000000"/>
                <w:sz w:val="20"/>
                <w:szCs w:val="20"/>
                <w:lang w:eastAsia="tr-TR"/>
              </w:rPr>
              <w:t>a Oranı</w:t>
            </w:r>
          </w:p>
        </w:tc>
        <w:tc>
          <w:tcPr>
            <w:tcW w:w="1560" w:type="dxa"/>
            <w:tcBorders>
              <w:top w:val="single" w:sz="4" w:space="0" w:color="auto"/>
              <w:left w:val="nil"/>
              <w:bottom w:val="single" w:sz="4" w:space="0" w:color="auto"/>
              <w:right w:val="single" w:sz="4" w:space="0" w:color="auto"/>
            </w:tcBorders>
            <w:shd w:val="clear" w:color="000000" w:fill="92CDDC"/>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20"/>
                <w:szCs w:val="20"/>
                <w:lang w:eastAsia="tr-TR"/>
              </w:rPr>
            </w:pPr>
            <w:r w:rsidRPr="00864360">
              <w:rPr>
                <w:rFonts w:ascii="Times New Roman" w:eastAsia="Times New Roman" w:hAnsi="Times New Roman" w:cs="Times New Roman"/>
                <w:b/>
                <w:bCs/>
                <w:color w:val="000000"/>
                <w:sz w:val="20"/>
                <w:szCs w:val="20"/>
                <w:lang w:eastAsia="tr-TR"/>
              </w:rPr>
              <w:t>Etkin Bulunan  Kurumların Sermaye Toplamı</w:t>
            </w:r>
          </w:p>
        </w:tc>
        <w:tc>
          <w:tcPr>
            <w:tcW w:w="1417" w:type="dxa"/>
            <w:tcBorders>
              <w:top w:val="single" w:sz="4" w:space="0" w:color="auto"/>
              <w:left w:val="nil"/>
              <w:bottom w:val="single" w:sz="4" w:space="0" w:color="auto"/>
              <w:right w:val="single" w:sz="4" w:space="0" w:color="auto"/>
            </w:tcBorders>
            <w:shd w:val="clear" w:color="000000" w:fill="92CDDC"/>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20"/>
                <w:szCs w:val="20"/>
                <w:lang w:eastAsia="tr-TR"/>
              </w:rPr>
            </w:pPr>
            <w:r w:rsidRPr="00864360">
              <w:rPr>
                <w:rFonts w:ascii="Times New Roman" w:eastAsia="Times New Roman" w:hAnsi="Times New Roman" w:cs="Times New Roman"/>
                <w:b/>
                <w:bCs/>
                <w:color w:val="000000"/>
                <w:sz w:val="20"/>
                <w:szCs w:val="20"/>
                <w:lang w:eastAsia="tr-TR"/>
              </w:rPr>
              <w:t>Etkin Bulunan Kurumların Piyasa Sermaye Toplamındaki Payı</w:t>
            </w:r>
          </w:p>
        </w:tc>
        <w:tc>
          <w:tcPr>
            <w:tcW w:w="1701" w:type="dxa"/>
            <w:tcBorders>
              <w:top w:val="single" w:sz="4" w:space="0" w:color="auto"/>
              <w:left w:val="nil"/>
              <w:bottom w:val="single" w:sz="4" w:space="0" w:color="auto"/>
              <w:right w:val="single" w:sz="4" w:space="0" w:color="auto"/>
            </w:tcBorders>
            <w:shd w:val="clear" w:color="000000" w:fill="92CDDC"/>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20"/>
                <w:szCs w:val="20"/>
                <w:lang w:eastAsia="tr-TR"/>
              </w:rPr>
            </w:pPr>
            <w:r w:rsidRPr="00864360">
              <w:rPr>
                <w:rFonts w:ascii="Times New Roman" w:eastAsia="Times New Roman" w:hAnsi="Times New Roman" w:cs="Times New Roman"/>
                <w:b/>
                <w:bCs/>
                <w:color w:val="000000"/>
                <w:sz w:val="20"/>
                <w:szCs w:val="20"/>
                <w:lang w:eastAsia="tr-TR"/>
              </w:rPr>
              <w:t>Etkin Bulunan Kurumların Aktif Toplamı</w:t>
            </w:r>
          </w:p>
        </w:tc>
        <w:tc>
          <w:tcPr>
            <w:tcW w:w="1418" w:type="dxa"/>
            <w:tcBorders>
              <w:top w:val="single" w:sz="4" w:space="0" w:color="auto"/>
              <w:left w:val="nil"/>
              <w:bottom w:val="single" w:sz="4" w:space="0" w:color="auto"/>
              <w:right w:val="single" w:sz="4" w:space="0" w:color="auto"/>
            </w:tcBorders>
            <w:shd w:val="clear" w:color="000000" w:fill="92CDDC"/>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20"/>
                <w:szCs w:val="20"/>
                <w:lang w:eastAsia="tr-TR"/>
              </w:rPr>
            </w:pPr>
            <w:r w:rsidRPr="00864360">
              <w:rPr>
                <w:rFonts w:ascii="Times New Roman" w:eastAsia="Times New Roman" w:hAnsi="Times New Roman" w:cs="Times New Roman"/>
                <w:b/>
                <w:bCs/>
                <w:color w:val="000000"/>
                <w:sz w:val="20"/>
                <w:szCs w:val="20"/>
                <w:lang w:eastAsia="tr-TR"/>
              </w:rPr>
              <w:t>Etkin Bulunan Kurumların Piyasa Aktif Toplamındaki Payı</w:t>
            </w:r>
          </w:p>
        </w:tc>
      </w:tr>
      <w:tr w:rsidR="006B698E" w:rsidRPr="002E402A" w:rsidTr="00864360">
        <w:trPr>
          <w:trHeight w:val="569"/>
        </w:trPr>
        <w:tc>
          <w:tcPr>
            <w:tcW w:w="740"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2009</w:t>
            </w:r>
          </w:p>
        </w:tc>
        <w:tc>
          <w:tcPr>
            <w:tcW w:w="1400" w:type="dxa"/>
            <w:tcBorders>
              <w:top w:val="nil"/>
              <w:left w:val="nil"/>
              <w:bottom w:val="single" w:sz="4" w:space="0" w:color="auto"/>
              <w:right w:val="single" w:sz="4" w:space="0" w:color="auto"/>
            </w:tcBorders>
            <w:shd w:val="clear" w:color="auto" w:fill="auto"/>
            <w:vAlign w:val="center"/>
            <w:hideMark/>
          </w:tcPr>
          <w:p w:rsidR="006B698E" w:rsidRPr="00864360"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864360">
              <w:rPr>
                <w:rFonts w:ascii="Times New Roman" w:eastAsia="Times New Roman" w:hAnsi="Times New Roman" w:cs="Times New Roman"/>
                <w:b/>
                <w:bCs/>
                <w:color w:val="000000"/>
                <w:sz w:val="18"/>
                <w:szCs w:val="18"/>
                <w:lang w:eastAsia="tr-TR"/>
              </w:rPr>
              <w:t>458</w:t>
            </w:r>
          </w:p>
        </w:tc>
        <w:tc>
          <w:tcPr>
            <w:tcW w:w="127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10,</w:t>
            </w:r>
            <w:r w:rsidR="006B698E" w:rsidRPr="00864360">
              <w:rPr>
                <w:rFonts w:ascii="Times New Roman" w:eastAsia="Times New Roman" w:hAnsi="Times New Roman" w:cs="Times New Roman"/>
                <w:b/>
                <w:bCs/>
                <w:color w:val="000000"/>
                <w:sz w:val="18"/>
                <w:szCs w:val="18"/>
                <w:lang w:eastAsia="tr-TR"/>
              </w:rPr>
              <w:t>89</w:t>
            </w:r>
            <w:r w:rsidRPr="00864360">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560"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545.447.364,</w:t>
            </w:r>
            <w:r w:rsidR="006B698E" w:rsidRPr="00864360">
              <w:rPr>
                <w:rFonts w:ascii="Times New Roman" w:eastAsia="Times New Roman" w:hAnsi="Times New Roman" w:cs="Times New Roman"/>
                <w:b/>
                <w:bCs/>
                <w:color w:val="000000"/>
                <w:sz w:val="18"/>
                <w:szCs w:val="18"/>
                <w:lang w:eastAsia="tr-TR"/>
              </w:rPr>
              <w:t xml:space="preserve">22 ₺ </w:t>
            </w:r>
          </w:p>
        </w:tc>
        <w:tc>
          <w:tcPr>
            <w:tcW w:w="141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29,</w:t>
            </w:r>
            <w:r w:rsidR="006B698E" w:rsidRPr="00864360">
              <w:rPr>
                <w:rFonts w:ascii="Times New Roman" w:eastAsia="Times New Roman" w:hAnsi="Times New Roman" w:cs="Times New Roman"/>
                <w:b/>
                <w:bCs/>
                <w:color w:val="000000"/>
                <w:sz w:val="18"/>
                <w:szCs w:val="18"/>
                <w:lang w:eastAsia="tr-TR"/>
              </w:rPr>
              <w:t>79</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701"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842.788,482,</w:t>
            </w:r>
            <w:r w:rsidR="006B698E" w:rsidRPr="00864360">
              <w:rPr>
                <w:rFonts w:ascii="Times New Roman" w:eastAsia="Times New Roman" w:hAnsi="Times New Roman" w:cs="Times New Roman"/>
                <w:b/>
                <w:bCs/>
                <w:color w:val="000000"/>
                <w:sz w:val="18"/>
                <w:szCs w:val="18"/>
                <w:lang w:eastAsia="tr-TR"/>
              </w:rPr>
              <w:t xml:space="preserve">59 ₺ </w:t>
            </w:r>
          </w:p>
        </w:tc>
        <w:tc>
          <w:tcPr>
            <w:tcW w:w="1418"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15,</w:t>
            </w:r>
            <w:r w:rsidR="006B698E" w:rsidRPr="00864360">
              <w:rPr>
                <w:rFonts w:ascii="Times New Roman" w:eastAsia="Times New Roman" w:hAnsi="Times New Roman" w:cs="Times New Roman"/>
                <w:b/>
                <w:bCs/>
                <w:color w:val="000000"/>
                <w:sz w:val="18"/>
                <w:szCs w:val="18"/>
                <w:lang w:eastAsia="tr-TR"/>
              </w:rPr>
              <w:t>24</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r>
      <w:tr w:rsidR="006B698E" w:rsidRPr="002E402A" w:rsidTr="00864360">
        <w:trPr>
          <w:trHeight w:val="558"/>
        </w:trPr>
        <w:tc>
          <w:tcPr>
            <w:tcW w:w="740"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2010</w:t>
            </w:r>
          </w:p>
        </w:tc>
        <w:tc>
          <w:tcPr>
            <w:tcW w:w="1400" w:type="dxa"/>
            <w:tcBorders>
              <w:top w:val="nil"/>
              <w:left w:val="nil"/>
              <w:bottom w:val="single" w:sz="4" w:space="0" w:color="auto"/>
              <w:right w:val="single" w:sz="4" w:space="0" w:color="auto"/>
            </w:tcBorders>
            <w:shd w:val="clear" w:color="auto" w:fill="auto"/>
            <w:vAlign w:val="center"/>
            <w:hideMark/>
          </w:tcPr>
          <w:p w:rsidR="006B698E" w:rsidRPr="00864360"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864360">
              <w:rPr>
                <w:rFonts w:ascii="Times New Roman" w:eastAsia="Times New Roman" w:hAnsi="Times New Roman" w:cs="Times New Roman"/>
                <w:b/>
                <w:bCs/>
                <w:color w:val="000000"/>
                <w:sz w:val="18"/>
                <w:szCs w:val="18"/>
                <w:lang w:eastAsia="tr-TR"/>
              </w:rPr>
              <w:t>462</w:t>
            </w:r>
          </w:p>
        </w:tc>
        <w:tc>
          <w:tcPr>
            <w:tcW w:w="127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10,</w:t>
            </w:r>
            <w:r w:rsidR="006B698E" w:rsidRPr="00864360">
              <w:rPr>
                <w:rFonts w:ascii="Times New Roman" w:eastAsia="Times New Roman" w:hAnsi="Times New Roman" w:cs="Times New Roman"/>
                <w:b/>
                <w:bCs/>
                <w:color w:val="000000"/>
                <w:sz w:val="18"/>
                <w:szCs w:val="18"/>
                <w:lang w:eastAsia="tr-TR"/>
              </w:rPr>
              <w:t>15</w:t>
            </w:r>
            <w:r w:rsidRPr="00864360">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560"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617.891.927,</w:t>
            </w:r>
            <w:r w:rsidR="006B698E" w:rsidRPr="00864360">
              <w:rPr>
                <w:rFonts w:ascii="Times New Roman" w:eastAsia="Times New Roman" w:hAnsi="Times New Roman" w:cs="Times New Roman"/>
                <w:b/>
                <w:bCs/>
                <w:color w:val="000000"/>
                <w:sz w:val="18"/>
                <w:szCs w:val="18"/>
                <w:lang w:eastAsia="tr-TR"/>
              </w:rPr>
              <w:t xml:space="preserve">27 ₺ </w:t>
            </w:r>
          </w:p>
        </w:tc>
        <w:tc>
          <w:tcPr>
            <w:tcW w:w="141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28,</w:t>
            </w:r>
            <w:r w:rsidR="006B698E" w:rsidRPr="00864360">
              <w:rPr>
                <w:rFonts w:ascii="Times New Roman" w:eastAsia="Times New Roman" w:hAnsi="Times New Roman" w:cs="Times New Roman"/>
                <w:b/>
                <w:bCs/>
                <w:color w:val="000000"/>
                <w:sz w:val="18"/>
                <w:szCs w:val="18"/>
                <w:lang w:eastAsia="tr-TR"/>
              </w:rPr>
              <w:t>94</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701"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1.286.172,865,</w:t>
            </w:r>
            <w:r w:rsidR="006B698E" w:rsidRPr="00864360">
              <w:rPr>
                <w:rFonts w:ascii="Times New Roman" w:eastAsia="Times New Roman" w:hAnsi="Times New Roman" w:cs="Times New Roman"/>
                <w:b/>
                <w:bCs/>
                <w:color w:val="000000"/>
                <w:sz w:val="18"/>
                <w:szCs w:val="18"/>
                <w:lang w:eastAsia="tr-TR"/>
              </w:rPr>
              <w:t xml:space="preserve">67 ₺ </w:t>
            </w:r>
          </w:p>
        </w:tc>
        <w:tc>
          <w:tcPr>
            <w:tcW w:w="1418"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18,</w:t>
            </w:r>
            <w:r w:rsidR="006B698E" w:rsidRPr="00864360">
              <w:rPr>
                <w:rFonts w:ascii="Times New Roman" w:eastAsia="Times New Roman" w:hAnsi="Times New Roman" w:cs="Times New Roman"/>
                <w:b/>
                <w:bCs/>
                <w:color w:val="000000"/>
                <w:sz w:val="18"/>
                <w:szCs w:val="18"/>
                <w:lang w:eastAsia="tr-TR"/>
              </w:rPr>
              <w:t>36</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r>
      <w:tr w:rsidR="006B698E" w:rsidRPr="002E402A" w:rsidTr="00864360">
        <w:trPr>
          <w:trHeight w:val="566"/>
        </w:trPr>
        <w:tc>
          <w:tcPr>
            <w:tcW w:w="740"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2011</w:t>
            </w:r>
          </w:p>
        </w:tc>
        <w:tc>
          <w:tcPr>
            <w:tcW w:w="1400" w:type="dxa"/>
            <w:tcBorders>
              <w:top w:val="nil"/>
              <w:left w:val="nil"/>
              <w:bottom w:val="single" w:sz="4" w:space="0" w:color="auto"/>
              <w:right w:val="single" w:sz="4" w:space="0" w:color="auto"/>
            </w:tcBorders>
            <w:shd w:val="clear" w:color="auto" w:fill="auto"/>
            <w:vAlign w:val="center"/>
            <w:hideMark/>
          </w:tcPr>
          <w:p w:rsidR="006B698E" w:rsidRPr="00864360"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864360">
              <w:rPr>
                <w:rFonts w:ascii="Times New Roman" w:eastAsia="Times New Roman" w:hAnsi="Times New Roman" w:cs="Times New Roman"/>
                <w:b/>
                <w:bCs/>
                <w:color w:val="000000"/>
                <w:sz w:val="18"/>
                <w:szCs w:val="18"/>
                <w:lang w:eastAsia="tr-TR"/>
              </w:rPr>
              <w:t>498</w:t>
            </w:r>
          </w:p>
        </w:tc>
        <w:tc>
          <w:tcPr>
            <w:tcW w:w="127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10,</w:t>
            </w:r>
            <w:r w:rsidR="006B698E" w:rsidRPr="00864360">
              <w:rPr>
                <w:rFonts w:ascii="Times New Roman" w:eastAsia="Times New Roman" w:hAnsi="Times New Roman" w:cs="Times New Roman"/>
                <w:b/>
                <w:bCs/>
                <w:color w:val="000000"/>
                <w:sz w:val="18"/>
                <w:szCs w:val="18"/>
                <w:lang w:eastAsia="tr-TR"/>
              </w:rPr>
              <w:t>31</w:t>
            </w:r>
            <w:r w:rsidRPr="00864360">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560"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646.785.076,</w:t>
            </w:r>
            <w:r w:rsidR="006B698E" w:rsidRPr="00864360">
              <w:rPr>
                <w:rFonts w:ascii="Times New Roman" w:eastAsia="Times New Roman" w:hAnsi="Times New Roman" w:cs="Times New Roman"/>
                <w:b/>
                <w:bCs/>
                <w:color w:val="000000"/>
                <w:sz w:val="18"/>
                <w:szCs w:val="18"/>
                <w:lang w:eastAsia="tr-TR"/>
              </w:rPr>
              <w:t xml:space="preserve">57 ₺ </w:t>
            </w:r>
          </w:p>
        </w:tc>
        <w:tc>
          <w:tcPr>
            <w:tcW w:w="141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25,</w:t>
            </w:r>
            <w:r w:rsidR="006B698E" w:rsidRPr="00864360">
              <w:rPr>
                <w:rFonts w:ascii="Times New Roman" w:eastAsia="Times New Roman" w:hAnsi="Times New Roman" w:cs="Times New Roman"/>
                <w:b/>
                <w:bCs/>
                <w:color w:val="000000"/>
                <w:sz w:val="18"/>
                <w:szCs w:val="18"/>
                <w:lang w:eastAsia="tr-TR"/>
              </w:rPr>
              <w:t>10</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701"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1.833.018,982,</w:t>
            </w:r>
            <w:r w:rsidR="006B698E" w:rsidRPr="00864360">
              <w:rPr>
                <w:rFonts w:ascii="Times New Roman" w:eastAsia="Times New Roman" w:hAnsi="Times New Roman" w:cs="Times New Roman"/>
                <w:b/>
                <w:bCs/>
                <w:color w:val="000000"/>
                <w:sz w:val="18"/>
                <w:szCs w:val="18"/>
                <w:lang w:eastAsia="tr-TR"/>
              </w:rPr>
              <w:t xml:space="preserve">67 ₺ </w:t>
            </w:r>
          </w:p>
        </w:tc>
        <w:tc>
          <w:tcPr>
            <w:tcW w:w="1418"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23,</w:t>
            </w:r>
            <w:r w:rsidR="006B698E" w:rsidRPr="00864360">
              <w:rPr>
                <w:rFonts w:ascii="Times New Roman" w:eastAsia="Times New Roman" w:hAnsi="Times New Roman" w:cs="Times New Roman"/>
                <w:b/>
                <w:bCs/>
                <w:color w:val="000000"/>
                <w:sz w:val="18"/>
                <w:szCs w:val="18"/>
                <w:lang w:eastAsia="tr-TR"/>
              </w:rPr>
              <w:t>56</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r>
      <w:tr w:rsidR="006B698E" w:rsidRPr="002E402A" w:rsidTr="00864360">
        <w:trPr>
          <w:trHeight w:val="560"/>
        </w:trPr>
        <w:tc>
          <w:tcPr>
            <w:tcW w:w="740"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2012</w:t>
            </w:r>
          </w:p>
        </w:tc>
        <w:tc>
          <w:tcPr>
            <w:tcW w:w="1400" w:type="dxa"/>
            <w:tcBorders>
              <w:top w:val="nil"/>
              <w:left w:val="nil"/>
              <w:bottom w:val="single" w:sz="4" w:space="0" w:color="auto"/>
              <w:right w:val="single" w:sz="4" w:space="0" w:color="auto"/>
            </w:tcBorders>
            <w:shd w:val="clear" w:color="auto" w:fill="auto"/>
            <w:vAlign w:val="center"/>
            <w:hideMark/>
          </w:tcPr>
          <w:p w:rsidR="006B698E" w:rsidRPr="00864360"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864360">
              <w:rPr>
                <w:rFonts w:ascii="Times New Roman" w:eastAsia="Times New Roman" w:hAnsi="Times New Roman" w:cs="Times New Roman"/>
                <w:b/>
                <w:bCs/>
                <w:color w:val="000000"/>
                <w:sz w:val="18"/>
                <w:szCs w:val="18"/>
                <w:lang w:eastAsia="tr-TR"/>
              </w:rPr>
              <w:t>504</w:t>
            </w:r>
          </w:p>
        </w:tc>
        <w:tc>
          <w:tcPr>
            <w:tcW w:w="127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9,</w:t>
            </w:r>
            <w:r w:rsidR="006B698E" w:rsidRPr="00864360">
              <w:rPr>
                <w:rFonts w:ascii="Times New Roman" w:eastAsia="Times New Roman" w:hAnsi="Times New Roman" w:cs="Times New Roman"/>
                <w:b/>
                <w:bCs/>
                <w:color w:val="000000"/>
                <w:sz w:val="18"/>
                <w:szCs w:val="18"/>
                <w:lang w:eastAsia="tr-TR"/>
              </w:rPr>
              <w:t>61</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560"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782.088.305,</w:t>
            </w:r>
            <w:r w:rsidR="006B698E" w:rsidRPr="00864360">
              <w:rPr>
                <w:rFonts w:ascii="Times New Roman" w:eastAsia="Times New Roman" w:hAnsi="Times New Roman" w:cs="Times New Roman"/>
                <w:b/>
                <w:bCs/>
                <w:color w:val="000000"/>
                <w:sz w:val="18"/>
                <w:szCs w:val="18"/>
                <w:lang w:eastAsia="tr-TR"/>
              </w:rPr>
              <w:t xml:space="preserve">00 ₺ </w:t>
            </w:r>
          </w:p>
        </w:tc>
        <w:tc>
          <w:tcPr>
            <w:tcW w:w="141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25,</w:t>
            </w:r>
            <w:r w:rsidR="006B698E" w:rsidRPr="00864360">
              <w:rPr>
                <w:rFonts w:ascii="Times New Roman" w:eastAsia="Times New Roman" w:hAnsi="Times New Roman" w:cs="Times New Roman"/>
                <w:b/>
                <w:bCs/>
                <w:color w:val="000000"/>
                <w:sz w:val="18"/>
                <w:szCs w:val="18"/>
                <w:lang w:eastAsia="tr-TR"/>
              </w:rPr>
              <w:t>76</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701"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2.891.526,494,</w:t>
            </w:r>
            <w:r w:rsidR="006B698E" w:rsidRPr="00864360">
              <w:rPr>
                <w:rFonts w:ascii="Times New Roman" w:eastAsia="Times New Roman" w:hAnsi="Times New Roman" w:cs="Times New Roman"/>
                <w:b/>
                <w:bCs/>
                <w:color w:val="000000"/>
                <w:sz w:val="18"/>
                <w:szCs w:val="18"/>
                <w:lang w:eastAsia="tr-TR"/>
              </w:rPr>
              <w:t xml:space="preserve">00 ₺ </w:t>
            </w:r>
          </w:p>
        </w:tc>
        <w:tc>
          <w:tcPr>
            <w:tcW w:w="1418"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25,</w:t>
            </w:r>
            <w:r w:rsidR="006B698E" w:rsidRPr="00864360">
              <w:rPr>
                <w:rFonts w:ascii="Times New Roman" w:eastAsia="Times New Roman" w:hAnsi="Times New Roman" w:cs="Times New Roman"/>
                <w:b/>
                <w:bCs/>
                <w:color w:val="000000"/>
                <w:sz w:val="18"/>
                <w:szCs w:val="18"/>
                <w:lang w:eastAsia="tr-TR"/>
              </w:rPr>
              <w:t>51</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r>
      <w:tr w:rsidR="006B698E" w:rsidRPr="002E402A" w:rsidTr="00864360">
        <w:trPr>
          <w:trHeight w:val="554"/>
        </w:trPr>
        <w:tc>
          <w:tcPr>
            <w:tcW w:w="740"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lastRenderedPageBreak/>
              <w:t>2013</w:t>
            </w:r>
          </w:p>
        </w:tc>
        <w:tc>
          <w:tcPr>
            <w:tcW w:w="1400" w:type="dxa"/>
            <w:tcBorders>
              <w:top w:val="nil"/>
              <w:left w:val="nil"/>
              <w:bottom w:val="single" w:sz="4" w:space="0" w:color="auto"/>
              <w:right w:val="single" w:sz="4" w:space="0" w:color="auto"/>
            </w:tcBorders>
            <w:shd w:val="clear" w:color="auto" w:fill="auto"/>
            <w:vAlign w:val="center"/>
            <w:hideMark/>
          </w:tcPr>
          <w:p w:rsidR="006B698E" w:rsidRPr="00864360"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864360">
              <w:rPr>
                <w:rFonts w:ascii="Times New Roman" w:eastAsia="Times New Roman" w:hAnsi="Times New Roman" w:cs="Times New Roman"/>
                <w:b/>
                <w:bCs/>
                <w:color w:val="000000"/>
                <w:sz w:val="18"/>
                <w:szCs w:val="18"/>
                <w:lang w:eastAsia="tr-TR"/>
              </w:rPr>
              <w:t>496</w:t>
            </w:r>
          </w:p>
        </w:tc>
        <w:tc>
          <w:tcPr>
            <w:tcW w:w="127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9,</w:t>
            </w:r>
            <w:r w:rsidR="006B698E" w:rsidRPr="00864360">
              <w:rPr>
                <w:rFonts w:ascii="Times New Roman" w:eastAsia="Times New Roman" w:hAnsi="Times New Roman" w:cs="Times New Roman"/>
                <w:b/>
                <w:bCs/>
                <w:color w:val="000000"/>
                <w:sz w:val="18"/>
                <w:szCs w:val="18"/>
                <w:lang w:eastAsia="tr-TR"/>
              </w:rPr>
              <w:t>05</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560"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861.269.390,</w:t>
            </w:r>
            <w:r w:rsidR="006B698E" w:rsidRPr="00864360">
              <w:rPr>
                <w:rFonts w:ascii="Times New Roman" w:eastAsia="Times New Roman" w:hAnsi="Times New Roman" w:cs="Times New Roman"/>
                <w:b/>
                <w:bCs/>
                <w:color w:val="000000"/>
                <w:sz w:val="18"/>
                <w:szCs w:val="18"/>
                <w:lang w:eastAsia="tr-TR"/>
              </w:rPr>
              <w:t xml:space="preserve">00 ₺ </w:t>
            </w:r>
          </w:p>
        </w:tc>
        <w:tc>
          <w:tcPr>
            <w:tcW w:w="141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25,</w:t>
            </w:r>
            <w:r w:rsidR="006B698E" w:rsidRPr="00864360">
              <w:rPr>
                <w:rFonts w:ascii="Times New Roman" w:eastAsia="Times New Roman" w:hAnsi="Times New Roman" w:cs="Times New Roman"/>
                <w:b/>
                <w:bCs/>
                <w:color w:val="000000"/>
                <w:sz w:val="18"/>
                <w:szCs w:val="18"/>
                <w:lang w:eastAsia="tr-TR"/>
              </w:rPr>
              <w:t>81</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701"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4.016.450,643,</w:t>
            </w:r>
            <w:r w:rsidR="006B698E" w:rsidRPr="00864360">
              <w:rPr>
                <w:rFonts w:ascii="Times New Roman" w:eastAsia="Times New Roman" w:hAnsi="Times New Roman" w:cs="Times New Roman"/>
                <w:b/>
                <w:bCs/>
                <w:color w:val="000000"/>
                <w:sz w:val="18"/>
                <w:szCs w:val="18"/>
                <w:lang w:eastAsia="tr-TR"/>
              </w:rPr>
              <w:t xml:space="preserve">00 ₺ </w:t>
            </w:r>
          </w:p>
        </w:tc>
        <w:tc>
          <w:tcPr>
            <w:tcW w:w="1418"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28,</w:t>
            </w:r>
            <w:r w:rsidR="006B698E" w:rsidRPr="00864360">
              <w:rPr>
                <w:rFonts w:ascii="Times New Roman" w:eastAsia="Times New Roman" w:hAnsi="Times New Roman" w:cs="Times New Roman"/>
                <w:b/>
                <w:bCs/>
                <w:color w:val="000000"/>
                <w:sz w:val="18"/>
                <w:szCs w:val="18"/>
                <w:lang w:eastAsia="tr-TR"/>
              </w:rPr>
              <w:t>71</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r>
      <w:tr w:rsidR="006B698E" w:rsidRPr="002E402A" w:rsidTr="00864360">
        <w:trPr>
          <w:trHeight w:val="421"/>
        </w:trPr>
        <w:tc>
          <w:tcPr>
            <w:tcW w:w="740" w:type="dxa"/>
            <w:tcBorders>
              <w:top w:val="nil"/>
              <w:left w:val="single" w:sz="4" w:space="0" w:color="auto"/>
              <w:bottom w:val="single" w:sz="4" w:space="0" w:color="auto"/>
              <w:right w:val="single" w:sz="4" w:space="0" w:color="auto"/>
            </w:tcBorders>
            <w:shd w:val="clear" w:color="000000" w:fill="92CDDC"/>
            <w:vAlign w:val="center"/>
            <w:hideMark/>
          </w:tcPr>
          <w:p w:rsidR="006B698E" w:rsidRPr="002E402A" w:rsidRDefault="006B698E" w:rsidP="003D69B3">
            <w:pPr>
              <w:spacing w:after="0" w:line="240" w:lineRule="auto"/>
              <w:jc w:val="center"/>
              <w:rPr>
                <w:rFonts w:ascii="Times New Roman" w:eastAsia="Times New Roman" w:hAnsi="Times New Roman" w:cs="Times New Roman"/>
                <w:b/>
                <w:bCs/>
                <w:color w:val="000000"/>
                <w:sz w:val="24"/>
                <w:szCs w:val="24"/>
                <w:lang w:eastAsia="tr-TR"/>
              </w:rPr>
            </w:pPr>
            <w:r w:rsidRPr="002E402A">
              <w:rPr>
                <w:rFonts w:ascii="Times New Roman" w:eastAsia="Times New Roman" w:hAnsi="Times New Roman" w:cs="Times New Roman"/>
                <w:b/>
                <w:bCs/>
                <w:color w:val="000000"/>
                <w:sz w:val="24"/>
                <w:szCs w:val="24"/>
                <w:lang w:eastAsia="tr-TR"/>
              </w:rPr>
              <w:t>ORT.</w:t>
            </w:r>
          </w:p>
        </w:tc>
        <w:tc>
          <w:tcPr>
            <w:tcW w:w="1400" w:type="dxa"/>
            <w:tcBorders>
              <w:top w:val="nil"/>
              <w:left w:val="nil"/>
              <w:bottom w:val="single" w:sz="4" w:space="0" w:color="auto"/>
              <w:right w:val="single" w:sz="4" w:space="0" w:color="auto"/>
            </w:tcBorders>
            <w:shd w:val="clear" w:color="auto" w:fill="auto"/>
            <w:vAlign w:val="center"/>
            <w:hideMark/>
          </w:tcPr>
          <w:p w:rsidR="006B698E" w:rsidRPr="00864360" w:rsidRDefault="006B698E" w:rsidP="003D69B3">
            <w:pPr>
              <w:spacing w:after="0" w:line="240" w:lineRule="auto"/>
              <w:jc w:val="center"/>
              <w:rPr>
                <w:rFonts w:ascii="Times New Roman" w:eastAsia="Times New Roman" w:hAnsi="Times New Roman" w:cs="Times New Roman"/>
                <w:b/>
                <w:bCs/>
                <w:color w:val="000000"/>
                <w:sz w:val="18"/>
                <w:szCs w:val="18"/>
                <w:lang w:eastAsia="tr-TR"/>
              </w:rPr>
            </w:pPr>
            <w:r w:rsidRPr="00864360">
              <w:rPr>
                <w:rFonts w:ascii="Times New Roman" w:eastAsia="Times New Roman" w:hAnsi="Times New Roman" w:cs="Times New Roman"/>
                <w:b/>
                <w:bCs/>
                <w:color w:val="000000"/>
                <w:sz w:val="18"/>
                <w:szCs w:val="18"/>
                <w:lang w:eastAsia="tr-TR"/>
              </w:rPr>
              <w:t>484</w:t>
            </w:r>
          </w:p>
        </w:tc>
        <w:tc>
          <w:tcPr>
            <w:tcW w:w="127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10,</w:t>
            </w:r>
            <w:r w:rsidR="006B698E" w:rsidRPr="00864360">
              <w:rPr>
                <w:rFonts w:ascii="Times New Roman" w:eastAsia="Times New Roman" w:hAnsi="Times New Roman" w:cs="Times New Roman"/>
                <w:b/>
                <w:bCs/>
                <w:color w:val="000000"/>
                <w:sz w:val="18"/>
                <w:szCs w:val="18"/>
                <w:lang w:eastAsia="tr-TR"/>
              </w:rPr>
              <w:t>00</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560"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690.696.412,</w:t>
            </w:r>
            <w:r w:rsidR="006B698E" w:rsidRPr="00864360">
              <w:rPr>
                <w:rFonts w:ascii="Times New Roman" w:eastAsia="Times New Roman" w:hAnsi="Times New Roman" w:cs="Times New Roman"/>
                <w:b/>
                <w:bCs/>
                <w:color w:val="000000"/>
                <w:sz w:val="18"/>
                <w:szCs w:val="18"/>
                <w:lang w:eastAsia="tr-TR"/>
              </w:rPr>
              <w:t xml:space="preserve">61 ₺ </w:t>
            </w:r>
          </w:p>
        </w:tc>
        <w:tc>
          <w:tcPr>
            <w:tcW w:w="1417"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27,</w:t>
            </w:r>
            <w:r w:rsidR="006B698E" w:rsidRPr="00864360">
              <w:rPr>
                <w:rFonts w:ascii="Times New Roman" w:eastAsia="Times New Roman" w:hAnsi="Times New Roman" w:cs="Times New Roman"/>
                <w:b/>
                <w:bCs/>
                <w:color w:val="000000"/>
                <w:sz w:val="18"/>
                <w:szCs w:val="18"/>
                <w:lang w:eastAsia="tr-TR"/>
              </w:rPr>
              <w:t>08</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c>
          <w:tcPr>
            <w:tcW w:w="1701"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 xml:space="preserve">  2.173.991,493,</w:t>
            </w:r>
            <w:r w:rsidR="006B698E" w:rsidRPr="00864360">
              <w:rPr>
                <w:rFonts w:ascii="Times New Roman" w:eastAsia="Times New Roman" w:hAnsi="Times New Roman" w:cs="Times New Roman"/>
                <w:b/>
                <w:bCs/>
                <w:color w:val="000000"/>
                <w:sz w:val="18"/>
                <w:szCs w:val="18"/>
                <w:lang w:eastAsia="tr-TR"/>
              </w:rPr>
              <w:t xml:space="preserve">59 ₺ </w:t>
            </w:r>
          </w:p>
        </w:tc>
        <w:tc>
          <w:tcPr>
            <w:tcW w:w="1418" w:type="dxa"/>
            <w:tcBorders>
              <w:top w:val="nil"/>
              <w:left w:val="nil"/>
              <w:bottom w:val="single" w:sz="4" w:space="0" w:color="auto"/>
              <w:right w:val="single" w:sz="4" w:space="0" w:color="auto"/>
            </w:tcBorders>
            <w:shd w:val="clear" w:color="auto" w:fill="auto"/>
            <w:vAlign w:val="center"/>
            <w:hideMark/>
          </w:tcPr>
          <w:p w:rsidR="006B698E" w:rsidRPr="00864360" w:rsidRDefault="00864360" w:rsidP="003D69B3">
            <w:pPr>
              <w:spacing w:after="0" w:line="240" w:lineRule="auto"/>
              <w:jc w:val="center"/>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22,</w:t>
            </w:r>
            <w:r w:rsidR="006B698E" w:rsidRPr="00864360">
              <w:rPr>
                <w:rFonts w:ascii="Times New Roman" w:eastAsia="Times New Roman" w:hAnsi="Times New Roman" w:cs="Times New Roman"/>
                <w:b/>
                <w:bCs/>
                <w:color w:val="000000"/>
                <w:sz w:val="18"/>
                <w:szCs w:val="18"/>
                <w:lang w:eastAsia="tr-TR"/>
              </w:rPr>
              <w:t>28</w:t>
            </w:r>
            <w:r w:rsidR="006576B8">
              <w:rPr>
                <w:rFonts w:ascii="Times New Roman" w:eastAsia="Times New Roman" w:hAnsi="Times New Roman" w:cs="Times New Roman"/>
                <w:b/>
                <w:bCs/>
                <w:color w:val="000000"/>
                <w:sz w:val="18"/>
                <w:szCs w:val="18"/>
                <w:lang w:eastAsia="tr-TR"/>
              </w:rPr>
              <w:t xml:space="preserve"> </w:t>
            </w:r>
            <w:r w:rsidR="006B698E" w:rsidRPr="00864360">
              <w:rPr>
                <w:rFonts w:ascii="Times New Roman" w:eastAsia="Times New Roman" w:hAnsi="Times New Roman" w:cs="Times New Roman"/>
                <w:b/>
                <w:bCs/>
                <w:color w:val="000000"/>
                <w:sz w:val="18"/>
                <w:szCs w:val="18"/>
                <w:lang w:eastAsia="tr-TR"/>
              </w:rPr>
              <w:t>%</w:t>
            </w:r>
          </w:p>
        </w:tc>
      </w:tr>
    </w:tbl>
    <w:p w:rsidR="00BB5FF5" w:rsidRDefault="00BB5FF5" w:rsidP="000A7CD7">
      <w:pPr>
        <w:spacing w:line="240" w:lineRule="auto"/>
        <w:ind w:firstLine="567"/>
        <w:rPr>
          <w:rFonts w:ascii="Times New Roman" w:hAnsi="Times New Roman" w:cs="Times New Roman"/>
          <w:sz w:val="24"/>
          <w:szCs w:val="24"/>
        </w:rPr>
      </w:pPr>
    </w:p>
    <w:p w:rsidR="00091A2E" w:rsidRPr="002E402A" w:rsidRDefault="000B4FD3" w:rsidP="00576A88">
      <w:pPr>
        <w:spacing w:line="240" w:lineRule="auto"/>
        <w:rPr>
          <w:rFonts w:ascii="Times New Roman" w:hAnsi="Times New Roman" w:cs="Times New Roman"/>
          <w:sz w:val="24"/>
          <w:szCs w:val="24"/>
        </w:rPr>
      </w:pPr>
      <w:r w:rsidRPr="002E402A">
        <w:rPr>
          <w:rFonts w:ascii="Times New Roman" w:hAnsi="Times New Roman" w:cs="Times New Roman"/>
          <w:sz w:val="24"/>
          <w:szCs w:val="24"/>
        </w:rPr>
        <w:t>A</w:t>
      </w:r>
      <w:r w:rsidR="000B0752" w:rsidRPr="002E402A">
        <w:rPr>
          <w:rFonts w:ascii="Times New Roman" w:hAnsi="Times New Roman" w:cs="Times New Roman"/>
          <w:sz w:val="24"/>
          <w:szCs w:val="24"/>
        </w:rPr>
        <w:t>nalize giren aracı kurumlard</w:t>
      </w:r>
      <w:r w:rsidR="00C171B6" w:rsidRPr="002E402A">
        <w:rPr>
          <w:rFonts w:ascii="Times New Roman" w:hAnsi="Times New Roman" w:cs="Times New Roman"/>
          <w:sz w:val="24"/>
          <w:szCs w:val="24"/>
        </w:rPr>
        <w:t>a yıl v</w:t>
      </w:r>
      <w:r w:rsidR="00BF6B2D" w:rsidRPr="002E402A">
        <w:rPr>
          <w:rFonts w:ascii="Times New Roman" w:hAnsi="Times New Roman" w:cs="Times New Roman"/>
          <w:sz w:val="24"/>
          <w:szCs w:val="24"/>
        </w:rPr>
        <w:t xml:space="preserve">e kurum bazında </w:t>
      </w:r>
      <w:r w:rsidR="004528D3" w:rsidRPr="002E402A">
        <w:rPr>
          <w:rFonts w:ascii="Times New Roman" w:hAnsi="Times New Roman" w:cs="Times New Roman"/>
          <w:sz w:val="24"/>
          <w:szCs w:val="24"/>
        </w:rPr>
        <w:t xml:space="preserve">aşağıda </w:t>
      </w:r>
      <w:r w:rsidR="00E35DD2" w:rsidRPr="002E402A">
        <w:rPr>
          <w:rFonts w:ascii="Times New Roman" w:hAnsi="Times New Roman" w:cs="Times New Roman"/>
          <w:sz w:val="24"/>
          <w:szCs w:val="24"/>
        </w:rPr>
        <w:t>Çizelge</w:t>
      </w:r>
      <w:r w:rsidR="004528D3" w:rsidRPr="002E402A">
        <w:rPr>
          <w:rFonts w:ascii="Times New Roman" w:hAnsi="Times New Roman" w:cs="Times New Roman"/>
          <w:sz w:val="24"/>
          <w:szCs w:val="24"/>
        </w:rPr>
        <w:t xml:space="preserve"> 13</w:t>
      </w:r>
      <w:r w:rsidR="00BF6B2D" w:rsidRPr="002E402A">
        <w:rPr>
          <w:rFonts w:ascii="Times New Roman" w:hAnsi="Times New Roman" w:cs="Times New Roman"/>
          <w:sz w:val="24"/>
          <w:szCs w:val="24"/>
        </w:rPr>
        <w:t>’de</w:t>
      </w:r>
      <w:r w:rsidR="000B0752" w:rsidRPr="002E402A">
        <w:rPr>
          <w:rFonts w:ascii="Times New Roman" w:hAnsi="Times New Roman" w:cs="Times New Roman"/>
          <w:sz w:val="24"/>
          <w:szCs w:val="24"/>
        </w:rPr>
        <w:t xml:space="preserve"> </w:t>
      </w:r>
      <w:r w:rsidR="00722BB0" w:rsidRPr="002E402A">
        <w:rPr>
          <w:rFonts w:ascii="Times New Roman" w:hAnsi="Times New Roman" w:cs="Times New Roman"/>
          <w:sz w:val="24"/>
          <w:szCs w:val="24"/>
        </w:rPr>
        <w:t>belirtilen girdilerde ve b</w:t>
      </w:r>
      <w:r w:rsidR="000B0752" w:rsidRPr="002E402A">
        <w:rPr>
          <w:rFonts w:ascii="Times New Roman" w:hAnsi="Times New Roman" w:cs="Times New Roman"/>
          <w:sz w:val="24"/>
          <w:szCs w:val="24"/>
        </w:rPr>
        <w:t xml:space="preserve">elirtilen </w:t>
      </w:r>
      <w:r w:rsidR="00722BB0" w:rsidRPr="002E402A">
        <w:rPr>
          <w:rFonts w:ascii="Times New Roman" w:hAnsi="Times New Roman" w:cs="Times New Roman"/>
          <w:sz w:val="24"/>
          <w:szCs w:val="24"/>
        </w:rPr>
        <w:t>oranlar kadar etkin kullanım olmadığı yani</w:t>
      </w:r>
      <w:r w:rsidR="000B0752" w:rsidRPr="002E402A">
        <w:rPr>
          <w:rFonts w:ascii="Times New Roman" w:hAnsi="Times New Roman" w:cs="Times New Roman"/>
          <w:sz w:val="24"/>
          <w:szCs w:val="24"/>
        </w:rPr>
        <w:t xml:space="preserve"> israf </w:t>
      </w:r>
      <w:r w:rsidR="00091A2E" w:rsidRPr="002E402A">
        <w:rPr>
          <w:rFonts w:ascii="Times New Roman" w:hAnsi="Times New Roman" w:cs="Times New Roman"/>
          <w:sz w:val="24"/>
          <w:szCs w:val="24"/>
        </w:rPr>
        <w:t>olduğu</w:t>
      </w:r>
      <w:r w:rsidR="000B0752" w:rsidRPr="002E402A">
        <w:rPr>
          <w:rFonts w:ascii="Times New Roman" w:hAnsi="Times New Roman" w:cs="Times New Roman"/>
          <w:sz w:val="24"/>
          <w:szCs w:val="24"/>
        </w:rPr>
        <w:t xml:space="preserve"> belirlenmiştir. </w:t>
      </w:r>
    </w:p>
    <w:p w:rsidR="007E4F49" w:rsidRPr="002E402A" w:rsidRDefault="007E4F49" w:rsidP="006339BE">
      <w:pPr>
        <w:spacing w:line="240" w:lineRule="auto"/>
        <w:rPr>
          <w:rFonts w:ascii="Times New Roman" w:hAnsi="Times New Roman" w:cs="Times New Roman"/>
          <w:noProof/>
          <w:sz w:val="24"/>
          <w:szCs w:val="24"/>
          <w:lang w:eastAsia="tr-TR"/>
        </w:rPr>
      </w:pPr>
      <w:r w:rsidRPr="002E402A">
        <w:rPr>
          <w:rFonts w:ascii="Times New Roman" w:hAnsi="Times New Roman" w:cs="Times New Roman"/>
          <w:noProof/>
          <w:sz w:val="24"/>
          <w:szCs w:val="24"/>
          <w:lang w:eastAsia="tr-TR"/>
        </w:rPr>
        <w:t>Örneğin, k31 isimli kurum beş yıllık ortalamada kullandığı aktif girdisinin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15’ini kullanarak aynı çıktıları elde edebilecektir. Konu olan kurumun 2009 yılında aktiflerinin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76,30’u, 2010 yılında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86,28’i, 2011 yılında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84,21’i, 2012 yılında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88,31’i ve 2013 yılında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92,10’unu etkin kullanamadığı görülmüştür. Personel ve sermaye kullanımlarında verilen oran ve oranların ortalamaları aynı şekilde etkin olmayan girdi miktarlarını vermektedir. k4,</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k5,k10,</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k15,</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k19,</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k21</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ve</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k30 isimli kurumların her 3 girdiyi etkin kullandığı belirlenmiştir. 32 kurum ortalamasında aracı kurumların 2009-2013 yılları döneminde aktiflerin</w:t>
      </w:r>
      <w:r w:rsidR="00576A88">
        <w:rPr>
          <w:rFonts w:ascii="Times New Roman" w:hAnsi="Times New Roman" w:cs="Times New Roman"/>
          <w:noProof/>
          <w:sz w:val="24"/>
          <w:szCs w:val="24"/>
          <w:lang w:eastAsia="tr-TR"/>
        </w:rPr>
        <w:t>in</w:t>
      </w:r>
      <w:r w:rsidRPr="002E402A">
        <w:rPr>
          <w:rFonts w:ascii="Times New Roman" w:hAnsi="Times New Roman" w:cs="Times New Roman"/>
          <w:noProof/>
          <w:sz w:val="24"/>
          <w:szCs w:val="24"/>
          <w:lang w:eastAsia="tr-TR"/>
        </w:rPr>
        <w:t xml:space="preserve"> ortalama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33’ü</w:t>
      </w:r>
      <w:r w:rsidR="00576A88">
        <w:rPr>
          <w:rFonts w:ascii="Times New Roman" w:hAnsi="Times New Roman" w:cs="Times New Roman"/>
          <w:noProof/>
          <w:sz w:val="24"/>
          <w:szCs w:val="24"/>
          <w:lang w:eastAsia="tr-TR"/>
        </w:rPr>
        <w:t>nü</w:t>
      </w:r>
      <w:r w:rsidRPr="002E402A">
        <w:rPr>
          <w:rFonts w:ascii="Times New Roman" w:hAnsi="Times New Roman" w:cs="Times New Roman"/>
          <w:noProof/>
          <w:sz w:val="24"/>
          <w:szCs w:val="24"/>
          <w:lang w:eastAsia="tr-TR"/>
        </w:rPr>
        <w:t>, personel sayısını</w:t>
      </w:r>
      <w:r w:rsidR="00576A88">
        <w:rPr>
          <w:rFonts w:ascii="Times New Roman" w:hAnsi="Times New Roman" w:cs="Times New Roman"/>
          <w:noProof/>
          <w:sz w:val="24"/>
          <w:szCs w:val="24"/>
          <w:lang w:eastAsia="tr-TR"/>
        </w:rPr>
        <w:t>n</w:t>
      </w:r>
      <w:r w:rsidRPr="002E402A">
        <w:rPr>
          <w:rFonts w:ascii="Times New Roman" w:hAnsi="Times New Roman" w:cs="Times New Roman"/>
          <w:noProof/>
          <w:sz w:val="24"/>
          <w:szCs w:val="24"/>
          <w:lang w:eastAsia="tr-TR"/>
        </w:rPr>
        <w:t xml:space="preserve"> ortalama %30’u</w:t>
      </w:r>
      <w:r w:rsidR="00576A88">
        <w:rPr>
          <w:rFonts w:ascii="Times New Roman" w:hAnsi="Times New Roman" w:cs="Times New Roman"/>
          <w:noProof/>
          <w:sz w:val="24"/>
          <w:szCs w:val="24"/>
          <w:lang w:eastAsia="tr-TR"/>
        </w:rPr>
        <w:t>nu</w:t>
      </w:r>
      <w:r w:rsidRPr="002E402A">
        <w:rPr>
          <w:rFonts w:ascii="Times New Roman" w:hAnsi="Times New Roman" w:cs="Times New Roman"/>
          <w:noProof/>
          <w:sz w:val="24"/>
          <w:szCs w:val="24"/>
          <w:lang w:eastAsia="tr-TR"/>
        </w:rPr>
        <w:t xml:space="preserve"> ve sermayelerinin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29’unu e</w:t>
      </w:r>
      <w:r w:rsidR="00302C0E" w:rsidRPr="002E402A">
        <w:rPr>
          <w:rFonts w:ascii="Times New Roman" w:hAnsi="Times New Roman" w:cs="Times New Roman"/>
          <w:noProof/>
          <w:sz w:val="24"/>
          <w:szCs w:val="24"/>
          <w:lang w:eastAsia="tr-TR"/>
        </w:rPr>
        <w:t>tkin kullanamadığı belirtilebili</w:t>
      </w:r>
      <w:r w:rsidRPr="002E402A">
        <w:rPr>
          <w:rFonts w:ascii="Times New Roman" w:hAnsi="Times New Roman" w:cs="Times New Roman"/>
          <w:noProof/>
          <w:sz w:val="24"/>
          <w:szCs w:val="24"/>
          <w:lang w:eastAsia="tr-TR"/>
        </w:rPr>
        <w:t>r. Ortalama oranlara etkin kurumlar dahil edilmediğinde ortalama oranlarda aktif kullanımında genel ortalamada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42, personel sayısında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38, sermayede %</w:t>
      </w:r>
      <w:r w:rsidR="006339BE">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 xml:space="preserve">37 oranda etkin olmayan kullanım olduğu belirlenmiştir. </w:t>
      </w:r>
    </w:p>
    <w:p w:rsidR="007E4F49" w:rsidRPr="002E402A" w:rsidRDefault="007E4F49" w:rsidP="00576A88">
      <w:pPr>
        <w:spacing w:line="240" w:lineRule="auto"/>
        <w:rPr>
          <w:rFonts w:ascii="Times New Roman" w:hAnsi="Times New Roman" w:cs="Times New Roman"/>
          <w:noProof/>
          <w:sz w:val="24"/>
          <w:szCs w:val="24"/>
          <w:lang w:eastAsia="tr-TR"/>
        </w:rPr>
      </w:pPr>
      <w:r w:rsidRPr="002E402A">
        <w:rPr>
          <w:rFonts w:ascii="Times New Roman" w:hAnsi="Times New Roman" w:cs="Times New Roman"/>
          <w:noProof/>
          <w:sz w:val="24"/>
          <w:szCs w:val="24"/>
          <w:lang w:eastAsia="tr-TR"/>
        </w:rPr>
        <w:t>Çıktılara ilişkin iyileştirme oranları incelendiğinde, aktif</w:t>
      </w:r>
      <w:r w:rsidR="00246DBD" w:rsidRPr="002E402A">
        <w:rPr>
          <w:rFonts w:ascii="Times New Roman" w:hAnsi="Times New Roman" w:cs="Times New Roman"/>
          <w:noProof/>
          <w:sz w:val="24"/>
          <w:szCs w:val="24"/>
          <w:lang w:eastAsia="tr-TR"/>
        </w:rPr>
        <w:t xml:space="preserve"> varlık</w:t>
      </w:r>
      <w:r w:rsidRPr="002E402A">
        <w:rPr>
          <w:rFonts w:ascii="Times New Roman" w:hAnsi="Times New Roman" w:cs="Times New Roman"/>
          <w:noProof/>
          <w:sz w:val="24"/>
          <w:szCs w:val="24"/>
          <w:lang w:eastAsia="tr-TR"/>
        </w:rPr>
        <w:t>, personel sayısı ve sermayenin etkin kullanılması sağlandığında, diğer şartlarda değişiklik olmadığı varsayımı ile beş yıl ortalamasında hesap sayılarında 9 kat, müşterilerinin işlem hacminde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28, net komisyon gelirinde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 xml:space="preserve">36, net </w:t>
      </w:r>
      <w:r w:rsidR="007210D2" w:rsidRPr="002E402A">
        <w:rPr>
          <w:rFonts w:ascii="Times New Roman" w:hAnsi="Times New Roman" w:cs="Times New Roman"/>
          <w:noProof/>
          <w:sz w:val="24"/>
          <w:szCs w:val="24"/>
          <w:lang w:eastAsia="tr-TR"/>
        </w:rPr>
        <w:t>kâr</w:t>
      </w:r>
      <w:r w:rsidRPr="002E402A">
        <w:rPr>
          <w:rFonts w:ascii="Times New Roman" w:hAnsi="Times New Roman" w:cs="Times New Roman"/>
          <w:noProof/>
          <w:sz w:val="24"/>
          <w:szCs w:val="24"/>
          <w:lang w:eastAsia="tr-TR"/>
        </w:rPr>
        <w:t xml:space="preserve"> gelirinde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69 iyileşme sağlanabileceği belirlenmiştir. Ayrıca, 32 kurumdan sadece etkin olmayanlar esas alındığında ve çıktılarda bu analizde istenilen ve yu</w:t>
      </w:r>
      <w:r w:rsidR="002617ED" w:rsidRPr="002E402A">
        <w:rPr>
          <w:rFonts w:ascii="Times New Roman" w:hAnsi="Times New Roman" w:cs="Times New Roman"/>
          <w:noProof/>
          <w:sz w:val="24"/>
          <w:szCs w:val="24"/>
          <w:lang w:eastAsia="tr-TR"/>
        </w:rPr>
        <w:t>ka</w:t>
      </w:r>
      <w:r w:rsidR="007210D2" w:rsidRPr="002E402A">
        <w:rPr>
          <w:rFonts w:ascii="Times New Roman" w:hAnsi="Times New Roman" w:cs="Times New Roman"/>
          <w:noProof/>
          <w:sz w:val="24"/>
          <w:szCs w:val="24"/>
          <w:lang w:eastAsia="tr-TR"/>
        </w:rPr>
        <w:t>r</w:t>
      </w:r>
      <w:r w:rsidR="00943C80" w:rsidRPr="002E402A">
        <w:rPr>
          <w:rFonts w:ascii="Times New Roman" w:hAnsi="Times New Roman" w:cs="Times New Roman"/>
          <w:noProof/>
          <w:sz w:val="24"/>
          <w:szCs w:val="24"/>
          <w:lang w:eastAsia="tr-TR"/>
        </w:rPr>
        <w:t>ıdaki Çizelge</w:t>
      </w:r>
      <w:r w:rsidR="002E7D97" w:rsidRPr="002E402A">
        <w:rPr>
          <w:rFonts w:ascii="Times New Roman" w:hAnsi="Times New Roman" w:cs="Times New Roman"/>
          <w:noProof/>
          <w:sz w:val="24"/>
          <w:szCs w:val="24"/>
          <w:lang w:eastAsia="tr-TR"/>
        </w:rPr>
        <w:t xml:space="preserve"> 9’</w:t>
      </w:r>
      <w:r w:rsidRPr="002E402A">
        <w:rPr>
          <w:rFonts w:ascii="Times New Roman" w:hAnsi="Times New Roman" w:cs="Times New Roman"/>
          <w:noProof/>
          <w:sz w:val="24"/>
          <w:szCs w:val="24"/>
          <w:lang w:eastAsia="tr-TR"/>
        </w:rPr>
        <w:t>da yer alan oranlarda kullanım sağlandığında</w:t>
      </w:r>
      <w:r w:rsidR="00943C80" w:rsidRPr="002E402A">
        <w:rPr>
          <w:rFonts w:ascii="Times New Roman" w:hAnsi="Times New Roman" w:cs="Times New Roman"/>
          <w:noProof/>
          <w:sz w:val="24"/>
          <w:szCs w:val="24"/>
          <w:lang w:eastAsia="tr-TR"/>
        </w:rPr>
        <w:t xml:space="preserve">; </w:t>
      </w:r>
      <w:r w:rsidR="00067996">
        <w:rPr>
          <w:rFonts w:ascii="Times New Roman" w:hAnsi="Times New Roman" w:cs="Times New Roman"/>
          <w:noProof/>
          <w:sz w:val="24"/>
          <w:szCs w:val="24"/>
          <w:lang w:eastAsia="tr-TR"/>
        </w:rPr>
        <w:t>Ç</w:t>
      </w:r>
      <w:r w:rsidR="00943C80" w:rsidRPr="002E402A">
        <w:rPr>
          <w:rFonts w:ascii="Times New Roman" w:hAnsi="Times New Roman" w:cs="Times New Roman"/>
          <w:noProof/>
          <w:sz w:val="24"/>
          <w:szCs w:val="24"/>
          <w:lang w:eastAsia="tr-TR"/>
        </w:rPr>
        <w:t>izelge</w:t>
      </w:r>
      <w:r w:rsidR="00576A88">
        <w:rPr>
          <w:rFonts w:ascii="Times New Roman" w:hAnsi="Times New Roman" w:cs="Times New Roman"/>
          <w:noProof/>
          <w:sz w:val="24"/>
          <w:szCs w:val="24"/>
          <w:lang w:eastAsia="tr-TR"/>
        </w:rPr>
        <w:t xml:space="preserve"> 13’</w:t>
      </w:r>
      <w:r w:rsidR="002E7D97" w:rsidRPr="002E402A">
        <w:rPr>
          <w:rFonts w:ascii="Times New Roman" w:hAnsi="Times New Roman" w:cs="Times New Roman"/>
          <w:noProof/>
          <w:sz w:val="24"/>
          <w:szCs w:val="24"/>
          <w:lang w:eastAsia="tr-TR"/>
        </w:rPr>
        <w:t>de görüldüğü üzere,</w:t>
      </w:r>
      <w:r w:rsidRPr="002E402A">
        <w:rPr>
          <w:rFonts w:ascii="Times New Roman" w:hAnsi="Times New Roman" w:cs="Times New Roman"/>
          <w:noProof/>
          <w:sz w:val="24"/>
          <w:szCs w:val="24"/>
          <w:lang w:eastAsia="tr-TR"/>
        </w:rPr>
        <w:t xml:space="preserve"> beş yılllık piyasa ortalamasında</w:t>
      </w:r>
      <w:r w:rsidR="002E7D97" w:rsidRPr="002E402A">
        <w:rPr>
          <w:rFonts w:ascii="Times New Roman" w:hAnsi="Times New Roman" w:cs="Times New Roman"/>
          <w:noProof/>
          <w:sz w:val="24"/>
          <w:szCs w:val="24"/>
          <w:lang w:eastAsia="tr-TR"/>
        </w:rPr>
        <w:t xml:space="preserve"> hesap sayısında</w:t>
      </w:r>
      <w:r w:rsidRPr="002E402A">
        <w:rPr>
          <w:rFonts w:ascii="Times New Roman" w:hAnsi="Times New Roman" w:cs="Times New Roman"/>
          <w:noProof/>
          <w:sz w:val="24"/>
          <w:szCs w:val="24"/>
          <w:lang w:eastAsia="tr-TR"/>
        </w:rPr>
        <w:t xml:space="preserve"> 12 kat, işlem hacminde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35, net komisyon gelirinde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 xml:space="preserve">46 ve net </w:t>
      </w:r>
      <w:r w:rsidR="007210D2" w:rsidRPr="002E402A">
        <w:rPr>
          <w:rFonts w:ascii="Times New Roman" w:hAnsi="Times New Roman" w:cs="Times New Roman"/>
          <w:noProof/>
          <w:sz w:val="24"/>
          <w:szCs w:val="24"/>
          <w:lang w:eastAsia="tr-TR"/>
        </w:rPr>
        <w:t>kâr</w:t>
      </w:r>
      <w:r w:rsidRPr="002E402A">
        <w:rPr>
          <w:rFonts w:ascii="Times New Roman" w:hAnsi="Times New Roman" w:cs="Times New Roman"/>
          <w:noProof/>
          <w:sz w:val="24"/>
          <w:szCs w:val="24"/>
          <w:lang w:eastAsia="tr-TR"/>
        </w:rPr>
        <w:t>da %</w:t>
      </w:r>
      <w:r w:rsidR="00576A88">
        <w:rPr>
          <w:rFonts w:ascii="Times New Roman" w:hAnsi="Times New Roman" w:cs="Times New Roman"/>
          <w:noProof/>
          <w:sz w:val="24"/>
          <w:szCs w:val="24"/>
          <w:lang w:eastAsia="tr-TR"/>
        </w:rPr>
        <w:t xml:space="preserve"> </w:t>
      </w:r>
      <w:r w:rsidRPr="002E402A">
        <w:rPr>
          <w:rFonts w:ascii="Times New Roman" w:hAnsi="Times New Roman" w:cs="Times New Roman"/>
          <w:noProof/>
          <w:sz w:val="24"/>
          <w:szCs w:val="24"/>
          <w:lang w:eastAsia="tr-TR"/>
        </w:rPr>
        <w:t xml:space="preserve">89 iyileşme sağlanabileceği </w:t>
      </w:r>
      <w:r w:rsidR="002617ED" w:rsidRPr="002E402A">
        <w:rPr>
          <w:rFonts w:ascii="Times New Roman" w:hAnsi="Times New Roman" w:cs="Times New Roman"/>
          <w:noProof/>
          <w:sz w:val="24"/>
          <w:szCs w:val="24"/>
          <w:lang w:eastAsia="tr-TR"/>
        </w:rPr>
        <w:t>görülmektedir</w:t>
      </w:r>
      <w:r w:rsidRPr="002E402A">
        <w:rPr>
          <w:rFonts w:ascii="Times New Roman" w:hAnsi="Times New Roman" w:cs="Times New Roman"/>
          <w:noProof/>
          <w:sz w:val="24"/>
          <w:szCs w:val="24"/>
          <w:lang w:eastAsia="tr-TR"/>
        </w:rPr>
        <w:t>. Tabi</w:t>
      </w:r>
      <w:r w:rsidR="002617ED" w:rsidRPr="002E402A">
        <w:rPr>
          <w:rFonts w:ascii="Times New Roman" w:hAnsi="Times New Roman" w:cs="Times New Roman"/>
          <w:noProof/>
          <w:sz w:val="24"/>
          <w:szCs w:val="24"/>
          <w:lang w:eastAsia="tr-TR"/>
        </w:rPr>
        <w:t>i</w:t>
      </w:r>
      <w:r w:rsidRPr="002E402A">
        <w:rPr>
          <w:rFonts w:ascii="Times New Roman" w:hAnsi="Times New Roman" w:cs="Times New Roman"/>
          <w:noProof/>
          <w:sz w:val="24"/>
          <w:szCs w:val="24"/>
          <w:lang w:eastAsia="tr-TR"/>
        </w:rPr>
        <w:t xml:space="preserve"> ki, bu analizde sadece girdiye göre çıktı miktarlarının ölçümlemesi yapılmış olup, piyasadaki diğer tüm esaslar sabit tutulmuştur. </w:t>
      </w: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8933F0" w:rsidRDefault="008933F0" w:rsidP="003630FB">
      <w:pPr>
        <w:spacing w:line="240" w:lineRule="auto"/>
        <w:ind w:firstLine="567"/>
        <w:jc w:val="center"/>
        <w:rPr>
          <w:rFonts w:ascii="Times New Roman" w:hAnsi="Times New Roman" w:cs="Times New Roman"/>
          <w:b/>
          <w:noProof/>
          <w:sz w:val="24"/>
          <w:szCs w:val="24"/>
          <w:lang w:eastAsia="tr-TR"/>
        </w:rPr>
      </w:pPr>
    </w:p>
    <w:p w:rsidR="005611F4" w:rsidRPr="002E402A" w:rsidRDefault="00943C80" w:rsidP="003630FB">
      <w:pPr>
        <w:spacing w:line="240" w:lineRule="auto"/>
        <w:ind w:firstLine="567"/>
        <w:jc w:val="center"/>
        <w:rPr>
          <w:rFonts w:ascii="Times New Roman" w:hAnsi="Times New Roman" w:cs="Times New Roman"/>
          <w:b/>
          <w:noProof/>
          <w:sz w:val="24"/>
          <w:szCs w:val="24"/>
          <w:lang w:eastAsia="tr-TR"/>
        </w:rPr>
      </w:pPr>
      <w:r w:rsidRPr="002E402A">
        <w:rPr>
          <w:rFonts w:ascii="Times New Roman" w:hAnsi="Times New Roman" w:cs="Times New Roman"/>
          <w:b/>
          <w:noProof/>
          <w:sz w:val="24"/>
          <w:szCs w:val="24"/>
          <w:lang w:eastAsia="tr-TR"/>
        </w:rPr>
        <w:lastRenderedPageBreak/>
        <w:t>Çizelge</w:t>
      </w:r>
      <w:r w:rsidR="00884140" w:rsidRPr="002E402A">
        <w:rPr>
          <w:rFonts w:ascii="Times New Roman" w:hAnsi="Times New Roman" w:cs="Times New Roman"/>
          <w:b/>
          <w:noProof/>
          <w:sz w:val="24"/>
          <w:szCs w:val="24"/>
          <w:lang w:eastAsia="tr-TR"/>
        </w:rPr>
        <w:t xml:space="preserve"> </w:t>
      </w:r>
      <w:r w:rsidR="000E0FC2" w:rsidRPr="002E402A">
        <w:rPr>
          <w:rFonts w:ascii="Times New Roman" w:hAnsi="Times New Roman" w:cs="Times New Roman"/>
          <w:b/>
          <w:noProof/>
          <w:sz w:val="24"/>
          <w:szCs w:val="24"/>
          <w:lang w:eastAsia="tr-TR"/>
        </w:rPr>
        <w:t>13</w:t>
      </w:r>
      <w:r w:rsidR="00884140" w:rsidRPr="002E402A">
        <w:rPr>
          <w:rFonts w:ascii="Times New Roman" w:hAnsi="Times New Roman" w:cs="Times New Roman"/>
          <w:b/>
          <w:noProof/>
          <w:sz w:val="24"/>
          <w:szCs w:val="24"/>
          <w:lang w:eastAsia="tr-TR"/>
        </w:rPr>
        <w:t>.</w:t>
      </w:r>
      <w:r w:rsidR="005611F4" w:rsidRPr="002E402A">
        <w:rPr>
          <w:rFonts w:ascii="Times New Roman" w:hAnsi="Times New Roman" w:cs="Times New Roman"/>
          <w:b/>
          <w:noProof/>
          <w:sz w:val="24"/>
          <w:szCs w:val="24"/>
          <w:lang w:eastAsia="tr-TR"/>
        </w:rPr>
        <w:t xml:space="preserve"> </w:t>
      </w:r>
      <w:r w:rsidR="00884140" w:rsidRPr="002E402A">
        <w:rPr>
          <w:rFonts w:ascii="Times New Roman" w:hAnsi="Times New Roman" w:cs="Times New Roman"/>
          <w:b/>
          <w:noProof/>
          <w:sz w:val="24"/>
          <w:szCs w:val="24"/>
          <w:lang w:eastAsia="tr-TR"/>
        </w:rPr>
        <w:t>Aracı Kurumlarda Aktifler, P</w:t>
      </w:r>
      <w:r w:rsidR="00FA1EB6" w:rsidRPr="002E402A">
        <w:rPr>
          <w:rFonts w:ascii="Times New Roman" w:hAnsi="Times New Roman" w:cs="Times New Roman"/>
          <w:b/>
          <w:noProof/>
          <w:sz w:val="24"/>
          <w:szCs w:val="24"/>
          <w:lang w:eastAsia="tr-TR"/>
        </w:rPr>
        <w:t xml:space="preserve">ersonel </w:t>
      </w:r>
      <w:r w:rsidR="00884140" w:rsidRPr="002E402A">
        <w:rPr>
          <w:rFonts w:ascii="Times New Roman" w:hAnsi="Times New Roman" w:cs="Times New Roman"/>
          <w:b/>
          <w:noProof/>
          <w:sz w:val="24"/>
          <w:szCs w:val="24"/>
          <w:lang w:eastAsia="tr-TR"/>
        </w:rPr>
        <w:t>Sayısı ve Sermaye Etkin Kullanması Halinde İyileşme Sağlanacak O</w:t>
      </w:r>
      <w:r w:rsidR="003630FB">
        <w:rPr>
          <w:rFonts w:ascii="Times New Roman" w:hAnsi="Times New Roman" w:cs="Times New Roman"/>
          <w:b/>
          <w:noProof/>
          <w:sz w:val="24"/>
          <w:szCs w:val="24"/>
          <w:lang w:eastAsia="tr-TR"/>
        </w:rPr>
        <w:t>ranlar</w:t>
      </w:r>
    </w:p>
    <w:p w:rsidR="00722BB0" w:rsidRPr="002E402A" w:rsidRDefault="006B698E" w:rsidP="000A7CD7">
      <w:pPr>
        <w:spacing w:line="240" w:lineRule="auto"/>
        <w:rPr>
          <w:rFonts w:ascii="Times New Roman" w:hAnsi="Times New Roman" w:cs="Times New Roman"/>
          <w:color w:val="FF0000"/>
          <w:sz w:val="24"/>
          <w:szCs w:val="24"/>
        </w:rPr>
      </w:pPr>
      <w:r w:rsidRPr="002E402A">
        <w:rPr>
          <w:rFonts w:ascii="Times New Roman" w:hAnsi="Times New Roman" w:cs="Times New Roman"/>
          <w:noProof/>
          <w:sz w:val="24"/>
          <w:szCs w:val="24"/>
          <w:lang w:eastAsia="tr-TR"/>
        </w:rPr>
        <w:drawing>
          <wp:inline distT="0" distB="0" distL="0" distR="0" wp14:anchorId="5766D88E" wp14:editId="1F8E92C2">
            <wp:extent cx="6375000" cy="338137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12639" cy="3401339"/>
                    </a:xfrm>
                    <a:prstGeom prst="rect">
                      <a:avLst/>
                    </a:prstGeom>
                    <a:noFill/>
                    <a:ln>
                      <a:noFill/>
                    </a:ln>
                  </pic:spPr>
                </pic:pic>
              </a:graphicData>
            </a:graphic>
          </wp:inline>
        </w:drawing>
      </w:r>
    </w:p>
    <w:p w:rsidR="000E0FC2" w:rsidRPr="002E402A" w:rsidRDefault="000E0FC2" w:rsidP="000A7CD7">
      <w:pPr>
        <w:spacing w:line="240" w:lineRule="auto"/>
        <w:ind w:firstLine="567"/>
        <w:rPr>
          <w:rFonts w:ascii="Times New Roman" w:hAnsi="Times New Roman" w:cs="Times New Roman"/>
          <w:sz w:val="24"/>
          <w:szCs w:val="24"/>
        </w:rPr>
      </w:pPr>
    </w:p>
    <w:p w:rsidR="00DE05E6" w:rsidRPr="002E402A" w:rsidRDefault="00943C80" w:rsidP="008933F0">
      <w:pPr>
        <w:spacing w:line="240" w:lineRule="auto"/>
        <w:rPr>
          <w:rFonts w:ascii="Times New Roman" w:hAnsi="Times New Roman" w:cs="Times New Roman"/>
          <w:sz w:val="24"/>
          <w:szCs w:val="24"/>
        </w:rPr>
      </w:pPr>
      <w:r w:rsidRPr="002E402A">
        <w:rPr>
          <w:rFonts w:ascii="Times New Roman" w:hAnsi="Times New Roman" w:cs="Times New Roman"/>
          <w:sz w:val="24"/>
          <w:szCs w:val="24"/>
        </w:rPr>
        <w:t>Çizelge</w:t>
      </w:r>
      <w:r w:rsidR="00153275" w:rsidRPr="002E402A">
        <w:rPr>
          <w:rFonts w:ascii="Times New Roman" w:hAnsi="Times New Roman" w:cs="Times New Roman"/>
          <w:sz w:val="24"/>
          <w:szCs w:val="24"/>
        </w:rPr>
        <w:t xml:space="preserve"> </w:t>
      </w:r>
      <w:r w:rsidR="000E0FC2" w:rsidRPr="002E402A">
        <w:rPr>
          <w:rFonts w:ascii="Times New Roman" w:hAnsi="Times New Roman" w:cs="Times New Roman"/>
          <w:sz w:val="24"/>
          <w:szCs w:val="24"/>
        </w:rPr>
        <w:t>14’de</w:t>
      </w:r>
      <w:r w:rsidR="00DE05E6" w:rsidRPr="002E402A">
        <w:rPr>
          <w:rFonts w:ascii="Times New Roman" w:hAnsi="Times New Roman" w:cs="Times New Roman"/>
          <w:sz w:val="24"/>
          <w:szCs w:val="24"/>
        </w:rPr>
        <w:t>, aracı kurum bazında teknik etkinlikteki değişme, teknolojik değişme, saf teknik etkinlikte değişme, ölçek etkinliğinde değişme ve toplam faktör verimliliğinde değişme endeksleri yer almaktadır.</w:t>
      </w:r>
    </w:p>
    <w:p w:rsidR="009F7186" w:rsidRPr="002E402A" w:rsidRDefault="00A45EA3" w:rsidP="008933F0">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Belirli dönemdeki </w:t>
      </w:r>
      <w:r w:rsidR="007210D2" w:rsidRPr="002E402A">
        <w:rPr>
          <w:rFonts w:ascii="Times New Roman" w:hAnsi="Times New Roman" w:cs="Times New Roman"/>
          <w:sz w:val="24"/>
          <w:szCs w:val="24"/>
        </w:rPr>
        <w:t>karar</w:t>
      </w:r>
      <w:r w:rsidRPr="002E402A">
        <w:rPr>
          <w:rFonts w:ascii="Times New Roman" w:hAnsi="Times New Roman" w:cs="Times New Roman"/>
          <w:sz w:val="24"/>
          <w:szCs w:val="24"/>
        </w:rPr>
        <w:t xml:space="preserve"> birimi verileri arasında kesit analizi yapması nedeniyle VZA</w:t>
      </w:r>
      <w:r w:rsidR="00FC73E4"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statik bir analizdir. </w:t>
      </w:r>
      <w:r w:rsidR="005E276C" w:rsidRPr="002E402A">
        <w:rPr>
          <w:rFonts w:ascii="Times New Roman" w:hAnsi="Times New Roman" w:cs="Times New Roman"/>
          <w:sz w:val="24"/>
          <w:szCs w:val="24"/>
        </w:rPr>
        <w:t xml:space="preserve">VZA analizi ile etkinliği saptanan bir </w:t>
      </w:r>
      <w:r w:rsidR="007210D2" w:rsidRPr="002E402A">
        <w:rPr>
          <w:rFonts w:ascii="Times New Roman" w:hAnsi="Times New Roman" w:cs="Times New Roman"/>
          <w:sz w:val="24"/>
          <w:szCs w:val="24"/>
        </w:rPr>
        <w:t>karar</w:t>
      </w:r>
      <w:r w:rsidR="005E276C" w:rsidRPr="002E402A">
        <w:rPr>
          <w:rFonts w:ascii="Times New Roman" w:hAnsi="Times New Roman" w:cs="Times New Roman"/>
          <w:sz w:val="24"/>
          <w:szCs w:val="24"/>
        </w:rPr>
        <w:t xml:space="preserve"> birimi daha sonraki dönemlerde incelendiğinde etkinliğini yitirebilmekte ve</w:t>
      </w:r>
      <w:r w:rsidR="00EB4BE6" w:rsidRPr="002E402A">
        <w:rPr>
          <w:rFonts w:ascii="Times New Roman" w:hAnsi="Times New Roman" w:cs="Times New Roman"/>
          <w:sz w:val="24"/>
          <w:szCs w:val="24"/>
        </w:rPr>
        <w:t xml:space="preserve"> referans olma özelliğini kaybedebil</w:t>
      </w:r>
      <w:r w:rsidR="005E276C" w:rsidRPr="002E402A">
        <w:rPr>
          <w:rFonts w:ascii="Times New Roman" w:hAnsi="Times New Roman" w:cs="Times New Roman"/>
          <w:sz w:val="24"/>
          <w:szCs w:val="24"/>
        </w:rPr>
        <w:t xml:space="preserve">mektedir. </w:t>
      </w:r>
      <w:r w:rsidR="005669B3" w:rsidRPr="002E402A">
        <w:rPr>
          <w:rFonts w:ascii="Times New Roman" w:hAnsi="Times New Roman" w:cs="Times New Roman"/>
          <w:sz w:val="24"/>
          <w:szCs w:val="24"/>
        </w:rPr>
        <w:t>Zaman içinde etkinliğin nasıl bir değişim gösterdiğini görme</w:t>
      </w:r>
      <w:r w:rsidR="008933F0">
        <w:rPr>
          <w:rFonts w:ascii="Times New Roman" w:hAnsi="Times New Roman" w:cs="Times New Roman"/>
          <w:sz w:val="24"/>
          <w:szCs w:val="24"/>
        </w:rPr>
        <w:t>k için zaman boyutunu gösteren m</w:t>
      </w:r>
      <w:r w:rsidR="005669B3" w:rsidRPr="002E402A">
        <w:rPr>
          <w:rFonts w:ascii="Times New Roman" w:hAnsi="Times New Roman" w:cs="Times New Roman"/>
          <w:sz w:val="24"/>
          <w:szCs w:val="24"/>
        </w:rPr>
        <w:t xml:space="preserve">almquist toplam faktör verimliliği </w:t>
      </w:r>
      <w:r w:rsidR="008933F0">
        <w:rPr>
          <w:rFonts w:ascii="Times New Roman" w:hAnsi="Times New Roman" w:cs="Times New Roman"/>
          <w:sz w:val="24"/>
          <w:szCs w:val="24"/>
        </w:rPr>
        <w:t>e</w:t>
      </w:r>
      <w:r w:rsidR="005669B3" w:rsidRPr="002E402A">
        <w:rPr>
          <w:rFonts w:ascii="Times New Roman" w:hAnsi="Times New Roman" w:cs="Times New Roman"/>
          <w:sz w:val="24"/>
          <w:szCs w:val="24"/>
        </w:rPr>
        <w:t xml:space="preserve">ndeksi </w:t>
      </w:r>
      <w:r w:rsidR="00AD3AA9" w:rsidRPr="002E402A">
        <w:rPr>
          <w:rFonts w:ascii="Times New Roman" w:hAnsi="Times New Roman" w:cs="Times New Roman"/>
          <w:sz w:val="24"/>
          <w:szCs w:val="24"/>
        </w:rPr>
        <w:t xml:space="preserve">1982 yılında Caves, Christensen ve Diewert tarafından geliştirilen VZA temelli bir teknik olarak </w:t>
      </w:r>
      <w:r w:rsidR="005669B3" w:rsidRPr="002E402A">
        <w:rPr>
          <w:rFonts w:ascii="Times New Roman" w:hAnsi="Times New Roman" w:cs="Times New Roman"/>
          <w:sz w:val="24"/>
          <w:szCs w:val="24"/>
        </w:rPr>
        <w:t>geliştirilmiştir</w:t>
      </w:r>
      <w:r w:rsidR="004A3081" w:rsidRPr="002E402A">
        <w:rPr>
          <w:rStyle w:val="DipnotBavurusu"/>
          <w:rFonts w:ascii="Times New Roman" w:hAnsi="Times New Roman" w:cs="Times New Roman"/>
          <w:sz w:val="24"/>
          <w:szCs w:val="24"/>
        </w:rPr>
        <w:t xml:space="preserve"> </w:t>
      </w:r>
      <w:r w:rsidR="008933F0">
        <w:rPr>
          <w:rFonts w:ascii="Times New Roman" w:hAnsi="Times New Roman" w:cs="Times New Roman"/>
          <w:sz w:val="24"/>
          <w:szCs w:val="24"/>
        </w:rPr>
        <w:t>(Dinçer, 2008: 825-846</w:t>
      </w:r>
      <w:r w:rsidR="005C64CE" w:rsidRPr="002E402A">
        <w:rPr>
          <w:rFonts w:ascii="Times New Roman" w:hAnsi="Times New Roman" w:cs="Times New Roman"/>
          <w:sz w:val="24"/>
          <w:szCs w:val="24"/>
        </w:rPr>
        <w:t>)</w:t>
      </w:r>
      <w:r w:rsidR="009165A1" w:rsidRPr="002E402A">
        <w:rPr>
          <w:rFonts w:ascii="Times New Roman" w:hAnsi="Times New Roman" w:cs="Times New Roman"/>
          <w:sz w:val="24"/>
          <w:szCs w:val="24"/>
        </w:rPr>
        <w:t>.</w:t>
      </w: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8933F0" w:rsidRDefault="008933F0" w:rsidP="000A7CD7">
      <w:pPr>
        <w:spacing w:line="240" w:lineRule="auto"/>
        <w:ind w:firstLine="567"/>
        <w:rPr>
          <w:rFonts w:ascii="Times New Roman" w:hAnsi="Times New Roman" w:cs="Times New Roman"/>
          <w:b/>
          <w:noProof/>
          <w:sz w:val="24"/>
          <w:szCs w:val="24"/>
          <w:lang w:eastAsia="tr-TR"/>
        </w:rPr>
      </w:pPr>
    </w:p>
    <w:p w:rsidR="00775779" w:rsidRPr="002E402A" w:rsidRDefault="00943C80" w:rsidP="000A7CD7">
      <w:pPr>
        <w:spacing w:line="240" w:lineRule="auto"/>
        <w:ind w:firstLine="567"/>
        <w:rPr>
          <w:rFonts w:ascii="Times New Roman" w:hAnsi="Times New Roman" w:cs="Times New Roman"/>
          <w:b/>
          <w:sz w:val="24"/>
          <w:szCs w:val="24"/>
        </w:rPr>
      </w:pPr>
      <w:r w:rsidRPr="002E402A">
        <w:rPr>
          <w:rFonts w:ascii="Times New Roman" w:hAnsi="Times New Roman" w:cs="Times New Roman"/>
          <w:b/>
          <w:noProof/>
          <w:sz w:val="24"/>
          <w:szCs w:val="24"/>
          <w:lang w:eastAsia="tr-TR"/>
        </w:rPr>
        <w:lastRenderedPageBreak/>
        <w:t>Çizelge</w:t>
      </w:r>
      <w:r w:rsidR="00423DD4" w:rsidRPr="002E402A">
        <w:rPr>
          <w:rFonts w:ascii="Times New Roman" w:hAnsi="Times New Roman" w:cs="Times New Roman"/>
          <w:b/>
          <w:noProof/>
          <w:sz w:val="24"/>
          <w:szCs w:val="24"/>
          <w:lang w:eastAsia="tr-TR"/>
        </w:rPr>
        <w:t xml:space="preserve"> </w:t>
      </w:r>
      <w:r w:rsidR="000E0FC2" w:rsidRPr="002E402A">
        <w:rPr>
          <w:rFonts w:ascii="Times New Roman" w:hAnsi="Times New Roman" w:cs="Times New Roman"/>
          <w:b/>
          <w:noProof/>
          <w:sz w:val="24"/>
          <w:szCs w:val="24"/>
          <w:lang w:eastAsia="tr-TR"/>
        </w:rPr>
        <w:t>14</w:t>
      </w:r>
      <w:r w:rsidR="00423DD4" w:rsidRPr="002E402A">
        <w:rPr>
          <w:rFonts w:ascii="Times New Roman" w:hAnsi="Times New Roman" w:cs="Times New Roman"/>
          <w:b/>
          <w:noProof/>
          <w:sz w:val="24"/>
          <w:szCs w:val="24"/>
          <w:lang w:eastAsia="tr-TR"/>
        </w:rPr>
        <w:t>. Aracı Kurumlarda Etkinlik Değişim O</w:t>
      </w:r>
      <w:r w:rsidR="00775779" w:rsidRPr="002E402A">
        <w:rPr>
          <w:rFonts w:ascii="Times New Roman" w:hAnsi="Times New Roman" w:cs="Times New Roman"/>
          <w:b/>
          <w:noProof/>
          <w:sz w:val="24"/>
          <w:szCs w:val="24"/>
          <w:lang w:eastAsia="tr-TR"/>
        </w:rPr>
        <w:t>ranları</w:t>
      </w:r>
    </w:p>
    <w:p w:rsidR="00B808F6" w:rsidRPr="002E402A" w:rsidRDefault="006B698E" w:rsidP="006B698E">
      <w:pPr>
        <w:spacing w:line="240" w:lineRule="auto"/>
        <w:rPr>
          <w:rFonts w:ascii="Times New Roman" w:hAnsi="Times New Roman" w:cs="Times New Roman"/>
          <w:sz w:val="24"/>
          <w:szCs w:val="24"/>
        </w:rPr>
      </w:pPr>
      <w:r w:rsidRPr="002E402A">
        <w:rPr>
          <w:rFonts w:ascii="Times New Roman" w:hAnsi="Times New Roman" w:cs="Times New Roman"/>
          <w:noProof/>
          <w:sz w:val="24"/>
          <w:szCs w:val="24"/>
          <w:lang w:eastAsia="tr-TR"/>
        </w:rPr>
        <w:drawing>
          <wp:inline distT="0" distB="0" distL="0" distR="0" wp14:anchorId="3E2C83F2" wp14:editId="4CCEAB03">
            <wp:extent cx="6143625" cy="3608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68751" cy="3623659"/>
                    </a:xfrm>
                    <a:prstGeom prst="rect">
                      <a:avLst/>
                    </a:prstGeom>
                    <a:noFill/>
                    <a:ln>
                      <a:noFill/>
                    </a:ln>
                  </pic:spPr>
                </pic:pic>
              </a:graphicData>
            </a:graphic>
          </wp:inline>
        </w:drawing>
      </w:r>
    </w:p>
    <w:p w:rsidR="00CA4AF3" w:rsidRPr="002E402A" w:rsidRDefault="00265B37" w:rsidP="001075A6">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Etkinlikteki değişim üretim sınırını yakalamada teknik etkinliğin etkisini, teknolojik değişme eşitliği ise, üretim sınırları eğrisinin kayması anlamına gelir. </w:t>
      </w:r>
      <w:r w:rsidR="00CA4AF3" w:rsidRPr="002E402A">
        <w:rPr>
          <w:rFonts w:ascii="Times New Roman" w:hAnsi="Times New Roman" w:cs="Times New Roman"/>
          <w:sz w:val="24"/>
          <w:szCs w:val="24"/>
        </w:rPr>
        <w:t>Teknik etkinlik, girdilerin çıktılara çevrilme sürecindeki fiziksel etkinliktir</w:t>
      </w:r>
      <w:r w:rsidR="00252F36" w:rsidRPr="002E402A">
        <w:rPr>
          <w:rFonts w:ascii="Times New Roman" w:hAnsi="Times New Roman" w:cs="Times New Roman"/>
          <w:sz w:val="24"/>
          <w:szCs w:val="24"/>
        </w:rPr>
        <w:t xml:space="preserve"> </w:t>
      </w:r>
      <w:r w:rsidR="00153275" w:rsidRPr="002E402A">
        <w:rPr>
          <w:rFonts w:ascii="Times New Roman" w:hAnsi="Times New Roman" w:cs="Times New Roman"/>
          <w:sz w:val="24"/>
          <w:szCs w:val="24"/>
        </w:rPr>
        <w:t>(Başkaya, 2011, 48-51</w:t>
      </w:r>
      <w:r w:rsidR="00252F36" w:rsidRPr="002E402A">
        <w:rPr>
          <w:rFonts w:ascii="Times New Roman" w:hAnsi="Times New Roman" w:cs="Times New Roman"/>
          <w:sz w:val="24"/>
          <w:szCs w:val="24"/>
        </w:rPr>
        <w:t>)</w:t>
      </w:r>
      <w:r w:rsidR="00153275" w:rsidRPr="002E402A">
        <w:rPr>
          <w:rFonts w:ascii="Times New Roman" w:hAnsi="Times New Roman" w:cs="Times New Roman"/>
          <w:sz w:val="24"/>
          <w:szCs w:val="24"/>
        </w:rPr>
        <w:t>.</w:t>
      </w:r>
      <w:r w:rsidR="00CA4AF3" w:rsidRPr="002E402A">
        <w:rPr>
          <w:rFonts w:ascii="Times New Roman" w:hAnsi="Times New Roman" w:cs="Times New Roman"/>
          <w:sz w:val="24"/>
          <w:szCs w:val="24"/>
        </w:rPr>
        <w:t xml:space="preserve"> </w:t>
      </w:r>
      <w:r w:rsidR="0073776D" w:rsidRPr="002E402A">
        <w:rPr>
          <w:rFonts w:ascii="Times New Roman" w:hAnsi="Times New Roman" w:cs="Times New Roman"/>
          <w:sz w:val="24"/>
          <w:szCs w:val="24"/>
        </w:rPr>
        <w:t xml:space="preserve">Teknik etkinlik, kapasite kullanımı ve teknolojik gelişmeyi de kapsamaktadır. </w:t>
      </w:r>
      <w:r w:rsidR="007006DA" w:rsidRPr="002E402A">
        <w:rPr>
          <w:rFonts w:ascii="Times New Roman" w:hAnsi="Times New Roman" w:cs="Times New Roman"/>
          <w:sz w:val="24"/>
          <w:szCs w:val="24"/>
        </w:rPr>
        <w:t xml:space="preserve">Teknik etkinlik derecesinde, veri teknoloji düzeyinde, belirli çıktı miktarının elde edilmesinde girdilerin fazla kullanılıp kullanılmadığını belirler. </w:t>
      </w:r>
      <w:r w:rsidR="00071BC6" w:rsidRPr="002E402A">
        <w:rPr>
          <w:rFonts w:ascii="Times New Roman" w:hAnsi="Times New Roman" w:cs="Times New Roman"/>
          <w:sz w:val="24"/>
          <w:szCs w:val="24"/>
        </w:rPr>
        <w:t xml:space="preserve">Tam etkinlik durumunda, belli bir çıktı düzeyini üretmek için gerekli minimum girdi miktarları gösterilmektedir. </w:t>
      </w:r>
      <w:r w:rsidR="00AF6BF1" w:rsidRPr="002E402A">
        <w:rPr>
          <w:rFonts w:ascii="Times New Roman" w:hAnsi="Times New Roman" w:cs="Times New Roman"/>
          <w:sz w:val="24"/>
          <w:szCs w:val="24"/>
        </w:rPr>
        <w:t xml:space="preserve">Teknik etkinlik, bir işletmenin verimliliğine </w:t>
      </w:r>
      <w:r w:rsidR="007210D2" w:rsidRPr="002E402A">
        <w:rPr>
          <w:rFonts w:ascii="Times New Roman" w:hAnsi="Times New Roman" w:cs="Times New Roman"/>
          <w:sz w:val="24"/>
          <w:szCs w:val="24"/>
        </w:rPr>
        <w:t>karar</w:t>
      </w:r>
      <w:r w:rsidR="00AF6BF1" w:rsidRPr="002E402A">
        <w:rPr>
          <w:rFonts w:ascii="Times New Roman" w:hAnsi="Times New Roman" w:cs="Times New Roman"/>
          <w:sz w:val="24"/>
          <w:szCs w:val="24"/>
        </w:rPr>
        <w:t xml:space="preserve"> verebilmesi için, üretim sınırındaki değişmeleri de göz</w:t>
      </w:r>
      <w:r w:rsidR="00506A82" w:rsidRPr="002E402A">
        <w:rPr>
          <w:rFonts w:ascii="Times New Roman" w:hAnsi="Times New Roman" w:cs="Times New Roman"/>
          <w:sz w:val="24"/>
          <w:szCs w:val="24"/>
        </w:rPr>
        <w:t xml:space="preserve"> </w:t>
      </w:r>
      <w:r w:rsidR="00AF6BF1" w:rsidRPr="002E402A">
        <w:rPr>
          <w:rFonts w:ascii="Times New Roman" w:hAnsi="Times New Roman" w:cs="Times New Roman"/>
          <w:sz w:val="24"/>
          <w:szCs w:val="24"/>
        </w:rPr>
        <w:t>önüne alan önemli bir faktördür.</w:t>
      </w:r>
      <w:r w:rsidR="00D37337" w:rsidRPr="002E402A">
        <w:rPr>
          <w:rFonts w:ascii="Times New Roman" w:hAnsi="Times New Roman" w:cs="Times New Roman"/>
          <w:sz w:val="24"/>
          <w:szCs w:val="24"/>
        </w:rPr>
        <w:t xml:space="preserve"> Teknik olarak etkin olması için oranın 1 olması gereklidir. Bu değerin üzerinde veya altındaki oranlar etkinsizlik olarak görülmektedir. </w:t>
      </w:r>
    </w:p>
    <w:p w:rsidR="001164FB" w:rsidRPr="002E402A" w:rsidRDefault="00EC629B" w:rsidP="001075A6">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Aracı kurumların 2009-2013 döneminde </w:t>
      </w:r>
      <w:r w:rsidR="00C23C1B" w:rsidRPr="002E402A">
        <w:rPr>
          <w:rFonts w:ascii="Times New Roman" w:hAnsi="Times New Roman" w:cs="Times New Roman"/>
          <w:sz w:val="24"/>
          <w:szCs w:val="24"/>
        </w:rPr>
        <w:t xml:space="preserve">yıldan yıla </w:t>
      </w:r>
      <w:r w:rsidRPr="002E402A">
        <w:rPr>
          <w:rFonts w:ascii="Times New Roman" w:hAnsi="Times New Roman" w:cs="Times New Roman"/>
          <w:sz w:val="24"/>
          <w:szCs w:val="24"/>
        </w:rPr>
        <w:t>teknik e</w:t>
      </w:r>
      <w:r w:rsidR="00D37337" w:rsidRPr="002E402A">
        <w:rPr>
          <w:rFonts w:ascii="Times New Roman" w:hAnsi="Times New Roman" w:cs="Times New Roman"/>
          <w:sz w:val="24"/>
          <w:szCs w:val="24"/>
        </w:rPr>
        <w:t xml:space="preserve">tkinlik değişimine bakıldığında, </w:t>
      </w:r>
      <w:r w:rsidR="00C23C1B" w:rsidRPr="002E402A">
        <w:rPr>
          <w:rFonts w:ascii="Times New Roman" w:hAnsi="Times New Roman" w:cs="Times New Roman"/>
          <w:sz w:val="24"/>
          <w:szCs w:val="24"/>
        </w:rPr>
        <w:t xml:space="preserve">tüm yıllarda teknik etkinliği sağlayan kurumlar, </w:t>
      </w:r>
      <w:r w:rsidR="009D5356" w:rsidRPr="002E402A">
        <w:rPr>
          <w:rFonts w:ascii="Times New Roman" w:hAnsi="Times New Roman" w:cs="Times New Roman"/>
          <w:sz w:val="24"/>
          <w:szCs w:val="24"/>
        </w:rPr>
        <w:t>k4,</w:t>
      </w:r>
      <w:r w:rsidR="001075A6">
        <w:rPr>
          <w:rFonts w:ascii="Times New Roman" w:hAnsi="Times New Roman" w:cs="Times New Roman"/>
          <w:sz w:val="24"/>
          <w:szCs w:val="24"/>
        </w:rPr>
        <w:t xml:space="preserve"> </w:t>
      </w:r>
      <w:r w:rsidR="009D5356" w:rsidRPr="002E402A">
        <w:rPr>
          <w:rFonts w:ascii="Times New Roman" w:hAnsi="Times New Roman" w:cs="Times New Roman"/>
          <w:sz w:val="24"/>
          <w:szCs w:val="24"/>
        </w:rPr>
        <w:t>k5,</w:t>
      </w:r>
      <w:r w:rsidR="001075A6">
        <w:rPr>
          <w:rFonts w:ascii="Times New Roman" w:hAnsi="Times New Roman" w:cs="Times New Roman"/>
          <w:sz w:val="24"/>
          <w:szCs w:val="24"/>
        </w:rPr>
        <w:t xml:space="preserve"> </w:t>
      </w:r>
      <w:r w:rsidR="009D5356" w:rsidRPr="002E402A">
        <w:rPr>
          <w:rFonts w:ascii="Times New Roman" w:hAnsi="Times New Roman" w:cs="Times New Roman"/>
          <w:sz w:val="24"/>
          <w:szCs w:val="24"/>
        </w:rPr>
        <w:t>k10,</w:t>
      </w:r>
      <w:r w:rsidR="001075A6">
        <w:rPr>
          <w:rFonts w:ascii="Times New Roman" w:hAnsi="Times New Roman" w:cs="Times New Roman"/>
          <w:sz w:val="24"/>
          <w:szCs w:val="24"/>
        </w:rPr>
        <w:t xml:space="preserve"> </w:t>
      </w:r>
      <w:r w:rsidR="009D5356" w:rsidRPr="002E402A">
        <w:rPr>
          <w:rFonts w:ascii="Times New Roman" w:hAnsi="Times New Roman" w:cs="Times New Roman"/>
          <w:sz w:val="24"/>
          <w:szCs w:val="24"/>
        </w:rPr>
        <w:t>k15,</w:t>
      </w:r>
      <w:r w:rsidR="001075A6">
        <w:rPr>
          <w:rFonts w:ascii="Times New Roman" w:hAnsi="Times New Roman" w:cs="Times New Roman"/>
          <w:sz w:val="24"/>
          <w:szCs w:val="24"/>
        </w:rPr>
        <w:t xml:space="preserve"> </w:t>
      </w:r>
      <w:r w:rsidR="009D5356" w:rsidRPr="002E402A">
        <w:rPr>
          <w:rFonts w:ascii="Times New Roman" w:hAnsi="Times New Roman" w:cs="Times New Roman"/>
          <w:sz w:val="24"/>
          <w:szCs w:val="24"/>
        </w:rPr>
        <w:t>k19,</w:t>
      </w:r>
      <w:r w:rsidR="001075A6">
        <w:rPr>
          <w:rFonts w:ascii="Times New Roman" w:hAnsi="Times New Roman" w:cs="Times New Roman"/>
          <w:sz w:val="24"/>
          <w:szCs w:val="24"/>
        </w:rPr>
        <w:t xml:space="preserve"> </w:t>
      </w:r>
      <w:r w:rsidR="009D5356" w:rsidRPr="002E402A">
        <w:rPr>
          <w:rFonts w:ascii="Times New Roman" w:hAnsi="Times New Roman" w:cs="Times New Roman"/>
          <w:sz w:val="24"/>
          <w:szCs w:val="24"/>
        </w:rPr>
        <w:t xml:space="preserve">k21 ve </w:t>
      </w:r>
      <w:r w:rsidR="00DA1288" w:rsidRPr="002E402A">
        <w:rPr>
          <w:rFonts w:ascii="Times New Roman" w:hAnsi="Times New Roman" w:cs="Times New Roman"/>
          <w:sz w:val="24"/>
          <w:szCs w:val="24"/>
        </w:rPr>
        <w:t xml:space="preserve">k30’dur. Bu kurumlar aynı zamanda </w:t>
      </w:r>
      <w:r w:rsidR="009F24E6" w:rsidRPr="002E402A">
        <w:rPr>
          <w:rFonts w:ascii="Times New Roman" w:hAnsi="Times New Roman" w:cs="Times New Roman"/>
          <w:sz w:val="24"/>
          <w:szCs w:val="24"/>
        </w:rPr>
        <w:t xml:space="preserve">yıl bazında VZA yöntemiyle etkin bulunan kurumlardır. </w:t>
      </w:r>
      <w:r w:rsidR="00842217" w:rsidRPr="002E402A">
        <w:rPr>
          <w:rFonts w:ascii="Times New Roman" w:hAnsi="Times New Roman" w:cs="Times New Roman"/>
          <w:sz w:val="24"/>
          <w:szCs w:val="24"/>
        </w:rPr>
        <w:t xml:space="preserve">Sadece 2009 ve 2013 yılları esas </w:t>
      </w:r>
      <w:r w:rsidR="00182229" w:rsidRPr="002E402A">
        <w:rPr>
          <w:rFonts w:ascii="Times New Roman" w:hAnsi="Times New Roman" w:cs="Times New Roman"/>
          <w:sz w:val="24"/>
          <w:szCs w:val="24"/>
        </w:rPr>
        <w:t>alınarak ölçümleme yapıldığında</w:t>
      </w:r>
      <w:r w:rsidR="00842217" w:rsidRPr="002E402A">
        <w:rPr>
          <w:rFonts w:ascii="Times New Roman" w:hAnsi="Times New Roman" w:cs="Times New Roman"/>
          <w:sz w:val="24"/>
          <w:szCs w:val="24"/>
        </w:rPr>
        <w:t xml:space="preserve"> ise</w:t>
      </w:r>
      <w:r w:rsidR="00182229" w:rsidRPr="002E402A">
        <w:rPr>
          <w:rFonts w:ascii="Times New Roman" w:hAnsi="Times New Roman" w:cs="Times New Roman"/>
          <w:sz w:val="24"/>
          <w:szCs w:val="24"/>
        </w:rPr>
        <w:t>,</w:t>
      </w:r>
      <w:r w:rsidR="00842217" w:rsidRPr="002E402A">
        <w:rPr>
          <w:rFonts w:ascii="Times New Roman" w:hAnsi="Times New Roman" w:cs="Times New Roman"/>
          <w:sz w:val="24"/>
          <w:szCs w:val="24"/>
        </w:rPr>
        <w:t xml:space="preserve"> bu kurumlara ilave olarak </w:t>
      </w:r>
      <w:r w:rsidR="00F91AA7" w:rsidRPr="002E402A">
        <w:rPr>
          <w:rFonts w:ascii="Times New Roman" w:hAnsi="Times New Roman" w:cs="Times New Roman"/>
          <w:sz w:val="24"/>
          <w:szCs w:val="24"/>
        </w:rPr>
        <w:t xml:space="preserve">k6 ve k27 de etkin bulunmaktadır. </w:t>
      </w:r>
    </w:p>
    <w:p w:rsidR="00FB13D5" w:rsidRPr="002E402A" w:rsidRDefault="00A26BDB" w:rsidP="000A7CD7">
      <w:pPr>
        <w:spacing w:line="240" w:lineRule="auto"/>
        <w:ind w:firstLine="567"/>
        <w:rPr>
          <w:rFonts w:ascii="Times New Roman" w:hAnsi="Times New Roman" w:cs="Times New Roman"/>
          <w:sz w:val="24"/>
          <w:szCs w:val="24"/>
        </w:rPr>
      </w:pPr>
      <w:r w:rsidRPr="002E402A">
        <w:rPr>
          <w:rFonts w:ascii="Times New Roman" w:hAnsi="Times New Roman" w:cs="Times New Roman"/>
          <w:sz w:val="24"/>
          <w:szCs w:val="24"/>
        </w:rPr>
        <w:t>(</w:t>
      </w:r>
      <w:r w:rsidR="00C44980" w:rsidRPr="002E402A">
        <w:rPr>
          <w:rFonts w:ascii="Times New Roman" w:hAnsi="Times New Roman" w:cs="Times New Roman"/>
          <w:sz w:val="24"/>
          <w:szCs w:val="24"/>
        </w:rPr>
        <w:t xml:space="preserve">Verimlilik </w:t>
      </w:r>
      <w:r w:rsidR="00471BCE" w:rsidRPr="002E402A">
        <w:rPr>
          <w:rFonts w:ascii="Times New Roman" w:hAnsi="Times New Roman" w:cs="Times New Roman"/>
          <w:sz w:val="24"/>
          <w:szCs w:val="24"/>
        </w:rPr>
        <w:t>Artışı=</w:t>
      </w:r>
      <w:r w:rsidR="002269E5">
        <w:rPr>
          <w:rFonts w:ascii="Times New Roman" w:hAnsi="Times New Roman" w:cs="Times New Roman"/>
          <w:sz w:val="24"/>
          <w:szCs w:val="24"/>
        </w:rPr>
        <w:t xml:space="preserve"> </w:t>
      </w:r>
      <w:r w:rsidR="00471BCE" w:rsidRPr="002E402A">
        <w:rPr>
          <w:rFonts w:ascii="Times New Roman" w:hAnsi="Times New Roman" w:cs="Times New Roman"/>
          <w:sz w:val="24"/>
          <w:szCs w:val="24"/>
        </w:rPr>
        <w:t xml:space="preserve">Teknik Etkinlik Değişimi </w:t>
      </w:r>
      <w:r w:rsidR="002269E5">
        <w:rPr>
          <w:rFonts w:ascii="Times New Roman" w:hAnsi="Times New Roman" w:cs="Times New Roman"/>
          <w:sz w:val="24"/>
          <w:szCs w:val="24"/>
        </w:rPr>
        <w:t>x</w:t>
      </w:r>
      <w:r w:rsidR="00471BCE" w:rsidRPr="002E402A">
        <w:rPr>
          <w:rFonts w:ascii="Times New Roman" w:hAnsi="Times New Roman" w:cs="Times New Roman"/>
          <w:sz w:val="24"/>
          <w:szCs w:val="24"/>
        </w:rPr>
        <w:t xml:space="preserve"> </w:t>
      </w:r>
      <w:r w:rsidR="00816372" w:rsidRPr="002E402A">
        <w:rPr>
          <w:rFonts w:ascii="Times New Roman" w:hAnsi="Times New Roman" w:cs="Times New Roman"/>
          <w:sz w:val="24"/>
          <w:szCs w:val="24"/>
        </w:rPr>
        <w:t>Teknik Değişim</w:t>
      </w:r>
      <w:r w:rsidRPr="002E402A">
        <w:rPr>
          <w:rFonts w:ascii="Times New Roman" w:hAnsi="Times New Roman" w:cs="Times New Roman"/>
          <w:sz w:val="24"/>
          <w:szCs w:val="24"/>
        </w:rPr>
        <w:t>)’</w:t>
      </w:r>
      <w:r w:rsidR="00816372" w:rsidRPr="002E402A">
        <w:rPr>
          <w:rFonts w:ascii="Times New Roman" w:hAnsi="Times New Roman" w:cs="Times New Roman"/>
          <w:sz w:val="24"/>
          <w:szCs w:val="24"/>
        </w:rPr>
        <w:t xml:space="preserve">dir. </w:t>
      </w:r>
      <w:r w:rsidR="004A3081" w:rsidRPr="002E402A">
        <w:rPr>
          <w:rFonts w:ascii="Times New Roman" w:hAnsi="Times New Roman" w:cs="Times New Roman"/>
          <w:sz w:val="24"/>
          <w:szCs w:val="24"/>
        </w:rPr>
        <w:t xml:space="preserve">Teknik etkinlikte değişmeyle teknolojik değişmenin çarpımı toplam faktör verimliliğinde değişmeyi verir. </w:t>
      </w:r>
      <w:r w:rsidR="00816372" w:rsidRPr="002E402A">
        <w:rPr>
          <w:rFonts w:ascii="Times New Roman" w:hAnsi="Times New Roman" w:cs="Times New Roman"/>
          <w:sz w:val="24"/>
          <w:szCs w:val="24"/>
        </w:rPr>
        <w:t xml:space="preserve">Verimlilik artışı, teknik etkinlikteki değişikliklerin net sonucu olup üretim sınırındaki kaymadır. </w:t>
      </w:r>
      <w:r w:rsidR="004A3081" w:rsidRPr="002E402A">
        <w:rPr>
          <w:rFonts w:ascii="Times New Roman" w:hAnsi="Times New Roman" w:cs="Times New Roman"/>
          <w:sz w:val="24"/>
          <w:szCs w:val="24"/>
        </w:rPr>
        <w:t xml:space="preserve">Toplam faktör verimliliği </w:t>
      </w:r>
      <w:r w:rsidR="001075A6">
        <w:rPr>
          <w:rFonts w:ascii="Times New Roman" w:hAnsi="Times New Roman" w:cs="Times New Roman"/>
          <w:sz w:val="24"/>
          <w:szCs w:val="24"/>
        </w:rPr>
        <w:t>en</w:t>
      </w:r>
      <w:r w:rsidR="004A3081" w:rsidRPr="002E402A">
        <w:rPr>
          <w:rFonts w:ascii="Times New Roman" w:hAnsi="Times New Roman" w:cs="Times New Roman"/>
          <w:sz w:val="24"/>
          <w:szCs w:val="24"/>
        </w:rPr>
        <w:t>deksinin 1’den büyük olması, toplam faktör verimliliğinin t döneminden t+1 dönemine arttığını,</w:t>
      </w:r>
      <w:r w:rsidR="00D52639" w:rsidRPr="002E402A">
        <w:rPr>
          <w:rFonts w:ascii="Times New Roman" w:hAnsi="Times New Roman" w:cs="Times New Roman"/>
          <w:sz w:val="24"/>
          <w:szCs w:val="24"/>
        </w:rPr>
        <w:t xml:space="preserve"> teknik etkinlikteki ve teknolojideki ilerlemeyi ifade ederken;</w:t>
      </w:r>
      <w:r w:rsidR="004A3081" w:rsidRPr="002E402A">
        <w:rPr>
          <w:rFonts w:ascii="Times New Roman" w:hAnsi="Times New Roman" w:cs="Times New Roman"/>
          <w:sz w:val="24"/>
          <w:szCs w:val="24"/>
        </w:rPr>
        <w:t xml:space="preserve"> 1’den küçük olması ise t döneminden t+1 dönemine </w:t>
      </w:r>
      <w:r w:rsidR="00D52639" w:rsidRPr="002E402A">
        <w:rPr>
          <w:rFonts w:ascii="Times New Roman" w:hAnsi="Times New Roman" w:cs="Times New Roman"/>
          <w:sz w:val="24"/>
          <w:szCs w:val="24"/>
        </w:rPr>
        <w:t xml:space="preserve">bu değerlerin </w:t>
      </w:r>
      <w:r w:rsidR="004A3081" w:rsidRPr="002E402A">
        <w:rPr>
          <w:rFonts w:ascii="Times New Roman" w:hAnsi="Times New Roman" w:cs="Times New Roman"/>
          <w:sz w:val="24"/>
          <w:szCs w:val="24"/>
        </w:rPr>
        <w:t xml:space="preserve">azaldığını göstermektedir. </w:t>
      </w:r>
      <w:r w:rsidR="00FB13D5" w:rsidRPr="002E402A">
        <w:rPr>
          <w:rFonts w:ascii="Times New Roman" w:hAnsi="Times New Roman" w:cs="Times New Roman"/>
          <w:sz w:val="24"/>
          <w:szCs w:val="24"/>
        </w:rPr>
        <w:t>Etkinlikteki değişme endeksinin 1’den büyük olması işletmenin en iyi üretim sınırını yakalama (catching-up effect) etkisini ve teknolojik değişme endeksinin 1'den büyük olması üretim sınırının yu</w:t>
      </w:r>
      <w:r w:rsidR="002617ED"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FB13D5" w:rsidRPr="002E402A">
        <w:rPr>
          <w:rFonts w:ascii="Times New Roman" w:hAnsi="Times New Roman" w:cs="Times New Roman"/>
          <w:sz w:val="24"/>
          <w:szCs w:val="24"/>
        </w:rPr>
        <w:t xml:space="preserve">ı </w:t>
      </w:r>
      <w:r w:rsidR="00FB13D5" w:rsidRPr="002E402A">
        <w:rPr>
          <w:rFonts w:ascii="Times New Roman" w:hAnsi="Times New Roman" w:cs="Times New Roman"/>
          <w:sz w:val="24"/>
          <w:szCs w:val="24"/>
        </w:rPr>
        <w:lastRenderedPageBreak/>
        <w:t xml:space="preserve">kayması veya yeniliği ifade etmektedir. </w:t>
      </w:r>
      <w:r w:rsidR="00B852EC" w:rsidRPr="002E402A">
        <w:rPr>
          <w:rFonts w:ascii="Times New Roman" w:hAnsi="Times New Roman" w:cs="Times New Roman"/>
          <w:sz w:val="24"/>
          <w:szCs w:val="24"/>
        </w:rPr>
        <w:t>Ölçek etkinliği ise, işletmenin uygun ölçekte ü</w:t>
      </w:r>
      <w:r w:rsidR="002617ED" w:rsidRPr="002E402A">
        <w:rPr>
          <w:rFonts w:ascii="Times New Roman" w:hAnsi="Times New Roman" w:cs="Times New Roman"/>
          <w:sz w:val="24"/>
          <w:szCs w:val="24"/>
        </w:rPr>
        <w:t>retim yapma başarısını gösterir</w:t>
      </w:r>
      <w:r w:rsidR="005C64CE" w:rsidRPr="002E402A">
        <w:rPr>
          <w:rFonts w:ascii="Times New Roman" w:hAnsi="Times New Roman" w:cs="Times New Roman"/>
          <w:sz w:val="24"/>
          <w:szCs w:val="24"/>
        </w:rPr>
        <w:t xml:space="preserve"> </w:t>
      </w:r>
      <w:r w:rsidR="007C06E8">
        <w:rPr>
          <w:rFonts w:ascii="Times New Roman" w:hAnsi="Times New Roman" w:cs="Times New Roman"/>
          <w:sz w:val="24"/>
          <w:szCs w:val="24"/>
        </w:rPr>
        <w:t>(Başkaya, 2011:</w:t>
      </w:r>
      <w:r w:rsidR="00981CA7" w:rsidRPr="002E402A">
        <w:rPr>
          <w:rFonts w:ascii="Times New Roman" w:hAnsi="Times New Roman" w:cs="Times New Roman"/>
          <w:sz w:val="24"/>
          <w:szCs w:val="24"/>
        </w:rPr>
        <w:t xml:space="preserve"> 51-55)</w:t>
      </w:r>
      <w:r w:rsidR="009165A1" w:rsidRPr="002E402A">
        <w:rPr>
          <w:rFonts w:ascii="Times New Roman" w:hAnsi="Times New Roman" w:cs="Times New Roman"/>
          <w:sz w:val="24"/>
          <w:szCs w:val="24"/>
        </w:rPr>
        <w:t>.</w:t>
      </w:r>
    </w:p>
    <w:p w:rsidR="009D5356" w:rsidRPr="002E402A" w:rsidRDefault="00816372" w:rsidP="007F7294">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Buna göre, ölçeğe göre sabit getiri ölçümü yapıldığında, </w:t>
      </w:r>
      <w:r w:rsidR="00265B37" w:rsidRPr="002E402A">
        <w:rPr>
          <w:rFonts w:ascii="Times New Roman" w:hAnsi="Times New Roman" w:cs="Times New Roman"/>
          <w:sz w:val="24"/>
          <w:szCs w:val="24"/>
        </w:rPr>
        <w:t xml:space="preserve">etkin olarak belirlenen k4 ve </w:t>
      </w:r>
      <w:r w:rsidR="005F5824" w:rsidRPr="002E402A">
        <w:rPr>
          <w:rFonts w:ascii="Times New Roman" w:hAnsi="Times New Roman" w:cs="Times New Roman"/>
          <w:sz w:val="24"/>
          <w:szCs w:val="24"/>
        </w:rPr>
        <w:t xml:space="preserve">k21 haricinde yıldan yıla 1 değerine çok yakın oranlar ile 2009-2013 yılları döneminde </w:t>
      </w:r>
      <w:r w:rsidR="00F727C2" w:rsidRPr="002E402A">
        <w:rPr>
          <w:rFonts w:ascii="Times New Roman" w:hAnsi="Times New Roman" w:cs="Times New Roman"/>
          <w:sz w:val="24"/>
          <w:szCs w:val="24"/>
        </w:rPr>
        <w:t>5</w:t>
      </w:r>
      <w:r w:rsidR="00053D78" w:rsidRPr="002E402A">
        <w:rPr>
          <w:rFonts w:ascii="Times New Roman" w:hAnsi="Times New Roman" w:cs="Times New Roman"/>
          <w:sz w:val="24"/>
          <w:szCs w:val="24"/>
        </w:rPr>
        <w:t xml:space="preserve"> aracı kurum</w:t>
      </w:r>
      <w:r w:rsidR="005F5824" w:rsidRPr="002E402A">
        <w:rPr>
          <w:rFonts w:ascii="Times New Roman" w:hAnsi="Times New Roman" w:cs="Times New Roman"/>
          <w:sz w:val="24"/>
          <w:szCs w:val="24"/>
        </w:rPr>
        <w:t xml:space="preserve">da toplam faktör verimliliğinde artış olduğu belirlenmiştir. </w:t>
      </w:r>
      <w:r w:rsidR="00E41F40" w:rsidRPr="002E402A">
        <w:rPr>
          <w:rFonts w:ascii="Times New Roman" w:hAnsi="Times New Roman" w:cs="Times New Roman"/>
          <w:sz w:val="24"/>
          <w:szCs w:val="24"/>
        </w:rPr>
        <w:t xml:space="preserve">2009 yılından 2013 yılına toplam faktör verimliliği ölçümlemesine konu olan aracı kurumlarda, belirttiğimiz 5 kuruma ilave olarak 2009 yılına göre </w:t>
      </w:r>
      <w:r w:rsidR="002617ED" w:rsidRPr="002E402A">
        <w:rPr>
          <w:rFonts w:ascii="Times New Roman" w:hAnsi="Times New Roman" w:cs="Times New Roman"/>
          <w:sz w:val="24"/>
          <w:szCs w:val="24"/>
        </w:rPr>
        <w:t xml:space="preserve">5 </w:t>
      </w:r>
      <w:r w:rsidR="00053D78" w:rsidRPr="002E402A">
        <w:rPr>
          <w:rFonts w:ascii="Times New Roman" w:hAnsi="Times New Roman" w:cs="Times New Roman"/>
          <w:sz w:val="24"/>
          <w:szCs w:val="24"/>
        </w:rPr>
        <w:t>adet aracı kurum</w:t>
      </w:r>
      <w:r w:rsidR="00E41F40" w:rsidRPr="002E402A">
        <w:rPr>
          <w:rFonts w:ascii="Times New Roman" w:hAnsi="Times New Roman" w:cs="Times New Roman"/>
          <w:sz w:val="24"/>
          <w:szCs w:val="24"/>
        </w:rPr>
        <w:t>da 2013 yılında toplam faktör verimliliğinde artış görülmüştür.</w:t>
      </w:r>
      <w:r w:rsidR="004F78FA" w:rsidRPr="002E402A">
        <w:rPr>
          <w:rFonts w:ascii="Times New Roman" w:hAnsi="Times New Roman" w:cs="Times New Roman"/>
          <w:sz w:val="24"/>
          <w:szCs w:val="24"/>
        </w:rPr>
        <w:t xml:space="preserve"> </w:t>
      </w:r>
      <w:r w:rsidR="006D10A0" w:rsidRPr="002E402A">
        <w:rPr>
          <w:rFonts w:ascii="Times New Roman" w:hAnsi="Times New Roman" w:cs="Times New Roman"/>
          <w:sz w:val="24"/>
          <w:szCs w:val="24"/>
        </w:rPr>
        <w:t xml:space="preserve">İşletmelerin bireysel olarak toplam faktör verimliliği değerleri </w:t>
      </w:r>
      <w:r w:rsidR="00053D78" w:rsidRPr="002E402A">
        <w:rPr>
          <w:rFonts w:ascii="Times New Roman" w:hAnsi="Times New Roman" w:cs="Times New Roman"/>
          <w:sz w:val="24"/>
          <w:szCs w:val="24"/>
        </w:rPr>
        <w:t>incelendiğinde</w:t>
      </w:r>
      <w:r w:rsidR="00C37F6A" w:rsidRPr="002E402A">
        <w:rPr>
          <w:rFonts w:ascii="Times New Roman" w:hAnsi="Times New Roman" w:cs="Times New Roman"/>
          <w:sz w:val="24"/>
          <w:szCs w:val="24"/>
        </w:rPr>
        <w:t>,</w:t>
      </w:r>
      <w:r w:rsidR="00053D78" w:rsidRPr="002E402A">
        <w:rPr>
          <w:rFonts w:ascii="Times New Roman" w:hAnsi="Times New Roman" w:cs="Times New Roman"/>
          <w:sz w:val="24"/>
          <w:szCs w:val="24"/>
        </w:rPr>
        <w:t xml:space="preserve"> 2009 yılın</w:t>
      </w:r>
      <w:r w:rsidR="006D10A0" w:rsidRPr="002E402A">
        <w:rPr>
          <w:rFonts w:ascii="Times New Roman" w:hAnsi="Times New Roman" w:cs="Times New Roman"/>
          <w:sz w:val="24"/>
          <w:szCs w:val="24"/>
        </w:rPr>
        <w:t xml:space="preserve">a göre 2013 yılında </w:t>
      </w:r>
      <w:r w:rsidR="002617ED" w:rsidRPr="002E402A">
        <w:rPr>
          <w:rFonts w:ascii="Times New Roman" w:hAnsi="Times New Roman" w:cs="Times New Roman"/>
          <w:sz w:val="24"/>
          <w:szCs w:val="24"/>
        </w:rPr>
        <w:t xml:space="preserve">verimliliği 1’den büyük olan 10 </w:t>
      </w:r>
      <w:r w:rsidR="006D10A0" w:rsidRPr="002E402A">
        <w:rPr>
          <w:rFonts w:ascii="Times New Roman" w:hAnsi="Times New Roman" w:cs="Times New Roman"/>
          <w:sz w:val="24"/>
          <w:szCs w:val="24"/>
        </w:rPr>
        <w:t xml:space="preserve">adet kurum vardır. </w:t>
      </w:r>
      <w:r w:rsidR="003C4090" w:rsidRPr="002E402A">
        <w:rPr>
          <w:rFonts w:ascii="Times New Roman" w:hAnsi="Times New Roman" w:cs="Times New Roman"/>
          <w:sz w:val="24"/>
          <w:szCs w:val="24"/>
        </w:rPr>
        <w:t xml:space="preserve">Bu kurumların </w:t>
      </w:r>
      <w:r w:rsidR="00924279" w:rsidRPr="002E402A">
        <w:rPr>
          <w:rFonts w:ascii="Times New Roman" w:hAnsi="Times New Roman" w:cs="Times New Roman"/>
          <w:sz w:val="24"/>
          <w:szCs w:val="24"/>
        </w:rPr>
        <w:t>%</w:t>
      </w:r>
      <w:r w:rsidR="007F7294">
        <w:rPr>
          <w:rFonts w:ascii="Times New Roman" w:hAnsi="Times New Roman" w:cs="Times New Roman"/>
          <w:sz w:val="24"/>
          <w:szCs w:val="24"/>
        </w:rPr>
        <w:t xml:space="preserve"> </w:t>
      </w:r>
      <w:r w:rsidR="00924279" w:rsidRPr="002E402A">
        <w:rPr>
          <w:rFonts w:ascii="Times New Roman" w:hAnsi="Times New Roman" w:cs="Times New Roman"/>
          <w:sz w:val="24"/>
          <w:szCs w:val="24"/>
        </w:rPr>
        <w:t>80’i banka kökenli kurumlardır.</w:t>
      </w:r>
      <w:r w:rsidR="003C4090" w:rsidRPr="002E402A">
        <w:rPr>
          <w:rFonts w:ascii="Times New Roman" w:hAnsi="Times New Roman" w:cs="Times New Roman"/>
          <w:sz w:val="24"/>
          <w:szCs w:val="24"/>
        </w:rPr>
        <w:t xml:space="preserve"> </w:t>
      </w:r>
      <w:r w:rsidR="006D10A0" w:rsidRPr="002E402A">
        <w:rPr>
          <w:rFonts w:ascii="Times New Roman" w:hAnsi="Times New Roman" w:cs="Times New Roman"/>
          <w:sz w:val="24"/>
          <w:szCs w:val="24"/>
        </w:rPr>
        <w:t>Faktör verimliliğinde</w:t>
      </w:r>
      <w:r w:rsidR="00627D28" w:rsidRPr="002E402A">
        <w:rPr>
          <w:rFonts w:ascii="Times New Roman" w:hAnsi="Times New Roman" w:cs="Times New Roman"/>
          <w:sz w:val="24"/>
          <w:szCs w:val="24"/>
        </w:rPr>
        <w:t xml:space="preserve"> verimsiz bulunan</w:t>
      </w:r>
      <w:r w:rsidR="006D10A0" w:rsidRPr="002E402A">
        <w:rPr>
          <w:rFonts w:ascii="Times New Roman" w:hAnsi="Times New Roman" w:cs="Times New Roman"/>
          <w:sz w:val="24"/>
          <w:szCs w:val="24"/>
        </w:rPr>
        <w:t xml:space="preserve"> son</w:t>
      </w:r>
      <w:r w:rsidR="00627D28" w:rsidRPr="002E402A">
        <w:rPr>
          <w:rFonts w:ascii="Times New Roman" w:hAnsi="Times New Roman" w:cs="Times New Roman"/>
          <w:sz w:val="24"/>
          <w:szCs w:val="24"/>
        </w:rPr>
        <w:t xml:space="preserve"> sıradaki</w:t>
      </w:r>
      <w:r w:rsidR="002617ED" w:rsidRPr="002E402A">
        <w:rPr>
          <w:rFonts w:ascii="Times New Roman" w:hAnsi="Times New Roman" w:cs="Times New Roman"/>
          <w:sz w:val="24"/>
          <w:szCs w:val="24"/>
        </w:rPr>
        <w:t xml:space="preserve"> 10 </w:t>
      </w:r>
      <w:r w:rsidR="000A65CF" w:rsidRPr="002E402A">
        <w:rPr>
          <w:rFonts w:ascii="Times New Roman" w:hAnsi="Times New Roman" w:cs="Times New Roman"/>
          <w:sz w:val="24"/>
          <w:szCs w:val="24"/>
        </w:rPr>
        <w:t>adet kurumun</w:t>
      </w:r>
      <w:r w:rsidR="006D10A0" w:rsidRPr="002E402A">
        <w:rPr>
          <w:rFonts w:ascii="Times New Roman" w:hAnsi="Times New Roman" w:cs="Times New Roman"/>
          <w:sz w:val="24"/>
          <w:szCs w:val="24"/>
        </w:rPr>
        <w:t xml:space="preserve"> </w:t>
      </w:r>
      <w:r w:rsidR="00924279" w:rsidRPr="002E402A">
        <w:rPr>
          <w:rFonts w:ascii="Times New Roman" w:hAnsi="Times New Roman" w:cs="Times New Roman"/>
          <w:sz w:val="24"/>
          <w:szCs w:val="24"/>
        </w:rPr>
        <w:t>%</w:t>
      </w:r>
      <w:r w:rsidR="007F7294">
        <w:rPr>
          <w:rFonts w:ascii="Times New Roman" w:hAnsi="Times New Roman" w:cs="Times New Roman"/>
          <w:sz w:val="24"/>
          <w:szCs w:val="24"/>
        </w:rPr>
        <w:t xml:space="preserve"> </w:t>
      </w:r>
      <w:r w:rsidR="00924279" w:rsidRPr="002E402A">
        <w:rPr>
          <w:rFonts w:ascii="Times New Roman" w:hAnsi="Times New Roman" w:cs="Times New Roman"/>
          <w:sz w:val="24"/>
          <w:szCs w:val="24"/>
        </w:rPr>
        <w:t xml:space="preserve">30’u banka kökenlidir. </w:t>
      </w:r>
    </w:p>
    <w:p w:rsidR="00F0342C" w:rsidRPr="002E402A" w:rsidRDefault="005879AE" w:rsidP="005E02B3">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Aracı kurumlarda toplam faktör verimliliği açısından sektör ortalamasına </w:t>
      </w:r>
      <w:r w:rsidR="00C2449E" w:rsidRPr="002E402A">
        <w:rPr>
          <w:rFonts w:ascii="Times New Roman" w:hAnsi="Times New Roman" w:cs="Times New Roman"/>
          <w:sz w:val="24"/>
          <w:szCs w:val="24"/>
        </w:rPr>
        <w:t xml:space="preserve">detaylı olarak </w:t>
      </w:r>
      <w:r w:rsidRPr="002E402A">
        <w:rPr>
          <w:rFonts w:ascii="Times New Roman" w:hAnsi="Times New Roman" w:cs="Times New Roman"/>
          <w:sz w:val="24"/>
          <w:szCs w:val="24"/>
        </w:rPr>
        <w:t xml:space="preserve">bakıldığında, teknik etkinlikte 2011 ve 2013 yıllarında bir önceki yıllara göre 1’in üzerinde kalınarak teknik etkinlikte artış yaşanmış ve 2013 yılında 2009 </w:t>
      </w:r>
      <w:r w:rsidR="00E012BF" w:rsidRPr="002E402A">
        <w:rPr>
          <w:rFonts w:ascii="Times New Roman" w:hAnsi="Times New Roman" w:cs="Times New Roman"/>
          <w:sz w:val="24"/>
          <w:szCs w:val="24"/>
        </w:rPr>
        <w:t>yılın</w:t>
      </w:r>
      <w:r w:rsidRPr="002E402A">
        <w:rPr>
          <w:rFonts w:ascii="Times New Roman" w:hAnsi="Times New Roman" w:cs="Times New Roman"/>
          <w:sz w:val="24"/>
          <w:szCs w:val="24"/>
        </w:rPr>
        <w:t xml:space="preserve">a göre teknik etkinlikte 0.93 değeri 1’in altında kalınarak sektör ortalamasında etkinlik sağlanamadığı görülmüştür. </w:t>
      </w:r>
      <w:r w:rsidR="00440879" w:rsidRPr="002E402A">
        <w:rPr>
          <w:rFonts w:ascii="Times New Roman" w:hAnsi="Times New Roman" w:cs="Times New Roman"/>
          <w:sz w:val="24"/>
          <w:szCs w:val="24"/>
        </w:rPr>
        <w:t xml:space="preserve">Etkinlik sağlanamaması nedenini </w:t>
      </w:r>
      <w:r w:rsidR="003C01CA" w:rsidRPr="002E402A">
        <w:rPr>
          <w:rFonts w:ascii="Times New Roman" w:hAnsi="Times New Roman" w:cs="Times New Roman"/>
          <w:sz w:val="24"/>
          <w:szCs w:val="24"/>
        </w:rPr>
        <w:t>belirleyebil</w:t>
      </w:r>
      <w:r w:rsidR="00440879" w:rsidRPr="002E402A">
        <w:rPr>
          <w:rFonts w:ascii="Times New Roman" w:hAnsi="Times New Roman" w:cs="Times New Roman"/>
          <w:sz w:val="24"/>
          <w:szCs w:val="24"/>
        </w:rPr>
        <w:t xml:space="preserve">mek için teknik etkinlik değişimi parçaları olan saf teknik etkinlik değişimi oranları ve ölçek etkinlik değişim oranları incelendiğinde, </w:t>
      </w:r>
      <w:r w:rsidR="007B7D24" w:rsidRPr="002E402A">
        <w:rPr>
          <w:rFonts w:ascii="Times New Roman" w:hAnsi="Times New Roman" w:cs="Times New Roman"/>
          <w:sz w:val="24"/>
          <w:szCs w:val="24"/>
        </w:rPr>
        <w:t>2010,</w:t>
      </w:r>
      <w:r w:rsidR="005E02B3">
        <w:rPr>
          <w:rFonts w:ascii="Times New Roman" w:hAnsi="Times New Roman" w:cs="Times New Roman"/>
          <w:sz w:val="24"/>
          <w:szCs w:val="24"/>
        </w:rPr>
        <w:t xml:space="preserve"> </w:t>
      </w:r>
      <w:r w:rsidR="007B7D24" w:rsidRPr="002E402A">
        <w:rPr>
          <w:rFonts w:ascii="Times New Roman" w:hAnsi="Times New Roman" w:cs="Times New Roman"/>
          <w:sz w:val="24"/>
          <w:szCs w:val="24"/>
        </w:rPr>
        <w:t>2011 ve 2013 yıllarında bir önceki yıllara göre saf teknik etkinlik değişim oranlarında 1’in üzerinde kalınarak etkin olunmuş, ancak ölçek etkinliğine bakıldığında 2011 ve 2013 yıllarında etkin olunmuştur. 2013 yılında 2009 yılına göre göre saf teknik etkinlik değişim oran</w:t>
      </w:r>
      <w:r w:rsidR="0002293F" w:rsidRPr="002E402A">
        <w:rPr>
          <w:rFonts w:ascii="Times New Roman" w:hAnsi="Times New Roman" w:cs="Times New Roman"/>
          <w:sz w:val="24"/>
          <w:szCs w:val="24"/>
        </w:rPr>
        <w:t>ı</w:t>
      </w:r>
      <w:r w:rsidR="007B7D24" w:rsidRPr="002E402A">
        <w:rPr>
          <w:rFonts w:ascii="Times New Roman" w:hAnsi="Times New Roman" w:cs="Times New Roman"/>
          <w:sz w:val="24"/>
          <w:szCs w:val="24"/>
        </w:rPr>
        <w:t xml:space="preserve"> 0.97 ve ölçek etkinliği oranı 0.96 değeri ile 1’in altında kalınarak </w:t>
      </w:r>
      <w:r w:rsidR="00825BED" w:rsidRPr="002E402A">
        <w:rPr>
          <w:rFonts w:ascii="Times New Roman" w:hAnsi="Times New Roman" w:cs="Times New Roman"/>
          <w:sz w:val="24"/>
          <w:szCs w:val="24"/>
        </w:rPr>
        <w:t>ortalamada ölçek etkin</w:t>
      </w:r>
      <w:r w:rsidR="007C2C9A" w:rsidRPr="002E402A">
        <w:rPr>
          <w:rFonts w:ascii="Times New Roman" w:hAnsi="Times New Roman" w:cs="Times New Roman"/>
          <w:sz w:val="24"/>
          <w:szCs w:val="24"/>
        </w:rPr>
        <w:t>liği</w:t>
      </w:r>
      <w:r w:rsidR="00A44EE4" w:rsidRPr="002E402A">
        <w:rPr>
          <w:rFonts w:ascii="Times New Roman" w:hAnsi="Times New Roman" w:cs="Times New Roman"/>
          <w:sz w:val="24"/>
          <w:szCs w:val="24"/>
        </w:rPr>
        <w:t>nin</w:t>
      </w:r>
      <w:r w:rsidR="007C2C9A" w:rsidRPr="002E402A">
        <w:rPr>
          <w:rFonts w:ascii="Times New Roman" w:hAnsi="Times New Roman" w:cs="Times New Roman"/>
          <w:sz w:val="24"/>
          <w:szCs w:val="24"/>
        </w:rPr>
        <w:t xml:space="preserve"> </w:t>
      </w:r>
      <w:r w:rsidR="00551566" w:rsidRPr="002E402A">
        <w:rPr>
          <w:rFonts w:ascii="Times New Roman" w:hAnsi="Times New Roman" w:cs="Times New Roman"/>
          <w:sz w:val="24"/>
          <w:szCs w:val="24"/>
        </w:rPr>
        <w:t xml:space="preserve">tam sağlanamadığı </w:t>
      </w:r>
      <w:r w:rsidR="007C2C9A" w:rsidRPr="002E402A">
        <w:rPr>
          <w:rFonts w:ascii="Times New Roman" w:hAnsi="Times New Roman" w:cs="Times New Roman"/>
          <w:sz w:val="24"/>
          <w:szCs w:val="24"/>
        </w:rPr>
        <w:t>görülmüştür</w:t>
      </w:r>
      <w:r w:rsidR="007B7D24" w:rsidRPr="002E402A">
        <w:rPr>
          <w:rFonts w:ascii="Times New Roman" w:hAnsi="Times New Roman" w:cs="Times New Roman"/>
          <w:sz w:val="24"/>
          <w:szCs w:val="24"/>
        </w:rPr>
        <w:t xml:space="preserve">. </w:t>
      </w:r>
      <w:r w:rsidR="00CD6791" w:rsidRPr="002E402A">
        <w:rPr>
          <w:rFonts w:ascii="Times New Roman" w:hAnsi="Times New Roman" w:cs="Times New Roman"/>
          <w:sz w:val="24"/>
          <w:szCs w:val="24"/>
        </w:rPr>
        <w:t>Teknoloji değişim oranları incelendiğinde</w:t>
      </w:r>
      <w:r w:rsidR="0070206A" w:rsidRPr="002E402A">
        <w:rPr>
          <w:rFonts w:ascii="Times New Roman" w:hAnsi="Times New Roman" w:cs="Times New Roman"/>
          <w:sz w:val="24"/>
          <w:szCs w:val="24"/>
        </w:rPr>
        <w:t>,</w:t>
      </w:r>
      <w:r w:rsidR="00CD6791" w:rsidRPr="002E402A">
        <w:rPr>
          <w:rFonts w:ascii="Times New Roman" w:hAnsi="Times New Roman" w:cs="Times New Roman"/>
          <w:sz w:val="24"/>
          <w:szCs w:val="24"/>
        </w:rPr>
        <w:t xml:space="preserve"> sadece 2010 yılında 2009</w:t>
      </w:r>
      <w:r w:rsidR="00E012BF" w:rsidRPr="002E402A">
        <w:rPr>
          <w:rFonts w:ascii="Times New Roman" w:hAnsi="Times New Roman" w:cs="Times New Roman"/>
          <w:sz w:val="24"/>
          <w:szCs w:val="24"/>
        </w:rPr>
        <w:t xml:space="preserve"> yılın</w:t>
      </w:r>
      <w:r w:rsidR="00CD6791" w:rsidRPr="002E402A">
        <w:rPr>
          <w:rFonts w:ascii="Times New Roman" w:hAnsi="Times New Roman" w:cs="Times New Roman"/>
          <w:sz w:val="24"/>
          <w:szCs w:val="24"/>
        </w:rPr>
        <w:t xml:space="preserve">a göre 1’in üzerinde kalınarak etkin olunduğu diğer yıllarda bir önceki yıla göre göreli etkinlik yaşanmadığı görülmüştür. </w:t>
      </w:r>
      <w:r w:rsidR="00E854E4" w:rsidRPr="002E402A">
        <w:rPr>
          <w:rFonts w:ascii="Times New Roman" w:hAnsi="Times New Roman" w:cs="Times New Roman"/>
          <w:sz w:val="24"/>
          <w:szCs w:val="24"/>
        </w:rPr>
        <w:t>Toplam faktör verimliliğinde sektör ortalamalarına yıllar itibariyle bakıldığında, saf teknik etkinlik değişimine paralel olarak 2010, 2011 ve 2013 yıllarında bir önceki yıllara göre 1’in üzerinde kalınarak etki</w:t>
      </w:r>
      <w:r w:rsidR="001715CE" w:rsidRPr="002E402A">
        <w:rPr>
          <w:rFonts w:ascii="Times New Roman" w:hAnsi="Times New Roman" w:cs="Times New Roman"/>
          <w:sz w:val="24"/>
          <w:szCs w:val="24"/>
        </w:rPr>
        <w:t>n olunmuştur. Ancak, 2009 yılın</w:t>
      </w:r>
      <w:r w:rsidR="00E854E4" w:rsidRPr="002E402A">
        <w:rPr>
          <w:rFonts w:ascii="Times New Roman" w:hAnsi="Times New Roman" w:cs="Times New Roman"/>
          <w:sz w:val="24"/>
          <w:szCs w:val="24"/>
        </w:rPr>
        <w:t xml:space="preserve">a göre 2013 yılında sektör </w:t>
      </w:r>
      <w:r w:rsidR="005E02B3">
        <w:rPr>
          <w:rFonts w:ascii="Times New Roman" w:hAnsi="Times New Roman" w:cs="Times New Roman"/>
          <w:sz w:val="24"/>
          <w:szCs w:val="24"/>
        </w:rPr>
        <w:t>ortalamasında etkinlik oranı 0,</w:t>
      </w:r>
      <w:r w:rsidR="00E854E4" w:rsidRPr="002E402A">
        <w:rPr>
          <w:rFonts w:ascii="Times New Roman" w:hAnsi="Times New Roman" w:cs="Times New Roman"/>
          <w:sz w:val="24"/>
          <w:szCs w:val="24"/>
        </w:rPr>
        <w:t>85 olup 1’in altında kalarak sektör ortalamasında malmquist toplam faktör verimliliğinde etkin olun</w:t>
      </w:r>
      <w:r w:rsidR="000C4787" w:rsidRPr="002E402A">
        <w:rPr>
          <w:rFonts w:ascii="Times New Roman" w:hAnsi="Times New Roman" w:cs="Times New Roman"/>
          <w:sz w:val="24"/>
          <w:szCs w:val="24"/>
        </w:rPr>
        <w:t>a</w:t>
      </w:r>
      <w:r w:rsidR="00E854E4" w:rsidRPr="002E402A">
        <w:rPr>
          <w:rFonts w:ascii="Times New Roman" w:hAnsi="Times New Roman" w:cs="Times New Roman"/>
          <w:sz w:val="24"/>
          <w:szCs w:val="24"/>
        </w:rPr>
        <w:t xml:space="preserve">madığı görülmüştür. </w:t>
      </w:r>
      <w:r w:rsidR="00753BA4" w:rsidRPr="002E402A">
        <w:rPr>
          <w:rFonts w:ascii="Times New Roman" w:hAnsi="Times New Roman" w:cs="Times New Roman"/>
          <w:sz w:val="24"/>
          <w:szCs w:val="24"/>
        </w:rPr>
        <w:t>2013 yılında 2009 yılın</w:t>
      </w:r>
      <w:r w:rsidR="00C85BF6" w:rsidRPr="002E402A">
        <w:rPr>
          <w:rFonts w:ascii="Times New Roman" w:hAnsi="Times New Roman" w:cs="Times New Roman"/>
          <w:sz w:val="24"/>
          <w:szCs w:val="24"/>
        </w:rPr>
        <w:t>a</w:t>
      </w:r>
      <w:r w:rsidR="00753BA4" w:rsidRPr="002E402A">
        <w:rPr>
          <w:rFonts w:ascii="Times New Roman" w:hAnsi="Times New Roman" w:cs="Times New Roman"/>
          <w:sz w:val="24"/>
          <w:szCs w:val="24"/>
        </w:rPr>
        <w:t xml:space="preserve"> göre</w:t>
      </w:r>
      <w:r w:rsidR="00C85BF6" w:rsidRPr="002E402A">
        <w:rPr>
          <w:rFonts w:ascii="Times New Roman" w:hAnsi="Times New Roman" w:cs="Times New Roman"/>
          <w:sz w:val="24"/>
          <w:szCs w:val="24"/>
        </w:rPr>
        <w:t xml:space="preserve"> toplam faktör verimliliğinde 1’in üzerinde değer alarak etkin görülen kurum</w:t>
      </w:r>
      <w:r w:rsidR="005F3461">
        <w:rPr>
          <w:rFonts w:ascii="Times New Roman" w:hAnsi="Times New Roman" w:cs="Times New Roman"/>
          <w:sz w:val="24"/>
          <w:szCs w:val="24"/>
        </w:rPr>
        <w:t>ların ortalaması 1,</w:t>
      </w:r>
      <w:r w:rsidR="00C85BF6" w:rsidRPr="002E402A">
        <w:rPr>
          <w:rFonts w:ascii="Times New Roman" w:hAnsi="Times New Roman" w:cs="Times New Roman"/>
          <w:sz w:val="24"/>
          <w:szCs w:val="24"/>
        </w:rPr>
        <w:t xml:space="preserve">22’dir. </w:t>
      </w:r>
      <w:r w:rsidR="002A50DA" w:rsidRPr="002E402A">
        <w:rPr>
          <w:rFonts w:ascii="Times New Roman" w:hAnsi="Times New Roman" w:cs="Times New Roman"/>
          <w:sz w:val="24"/>
          <w:szCs w:val="24"/>
        </w:rPr>
        <w:t xml:space="preserve">Bu kurumlarda </w:t>
      </w:r>
      <w:r w:rsidR="00552A4E" w:rsidRPr="002E402A">
        <w:rPr>
          <w:rFonts w:ascii="Times New Roman" w:hAnsi="Times New Roman" w:cs="Times New Roman"/>
          <w:sz w:val="24"/>
          <w:szCs w:val="24"/>
        </w:rPr>
        <w:t>teknolojik etkinliği</w:t>
      </w:r>
      <w:r w:rsidR="008315A5" w:rsidRPr="002E402A">
        <w:rPr>
          <w:rFonts w:ascii="Times New Roman" w:hAnsi="Times New Roman" w:cs="Times New Roman"/>
          <w:sz w:val="24"/>
          <w:szCs w:val="24"/>
        </w:rPr>
        <w:t>n diğerlerine göre ortalamada da</w:t>
      </w:r>
      <w:r w:rsidR="000678F7" w:rsidRPr="002E402A">
        <w:rPr>
          <w:rFonts w:ascii="Times New Roman" w:hAnsi="Times New Roman" w:cs="Times New Roman"/>
          <w:sz w:val="24"/>
          <w:szCs w:val="24"/>
        </w:rPr>
        <w:t>ha yüksek</w:t>
      </w:r>
      <w:r w:rsidR="00552A4E" w:rsidRPr="002E402A">
        <w:rPr>
          <w:rFonts w:ascii="Times New Roman" w:hAnsi="Times New Roman" w:cs="Times New Roman"/>
          <w:sz w:val="24"/>
          <w:szCs w:val="24"/>
        </w:rPr>
        <w:t xml:space="preserve"> olduğu görülmüştür.</w:t>
      </w:r>
    </w:p>
    <w:p w:rsidR="00F01C9C" w:rsidRPr="001D07E5" w:rsidRDefault="001D07E5" w:rsidP="001D07E5">
      <w:pPr>
        <w:spacing w:line="240" w:lineRule="auto"/>
        <w:rPr>
          <w:rFonts w:ascii="Times New Roman" w:hAnsi="Times New Roman" w:cs="Times New Roman"/>
          <w:b/>
          <w:sz w:val="24"/>
          <w:szCs w:val="24"/>
        </w:rPr>
      </w:pPr>
      <w:r w:rsidRPr="001D07E5">
        <w:rPr>
          <w:rFonts w:ascii="Times New Roman" w:hAnsi="Times New Roman" w:cs="Times New Roman"/>
          <w:b/>
          <w:sz w:val="24"/>
          <w:szCs w:val="24"/>
        </w:rPr>
        <w:t>6.</w:t>
      </w:r>
      <w:r w:rsidR="00F01C9C" w:rsidRPr="001D07E5">
        <w:rPr>
          <w:rFonts w:ascii="Times New Roman" w:hAnsi="Times New Roman" w:cs="Times New Roman"/>
          <w:b/>
          <w:sz w:val="24"/>
          <w:szCs w:val="24"/>
        </w:rPr>
        <w:t>SONUÇ</w:t>
      </w:r>
    </w:p>
    <w:p w:rsidR="0039119B" w:rsidRPr="002E402A" w:rsidRDefault="00F0342C" w:rsidP="001D07E5">
      <w:pPr>
        <w:spacing w:line="240" w:lineRule="auto"/>
        <w:rPr>
          <w:rFonts w:ascii="Times New Roman" w:hAnsi="Times New Roman" w:cs="Times New Roman"/>
          <w:sz w:val="24"/>
          <w:szCs w:val="24"/>
        </w:rPr>
      </w:pPr>
      <w:r w:rsidRPr="002E402A">
        <w:rPr>
          <w:rFonts w:ascii="Times New Roman" w:hAnsi="Times New Roman" w:cs="Times New Roman"/>
          <w:sz w:val="24"/>
          <w:szCs w:val="24"/>
        </w:rPr>
        <w:t>Aracı kurumların sürdürüleb</w:t>
      </w:r>
      <w:r w:rsidR="0047307F" w:rsidRPr="002E402A">
        <w:rPr>
          <w:rFonts w:ascii="Times New Roman" w:hAnsi="Times New Roman" w:cs="Times New Roman"/>
          <w:sz w:val="24"/>
          <w:szCs w:val="24"/>
        </w:rPr>
        <w:t xml:space="preserve">ilir bir büyüme ortamına katkı </w:t>
      </w:r>
      <w:r w:rsidRPr="002E402A">
        <w:rPr>
          <w:rFonts w:ascii="Times New Roman" w:hAnsi="Times New Roman" w:cs="Times New Roman"/>
          <w:sz w:val="24"/>
          <w:szCs w:val="24"/>
        </w:rPr>
        <w:t>sağlayabilmesi ve kaynak dağılımında üstlendiği rolü yerine getirebilmesi için, sektörde etkinliğin sağlanması ve sürdürülebilmesi önem arz etmektedir.</w:t>
      </w:r>
      <w:r w:rsidR="00702B24" w:rsidRPr="002E402A">
        <w:rPr>
          <w:rFonts w:ascii="Times New Roman" w:hAnsi="Times New Roman" w:cs="Times New Roman"/>
          <w:sz w:val="24"/>
          <w:szCs w:val="24"/>
        </w:rPr>
        <w:t xml:space="preserve"> </w:t>
      </w:r>
      <w:r w:rsidR="00A943A3" w:rsidRPr="002E402A">
        <w:rPr>
          <w:rFonts w:ascii="Times New Roman" w:hAnsi="Times New Roman" w:cs="Times New Roman"/>
          <w:sz w:val="24"/>
          <w:szCs w:val="24"/>
        </w:rPr>
        <w:t>Aracı kurum sektörüne ilişkin</w:t>
      </w:r>
      <w:r w:rsidR="00F11B3F" w:rsidRPr="002E402A">
        <w:rPr>
          <w:rFonts w:ascii="Times New Roman" w:hAnsi="Times New Roman" w:cs="Times New Roman"/>
          <w:sz w:val="24"/>
          <w:szCs w:val="24"/>
        </w:rPr>
        <w:t xml:space="preserve"> 2014 yılında yeni düzenlemeler yapılmış</w:t>
      </w:r>
      <w:r w:rsidR="00A943A3" w:rsidRPr="002E402A">
        <w:rPr>
          <w:rFonts w:ascii="Times New Roman" w:hAnsi="Times New Roman" w:cs="Times New Roman"/>
          <w:sz w:val="24"/>
          <w:szCs w:val="24"/>
        </w:rPr>
        <w:t xml:space="preserve"> olup çalışmalar devam etmektedir.</w:t>
      </w:r>
      <w:r w:rsidR="00F11B3F" w:rsidRPr="002E402A">
        <w:rPr>
          <w:rFonts w:ascii="Times New Roman" w:hAnsi="Times New Roman" w:cs="Times New Roman"/>
          <w:sz w:val="24"/>
          <w:szCs w:val="24"/>
        </w:rPr>
        <w:t xml:space="preserve"> </w:t>
      </w:r>
    </w:p>
    <w:p w:rsidR="007C0517" w:rsidRPr="002E402A" w:rsidRDefault="009E71FC" w:rsidP="001D07E5">
      <w:pPr>
        <w:spacing w:line="240" w:lineRule="auto"/>
        <w:rPr>
          <w:rFonts w:ascii="Times New Roman" w:hAnsi="Times New Roman" w:cs="Times New Roman"/>
          <w:sz w:val="24"/>
          <w:szCs w:val="24"/>
        </w:rPr>
      </w:pPr>
      <w:r w:rsidRPr="002E402A">
        <w:rPr>
          <w:rFonts w:ascii="Times New Roman" w:hAnsi="Times New Roman" w:cs="Times New Roman"/>
          <w:sz w:val="24"/>
          <w:szCs w:val="24"/>
        </w:rPr>
        <w:t>2000 yılında aracı kurumların etkinliği üzerine yapılan</w:t>
      </w:r>
      <w:r w:rsidR="00BE6482" w:rsidRPr="002E402A">
        <w:rPr>
          <w:rFonts w:ascii="Times New Roman" w:hAnsi="Times New Roman" w:cs="Times New Roman"/>
          <w:sz w:val="24"/>
          <w:szCs w:val="24"/>
        </w:rPr>
        <w:t xml:space="preserve"> bir</w:t>
      </w:r>
      <w:r w:rsidRPr="002E402A">
        <w:rPr>
          <w:rFonts w:ascii="Times New Roman" w:hAnsi="Times New Roman" w:cs="Times New Roman"/>
          <w:sz w:val="24"/>
          <w:szCs w:val="24"/>
        </w:rPr>
        <w:t xml:space="preserve"> çalışmada, analize alınan kurumların</w:t>
      </w:r>
      <w:r w:rsidR="009F0ADA" w:rsidRPr="002E402A">
        <w:rPr>
          <w:rFonts w:ascii="Times New Roman" w:hAnsi="Times New Roman" w:cs="Times New Roman"/>
          <w:sz w:val="24"/>
          <w:szCs w:val="24"/>
        </w:rPr>
        <w:t xml:space="preserve"> 1997 yılında %</w:t>
      </w:r>
      <w:r w:rsidR="00F86D0D">
        <w:rPr>
          <w:rFonts w:ascii="Times New Roman" w:hAnsi="Times New Roman" w:cs="Times New Roman"/>
          <w:sz w:val="24"/>
          <w:szCs w:val="24"/>
        </w:rPr>
        <w:t xml:space="preserve"> </w:t>
      </w:r>
      <w:r w:rsidR="009F0ADA" w:rsidRPr="002E402A">
        <w:rPr>
          <w:rFonts w:ascii="Times New Roman" w:hAnsi="Times New Roman" w:cs="Times New Roman"/>
          <w:sz w:val="24"/>
          <w:szCs w:val="24"/>
        </w:rPr>
        <w:t>55’i ve 1998’de</w:t>
      </w:r>
      <w:r w:rsidR="002617ED" w:rsidRPr="002E402A">
        <w:rPr>
          <w:rFonts w:ascii="Times New Roman" w:hAnsi="Times New Roman" w:cs="Times New Roman"/>
          <w:sz w:val="24"/>
          <w:szCs w:val="24"/>
        </w:rPr>
        <w:t xml:space="preserve"> %</w:t>
      </w:r>
      <w:r w:rsidR="00F86D0D">
        <w:rPr>
          <w:rFonts w:ascii="Times New Roman" w:hAnsi="Times New Roman" w:cs="Times New Roman"/>
          <w:sz w:val="24"/>
          <w:szCs w:val="24"/>
        </w:rPr>
        <w:t xml:space="preserve"> </w:t>
      </w:r>
      <w:r w:rsidR="002617ED" w:rsidRPr="002E402A">
        <w:rPr>
          <w:rFonts w:ascii="Times New Roman" w:hAnsi="Times New Roman" w:cs="Times New Roman"/>
          <w:sz w:val="24"/>
          <w:szCs w:val="24"/>
        </w:rPr>
        <w:t>36’sı etkin bulunmuştur</w:t>
      </w:r>
      <w:r w:rsidR="008D00FE" w:rsidRPr="002E402A">
        <w:rPr>
          <w:rFonts w:ascii="Times New Roman" w:hAnsi="Times New Roman" w:cs="Times New Roman"/>
          <w:sz w:val="24"/>
          <w:szCs w:val="24"/>
        </w:rPr>
        <w:t xml:space="preserve"> </w:t>
      </w:r>
      <w:r w:rsidR="00F86D0D">
        <w:rPr>
          <w:rFonts w:ascii="Times New Roman" w:hAnsi="Times New Roman" w:cs="Times New Roman"/>
          <w:sz w:val="24"/>
          <w:szCs w:val="24"/>
        </w:rPr>
        <w:t>(Gündüz, Yılmaz ve Yılmaz, 2000:</w:t>
      </w:r>
      <w:r w:rsidR="009F0ADA" w:rsidRPr="002E402A">
        <w:rPr>
          <w:rFonts w:ascii="Times New Roman" w:hAnsi="Times New Roman" w:cs="Times New Roman"/>
          <w:sz w:val="24"/>
          <w:szCs w:val="24"/>
        </w:rPr>
        <w:t xml:space="preserve"> 51)</w:t>
      </w:r>
      <w:r w:rsidR="002617ED"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 </w:t>
      </w:r>
      <w:r w:rsidR="001F4431" w:rsidRPr="002E402A">
        <w:rPr>
          <w:rFonts w:ascii="Times New Roman" w:hAnsi="Times New Roman" w:cs="Times New Roman"/>
          <w:sz w:val="24"/>
          <w:szCs w:val="24"/>
        </w:rPr>
        <w:t xml:space="preserve">2007 yılında yapılan bir başka çalışmada </w:t>
      </w:r>
      <w:r w:rsidR="002617ED" w:rsidRPr="002E402A">
        <w:rPr>
          <w:rFonts w:ascii="Times New Roman" w:hAnsi="Times New Roman" w:cs="Times New Roman"/>
          <w:sz w:val="24"/>
          <w:szCs w:val="24"/>
        </w:rPr>
        <w:t xml:space="preserve">aracı kurumların </w:t>
      </w:r>
      <w:r w:rsidR="001F4431" w:rsidRPr="002E402A">
        <w:rPr>
          <w:rFonts w:ascii="Times New Roman" w:hAnsi="Times New Roman" w:cs="Times New Roman"/>
          <w:sz w:val="24"/>
          <w:szCs w:val="24"/>
        </w:rPr>
        <w:t>etkinlik ve verimliliklerinde önemli bi</w:t>
      </w:r>
      <w:r w:rsidR="002617ED" w:rsidRPr="002E402A">
        <w:rPr>
          <w:rFonts w:ascii="Times New Roman" w:hAnsi="Times New Roman" w:cs="Times New Roman"/>
          <w:sz w:val="24"/>
          <w:szCs w:val="24"/>
        </w:rPr>
        <w:t>r artış olmadığı belirlenmiştir</w:t>
      </w:r>
      <w:r w:rsidR="000B716F" w:rsidRPr="002E402A">
        <w:rPr>
          <w:rFonts w:ascii="Times New Roman" w:hAnsi="Times New Roman" w:cs="Times New Roman"/>
          <w:sz w:val="24"/>
          <w:szCs w:val="24"/>
        </w:rPr>
        <w:t xml:space="preserve"> (Aktaş, </w:t>
      </w:r>
      <w:r w:rsidR="002617ED" w:rsidRPr="002E402A">
        <w:rPr>
          <w:rFonts w:ascii="Times New Roman" w:hAnsi="Times New Roman" w:cs="Times New Roman"/>
          <w:sz w:val="24"/>
          <w:szCs w:val="24"/>
        </w:rPr>
        <w:t>Ka</w:t>
      </w:r>
      <w:r w:rsidR="007210D2" w:rsidRPr="002E402A">
        <w:rPr>
          <w:rFonts w:ascii="Times New Roman" w:hAnsi="Times New Roman" w:cs="Times New Roman"/>
          <w:sz w:val="24"/>
          <w:szCs w:val="24"/>
        </w:rPr>
        <w:t>r</w:t>
      </w:r>
      <w:r w:rsidR="00F86D0D">
        <w:rPr>
          <w:rFonts w:ascii="Times New Roman" w:hAnsi="Times New Roman" w:cs="Times New Roman"/>
          <w:sz w:val="24"/>
          <w:szCs w:val="24"/>
        </w:rPr>
        <w:t xml:space="preserve">gın, 2007: </w:t>
      </w:r>
      <w:r w:rsidR="000B716F" w:rsidRPr="002E402A">
        <w:rPr>
          <w:rFonts w:ascii="Times New Roman" w:hAnsi="Times New Roman" w:cs="Times New Roman"/>
          <w:sz w:val="24"/>
          <w:szCs w:val="24"/>
        </w:rPr>
        <w:t>97)</w:t>
      </w:r>
      <w:r w:rsidR="002617ED" w:rsidRPr="002E402A">
        <w:rPr>
          <w:rFonts w:ascii="Times New Roman" w:hAnsi="Times New Roman" w:cs="Times New Roman"/>
          <w:sz w:val="24"/>
          <w:szCs w:val="24"/>
        </w:rPr>
        <w:t>.</w:t>
      </w:r>
      <w:r w:rsidR="001F4431" w:rsidRPr="002E402A">
        <w:rPr>
          <w:rFonts w:ascii="Times New Roman" w:hAnsi="Times New Roman" w:cs="Times New Roman"/>
          <w:sz w:val="24"/>
          <w:szCs w:val="24"/>
        </w:rPr>
        <w:t xml:space="preserve"> </w:t>
      </w:r>
      <w:r w:rsidR="001201AA" w:rsidRPr="002E402A">
        <w:rPr>
          <w:rFonts w:ascii="Times New Roman" w:hAnsi="Times New Roman" w:cs="Times New Roman"/>
          <w:sz w:val="24"/>
          <w:szCs w:val="24"/>
        </w:rPr>
        <w:t>2003 yılında yapılan çalışmada 114 kurum</w:t>
      </w:r>
      <w:r w:rsidR="002617ED" w:rsidRPr="002E402A">
        <w:rPr>
          <w:rFonts w:ascii="Times New Roman" w:hAnsi="Times New Roman" w:cs="Times New Roman"/>
          <w:sz w:val="24"/>
          <w:szCs w:val="24"/>
        </w:rPr>
        <w:t xml:space="preserve">dan 6 tanesi etkin bulunmuştur </w:t>
      </w:r>
      <w:r w:rsidR="000B716F" w:rsidRPr="002E402A">
        <w:rPr>
          <w:rFonts w:ascii="Times New Roman" w:hAnsi="Times New Roman" w:cs="Times New Roman"/>
          <w:sz w:val="24"/>
          <w:szCs w:val="24"/>
        </w:rPr>
        <w:t>(</w:t>
      </w:r>
      <w:r w:rsidR="00F86D0D">
        <w:rPr>
          <w:rFonts w:ascii="Times New Roman" w:hAnsi="Times New Roman" w:cs="Times New Roman"/>
          <w:sz w:val="24"/>
          <w:szCs w:val="24"/>
        </w:rPr>
        <w:t>Kadıoğlu, 2006:</w:t>
      </w:r>
      <w:r w:rsidR="00463CCF" w:rsidRPr="002E402A">
        <w:rPr>
          <w:rFonts w:ascii="Times New Roman" w:hAnsi="Times New Roman" w:cs="Times New Roman"/>
          <w:sz w:val="24"/>
          <w:szCs w:val="24"/>
        </w:rPr>
        <w:t xml:space="preserve"> 30</w:t>
      </w:r>
      <w:r w:rsidR="000B716F" w:rsidRPr="002E402A">
        <w:rPr>
          <w:rFonts w:ascii="Times New Roman" w:hAnsi="Times New Roman" w:cs="Times New Roman"/>
          <w:sz w:val="24"/>
          <w:szCs w:val="24"/>
        </w:rPr>
        <w:t>)</w:t>
      </w:r>
      <w:r w:rsidR="002617ED" w:rsidRPr="002E402A">
        <w:rPr>
          <w:rFonts w:ascii="Times New Roman" w:hAnsi="Times New Roman" w:cs="Times New Roman"/>
          <w:sz w:val="24"/>
          <w:szCs w:val="24"/>
        </w:rPr>
        <w:t>.</w:t>
      </w:r>
      <w:r w:rsidR="000B716F" w:rsidRPr="002E402A">
        <w:rPr>
          <w:rFonts w:ascii="Times New Roman" w:hAnsi="Times New Roman" w:cs="Times New Roman"/>
          <w:sz w:val="24"/>
          <w:szCs w:val="24"/>
        </w:rPr>
        <w:t xml:space="preserve"> </w:t>
      </w:r>
    </w:p>
    <w:p w:rsidR="008532BC" w:rsidRPr="002E402A" w:rsidRDefault="0064654D" w:rsidP="00C76704">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Bu çalışmadaki </w:t>
      </w:r>
      <w:r w:rsidR="001F4431" w:rsidRPr="002E402A">
        <w:rPr>
          <w:rFonts w:ascii="Times New Roman" w:hAnsi="Times New Roman" w:cs="Times New Roman"/>
          <w:sz w:val="24"/>
          <w:szCs w:val="24"/>
        </w:rPr>
        <w:t>a</w:t>
      </w:r>
      <w:r w:rsidR="008532BC" w:rsidRPr="002E402A">
        <w:rPr>
          <w:rFonts w:ascii="Times New Roman" w:hAnsi="Times New Roman" w:cs="Times New Roman"/>
          <w:sz w:val="24"/>
          <w:szCs w:val="24"/>
        </w:rPr>
        <w:t>naliz sonuçlarına göre</w:t>
      </w:r>
      <w:r w:rsidR="001F4431" w:rsidRPr="002E402A">
        <w:rPr>
          <w:rFonts w:ascii="Times New Roman" w:hAnsi="Times New Roman" w:cs="Times New Roman"/>
          <w:sz w:val="24"/>
          <w:szCs w:val="24"/>
        </w:rPr>
        <w:t xml:space="preserve"> ise</w:t>
      </w:r>
      <w:r w:rsidR="008532BC" w:rsidRPr="002E402A">
        <w:rPr>
          <w:rFonts w:ascii="Times New Roman" w:hAnsi="Times New Roman" w:cs="Times New Roman"/>
          <w:sz w:val="24"/>
          <w:szCs w:val="24"/>
        </w:rPr>
        <w:t xml:space="preserve">, </w:t>
      </w:r>
      <w:r w:rsidR="007210D2" w:rsidRPr="002E402A">
        <w:rPr>
          <w:rFonts w:ascii="Times New Roman" w:hAnsi="Times New Roman" w:cs="Times New Roman"/>
          <w:sz w:val="24"/>
          <w:szCs w:val="24"/>
        </w:rPr>
        <w:t>kâr</w:t>
      </w:r>
      <w:r w:rsidR="0035381A" w:rsidRPr="002E402A">
        <w:rPr>
          <w:rFonts w:ascii="Times New Roman" w:hAnsi="Times New Roman" w:cs="Times New Roman"/>
          <w:sz w:val="24"/>
          <w:szCs w:val="24"/>
        </w:rPr>
        <w:t xml:space="preserve"> eden şirketlerin etkinliği incelendiğinde </w:t>
      </w:r>
      <w:r w:rsidR="00434887" w:rsidRPr="002E402A">
        <w:rPr>
          <w:rFonts w:ascii="Times New Roman" w:hAnsi="Times New Roman" w:cs="Times New Roman"/>
          <w:sz w:val="24"/>
          <w:szCs w:val="24"/>
        </w:rPr>
        <w:t xml:space="preserve">2009 yılından 2013 yılına </w:t>
      </w:r>
      <w:r w:rsidR="0035381A" w:rsidRPr="002E402A">
        <w:rPr>
          <w:rFonts w:ascii="Times New Roman" w:hAnsi="Times New Roman" w:cs="Times New Roman"/>
          <w:sz w:val="24"/>
          <w:szCs w:val="24"/>
        </w:rPr>
        <w:t xml:space="preserve">32 kurumdan </w:t>
      </w:r>
      <w:r w:rsidR="002617ED" w:rsidRPr="002E402A">
        <w:rPr>
          <w:rFonts w:ascii="Times New Roman" w:hAnsi="Times New Roman" w:cs="Times New Roman"/>
          <w:sz w:val="24"/>
          <w:szCs w:val="24"/>
        </w:rPr>
        <w:t xml:space="preserve">sadece </w:t>
      </w:r>
      <w:r w:rsidR="00676426" w:rsidRPr="002E402A">
        <w:rPr>
          <w:rFonts w:ascii="Times New Roman" w:hAnsi="Times New Roman" w:cs="Times New Roman"/>
          <w:sz w:val="24"/>
          <w:szCs w:val="24"/>
        </w:rPr>
        <w:t xml:space="preserve">7 aracı kurum etkin bulunmuştur. </w:t>
      </w:r>
      <w:r w:rsidR="00295851" w:rsidRPr="002E402A">
        <w:rPr>
          <w:rFonts w:ascii="Times New Roman" w:hAnsi="Times New Roman" w:cs="Times New Roman"/>
          <w:sz w:val="24"/>
          <w:szCs w:val="24"/>
        </w:rPr>
        <w:t xml:space="preserve">Bu da etkinlik açısından gelişme olmadığı </w:t>
      </w:r>
      <w:r w:rsidR="00813AB2" w:rsidRPr="002E402A">
        <w:rPr>
          <w:rFonts w:ascii="Times New Roman" w:hAnsi="Times New Roman" w:cs="Times New Roman"/>
          <w:sz w:val="24"/>
          <w:szCs w:val="24"/>
        </w:rPr>
        <w:t xml:space="preserve">anlamına gelmektedir. </w:t>
      </w:r>
      <w:r w:rsidR="008B55D9" w:rsidRPr="002E402A">
        <w:rPr>
          <w:rFonts w:ascii="Times New Roman" w:hAnsi="Times New Roman" w:cs="Times New Roman"/>
          <w:sz w:val="24"/>
          <w:szCs w:val="24"/>
        </w:rPr>
        <w:t xml:space="preserve">Piyasa net </w:t>
      </w:r>
      <w:r w:rsidR="007210D2" w:rsidRPr="002E402A">
        <w:rPr>
          <w:rFonts w:ascii="Times New Roman" w:hAnsi="Times New Roman" w:cs="Times New Roman"/>
          <w:sz w:val="24"/>
          <w:szCs w:val="24"/>
        </w:rPr>
        <w:t>kâr</w:t>
      </w:r>
      <w:r w:rsidR="008B55D9" w:rsidRPr="002E402A">
        <w:rPr>
          <w:rFonts w:ascii="Times New Roman" w:hAnsi="Times New Roman" w:cs="Times New Roman"/>
          <w:sz w:val="24"/>
          <w:szCs w:val="24"/>
        </w:rPr>
        <w:t>ının %</w:t>
      </w:r>
      <w:r w:rsidR="00C76704">
        <w:rPr>
          <w:rFonts w:ascii="Times New Roman" w:hAnsi="Times New Roman" w:cs="Times New Roman"/>
          <w:sz w:val="24"/>
          <w:szCs w:val="24"/>
        </w:rPr>
        <w:t xml:space="preserve"> </w:t>
      </w:r>
      <w:r w:rsidR="008B55D9" w:rsidRPr="002E402A">
        <w:rPr>
          <w:rFonts w:ascii="Times New Roman" w:hAnsi="Times New Roman" w:cs="Times New Roman"/>
          <w:sz w:val="24"/>
          <w:szCs w:val="24"/>
        </w:rPr>
        <w:t>35 ile %</w:t>
      </w:r>
      <w:r w:rsidR="00C76704">
        <w:rPr>
          <w:rFonts w:ascii="Times New Roman" w:hAnsi="Times New Roman" w:cs="Times New Roman"/>
          <w:sz w:val="24"/>
          <w:szCs w:val="24"/>
        </w:rPr>
        <w:t xml:space="preserve"> </w:t>
      </w:r>
      <w:r w:rsidR="008B55D9" w:rsidRPr="002E402A">
        <w:rPr>
          <w:rFonts w:ascii="Times New Roman" w:hAnsi="Times New Roman" w:cs="Times New Roman"/>
          <w:sz w:val="24"/>
          <w:szCs w:val="24"/>
        </w:rPr>
        <w:t>57’</w:t>
      </w:r>
      <w:r w:rsidR="00621E5F" w:rsidRPr="002E402A">
        <w:rPr>
          <w:rFonts w:ascii="Times New Roman" w:hAnsi="Times New Roman" w:cs="Times New Roman"/>
          <w:sz w:val="24"/>
          <w:szCs w:val="24"/>
        </w:rPr>
        <w:t>si</w:t>
      </w:r>
      <w:r w:rsidR="008B55D9" w:rsidRPr="002E402A">
        <w:rPr>
          <w:rFonts w:ascii="Times New Roman" w:hAnsi="Times New Roman" w:cs="Times New Roman"/>
          <w:sz w:val="24"/>
          <w:szCs w:val="24"/>
        </w:rPr>
        <w:t xml:space="preserve">ni yıllar itibariyle aynı iki banka kökenli </w:t>
      </w:r>
      <w:r w:rsidR="000D05EF" w:rsidRPr="002E402A">
        <w:rPr>
          <w:rFonts w:ascii="Times New Roman" w:hAnsi="Times New Roman" w:cs="Times New Roman"/>
          <w:sz w:val="24"/>
          <w:szCs w:val="24"/>
        </w:rPr>
        <w:t xml:space="preserve">aracı </w:t>
      </w:r>
      <w:r w:rsidR="008B55D9" w:rsidRPr="002E402A">
        <w:rPr>
          <w:rFonts w:ascii="Times New Roman" w:hAnsi="Times New Roman" w:cs="Times New Roman"/>
          <w:sz w:val="24"/>
          <w:szCs w:val="24"/>
        </w:rPr>
        <w:t xml:space="preserve">kurum paylaşmıştır. </w:t>
      </w:r>
      <w:r w:rsidR="00746AB9" w:rsidRPr="002E402A">
        <w:rPr>
          <w:rFonts w:ascii="Times New Roman" w:hAnsi="Times New Roman" w:cs="Times New Roman"/>
          <w:sz w:val="24"/>
          <w:szCs w:val="24"/>
        </w:rPr>
        <w:t>Aracı kuruml</w:t>
      </w:r>
      <w:r w:rsidR="00F44038" w:rsidRPr="002E402A">
        <w:rPr>
          <w:rFonts w:ascii="Times New Roman" w:hAnsi="Times New Roman" w:cs="Times New Roman"/>
          <w:sz w:val="24"/>
          <w:szCs w:val="24"/>
        </w:rPr>
        <w:t>arın ortalama %</w:t>
      </w:r>
      <w:r w:rsidR="00C76704">
        <w:rPr>
          <w:rFonts w:ascii="Times New Roman" w:hAnsi="Times New Roman" w:cs="Times New Roman"/>
          <w:sz w:val="24"/>
          <w:szCs w:val="24"/>
        </w:rPr>
        <w:t xml:space="preserve"> </w:t>
      </w:r>
      <w:r w:rsidR="00F44038" w:rsidRPr="002E402A">
        <w:rPr>
          <w:rFonts w:ascii="Times New Roman" w:hAnsi="Times New Roman" w:cs="Times New Roman"/>
          <w:sz w:val="24"/>
          <w:szCs w:val="24"/>
        </w:rPr>
        <w:t xml:space="preserve">67’si </w:t>
      </w:r>
      <w:r w:rsidR="007210D2" w:rsidRPr="002E402A">
        <w:rPr>
          <w:rFonts w:ascii="Times New Roman" w:hAnsi="Times New Roman" w:cs="Times New Roman"/>
          <w:sz w:val="24"/>
          <w:szCs w:val="24"/>
        </w:rPr>
        <w:t>kâr</w:t>
      </w:r>
      <w:r w:rsidR="00F44038" w:rsidRPr="002E402A">
        <w:rPr>
          <w:rFonts w:ascii="Times New Roman" w:hAnsi="Times New Roman" w:cs="Times New Roman"/>
          <w:sz w:val="24"/>
          <w:szCs w:val="24"/>
        </w:rPr>
        <w:t xml:space="preserve"> etmiştir.</w:t>
      </w:r>
      <w:r w:rsidR="00746AB9" w:rsidRPr="002E402A">
        <w:rPr>
          <w:rFonts w:ascii="Times New Roman" w:hAnsi="Times New Roman" w:cs="Times New Roman"/>
          <w:sz w:val="24"/>
          <w:szCs w:val="24"/>
        </w:rPr>
        <w:t xml:space="preserve"> </w:t>
      </w:r>
      <w:r w:rsidR="00F44038" w:rsidRPr="002E402A">
        <w:rPr>
          <w:rFonts w:ascii="Times New Roman" w:hAnsi="Times New Roman" w:cs="Times New Roman"/>
          <w:sz w:val="24"/>
          <w:szCs w:val="24"/>
        </w:rPr>
        <w:t xml:space="preserve">Aracı </w:t>
      </w:r>
      <w:r w:rsidR="00F44038" w:rsidRPr="002E402A">
        <w:rPr>
          <w:rFonts w:ascii="Times New Roman" w:hAnsi="Times New Roman" w:cs="Times New Roman"/>
          <w:sz w:val="24"/>
          <w:szCs w:val="24"/>
        </w:rPr>
        <w:lastRenderedPageBreak/>
        <w:t>kuruml</w:t>
      </w:r>
      <w:r w:rsidR="00746AB9" w:rsidRPr="002E402A">
        <w:rPr>
          <w:rFonts w:ascii="Times New Roman" w:hAnsi="Times New Roman" w:cs="Times New Roman"/>
          <w:sz w:val="24"/>
          <w:szCs w:val="24"/>
        </w:rPr>
        <w:t>arın %</w:t>
      </w:r>
      <w:r w:rsidR="00583E57">
        <w:rPr>
          <w:rFonts w:ascii="Times New Roman" w:hAnsi="Times New Roman" w:cs="Times New Roman"/>
          <w:sz w:val="24"/>
          <w:szCs w:val="24"/>
        </w:rPr>
        <w:t xml:space="preserve"> </w:t>
      </w:r>
      <w:r w:rsidR="00746AB9" w:rsidRPr="002E402A">
        <w:rPr>
          <w:rFonts w:ascii="Times New Roman" w:hAnsi="Times New Roman" w:cs="Times New Roman"/>
          <w:sz w:val="24"/>
          <w:szCs w:val="24"/>
        </w:rPr>
        <w:t>37’si banka kökenli olup %</w:t>
      </w:r>
      <w:r w:rsidR="00583E57">
        <w:rPr>
          <w:rFonts w:ascii="Times New Roman" w:hAnsi="Times New Roman" w:cs="Times New Roman"/>
          <w:sz w:val="24"/>
          <w:szCs w:val="24"/>
        </w:rPr>
        <w:t xml:space="preserve"> </w:t>
      </w:r>
      <w:r w:rsidR="00746AB9" w:rsidRPr="002E402A">
        <w:rPr>
          <w:rFonts w:ascii="Times New Roman" w:hAnsi="Times New Roman" w:cs="Times New Roman"/>
          <w:sz w:val="24"/>
          <w:szCs w:val="24"/>
        </w:rPr>
        <w:t xml:space="preserve">24’ü yabancı ortaklıdır. </w:t>
      </w:r>
      <w:r w:rsidR="007210D2" w:rsidRPr="002E402A">
        <w:rPr>
          <w:rFonts w:ascii="Times New Roman" w:hAnsi="Times New Roman" w:cs="Times New Roman"/>
          <w:sz w:val="24"/>
          <w:szCs w:val="24"/>
        </w:rPr>
        <w:t>Kâr</w:t>
      </w:r>
      <w:r w:rsidR="001E1872" w:rsidRPr="002E402A">
        <w:rPr>
          <w:rFonts w:ascii="Times New Roman" w:hAnsi="Times New Roman" w:cs="Times New Roman"/>
          <w:sz w:val="24"/>
          <w:szCs w:val="24"/>
        </w:rPr>
        <w:t xml:space="preserve"> eden aracı kurumların ortalama %75’i banka kökenlidir. </w:t>
      </w:r>
      <w:r w:rsidR="0046298E" w:rsidRPr="002E402A">
        <w:rPr>
          <w:rFonts w:ascii="Times New Roman" w:hAnsi="Times New Roman" w:cs="Times New Roman"/>
          <w:sz w:val="24"/>
          <w:szCs w:val="24"/>
        </w:rPr>
        <w:t xml:space="preserve">Yıllar itibariyle </w:t>
      </w:r>
      <w:r w:rsidR="007210D2" w:rsidRPr="002E402A">
        <w:rPr>
          <w:rFonts w:ascii="Times New Roman" w:hAnsi="Times New Roman" w:cs="Times New Roman"/>
          <w:sz w:val="24"/>
          <w:szCs w:val="24"/>
        </w:rPr>
        <w:t>kâr</w:t>
      </w:r>
      <w:r w:rsidR="0046298E" w:rsidRPr="002E402A">
        <w:rPr>
          <w:rFonts w:ascii="Times New Roman" w:hAnsi="Times New Roman" w:cs="Times New Roman"/>
          <w:sz w:val="24"/>
          <w:szCs w:val="24"/>
        </w:rPr>
        <w:t xml:space="preserve"> eden aracı kurumların ortalama %</w:t>
      </w:r>
      <w:r w:rsidR="00583E57">
        <w:rPr>
          <w:rFonts w:ascii="Times New Roman" w:hAnsi="Times New Roman" w:cs="Times New Roman"/>
          <w:sz w:val="24"/>
          <w:szCs w:val="24"/>
        </w:rPr>
        <w:t xml:space="preserve"> </w:t>
      </w:r>
      <w:r w:rsidR="0046298E" w:rsidRPr="002E402A">
        <w:rPr>
          <w:rFonts w:ascii="Times New Roman" w:hAnsi="Times New Roman" w:cs="Times New Roman"/>
          <w:sz w:val="24"/>
          <w:szCs w:val="24"/>
        </w:rPr>
        <w:t xml:space="preserve">36’sı etkin olmuştur. </w:t>
      </w:r>
      <w:r w:rsidR="00274852" w:rsidRPr="002E402A">
        <w:rPr>
          <w:rFonts w:ascii="Times New Roman" w:hAnsi="Times New Roman" w:cs="Times New Roman"/>
          <w:sz w:val="24"/>
          <w:szCs w:val="24"/>
        </w:rPr>
        <w:t>Bu kurumların ise kaynak kullanımında ortalama %</w:t>
      </w:r>
      <w:r w:rsidR="008B55D9" w:rsidRPr="002E402A">
        <w:rPr>
          <w:rFonts w:ascii="Times New Roman" w:hAnsi="Times New Roman" w:cs="Times New Roman"/>
          <w:sz w:val="24"/>
          <w:szCs w:val="24"/>
        </w:rPr>
        <w:t xml:space="preserve"> </w:t>
      </w:r>
      <w:r w:rsidR="00274852" w:rsidRPr="002E402A">
        <w:rPr>
          <w:rFonts w:ascii="Times New Roman" w:hAnsi="Times New Roman" w:cs="Times New Roman"/>
          <w:sz w:val="24"/>
          <w:szCs w:val="24"/>
        </w:rPr>
        <w:t xml:space="preserve">73 etkin olduğu belirlenmiştir. </w:t>
      </w:r>
      <w:r w:rsidR="00D13F09" w:rsidRPr="002E402A">
        <w:rPr>
          <w:rFonts w:ascii="Times New Roman" w:hAnsi="Times New Roman" w:cs="Times New Roman"/>
          <w:sz w:val="24"/>
          <w:szCs w:val="24"/>
        </w:rPr>
        <w:t>Etkin bulunan aracı kurumların beş yıl ortalamasında toplam işlem hacminin %</w:t>
      </w:r>
      <w:r w:rsidR="00583E57">
        <w:rPr>
          <w:rFonts w:ascii="Times New Roman" w:hAnsi="Times New Roman" w:cs="Times New Roman"/>
          <w:sz w:val="24"/>
          <w:szCs w:val="24"/>
        </w:rPr>
        <w:t xml:space="preserve"> </w:t>
      </w:r>
      <w:r w:rsidR="00D13F09" w:rsidRPr="002E402A">
        <w:rPr>
          <w:rFonts w:ascii="Times New Roman" w:hAnsi="Times New Roman" w:cs="Times New Roman"/>
          <w:sz w:val="24"/>
          <w:szCs w:val="24"/>
        </w:rPr>
        <w:t>35’i, piyasada çalışan personel sayısının %</w:t>
      </w:r>
      <w:r w:rsidR="00583E57">
        <w:rPr>
          <w:rFonts w:ascii="Times New Roman" w:hAnsi="Times New Roman" w:cs="Times New Roman"/>
          <w:sz w:val="24"/>
          <w:szCs w:val="24"/>
        </w:rPr>
        <w:t xml:space="preserve"> </w:t>
      </w:r>
      <w:r w:rsidR="00D13F09" w:rsidRPr="002E402A">
        <w:rPr>
          <w:rFonts w:ascii="Times New Roman" w:hAnsi="Times New Roman" w:cs="Times New Roman"/>
          <w:sz w:val="24"/>
          <w:szCs w:val="24"/>
        </w:rPr>
        <w:t>10’u, piyasadaki toplam sermayenin %</w:t>
      </w:r>
      <w:r w:rsidR="00583E57">
        <w:rPr>
          <w:rFonts w:ascii="Times New Roman" w:hAnsi="Times New Roman" w:cs="Times New Roman"/>
          <w:sz w:val="24"/>
          <w:szCs w:val="24"/>
        </w:rPr>
        <w:t xml:space="preserve"> </w:t>
      </w:r>
      <w:r w:rsidR="00D13F09" w:rsidRPr="002E402A">
        <w:rPr>
          <w:rFonts w:ascii="Times New Roman" w:hAnsi="Times New Roman" w:cs="Times New Roman"/>
          <w:sz w:val="24"/>
          <w:szCs w:val="24"/>
        </w:rPr>
        <w:t>27’sini, toplam piyasa aktifinin %</w:t>
      </w:r>
      <w:r w:rsidR="00583E57">
        <w:rPr>
          <w:rFonts w:ascii="Times New Roman" w:hAnsi="Times New Roman" w:cs="Times New Roman"/>
          <w:sz w:val="24"/>
          <w:szCs w:val="24"/>
        </w:rPr>
        <w:t xml:space="preserve"> </w:t>
      </w:r>
      <w:r w:rsidR="00D13F09" w:rsidRPr="002E402A">
        <w:rPr>
          <w:rFonts w:ascii="Times New Roman" w:hAnsi="Times New Roman" w:cs="Times New Roman"/>
          <w:sz w:val="24"/>
          <w:szCs w:val="24"/>
        </w:rPr>
        <w:t>22’sini kullanarak</w:t>
      </w:r>
      <w:r w:rsidR="008D43DA" w:rsidRPr="002E402A">
        <w:rPr>
          <w:rFonts w:ascii="Times New Roman" w:hAnsi="Times New Roman" w:cs="Times New Roman"/>
          <w:sz w:val="24"/>
          <w:szCs w:val="24"/>
        </w:rPr>
        <w:t>;</w:t>
      </w:r>
      <w:r w:rsidR="00D13F09" w:rsidRPr="002E402A">
        <w:rPr>
          <w:rFonts w:ascii="Times New Roman" w:hAnsi="Times New Roman" w:cs="Times New Roman"/>
          <w:sz w:val="24"/>
          <w:szCs w:val="24"/>
        </w:rPr>
        <w:t xml:space="preserve"> minimum girdi ile piyasa toplam net </w:t>
      </w:r>
      <w:r w:rsidR="007210D2" w:rsidRPr="002E402A">
        <w:rPr>
          <w:rFonts w:ascii="Times New Roman" w:hAnsi="Times New Roman" w:cs="Times New Roman"/>
          <w:sz w:val="24"/>
          <w:szCs w:val="24"/>
        </w:rPr>
        <w:t>kâr</w:t>
      </w:r>
      <w:r w:rsidR="00D13F09" w:rsidRPr="002E402A">
        <w:rPr>
          <w:rFonts w:ascii="Times New Roman" w:hAnsi="Times New Roman" w:cs="Times New Roman"/>
          <w:sz w:val="24"/>
          <w:szCs w:val="24"/>
        </w:rPr>
        <w:t>ının %</w:t>
      </w:r>
      <w:r w:rsidR="00583E57">
        <w:rPr>
          <w:rFonts w:ascii="Times New Roman" w:hAnsi="Times New Roman" w:cs="Times New Roman"/>
          <w:sz w:val="24"/>
          <w:szCs w:val="24"/>
        </w:rPr>
        <w:t xml:space="preserve"> </w:t>
      </w:r>
      <w:r w:rsidR="00D13F09" w:rsidRPr="002E402A">
        <w:rPr>
          <w:rFonts w:ascii="Times New Roman" w:hAnsi="Times New Roman" w:cs="Times New Roman"/>
          <w:sz w:val="24"/>
          <w:szCs w:val="24"/>
        </w:rPr>
        <w:t>38’ini</w:t>
      </w:r>
      <w:r w:rsidR="00841091" w:rsidRPr="002E402A">
        <w:rPr>
          <w:rFonts w:ascii="Times New Roman" w:hAnsi="Times New Roman" w:cs="Times New Roman"/>
          <w:sz w:val="24"/>
          <w:szCs w:val="24"/>
        </w:rPr>
        <w:t xml:space="preserve"> ve piyasa ortalama net komisyon toplamının %</w:t>
      </w:r>
      <w:r w:rsidR="00583E57">
        <w:rPr>
          <w:rFonts w:ascii="Times New Roman" w:hAnsi="Times New Roman" w:cs="Times New Roman"/>
          <w:sz w:val="24"/>
          <w:szCs w:val="24"/>
        </w:rPr>
        <w:t xml:space="preserve"> </w:t>
      </w:r>
      <w:r w:rsidR="00841091" w:rsidRPr="002E402A">
        <w:rPr>
          <w:rFonts w:ascii="Times New Roman" w:hAnsi="Times New Roman" w:cs="Times New Roman"/>
          <w:sz w:val="24"/>
          <w:szCs w:val="24"/>
        </w:rPr>
        <w:t>21’ini,</w:t>
      </w:r>
      <w:r w:rsidR="00D13F09" w:rsidRPr="002E402A">
        <w:rPr>
          <w:rFonts w:ascii="Times New Roman" w:hAnsi="Times New Roman" w:cs="Times New Roman"/>
          <w:sz w:val="24"/>
          <w:szCs w:val="24"/>
        </w:rPr>
        <w:t xml:space="preserve"> yani en çok çıktı</w:t>
      </w:r>
      <w:r w:rsidR="00841091" w:rsidRPr="002E402A">
        <w:rPr>
          <w:rFonts w:ascii="Times New Roman" w:hAnsi="Times New Roman" w:cs="Times New Roman"/>
          <w:sz w:val="24"/>
          <w:szCs w:val="24"/>
        </w:rPr>
        <w:t>yı</w:t>
      </w:r>
      <w:r w:rsidR="00D13F09" w:rsidRPr="002E402A">
        <w:rPr>
          <w:rFonts w:ascii="Times New Roman" w:hAnsi="Times New Roman" w:cs="Times New Roman"/>
          <w:sz w:val="24"/>
          <w:szCs w:val="24"/>
        </w:rPr>
        <w:t xml:space="preserve"> elde ettiği görülmektedir. </w:t>
      </w:r>
      <w:r w:rsidR="00A07DD4" w:rsidRPr="002E402A">
        <w:rPr>
          <w:rFonts w:ascii="Times New Roman" w:hAnsi="Times New Roman" w:cs="Times New Roman"/>
          <w:sz w:val="24"/>
          <w:szCs w:val="24"/>
        </w:rPr>
        <w:t xml:space="preserve">Verileri süreklilik arz eden ve </w:t>
      </w:r>
      <w:r w:rsidR="007210D2" w:rsidRPr="002E402A">
        <w:rPr>
          <w:rFonts w:ascii="Times New Roman" w:hAnsi="Times New Roman" w:cs="Times New Roman"/>
          <w:sz w:val="24"/>
          <w:szCs w:val="24"/>
        </w:rPr>
        <w:t>kâr</w:t>
      </w:r>
      <w:r w:rsidR="00A07DD4" w:rsidRPr="002E402A">
        <w:rPr>
          <w:rFonts w:ascii="Times New Roman" w:hAnsi="Times New Roman" w:cs="Times New Roman"/>
          <w:sz w:val="24"/>
          <w:szCs w:val="24"/>
        </w:rPr>
        <w:t xml:space="preserve"> eden 32 aracı kurumu</w:t>
      </w:r>
      <w:r w:rsidR="005F5447" w:rsidRPr="002E402A">
        <w:rPr>
          <w:rFonts w:ascii="Times New Roman" w:hAnsi="Times New Roman" w:cs="Times New Roman"/>
          <w:sz w:val="24"/>
          <w:szCs w:val="24"/>
        </w:rPr>
        <w:t>n</w:t>
      </w:r>
      <w:r w:rsidR="00A07DD4" w:rsidRPr="002E402A">
        <w:rPr>
          <w:rFonts w:ascii="Times New Roman" w:hAnsi="Times New Roman" w:cs="Times New Roman"/>
          <w:sz w:val="24"/>
          <w:szCs w:val="24"/>
        </w:rPr>
        <w:t xml:space="preserve"> verileriyle yıl bazında yapılan etkinlik ölçümüne göre; 2009 yılında 14, 2010 yılında 11, 2011 yılında 14, 2012 yılında 9 ve 2013 yılında 10 aracı kurum etkin bulunmuştur. </w:t>
      </w:r>
      <w:r w:rsidR="00654AB3" w:rsidRPr="002E402A">
        <w:rPr>
          <w:rFonts w:ascii="Times New Roman" w:hAnsi="Times New Roman" w:cs="Times New Roman"/>
          <w:sz w:val="24"/>
          <w:szCs w:val="24"/>
        </w:rPr>
        <w:t>Yıllar ortalamasında etkin bulunan kurumların özelliklerine bakıldığında %</w:t>
      </w:r>
      <w:r w:rsidR="00EC2CAF">
        <w:rPr>
          <w:rFonts w:ascii="Times New Roman" w:hAnsi="Times New Roman" w:cs="Times New Roman"/>
          <w:sz w:val="24"/>
          <w:szCs w:val="24"/>
        </w:rPr>
        <w:t xml:space="preserve"> </w:t>
      </w:r>
      <w:r w:rsidR="00654AB3" w:rsidRPr="002E402A">
        <w:rPr>
          <w:rFonts w:ascii="Times New Roman" w:hAnsi="Times New Roman" w:cs="Times New Roman"/>
          <w:sz w:val="24"/>
          <w:szCs w:val="24"/>
        </w:rPr>
        <w:t>46 ila %</w:t>
      </w:r>
      <w:r w:rsidR="00583E57">
        <w:rPr>
          <w:rFonts w:ascii="Times New Roman" w:hAnsi="Times New Roman" w:cs="Times New Roman"/>
          <w:sz w:val="24"/>
          <w:szCs w:val="24"/>
        </w:rPr>
        <w:t xml:space="preserve"> </w:t>
      </w:r>
      <w:r w:rsidR="00654AB3" w:rsidRPr="002E402A">
        <w:rPr>
          <w:rFonts w:ascii="Times New Roman" w:hAnsi="Times New Roman" w:cs="Times New Roman"/>
          <w:sz w:val="24"/>
          <w:szCs w:val="24"/>
        </w:rPr>
        <w:t xml:space="preserve">67’sinin </w:t>
      </w:r>
      <w:r w:rsidR="003D2FCD" w:rsidRPr="002E402A">
        <w:rPr>
          <w:rFonts w:ascii="Times New Roman" w:hAnsi="Times New Roman" w:cs="Times New Roman"/>
          <w:sz w:val="24"/>
          <w:szCs w:val="24"/>
        </w:rPr>
        <w:t xml:space="preserve">yani en az yarısının </w:t>
      </w:r>
      <w:r w:rsidR="00654AB3" w:rsidRPr="002E402A">
        <w:rPr>
          <w:rFonts w:ascii="Times New Roman" w:hAnsi="Times New Roman" w:cs="Times New Roman"/>
          <w:sz w:val="24"/>
          <w:szCs w:val="24"/>
        </w:rPr>
        <w:t xml:space="preserve">banka kökenli kurumlar olduğu görülmüştür. </w:t>
      </w:r>
      <w:r w:rsidR="003D2FCD" w:rsidRPr="002E402A">
        <w:rPr>
          <w:rFonts w:ascii="Times New Roman" w:hAnsi="Times New Roman" w:cs="Times New Roman"/>
          <w:sz w:val="24"/>
          <w:szCs w:val="24"/>
        </w:rPr>
        <w:t xml:space="preserve">Etkin kurumların üçte biri yabancı sermaye yönetiminde aracı kurumlar olup yine banka kökenli kurumlar olduğu belirlenmiştir. </w:t>
      </w:r>
      <w:r w:rsidR="00654AB3" w:rsidRPr="002E402A">
        <w:rPr>
          <w:rFonts w:ascii="Times New Roman" w:hAnsi="Times New Roman" w:cs="Times New Roman"/>
          <w:sz w:val="24"/>
          <w:szCs w:val="24"/>
        </w:rPr>
        <w:t xml:space="preserve">Bu veriler ile </w:t>
      </w:r>
      <w:r w:rsidR="00EA29BF" w:rsidRPr="002E402A">
        <w:rPr>
          <w:rFonts w:ascii="Times New Roman" w:hAnsi="Times New Roman" w:cs="Times New Roman"/>
          <w:sz w:val="24"/>
          <w:szCs w:val="24"/>
        </w:rPr>
        <w:t>aracı kurumlar üzerinde</w:t>
      </w:r>
      <w:r w:rsidR="00636052" w:rsidRPr="002E402A">
        <w:rPr>
          <w:rFonts w:ascii="Times New Roman" w:hAnsi="Times New Roman" w:cs="Times New Roman"/>
          <w:sz w:val="24"/>
          <w:szCs w:val="24"/>
        </w:rPr>
        <w:t xml:space="preserve"> yapılan</w:t>
      </w:r>
      <w:r w:rsidR="00EA29BF" w:rsidRPr="002E402A">
        <w:rPr>
          <w:rFonts w:ascii="Times New Roman" w:hAnsi="Times New Roman" w:cs="Times New Roman"/>
          <w:sz w:val="24"/>
          <w:szCs w:val="24"/>
        </w:rPr>
        <w:t xml:space="preserve"> </w:t>
      </w:r>
      <w:r w:rsidR="00654AB3" w:rsidRPr="002E402A">
        <w:rPr>
          <w:rFonts w:ascii="Times New Roman" w:hAnsi="Times New Roman" w:cs="Times New Roman"/>
          <w:sz w:val="24"/>
          <w:szCs w:val="24"/>
        </w:rPr>
        <w:t>t</w:t>
      </w:r>
      <w:r w:rsidR="00A07DD4" w:rsidRPr="002E402A">
        <w:rPr>
          <w:rFonts w:ascii="Times New Roman" w:hAnsi="Times New Roman" w:cs="Times New Roman"/>
          <w:sz w:val="24"/>
          <w:szCs w:val="24"/>
        </w:rPr>
        <w:t>oplam faktör verimliliği</w:t>
      </w:r>
      <w:r w:rsidR="00654AB3" w:rsidRPr="002E402A">
        <w:rPr>
          <w:rFonts w:ascii="Times New Roman" w:hAnsi="Times New Roman" w:cs="Times New Roman"/>
          <w:sz w:val="24"/>
          <w:szCs w:val="24"/>
        </w:rPr>
        <w:t xml:space="preserve"> ölçümü</w:t>
      </w:r>
      <w:r w:rsidR="00636052" w:rsidRPr="002E402A">
        <w:rPr>
          <w:rFonts w:ascii="Times New Roman" w:hAnsi="Times New Roman" w:cs="Times New Roman"/>
          <w:sz w:val="24"/>
          <w:szCs w:val="24"/>
        </w:rPr>
        <w:t>nde</w:t>
      </w:r>
      <w:r w:rsidR="00654AB3" w:rsidRPr="002E402A">
        <w:rPr>
          <w:rFonts w:ascii="Times New Roman" w:hAnsi="Times New Roman" w:cs="Times New Roman"/>
          <w:sz w:val="24"/>
          <w:szCs w:val="24"/>
        </w:rPr>
        <w:t xml:space="preserve">, </w:t>
      </w:r>
      <w:r w:rsidR="00636052" w:rsidRPr="002E402A">
        <w:rPr>
          <w:rFonts w:ascii="Times New Roman" w:hAnsi="Times New Roman" w:cs="Times New Roman"/>
          <w:sz w:val="24"/>
          <w:szCs w:val="24"/>
        </w:rPr>
        <w:t xml:space="preserve">7 kurumun etkin bulunduğu ve bunların yarıdan fazlasının banka kökenli kurum olduğu görülmüştür. </w:t>
      </w:r>
      <w:r w:rsidR="005245E9" w:rsidRPr="002E402A">
        <w:rPr>
          <w:rFonts w:ascii="Times New Roman" w:hAnsi="Times New Roman" w:cs="Times New Roman"/>
          <w:sz w:val="24"/>
          <w:szCs w:val="24"/>
        </w:rPr>
        <w:t xml:space="preserve">Yine etkin kurumların üçte birinin yabancı sermaye </w:t>
      </w:r>
      <w:r w:rsidR="0047307F" w:rsidRPr="002E402A">
        <w:rPr>
          <w:rFonts w:ascii="Times New Roman" w:hAnsi="Times New Roman" w:cs="Times New Roman"/>
          <w:sz w:val="24"/>
          <w:szCs w:val="24"/>
        </w:rPr>
        <w:t>hâkimiyetindeki</w:t>
      </w:r>
      <w:r w:rsidR="005245E9" w:rsidRPr="002E402A">
        <w:rPr>
          <w:rFonts w:ascii="Times New Roman" w:hAnsi="Times New Roman" w:cs="Times New Roman"/>
          <w:sz w:val="24"/>
          <w:szCs w:val="24"/>
        </w:rPr>
        <w:t xml:space="preserve"> aracı kurum olduğu ve banka kökenli kurumlar olduğu belirlenmiştir.</w:t>
      </w:r>
      <w:r w:rsidR="001B0743" w:rsidRPr="002E402A">
        <w:rPr>
          <w:rFonts w:ascii="Times New Roman" w:hAnsi="Times New Roman" w:cs="Times New Roman"/>
          <w:sz w:val="24"/>
          <w:szCs w:val="24"/>
        </w:rPr>
        <w:t xml:space="preserve"> </w:t>
      </w:r>
      <w:r w:rsidR="007C0517" w:rsidRPr="002E402A">
        <w:rPr>
          <w:rFonts w:ascii="Times New Roman" w:hAnsi="Times New Roman" w:cs="Times New Roman"/>
          <w:sz w:val="24"/>
          <w:szCs w:val="24"/>
        </w:rPr>
        <w:t>Bu sonuçlara göre, banka kökenli aracı kurumların etkin ve verimli çalı</w:t>
      </w:r>
      <w:r w:rsidR="002617ED" w:rsidRPr="002E402A">
        <w:rPr>
          <w:rFonts w:ascii="Times New Roman" w:hAnsi="Times New Roman" w:cs="Times New Roman"/>
          <w:sz w:val="24"/>
          <w:szCs w:val="24"/>
        </w:rPr>
        <w:t>şmasında kurumsal yönetim uygulamalarının büyük ölçüde önemli katkı sağladığı</w:t>
      </w:r>
      <w:r w:rsidR="00A9626E" w:rsidRPr="002E402A">
        <w:rPr>
          <w:rFonts w:ascii="Times New Roman" w:hAnsi="Times New Roman" w:cs="Times New Roman"/>
          <w:sz w:val="24"/>
          <w:szCs w:val="24"/>
        </w:rPr>
        <w:t xml:space="preserve"> söylene</w:t>
      </w:r>
      <w:r w:rsidR="002617ED" w:rsidRPr="002E402A">
        <w:rPr>
          <w:rFonts w:ascii="Times New Roman" w:hAnsi="Times New Roman" w:cs="Times New Roman"/>
          <w:sz w:val="24"/>
          <w:szCs w:val="24"/>
        </w:rPr>
        <w:t>bilir.</w:t>
      </w:r>
    </w:p>
    <w:p w:rsidR="007A2652" w:rsidRPr="002E402A" w:rsidRDefault="00AC2266" w:rsidP="00EC2CAF">
      <w:pPr>
        <w:spacing w:line="240" w:lineRule="auto"/>
        <w:rPr>
          <w:rFonts w:ascii="Times New Roman" w:hAnsi="Times New Roman" w:cs="Times New Roman"/>
          <w:sz w:val="24"/>
          <w:szCs w:val="24"/>
        </w:rPr>
      </w:pPr>
      <w:r w:rsidRPr="002E402A">
        <w:rPr>
          <w:rFonts w:ascii="Times New Roman" w:hAnsi="Times New Roman" w:cs="Times New Roman"/>
          <w:sz w:val="24"/>
          <w:szCs w:val="24"/>
        </w:rPr>
        <w:t xml:space="preserve">Aracı kurumlar için 2009-2013 yıllarına ait sürekli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 xml:space="preserve"> eden ve verileri süreklilik arz eden kurumların aktif toplamı, personel sayısı ve sermaye tutarla</w:t>
      </w:r>
      <w:r w:rsidR="001B0743" w:rsidRPr="002E402A">
        <w:rPr>
          <w:rFonts w:ascii="Times New Roman" w:hAnsi="Times New Roman" w:cs="Times New Roman"/>
          <w:sz w:val="24"/>
          <w:szCs w:val="24"/>
        </w:rPr>
        <w:t>rı girdi olarak kullanılmıştır. G</w:t>
      </w:r>
      <w:r w:rsidRPr="002E402A">
        <w:rPr>
          <w:rFonts w:ascii="Times New Roman" w:hAnsi="Times New Roman" w:cs="Times New Roman"/>
          <w:sz w:val="24"/>
          <w:szCs w:val="24"/>
        </w:rPr>
        <w:t>irdilerin minimum kullanılarak en çok çıktı sağlanması ölçümlemesi yapılırken</w:t>
      </w:r>
      <w:r w:rsidR="001B0743" w:rsidRPr="002E402A">
        <w:rPr>
          <w:rFonts w:ascii="Times New Roman" w:hAnsi="Times New Roman" w:cs="Times New Roman"/>
          <w:sz w:val="24"/>
          <w:szCs w:val="24"/>
        </w:rPr>
        <w:t>,</w:t>
      </w:r>
      <w:r w:rsidRPr="002E402A">
        <w:rPr>
          <w:rFonts w:ascii="Times New Roman" w:hAnsi="Times New Roman" w:cs="Times New Roman"/>
          <w:sz w:val="24"/>
          <w:szCs w:val="24"/>
        </w:rPr>
        <w:t xml:space="preserve"> sahip olunan hesap sayısı, işlem hacmi, net komisyon ve net </w:t>
      </w:r>
      <w:r w:rsidR="007210D2" w:rsidRPr="002E402A">
        <w:rPr>
          <w:rFonts w:ascii="Times New Roman" w:hAnsi="Times New Roman" w:cs="Times New Roman"/>
          <w:sz w:val="24"/>
          <w:szCs w:val="24"/>
        </w:rPr>
        <w:t>kâr</w:t>
      </w:r>
      <w:r w:rsidRPr="002E402A">
        <w:rPr>
          <w:rFonts w:ascii="Times New Roman" w:hAnsi="Times New Roman" w:cs="Times New Roman"/>
          <w:sz w:val="24"/>
          <w:szCs w:val="24"/>
        </w:rPr>
        <w:t xml:space="preserve"> çıkt</w:t>
      </w:r>
      <w:r w:rsidR="00921A17" w:rsidRPr="002E402A">
        <w:rPr>
          <w:rFonts w:ascii="Times New Roman" w:hAnsi="Times New Roman" w:cs="Times New Roman"/>
          <w:sz w:val="24"/>
          <w:szCs w:val="24"/>
        </w:rPr>
        <w:t xml:space="preserve">ı olarak esas alınmıştır. </w:t>
      </w:r>
    </w:p>
    <w:p w:rsidR="007A2652" w:rsidRPr="002E402A" w:rsidRDefault="00921A17" w:rsidP="00EC2CAF">
      <w:pPr>
        <w:spacing w:line="240" w:lineRule="auto"/>
        <w:rPr>
          <w:rFonts w:ascii="Times New Roman" w:hAnsi="Times New Roman" w:cs="Times New Roman"/>
          <w:sz w:val="24"/>
          <w:szCs w:val="24"/>
        </w:rPr>
      </w:pPr>
      <w:r w:rsidRPr="002E402A">
        <w:rPr>
          <w:rFonts w:ascii="Times New Roman" w:hAnsi="Times New Roman" w:cs="Times New Roman"/>
          <w:sz w:val="24"/>
          <w:szCs w:val="24"/>
        </w:rPr>
        <w:t>Sonuç olarak</w:t>
      </w:r>
      <w:r w:rsidR="00AC2266" w:rsidRPr="002E402A">
        <w:rPr>
          <w:rFonts w:ascii="Times New Roman" w:hAnsi="Times New Roman" w:cs="Times New Roman"/>
          <w:sz w:val="24"/>
          <w:szCs w:val="24"/>
        </w:rPr>
        <w:t xml:space="preserve">, aracı kurumlarda </w:t>
      </w:r>
      <w:r w:rsidR="006055FA" w:rsidRPr="002E402A">
        <w:rPr>
          <w:rFonts w:ascii="Times New Roman" w:hAnsi="Times New Roman" w:cs="Times New Roman"/>
          <w:sz w:val="24"/>
          <w:szCs w:val="24"/>
        </w:rPr>
        <w:t xml:space="preserve">genel olarak </w:t>
      </w:r>
      <w:r w:rsidR="00AC2266" w:rsidRPr="002E402A">
        <w:rPr>
          <w:rFonts w:ascii="Times New Roman" w:hAnsi="Times New Roman" w:cs="Times New Roman"/>
          <w:sz w:val="24"/>
          <w:szCs w:val="24"/>
        </w:rPr>
        <w:t>yeterli etkinlik</w:t>
      </w:r>
      <w:r w:rsidR="006A4774" w:rsidRPr="002E402A">
        <w:rPr>
          <w:rFonts w:ascii="Times New Roman" w:hAnsi="Times New Roman" w:cs="Times New Roman"/>
          <w:sz w:val="24"/>
          <w:szCs w:val="24"/>
        </w:rPr>
        <w:t xml:space="preserve"> ve verimlilik</w:t>
      </w:r>
      <w:r w:rsidR="00AC2266" w:rsidRPr="002E402A">
        <w:rPr>
          <w:rFonts w:ascii="Times New Roman" w:hAnsi="Times New Roman" w:cs="Times New Roman"/>
          <w:sz w:val="24"/>
          <w:szCs w:val="24"/>
        </w:rPr>
        <w:t xml:space="preserve"> sağlan</w:t>
      </w:r>
      <w:r w:rsidR="007A2652" w:rsidRPr="002E402A">
        <w:rPr>
          <w:rFonts w:ascii="Times New Roman" w:hAnsi="Times New Roman" w:cs="Times New Roman"/>
          <w:sz w:val="24"/>
          <w:szCs w:val="24"/>
        </w:rPr>
        <w:t>a</w:t>
      </w:r>
      <w:r w:rsidR="00AC2266" w:rsidRPr="002E402A">
        <w:rPr>
          <w:rFonts w:ascii="Times New Roman" w:hAnsi="Times New Roman" w:cs="Times New Roman"/>
          <w:sz w:val="24"/>
          <w:szCs w:val="24"/>
        </w:rPr>
        <w:t>madığı belirlenmiştir.</w:t>
      </w:r>
      <w:r w:rsidR="006055FA" w:rsidRPr="002E402A">
        <w:rPr>
          <w:rFonts w:ascii="Times New Roman" w:hAnsi="Times New Roman" w:cs="Times New Roman"/>
          <w:sz w:val="24"/>
          <w:szCs w:val="24"/>
        </w:rPr>
        <w:t xml:space="preserve"> Etkin ve verimli bulunan kurumların yarısından çoğu banka kökenli kurum olup etkin ve verimli bulunan aracı kurumların üçte biri yabancı sermaye </w:t>
      </w:r>
      <w:r w:rsidR="0047307F" w:rsidRPr="002E402A">
        <w:rPr>
          <w:rFonts w:ascii="Times New Roman" w:hAnsi="Times New Roman" w:cs="Times New Roman"/>
          <w:sz w:val="24"/>
          <w:szCs w:val="24"/>
        </w:rPr>
        <w:t>hâkimiyetindeki</w:t>
      </w:r>
      <w:r w:rsidR="006055FA" w:rsidRPr="002E402A">
        <w:rPr>
          <w:rFonts w:ascii="Times New Roman" w:hAnsi="Times New Roman" w:cs="Times New Roman"/>
          <w:sz w:val="24"/>
          <w:szCs w:val="24"/>
        </w:rPr>
        <w:t xml:space="preserve"> kurumlardır ve yine banka kökenli aracı kurumlardır. </w:t>
      </w:r>
      <w:r w:rsidR="00AC2266" w:rsidRPr="002E402A">
        <w:rPr>
          <w:rFonts w:ascii="Times New Roman" w:hAnsi="Times New Roman" w:cs="Times New Roman"/>
          <w:sz w:val="24"/>
          <w:szCs w:val="24"/>
        </w:rPr>
        <w:t xml:space="preserve"> </w:t>
      </w:r>
      <w:r w:rsidR="007A2652" w:rsidRPr="002E402A">
        <w:rPr>
          <w:rFonts w:ascii="Times New Roman" w:hAnsi="Times New Roman" w:cs="Times New Roman"/>
          <w:sz w:val="24"/>
          <w:szCs w:val="24"/>
        </w:rPr>
        <w:t>Sermaye piyasalarının etkin</w:t>
      </w:r>
      <w:r w:rsidR="009878A3" w:rsidRPr="002E402A">
        <w:rPr>
          <w:rFonts w:ascii="Times New Roman" w:hAnsi="Times New Roman" w:cs="Times New Roman"/>
          <w:sz w:val="24"/>
          <w:szCs w:val="24"/>
        </w:rPr>
        <w:t xml:space="preserve"> ve verimli </w:t>
      </w:r>
      <w:r w:rsidR="007A2652" w:rsidRPr="002E402A">
        <w:rPr>
          <w:rFonts w:ascii="Times New Roman" w:hAnsi="Times New Roman" w:cs="Times New Roman"/>
          <w:sz w:val="24"/>
          <w:szCs w:val="24"/>
        </w:rPr>
        <w:t>olması için;</w:t>
      </w:r>
    </w:p>
    <w:p w:rsidR="007A2652" w:rsidRPr="00EC2CAF" w:rsidRDefault="00334EEC" w:rsidP="00EC2CAF">
      <w:pPr>
        <w:pStyle w:val="ListeParagraf"/>
        <w:numPr>
          <w:ilvl w:val="0"/>
          <w:numId w:val="5"/>
        </w:numPr>
        <w:spacing w:before="120" w:after="120" w:line="240" w:lineRule="auto"/>
        <w:rPr>
          <w:rFonts w:ascii="Times New Roman" w:hAnsi="Times New Roman" w:cs="Times New Roman"/>
          <w:sz w:val="24"/>
          <w:szCs w:val="24"/>
        </w:rPr>
      </w:pPr>
      <w:r w:rsidRPr="00EC2CAF">
        <w:rPr>
          <w:rFonts w:ascii="Times New Roman" w:hAnsi="Times New Roman" w:cs="Times New Roman"/>
          <w:sz w:val="24"/>
          <w:szCs w:val="24"/>
        </w:rPr>
        <w:t>y</w:t>
      </w:r>
      <w:r w:rsidR="009B1E56" w:rsidRPr="00EC2CAF">
        <w:rPr>
          <w:rFonts w:ascii="Times New Roman" w:hAnsi="Times New Roman" w:cs="Times New Roman"/>
          <w:sz w:val="24"/>
          <w:szCs w:val="24"/>
        </w:rPr>
        <w:t xml:space="preserve">atırımcıların bilinçlendirilmesi, </w:t>
      </w:r>
    </w:p>
    <w:p w:rsidR="00EC2CAF" w:rsidRPr="002E402A" w:rsidRDefault="00EC2CAF" w:rsidP="00EC2CAF">
      <w:pPr>
        <w:pStyle w:val="ListeParagraf"/>
        <w:spacing w:before="120" w:after="120" w:line="240" w:lineRule="auto"/>
        <w:ind w:left="714"/>
        <w:rPr>
          <w:rFonts w:ascii="Times New Roman" w:hAnsi="Times New Roman" w:cs="Times New Roman"/>
          <w:sz w:val="24"/>
          <w:szCs w:val="24"/>
        </w:rPr>
      </w:pPr>
    </w:p>
    <w:p w:rsidR="007A2652" w:rsidRPr="00EC2CAF" w:rsidRDefault="009B1E56" w:rsidP="00EC2CAF">
      <w:pPr>
        <w:pStyle w:val="ListeParagraf"/>
        <w:numPr>
          <w:ilvl w:val="0"/>
          <w:numId w:val="5"/>
        </w:numPr>
        <w:spacing w:before="120" w:after="120" w:line="240" w:lineRule="auto"/>
        <w:rPr>
          <w:rFonts w:ascii="Times New Roman" w:hAnsi="Times New Roman" w:cs="Times New Roman"/>
          <w:sz w:val="24"/>
          <w:szCs w:val="24"/>
        </w:rPr>
      </w:pPr>
      <w:r w:rsidRPr="00EC2CAF">
        <w:rPr>
          <w:rFonts w:ascii="Times New Roman" w:hAnsi="Times New Roman" w:cs="Times New Roman"/>
          <w:sz w:val="24"/>
          <w:szCs w:val="24"/>
        </w:rPr>
        <w:t xml:space="preserve">tasarruf oranlarının arttırılarak sermaye piyasalarına yönlendirilmesi, </w:t>
      </w:r>
    </w:p>
    <w:p w:rsidR="00EC2CAF" w:rsidRPr="00EC2CAF" w:rsidRDefault="00EC2CAF" w:rsidP="00EC2CAF">
      <w:pPr>
        <w:pStyle w:val="ListeParagraf"/>
        <w:rPr>
          <w:rFonts w:ascii="Times New Roman" w:hAnsi="Times New Roman" w:cs="Times New Roman"/>
          <w:sz w:val="24"/>
          <w:szCs w:val="24"/>
        </w:rPr>
      </w:pPr>
    </w:p>
    <w:p w:rsidR="007A2652" w:rsidRPr="00EC2CAF" w:rsidRDefault="001313AF" w:rsidP="00EC2CAF">
      <w:pPr>
        <w:pStyle w:val="ListeParagraf"/>
        <w:numPr>
          <w:ilvl w:val="0"/>
          <w:numId w:val="5"/>
        </w:numPr>
        <w:spacing w:before="120" w:after="120" w:line="240" w:lineRule="auto"/>
        <w:rPr>
          <w:rFonts w:ascii="Times New Roman" w:hAnsi="Times New Roman" w:cs="Times New Roman"/>
          <w:sz w:val="24"/>
          <w:szCs w:val="24"/>
        </w:rPr>
      </w:pPr>
      <w:r w:rsidRPr="00EC2CAF">
        <w:rPr>
          <w:rFonts w:ascii="Times New Roman" w:hAnsi="Times New Roman" w:cs="Times New Roman"/>
          <w:sz w:val="24"/>
          <w:szCs w:val="24"/>
        </w:rPr>
        <w:t xml:space="preserve">bu amaçla sermaye piyasalarında düzenleme, işlem ve ürün çeşitliliğinde her talebe cevap veren yapının geliştirilmesi, </w:t>
      </w:r>
    </w:p>
    <w:p w:rsidR="00EC2CAF" w:rsidRPr="002E402A" w:rsidRDefault="00EC2CAF" w:rsidP="00EC2CAF">
      <w:pPr>
        <w:pStyle w:val="ListeParagraf"/>
        <w:spacing w:before="120" w:after="120" w:line="240" w:lineRule="auto"/>
        <w:ind w:left="714"/>
        <w:rPr>
          <w:rFonts w:ascii="Times New Roman" w:hAnsi="Times New Roman" w:cs="Times New Roman"/>
          <w:sz w:val="24"/>
          <w:szCs w:val="24"/>
        </w:rPr>
      </w:pPr>
    </w:p>
    <w:p w:rsidR="007A2652" w:rsidRPr="00EC2CAF" w:rsidRDefault="001313AF" w:rsidP="00EC2CAF">
      <w:pPr>
        <w:pStyle w:val="ListeParagraf"/>
        <w:numPr>
          <w:ilvl w:val="0"/>
          <w:numId w:val="5"/>
        </w:numPr>
        <w:spacing w:before="120" w:after="120" w:line="240" w:lineRule="auto"/>
        <w:rPr>
          <w:rFonts w:ascii="Times New Roman" w:hAnsi="Times New Roman" w:cs="Times New Roman"/>
          <w:sz w:val="24"/>
          <w:szCs w:val="24"/>
        </w:rPr>
      </w:pPr>
      <w:r w:rsidRPr="00EC2CAF">
        <w:rPr>
          <w:rFonts w:ascii="Times New Roman" w:hAnsi="Times New Roman" w:cs="Times New Roman"/>
          <w:sz w:val="24"/>
          <w:szCs w:val="24"/>
        </w:rPr>
        <w:t xml:space="preserve">piyasa düzenleyicilerin rekabeti artıran uygulamalara öncelik vermesi, </w:t>
      </w:r>
    </w:p>
    <w:p w:rsidR="00EC2CAF" w:rsidRPr="002E402A" w:rsidRDefault="00EC2CAF" w:rsidP="00EC2CAF">
      <w:pPr>
        <w:pStyle w:val="ListeParagraf"/>
        <w:spacing w:before="120" w:after="120" w:line="240" w:lineRule="auto"/>
        <w:ind w:left="714"/>
        <w:rPr>
          <w:rFonts w:ascii="Times New Roman" w:hAnsi="Times New Roman" w:cs="Times New Roman"/>
          <w:sz w:val="24"/>
          <w:szCs w:val="24"/>
        </w:rPr>
      </w:pPr>
    </w:p>
    <w:p w:rsidR="007A2652" w:rsidRPr="00EC2CAF" w:rsidRDefault="009B1E56" w:rsidP="00EC2CAF">
      <w:pPr>
        <w:pStyle w:val="ListeParagraf"/>
        <w:numPr>
          <w:ilvl w:val="0"/>
          <w:numId w:val="5"/>
        </w:numPr>
        <w:spacing w:before="120" w:after="120" w:line="240" w:lineRule="auto"/>
        <w:rPr>
          <w:rFonts w:ascii="Times New Roman" w:hAnsi="Times New Roman" w:cs="Times New Roman"/>
          <w:sz w:val="24"/>
          <w:szCs w:val="24"/>
        </w:rPr>
      </w:pPr>
      <w:r w:rsidRPr="00EC2CAF">
        <w:rPr>
          <w:rFonts w:ascii="Times New Roman" w:hAnsi="Times New Roman" w:cs="Times New Roman"/>
          <w:sz w:val="24"/>
          <w:szCs w:val="24"/>
        </w:rPr>
        <w:t xml:space="preserve">sermaye piyasasında halka arz edilen şirketlerin sayısının sağlıklı bir şekilde arttırılması, </w:t>
      </w:r>
    </w:p>
    <w:p w:rsidR="00EC2CAF" w:rsidRDefault="00EC2CAF" w:rsidP="00EC2CAF">
      <w:pPr>
        <w:pStyle w:val="ListeParagraf"/>
        <w:spacing w:before="120" w:after="120" w:line="240" w:lineRule="auto"/>
        <w:ind w:left="714"/>
        <w:rPr>
          <w:rFonts w:ascii="Times New Roman" w:hAnsi="Times New Roman" w:cs="Times New Roman"/>
          <w:sz w:val="24"/>
          <w:szCs w:val="24"/>
        </w:rPr>
      </w:pPr>
    </w:p>
    <w:p w:rsidR="007A2652" w:rsidRPr="00EC2CAF" w:rsidRDefault="009B1E56" w:rsidP="00EC2CAF">
      <w:pPr>
        <w:pStyle w:val="ListeParagraf"/>
        <w:numPr>
          <w:ilvl w:val="0"/>
          <w:numId w:val="5"/>
        </w:numPr>
        <w:spacing w:before="120" w:after="120" w:line="240" w:lineRule="auto"/>
        <w:rPr>
          <w:rFonts w:ascii="Times New Roman" w:hAnsi="Times New Roman" w:cs="Times New Roman"/>
          <w:sz w:val="24"/>
          <w:szCs w:val="24"/>
        </w:rPr>
      </w:pPr>
      <w:r w:rsidRPr="00EC2CAF">
        <w:rPr>
          <w:rFonts w:ascii="Times New Roman" w:hAnsi="Times New Roman" w:cs="Times New Roman"/>
          <w:sz w:val="24"/>
          <w:szCs w:val="24"/>
        </w:rPr>
        <w:t>aracı kurumların etkin çalışacak yapılarda kurulmasının sağlanması</w:t>
      </w:r>
      <w:r w:rsidR="00A9626E" w:rsidRPr="00EC2CAF">
        <w:rPr>
          <w:rFonts w:ascii="Times New Roman" w:hAnsi="Times New Roman" w:cs="Times New Roman"/>
          <w:sz w:val="24"/>
          <w:szCs w:val="24"/>
        </w:rPr>
        <w:t xml:space="preserve"> önemlidir.</w:t>
      </w:r>
      <w:r w:rsidRPr="00EC2CAF">
        <w:rPr>
          <w:rFonts w:ascii="Times New Roman" w:hAnsi="Times New Roman" w:cs="Times New Roman"/>
          <w:sz w:val="24"/>
          <w:szCs w:val="24"/>
        </w:rPr>
        <w:t xml:space="preserve"> </w:t>
      </w:r>
    </w:p>
    <w:p w:rsidR="00EC2CAF" w:rsidRDefault="00EC2CAF" w:rsidP="00EC2CAF">
      <w:pPr>
        <w:pStyle w:val="ListeParagraf"/>
        <w:spacing w:line="240" w:lineRule="auto"/>
        <w:ind w:left="0"/>
        <w:rPr>
          <w:rFonts w:ascii="Times New Roman" w:hAnsi="Times New Roman" w:cs="Times New Roman"/>
          <w:sz w:val="24"/>
          <w:szCs w:val="24"/>
        </w:rPr>
      </w:pPr>
    </w:p>
    <w:p w:rsidR="00601296" w:rsidRPr="002E402A" w:rsidRDefault="0047307F" w:rsidP="00EC2CAF">
      <w:pPr>
        <w:pStyle w:val="ListeParagraf"/>
        <w:spacing w:line="240" w:lineRule="auto"/>
        <w:ind w:left="0"/>
        <w:rPr>
          <w:rFonts w:ascii="Times New Roman" w:hAnsi="Times New Roman" w:cs="Times New Roman"/>
          <w:sz w:val="24"/>
          <w:szCs w:val="24"/>
        </w:rPr>
      </w:pPr>
      <w:r w:rsidRPr="002E402A">
        <w:rPr>
          <w:rFonts w:ascii="Times New Roman" w:hAnsi="Times New Roman" w:cs="Times New Roman"/>
          <w:sz w:val="24"/>
          <w:szCs w:val="24"/>
        </w:rPr>
        <w:t xml:space="preserve">Böylece, </w:t>
      </w:r>
      <w:r w:rsidR="00334EEC" w:rsidRPr="002E402A">
        <w:rPr>
          <w:rFonts w:ascii="Times New Roman" w:hAnsi="Times New Roman" w:cs="Times New Roman"/>
          <w:sz w:val="24"/>
          <w:szCs w:val="24"/>
        </w:rPr>
        <w:t>h</w:t>
      </w:r>
      <w:r w:rsidR="00C61C54" w:rsidRPr="002E402A">
        <w:rPr>
          <w:rFonts w:ascii="Times New Roman" w:hAnsi="Times New Roman" w:cs="Times New Roman"/>
          <w:sz w:val="24"/>
          <w:szCs w:val="24"/>
        </w:rPr>
        <w:t>er tür tasarrufun yatırım yapacağı, her sermaye sahibinin ortak ve</w:t>
      </w:r>
      <w:r w:rsidRPr="002E402A">
        <w:rPr>
          <w:rFonts w:ascii="Times New Roman" w:hAnsi="Times New Roman" w:cs="Times New Roman"/>
          <w:sz w:val="24"/>
          <w:szCs w:val="24"/>
        </w:rPr>
        <w:t xml:space="preserve">/veya borç bulacağı, risklerini </w:t>
      </w:r>
      <w:r w:rsidR="00C61C54" w:rsidRPr="002E402A">
        <w:rPr>
          <w:rFonts w:ascii="Times New Roman" w:hAnsi="Times New Roman" w:cs="Times New Roman"/>
          <w:sz w:val="24"/>
          <w:szCs w:val="24"/>
        </w:rPr>
        <w:t>dengeleyeceği piyasa çeşitliliği ve bu piyasalarda</w:t>
      </w:r>
      <w:r w:rsidR="009B1E56" w:rsidRPr="002E402A">
        <w:rPr>
          <w:rFonts w:ascii="Times New Roman" w:hAnsi="Times New Roman" w:cs="Times New Roman"/>
          <w:sz w:val="24"/>
          <w:szCs w:val="24"/>
        </w:rPr>
        <w:t xml:space="preserve"> ürün ve işlem çeşitliliğinin artırılması gibi gelişmeler ile sermaye piyasalarının gelişmesinde aracı kurumlar ve aracı kurumların gelişmesinde sermaye piyasalar</w:t>
      </w:r>
      <w:r w:rsidR="00A9626E" w:rsidRPr="002E402A">
        <w:rPr>
          <w:rFonts w:ascii="Times New Roman" w:hAnsi="Times New Roman" w:cs="Times New Roman"/>
          <w:sz w:val="24"/>
          <w:szCs w:val="24"/>
        </w:rPr>
        <w:t>ının etkin olması sağlanabilir</w:t>
      </w:r>
      <w:r w:rsidR="00C61C54" w:rsidRPr="002E402A">
        <w:rPr>
          <w:rFonts w:ascii="Times New Roman" w:hAnsi="Times New Roman" w:cs="Times New Roman"/>
          <w:sz w:val="24"/>
          <w:szCs w:val="24"/>
        </w:rPr>
        <w:t>.</w:t>
      </w:r>
    </w:p>
    <w:p w:rsidR="00614143" w:rsidRPr="002E402A" w:rsidRDefault="00A9626E" w:rsidP="00592B4C">
      <w:pPr>
        <w:spacing w:line="240" w:lineRule="auto"/>
        <w:rPr>
          <w:rFonts w:ascii="Times New Roman" w:hAnsi="Times New Roman" w:cs="Times New Roman"/>
          <w:sz w:val="24"/>
          <w:szCs w:val="24"/>
        </w:rPr>
      </w:pPr>
      <w:r w:rsidRPr="002E402A">
        <w:rPr>
          <w:rFonts w:ascii="Times New Roman" w:hAnsi="Times New Roman" w:cs="Times New Roman"/>
          <w:sz w:val="24"/>
          <w:szCs w:val="24"/>
        </w:rPr>
        <w:lastRenderedPageBreak/>
        <w:t>VZA yöntemi örnekleme özgü sonuçlar ürettiği için b</w:t>
      </w:r>
      <w:r w:rsidR="00601296" w:rsidRPr="002E402A">
        <w:rPr>
          <w:rFonts w:ascii="Times New Roman" w:hAnsi="Times New Roman" w:cs="Times New Roman"/>
          <w:sz w:val="24"/>
          <w:szCs w:val="24"/>
        </w:rPr>
        <w:t>undan sonraki çalışmalarda, f</w:t>
      </w:r>
      <w:r w:rsidR="009165A1" w:rsidRPr="002E402A">
        <w:rPr>
          <w:rFonts w:ascii="Times New Roman" w:hAnsi="Times New Roman" w:cs="Times New Roman"/>
          <w:sz w:val="24"/>
          <w:szCs w:val="24"/>
        </w:rPr>
        <w:t>arklı girdi ve çıktı değişken</w:t>
      </w:r>
      <w:r w:rsidR="00410977" w:rsidRPr="002E402A">
        <w:rPr>
          <w:rFonts w:ascii="Times New Roman" w:hAnsi="Times New Roman" w:cs="Times New Roman"/>
          <w:sz w:val="24"/>
          <w:szCs w:val="24"/>
        </w:rPr>
        <w:t>leri</w:t>
      </w:r>
      <w:r w:rsidR="00BC06E3" w:rsidRPr="002E402A">
        <w:rPr>
          <w:rFonts w:ascii="Times New Roman" w:hAnsi="Times New Roman" w:cs="Times New Roman"/>
          <w:sz w:val="24"/>
          <w:szCs w:val="24"/>
        </w:rPr>
        <w:t xml:space="preserve"> ve farklı zaman boyutları</w:t>
      </w:r>
      <w:r w:rsidR="00601296" w:rsidRPr="002E402A">
        <w:rPr>
          <w:rFonts w:ascii="Times New Roman" w:hAnsi="Times New Roman" w:cs="Times New Roman"/>
          <w:sz w:val="24"/>
          <w:szCs w:val="24"/>
        </w:rPr>
        <w:t xml:space="preserve"> </w:t>
      </w:r>
      <w:r w:rsidR="001B0743" w:rsidRPr="002E402A">
        <w:rPr>
          <w:rFonts w:ascii="Times New Roman" w:hAnsi="Times New Roman" w:cs="Times New Roman"/>
          <w:sz w:val="24"/>
          <w:szCs w:val="24"/>
        </w:rPr>
        <w:t xml:space="preserve">esas </w:t>
      </w:r>
      <w:r w:rsidR="00601296" w:rsidRPr="002E402A">
        <w:rPr>
          <w:rFonts w:ascii="Times New Roman" w:hAnsi="Times New Roman" w:cs="Times New Roman"/>
          <w:sz w:val="24"/>
          <w:szCs w:val="24"/>
        </w:rPr>
        <w:t>alınarak</w:t>
      </w:r>
      <w:r w:rsidR="00410977" w:rsidRPr="002E402A">
        <w:rPr>
          <w:rFonts w:ascii="Times New Roman" w:hAnsi="Times New Roman" w:cs="Times New Roman"/>
          <w:sz w:val="24"/>
          <w:szCs w:val="24"/>
        </w:rPr>
        <w:t xml:space="preserve"> </w:t>
      </w:r>
      <w:r w:rsidRPr="002E402A">
        <w:rPr>
          <w:rFonts w:ascii="Times New Roman" w:hAnsi="Times New Roman" w:cs="Times New Roman"/>
          <w:sz w:val="24"/>
          <w:szCs w:val="24"/>
        </w:rPr>
        <w:t xml:space="preserve">aracı kurumlar için etkinlik ölçümü yapılabilir. </w:t>
      </w:r>
    </w:p>
    <w:p w:rsidR="00141703" w:rsidRPr="002E402A" w:rsidRDefault="00141703" w:rsidP="000A7CD7">
      <w:pPr>
        <w:spacing w:line="240" w:lineRule="auto"/>
        <w:ind w:firstLine="567"/>
        <w:rPr>
          <w:rFonts w:ascii="Times New Roman" w:hAnsi="Times New Roman" w:cs="Times New Roman"/>
          <w:color w:val="FF0000"/>
          <w:sz w:val="24"/>
          <w:szCs w:val="24"/>
        </w:rPr>
      </w:pPr>
    </w:p>
    <w:p w:rsidR="00F01C9C" w:rsidRPr="002E402A" w:rsidRDefault="00592B4C" w:rsidP="000A7CD7">
      <w:pPr>
        <w:spacing w:line="240" w:lineRule="auto"/>
        <w:rPr>
          <w:rFonts w:ascii="Times New Roman" w:hAnsi="Times New Roman" w:cs="Times New Roman"/>
          <w:b/>
          <w:sz w:val="24"/>
          <w:szCs w:val="24"/>
        </w:rPr>
      </w:pPr>
      <w:r>
        <w:rPr>
          <w:rFonts w:ascii="Times New Roman" w:hAnsi="Times New Roman" w:cs="Times New Roman"/>
          <w:b/>
          <w:sz w:val="24"/>
          <w:szCs w:val="24"/>
        </w:rPr>
        <w:t>KAYNAKÇA</w:t>
      </w:r>
    </w:p>
    <w:p w:rsidR="00DF150C" w:rsidRPr="00592B4C" w:rsidRDefault="00260853"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 xml:space="preserve">AKBALIK, Murat, İbrahim </w:t>
      </w:r>
      <w:r w:rsidR="00592B4C" w:rsidRPr="00592B4C">
        <w:rPr>
          <w:rFonts w:ascii="Times New Roman" w:hAnsi="Times New Roman" w:cs="Times New Roman"/>
          <w:sz w:val="24"/>
          <w:szCs w:val="24"/>
        </w:rPr>
        <w:t>SIRMA</w:t>
      </w:r>
      <w:r w:rsidRPr="00592B4C">
        <w:rPr>
          <w:rFonts w:ascii="Times New Roman" w:hAnsi="Times New Roman" w:cs="Times New Roman"/>
          <w:sz w:val="24"/>
          <w:szCs w:val="24"/>
        </w:rPr>
        <w:t xml:space="preserve">, </w:t>
      </w:r>
      <w:r w:rsidR="00A772C1" w:rsidRPr="00592B4C">
        <w:rPr>
          <w:rFonts w:ascii="Times New Roman" w:hAnsi="Times New Roman" w:cs="Times New Roman"/>
          <w:sz w:val="24"/>
          <w:szCs w:val="24"/>
        </w:rPr>
        <w:t>(2013),</w:t>
      </w:r>
      <w:r w:rsidRPr="00592B4C">
        <w:rPr>
          <w:rFonts w:ascii="Times New Roman" w:hAnsi="Times New Roman" w:cs="Times New Roman"/>
          <w:sz w:val="24"/>
          <w:szCs w:val="24"/>
        </w:rPr>
        <w:t xml:space="preserve"> “Türkiye’de Yabancı Bankaların Etkinliği: Veri Zarflama Analizi Uygulaması”,</w:t>
      </w:r>
      <w:r w:rsidR="00A772C1" w:rsidRPr="00592B4C">
        <w:rPr>
          <w:rFonts w:ascii="Times New Roman" w:hAnsi="Times New Roman" w:cs="Times New Roman"/>
          <w:sz w:val="24"/>
          <w:szCs w:val="24"/>
        </w:rPr>
        <w:t xml:space="preserve"> </w:t>
      </w:r>
      <w:r w:rsidRPr="00592B4C">
        <w:rPr>
          <w:rFonts w:ascii="Times New Roman" w:hAnsi="Times New Roman" w:cs="Times New Roman"/>
          <w:b/>
          <w:sz w:val="24"/>
          <w:szCs w:val="24"/>
        </w:rPr>
        <w:t>Marmara Üniversitesi, Finansal Araştırmalar ve Çalışmalar Dergisi,</w:t>
      </w:r>
      <w:r w:rsidRPr="00592B4C">
        <w:rPr>
          <w:rFonts w:ascii="Times New Roman" w:hAnsi="Times New Roman" w:cs="Times New Roman"/>
          <w:sz w:val="24"/>
          <w:szCs w:val="24"/>
        </w:rPr>
        <w:t xml:space="preserve"> </w:t>
      </w:r>
      <w:hyperlink r:id="rId54" w:history="1">
        <w:r w:rsidRPr="00592B4C">
          <w:rPr>
            <w:rStyle w:val="Kpr"/>
            <w:rFonts w:ascii="Times New Roman" w:hAnsi="Times New Roman" w:cs="Times New Roman"/>
            <w:sz w:val="24"/>
            <w:szCs w:val="24"/>
          </w:rPr>
          <w:t>http://e-dergi.marmara.edu.tr/marufacd/article/view/5000 004941</w:t>
        </w:r>
      </w:hyperlink>
      <w:r w:rsidRPr="00592B4C">
        <w:rPr>
          <w:rFonts w:ascii="Times New Roman" w:hAnsi="Times New Roman" w:cs="Times New Roman"/>
          <w:sz w:val="24"/>
          <w:szCs w:val="24"/>
        </w:rPr>
        <w:t>, Cilt 4, Say</w:t>
      </w:r>
      <w:r w:rsidR="00C77284" w:rsidRPr="00592B4C">
        <w:rPr>
          <w:rFonts w:ascii="Times New Roman" w:hAnsi="Times New Roman" w:cs="Times New Roman"/>
          <w:sz w:val="24"/>
          <w:szCs w:val="24"/>
        </w:rPr>
        <w:t>ı 8</w:t>
      </w:r>
      <w:r w:rsidRPr="00592B4C">
        <w:rPr>
          <w:rFonts w:ascii="Times New Roman" w:hAnsi="Times New Roman" w:cs="Times New Roman"/>
          <w:sz w:val="24"/>
          <w:szCs w:val="24"/>
        </w:rPr>
        <w:t>, s</w:t>
      </w:r>
      <w:r w:rsidR="00A772C1" w:rsidRPr="00592B4C">
        <w:rPr>
          <w:rFonts w:ascii="Times New Roman" w:hAnsi="Times New Roman" w:cs="Times New Roman"/>
          <w:sz w:val="24"/>
          <w:szCs w:val="24"/>
        </w:rPr>
        <w:t>s</w:t>
      </w:r>
      <w:r w:rsidRPr="00592B4C">
        <w:rPr>
          <w:rFonts w:ascii="Times New Roman" w:hAnsi="Times New Roman" w:cs="Times New Roman"/>
          <w:sz w:val="24"/>
          <w:szCs w:val="24"/>
        </w:rPr>
        <w:t>.1-16.</w:t>
      </w:r>
    </w:p>
    <w:p w:rsidR="00C77284" w:rsidRPr="002E402A" w:rsidRDefault="00C77284" w:rsidP="000A7CD7">
      <w:pPr>
        <w:spacing w:after="0" w:line="240" w:lineRule="auto"/>
        <w:ind w:left="567" w:hanging="567"/>
        <w:rPr>
          <w:rFonts w:ascii="Times New Roman" w:hAnsi="Times New Roman" w:cs="Times New Roman"/>
          <w:sz w:val="24"/>
          <w:szCs w:val="24"/>
        </w:rPr>
      </w:pPr>
    </w:p>
    <w:p w:rsidR="007A57AE" w:rsidRPr="00592B4C" w:rsidRDefault="007A57AE"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 xml:space="preserve">AKTAŞ, Hüseyin ve </w:t>
      </w:r>
      <w:r w:rsidR="007210D2" w:rsidRPr="00592B4C">
        <w:rPr>
          <w:rFonts w:ascii="Times New Roman" w:hAnsi="Times New Roman" w:cs="Times New Roman"/>
          <w:sz w:val="24"/>
          <w:szCs w:val="24"/>
        </w:rPr>
        <w:t>KÂR</w:t>
      </w:r>
      <w:r w:rsidRPr="00592B4C">
        <w:rPr>
          <w:rFonts w:ascii="Times New Roman" w:hAnsi="Times New Roman" w:cs="Times New Roman"/>
          <w:sz w:val="24"/>
          <w:szCs w:val="24"/>
        </w:rPr>
        <w:t>GIN, Mahmut,</w:t>
      </w:r>
      <w:r w:rsidR="00592B4C">
        <w:rPr>
          <w:rFonts w:ascii="Times New Roman" w:hAnsi="Times New Roman" w:cs="Times New Roman"/>
          <w:sz w:val="24"/>
          <w:szCs w:val="24"/>
        </w:rPr>
        <w:t xml:space="preserve"> </w:t>
      </w:r>
      <w:r w:rsidR="00C77284" w:rsidRPr="00592B4C">
        <w:rPr>
          <w:rFonts w:ascii="Times New Roman" w:hAnsi="Times New Roman" w:cs="Times New Roman"/>
          <w:sz w:val="24"/>
          <w:szCs w:val="24"/>
        </w:rPr>
        <w:t>(2007),</w:t>
      </w:r>
      <w:r w:rsidRPr="00592B4C">
        <w:rPr>
          <w:rFonts w:ascii="Times New Roman" w:hAnsi="Times New Roman" w:cs="Times New Roman"/>
          <w:sz w:val="24"/>
          <w:szCs w:val="24"/>
        </w:rPr>
        <w:t xml:space="preserve"> “Türk </w:t>
      </w:r>
      <w:r w:rsidR="00592B4C" w:rsidRPr="00592B4C">
        <w:rPr>
          <w:rFonts w:ascii="Times New Roman" w:hAnsi="Times New Roman" w:cs="Times New Roman"/>
          <w:sz w:val="24"/>
          <w:szCs w:val="24"/>
        </w:rPr>
        <w:t>Sermaye Piyasasın</w:t>
      </w:r>
      <w:r w:rsidR="00592B4C">
        <w:rPr>
          <w:rFonts w:ascii="Times New Roman" w:hAnsi="Times New Roman" w:cs="Times New Roman"/>
          <w:sz w:val="24"/>
          <w:szCs w:val="24"/>
        </w:rPr>
        <w:t>daki Aracı Kurumların Etkinlik v</w:t>
      </w:r>
      <w:r w:rsidR="00592B4C" w:rsidRPr="00592B4C">
        <w:rPr>
          <w:rFonts w:ascii="Times New Roman" w:hAnsi="Times New Roman" w:cs="Times New Roman"/>
          <w:sz w:val="24"/>
          <w:szCs w:val="24"/>
        </w:rPr>
        <w:t>e Verimliliği</w:t>
      </w:r>
      <w:r w:rsidRPr="00592B4C">
        <w:rPr>
          <w:rFonts w:ascii="Times New Roman" w:hAnsi="Times New Roman" w:cs="Times New Roman"/>
          <w:sz w:val="24"/>
          <w:szCs w:val="24"/>
        </w:rPr>
        <w:t xml:space="preserve">”, </w:t>
      </w:r>
      <w:r w:rsidRPr="00592B4C">
        <w:rPr>
          <w:rFonts w:ascii="Times New Roman" w:hAnsi="Times New Roman" w:cs="Times New Roman"/>
          <w:b/>
          <w:sz w:val="24"/>
          <w:szCs w:val="24"/>
        </w:rPr>
        <w:t>İktisat İşletme ve Finans Dergisi</w:t>
      </w:r>
      <w:r w:rsidRPr="00592B4C">
        <w:rPr>
          <w:rFonts w:ascii="Times New Roman" w:hAnsi="Times New Roman" w:cs="Times New Roman"/>
          <w:sz w:val="24"/>
          <w:szCs w:val="24"/>
        </w:rPr>
        <w:t xml:space="preserve">, </w:t>
      </w:r>
      <w:hyperlink r:id="rId55" w:history="1">
        <w:r w:rsidRPr="00592B4C">
          <w:rPr>
            <w:rStyle w:val="Kpr"/>
            <w:rFonts w:ascii="Times New Roman" w:hAnsi="Times New Roman" w:cs="Times New Roman"/>
            <w:sz w:val="24"/>
            <w:szCs w:val="24"/>
          </w:rPr>
          <w:t>http://www.iif.com.tr/index.php/iif/article/view/iif.2007.258.9844</w:t>
        </w:r>
      </w:hyperlink>
      <w:r w:rsidRPr="00592B4C">
        <w:rPr>
          <w:rFonts w:ascii="Times New Roman" w:hAnsi="Times New Roman" w:cs="Times New Roman"/>
          <w:sz w:val="24"/>
          <w:szCs w:val="24"/>
        </w:rPr>
        <w:t xml:space="preserve"> </w:t>
      </w:r>
      <w:r w:rsidR="00C77284" w:rsidRPr="00592B4C">
        <w:rPr>
          <w:rFonts w:ascii="Times New Roman" w:hAnsi="Times New Roman" w:cs="Times New Roman"/>
          <w:sz w:val="24"/>
          <w:szCs w:val="24"/>
        </w:rPr>
        <w:t>, Cilt:</w:t>
      </w:r>
      <w:r w:rsidR="00592B4C">
        <w:rPr>
          <w:rFonts w:ascii="Times New Roman" w:hAnsi="Times New Roman" w:cs="Times New Roman"/>
          <w:sz w:val="24"/>
          <w:szCs w:val="24"/>
        </w:rPr>
        <w:t xml:space="preserve"> </w:t>
      </w:r>
      <w:r w:rsidR="00C77284" w:rsidRPr="00592B4C">
        <w:rPr>
          <w:rFonts w:ascii="Times New Roman" w:hAnsi="Times New Roman" w:cs="Times New Roman"/>
          <w:sz w:val="24"/>
          <w:szCs w:val="24"/>
        </w:rPr>
        <w:t>22, Sayı 258</w:t>
      </w:r>
      <w:r w:rsidRPr="00592B4C">
        <w:rPr>
          <w:rFonts w:ascii="Times New Roman" w:hAnsi="Times New Roman" w:cs="Times New Roman"/>
          <w:sz w:val="24"/>
          <w:szCs w:val="24"/>
        </w:rPr>
        <w:t>, s</w:t>
      </w:r>
      <w:r w:rsidR="00C77284" w:rsidRPr="00592B4C">
        <w:rPr>
          <w:rFonts w:ascii="Times New Roman" w:hAnsi="Times New Roman" w:cs="Times New Roman"/>
          <w:sz w:val="24"/>
          <w:szCs w:val="24"/>
        </w:rPr>
        <w:t>s</w:t>
      </w:r>
      <w:r w:rsidRPr="00592B4C">
        <w:rPr>
          <w:rFonts w:ascii="Times New Roman" w:hAnsi="Times New Roman" w:cs="Times New Roman"/>
          <w:sz w:val="24"/>
          <w:szCs w:val="24"/>
        </w:rPr>
        <w:t>. 97-117.</w:t>
      </w:r>
    </w:p>
    <w:p w:rsidR="00592B4C" w:rsidRDefault="00E22588"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AKYÜZ, Yılmaz, YILDIZ, Feyyaz ve KAYA, Zübeyde,</w:t>
      </w:r>
      <w:r w:rsidR="00C77284" w:rsidRPr="00592B4C">
        <w:rPr>
          <w:rFonts w:ascii="Times New Roman" w:hAnsi="Times New Roman" w:cs="Times New Roman"/>
          <w:sz w:val="24"/>
          <w:szCs w:val="24"/>
        </w:rPr>
        <w:t xml:space="preserve"> (2013)</w:t>
      </w:r>
      <w:r w:rsidR="008E3146">
        <w:rPr>
          <w:rFonts w:ascii="Times New Roman" w:hAnsi="Times New Roman" w:cs="Times New Roman"/>
          <w:sz w:val="24"/>
          <w:szCs w:val="24"/>
        </w:rPr>
        <w:t>,</w:t>
      </w:r>
      <w:r w:rsidRPr="00592B4C">
        <w:rPr>
          <w:rFonts w:ascii="Times New Roman" w:hAnsi="Times New Roman" w:cs="Times New Roman"/>
          <w:sz w:val="24"/>
          <w:szCs w:val="24"/>
        </w:rPr>
        <w:t xml:space="preserve"> “Veri Zarflama Analizi (VZA) ve Malmquist Endeksi İle Toplam Faktör Verimlilik Ölçümü: BIST’te İşlem Gören Mevduat Bankaları Üzerine Bir Uygulama”, </w:t>
      </w:r>
      <w:r w:rsidRPr="00592B4C">
        <w:rPr>
          <w:rFonts w:ascii="Times New Roman" w:hAnsi="Times New Roman" w:cs="Times New Roman"/>
          <w:b/>
          <w:sz w:val="24"/>
          <w:szCs w:val="24"/>
        </w:rPr>
        <w:t>Atatürk Üniversitesi İktisadi ve İdari Bilimler Dergisi,</w:t>
      </w:r>
      <w:r w:rsidRPr="00592B4C">
        <w:rPr>
          <w:rFonts w:ascii="Times New Roman" w:hAnsi="Times New Roman" w:cs="Times New Roman"/>
          <w:sz w:val="24"/>
          <w:szCs w:val="24"/>
        </w:rPr>
        <w:t xml:space="preserve"> </w:t>
      </w:r>
    </w:p>
    <w:p w:rsidR="00E22588" w:rsidRPr="00592B4C" w:rsidRDefault="0075698F" w:rsidP="00592B4C">
      <w:pPr>
        <w:pStyle w:val="ListeParagraf"/>
        <w:spacing w:line="240" w:lineRule="auto"/>
        <w:rPr>
          <w:rFonts w:ascii="Times New Roman" w:hAnsi="Times New Roman" w:cs="Times New Roman"/>
          <w:sz w:val="24"/>
          <w:szCs w:val="24"/>
        </w:rPr>
      </w:pPr>
      <w:hyperlink r:id="rId56" w:history="1">
        <w:r w:rsidR="005A6B0D" w:rsidRPr="00592B4C">
          <w:rPr>
            <w:rStyle w:val="Kpr"/>
            <w:rFonts w:ascii="Times New Roman" w:hAnsi="Times New Roman" w:cs="Times New Roman"/>
            <w:sz w:val="24"/>
            <w:szCs w:val="24"/>
          </w:rPr>
          <w:t>http://e-dergi.atauni.edu.tr/atauniiibd/article/ view/1025008897/1025007797</w:t>
        </w:r>
      </w:hyperlink>
      <w:r w:rsidR="00C77284" w:rsidRPr="00592B4C">
        <w:rPr>
          <w:rFonts w:ascii="Times New Roman" w:hAnsi="Times New Roman" w:cs="Times New Roman"/>
          <w:sz w:val="24"/>
          <w:szCs w:val="24"/>
        </w:rPr>
        <w:t xml:space="preserve"> </w:t>
      </w:r>
      <w:r w:rsidR="00E22588" w:rsidRPr="00592B4C">
        <w:rPr>
          <w:rFonts w:ascii="Times New Roman" w:hAnsi="Times New Roman" w:cs="Times New Roman"/>
          <w:sz w:val="24"/>
          <w:szCs w:val="24"/>
        </w:rPr>
        <w:t xml:space="preserve">, Cilt </w:t>
      </w:r>
      <w:r w:rsidR="00C77284" w:rsidRPr="00592B4C">
        <w:rPr>
          <w:rFonts w:ascii="Times New Roman" w:hAnsi="Times New Roman" w:cs="Times New Roman"/>
          <w:sz w:val="24"/>
          <w:szCs w:val="24"/>
        </w:rPr>
        <w:t>27, Sayı 4.</w:t>
      </w:r>
    </w:p>
    <w:p w:rsidR="00003A2B" w:rsidRDefault="00003A2B"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 xml:space="preserve">ATAN, </w:t>
      </w:r>
      <w:r w:rsidR="004C4C63" w:rsidRPr="00592B4C">
        <w:rPr>
          <w:rFonts w:ascii="Times New Roman" w:hAnsi="Times New Roman" w:cs="Times New Roman"/>
          <w:sz w:val="24"/>
          <w:szCs w:val="24"/>
        </w:rPr>
        <w:t>Murat, (2003), “Türkiye Bankacılık Se</w:t>
      </w:r>
      <w:r w:rsidR="008E3146">
        <w:rPr>
          <w:rFonts w:ascii="Times New Roman" w:hAnsi="Times New Roman" w:cs="Times New Roman"/>
          <w:sz w:val="24"/>
          <w:szCs w:val="24"/>
        </w:rPr>
        <w:t>ktöründe Veri Zarflama Analizi İ</w:t>
      </w:r>
      <w:r w:rsidR="004C4C63" w:rsidRPr="00592B4C">
        <w:rPr>
          <w:rFonts w:ascii="Times New Roman" w:hAnsi="Times New Roman" w:cs="Times New Roman"/>
          <w:sz w:val="24"/>
          <w:szCs w:val="24"/>
        </w:rPr>
        <w:t xml:space="preserve">le Bilançoya Dayalı Mali Etkinlik ve Verimlilik Analizi”, </w:t>
      </w:r>
      <w:r w:rsidR="0059293B" w:rsidRPr="00592B4C">
        <w:rPr>
          <w:rFonts w:ascii="Times New Roman" w:hAnsi="Times New Roman" w:cs="Times New Roman"/>
          <w:b/>
          <w:sz w:val="24"/>
          <w:szCs w:val="24"/>
        </w:rPr>
        <w:t xml:space="preserve">Ekonomik Yaklaşım Dergisi, </w:t>
      </w:r>
      <w:hyperlink r:id="rId57" w:history="1">
        <w:r w:rsidR="0059293B" w:rsidRPr="00592B4C">
          <w:rPr>
            <w:rStyle w:val="Kpr"/>
            <w:rFonts w:ascii="Times New Roman" w:hAnsi="Times New Roman" w:cs="Times New Roman"/>
            <w:sz w:val="24"/>
            <w:szCs w:val="24"/>
          </w:rPr>
          <w:t>http://ekonomikyaklasim.org/pdfs2/EYD_V14_ N48_A05.pdf</w:t>
        </w:r>
      </w:hyperlink>
      <w:r w:rsidR="0059293B" w:rsidRPr="00592B4C">
        <w:rPr>
          <w:rFonts w:ascii="Times New Roman" w:hAnsi="Times New Roman" w:cs="Times New Roman"/>
          <w:sz w:val="24"/>
          <w:szCs w:val="24"/>
        </w:rPr>
        <w:t xml:space="preserve">, </w:t>
      </w:r>
      <w:r w:rsidR="004F3690" w:rsidRPr="00592B4C">
        <w:rPr>
          <w:rFonts w:ascii="Times New Roman" w:hAnsi="Times New Roman" w:cs="Times New Roman"/>
          <w:sz w:val="24"/>
          <w:szCs w:val="24"/>
        </w:rPr>
        <w:t>ss. 71-86.</w:t>
      </w:r>
    </w:p>
    <w:p w:rsidR="00592B4C" w:rsidRPr="00592B4C" w:rsidRDefault="00592B4C" w:rsidP="00592B4C">
      <w:pPr>
        <w:pStyle w:val="ListeParagraf"/>
        <w:spacing w:line="240" w:lineRule="auto"/>
        <w:rPr>
          <w:rFonts w:ascii="Times New Roman" w:hAnsi="Times New Roman" w:cs="Times New Roman"/>
          <w:sz w:val="24"/>
          <w:szCs w:val="24"/>
        </w:rPr>
      </w:pPr>
    </w:p>
    <w:p w:rsidR="006810AB" w:rsidRDefault="006810AB"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AVKİRAN, Necmi, K., (2010)</w:t>
      </w:r>
      <w:r w:rsidR="00511D9F">
        <w:rPr>
          <w:rFonts w:ascii="Times New Roman" w:hAnsi="Times New Roman" w:cs="Times New Roman"/>
          <w:sz w:val="24"/>
          <w:szCs w:val="24"/>
        </w:rPr>
        <w:t>,</w:t>
      </w:r>
      <w:r w:rsidRPr="00592B4C">
        <w:rPr>
          <w:rFonts w:ascii="Times New Roman" w:hAnsi="Times New Roman" w:cs="Times New Roman"/>
          <w:sz w:val="24"/>
          <w:szCs w:val="24"/>
        </w:rPr>
        <w:t xml:space="preserve"> “Association of DEA </w:t>
      </w:r>
      <w:r w:rsidR="00592B4C" w:rsidRPr="00592B4C">
        <w:rPr>
          <w:rFonts w:ascii="Times New Roman" w:hAnsi="Times New Roman" w:cs="Times New Roman"/>
          <w:sz w:val="24"/>
          <w:szCs w:val="24"/>
        </w:rPr>
        <w:t xml:space="preserve">Super-Efficiency Estimates </w:t>
      </w:r>
      <w:r w:rsidRPr="00592B4C">
        <w:rPr>
          <w:rFonts w:ascii="Times New Roman" w:hAnsi="Times New Roman" w:cs="Times New Roman"/>
          <w:sz w:val="24"/>
          <w:szCs w:val="24"/>
        </w:rPr>
        <w:t xml:space="preserve">with </w:t>
      </w:r>
      <w:r w:rsidR="00592B4C" w:rsidRPr="00592B4C">
        <w:rPr>
          <w:rFonts w:ascii="Times New Roman" w:hAnsi="Times New Roman" w:cs="Times New Roman"/>
          <w:sz w:val="24"/>
          <w:szCs w:val="24"/>
        </w:rPr>
        <w:t>Financial Ratios</w:t>
      </w:r>
      <w:r w:rsidRPr="00592B4C">
        <w:rPr>
          <w:rFonts w:ascii="Times New Roman" w:hAnsi="Times New Roman" w:cs="Times New Roman"/>
          <w:sz w:val="24"/>
          <w:szCs w:val="24"/>
        </w:rPr>
        <w:t xml:space="preserve">: Investigating the </w:t>
      </w:r>
      <w:r w:rsidR="00592B4C">
        <w:rPr>
          <w:rFonts w:ascii="Times New Roman" w:hAnsi="Times New Roman" w:cs="Times New Roman"/>
          <w:sz w:val="24"/>
          <w:szCs w:val="24"/>
        </w:rPr>
        <w:t>C</w:t>
      </w:r>
      <w:r w:rsidRPr="00592B4C">
        <w:rPr>
          <w:rFonts w:ascii="Times New Roman" w:hAnsi="Times New Roman" w:cs="Times New Roman"/>
          <w:sz w:val="24"/>
          <w:szCs w:val="24"/>
        </w:rPr>
        <w:t xml:space="preserve">ase for Chinese </w:t>
      </w:r>
      <w:r w:rsidR="00592B4C">
        <w:rPr>
          <w:rFonts w:ascii="Times New Roman" w:hAnsi="Times New Roman" w:cs="Times New Roman"/>
          <w:sz w:val="24"/>
          <w:szCs w:val="24"/>
        </w:rPr>
        <w:t>B</w:t>
      </w:r>
      <w:r w:rsidRPr="00592B4C">
        <w:rPr>
          <w:rFonts w:ascii="Times New Roman" w:hAnsi="Times New Roman" w:cs="Times New Roman"/>
          <w:sz w:val="24"/>
          <w:szCs w:val="24"/>
        </w:rPr>
        <w:t xml:space="preserve">anks”, </w:t>
      </w:r>
      <w:r w:rsidR="00123531" w:rsidRPr="00592B4C">
        <w:rPr>
          <w:rFonts w:ascii="Times New Roman" w:hAnsi="Times New Roman" w:cs="Times New Roman"/>
          <w:b/>
          <w:sz w:val="24"/>
          <w:szCs w:val="24"/>
        </w:rPr>
        <w:t xml:space="preserve">Omega, </w:t>
      </w:r>
      <w:hyperlink r:id="rId58" w:history="1">
        <w:r w:rsidR="00123531" w:rsidRPr="00592B4C">
          <w:rPr>
            <w:rStyle w:val="Kpr"/>
            <w:rFonts w:ascii="Times New Roman" w:hAnsi="Times New Roman" w:cs="Times New Roman"/>
            <w:sz w:val="24"/>
            <w:szCs w:val="24"/>
          </w:rPr>
          <w:t>www.elsevier.com/locate/omega</w:t>
        </w:r>
      </w:hyperlink>
      <w:r w:rsidR="00123531" w:rsidRPr="00592B4C">
        <w:rPr>
          <w:rFonts w:ascii="Times New Roman" w:hAnsi="Times New Roman" w:cs="Times New Roman"/>
          <w:sz w:val="24"/>
          <w:szCs w:val="24"/>
        </w:rPr>
        <w:t xml:space="preserve"> , Sayı 39, ss.</w:t>
      </w:r>
      <w:r w:rsidR="00592B4C">
        <w:rPr>
          <w:rFonts w:ascii="Times New Roman" w:hAnsi="Times New Roman" w:cs="Times New Roman"/>
          <w:sz w:val="24"/>
          <w:szCs w:val="24"/>
        </w:rPr>
        <w:t xml:space="preserve"> </w:t>
      </w:r>
      <w:r w:rsidR="00123531" w:rsidRPr="00592B4C">
        <w:rPr>
          <w:rFonts w:ascii="Times New Roman" w:hAnsi="Times New Roman" w:cs="Times New Roman"/>
          <w:sz w:val="24"/>
          <w:szCs w:val="24"/>
        </w:rPr>
        <w:t>323-334.</w:t>
      </w:r>
    </w:p>
    <w:p w:rsidR="00592B4C" w:rsidRPr="00592B4C" w:rsidRDefault="00592B4C" w:rsidP="00592B4C">
      <w:pPr>
        <w:pStyle w:val="ListeParagraf"/>
        <w:rPr>
          <w:rFonts w:ascii="Times New Roman" w:hAnsi="Times New Roman" w:cs="Times New Roman"/>
          <w:sz w:val="24"/>
          <w:szCs w:val="24"/>
        </w:rPr>
      </w:pPr>
    </w:p>
    <w:p w:rsidR="009010BE" w:rsidRPr="00592B4C" w:rsidRDefault="009010BE"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BAŞKAYA, Doç. Dr.</w:t>
      </w:r>
      <w:r w:rsidR="00592B4C">
        <w:rPr>
          <w:rFonts w:ascii="Times New Roman" w:hAnsi="Times New Roman" w:cs="Times New Roman"/>
          <w:sz w:val="24"/>
          <w:szCs w:val="24"/>
        </w:rPr>
        <w:t>,</w:t>
      </w:r>
      <w:r w:rsidRPr="00592B4C">
        <w:rPr>
          <w:rFonts w:ascii="Times New Roman" w:hAnsi="Times New Roman" w:cs="Times New Roman"/>
          <w:sz w:val="24"/>
          <w:szCs w:val="24"/>
        </w:rPr>
        <w:t xml:space="preserve"> Zehra ve AVCI,</w:t>
      </w:r>
      <w:r w:rsidR="00592B4C">
        <w:rPr>
          <w:rFonts w:ascii="Times New Roman" w:hAnsi="Times New Roman" w:cs="Times New Roman"/>
          <w:sz w:val="24"/>
          <w:szCs w:val="24"/>
        </w:rPr>
        <w:t xml:space="preserve"> Arş</w:t>
      </w:r>
      <w:r w:rsidRPr="00592B4C">
        <w:rPr>
          <w:rFonts w:ascii="Times New Roman" w:hAnsi="Times New Roman" w:cs="Times New Roman"/>
          <w:sz w:val="24"/>
          <w:szCs w:val="24"/>
        </w:rPr>
        <w:t>. Gör.</w:t>
      </w:r>
      <w:r w:rsidR="00592B4C">
        <w:rPr>
          <w:rFonts w:ascii="Times New Roman" w:hAnsi="Times New Roman" w:cs="Times New Roman"/>
          <w:sz w:val="24"/>
          <w:szCs w:val="24"/>
        </w:rPr>
        <w:t>,</w:t>
      </w:r>
      <w:r w:rsidRPr="00592B4C">
        <w:rPr>
          <w:rFonts w:ascii="Times New Roman" w:hAnsi="Times New Roman" w:cs="Times New Roman"/>
          <w:sz w:val="24"/>
          <w:szCs w:val="24"/>
        </w:rPr>
        <w:t xml:space="preserve"> Burcu, </w:t>
      </w:r>
      <w:r w:rsidR="00D10DFD" w:rsidRPr="00592B4C">
        <w:rPr>
          <w:rFonts w:ascii="Times New Roman" w:hAnsi="Times New Roman" w:cs="Times New Roman"/>
          <w:sz w:val="24"/>
          <w:szCs w:val="24"/>
        </w:rPr>
        <w:t xml:space="preserve">(2011), </w:t>
      </w:r>
      <w:r w:rsidRPr="00592B4C">
        <w:rPr>
          <w:rFonts w:ascii="Times New Roman" w:hAnsi="Times New Roman" w:cs="Times New Roman"/>
          <w:sz w:val="24"/>
          <w:szCs w:val="24"/>
        </w:rPr>
        <w:t xml:space="preserve">“Veri Zarflama Analizi”, </w:t>
      </w:r>
      <w:r w:rsidRPr="00592B4C">
        <w:rPr>
          <w:rFonts w:ascii="Times New Roman" w:hAnsi="Times New Roman" w:cs="Times New Roman"/>
          <w:b/>
          <w:sz w:val="24"/>
          <w:szCs w:val="24"/>
        </w:rPr>
        <w:t>Dora Y</w:t>
      </w:r>
      <w:r w:rsidR="00D10DFD" w:rsidRPr="00592B4C">
        <w:rPr>
          <w:rFonts w:ascii="Times New Roman" w:hAnsi="Times New Roman" w:cs="Times New Roman"/>
          <w:b/>
          <w:sz w:val="24"/>
          <w:szCs w:val="24"/>
        </w:rPr>
        <w:t>ayınları</w:t>
      </w:r>
      <w:r w:rsidR="00D10DFD" w:rsidRPr="00592B4C">
        <w:rPr>
          <w:rFonts w:ascii="Times New Roman" w:hAnsi="Times New Roman" w:cs="Times New Roman"/>
          <w:sz w:val="24"/>
          <w:szCs w:val="24"/>
        </w:rPr>
        <w:t>, 1. Baskı, Bursa.</w:t>
      </w:r>
    </w:p>
    <w:p w:rsidR="009010BE" w:rsidRPr="002E402A" w:rsidRDefault="009010BE" w:rsidP="000A7CD7">
      <w:pPr>
        <w:spacing w:after="0" w:line="240" w:lineRule="auto"/>
        <w:ind w:left="567" w:hanging="567"/>
        <w:rPr>
          <w:rFonts w:ascii="Times New Roman" w:hAnsi="Times New Roman" w:cs="Times New Roman"/>
          <w:sz w:val="24"/>
          <w:szCs w:val="24"/>
        </w:rPr>
      </w:pPr>
    </w:p>
    <w:p w:rsidR="009E6B54" w:rsidRPr="00592B4C" w:rsidRDefault="009E6B54"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BEHDİOĞLU, Yrd. Doç</w:t>
      </w:r>
      <w:r w:rsidR="00592B4C">
        <w:rPr>
          <w:rFonts w:ascii="Times New Roman" w:hAnsi="Times New Roman" w:cs="Times New Roman"/>
          <w:sz w:val="24"/>
          <w:szCs w:val="24"/>
        </w:rPr>
        <w:t>.</w:t>
      </w:r>
      <w:r w:rsidRPr="00592B4C">
        <w:rPr>
          <w:rFonts w:ascii="Times New Roman" w:hAnsi="Times New Roman" w:cs="Times New Roman"/>
          <w:sz w:val="24"/>
          <w:szCs w:val="24"/>
        </w:rPr>
        <w:t xml:space="preserve"> </w:t>
      </w:r>
      <w:r w:rsidR="00592B4C">
        <w:rPr>
          <w:rFonts w:ascii="Times New Roman" w:hAnsi="Times New Roman" w:cs="Times New Roman"/>
          <w:sz w:val="24"/>
          <w:szCs w:val="24"/>
        </w:rPr>
        <w:t xml:space="preserve"> </w:t>
      </w:r>
      <w:r w:rsidRPr="00592B4C">
        <w:rPr>
          <w:rFonts w:ascii="Times New Roman" w:hAnsi="Times New Roman" w:cs="Times New Roman"/>
          <w:sz w:val="24"/>
          <w:szCs w:val="24"/>
        </w:rPr>
        <w:t>Dr.</w:t>
      </w:r>
      <w:r w:rsidR="00592B4C">
        <w:rPr>
          <w:rFonts w:ascii="Times New Roman" w:hAnsi="Times New Roman" w:cs="Times New Roman"/>
          <w:sz w:val="24"/>
          <w:szCs w:val="24"/>
        </w:rPr>
        <w:t>,</w:t>
      </w:r>
      <w:r w:rsidRPr="00592B4C">
        <w:rPr>
          <w:rFonts w:ascii="Times New Roman" w:hAnsi="Times New Roman" w:cs="Times New Roman"/>
          <w:sz w:val="24"/>
          <w:szCs w:val="24"/>
        </w:rPr>
        <w:t xml:space="preserve"> Sema</w:t>
      </w:r>
      <w:r w:rsidR="002D1B4A" w:rsidRPr="00592B4C">
        <w:rPr>
          <w:rFonts w:ascii="Times New Roman" w:hAnsi="Times New Roman" w:cs="Times New Roman"/>
          <w:sz w:val="24"/>
          <w:szCs w:val="24"/>
        </w:rPr>
        <w:t xml:space="preserve"> ve</w:t>
      </w:r>
      <w:r w:rsidRPr="00592B4C">
        <w:rPr>
          <w:rFonts w:ascii="Times New Roman" w:hAnsi="Times New Roman" w:cs="Times New Roman"/>
          <w:sz w:val="24"/>
          <w:szCs w:val="24"/>
        </w:rPr>
        <w:t xml:space="preserve"> ÖZCAN, Arş. Gör.</w:t>
      </w:r>
      <w:r w:rsidR="00592B4C">
        <w:rPr>
          <w:rFonts w:ascii="Times New Roman" w:hAnsi="Times New Roman" w:cs="Times New Roman"/>
          <w:sz w:val="24"/>
          <w:szCs w:val="24"/>
        </w:rPr>
        <w:t xml:space="preserve">, </w:t>
      </w:r>
      <w:r w:rsidRPr="00592B4C">
        <w:rPr>
          <w:rFonts w:ascii="Times New Roman" w:hAnsi="Times New Roman" w:cs="Times New Roman"/>
          <w:sz w:val="24"/>
          <w:szCs w:val="24"/>
        </w:rPr>
        <w:t xml:space="preserve">Gözde, </w:t>
      </w:r>
      <w:r w:rsidR="00A578FE" w:rsidRPr="00592B4C">
        <w:rPr>
          <w:rFonts w:ascii="Times New Roman" w:hAnsi="Times New Roman" w:cs="Times New Roman"/>
          <w:sz w:val="24"/>
          <w:szCs w:val="24"/>
        </w:rPr>
        <w:t xml:space="preserve">(2009), </w:t>
      </w:r>
      <w:r w:rsidR="00592B4C">
        <w:rPr>
          <w:rFonts w:ascii="Times New Roman" w:hAnsi="Times New Roman" w:cs="Times New Roman"/>
          <w:sz w:val="24"/>
          <w:szCs w:val="24"/>
        </w:rPr>
        <w:t>“Veri Zarflama Analizi İ</w:t>
      </w:r>
      <w:r w:rsidRPr="00592B4C">
        <w:rPr>
          <w:rFonts w:ascii="Times New Roman" w:hAnsi="Times New Roman" w:cs="Times New Roman"/>
          <w:sz w:val="24"/>
          <w:szCs w:val="24"/>
        </w:rPr>
        <w:t xml:space="preserve">le Bankacılık Sektöründe Bir Uygulama”, </w:t>
      </w:r>
      <w:r w:rsidRPr="00592B4C">
        <w:rPr>
          <w:rFonts w:ascii="Times New Roman" w:hAnsi="Times New Roman" w:cs="Times New Roman"/>
          <w:b/>
          <w:sz w:val="24"/>
          <w:szCs w:val="24"/>
        </w:rPr>
        <w:t>Süleyman Demirel Üniversitesi İktisadi ve İdari Bilimler Fakültesi Dergisi</w:t>
      </w:r>
      <w:r w:rsidRPr="00592B4C">
        <w:rPr>
          <w:rFonts w:ascii="Times New Roman" w:hAnsi="Times New Roman" w:cs="Times New Roman"/>
          <w:sz w:val="24"/>
          <w:szCs w:val="24"/>
        </w:rPr>
        <w:t xml:space="preserve">, </w:t>
      </w:r>
      <w:hyperlink r:id="rId59" w:history="1">
        <w:r w:rsidRPr="00592B4C">
          <w:rPr>
            <w:rStyle w:val="Kpr"/>
            <w:rFonts w:ascii="Times New Roman" w:hAnsi="Times New Roman" w:cs="Times New Roman"/>
            <w:sz w:val="24"/>
            <w:szCs w:val="24"/>
          </w:rPr>
          <w:t>http://iibfdergi.sdu.edu.tr/tr/yayinlanmis-sayilar/yil-2009-cilt-14-sayi-3-5255s.html</w:t>
        </w:r>
      </w:hyperlink>
      <w:r w:rsidR="00A578FE" w:rsidRPr="00592B4C">
        <w:rPr>
          <w:rFonts w:ascii="Times New Roman" w:hAnsi="Times New Roman" w:cs="Times New Roman"/>
          <w:sz w:val="24"/>
          <w:szCs w:val="24"/>
        </w:rPr>
        <w:t xml:space="preserve"> , Cilt 14, Sayı 3</w:t>
      </w:r>
      <w:r w:rsidRPr="00592B4C">
        <w:rPr>
          <w:rFonts w:ascii="Times New Roman" w:hAnsi="Times New Roman" w:cs="Times New Roman"/>
          <w:sz w:val="24"/>
          <w:szCs w:val="24"/>
        </w:rPr>
        <w:t>, s</w:t>
      </w:r>
      <w:r w:rsidR="00A578FE" w:rsidRPr="00592B4C">
        <w:rPr>
          <w:rFonts w:ascii="Times New Roman" w:hAnsi="Times New Roman" w:cs="Times New Roman"/>
          <w:sz w:val="24"/>
          <w:szCs w:val="24"/>
        </w:rPr>
        <w:t>s</w:t>
      </w:r>
      <w:r w:rsidRPr="00592B4C">
        <w:rPr>
          <w:rFonts w:ascii="Times New Roman" w:hAnsi="Times New Roman" w:cs="Times New Roman"/>
          <w:sz w:val="24"/>
          <w:szCs w:val="24"/>
        </w:rPr>
        <w:t>.</w:t>
      </w:r>
      <w:r w:rsidR="00592B4C">
        <w:rPr>
          <w:rFonts w:ascii="Times New Roman" w:hAnsi="Times New Roman" w:cs="Times New Roman"/>
          <w:sz w:val="24"/>
          <w:szCs w:val="24"/>
        </w:rPr>
        <w:t xml:space="preserve"> </w:t>
      </w:r>
      <w:r w:rsidRPr="00592B4C">
        <w:rPr>
          <w:rFonts w:ascii="Times New Roman" w:hAnsi="Times New Roman" w:cs="Times New Roman"/>
          <w:sz w:val="24"/>
          <w:szCs w:val="24"/>
        </w:rPr>
        <w:t>301-326.</w:t>
      </w:r>
    </w:p>
    <w:p w:rsidR="00A578FE" w:rsidRPr="002E402A" w:rsidRDefault="00A578FE" w:rsidP="000A7CD7">
      <w:pPr>
        <w:spacing w:after="0" w:line="240" w:lineRule="auto"/>
        <w:ind w:left="567" w:hanging="567"/>
        <w:rPr>
          <w:rFonts w:ascii="Times New Roman" w:hAnsi="Times New Roman" w:cs="Times New Roman"/>
          <w:sz w:val="24"/>
          <w:szCs w:val="24"/>
        </w:rPr>
      </w:pPr>
    </w:p>
    <w:p w:rsidR="001D29AE" w:rsidRPr="00592B4C" w:rsidRDefault="001D29AE"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BEKTAŞ, Hakan,</w:t>
      </w:r>
      <w:r w:rsidR="00D5342B" w:rsidRPr="00592B4C">
        <w:rPr>
          <w:rFonts w:ascii="Times New Roman" w:hAnsi="Times New Roman" w:cs="Times New Roman"/>
          <w:sz w:val="24"/>
          <w:szCs w:val="24"/>
        </w:rPr>
        <w:t xml:space="preserve"> (2013),</w:t>
      </w:r>
      <w:r w:rsidRPr="00592B4C">
        <w:rPr>
          <w:rFonts w:ascii="Times New Roman" w:hAnsi="Times New Roman" w:cs="Times New Roman"/>
          <w:sz w:val="24"/>
          <w:szCs w:val="24"/>
        </w:rPr>
        <w:t xml:space="preserve"> “Türk Bankacılık Sektöründe Etkinlik Analizi”, </w:t>
      </w:r>
      <w:r w:rsidRPr="00592B4C">
        <w:rPr>
          <w:rFonts w:ascii="Times New Roman" w:hAnsi="Times New Roman" w:cs="Times New Roman"/>
          <w:b/>
          <w:sz w:val="24"/>
          <w:szCs w:val="24"/>
        </w:rPr>
        <w:t>Sosyo Ekonomi Dergisi</w:t>
      </w:r>
      <w:r w:rsidRPr="00592B4C">
        <w:rPr>
          <w:rFonts w:ascii="Times New Roman" w:hAnsi="Times New Roman" w:cs="Times New Roman"/>
          <w:sz w:val="24"/>
          <w:szCs w:val="24"/>
        </w:rPr>
        <w:t xml:space="preserve">, </w:t>
      </w:r>
      <w:hyperlink r:id="rId60" w:history="1">
        <w:r w:rsidRPr="00592B4C">
          <w:rPr>
            <w:rStyle w:val="Kpr"/>
            <w:rFonts w:ascii="Times New Roman" w:hAnsi="Times New Roman" w:cs="Times New Roman"/>
            <w:sz w:val="24"/>
            <w:szCs w:val="24"/>
          </w:rPr>
          <w:t>http://www.sosyoekonomi.org/ 130114.pdf</w:t>
        </w:r>
      </w:hyperlink>
      <w:r w:rsidRPr="00592B4C">
        <w:rPr>
          <w:rFonts w:ascii="Times New Roman" w:hAnsi="Times New Roman" w:cs="Times New Roman"/>
          <w:sz w:val="24"/>
          <w:szCs w:val="24"/>
        </w:rPr>
        <w:t>,  Sayı 1, s</w:t>
      </w:r>
      <w:r w:rsidR="00D5342B" w:rsidRPr="00592B4C">
        <w:rPr>
          <w:rFonts w:ascii="Times New Roman" w:hAnsi="Times New Roman" w:cs="Times New Roman"/>
          <w:sz w:val="24"/>
          <w:szCs w:val="24"/>
        </w:rPr>
        <w:t>s</w:t>
      </w:r>
      <w:r w:rsidRPr="00592B4C">
        <w:rPr>
          <w:rFonts w:ascii="Times New Roman" w:hAnsi="Times New Roman" w:cs="Times New Roman"/>
          <w:sz w:val="24"/>
          <w:szCs w:val="24"/>
        </w:rPr>
        <w:t>.</w:t>
      </w:r>
      <w:r w:rsidR="00D5342B" w:rsidRPr="00592B4C">
        <w:rPr>
          <w:rFonts w:ascii="Times New Roman" w:hAnsi="Times New Roman" w:cs="Times New Roman"/>
          <w:sz w:val="24"/>
          <w:szCs w:val="24"/>
        </w:rPr>
        <w:t xml:space="preserve"> </w:t>
      </w:r>
      <w:r w:rsidRPr="00592B4C">
        <w:rPr>
          <w:rFonts w:ascii="Times New Roman" w:hAnsi="Times New Roman" w:cs="Times New Roman"/>
          <w:sz w:val="24"/>
          <w:szCs w:val="24"/>
        </w:rPr>
        <w:t>277-294.</w:t>
      </w:r>
    </w:p>
    <w:p w:rsidR="001D29AE" w:rsidRPr="002E402A" w:rsidRDefault="001D29AE" w:rsidP="000A7CD7">
      <w:pPr>
        <w:spacing w:line="240" w:lineRule="auto"/>
        <w:ind w:left="567" w:hanging="567"/>
        <w:rPr>
          <w:rFonts w:ascii="Times New Roman" w:hAnsi="Times New Roman" w:cs="Times New Roman"/>
          <w:sz w:val="24"/>
          <w:szCs w:val="24"/>
        </w:rPr>
      </w:pPr>
    </w:p>
    <w:p w:rsidR="00D8794D" w:rsidRPr="00592B4C" w:rsidRDefault="00D8794D"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 xml:space="preserve">BENLİ, Yasemin Keskin, (2012), “Veri Zarflama Analizi (VZA) ve Malmquist Toplam Faktör Verimliliği (TFV): Konaklama İşletmelerinde Bir Uygulama”, </w:t>
      </w:r>
      <w:r w:rsidRPr="00592B4C">
        <w:rPr>
          <w:rFonts w:ascii="Times New Roman" w:hAnsi="Times New Roman" w:cs="Times New Roman"/>
          <w:b/>
          <w:sz w:val="24"/>
          <w:szCs w:val="24"/>
        </w:rPr>
        <w:t xml:space="preserve">Ege </w:t>
      </w:r>
      <w:r w:rsidR="00AD60C4" w:rsidRPr="00592B4C">
        <w:rPr>
          <w:rFonts w:ascii="Times New Roman" w:hAnsi="Times New Roman" w:cs="Times New Roman"/>
          <w:b/>
          <w:sz w:val="24"/>
          <w:szCs w:val="24"/>
        </w:rPr>
        <w:t>Akademik</w:t>
      </w:r>
      <w:r w:rsidRPr="00592B4C">
        <w:rPr>
          <w:rFonts w:ascii="Times New Roman" w:hAnsi="Times New Roman" w:cs="Times New Roman"/>
          <w:b/>
          <w:sz w:val="24"/>
          <w:szCs w:val="24"/>
        </w:rPr>
        <w:t xml:space="preserve"> Bakış Dergisi</w:t>
      </w:r>
      <w:r w:rsidRPr="00592B4C">
        <w:rPr>
          <w:rFonts w:ascii="Times New Roman" w:hAnsi="Times New Roman" w:cs="Times New Roman"/>
          <w:sz w:val="24"/>
          <w:szCs w:val="24"/>
        </w:rPr>
        <w:t>, Cilt 12, Sayı 3, ss.376-377.</w:t>
      </w:r>
    </w:p>
    <w:p w:rsidR="00EB378E" w:rsidRPr="002E402A" w:rsidRDefault="00EB378E" w:rsidP="000A7CD7">
      <w:pPr>
        <w:spacing w:after="0" w:line="240" w:lineRule="auto"/>
        <w:ind w:left="567" w:hanging="567"/>
        <w:rPr>
          <w:rFonts w:ascii="Times New Roman" w:hAnsi="Times New Roman" w:cs="Times New Roman"/>
          <w:sz w:val="24"/>
          <w:szCs w:val="24"/>
        </w:rPr>
      </w:pPr>
    </w:p>
    <w:p w:rsidR="00EB378E" w:rsidRPr="00592B4C" w:rsidRDefault="00774BC6" w:rsidP="00592B4C">
      <w:pPr>
        <w:pStyle w:val="ListeParagraf"/>
        <w:numPr>
          <w:ilvl w:val="0"/>
          <w:numId w:val="6"/>
        </w:numPr>
        <w:spacing w:line="240" w:lineRule="auto"/>
        <w:rPr>
          <w:rFonts w:ascii="Times New Roman" w:hAnsi="Times New Roman" w:cs="Times New Roman"/>
          <w:b/>
          <w:sz w:val="24"/>
          <w:szCs w:val="24"/>
        </w:rPr>
      </w:pPr>
      <w:r>
        <w:rPr>
          <w:rFonts w:ascii="Times New Roman" w:hAnsi="Times New Roman" w:cs="Times New Roman"/>
          <w:sz w:val="24"/>
          <w:szCs w:val="24"/>
        </w:rPr>
        <w:lastRenderedPageBreak/>
        <w:t>CHHI</w:t>
      </w:r>
      <w:r w:rsidR="007210D2" w:rsidRPr="00592B4C">
        <w:rPr>
          <w:rFonts w:ascii="Times New Roman" w:hAnsi="Times New Roman" w:cs="Times New Roman"/>
          <w:sz w:val="24"/>
          <w:szCs w:val="24"/>
        </w:rPr>
        <w:t>KÂR</w:t>
      </w:r>
      <w:r>
        <w:rPr>
          <w:rFonts w:ascii="Times New Roman" w:hAnsi="Times New Roman" w:cs="Times New Roman"/>
          <w:sz w:val="24"/>
          <w:szCs w:val="24"/>
        </w:rPr>
        <w:t>A, Kuldip S. ve RANI</w:t>
      </w:r>
      <w:r w:rsidR="00EB378E" w:rsidRPr="00592B4C">
        <w:rPr>
          <w:rFonts w:ascii="Times New Roman" w:hAnsi="Times New Roman" w:cs="Times New Roman"/>
          <w:sz w:val="24"/>
          <w:szCs w:val="24"/>
        </w:rPr>
        <w:t xml:space="preserve">, Sangita, (2012), “Measuring Efficiency of Public Sector Banks in India by using Data Envelopment Analysis : A Study”, </w:t>
      </w:r>
      <w:r w:rsidR="00EB378E" w:rsidRPr="00592B4C">
        <w:rPr>
          <w:rFonts w:ascii="Times New Roman" w:hAnsi="Times New Roman" w:cs="Times New Roman"/>
          <w:b/>
          <w:sz w:val="24"/>
          <w:szCs w:val="24"/>
        </w:rPr>
        <w:t>The Journal of Institute of Public Enterprise</w:t>
      </w:r>
      <w:r w:rsidR="00EB378E" w:rsidRPr="00592B4C">
        <w:rPr>
          <w:rFonts w:ascii="Times New Roman" w:hAnsi="Times New Roman" w:cs="Times New Roman"/>
          <w:sz w:val="24"/>
          <w:szCs w:val="24"/>
        </w:rPr>
        <w:t>, Vol. 35, No. 3&amp;4, ss.1-15.</w:t>
      </w:r>
    </w:p>
    <w:p w:rsidR="00592B4C" w:rsidRPr="00592B4C" w:rsidRDefault="00592B4C" w:rsidP="00592B4C">
      <w:pPr>
        <w:pStyle w:val="ListeParagraf"/>
        <w:rPr>
          <w:rFonts w:ascii="Times New Roman" w:hAnsi="Times New Roman" w:cs="Times New Roman"/>
          <w:b/>
          <w:sz w:val="24"/>
          <w:szCs w:val="24"/>
        </w:rPr>
      </w:pPr>
    </w:p>
    <w:p w:rsidR="00D17B98" w:rsidRDefault="00D17B98"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CHO</w:t>
      </w:r>
      <w:r w:rsidR="007A400B">
        <w:rPr>
          <w:rFonts w:ascii="Times New Roman" w:hAnsi="Times New Roman" w:cs="Times New Roman"/>
          <w:sz w:val="24"/>
          <w:szCs w:val="24"/>
        </w:rPr>
        <w:t>RTAREAS, Gergios E., GARZA-GARCIA, Jesus G. ve GI</w:t>
      </w:r>
      <w:r w:rsidRPr="00592B4C">
        <w:rPr>
          <w:rFonts w:ascii="Times New Roman" w:hAnsi="Times New Roman" w:cs="Times New Roman"/>
          <w:sz w:val="24"/>
          <w:szCs w:val="24"/>
        </w:rPr>
        <w:t xml:space="preserve">RARDONE, Claudia, (2011), “Banking Sector Performance in Latin America: Market Power versus Efficiency”, </w:t>
      </w:r>
      <w:r w:rsidRPr="00592B4C">
        <w:rPr>
          <w:rFonts w:ascii="Times New Roman" w:hAnsi="Times New Roman" w:cs="Times New Roman"/>
          <w:b/>
          <w:sz w:val="24"/>
          <w:szCs w:val="24"/>
        </w:rPr>
        <w:t>Review of Development Economics Journal</w:t>
      </w:r>
      <w:r w:rsidRPr="00592B4C">
        <w:rPr>
          <w:rFonts w:ascii="Times New Roman" w:hAnsi="Times New Roman" w:cs="Times New Roman"/>
          <w:sz w:val="24"/>
          <w:szCs w:val="24"/>
        </w:rPr>
        <w:t>, Sayı 15 (2), 307-325.</w:t>
      </w:r>
    </w:p>
    <w:p w:rsidR="00592B4C" w:rsidRPr="00592B4C" w:rsidRDefault="00592B4C" w:rsidP="00592B4C">
      <w:pPr>
        <w:pStyle w:val="ListeParagraf"/>
        <w:rPr>
          <w:rFonts w:ascii="Times New Roman" w:hAnsi="Times New Roman" w:cs="Times New Roman"/>
          <w:sz w:val="24"/>
          <w:szCs w:val="24"/>
        </w:rPr>
      </w:pPr>
    </w:p>
    <w:p w:rsidR="00EB378E" w:rsidRDefault="00E141CF" w:rsidP="00E141CF">
      <w:pPr>
        <w:pStyle w:val="ListeParagraf"/>
        <w:numPr>
          <w:ilvl w:val="0"/>
          <w:numId w:val="6"/>
        </w:numPr>
        <w:spacing w:line="240" w:lineRule="auto"/>
        <w:jc w:val="left"/>
        <w:rPr>
          <w:rFonts w:ascii="Times New Roman" w:hAnsi="Times New Roman" w:cs="Times New Roman"/>
          <w:sz w:val="24"/>
          <w:szCs w:val="24"/>
        </w:rPr>
      </w:pPr>
      <w:r>
        <w:rPr>
          <w:rFonts w:ascii="Times New Roman" w:hAnsi="Times New Roman" w:cs="Times New Roman"/>
          <w:sz w:val="24"/>
          <w:szCs w:val="24"/>
        </w:rPr>
        <w:t>CURI</w:t>
      </w:r>
      <w:r w:rsidR="00EB378E" w:rsidRPr="00592B4C">
        <w:rPr>
          <w:rFonts w:ascii="Times New Roman" w:hAnsi="Times New Roman" w:cs="Times New Roman"/>
          <w:sz w:val="24"/>
          <w:szCs w:val="24"/>
        </w:rPr>
        <w:t xml:space="preserve">, Claudia, GUARDA, Paolo, LOZANO-VIVAS, Ana ve ZELENYUK, Valentin, (2012), </w:t>
      </w:r>
      <w:r w:rsidR="00EB378E" w:rsidRPr="00E141CF">
        <w:rPr>
          <w:rFonts w:ascii="Times New Roman" w:hAnsi="Times New Roman" w:cs="Times New Roman"/>
          <w:b/>
          <w:sz w:val="24"/>
          <w:szCs w:val="24"/>
        </w:rPr>
        <w:t xml:space="preserve">“Is </w:t>
      </w:r>
      <w:r w:rsidRPr="00E141CF">
        <w:rPr>
          <w:rFonts w:ascii="Times New Roman" w:hAnsi="Times New Roman" w:cs="Times New Roman"/>
          <w:b/>
          <w:sz w:val="24"/>
          <w:szCs w:val="24"/>
        </w:rPr>
        <w:t xml:space="preserve">Foreign-Bank Efficiency </w:t>
      </w:r>
      <w:r w:rsidR="00EB378E" w:rsidRPr="00E141CF">
        <w:rPr>
          <w:rFonts w:ascii="Times New Roman" w:hAnsi="Times New Roman" w:cs="Times New Roman"/>
          <w:b/>
          <w:sz w:val="24"/>
          <w:szCs w:val="24"/>
        </w:rPr>
        <w:t xml:space="preserve">in </w:t>
      </w:r>
      <w:r w:rsidRPr="00E141CF">
        <w:rPr>
          <w:rFonts w:ascii="Times New Roman" w:hAnsi="Times New Roman" w:cs="Times New Roman"/>
          <w:b/>
          <w:sz w:val="24"/>
          <w:szCs w:val="24"/>
        </w:rPr>
        <w:t xml:space="preserve">Financial Centers Driven </w:t>
      </w:r>
      <w:r w:rsidR="00EB378E" w:rsidRPr="00E141CF">
        <w:rPr>
          <w:rFonts w:ascii="Times New Roman" w:hAnsi="Times New Roman" w:cs="Times New Roman"/>
          <w:b/>
          <w:sz w:val="24"/>
          <w:szCs w:val="24"/>
        </w:rPr>
        <w:t xml:space="preserve">by </w:t>
      </w:r>
      <w:r>
        <w:rPr>
          <w:rFonts w:ascii="Times New Roman" w:hAnsi="Times New Roman" w:cs="Times New Roman"/>
          <w:b/>
          <w:sz w:val="24"/>
          <w:szCs w:val="24"/>
        </w:rPr>
        <w:t>H</w:t>
      </w:r>
      <w:r w:rsidR="00EB378E" w:rsidRPr="00E141CF">
        <w:rPr>
          <w:rFonts w:ascii="Times New Roman" w:hAnsi="Times New Roman" w:cs="Times New Roman"/>
          <w:b/>
          <w:sz w:val="24"/>
          <w:szCs w:val="24"/>
        </w:rPr>
        <w:t xml:space="preserve">ome or </w:t>
      </w:r>
      <w:r>
        <w:rPr>
          <w:rFonts w:ascii="Times New Roman" w:hAnsi="Times New Roman" w:cs="Times New Roman"/>
          <w:b/>
          <w:sz w:val="24"/>
          <w:szCs w:val="24"/>
        </w:rPr>
        <w:t>H</w:t>
      </w:r>
      <w:r w:rsidR="00EB378E" w:rsidRPr="00E141CF">
        <w:rPr>
          <w:rFonts w:ascii="Times New Roman" w:hAnsi="Times New Roman" w:cs="Times New Roman"/>
          <w:b/>
          <w:sz w:val="24"/>
          <w:szCs w:val="24"/>
        </w:rPr>
        <w:t xml:space="preserve">ost </w:t>
      </w:r>
      <w:r w:rsidRPr="00E141CF">
        <w:rPr>
          <w:rFonts w:ascii="Times New Roman" w:hAnsi="Times New Roman" w:cs="Times New Roman"/>
          <w:b/>
          <w:sz w:val="24"/>
          <w:szCs w:val="24"/>
        </w:rPr>
        <w:t>Country Characteristics</w:t>
      </w:r>
      <w:r w:rsidR="00EB378E" w:rsidRPr="00E141CF">
        <w:rPr>
          <w:rFonts w:ascii="Times New Roman" w:hAnsi="Times New Roman" w:cs="Times New Roman"/>
          <w:b/>
          <w:sz w:val="24"/>
          <w:szCs w:val="24"/>
        </w:rPr>
        <w:t>?”</w:t>
      </w:r>
      <w:r w:rsidR="00EB378E" w:rsidRPr="00592B4C">
        <w:rPr>
          <w:rFonts w:ascii="Times New Roman" w:hAnsi="Times New Roman" w:cs="Times New Roman"/>
          <w:sz w:val="24"/>
          <w:szCs w:val="24"/>
        </w:rPr>
        <w:t xml:space="preserve">, Springer Science+Business Media, </w:t>
      </w:r>
      <w:hyperlink r:id="rId61" w:history="1">
        <w:r w:rsidR="00EB378E" w:rsidRPr="00592B4C">
          <w:rPr>
            <w:rFonts w:ascii="Times New Roman" w:hAnsi="Times New Roman" w:cs="Times New Roman"/>
            <w:sz w:val="24"/>
            <w:szCs w:val="24"/>
          </w:rPr>
          <w:t>www.elsevier.com/locate/measurement</w:t>
        </w:r>
      </w:hyperlink>
      <w:r w:rsidR="00EB378E" w:rsidRPr="00592B4C">
        <w:rPr>
          <w:rFonts w:ascii="Times New Roman" w:hAnsi="Times New Roman" w:cs="Times New Roman"/>
          <w:sz w:val="24"/>
          <w:szCs w:val="24"/>
        </w:rPr>
        <w:t>, Sayı LLC 2012, ss. 367-385.</w:t>
      </w:r>
    </w:p>
    <w:p w:rsidR="00592B4C" w:rsidRPr="00592B4C" w:rsidRDefault="00592B4C" w:rsidP="00592B4C">
      <w:pPr>
        <w:pStyle w:val="ListeParagraf"/>
        <w:rPr>
          <w:rFonts w:ascii="Times New Roman" w:hAnsi="Times New Roman" w:cs="Times New Roman"/>
          <w:sz w:val="24"/>
          <w:szCs w:val="24"/>
        </w:rPr>
      </w:pPr>
    </w:p>
    <w:p w:rsidR="00553C0E" w:rsidRDefault="00553C0E"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ÇINAR, Yetkin, (2009), “Quarterly Perform</w:t>
      </w:r>
      <w:r w:rsidR="00592B4C">
        <w:rPr>
          <w:rFonts w:ascii="Times New Roman" w:hAnsi="Times New Roman" w:cs="Times New Roman"/>
          <w:sz w:val="24"/>
          <w:szCs w:val="24"/>
        </w:rPr>
        <w:t>ance and Stability Patterns of t</w:t>
      </w:r>
      <w:r w:rsidRPr="00592B4C">
        <w:rPr>
          <w:rFonts w:ascii="Times New Roman" w:hAnsi="Times New Roman" w:cs="Times New Roman"/>
          <w:sz w:val="24"/>
          <w:szCs w:val="24"/>
        </w:rPr>
        <w:t>he Tu</w:t>
      </w:r>
      <w:r w:rsidR="00592B4C">
        <w:rPr>
          <w:rFonts w:ascii="Times New Roman" w:hAnsi="Times New Roman" w:cs="Times New Roman"/>
          <w:sz w:val="24"/>
          <w:szCs w:val="24"/>
        </w:rPr>
        <w:t>rkish Largest Commercial Banks i</w:t>
      </w:r>
      <w:r w:rsidRPr="00592B4C">
        <w:rPr>
          <w:rFonts w:ascii="Times New Roman" w:hAnsi="Times New Roman" w:cs="Times New Roman"/>
          <w:sz w:val="24"/>
          <w:szCs w:val="24"/>
        </w:rPr>
        <w:t xml:space="preserve">n 2003 – 2009 Period: An Application of Data Envelopment Window Analysis”, </w:t>
      </w:r>
      <w:r w:rsidR="00771565" w:rsidRPr="00592B4C">
        <w:rPr>
          <w:rFonts w:ascii="Times New Roman" w:hAnsi="Times New Roman" w:cs="Times New Roman"/>
          <w:b/>
          <w:sz w:val="24"/>
          <w:szCs w:val="24"/>
        </w:rPr>
        <w:t xml:space="preserve">12th International Conference on Finance &amp; Banking: Structural Conference Paper, </w:t>
      </w:r>
      <w:r w:rsidR="00F57C04" w:rsidRPr="00592B4C">
        <w:rPr>
          <w:rFonts w:ascii="Times New Roman" w:hAnsi="Times New Roman" w:cs="Times New Roman"/>
          <w:b/>
          <w:sz w:val="24"/>
          <w:szCs w:val="24"/>
        </w:rPr>
        <w:t xml:space="preserve"> </w:t>
      </w:r>
      <w:hyperlink r:id="rId62" w:history="1">
        <w:r w:rsidR="00771565" w:rsidRPr="00592B4C">
          <w:rPr>
            <w:rStyle w:val="Kpr"/>
            <w:rFonts w:ascii="Times New Roman" w:hAnsi="Times New Roman" w:cs="Times New Roman"/>
            <w:sz w:val="24"/>
            <w:szCs w:val="24"/>
          </w:rPr>
          <w:t>http://connection.ebscohost.com/c/articles/74240351/ quarterly-performance-stability-patterns-turkish-largest-commercial-banks-2003-2009-period-application-data-envelopment-window-analysis</w:t>
        </w:r>
      </w:hyperlink>
      <w:r w:rsidR="00771565" w:rsidRPr="00592B4C">
        <w:rPr>
          <w:rFonts w:ascii="Times New Roman" w:hAnsi="Times New Roman" w:cs="Times New Roman"/>
          <w:sz w:val="24"/>
          <w:szCs w:val="24"/>
        </w:rPr>
        <w:t xml:space="preserve"> , ss.87</w:t>
      </w:r>
      <w:r w:rsidR="00F85805" w:rsidRPr="00592B4C">
        <w:rPr>
          <w:rFonts w:ascii="Times New Roman" w:hAnsi="Times New Roman" w:cs="Times New Roman"/>
          <w:sz w:val="24"/>
          <w:szCs w:val="24"/>
        </w:rPr>
        <w:t>.</w:t>
      </w:r>
    </w:p>
    <w:p w:rsidR="00592B4C" w:rsidRPr="00592B4C" w:rsidRDefault="00592B4C" w:rsidP="00592B4C">
      <w:pPr>
        <w:pStyle w:val="ListeParagraf"/>
        <w:rPr>
          <w:rFonts w:ascii="Times New Roman" w:hAnsi="Times New Roman" w:cs="Times New Roman"/>
          <w:sz w:val="24"/>
          <w:szCs w:val="24"/>
        </w:rPr>
      </w:pPr>
    </w:p>
    <w:p w:rsidR="002721E1" w:rsidRPr="00592B4C" w:rsidRDefault="002721E1"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 xml:space="preserve">ÇITAK, Levent, </w:t>
      </w:r>
      <w:r w:rsidR="00D5342B" w:rsidRPr="00592B4C">
        <w:rPr>
          <w:rFonts w:ascii="Times New Roman" w:hAnsi="Times New Roman" w:cs="Times New Roman"/>
          <w:sz w:val="24"/>
          <w:szCs w:val="24"/>
        </w:rPr>
        <w:t>(2008),</w:t>
      </w:r>
      <w:r w:rsidRPr="00592B4C">
        <w:rPr>
          <w:rFonts w:ascii="Times New Roman" w:hAnsi="Times New Roman" w:cs="Times New Roman"/>
          <w:sz w:val="24"/>
          <w:szCs w:val="24"/>
        </w:rPr>
        <w:t xml:space="preserve"> “Türkiye’de Menkul Kıymet Yatırım Ortaklıklarının Veri Zarflama Analizi ile Değerlendrilmesi”, </w:t>
      </w:r>
      <w:r w:rsidRPr="00592B4C">
        <w:rPr>
          <w:rFonts w:ascii="Times New Roman" w:hAnsi="Times New Roman" w:cs="Times New Roman"/>
          <w:b/>
          <w:sz w:val="24"/>
          <w:szCs w:val="24"/>
        </w:rPr>
        <w:t>Erciyes Üniversitesi,</w:t>
      </w:r>
      <w:r w:rsidRPr="00592B4C">
        <w:rPr>
          <w:rFonts w:ascii="Times New Roman" w:hAnsi="Times New Roman" w:cs="Times New Roman"/>
          <w:sz w:val="24"/>
          <w:szCs w:val="24"/>
        </w:rPr>
        <w:t xml:space="preserve"> </w:t>
      </w:r>
      <w:r w:rsidRPr="00592B4C">
        <w:rPr>
          <w:rFonts w:ascii="Times New Roman" w:hAnsi="Times New Roman" w:cs="Times New Roman"/>
          <w:b/>
          <w:sz w:val="24"/>
          <w:szCs w:val="24"/>
        </w:rPr>
        <w:t>İktisadi ve İdari Bilimler Fakültesi Dergisi</w:t>
      </w:r>
      <w:r w:rsidRPr="00592B4C">
        <w:rPr>
          <w:rFonts w:ascii="Times New Roman" w:hAnsi="Times New Roman" w:cs="Times New Roman"/>
          <w:sz w:val="24"/>
          <w:szCs w:val="24"/>
        </w:rPr>
        <w:t>, Sayı 31, s</w:t>
      </w:r>
      <w:r w:rsidR="00D5342B" w:rsidRPr="00592B4C">
        <w:rPr>
          <w:rFonts w:ascii="Times New Roman" w:hAnsi="Times New Roman" w:cs="Times New Roman"/>
          <w:sz w:val="24"/>
          <w:szCs w:val="24"/>
        </w:rPr>
        <w:t>s</w:t>
      </w:r>
      <w:r w:rsidRPr="00592B4C">
        <w:rPr>
          <w:rFonts w:ascii="Times New Roman" w:hAnsi="Times New Roman" w:cs="Times New Roman"/>
          <w:sz w:val="24"/>
          <w:szCs w:val="24"/>
        </w:rPr>
        <w:t>.</w:t>
      </w:r>
      <w:r w:rsidR="00592B4C">
        <w:rPr>
          <w:rFonts w:ascii="Times New Roman" w:hAnsi="Times New Roman" w:cs="Times New Roman"/>
          <w:sz w:val="24"/>
          <w:szCs w:val="24"/>
        </w:rPr>
        <w:t xml:space="preserve"> </w:t>
      </w:r>
      <w:r w:rsidRPr="00592B4C">
        <w:rPr>
          <w:rFonts w:ascii="Times New Roman" w:hAnsi="Times New Roman" w:cs="Times New Roman"/>
          <w:sz w:val="24"/>
          <w:szCs w:val="24"/>
        </w:rPr>
        <w:t>69-94.</w:t>
      </w:r>
    </w:p>
    <w:p w:rsidR="002721E1" w:rsidRPr="002E402A" w:rsidRDefault="002721E1" w:rsidP="000A7CD7">
      <w:pPr>
        <w:spacing w:line="240" w:lineRule="auto"/>
        <w:ind w:left="567" w:hanging="567"/>
        <w:rPr>
          <w:rFonts w:ascii="Times New Roman" w:hAnsi="Times New Roman" w:cs="Times New Roman"/>
          <w:sz w:val="24"/>
          <w:szCs w:val="24"/>
        </w:rPr>
      </w:pPr>
    </w:p>
    <w:p w:rsidR="000B6B92" w:rsidRDefault="000B6B92" w:rsidP="00592B4C">
      <w:pPr>
        <w:pStyle w:val="ListeParagraf"/>
        <w:numPr>
          <w:ilvl w:val="0"/>
          <w:numId w:val="6"/>
        </w:numPr>
        <w:spacing w:line="240" w:lineRule="auto"/>
        <w:jc w:val="left"/>
        <w:rPr>
          <w:rFonts w:ascii="Times New Roman" w:hAnsi="Times New Roman" w:cs="Times New Roman"/>
          <w:sz w:val="24"/>
          <w:szCs w:val="24"/>
        </w:rPr>
      </w:pPr>
      <w:r w:rsidRPr="00592B4C">
        <w:rPr>
          <w:rFonts w:ascii="Times New Roman" w:hAnsi="Times New Roman" w:cs="Times New Roman"/>
          <w:sz w:val="24"/>
          <w:szCs w:val="24"/>
        </w:rPr>
        <w:t>DAĞ, Sinan,</w:t>
      </w:r>
      <w:r w:rsidR="00D5342B" w:rsidRPr="00592B4C">
        <w:rPr>
          <w:rFonts w:ascii="Times New Roman" w:hAnsi="Times New Roman" w:cs="Times New Roman"/>
          <w:sz w:val="24"/>
          <w:szCs w:val="24"/>
        </w:rPr>
        <w:t xml:space="preserve"> (2011),</w:t>
      </w:r>
      <w:r w:rsidRPr="00592B4C">
        <w:rPr>
          <w:rFonts w:ascii="Times New Roman" w:hAnsi="Times New Roman" w:cs="Times New Roman"/>
          <w:sz w:val="24"/>
          <w:szCs w:val="24"/>
        </w:rPr>
        <w:t xml:space="preserve"> “Türkiye’deki Katılım ve Mevduat Bankalarının Etkinliklerinin Veri Zarflama Analizi Yöntemiyle </w:t>
      </w:r>
      <w:r w:rsidR="00A17BA6">
        <w:rPr>
          <w:rFonts w:ascii="Times New Roman" w:hAnsi="Times New Roman" w:cs="Times New Roman"/>
          <w:sz w:val="24"/>
          <w:szCs w:val="24"/>
        </w:rPr>
        <w:t>Ka</w:t>
      </w:r>
      <w:r w:rsidR="007210D2" w:rsidRPr="00592B4C">
        <w:rPr>
          <w:rFonts w:ascii="Times New Roman" w:hAnsi="Times New Roman" w:cs="Times New Roman"/>
          <w:sz w:val="24"/>
          <w:szCs w:val="24"/>
        </w:rPr>
        <w:t>r</w:t>
      </w:r>
      <w:r w:rsidRPr="00592B4C">
        <w:rPr>
          <w:rFonts w:ascii="Times New Roman" w:hAnsi="Times New Roman" w:cs="Times New Roman"/>
          <w:sz w:val="24"/>
          <w:szCs w:val="24"/>
        </w:rPr>
        <w:t xml:space="preserve">şılaştırılması”, </w:t>
      </w:r>
      <w:r w:rsidRPr="00592B4C">
        <w:rPr>
          <w:rFonts w:ascii="Times New Roman" w:hAnsi="Times New Roman" w:cs="Times New Roman"/>
          <w:b/>
          <w:sz w:val="24"/>
          <w:szCs w:val="24"/>
        </w:rPr>
        <w:t>Dumlupınar Üniversitesi,</w:t>
      </w:r>
      <w:r w:rsidRPr="00592B4C">
        <w:rPr>
          <w:rFonts w:ascii="Times New Roman" w:hAnsi="Times New Roman" w:cs="Times New Roman"/>
          <w:sz w:val="24"/>
          <w:szCs w:val="24"/>
        </w:rPr>
        <w:t xml:space="preserve"> </w:t>
      </w:r>
      <w:r w:rsidRPr="00592B4C">
        <w:rPr>
          <w:rFonts w:ascii="Times New Roman" w:hAnsi="Times New Roman" w:cs="Times New Roman"/>
          <w:b/>
          <w:sz w:val="24"/>
          <w:szCs w:val="24"/>
        </w:rPr>
        <w:t>Sosyal Bilimler Enstitüsü Yüksek Lisans Tezi</w:t>
      </w:r>
      <w:r w:rsidRPr="00592B4C">
        <w:rPr>
          <w:rFonts w:ascii="Times New Roman" w:hAnsi="Times New Roman" w:cs="Times New Roman"/>
          <w:sz w:val="24"/>
          <w:szCs w:val="24"/>
        </w:rPr>
        <w:t xml:space="preserve">, </w:t>
      </w:r>
      <w:hyperlink r:id="rId63" w:history="1">
        <w:r w:rsidRPr="00592B4C">
          <w:rPr>
            <w:rStyle w:val="Kpr"/>
            <w:rFonts w:ascii="Times New Roman" w:hAnsi="Times New Roman" w:cs="Times New Roman"/>
            <w:sz w:val="24"/>
            <w:szCs w:val="24"/>
          </w:rPr>
          <w:t>http://www.tkbb.org.tr/Documents/Tezler/Yukseklisans/sinan_dag_tez.pdf</w:t>
        </w:r>
      </w:hyperlink>
      <w:r w:rsidRPr="00592B4C">
        <w:rPr>
          <w:rFonts w:ascii="Times New Roman" w:hAnsi="Times New Roman" w:cs="Times New Roman"/>
          <w:sz w:val="24"/>
          <w:szCs w:val="24"/>
        </w:rPr>
        <w:t>.</w:t>
      </w:r>
    </w:p>
    <w:p w:rsidR="00592B4C" w:rsidRPr="00592B4C" w:rsidRDefault="00592B4C" w:rsidP="00592B4C">
      <w:pPr>
        <w:pStyle w:val="ListeParagraf"/>
        <w:rPr>
          <w:rFonts w:ascii="Times New Roman" w:hAnsi="Times New Roman" w:cs="Times New Roman"/>
          <w:sz w:val="24"/>
          <w:szCs w:val="24"/>
        </w:rPr>
      </w:pPr>
    </w:p>
    <w:p w:rsidR="00EB378E" w:rsidRPr="00592B4C" w:rsidRDefault="00EB378E"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DALEYA, Jenifer, MATTHEWSB, Kent ve ZHANGC, Tiantian, (2013), “Post-</w:t>
      </w:r>
      <w:r w:rsidR="00A17BA6">
        <w:rPr>
          <w:rFonts w:ascii="Times New Roman" w:hAnsi="Times New Roman" w:cs="Times New Roman"/>
          <w:sz w:val="24"/>
          <w:szCs w:val="24"/>
        </w:rPr>
        <w:t>Crisis C</w:t>
      </w:r>
      <w:r w:rsidRPr="00592B4C">
        <w:rPr>
          <w:rFonts w:ascii="Times New Roman" w:hAnsi="Times New Roman" w:cs="Times New Roman"/>
          <w:sz w:val="24"/>
          <w:szCs w:val="24"/>
        </w:rPr>
        <w:t xml:space="preserve">ost </w:t>
      </w:r>
      <w:r w:rsidR="00A17BA6">
        <w:rPr>
          <w:rFonts w:ascii="Times New Roman" w:hAnsi="Times New Roman" w:cs="Times New Roman"/>
          <w:sz w:val="24"/>
          <w:szCs w:val="24"/>
        </w:rPr>
        <w:t>E</w:t>
      </w:r>
      <w:r w:rsidRPr="00592B4C">
        <w:rPr>
          <w:rFonts w:ascii="Times New Roman" w:hAnsi="Times New Roman" w:cs="Times New Roman"/>
          <w:sz w:val="24"/>
          <w:szCs w:val="24"/>
        </w:rPr>
        <w:t>fficiency of Jama</w:t>
      </w:r>
      <w:r w:rsidR="00A17BA6">
        <w:rPr>
          <w:rFonts w:ascii="Times New Roman" w:hAnsi="Times New Roman" w:cs="Times New Roman"/>
          <w:sz w:val="24"/>
          <w:szCs w:val="24"/>
        </w:rPr>
        <w:t>ican B</w:t>
      </w:r>
      <w:r w:rsidRPr="00592B4C">
        <w:rPr>
          <w:rFonts w:ascii="Times New Roman" w:hAnsi="Times New Roman" w:cs="Times New Roman"/>
          <w:sz w:val="24"/>
          <w:szCs w:val="24"/>
        </w:rPr>
        <w:t>anks”,</w:t>
      </w:r>
      <w:r w:rsidRPr="00592B4C">
        <w:rPr>
          <w:rFonts w:ascii="Times New Roman" w:hAnsi="Times New Roman" w:cs="Times New Roman"/>
          <w:b/>
          <w:sz w:val="24"/>
          <w:szCs w:val="24"/>
        </w:rPr>
        <w:t xml:space="preserve"> Applied</w:t>
      </w:r>
      <w:r w:rsidRPr="00592B4C">
        <w:rPr>
          <w:rFonts w:ascii="Times New Roman" w:hAnsi="Times New Roman" w:cs="Times New Roman"/>
          <w:sz w:val="24"/>
          <w:szCs w:val="24"/>
        </w:rPr>
        <w:t xml:space="preserve"> </w:t>
      </w:r>
      <w:r w:rsidRPr="00592B4C">
        <w:rPr>
          <w:rFonts w:ascii="Times New Roman" w:hAnsi="Times New Roman" w:cs="Times New Roman"/>
          <w:b/>
          <w:sz w:val="24"/>
          <w:szCs w:val="24"/>
        </w:rPr>
        <w:t xml:space="preserve">Financial Economics Journal, </w:t>
      </w:r>
      <w:hyperlink r:id="rId64" w:history="1">
        <w:r w:rsidRPr="00592B4C">
          <w:rPr>
            <w:rStyle w:val="Kpr"/>
            <w:rFonts w:ascii="Times New Roman" w:hAnsi="Times New Roman" w:cs="Times New Roman"/>
            <w:sz w:val="24"/>
            <w:szCs w:val="24"/>
          </w:rPr>
          <w:t>http://business.cardiff.ac.uk/research/working-papers/post-crisis-cost-efficiency-jamaican-banks</w:t>
        </w:r>
      </w:hyperlink>
      <w:r w:rsidRPr="00592B4C">
        <w:rPr>
          <w:rFonts w:ascii="Times New Roman" w:hAnsi="Times New Roman" w:cs="Times New Roman"/>
          <w:sz w:val="24"/>
          <w:szCs w:val="24"/>
        </w:rPr>
        <w:t>, Vol. 23, No. 20, ss.1599–1607.</w:t>
      </w:r>
    </w:p>
    <w:p w:rsidR="00EB378E" w:rsidRPr="002E402A" w:rsidRDefault="00EB378E" w:rsidP="000A7CD7">
      <w:pPr>
        <w:spacing w:after="0" w:line="240" w:lineRule="auto"/>
        <w:ind w:left="567" w:hanging="567"/>
        <w:rPr>
          <w:rFonts w:ascii="Times New Roman" w:hAnsi="Times New Roman" w:cs="Times New Roman"/>
          <w:sz w:val="24"/>
          <w:szCs w:val="24"/>
        </w:rPr>
      </w:pPr>
    </w:p>
    <w:p w:rsidR="00FD5B4E" w:rsidRPr="00592B4C" w:rsidRDefault="00FD5B4E" w:rsidP="00592B4C">
      <w:pPr>
        <w:pStyle w:val="ListeParagraf"/>
        <w:numPr>
          <w:ilvl w:val="0"/>
          <w:numId w:val="6"/>
        </w:numPr>
        <w:spacing w:after="0" w:line="240" w:lineRule="auto"/>
        <w:jc w:val="left"/>
        <w:rPr>
          <w:rFonts w:ascii="Times New Roman" w:hAnsi="Times New Roman" w:cs="Times New Roman"/>
          <w:sz w:val="24"/>
          <w:szCs w:val="24"/>
        </w:rPr>
      </w:pPr>
      <w:r w:rsidRPr="00592B4C">
        <w:rPr>
          <w:rFonts w:ascii="Times New Roman" w:hAnsi="Times New Roman" w:cs="Times New Roman"/>
          <w:sz w:val="24"/>
          <w:szCs w:val="24"/>
        </w:rPr>
        <w:t xml:space="preserve">DEMİR, Yusuf ve GENÇTÜRK, Mehmet, </w:t>
      </w:r>
      <w:r w:rsidR="004A1337" w:rsidRPr="00592B4C">
        <w:rPr>
          <w:rFonts w:ascii="Times New Roman" w:hAnsi="Times New Roman" w:cs="Times New Roman"/>
          <w:sz w:val="24"/>
          <w:szCs w:val="24"/>
        </w:rPr>
        <w:t xml:space="preserve">(2006), </w:t>
      </w:r>
      <w:r w:rsidRPr="00592B4C">
        <w:rPr>
          <w:rFonts w:ascii="Times New Roman" w:hAnsi="Times New Roman" w:cs="Times New Roman"/>
          <w:sz w:val="24"/>
          <w:szCs w:val="24"/>
        </w:rPr>
        <w:t>“İMKB’de İşlem Gören Yerli ve Yabancı Bankaların Göreli Etkinli</w:t>
      </w:r>
      <w:r w:rsidR="00A17BA6">
        <w:rPr>
          <w:rFonts w:ascii="Times New Roman" w:hAnsi="Times New Roman" w:cs="Times New Roman"/>
          <w:sz w:val="24"/>
          <w:szCs w:val="24"/>
        </w:rPr>
        <w:t>klerinin Veri Zarflama Analizi İ</w:t>
      </w:r>
      <w:r w:rsidRPr="00592B4C">
        <w:rPr>
          <w:rFonts w:ascii="Times New Roman" w:hAnsi="Times New Roman" w:cs="Times New Roman"/>
          <w:sz w:val="24"/>
          <w:szCs w:val="24"/>
        </w:rPr>
        <w:t xml:space="preserve">le Ölçümü”, </w:t>
      </w:r>
      <w:r w:rsidRPr="00592B4C">
        <w:rPr>
          <w:rFonts w:ascii="Times New Roman" w:hAnsi="Times New Roman" w:cs="Times New Roman"/>
          <w:b/>
          <w:sz w:val="24"/>
          <w:szCs w:val="24"/>
        </w:rPr>
        <w:t>Dokuz Eylül Üniversitesi İktisadi ve İdari Bilimler Fakültesi Dergisi,</w:t>
      </w:r>
      <w:r w:rsidRPr="00592B4C">
        <w:rPr>
          <w:rFonts w:ascii="Times New Roman" w:hAnsi="Times New Roman" w:cs="Times New Roman"/>
          <w:sz w:val="24"/>
          <w:szCs w:val="24"/>
        </w:rPr>
        <w:t xml:space="preserve"> </w:t>
      </w:r>
      <w:hyperlink r:id="rId65" w:history="1">
        <w:r w:rsidRPr="00592B4C">
          <w:rPr>
            <w:rStyle w:val="Kpr"/>
            <w:rFonts w:ascii="Times New Roman" w:hAnsi="Times New Roman" w:cs="Times New Roman"/>
            <w:sz w:val="24"/>
            <w:szCs w:val="24"/>
          </w:rPr>
          <w:t>http://iibf.deu.edu.tr/deuj/index.php/cilt1-sayi1/article/view/202</w:t>
        </w:r>
      </w:hyperlink>
      <w:r w:rsidRPr="00592B4C">
        <w:rPr>
          <w:rFonts w:ascii="Times New Roman" w:hAnsi="Times New Roman" w:cs="Times New Roman"/>
          <w:sz w:val="24"/>
          <w:szCs w:val="24"/>
        </w:rPr>
        <w:t xml:space="preserve"> , Cilt 21, Sayı 2,</w:t>
      </w:r>
      <w:r w:rsidR="004A1337" w:rsidRPr="00592B4C">
        <w:rPr>
          <w:rFonts w:ascii="Times New Roman" w:hAnsi="Times New Roman" w:cs="Times New Roman"/>
          <w:sz w:val="24"/>
          <w:szCs w:val="24"/>
        </w:rPr>
        <w:t xml:space="preserve"> s</w:t>
      </w:r>
      <w:r w:rsidRPr="00592B4C">
        <w:rPr>
          <w:rFonts w:ascii="Times New Roman" w:hAnsi="Times New Roman" w:cs="Times New Roman"/>
          <w:sz w:val="24"/>
          <w:szCs w:val="24"/>
        </w:rPr>
        <w:t>s.</w:t>
      </w:r>
      <w:r w:rsidR="00592B4C">
        <w:rPr>
          <w:rFonts w:ascii="Times New Roman" w:hAnsi="Times New Roman" w:cs="Times New Roman"/>
          <w:sz w:val="24"/>
          <w:szCs w:val="24"/>
        </w:rPr>
        <w:t xml:space="preserve"> </w:t>
      </w:r>
      <w:r w:rsidRPr="00592B4C">
        <w:rPr>
          <w:rFonts w:ascii="Times New Roman" w:hAnsi="Times New Roman" w:cs="Times New Roman"/>
          <w:sz w:val="24"/>
          <w:szCs w:val="24"/>
        </w:rPr>
        <w:t>49-74.</w:t>
      </w:r>
    </w:p>
    <w:p w:rsidR="00F3538B" w:rsidRPr="002E402A" w:rsidRDefault="00F3538B" w:rsidP="000A7CD7">
      <w:pPr>
        <w:spacing w:line="240" w:lineRule="auto"/>
        <w:ind w:left="567" w:hanging="567"/>
        <w:rPr>
          <w:rFonts w:ascii="Times New Roman" w:hAnsi="Times New Roman" w:cs="Times New Roman"/>
          <w:sz w:val="24"/>
          <w:szCs w:val="24"/>
        </w:rPr>
      </w:pPr>
    </w:p>
    <w:p w:rsidR="00FD5489" w:rsidRDefault="00FD5489"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DURANLAR, Selçuk,</w:t>
      </w:r>
      <w:r w:rsidR="004A1337" w:rsidRPr="00592B4C">
        <w:rPr>
          <w:rFonts w:ascii="Times New Roman" w:hAnsi="Times New Roman" w:cs="Times New Roman"/>
          <w:sz w:val="24"/>
          <w:szCs w:val="24"/>
        </w:rPr>
        <w:t xml:space="preserve"> (2006),</w:t>
      </w:r>
      <w:r w:rsidRPr="00592B4C">
        <w:rPr>
          <w:rFonts w:ascii="Times New Roman" w:hAnsi="Times New Roman" w:cs="Times New Roman"/>
          <w:sz w:val="24"/>
          <w:szCs w:val="24"/>
        </w:rPr>
        <w:t xml:space="preserve"> ISSN 1306 0767, </w:t>
      </w:r>
      <w:r w:rsidRPr="00592B4C">
        <w:rPr>
          <w:rFonts w:ascii="Times New Roman" w:hAnsi="Times New Roman" w:cs="Times New Roman"/>
          <w:b/>
          <w:sz w:val="24"/>
          <w:szCs w:val="24"/>
        </w:rPr>
        <w:t>Mevzuat Dergisi</w:t>
      </w:r>
      <w:r w:rsidRPr="00592B4C">
        <w:rPr>
          <w:rFonts w:ascii="Times New Roman" w:hAnsi="Times New Roman" w:cs="Times New Roman"/>
          <w:sz w:val="24"/>
          <w:szCs w:val="24"/>
        </w:rPr>
        <w:t xml:space="preserve">, </w:t>
      </w:r>
      <w:hyperlink r:id="rId66" w:history="1">
        <w:r w:rsidRPr="00592B4C">
          <w:rPr>
            <w:rStyle w:val="Kpr"/>
            <w:rFonts w:ascii="Times New Roman" w:hAnsi="Times New Roman" w:cs="Times New Roman"/>
            <w:sz w:val="24"/>
            <w:szCs w:val="24"/>
          </w:rPr>
          <w:t>http://www.mevzuatdergisi.com/2006/08a/04.htm</w:t>
        </w:r>
      </w:hyperlink>
      <w:r w:rsidRPr="00592B4C">
        <w:rPr>
          <w:rFonts w:ascii="Times New Roman" w:hAnsi="Times New Roman" w:cs="Times New Roman"/>
          <w:sz w:val="24"/>
          <w:szCs w:val="24"/>
        </w:rPr>
        <w:t>, Türkiye’deki Aracı Kurumların Performansı Üzerine Bir İnceleme, Cilt 9, Sayı 10</w:t>
      </w:r>
      <w:r w:rsidR="004A1337" w:rsidRPr="00592B4C">
        <w:rPr>
          <w:rFonts w:ascii="Times New Roman" w:hAnsi="Times New Roman" w:cs="Times New Roman"/>
          <w:sz w:val="24"/>
          <w:szCs w:val="24"/>
        </w:rPr>
        <w:t>4</w:t>
      </w:r>
      <w:r w:rsidRPr="00592B4C">
        <w:rPr>
          <w:rFonts w:ascii="Times New Roman" w:hAnsi="Times New Roman" w:cs="Times New Roman"/>
          <w:sz w:val="24"/>
          <w:szCs w:val="24"/>
        </w:rPr>
        <w:t>.</w:t>
      </w:r>
    </w:p>
    <w:p w:rsidR="00592B4C" w:rsidRPr="00592B4C" w:rsidRDefault="00592B4C" w:rsidP="00592B4C">
      <w:pPr>
        <w:pStyle w:val="ListeParagraf"/>
        <w:rPr>
          <w:rFonts w:ascii="Times New Roman" w:hAnsi="Times New Roman" w:cs="Times New Roman"/>
          <w:sz w:val="24"/>
          <w:szCs w:val="24"/>
        </w:rPr>
      </w:pPr>
    </w:p>
    <w:p w:rsidR="00592B4C" w:rsidRPr="00592B4C" w:rsidRDefault="00592B4C" w:rsidP="00592B4C">
      <w:pPr>
        <w:pStyle w:val="ListeParagraf"/>
        <w:spacing w:line="240" w:lineRule="auto"/>
        <w:rPr>
          <w:rFonts w:ascii="Times New Roman" w:hAnsi="Times New Roman" w:cs="Times New Roman"/>
          <w:sz w:val="24"/>
          <w:szCs w:val="24"/>
        </w:rPr>
      </w:pPr>
    </w:p>
    <w:p w:rsidR="00A94BB4" w:rsidRPr="00592B4C" w:rsidRDefault="002F1ED8"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lastRenderedPageBreak/>
        <w:t>DİNÇER</w:t>
      </w:r>
      <w:r w:rsidR="00A94BB4" w:rsidRPr="00592B4C">
        <w:rPr>
          <w:rFonts w:ascii="Times New Roman" w:hAnsi="Times New Roman" w:cs="Times New Roman"/>
          <w:sz w:val="24"/>
          <w:szCs w:val="24"/>
        </w:rPr>
        <w:t>, Yrd. Doç. Dr. S. Erdal,</w:t>
      </w:r>
      <w:r w:rsidR="00F3538B" w:rsidRPr="00592B4C">
        <w:rPr>
          <w:rFonts w:ascii="Times New Roman" w:hAnsi="Times New Roman" w:cs="Times New Roman"/>
          <w:sz w:val="24"/>
          <w:szCs w:val="24"/>
        </w:rPr>
        <w:t xml:space="preserve"> (2008),</w:t>
      </w:r>
      <w:r w:rsidR="00A94BB4" w:rsidRPr="00592B4C">
        <w:rPr>
          <w:rFonts w:ascii="Times New Roman" w:hAnsi="Times New Roman" w:cs="Times New Roman"/>
          <w:sz w:val="24"/>
          <w:szCs w:val="24"/>
        </w:rPr>
        <w:t xml:space="preserve"> “Veri Zarflama Analizinde Malmquist Endeksiyle Toplam Faktör Verimliliği Değişiminin İncelenmesi ve İMKB Üzerine Bir Örnek”, </w:t>
      </w:r>
      <w:r w:rsidR="00592B4C">
        <w:rPr>
          <w:rFonts w:ascii="Times New Roman" w:hAnsi="Times New Roman" w:cs="Times New Roman"/>
          <w:b/>
          <w:sz w:val="24"/>
          <w:szCs w:val="24"/>
        </w:rPr>
        <w:t>Marmara Üniversitesi İİB</w:t>
      </w:r>
      <w:r w:rsidR="00A94BB4" w:rsidRPr="00592B4C">
        <w:rPr>
          <w:rFonts w:ascii="Times New Roman" w:hAnsi="Times New Roman" w:cs="Times New Roman"/>
          <w:b/>
          <w:sz w:val="24"/>
          <w:szCs w:val="24"/>
        </w:rPr>
        <w:t>F</w:t>
      </w:r>
      <w:r w:rsidR="00592B4C">
        <w:rPr>
          <w:rFonts w:ascii="Times New Roman" w:hAnsi="Times New Roman" w:cs="Times New Roman"/>
          <w:b/>
          <w:sz w:val="24"/>
          <w:szCs w:val="24"/>
        </w:rPr>
        <w:t xml:space="preserve"> </w:t>
      </w:r>
      <w:r w:rsidR="00A94BB4" w:rsidRPr="00592B4C">
        <w:rPr>
          <w:rFonts w:ascii="Times New Roman" w:hAnsi="Times New Roman" w:cs="Times New Roman"/>
          <w:b/>
          <w:sz w:val="24"/>
          <w:szCs w:val="24"/>
        </w:rPr>
        <w:t>Dergisi</w:t>
      </w:r>
      <w:r w:rsidR="00A94BB4" w:rsidRPr="00592B4C">
        <w:rPr>
          <w:rFonts w:ascii="Times New Roman" w:hAnsi="Times New Roman" w:cs="Times New Roman"/>
          <w:sz w:val="24"/>
          <w:szCs w:val="24"/>
        </w:rPr>
        <w:t xml:space="preserve">, </w:t>
      </w:r>
      <w:hyperlink r:id="rId67" w:history="1">
        <w:r w:rsidR="00A94BB4" w:rsidRPr="00592B4C">
          <w:rPr>
            <w:rFonts w:ascii="Times New Roman" w:hAnsi="Times New Roman" w:cs="Times New Roman"/>
            <w:sz w:val="24"/>
            <w:szCs w:val="24"/>
          </w:rPr>
          <w:t>http://dosya.marmara.edu.tr/ikf/37-VERi-ZARFLAMA-ANALiZi.pdf</w:t>
        </w:r>
      </w:hyperlink>
      <w:r w:rsidR="00F3538B" w:rsidRPr="00592B4C">
        <w:rPr>
          <w:rFonts w:ascii="Times New Roman" w:hAnsi="Times New Roman" w:cs="Times New Roman"/>
          <w:sz w:val="24"/>
          <w:szCs w:val="24"/>
        </w:rPr>
        <w:t xml:space="preserve"> , Cilt XXV, Sayı 2</w:t>
      </w:r>
      <w:r w:rsidR="00A94BB4" w:rsidRPr="00592B4C">
        <w:rPr>
          <w:rFonts w:ascii="Times New Roman" w:hAnsi="Times New Roman" w:cs="Times New Roman"/>
          <w:sz w:val="24"/>
          <w:szCs w:val="24"/>
        </w:rPr>
        <w:t>.</w:t>
      </w:r>
    </w:p>
    <w:p w:rsidR="00FD5489" w:rsidRPr="002E402A" w:rsidRDefault="00FD5489" w:rsidP="000A7CD7">
      <w:pPr>
        <w:spacing w:line="240" w:lineRule="auto"/>
        <w:ind w:left="567" w:hanging="567"/>
        <w:rPr>
          <w:rFonts w:ascii="Times New Roman" w:hAnsi="Times New Roman" w:cs="Times New Roman"/>
          <w:sz w:val="24"/>
          <w:szCs w:val="24"/>
        </w:rPr>
      </w:pPr>
    </w:p>
    <w:p w:rsidR="004A356D" w:rsidRDefault="00592B4C" w:rsidP="00592B4C">
      <w:pPr>
        <w:pStyle w:val="ListeParagraf"/>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EBRAHI</w:t>
      </w:r>
      <w:r w:rsidR="004A356D" w:rsidRPr="00592B4C">
        <w:rPr>
          <w:rFonts w:ascii="Times New Roman" w:hAnsi="Times New Roman" w:cs="Times New Roman"/>
          <w:sz w:val="24"/>
          <w:szCs w:val="24"/>
        </w:rPr>
        <w:t xml:space="preserve">MNEJAD, Ali, TAVANA Madjid, LOTFI, Farhad Hosseinzadeh, SHAHVERDI, Reza ve YOUSEFPOUR, Mohamad, (2013), “A </w:t>
      </w:r>
      <w:r w:rsidR="008E1FE5" w:rsidRPr="00592B4C">
        <w:rPr>
          <w:rFonts w:ascii="Times New Roman" w:hAnsi="Times New Roman" w:cs="Times New Roman"/>
          <w:sz w:val="24"/>
          <w:szCs w:val="24"/>
        </w:rPr>
        <w:t xml:space="preserve">Three-Stage </w:t>
      </w:r>
      <w:r w:rsidR="004A356D" w:rsidRPr="00592B4C">
        <w:rPr>
          <w:rFonts w:ascii="Times New Roman" w:hAnsi="Times New Roman" w:cs="Times New Roman"/>
          <w:sz w:val="24"/>
          <w:szCs w:val="24"/>
        </w:rPr>
        <w:t xml:space="preserve">Data Envelopment Analysis </w:t>
      </w:r>
      <w:r w:rsidR="008E1FE5" w:rsidRPr="00592B4C">
        <w:rPr>
          <w:rFonts w:ascii="Times New Roman" w:hAnsi="Times New Roman" w:cs="Times New Roman"/>
          <w:sz w:val="24"/>
          <w:szCs w:val="24"/>
        </w:rPr>
        <w:t>M</w:t>
      </w:r>
      <w:r w:rsidR="004A356D" w:rsidRPr="00592B4C">
        <w:rPr>
          <w:rFonts w:ascii="Times New Roman" w:hAnsi="Times New Roman" w:cs="Times New Roman"/>
          <w:sz w:val="24"/>
          <w:szCs w:val="24"/>
        </w:rPr>
        <w:t xml:space="preserve">odel with </w:t>
      </w:r>
      <w:r w:rsidR="008E1FE5" w:rsidRPr="00592B4C">
        <w:rPr>
          <w:rFonts w:ascii="Times New Roman" w:hAnsi="Times New Roman" w:cs="Times New Roman"/>
          <w:sz w:val="24"/>
          <w:szCs w:val="24"/>
        </w:rPr>
        <w:t>A</w:t>
      </w:r>
      <w:r w:rsidR="004A356D" w:rsidRPr="00592B4C">
        <w:rPr>
          <w:rFonts w:ascii="Times New Roman" w:hAnsi="Times New Roman" w:cs="Times New Roman"/>
          <w:sz w:val="24"/>
          <w:szCs w:val="24"/>
        </w:rPr>
        <w:t xml:space="preserve">pplication to </w:t>
      </w:r>
      <w:r w:rsidR="008E1FE5">
        <w:rPr>
          <w:rFonts w:ascii="Times New Roman" w:hAnsi="Times New Roman" w:cs="Times New Roman"/>
          <w:sz w:val="24"/>
          <w:szCs w:val="24"/>
        </w:rPr>
        <w:t>Banking I</w:t>
      </w:r>
      <w:r w:rsidR="004A356D" w:rsidRPr="00592B4C">
        <w:rPr>
          <w:rFonts w:ascii="Times New Roman" w:hAnsi="Times New Roman" w:cs="Times New Roman"/>
          <w:sz w:val="24"/>
          <w:szCs w:val="24"/>
        </w:rPr>
        <w:t xml:space="preserve">ndustry”, </w:t>
      </w:r>
      <w:r w:rsidR="004A356D" w:rsidRPr="00592B4C">
        <w:rPr>
          <w:rFonts w:ascii="Times New Roman" w:hAnsi="Times New Roman" w:cs="Times New Roman"/>
          <w:b/>
          <w:sz w:val="24"/>
          <w:szCs w:val="24"/>
        </w:rPr>
        <w:t>Elsevier Journal,</w:t>
      </w:r>
      <w:r w:rsidR="004A356D" w:rsidRPr="00592B4C">
        <w:rPr>
          <w:rFonts w:ascii="Times New Roman" w:hAnsi="Times New Roman" w:cs="Times New Roman"/>
          <w:sz w:val="24"/>
          <w:szCs w:val="24"/>
        </w:rPr>
        <w:t xml:space="preserve"> </w:t>
      </w:r>
      <w:hyperlink r:id="rId68" w:history="1">
        <w:r w:rsidR="007D58DD" w:rsidRPr="00592B4C">
          <w:rPr>
            <w:rStyle w:val="Kpr"/>
            <w:rFonts w:ascii="Times New Roman" w:hAnsi="Times New Roman" w:cs="Times New Roman"/>
            <w:sz w:val="24"/>
            <w:szCs w:val="24"/>
          </w:rPr>
          <w:t>www.elsevier.com/locate/measurement</w:t>
        </w:r>
      </w:hyperlink>
      <w:r w:rsidR="007D58DD" w:rsidRPr="00592B4C">
        <w:rPr>
          <w:rFonts w:ascii="Times New Roman" w:hAnsi="Times New Roman" w:cs="Times New Roman"/>
          <w:sz w:val="24"/>
          <w:szCs w:val="24"/>
        </w:rPr>
        <w:t xml:space="preserve">, </w:t>
      </w:r>
      <w:r w:rsidR="00905BA9" w:rsidRPr="00592B4C">
        <w:rPr>
          <w:rFonts w:ascii="Times New Roman" w:hAnsi="Times New Roman" w:cs="Times New Roman"/>
          <w:sz w:val="24"/>
          <w:szCs w:val="24"/>
        </w:rPr>
        <w:t>Sayı</w:t>
      </w:r>
      <w:r w:rsidR="003A5A95" w:rsidRPr="00592B4C">
        <w:rPr>
          <w:rFonts w:ascii="Times New Roman" w:hAnsi="Times New Roman" w:cs="Times New Roman"/>
          <w:sz w:val="24"/>
          <w:szCs w:val="24"/>
        </w:rPr>
        <w:t xml:space="preserve"> 49/2014</w:t>
      </w:r>
      <w:r w:rsidR="00905BA9" w:rsidRPr="00592B4C">
        <w:rPr>
          <w:rFonts w:ascii="Times New Roman" w:hAnsi="Times New Roman" w:cs="Times New Roman"/>
          <w:sz w:val="24"/>
          <w:szCs w:val="24"/>
        </w:rPr>
        <w:t>, ss. 308-319.</w:t>
      </w:r>
    </w:p>
    <w:p w:rsidR="00592B4C" w:rsidRPr="00592B4C" w:rsidRDefault="00592B4C" w:rsidP="00592B4C">
      <w:pPr>
        <w:pStyle w:val="ListeParagraf"/>
        <w:rPr>
          <w:rFonts w:ascii="Times New Roman" w:hAnsi="Times New Roman" w:cs="Times New Roman"/>
          <w:sz w:val="24"/>
          <w:szCs w:val="24"/>
        </w:rPr>
      </w:pPr>
    </w:p>
    <w:p w:rsidR="00F4046F" w:rsidRDefault="004E3294"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FETHİ</w:t>
      </w:r>
      <w:r w:rsidR="00F4046F" w:rsidRPr="00592B4C">
        <w:rPr>
          <w:rFonts w:ascii="Times New Roman" w:hAnsi="Times New Roman" w:cs="Times New Roman"/>
          <w:sz w:val="24"/>
          <w:szCs w:val="24"/>
        </w:rPr>
        <w:t>, M.</w:t>
      </w:r>
      <w:r w:rsidR="00592B4C">
        <w:rPr>
          <w:rFonts w:ascii="Times New Roman" w:hAnsi="Times New Roman" w:cs="Times New Roman"/>
          <w:sz w:val="24"/>
          <w:szCs w:val="24"/>
        </w:rPr>
        <w:t xml:space="preserve"> </w:t>
      </w:r>
      <w:r w:rsidR="00F4046F" w:rsidRPr="00592B4C">
        <w:rPr>
          <w:rFonts w:ascii="Times New Roman" w:hAnsi="Times New Roman" w:cs="Times New Roman"/>
          <w:sz w:val="24"/>
          <w:szCs w:val="24"/>
        </w:rPr>
        <w:t>D., P.</w:t>
      </w:r>
      <w:r w:rsidR="00592B4C">
        <w:rPr>
          <w:rFonts w:ascii="Times New Roman" w:hAnsi="Times New Roman" w:cs="Times New Roman"/>
          <w:sz w:val="24"/>
          <w:szCs w:val="24"/>
        </w:rPr>
        <w:t xml:space="preserve"> </w:t>
      </w:r>
      <w:r w:rsidR="00F4046F" w:rsidRPr="00592B4C">
        <w:rPr>
          <w:rFonts w:ascii="Times New Roman" w:hAnsi="Times New Roman" w:cs="Times New Roman"/>
          <w:sz w:val="24"/>
          <w:szCs w:val="24"/>
        </w:rPr>
        <w:t xml:space="preserve">M. </w:t>
      </w:r>
      <w:r w:rsidR="00592B4C" w:rsidRPr="00592B4C">
        <w:rPr>
          <w:rFonts w:ascii="Times New Roman" w:hAnsi="Times New Roman" w:cs="Times New Roman"/>
          <w:sz w:val="24"/>
          <w:szCs w:val="24"/>
        </w:rPr>
        <w:t>JACKSON</w:t>
      </w:r>
      <w:r w:rsidR="00F4046F" w:rsidRPr="00592B4C">
        <w:rPr>
          <w:rFonts w:ascii="Times New Roman" w:hAnsi="Times New Roman" w:cs="Times New Roman"/>
          <w:sz w:val="24"/>
          <w:szCs w:val="24"/>
        </w:rPr>
        <w:t xml:space="preserve"> ve T. G. </w:t>
      </w:r>
      <w:r w:rsidR="00592B4C" w:rsidRPr="00592B4C">
        <w:rPr>
          <w:rFonts w:ascii="Times New Roman" w:hAnsi="Times New Roman" w:cs="Times New Roman"/>
          <w:sz w:val="24"/>
          <w:szCs w:val="24"/>
        </w:rPr>
        <w:t>WEYMAN-JONES</w:t>
      </w:r>
      <w:r w:rsidR="00F4046F" w:rsidRPr="00592B4C">
        <w:rPr>
          <w:rFonts w:ascii="Times New Roman" w:hAnsi="Times New Roman" w:cs="Times New Roman"/>
          <w:sz w:val="24"/>
          <w:szCs w:val="24"/>
        </w:rPr>
        <w:t xml:space="preserve">, </w:t>
      </w:r>
      <w:r w:rsidR="00F3538B" w:rsidRPr="00592B4C">
        <w:rPr>
          <w:rFonts w:ascii="Times New Roman" w:hAnsi="Times New Roman" w:cs="Times New Roman"/>
          <w:sz w:val="24"/>
          <w:szCs w:val="24"/>
        </w:rPr>
        <w:t xml:space="preserve">(2001), </w:t>
      </w:r>
      <w:r w:rsidR="00F4046F" w:rsidRPr="00592B4C">
        <w:rPr>
          <w:rFonts w:ascii="Times New Roman" w:hAnsi="Times New Roman" w:cs="Times New Roman"/>
          <w:sz w:val="24"/>
          <w:szCs w:val="24"/>
        </w:rPr>
        <w:t xml:space="preserve">“An Empirical Study of Stochastic DEA and Financial Performance: The Case of the Turkish Commercial Banking Industry”, </w:t>
      </w:r>
      <w:r w:rsidR="00F4046F" w:rsidRPr="00592B4C">
        <w:rPr>
          <w:rFonts w:ascii="Times New Roman" w:hAnsi="Times New Roman" w:cs="Times New Roman"/>
          <w:b/>
          <w:sz w:val="24"/>
          <w:szCs w:val="24"/>
        </w:rPr>
        <w:t xml:space="preserve">Discussion Paper in Management and Organisation Studies, </w:t>
      </w:r>
      <w:r w:rsidR="00C12529" w:rsidRPr="00592B4C">
        <w:rPr>
          <w:rFonts w:ascii="Times New Roman" w:hAnsi="Times New Roman" w:cs="Times New Roman"/>
          <w:b/>
          <w:sz w:val="24"/>
          <w:szCs w:val="24"/>
        </w:rPr>
        <w:t>International INFORMS Conference Maui,</w:t>
      </w:r>
      <w:r w:rsidR="00C12529" w:rsidRPr="00592B4C">
        <w:rPr>
          <w:rFonts w:ascii="Times New Roman" w:hAnsi="Times New Roman" w:cs="Times New Roman"/>
          <w:sz w:val="24"/>
          <w:szCs w:val="24"/>
        </w:rPr>
        <w:t xml:space="preserve"> Vol. </w:t>
      </w:r>
      <w:r w:rsidR="00F4046F" w:rsidRPr="00592B4C">
        <w:rPr>
          <w:rFonts w:ascii="Times New Roman" w:hAnsi="Times New Roman" w:cs="Times New Roman"/>
          <w:sz w:val="24"/>
          <w:szCs w:val="24"/>
        </w:rPr>
        <w:t xml:space="preserve">01/16. </w:t>
      </w:r>
    </w:p>
    <w:p w:rsidR="00592B4C" w:rsidRPr="00592B4C" w:rsidRDefault="00592B4C" w:rsidP="00592B4C">
      <w:pPr>
        <w:pStyle w:val="ListeParagraf"/>
        <w:rPr>
          <w:rFonts w:ascii="Times New Roman" w:hAnsi="Times New Roman" w:cs="Times New Roman"/>
          <w:sz w:val="24"/>
          <w:szCs w:val="24"/>
        </w:rPr>
      </w:pPr>
    </w:p>
    <w:p w:rsidR="002B2776" w:rsidRDefault="002B2776" w:rsidP="00592B4C">
      <w:pPr>
        <w:pStyle w:val="ListeParagraf"/>
        <w:numPr>
          <w:ilvl w:val="0"/>
          <w:numId w:val="6"/>
        </w:numPr>
        <w:spacing w:before="240" w:line="240" w:lineRule="auto"/>
        <w:rPr>
          <w:rFonts w:ascii="Times New Roman" w:hAnsi="Times New Roman" w:cs="Times New Roman"/>
          <w:sz w:val="24"/>
          <w:szCs w:val="24"/>
        </w:rPr>
      </w:pPr>
      <w:r w:rsidRPr="00592B4C">
        <w:rPr>
          <w:rFonts w:ascii="Times New Roman" w:hAnsi="Times New Roman" w:cs="Times New Roman"/>
          <w:sz w:val="24"/>
          <w:szCs w:val="24"/>
        </w:rPr>
        <w:t xml:space="preserve">GÜNDÜZ, Lokman, Mustafa Kemal </w:t>
      </w:r>
      <w:r w:rsidR="00592B4C" w:rsidRPr="00592B4C">
        <w:rPr>
          <w:rFonts w:ascii="Times New Roman" w:hAnsi="Times New Roman" w:cs="Times New Roman"/>
          <w:sz w:val="24"/>
          <w:szCs w:val="24"/>
        </w:rPr>
        <w:t>YILMAZ</w:t>
      </w:r>
      <w:r w:rsidRPr="00592B4C">
        <w:rPr>
          <w:rFonts w:ascii="Times New Roman" w:hAnsi="Times New Roman" w:cs="Times New Roman"/>
          <w:sz w:val="24"/>
          <w:szCs w:val="24"/>
        </w:rPr>
        <w:t xml:space="preserve">, Celali </w:t>
      </w:r>
      <w:r w:rsidR="00592B4C" w:rsidRPr="00592B4C">
        <w:rPr>
          <w:rFonts w:ascii="Times New Roman" w:hAnsi="Times New Roman" w:cs="Times New Roman"/>
          <w:sz w:val="24"/>
          <w:szCs w:val="24"/>
        </w:rPr>
        <w:t>YILMAZ</w:t>
      </w:r>
      <w:r w:rsidRPr="00592B4C">
        <w:rPr>
          <w:rFonts w:ascii="Times New Roman" w:hAnsi="Times New Roman" w:cs="Times New Roman"/>
          <w:sz w:val="24"/>
          <w:szCs w:val="24"/>
        </w:rPr>
        <w:t xml:space="preserve">, </w:t>
      </w:r>
      <w:r w:rsidR="00C369DB" w:rsidRPr="00592B4C">
        <w:rPr>
          <w:rFonts w:ascii="Times New Roman" w:hAnsi="Times New Roman" w:cs="Times New Roman"/>
          <w:sz w:val="24"/>
          <w:szCs w:val="24"/>
        </w:rPr>
        <w:t xml:space="preserve">(2001), “Türkiye’deki Aracı Kurumların Perfromans Analizi (1993-1998): Kantitatif Bir Değerlendirme”, </w:t>
      </w:r>
      <w:r w:rsidRPr="00592B4C">
        <w:rPr>
          <w:rFonts w:ascii="Times New Roman" w:hAnsi="Times New Roman" w:cs="Times New Roman"/>
          <w:b/>
          <w:sz w:val="24"/>
          <w:szCs w:val="24"/>
        </w:rPr>
        <w:t>Bahçeşehir Üniversitesi Sosyal Bilimler Enstitüsü, Ekonomi ve Yönetim Bilimleri Dergisi,</w:t>
      </w:r>
      <w:r w:rsidRPr="00592B4C">
        <w:rPr>
          <w:rFonts w:ascii="Times New Roman" w:hAnsi="Times New Roman" w:cs="Times New Roman"/>
          <w:sz w:val="24"/>
          <w:szCs w:val="24"/>
        </w:rPr>
        <w:t xml:space="preserve"> </w:t>
      </w:r>
      <w:hyperlink r:id="rId69" w:history="1">
        <w:r w:rsidRPr="00592B4C">
          <w:rPr>
            <w:rStyle w:val="Kpr"/>
            <w:rFonts w:ascii="Times New Roman" w:hAnsi="Times New Roman" w:cs="Times New Roman"/>
            <w:sz w:val="24"/>
            <w:szCs w:val="24"/>
          </w:rPr>
          <w:t>http://www.mkyilmaz.net/makaleler/makale6.pdf</w:t>
        </w:r>
      </w:hyperlink>
      <w:r w:rsidRPr="00592B4C">
        <w:rPr>
          <w:rFonts w:ascii="Times New Roman" w:hAnsi="Times New Roman" w:cs="Times New Roman"/>
          <w:sz w:val="24"/>
          <w:szCs w:val="24"/>
        </w:rPr>
        <w:t>,  Cilt 1, Sayı 3, s</w:t>
      </w:r>
      <w:r w:rsidR="00DA5769" w:rsidRPr="00592B4C">
        <w:rPr>
          <w:rFonts w:ascii="Times New Roman" w:hAnsi="Times New Roman" w:cs="Times New Roman"/>
          <w:sz w:val="24"/>
          <w:szCs w:val="24"/>
        </w:rPr>
        <w:t>s.</w:t>
      </w:r>
      <w:r w:rsidRPr="00592B4C">
        <w:rPr>
          <w:rFonts w:ascii="Times New Roman" w:hAnsi="Times New Roman" w:cs="Times New Roman"/>
          <w:sz w:val="24"/>
          <w:szCs w:val="24"/>
        </w:rPr>
        <w:t xml:space="preserve"> 38-53.</w:t>
      </w:r>
    </w:p>
    <w:p w:rsidR="00592B4C" w:rsidRPr="00592B4C" w:rsidRDefault="00592B4C" w:rsidP="00592B4C">
      <w:pPr>
        <w:pStyle w:val="ListeParagraf"/>
        <w:rPr>
          <w:rFonts w:ascii="Times New Roman" w:hAnsi="Times New Roman" w:cs="Times New Roman"/>
          <w:sz w:val="24"/>
          <w:szCs w:val="24"/>
        </w:rPr>
      </w:pPr>
    </w:p>
    <w:p w:rsidR="003A5A95" w:rsidRDefault="00592B4C" w:rsidP="00592B4C">
      <w:pPr>
        <w:pStyle w:val="ListeParagraf"/>
        <w:numPr>
          <w:ilvl w:val="0"/>
          <w:numId w:val="6"/>
        </w:numPr>
        <w:spacing w:before="240" w:line="240" w:lineRule="auto"/>
        <w:rPr>
          <w:rFonts w:ascii="Times New Roman" w:hAnsi="Times New Roman" w:cs="Times New Roman"/>
          <w:sz w:val="24"/>
          <w:szCs w:val="24"/>
        </w:rPr>
      </w:pPr>
      <w:r>
        <w:rPr>
          <w:rFonts w:ascii="Times New Roman" w:hAnsi="Times New Roman" w:cs="Times New Roman"/>
          <w:sz w:val="24"/>
          <w:szCs w:val="24"/>
        </w:rPr>
        <w:t>HALKOS, George E. ve SALAMOURI</w:t>
      </w:r>
      <w:r w:rsidR="003A5A95" w:rsidRPr="00592B4C">
        <w:rPr>
          <w:rFonts w:ascii="Times New Roman" w:hAnsi="Times New Roman" w:cs="Times New Roman"/>
          <w:sz w:val="24"/>
          <w:szCs w:val="24"/>
        </w:rPr>
        <w:t>S Dimitrios S., (2001), “</w:t>
      </w:r>
      <w:r>
        <w:rPr>
          <w:rFonts w:ascii="Times New Roman" w:hAnsi="Times New Roman" w:cs="Times New Roman"/>
          <w:sz w:val="24"/>
          <w:szCs w:val="24"/>
        </w:rPr>
        <w:t>Efficiency Measurement of the Greek Commercial Banks with the U</w:t>
      </w:r>
      <w:r w:rsidR="00AC0BE1" w:rsidRPr="00592B4C">
        <w:rPr>
          <w:rFonts w:ascii="Times New Roman" w:hAnsi="Times New Roman" w:cs="Times New Roman"/>
          <w:sz w:val="24"/>
          <w:szCs w:val="24"/>
        </w:rPr>
        <w:t xml:space="preserve">se of </w:t>
      </w:r>
      <w:r w:rsidRPr="00592B4C">
        <w:rPr>
          <w:rFonts w:ascii="Times New Roman" w:hAnsi="Times New Roman" w:cs="Times New Roman"/>
          <w:sz w:val="24"/>
          <w:szCs w:val="24"/>
        </w:rPr>
        <w:t>Financial Ratios</w:t>
      </w:r>
      <w:r w:rsidR="00AC0BE1" w:rsidRPr="00592B4C">
        <w:rPr>
          <w:rFonts w:ascii="Times New Roman" w:hAnsi="Times New Roman" w:cs="Times New Roman"/>
          <w:sz w:val="24"/>
          <w:szCs w:val="24"/>
        </w:rPr>
        <w:t xml:space="preserve">: </w:t>
      </w:r>
      <w:r>
        <w:rPr>
          <w:rFonts w:ascii="Times New Roman" w:hAnsi="Times New Roman" w:cs="Times New Roman"/>
          <w:sz w:val="24"/>
          <w:szCs w:val="24"/>
        </w:rPr>
        <w:t>A</w:t>
      </w:r>
      <w:r w:rsidR="00AC0BE1" w:rsidRPr="00592B4C">
        <w:rPr>
          <w:rFonts w:ascii="Times New Roman" w:hAnsi="Times New Roman" w:cs="Times New Roman"/>
          <w:sz w:val="24"/>
          <w:szCs w:val="24"/>
        </w:rPr>
        <w:t xml:space="preserve"> </w:t>
      </w:r>
      <w:r w:rsidRPr="00592B4C">
        <w:rPr>
          <w:rFonts w:ascii="Times New Roman" w:hAnsi="Times New Roman" w:cs="Times New Roman"/>
          <w:sz w:val="24"/>
          <w:szCs w:val="24"/>
        </w:rPr>
        <w:t xml:space="preserve">Data Envelopment Analysis </w:t>
      </w:r>
      <w:r>
        <w:rPr>
          <w:rFonts w:ascii="Times New Roman" w:hAnsi="Times New Roman" w:cs="Times New Roman"/>
          <w:sz w:val="24"/>
          <w:szCs w:val="24"/>
        </w:rPr>
        <w:t>A</w:t>
      </w:r>
      <w:r w:rsidR="00AC0BE1" w:rsidRPr="00592B4C">
        <w:rPr>
          <w:rFonts w:ascii="Times New Roman" w:hAnsi="Times New Roman" w:cs="Times New Roman"/>
          <w:sz w:val="24"/>
          <w:szCs w:val="24"/>
        </w:rPr>
        <w:t xml:space="preserve">pproach”, </w:t>
      </w:r>
      <w:r w:rsidR="00AC0BE1" w:rsidRPr="00592B4C">
        <w:rPr>
          <w:rFonts w:ascii="Times New Roman" w:hAnsi="Times New Roman" w:cs="Times New Roman"/>
          <w:b/>
          <w:sz w:val="24"/>
          <w:szCs w:val="24"/>
        </w:rPr>
        <w:t>Elsevier Journal</w:t>
      </w:r>
      <w:r w:rsidR="005158EA" w:rsidRPr="00592B4C">
        <w:rPr>
          <w:rFonts w:ascii="Times New Roman" w:hAnsi="Times New Roman" w:cs="Times New Roman"/>
          <w:b/>
          <w:sz w:val="24"/>
          <w:szCs w:val="24"/>
        </w:rPr>
        <w:t>-Management Accounting Research</w:t>
      </w:r>
      <w:r w:rsidR="00AC0BE1" w:rsidRPr="00592B4C">
        <w:rPr>
          <w:rFonts w:ascii="Times New Roman" w:hAnsi="Times New Roman" w:cs="Times New Roman"/>
          <w:b/>
          <w:sz w:val="24"/>
          <w:szCs w:val="24"/>
        </w:rPr>
        <w:t>,</w:t>
      </w:r>
      <w:r w:rsidR="00AC0BE1" w:rsidRPr="00592B4C">
        <w:rPr>
          <w:rFonts w:ascii="Times New Roman" w:hAnsi="Times New Roman" w:cs="Times New Roman"/>
          <w:sz w:val="24"/>
          <w:szCs w:val="24"/>
        </w:rPr>
        <w:t xml:space="preserve"> </w:t>
      </w:r>
      <w:r w:rsidR="00805A10" w:rsidRPr="00592B4C">
        <w:rPr>
          <w:rFonts w:ascii="Times New Roman" w:hAnsi="Times New Roman" w:cs="Times New Roman"/>
          <w:sz w:val="24"/>
          <w:szCs w:val="24"/>
        </w:rPr>
        <w:t>Sayı 15/2004, ss.</w:t>
      </w:r>
      <w:r>
        <w:rPr>
          <w:rFonts w:ascii="Times New Roman" w:hAnsi="Times New Roman" w:cs="Times New Roman"/>
          <w:sz w:val="24"/>
          <w:szCs w:val="24"/>
        </w:rPr>
        <w:t xml:space="preserve"> </w:t>
      </w:r>
      <w:r w:rsidR="00805A10" w:rsidRPr="00592B4C">
        <w:rPr>
          <w:rFonts w:ascii="Times New Roman" w:hAnsi="Times New Roman" w:cs="Times New Roman"/>
          <w:sz w:val="24"/>
          <w:szCs w:val="24"/>
        </w:rPr>
        <w:t>201-224.</w:t>
      </w:r>
    </w:p>
    <w:p w:rsidR="00592B4C" w:rsidRPr="00592B4C" w:rsidRDefault="00592B4C" w:rsidP="00592B4C">
      <w:pPr>
        <w:pStyle w:val="ListeParagraf"/>
        <w:rPr>
          <w:rFonts w:ascii="Times New Roman" w:hAnsi="Times New Roman" w:cs="Times New Roman"/>
          <w:sz w:val="24"/>
          <w:szCs w:val="24"/>
        </w:rPr>
      </w:pPr>
    </w:p>
    <w:p w:rsidR="0007029A" w:rsidRPr="00592B4C" w:rsidRDefault="0007029A" w:rsidP="00592B4C">
      <w:pPr>
        <w:pStyle w:val="ListeParagraf"/>
        <w:numPr>
          <w:ilvl w:val="0"/>
          <w:numId w:val="6"/>
        </w:numPr>
        <w:spacing w:after="0" w:line="240" w:lineRule="auto"/>
        <w:jc w:val="left"/>
        <w:rPr>
          <w:rFonts w:ascii="Times New Roman" w:hAnsi="Times New Roman" w:cs="Times New Roman"/>
          <w:sz w:val="24"/>
          <w:szCs w:val="24"/>
        </w:rPr>
      </w:pPr>
      <w:r w:rsidRPr="00592B4C">
        <w:rPr>
          <w:rFonts w:ascii="Times New Roman" w:hAnsi="Times New Roman" w:cs="Times New Roman"/>
          <w:sz w:val="24"/>
          <w:szCs w:val="24"/>
        </w:rPr>
        <w:t>KADIOĞLU, Eyüp,</w:t>
      </w:r>
      <w:r w:rsidR="00592B4C">
        <w:rPr>
          <w:rFonts w:ascii="Times New Roman" w:hAnsi="Times New Roman" w:cs="Times New Roman"/>
          <w:sz w:val="24"/>
          <w:szCs w:val="24"/>
        </w:rPr>
        <w:t xml:space="preserve"> </w:t>
      </w:r>
      <w:r w:rsidR="006C6F20" w:rsidRPr="00592B4C">
        <w:rPr>
          <w:rFonts w:ascii="Times New Roman" w:hAnsi="Times New Roman" w:cs="Times New Roman"/>
          <w:sz w:val="24"/>
          <w:szCs w:val="24"/>
        </w:rPr>
        <w:t>(2006),</w:t>
      </w:r>
      <w:r w:rsidRPr="00592B4C">
        <w:rPr>
          <w:rFonts w:ascii="Times New Roman" w:hAnsi="Times New Roman" w:cs="Times New Roman"/>
          <w:sz w:val="24"/>
          <w:szCs w:val="24"/>
        </w:rPr>
        <w:t xml:space="preserve"> “Türkiye’de Aracı Kurumların </w:t>
      </w:r>
      <w:r w:rsidR="007210D2" w:rsidRPr="00592B4C">
        <w:rPr>
          <w:rFonts w:ascii="Times New Roman" w:hAnsi="Times New Roman" w:cs="Times New Roman"/>
          <w:sz w:val="24"/>
          <w:szCs w:val="24"/>
        </w:rPr>
        <w:t>Kâr</w:t>
      </w:r>
      <w:r w:rsidRPr="00592B4C">
        <w:rPr>
          <w:rFonts w:ascii="Times New Roman" w:hAnsi="Times New Roman" w:cs="Times New Roman"/>
          <w:sz w:val="24"/>
          <w:szCs w:val="24"/>
        </w:rPr>
        <w:t xml:space="preserve">lılığını Belirleyen Faktörler”, </w:t>
      </w:r>
      <w:r w:rsidRPr="00592B4C">
        <w:rPr>
          <w:rFonts w:ascii="Times New Roman" w:hAnsi="Times New Roman" w:cs="Times New Roman"/>
          <w:b/>
          <w:sz w:val="24"/>
          <w:szCs w:val="24"/>
        </w:rPr>
        <w:t>Hacettepe Üniversitesi, Sosyal Bilimler Enstitüsü İktisat Anabilim Dalı Yüksek Lisans Tezi</w:t>
      </w:r>
      <w:r w:rsidRPr="00592B4C">
        <w:rPr>
          <w:rFonts w:ascii="Times New Roman" w:hAnsi="Times New Roman" w:cs="Times New Roman"/>
          <w:sz w:val="24"/>
          <w:szCs w:val="24"/>
        </w:rPr>
        <w:t xml:space="preserve">, </w:t>
      </w:r>
      <w:hyperlink r:id="rId70" w:history="1">
        <w:r w:rsidRPr="00592B4C">
          <w:rPr>
            <w:rStyle w:val="Kpr"/>
            <w:rFonts w:ascii="Times New Roman" w:hAnsi="Times New Roman" w:cs="Times New Roman"/>
            <w:sz w:val="24"/>
            <w:szCs w:val="24"/>
          </w:rPr>
          <w:t>http://www.spk.gov.tr/displayfile.aspx?action=displayfile&amp;pageid=741&amp;fn</w:t>
        </w:r>
      </w:hyperlink>
      <w:r w:rsidR="006C6F20" w:rsidRPr="00592B4C">
        <w:rPr>
          <w:rFonts w:ascii="Times New Roman" w:hAnsi="Times New Roman" w:cs="Times New Roman"/>
          <w:sz w:val="24"/>
          <w:szCs w:val="24"/>
        </w:rPr>
        <w:t>=..., s</w:t>
      </w:r>
      <w:r w:rsidRPr="00592B4C">
        <w:rPr>
          <w:rFonts w:ascii="Times New Roman" w:hAnsi="Times New Roman" w:cs="Times New Roman"/>
          <w:sz w:val="24"/>
          <w:szCs w:val="24"/>
        </w:rPr>
        <w:t>s.</w:t>
      </w:r>
      <w:r w:rsidR="00592B4C">
        <w:rPr>
          <w:rFonts w:ascii="Times New Roman" w:hAnsi="Times New Roman" w:cs="Times New Roman"/>
          <w:sz w:val="24"/>
          <w:szCs w:val="24"/>
        </w:rPr>
        <w:t xml:space="preserve"> </w:t>
      </w:r>
      <w:r w:rsidRPr="00592B4C">
        <w:rPr>
          <w:rFonts w:ascii="Times New Roman" w:hAnsi="Times New Roman" w:cs="Times New Roman"/>
          <w:sz w:val="24"/>
          <w:szCs w:val="24"/>
        </w:rPr>
        <w:t>75.</w:t>
      </w:r>
    </w:p>
    <w:p w:rsidR="00461459" w:rsidRPr="002E402A" w:rsidRDefault="00461459" w:rsidP="000A7CD7">
      <w:pPr>
        <w:spacing w:after="0" w:line="240" w:lineRule="auto"/>
        <w:ind w:left="567" w:hanging="567"/>
        <w:rPr>
          <w:rFonts w:ascii="Times New Roman" w:hAnsi="Times New Roman" w:cs="Times New Roman"/>
          <w:sz w:val="24"/>
          <w:szCs w:val="24"/>
        </w:rPr>
      </w:pPr>
    </w:p>
    <w:p w:rsidR="00461459" w:rsidRPr="00592B4C" w:rsidRDefault="00C76604" w:rsidP="00592B4C">
      <w:pPr>
        <w:pStyle w:val="ListeParagraf"/>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KAMARUDDI</w:t>
      </w:r>
      <w:r w:rsidR="00461459" w:rsidRPr="00592B4C">
        <w:rPr>
          <w:rFonts w:ascii="Times New Roman" w:hAnsi="Times New Roman" w:cs="Times New Roman"/>
          <w:sz w:val="24"/>
          <w:szCs w:val="24"/>
        </w:rPr>
        <w:t xml:space="preserve">N, Badrul Hisham, SAFA, a Mohammad Samaun ve MOHDC Rohani, (2008), “Assessing Production Efficiency of Islamic Banks and Conventional Bank Islamic Windows in Malaysia”, </w:t>
      </w:r>
      <w:r w:rsidR="00461459" w:rsidRPr="00592B4C">
        <w:rPr>
          <w:rFonts w:ascii="Times New Roman" w:hAnsi="Times New Roman" w:cs="Times New Roman"/>
          <w:b/>
          <w:sz w:val="24"/>
          <w:szCs w:val="24"/>
        </w:rPr>
        <w:t xml:space="preserve">International Journal of Business and Management </w:t>
      </w:r>
      <w:r w:rsidR="00F245F8" w:rsidRPr="00592B4C">
        <w:rPr>
          <w:rFonts w:ascii="Times New Roman" w:hAnsi="Times New Roman" w:cs="Times New Roman"/>
          <w:b/>
          <w:sz w:val="24"/>
          <w:szCs w:val="24"/>
        </w:rPr>
        <w:t>Research</w:t>
      </w:r>
      <w:r w:rsidR="00F245F8" w:rsidRPr="00592B4C">
        <w:rPr>
          <w:rFonts w:ascii="Times New Roman" w:hAnsi="Times New Roman" w:cs="Times New Roman"/>
          <w:sz w:val="24"/>
          <w:szCs w:val="24"/>
        </w:rPr>
        <w:t>, Vol</w:t>
      </w:r>
      <w:r w:rsidR="00461459" w:rsidRPr="00592B4C">
        <w:rPr>
          <w:rFonts w:ascii="Times New Roman" w:hAnsi="Times New Roman" w:cs="Times New Roman"/>
          <w:sz w:val="24"/>
          <w:szCs w:val="24"/>
        </w:rPr>
        <w:t>. 1, No. 1, ss. 31-48.</w:t>
      </w:r>
    </w:p>
    <w:p w:rsidR="00461459" w:rsidRPr="002E402A" w:rsidRDefault="00461459" w:rsidP="000A7CD7">
      <w:pPr>
        <w:spacing w:after="0" w:line="240" w:lineRule="auto"/>
        <w:ind w:left="567" w:hanging="567"/>
        <w:rPr>
          <w:rFonts w:ascii="Times New Roman" w:hAnsi="Times New Roman" w:cs="Times New Roman"/>
          <w:sz w:val="24"/>
          <w:szCs w:val="24"/>
        </w:rPr>
      </w:pPr>
    </w:p>
    <w:p w:rsidR="00461459" w:rsidRPr="00592B4C" w:rsidRDefault="008D788D" w:rsidP="00592B4C">
      <w:pPr>
        <w:pStyle w:val="ListeParagraf"/>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KAMARUDINA, Norbaizura, ISMAI</w:t>
      </w:r>
      <w:r w:rsidR="00461459" w:rsidRPr="00592B4C">
        <w:rPr>
          <w:rFonts w:ascii="Times New Roman" w:hAnsi="Times New Roman" w:cs="Times New Roman"/>
          <w:sz w:val="24"/>
          <w:szCs w:val="24"/>
        </w:rPr>
        <w:t xml:space="preserve">L, Wan Rosmanira ve MOHD, Muhammad Azri, (2014), “Assessing Efficiency and Effectiveness of Malaysian Islamic Banks: A Two Stage DEA Analysis”, </w:t>
      </w:r>
      <w:r w:rsidR="00461459" w:rsidRPr="00592B4C">
        <w:rPr>
          <w:rFonts w:ascii="Times New Roman" w:hAnsi="Times New Roman" w:cs="Times New Roman"/>
          <w:b/>
          <w:sz w:val="24"/>
          <w:szCs w:val="24"/>
        </w:rPr>
        <w:t xml:space="preserve">Proceedings of the 3rd International Conference on Mathematical Sciences, </w:t>
      </w:r>
      <w:r w:rsidR="00461459" w:rsidRPr="00592B4C">
        <w:rPr>
          <w:rFonts w:ascii="Times New Roman" w:hAnsi="Times New Roman" w:cs="Times New Roman"/>
          <w:sz w:val="24"/>
          <w:szCs w:val="24"/>
        </w:rPr>
        <w:t>AIP Conf. Proc. 1602, ss. 934-938.</w:t>
      </w:r>
    </w:p>
    <w:p w:rsidR="0007029A" w:rsidRPr="002E402A" w:rsidRDefault="0007029A" w:rsidP="000A7CD7">
      <w:pPr>
        <w:spacing w:after="0" w:line="240" w:lineRule="auto"/>
        <w:ind w:left="567" w:hanging="567"/>
        <w:rPr>
          <w:rFonts w:ascii="Times New Roman" w:hAnsi="Times New Roman" w:cs="Times New Roman"/>
          <w:sz w:val="24"/>
          <w:szCs w:val="24"/>
        </w:rPr>
      </w:pPr>
    </w:p>
    <w:p w:rsidR="00336F78" w:rsidRDefault="007210D2"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KÂR</w:t>
      </w:r>
      <w:r w:rsidR="002F1ED8" w:rsidRPr="00592B4C">
        <w:rPr>
          <w:rFonts w:ascii="Times New Roman" w:hAnsi="Times New Roman" w:cs="Times New Roman"/>
          <w:sz w:val="24"/>
          <w:szCs w:val="24"/>
        </w:rPr>
        <w:t>AN</w:t>
      </w:r>
      <w:r w:rsidR="00336F78" w:rsidRPr="00592B4C">
        <w:rPr>
          <w:rFonts w:ascii="Times New Roman" w:hAnsi="Times New Roman" w:cs="Times New Roman"/>
          <w:sz w:val="24"/>
          <w:szCs w:val="24"/>
        </w:rPr>
        <w:t xml:space="preserve">, Baha Mehmet ve </w:t>
      </w:r>
      <w:r w:rsidRPr="00592B4C">
        <w:rPr>
          <w:rFonts w:ascii="Times New Roman" w:hAnsi="Times New Roman" w:cs="Times New Roman"/>
          <w:sz w:val="24"/>
          <w:szCs w:val="24"/>
        </w:rPr>
        <w:t>KÂR</w:t>
      </w:r>
      <w:r w:rsidR="00336F78" w:rsidRPr="00592B4C">
        <w:rPr>
          <w:rFonts w:ascii="Times New Roman" w:hAnsi="Times New Roman" w:cs="Times New Roman"/>
          <w:sz w:val="24"/>
          <w:szCs w:val="24"/>
        </w:rPr>
        <w:t xml:space="preserve">ACABEY, Ali Argun, </w:t>
      </w:r>
      <w:r w:rsidR="00975F33" w:rsidRPr="00592B4C">
        <w:rPr>
          <w:rFonts w:ascii="Times New Roman" w:hAnsi="Times New Roman" w:cs="Times New Roman"/>
          <w:sz w:val="24"/>
          <w:szCs w:val="24"/>
        </w:rPr>
        <w:t xml:space="preserve">(2003), </w:t>
      </w:r>
      <w:r w:rsidR="00336F78" w:rsidRPr="00592B4C">
        <w:rPr>
          <w:rFonts w:ascii="Times New Roman" w:hAnsi="Times New Roman" w:cs="Times New Roman"/>
          <w:sz w:val="24"/>
          <w:szCs w:val="24"/>
        </w:rPr>
        <w:t xml:space="preserve">“Türkiye’de Sermaye Piyasasının Mali Sistem İçindeki Yeri, Sorunları ve Geleceği”, </w:t>
      </w:r>
      <w:r w:rsidR="00336F78" w:rsidRPr="00592B4C">
        <w:rPr>
          <w:rFonts w:ascii="Times New Roman" w:hAnsi="Times New Roman" w:cs="Times New Roman"/>
          <w:b/>
          <w:sz w:val="24"/>
          <w:szCs w:val="24"/>
        </w:rPr>
        <w:t>Sermaye Piyasası Kurulu Yayınları</w:t>
      </w:r>
      <w:r w:rsidR="00336F78" w:rsidRPr="00592B4C">
        <w:rPr>
          <w:rFonts w:ascii="Times New Roman" w:hAnsi="Times New Roman" w:cs="Times New Roman"/>
          <w:sz w:val="24"/>
          <w:szCs w:val="24"/>
        </w:rPr>
        <w:t xml:space="preserve">, </w:t>
      </w:r>
      <w:r w:rsidR="008D38A4" w:rsidRPr="00592B4C">
        <w:rPr>
          <w:rFonts w:ascii="Times New Roman" w:hAnsi="Times New Roman" w:cs="Times New Roman"/>
          <w:sz w:val="24"/>
          <w:szCs w:val="24"/>
        </w:rPr>
        <w:t>Cilt No:</w:t>
      </w:r>
      <w:r w:rsidR="00F245F8">
        <w:rPr>
          <w:rFonts w:ascii="Times New Roman" w:hAnsi="Times New Roman" w:cs="Times New Roman"/>
          <w:sz w:val="24"/>
          <w:szCs w:val="24"/>
        </w:rPr>
        <w:t xml:space="preserve"> </w:t>
      </w:r>
      <w:r w:rsidR="008D38A4" w:rsidRPr="00592B4C">
        <w:rPr>
          <w:rFonts w:ascii="Times New Roman" w:hAnsi="Times New Roman" w:cs="Times New Roman"/>
          <w:sz w:val="24"/>
          <w:szCs w:val="24"/>
        </w:rPr>
        <w:t>140</w:t>
      </w:r>
      <w:r w:rsidR="00336F78" w:rsidRPr="00592B4C">
        <w:rPr>
          <w:rFonts w:ascii="Times New Roman" w:hAnsi="Times New Roman" w:cs="Times New Roman"/>
          <w:sz w:val="24"/>
          <w:szCs w:val="24"/>
        </w:rPr>
        <w:t>.</w:t>
      </w:r>
    </w:p>
    <w:p w:rsidR="00F245F8" w:rsidRPr="00F245F8" w:rsidRDefault="00F245F8" w:rsidP="00F245F8">
      <w:pPr>
        <w:pStyle w:val="ListeParagraf"/>
        <w:rPr>
          <w:rFonts w:ascii="Times New Roman" w:hAnsi="Times New Roman" w:cs="Times New Roman"/>
          <w:sz w:val="24"/>
          <w:szCs w:val="24"/>
        </w:rPr>
      </w:pPr>
    </w:p>
    <w:p w:rsidR="002A4C29" w:rsidRDefault="002A4C29" w:rsidP="00F245F8">
      <w:pPr>
        <w:pStyle w:val="ListeParagraf"/>
        <w:numPr>
          <w:ilvl w:val="0"/>
          <w:numId w:val="6"/>
        </w:numPr>
        <w:spacing w:before="240" w:line="240" w:lineRule="auto"/>
        <w:jc w:val="left"/>
        <w:rPr>
          <w:rFonts w:ascii="Times New Roman" w:hAnsi="Times New Roman" w:cs="Times New Roman"/>
          <w:sz w:val="24"/>
          <w:szCs w:val="24"/>
        </w:rPr>
      </w:pPr>
      <w:r w:rsidRPr="00592B4C">
        <w:rPr>
          <w:rFonts w:ascii="Times New Roman" w:hAnsi="Times New Roman" w:cs="Times New Roman"/>
          <w:sz w:val="24"/>
          <w:szCs w:val="24"/>
        </w:rPr>
        <w:t>KOÇYİĞİT, M. Murat,</w:t>
      </w:r>
      <w:r w:rsidR="00F97823" w:rsidRPr="00592B4C">
        <w:rPr>
          <w:rFonts w:ascii="Times New Roman" w:hAnsi="Times New Roman" w:cs="Times New Roman"/>
          <w:sz w:val="24"/>
          <w:szCs w:val="24"/>
        </w:rPr>
        <w:t xml:space="preserve"> (2013),</w:t>
      </w:r>
      <w:r w:rsidRPr="00592B4C">
        <w:rPr>
          <w:rFonts w:ascii="Times New Roman" w:hAnsi="Times New Roman" w:cs="Times New Roman"/>
          <w:sz w:val="24"/>
          <w:szCs w:val="24"/>
        </w:rPr>
        <w:t xml:space="preserve"> </w:t>
      </w:r>
      <w:r w:rsidR="00F97823" w:rsidRPr="00592B4C">
        <w:rPr>
          <w:rFonts w:ascii="Times New Roman" w:hAnsi="Times New Roman" w:cs="Times New Roman"/>
          <w:sz w:val="24"/>
          <w:szCs w:val="24"/>
        </w:rPr>
        <w:t xml:space="preserve">“Mevduat Bankalarının Etkinliği ve Hisse Senedi Getirileri Arasındaki İlişki”, </w:t>
      </w:r>
      <w:r w:rsidRPr="00592B4C">
        <w:rPr>
          <w:rFonts w:ascii="Times New Roman" w:hAnsi="Times New Roman" w:cs="Times New Roman"/>
          <w:b/>
          <w:sz w:val="24"/>
          <w:szCs w:val="24"/>
        </w:rPr>
        <w:t xml:space="preserve">Muhasebe ve Finansman Öğretim Üyeleri Bilim ve Araştırma </w:t>
      </w:r>
      <w:r w:rsidRPr="00592B4C">
        <w:rPr>
          <w:rFonts w:ascii="Times New Roman" w:hAnsi="Times New Roman" w:cs="Times New Roman"/>
          <w:b/>
          <w:sz w:val="24"/>
          <w:szCs w:val="24"/>
        </w:rPr>
        <w:lastRenderedPageBreak/>
        <w:t>Derneği (MUFAD), Muhasebe ve Finansman Dergisi</w:t>
      </w:r>
      <w:r w:rsidRPr="00592B4C">
        <w:rPr>
          <w:rFonts w:ascii="Times New Roman" w:hAnsi="Times New Roman" w:cs="Times New Roman"/>
          <w:sz w:val="24"/>
          <w:szCs w:val="24"/>
        </w:rPr>
        <w:t>,</w:t>
      </w:r>
      <w:r w:rsidR="007D0650" w:rsidRPr="00592B4C">
        <w:rPr>
          <w:rFonts w:ascii="Times New Roman" w:hAnsi="Times New Roman" w:cs="Times New Roman"/>
          <w:sz w:val="24"/>
          <w:szCs w:val="24"/>
        </w:rPr>
        <w:t xml:space="preserve"> </w:t>
      </w:r>
      <w:hyperlink r:id="rId71" w:history="1">
        <w:r w:rsidRPr="00592B4C">
          <w:rPr>
            <w:rStyle w:val="Kpr"/>
            <w:rFonts w:ascii="Times New Roman" w:hAnsi="Times New Roman" w:cs="Times New Roman"/>
            <w:sz w:val="24"/>
            <w:szCs w:val="24"/>
          </w:rPr>
          <w:t>http://journal.mufad.org/index.php/tr/arsiv/938-sayi-57-ocak-2013/689-mevduat-bankalarinin-etkinligi-ve-hisse-senedi-getirileri-arasindaki-iliski-</w:t>
        </w:r>
      </w:hyperlink>
      <w:r w:rsidRPr="00592B4C">
        <w:rPr>
          <w:rFonts w:ascii="Times New Roman" w:hAnsi="Times New Roman" w:cs="Times New Roman"/>
          <w:sz w:val="24"/>
          <w:szCs w:val="24"/>
        </w:rPr>
        <w:t xml:space="preserve">, </w:t>
      </w:r>
      <w:r w:rsidR="00F97823" w:rsidRPr="00592B4C">
        <w:rPr>
          <w:rFonts w:ascii="Times New Roman" w:hAnsi="Times New Roman" w:cs="Times New Roman"/>
          <w:sz w:val="24"/>
          <w:szCs w:val="24"/>
        </w:rPr>
        <w:t>Sayı 57</w:t>
      </w:r>
      <w:r w:rsidRPr="00592B4C">
        <w:rPr>
          <w:rFonts w:ascii="Times New Roman" w:hAnsi="Times New Roman" w:cs="Times New Roman"/>
          <w:sz w:val="24"/>
          <w:szCs w:val="24"/>
        </w:rPr>
        <w:t xml:space="preserve">. </w:t>
      </w:r>
    </w:p>
    <w:p w:rsidR="00F245F8" w:rsidRPr="00F245F8" w:rsidRDefault="00F245F8" w:rsidP="00F245F8">
      <w:pPr>
        <w:pStyle w:val="ListeParagraf"/>
        <w:rPr>
          <w:rFonts w:ascii="Times New Roman" w:hAnsi="Times New Roman" w:cs="Times New Roman"/>
          <w:sz w:val="24"/>
          <w:szCs w:val="24"/>
        </w:rPr>
      </w:pPr>
    </w:p>
    <w:p w:rsidR="00FC0F6D" w:rsidRDefault="00F245F8" w:rsidP="00592B4C">
      <w:pPr>
        <w:pStyle w:val="ListeParagraf"/>
        <w:numPr>
          <w:ilvl w:val="0"/>
          <w:numId w:val="6"/>
        </w:numPr>
        <w:spacing w:before="240" w:line="240" w:lineRule="auto"/>
        <w:rPr>
          <w:rFonts w:ascii="Times New Roman" w:hAnsi="Times New Roman" w:cs="Times New Roman"/>
          <w:sz w:val="24"/>
          <w:szCs w:val="24"/>
        </w:rPr>
      </w:pPr>
      <w:r>
        <w:rPr>
          <w:rFonts w:ascii="Times New Roman" w:hAnsi="Times New Roman" w:cs="Times New Roman"/>
          <w:sz w:val="24"/>
          <w:szCs w:val="24"/>
        </w:rPr>
        <w:t>KOHANDEL, Zahra, FARDI, Khadije ve Hadi KORD JAVADI</w:t>
      </w:r>
      <w:r w:rsidR="00FC0F6D" w:rsidRPr="00592B4C">
        <w:rPr>
          <w:rFonts w:ascii="Times New Roman" w:hAnsi="Times New Roman" w:cs="Times New Roman"/>
          <w:sz w:val="24"/>
          <w:szCs w:val="24"/>
        </w:rPr>
        <w:t xml:space="preserve">, </w:t>
      </w:r>
      <w:r w:rsidR="004650CD" w:rsidRPr="00592B4C">
        <w:rPr>
          <w:rFonts w:ascii="Times New Roman" w:hAnsi="Times New Roman" w:cs="Times New Roman"/>
          <w:sz w:val="24"/>
          <w:szCs w:val="24"/>
        </w:rPr>
        <w:t>(2015), “</w:t>
      </w:r>
      <w:r w:rsidR="00ED6949" w:rsidRPr="00592B4C">
        <w:rPr>
          <w:rFonts w:ascii="Times New Roman" w:hAnsi="Times New Roman" w:cs="Times New Roman"/>
          <w:sz w:val="24"/>
          <w:szCs w:val="24"/>
        </w:rPr>
        <w:t xml:space="preserve">Predicting financial crisis happening by using data envelopment technique (a comparative study using Springate, Altman, Ohleson, Zimmesky, Shirata) in Tehran Stock Exchange”, </w:t>
      </w:r>
      <w:r w:rsidR="00DE776A" w:rsidRPr="00592B4C">
        <w:rPr>
          <w:rFonts w:ascii="Times New Roman" w:hAnsi="Times New Roman" w:cs="Times New Roman"/>
          <w:b/>
          <w:sz w:val="24"/>
          <w:szCs w:val="24"/>
        </w:rPr>
        <w:t>Cumhuriyet Üniversitesi Fen Fakültesi Fen Bilimleri Dergisi</w:t>
      </w:r>
      <w:r w:rsidR="00DE776A" w:rsidRPr="00592B4C">
        <w:rPr>
          <w:rFonts w:ascii="Times New Roman" w:hAnsi="Times New Roman" w:cs="Times New Roman"/>
          <w:sz w:val="24"/>
          <w:szCs w:val="24"/>
        </w:rPr>
        <w:t xml:space="preserve">, </w:t>
      </w:r>
      <w:r w:rsidR="005A45EE" w:rsidRPr="00592B4C">
        <w:rPr>
          <w:rFonts w:ascii="Times New Roman" w:hAnsi="Times New Roman" w:cs="Times New Roman"/>
          <w:sz w:val="24"/>
          <w:szCs w:val="24"/>
        </w:rPr>
        <w:t>Cilt 36, No:3, 1761-1775.</w:t>
      </w:r>
    </w:p>
    <w:p w:rsidR="00F245F8" w:rsidRPr="00F245F8" w:rsidRDefault="00F245F8" w:rsidP="00F245F8">
      <w:pPr>
        <w:pStyle w:val="ListeParagraf"/>
        <w:rPr>
          <w:rFonts w:ascii="Times New Roman" w:hAnsi="Times New Roman" w:cs="Times New Roman"/>
          <w:sz w:val="24"/>
          <w:szCs w:val="24"/>
        </w:rPr>
      </w:pPr>
    </w:p>
    <w:p w:rsidR="00737675" w:rsidRDefault="00737675" w:rsidP="00592B4C">
      <w:pPr>
        <w:pStyle w:val="ListeParagraf"/>
        <w:numPr>
          <w:ilvl w:val="0"/>
          <w:numId w:val="6"/>
        </w:numPr>
        <w:spacing w:before="240" w:line="240" w:lineRule="auto"/>
        <w:rPr>
          <w:rFonts w:ascii="Times New Roman" w:hAnsi="Times New Roman" w:cs="Times New Roman"/>
          <w:sz w:val="24"/>
          <w:szCs w:val="24"/>
        </w:rPr>
      </w:pPr>
      <w:r w:rsidRPr="00592B4C">
        <w:rPr>
          <w:rFonts w:ascii="Times New Roman" w:hAnsi="Times New Roman" w:cs="Times New Roman"/>
          <w:sz w:val="24"/>
          <w:szCs w:val="24"/>
        </w:rPr>
        <w:t xml:space="preserve">KILIÇ, Merve ve AKIN, Ahmet, (2008), “Banka Satın Almalarının Hedef Bankaları Performansına Olan Etkileri: Türk Bankacılık Sektörü Üzerinde Amprik Bir Çalışma”, </w:t>
      </w:r>
      <w:r w:rsidRPr="00592B4C">
        <w:rPr>
          <w:rFonts w:ascii="Times New Roman" w:hAnsi="Times New Roman" w:cs="Times New Roman"/>
          <w:b/>
          <w:sz w:val="24"/>
          <w:szCs w:val="24"/>
        </w:rPr>
        <w:t xml:space="preserve">Gazi Üniversitesi İktisadi ve İdari Bilimler Fakültesi Dergisi, </w:t>
      </w:r>
      <w:r w:rsidRPr="00592B4C">
        <w:rPr>
          <w:rFonts w:ascii="Times New Roman" w:hAnsi="Times New Roman" w:cs="Times New Roman"/>
          <w:sz w:val="24"/>
          <w:szCs w:val="24"/>
        </w:rPr>
        <w:t>Sayı. 10/3, ss.229-255.</w:t>
      </w:r>
    </w:p>
    <w:p w:rsidR="00F245F8" w:rsidRPr="00F245F8" w:rsidRDefault="00F245F8" w:rsidP="00F245F8">
      <w:pPr>
        <w:pStyle w:val="ListeParagraf"/>
        <w:rPr>
          <w:rFonts w:ascii="Times New Roman" w:hAnsi="Times New Roman" w:cs="Times New Roman"/>
          <w:sz w:val="24"/>
          <w:szCs w:val="24"/>
        </w:rPr>
      </w:pPr>
    </w:p>
    <w:p w:rsidR="00CD6F55" w:rsidRDefault="00F245F8" w:rsidP="00592B4C">
      <w:pPr>
        <w:pStyle w:val="ListeParagraf"/>
        <w:numPr>
          <w:ilvl w:val="0"/>
          <w:numId w:val="6"/>
        </w:numPr>
        <w:spacing w:before="240" w:line="240" w:lineRule="auto"/>
        <w:rPr>
          <w:rFonts w:ascii="Times New Roman" w:hAnsi="Times New Roman" w:cs="Times New Roman"/>
          <w:sz w:val="24"/>
          <w:szCs w:val="24"/>
        </w:rPr>
      </w:pPr>
      <w:r>
        <w:rPr>
          <w:rFonts w:ascii="Times New Roman" w:hAnsi="Times New Roman" w:cs="Times New Roman"/>
          <w:sz w:val="24"/>
          <w:szCs w:val="24"/>
        </w:rPr>
        <w:t>MEMIC, Deni ve SKALJIC MEMI</w:t>
      </w:r>
      <w:r w:rsidR="00CD6F55" w:rsidRPr="00592B4C">
        <w:rPr>
          <w:rFonts w:ascii="Times New Roman" w:hAnsi="Times New Roman" w:cs="Times New Roman"/>
          <w:sz w:val="24"/>
          <w:szCs w:val="24"/>
        </w:rPr>
        <w:t xml:space="preserve">C, Selma, (2013), “Performance Analysis and Benchmarking of Commercial Banks Operating in Bosnia and Herzegovina: </w:t>
      </w:r>
      <w:r>
        <w:rPr>
          <w:rFonts w:ascii="Times New Roman" w:hAnsi="Times New Roman" w:cs="Times New Roman"/>
          <w:sz w:val="24"/>
          <w:szCs w:val="24"/>
        </w:rPr>
        <w:t>A</w:t>
      </w:r>
      <w:r w:rsidR="00CD6F55" w:rsidRPr="00592B4C">
        <w:rPr>
          <w:rFonts w:ascii="Times New Roman" w:hAnsi="Times New Roman" w:cs="Times New Roman"/>
          <w:sz w:val="24"/>
          <w:szCs w:val="24"/>
        </w:rPr>
        <w:t xml:space="preserve"> DEA Approach”, </w:t>
      </w:r>
      <w:r w:rsidR="001D7EE1" w:rsidRPr="00592B4C">
        <w:rPr>
          <w:rFonts w:ascii="Times New Roman" w:hAnsi="Times New Roman" w:cs="Times New Roman"/>
          <w:b/>
          <w:sz w:val="24"/>
          <w:szCs w:val="24"/>
        </w:rPr>
        <w:t xml:space="preserve">Versita </w:t>
      </w:r>
      <w:r w:rsidR="00BD1655" w:rsidRPr="00592B4C">
        <w:rPr>
          <w:rFonts w:ascii="Times New Roman" w:hAnsi="Times New Roman" w:cs="Times New Roman"/>
          <w:b/>
          <w:sz w:val="24"/>
          <w:szCs w:val="24"/>
        </w:rPr>
        <w:t xml:space="preserve">Business Systems Research, </w:t>
      </w:r>
      <w:r w:rsidR="001D7EE1" w:rsidRPr="00592B4C">
        <w:rPr>
          <w:rFonts w:ascii="Times New Roman" w:hAnsi="Times New Roman" w:cs="Times New Roman"/>
          <w:sz w:val="24"/>
          <w:szCs w:val="24"/>
        </w:rPr>
        <w:t>Cilt 4, No:</w:t>
      </w:r>
      <w:r>
        <w:rPr>
          <w:rFonts w:ascii="Times New Roman" w:hAnsi="Times New Roman" w:cs="Times New Roman"/>
          <w:sz w:val="24"/>
          <w:szCs w:val="24"/>
        </w:rPr>
        <w:t xml:space="preserve"> </w:t>
      </w:r>
      <w:r w:rsidR="001D7EE1" w:rsidRPr="00592B4C">
        <w:rPr>
          <w:rFonts w:ascii="Times New Roman" w:hAnsi="Times New Roman" w:cs="Times New Roman"/>
          <w:sz w:val="24"/>
          <w:szCs w:val="24"/>
        </w:rPr>
        <w:t>2, 17-28.</w:t>
      </w:r>
    </w:p>
    <w:p w:rsidR="00F245F8" w:rsidRPr="00F245F8" w:rsidRDefault="00F245F8" w:rsidP="00F245F8">
      <w:pPr>
        <w:pStyle w:val="ListeParagraf"/>
        <w:rPr>
          <w:rFonts w:ascii="Times New Roman" w:hAnsi="Times New Roman" w:cs="Times New Roman"/>
          <w:sz w:val="24"/>
          <w:szCs w:val="24"/>
        </w:rPr>
      </w:pPr>
    </w:p>
    <w:p w:rsidR="00326A87" w:rsidRDefault="000239F8" w:rsidP="00592B4C">
      <w:pPr>
        <w:pStyle w:val="ListeParagraf"/>
        <w:numPr>
          <w:ilvl w:val="0"/>
          <w:numId w:val="6"/>
        </w:numPr>
        <w:spacing w:before="240" w:line="240" w:lineRule="auto"/>
        <w:rPr>
          <w:rFonts w:ascii="Times New Roman" w:hAnsi="Times New Roman" w:cs="Times New Roman"/>
          <w:sz w:val="24"/>
          <w:szCs w:val="24"/>
        </w:rPr>
      </w:pPr>
      <w:r w:rsidRPr="00592B4C">
        <w:rPr>
          <w:rFonts w:ascii="Times New Roman" w:hAnsi="Times New Roman" w:cs="Times New Roman"/>
          <w:sz w:val="24"/>
          <w:szCs w:val="24"/>
        </w:rPr>
        <w:t xml:space="preserve">NIGMONOV, Asror, (2010), “Bank Performance and Efficiency in Uzbekistan”, </w:t>
      </w:r>
      <w:r w:rsidR="006B715B" w:rsidRPr="00592B4C">
        <w:rPr>
          <w:rFonts w:ascii="Times New Roman" w:hAnsi="Times New Roman" w:cs="Times New Roman"/>
          <w:b/>
          <w:sz w:val="24"/>
          <w:szCs w:val="24"/>
        </w:rPr>
        <w:t xml:space="preserve">Eurasian Journal of Business and Economics, </w:t>
      </w:r>
      <w:r w:rsidR="007D0650" w:rsidRPr="00592B4C">
        <w:rPr>
          <w:rFonts w:ascii="Times New Roman" w:hAnsi="Times New Roman" w:cs="Times New Roman"/>
          <w:sz w:val="24"/>
          <w:szCs w:val="24"/>
        </w:rPr>
        <w:t>Sayı 3 (5), ss.1-25.</w:t>
      </w:r>
    </w:p>
    <w:p w:rsidR="00F245F8" w:rsidRPr="00F245F8" w:rsidRDefault="00F245F8" w:rsidP="00F245F8">
      <w:pPr>
        <w:pStyle w:val="ListeParagraf"/>
        <w:rPr>
          <w:rFonts w:ascii="Times New Roman" w:hAnsi="Times New Roman" w:cs="Times New Roman"/>
          <w:sz w:val="24"/>
          <w:szCs w:val="24"/>
        </w:rPr>
      </w:pPr>
    </w:p>
    <w:p w:rsidR="00737675" w:rsidRDefault="00737675" w:rsidP="00592B4C">
      <w:pPr>
        <w:pStyle w:val="ListeParagraf"/>
        <w:numPr>
          <w:ilvl w:val="0"/>
          <w:numId w:val="6"/>
        </w:numPr>
        <w:spacing w:before="240" w:line="240" w:lineRule="auto"/>
        <w:rPr>
          <w:rFonts w:ascii="Times New Roman" w:hAnsi="Times New Roman" w:cs="Times New Roman"/>
          <w:sz w:val="24"/>
          <w:szCs w:val="24"/>
        </w:rPr>
      </w:pPr>
      <w:r w:rsidRPr="00592B4C">
        <w:rPr>
          <w:rFonts w:ascii="Times New Roman" w:hAnsi="Times New Roman" w:cs="Times New Roman"/>
          <w:sz w:val="24"/>
          <w:szCs w:val="24"/>
        </w:rPr>
        <w:t xml:space="preserve">ÖNCÜ, Semra ve AKTAŞ, Rabia, (2007), “Yeniden Yapılandırma Döneminde Türk Bankacılık Sektöründe Verimlilik Değişimi”, </w:t>
      </w:r>
      <w:r w:rsidRPr="00592B4C">
        <w:rPr>
          <w:rFonts w:ascii="Times New Roman" w:hAnsi="Times New Roman" w:cs="Times New Roman"/>
          <w:b/>
          <w:sz w:val="24"/>
          <w:szCs w:val="24"/>
        </w:rPr>
        <w:t xml:space="preserve">Yönetim ve Ekonomi Dergisi, </w:t>
      </w:r>
      <w:r w:rsidRPr="00592B4C">
        <w:rPr>
          <w:rFonts w:ascii="Times New Roman" w:hAnsi="Times New Roman" w:cs="Times New Roman"/>
          <w:sz w:val="24"/>
          <w:szCs w:val="24"/>
        </w:rPr>
        <w:t>Cilt.14, Sayı.1, ss.</w:t>
      </w:r>
      <w:r w:rsidR="00F245F8">
        <w:rPr>
          <w:rFonts w:ascii="Times New Roman" w:hAnsi="Times New Roman" w:cs="Times New Roman"/>
          <w:sz w:val="24"/>
          <w:szCs w:val="24"/>
        </w:rPr>
        <w:t xml:space="preserve"> </w:t>
      </w:r>
      <w:r w:rsidRPr="00592B4C">
        <w:rPr>
          <w:rFonts w:ascii="Times New Roman" w:hAnsi="Times New Roman" w:cs="Times New Roman"/>
          <w:sz w:val="24"/>
          <w:szCs w:val="24"/>
        </w:rPr>
        <w:t>247-266</w:t>
      </w:r>
      <w:r w:rsidR="00F245F8">
        <w:rPr>
          <w:rFonts w:ascii="Times New Roman" w:hAnsi="Times New Roman" w:cs="Times New Roman"/>
          <w:sz w:val="24"/>
          <w:szCs w:val="24"/>
        </w:rPr>
        <w:t>.</w:t>
      </w:r>
    </w:p>
    <w:p w:rsidR="00F245F8" w:rsidRPr="00F245F8" w:rsidRDefault="00F245F8" w:rsidP="00F245F8">
      <w:pPr>
        <w:pStyle w:val="ListeParagraf"/>
        <w:rPr>
          <w:rFonts w:ascii="Times New Roman" w:hAnsi="Times New Roman" w:cs="Times New Roman"/>
          <w:sz w:val="24"/>
          <w:szCs w:val="24"/>
        </w:rPr>
      </w:pPr>
    </w:p>
    <w:p w:rsidR="002173EE" w:rsidRDefault="002173EE" w:rsidP="00F245F8">
      <w:pPr>
        <w:pStyle w:val="ListeParagraf"/>
        <w:numPr>
          <w:ilvl w:val="0"/>
          <w:numId w:val="6"/>
        </w:numPr>
        <w:spacing w:line="240" w:lineRule="auto"/>
        <w:jc w:val="left"/>
        <w:rPr>
          <w:rFonts w:ascii="Times New Roman" w:hAnsi="Times New Roman" w:cs="Times New Roman"/>
          <w:sz w:val="24"/>
          <w:szCs w:val="24"/>
        </w:rPr>
      </w:pPr>
      <w:r w:rsidRPr="00592B4C">
        <w:rPr>
          <w:rFonts w:ascii="Times New Roman" w:hAnsi="Times New Roman" w:cs="Times New Roman"/>
          <w:sz w:val="24"/>
          <w:szCs w:val="24"/>
        </w:rPr>
        <w:t xml:space="preserve">SEYREK, İbrahim Halil ve ATA, H. Ali, </w:t>
      </w:r>
      <w:r w:rsidR="00B454EA" w:rsidRPr="00592B4C">
        <w:rPr>
          <w:rFonts w:ascii="Times New Roman" w:hAnsi="Times New Roman" w:cs="Times New Roman"/>
          <w:sz w:val="24"/>
          <w:szCs w:val="24"/>
        </w:rPr>
        <w:t>(2010), “Ver</w:t>
      </w:r>
      <w:r w:rsidR="00840020">
        <w:rPr>
          <w:rFonts w:ascii="Times New Roman" w:hAnsi="Times New Roman" w:cs="Times New Roman"/>
          <w:sz w:val="24"/>
          <w:szCs w:val="24"/>
        </w:rPr>
        <w:t>i Zarflama ve Veri Madenciliği İ</w:t>
      </w:r>
      <w:bookmarkStart w:id="0" w:name="_GoBack"/>
      <w:bookmarkEnd w:id="0"/>
      <w:r w:rsidR="00B454EA" w:rsidRPr="00592B4C">
        <w:rPr>
          <w:rFonts w:ascii="Times New Roman" w:hAnsi="Times New Roman" w:cs="Times New Roman"/>
          <w:sz w:val="24"/>
          <w:szCs w:val="24"/>
        </w:rPr>
        <w:t xml:space="preserve">le Mevduat Bankalarında Etkinlik Ölçümü”, </w:t>
      </w:r>
      <w:r w:rsidRPr="00592B4C">
        <w:rPr>
          <w:rFonts w:ascii="Times New Roman" w:hAnsi="Times New Roman" w:cs="Times New Roman"/>
          <w:b/>
          <w:sz w:val="24"/>
          <w:szCs w:val="24"/>
        </w:rPr>
        <w:t>Gaziantep Üniversitesi, İktisadi ve İdari Bilimler Fakültesi Dergisi</w:t>
      </w:r>
      <w:r w:rsidRPr="00592B4C">
        <w:rPr>
          <w:rFonts w:ascii="Times New Roman" w:hAnsi="Times New Roman" w:cs="Times New Roman"/>
          <w:sz w:val="24"/>
          <w:szCs w:val="24"/>
        </w:rPr>
        <w:t xml:space="preserve">, </w:t>
      </w:r>
      <w:hyperlink r:id="rId72" w:history="1">
        <w:r w:rsidRPr="00592B4C">
          <w:rPr>
            <w:rStyle w:val="Kpr"/>
            <w:rFonts w:ascii="Times New Roman" w:hAnsi="Times New Roman" w:cs="Times New Roman"/>
            <w:sz w:val="24"/>
            <w:szCs w:val="24"/>
          </w:rPr>
          <w:t>https://www.bddk.org.tr/WebSitesi/turkce/Raporlar/BDDK_Dergi/9071ibrahim.pdf</w:t>
        </w:r>
      </w:hyperlink>
      <w:r w:rsidRPr="00592B4C">
        <w:rPr>
          <w:rFonts w:ascii="Times New Roman" w:hAnsi="Times New Roman" w:cs="Times New Roman"/>
          <w:sz w:val="24"/>
          <w:szCs w:val="24"/>
        </w:rPr>
        <w:t>, Cilt 4, Sayı 2, s</w:t>
      </w:r>
      <w:r w:rsidR="00B454EA" w:rsidRPr="00592B4C">
        <w:rPr>
          <w:rFonts w:ascii="Times New Roman" w:hAnsi="Times New Roman" w:cs="Times New Roman"/>
          <w:sz w:val="24"/>
          <w:szCs w:val="24"/>
        </w:rPr>
        <w:t>s.</w:t>
      </w:r>
      <w:r w:rsidRPr="00592B4C">
        <w:rPr>
          <w:rFonts w:ascii="Times New Roman" w:hAnsi="Times New Roman" w:cs="Times New Roman"/>
          <w:sz w:val="24"/>
          <w:szCs w:val="24"/>
        </w:rPr>
        <w:t xml:space="preserve"> 67-84.</w:t>
      </w:r>
    </w:p>
    <w:p w:rsidR="00F245F8" w:rsidRPr="00F245F8" w:rsidRDefault="00F245F8" w:rsidP="00F245F8">
      <w:pPr>
        <w:pStyle w:val="ListeParagraf"/>
        <w:rPr>
          <w:rFonts w:ascii="Times New Roman" w:hAnsi="Times New Roman" w:cs="Times New Roman"/>
          <w:sz w:val="24"/>
          <w:szCs w:val="24"/>
        </w:rPr>
      </w:pPr>
    </w:p>
    <w:p w:rsidR="00290AD7" w:rsidRPr="00F245F8" w:rsidRDefault="00290AD7" w:rsidP="00592B4C">
      <w:pPr>
        <w:pStyle w:val="ListeParagraf"/>
        <w:numPr>
          <w:ilvl w:val="0"/>
          <w:numId w:val="6"/>
        </w:numPr>
        <w:spacing w:before="240" w:line="240" w:lineRule="auto"/>
        <w:rPr>
          <w:rFonts w:ascii="Times New Roman" w:hAnsi="Times New Roman" w:cs="Times New Roman"/>
          <w:sz w:val="24"/>
          <w:szCs w:val="24"/>
          <w:u w:val="single"/>
        </w:rPr>
      </w:pPr>
      <w:r w:rsidRPr="00592B4C">
        <w:rPr>
          <w:rFonts w:ascii="Times New Roman" w:hAnsi="Times New Roman" w:cs="Times New Roman"/>
          <w:sz w:val="24"/>
          <w:szCs w:val="24"/>
        </w:rPr>
        <w:t>ŞAHİN, İ.</w:t>
      </w:r>
      <w:r w:rsidR="00F245F8">
        <w:rPr>
          <w:rFonts w:ascii="Times New Roman" w:hAnsi="Times New Roman" w:cs="Times New Roman"/>
          <w:sz w:val="24"/>
          <w:szCs w:val="24"/>
        </w:rPr>
        <w:t xml:space="preserve"> </w:t>
      </w:r>
      <w:r w:rsidRPr="00592B4C">
        <w:rPr>
          <w:rFonts w:ascii="Times New Roman" w:hAnsi="Times New Roman" w:cs="Times New Roman"/>
          <w:sz w:val="24"/>
          <w:szCs w:val="24"/>
        </w:rPr>
        <w:t>Erem, AKTAŞ, Ramazan ve ACAR BOYACIOĞLU, Melek,</w:t>
      </w:r>
      <w:r w:rsidR="00B454EA" w:rsidRPr="00592B4C">
        <w:rPr>
          <w:rFonts w:ascii="Times New Roman" w:hAnsi="Times New Roman" w:cs="Times New Roman"/>
          <w:sz w:val="24"/>
          <w:szCs w:val="24"/>
        </w:rPr>
        <w:t xml:space="preserve"> (2009), “Veri Zarflama Analizi ve Bankacılık Sektöründe Bir Uygulama”,</w:t>
      </w:r>
      <w:r w:rsidRPr="00592B4C">
        <w:rPr>
          <w:rFonts w:ascii="Times New Roman" w:hAnsi="Times New Roman" w:cs="Times New Roman"/>
          <w:sz w:val="24"/>
          <w:szCs w:val="24"/>
        </w:rPr>
        <w:t xml:space="preserve"> </w:t>
      </w:r>
      <w:r w:rsidRPr="00592B4C">
        <w:rPr>
          <w:rFonts w:ascii="Times New Roman" w:hAnsi="Times New Roman" w:cs="Times New Roman"/>
          <w:b/>
          <w:sz w:val="24"/>
          <w:szCs w:val="24"/>
        </w:rPr>
        <w:t>Selçuk Üniversitesi, İktisadi ve İdari Bilimler Fakültesi Dergisi</w:t>
      </w:r>
      <w:r w:rsidRPr="00592B4C">
        <w:rPr>
          <w:rFonts w:ascii="Times New Roman" w:hAnsi="Times New Roman" w:cs="Times New Roman"/>
          <w:sz w:val="24"/>
          <w:szCs w:val="24"/>
        </w:rPr>
        <w:t xml:space="preserve">, </w:t>
      </w:r>
      <w:hyperlink r:id="rId73" w:history="1">
        <w:r w:rsidRPr="00592B4C">
          <w:rPr>
            <w:rStyle w:val="Kpr"/>
            <w:rFonts w:ascii="Times New Roman" w:hAnsi="Times New Roman" w:cs="Times New Roman"/>
            <w:color w:val="auto"/>
            <w:sz w:val="24"/>
            <w:szCs w:val="24"/>
          </w:rPr>
          <w:t>http://sablon.sdu.edu.tr/fakulteler/iibf/dergi/files/2009-3-16.pdf</w:t>
        </w:r>
      </w:hyperlink>
      <w:r w:rsidRPr="00592B4C">
        <w:rPr>
          <w:rFonts w:ascii="Times New Roman" w:hAnsi="Times New Roman" w:cs="Times New Roman"/>
          <w:sz w:val="24"/>
          <w:szCs w:val="24"/>
        </w:rPr>
        <w:t>, Cilt 14, Sayı 3,</w:t>
      </w:r>
      <w:r w:rsidR="0015675A" w:rsidRPr="00592B4C">
        <w:rPr>
          <w:rFonts w:ascii="Times New Roman" w:hAnsi="Times New Roman" w:cs="Times New Roman"/>
          <w:sz w:val="24"/>
          <w:szCs w:val="24"/>
        </w:rPr>
        <w:t xml:space="preserve"> s</w:t>
      </w:r>
      <w:r w:rsidRPr="00592B4C">
        <w:rPr>
          <w:rFonts w:ascii="Times New Roman" w:hAnsi="Times New Roman" w:cs="Times New Roman"/>
          <w:sz w:val="24"/>
          <w:szCs w:val="24"/>
        </w:rPr>
        <w:t>s.</w:t>
      </w:r>
      <w:r w:rsidR="00F245F8">
        <w:rPr>
          <w:rFonts w:ascii="Times New Roman" w:hAnsi="Times New Roman" w:cs="Times New Roman"/>
          <w:sz w:val="24"/>
          <w:szCs w:val="24"/>
        </w:rPr>
        <w:t xml:space="preserve"> </w:t>
      </w:r>
      <w:r w:rsidRPr="00592B4C">
        <w:rPr>
          <w:rFonts w:ascii="Times New Roman" w:hAnsi="Times New Roman" w:cs="Times New Roman"/>
          <w:sz w:val="24"/>
          <w:szCs w:val="24"/>
        </w:rPr>
        <w:t>301-326.</w:t>
      </w:r>
    </w:p>
    <w:p w:rsidR="00F245F8" w:rsidRPr="00F245F8" w:rsidRDefault="00F245F8" w:rsidP="00F245F8">
      <w:pPr>
        <w:pStyle w:val="ListeParagraf"/>
        <w:rPr>
          <w:rFonts w:ascii="Times New Roman" w:hAnsi="Times New Roman" w:cs="Times New Roman"/>
          <w:sz w:val="24"/>
          <w:szCs w:val="24"/>
          <w:u w:val="single"/>
        </w:rPr>
      </w:pPr>
    </w:p>
    <w:p w:rsidR="00B517B9" w:rsidRDefault="00B517B9" w:rsidP="00592B4C">
      <w:pPr>
        <w:pStyle w:val="ListeParagraf"/>
        <w:numPr>
          <w:ilvl w:val="0"/>
          <w:numId w:val="6"/>
        </w:numPr>
        <w:spacing w:before="240" w:line="240" w:lineRule="auto"/>
        <w:rPr>
          <w:rFonts w:ascii="Times New Roman" w:hAnsi="Times New Roman" w:cs="Times New Roman"/>
          <w:sz w:val="24"/>
          <w:szCs w:val="24"/>
        </w:rPr>
      </w:pPr>
      <w:r w:rsidRPr="00592B4C">
        <w:rPr>
          <w:rFonts w:ascii="Times New Roman" w:hAnsi="Times New Roman" w:cs="Times New Roman"/>
          <w:sz w:val="24"/>
          <w:szCs w:val="24"/>
        </w:rPr>
        <w:t>TAHİR, Izah Mohd, YU</w:t>
      </w:r>
      <w:r w:rsidR="00F245F8">
        <w:rPr>
          <w:rFonts w:ascii="Times New Roman" w:hAnsi="Times New Roman" w:cs="Times New Roman"/>
          <w:sz w:val="24"/>
          <w:szCs w:val="24"/>
        </w:rPr>
        <w:t>SOF, Ku Naraini Che Ku ve RAZALI</w:t>
      </w:r>
      <w:r w:rsidRPr="00592B4C">
        <w:rPr>
          <w:rFonts w:ascii="Times New Roman" w:hAnsi="Times New Roman" w:cs="Times New Roman"/>
          <w:sz w:val="24"/>
          <w:szCs w:val="24"/>
        </w:rPr>
        <w:t xml:space="preserve">, Ahmet Rizal, (2010), “Company Operation Performance Analysis Using Data Envelopment Analysis Approach: A Study on Public Listed Companies in Malaysia”, </w:t>
      </w:r>
      <w:r w:rsidR="00433255" w:rsidRPr="00592B4C">
        <w:rPr>
          <w:rFonts w:ascii="Times New Roman" w:hAnsi="Times New Roman" w:cs="Times New Roman"/>
          <w:b/>
          <w:sz w:val="24"/>
          <w:szCs w:val="24"/>
        </w:rPr>
        <w:t xml:space="preserve">International Journal of Global Business, </w:t>
      </w:r>
      <w:r w:rsidR="00433255" w:rsidRPr="00592B4C">
        <w:rPr>
          <w:rFonts w:ascii="Times New Roman" w:hAnsi="Times New Roman" w:cs="Times New Roman"/>
          <w:sz w:val="24"/>
          <w:szCs w:val="24"/>
        </w:rPr>
        <w:t>Sayı 3 (1), ss.</w:t>
      </w:r>
      <w:r w:rsidR="00F245F8">
        <w:rPr>
          <w:rFonts w:ascii="Times New Roman" w:hAnsi="Times New Roman" w:cs="Times New Roman"/>
          <w:sz w:val="24"/>
          <w:szCs w:val="24"/>
        </w:rPr>
        <w:t xml:space="preserve"> </w:t>
      </w:r>
      <w:r w:rsidR="00433255" w:rsidRPr="00592B4C">
        <w:rPr>
          <w:rFonts w:ascii="Times New Roman" w:hAnsi="Times New Roman" w:cs="Times New Roman"/>
          <w:sz w:val="24"/>
          <w:szCs w:val="24"/>
        </w:rPr>
        <w:t>43-52.</w:t>
      </w:r>
    </w:p>
    <w:p w:rsidR="00F245F8" w:rsidRPr="00F245F8" w:rsidRDefault="00F245F8" w:rsidP="00F245F8">
      <w:pPr>
        <w:pStyle w:val="ListeParagraf"/>
        <w:rPr>
          <w:rFonts w:ascii="Times New Roman" w:hAnsi="Times New Roman" w:cs="Times New Roman"/>
          <w:sz w:val="24"/>
          <w:szCs w:val="24"/>
        </w:rPr>
      </w:pPr>
    </w:p>
    <w:p w:rsidR="006A71C0" w:rsidRPr="00592B4C" w:rsidRDefault="006A71C0"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t xml:space="preserve">TEKTÜFEKÇİ, Fatma, </w:t>
      </w:r>
      <w:r w:rsidR="006F7BBE" w:rsidRPr="00592B4C">
        <w:rPr>
          <w:rFonts w:ascii="Times New Roman" w:hAnsi="Times New Roman" w:cs="Times New Roman"/>
          <w:sz w:val="24"/>
          <w:szCs w:val="24"/>
        </w:rPr>
        <w:t>(2010),</w:t>
      </w:r>
      <w:r w:rsidRPr="00592B4C">
        <w:rPr>
          <w:rFonts w:ascii="Times New Roman" w:hAnsi="Times New Roman" w:cs="Times New Roman"/>
          <w:sz w:val="24"/>
          <w:szCs w:val="24"/>
        </w:rPr>
        <w:t xml:space="preserve"> “İMKB’ye Kayıtlı Halka Açık Teknoloji Şirketlerinde Finansal Etkinliğ</w:t>
      </w:r>
      <w:r w:rsidR="00F245F8">
        <w:rPr>
          <w:rFonts w:ascii="Times New Roman" w:hAnsi="Times New Roman" w:cs="Times New Roman"/>
          <w:sz w:val="24"/>
          <w:szCs w:val="24"/>
        </w:rPr>
        <w:t>in Veri Zarflama Analizi (VZA) İ</w:t>
      </w:r>
      <w:r w:rsidRPr="00592B4C">
        <w:rPr>
          <w:rFonts w:ascii="Times New Roman" w:hAnsi="Times New Roman" w:cs="Times New Roman"/>
          <w:sz w:val="24"/>
          <w:szCs w:val="24"/>
        </w:rPr>
        <w:t xml:space="preserve">le Değerlendirilmesi”, </w:t>
      </w:r>
      <w:r w:rsidRPr="00592B4C">
        <w:rPr>
          <w:rFonts w:ascii="Times New Roman" w:hAnsi="Times New Roman" w:cs="Times New Roman"/>
          <w:b/>
          <w:sz w:val="24"/>
          <w:szCs w:val="24"/>
        </w:rPr>
        <w:t>Dokuz Eylül Üniversitesi İktisadi ve İdari Bilimler Fakültesi, İşletme Bölümü Muhasebe ve Finansman Anabilim Dalı,</w:t>
      </w:r>
      <w:r w:rsidRPr="00592B4C">
        <w:rPr>
          <w:rFonts w:ascii="Times New Roman" w:hAnsi="Times New Roman" w:cs="Times New Roman"/>
          <w:sz w:val="24"/>
          <w:szCs w:val="24"/>
        </w:rPr>
        <w:t xml:space="preserve"> </w:t>
      </w:r>
      <w:r w:rsidRPr="00592B4C">
        <w:rPr>
          <w:rFonts w:ascii="Times New Roman" w:hAnsi="Times New Roman" w:cs="Times New Roman"/>
          <w:b/>
          <w:sz w:val="24"/>
          <w:szCs w:val="24"/>
        </w:rPr>
        <w:t>Organizasyon ve Yönetim Bilimleri Dergisi</w:t>
      </w:r>
      <w:r w:rsidR="006F7BBE" w:rsidRPr="00592B4C">
        <w:rPr>
          <w:rFonts w:ascii="Times New Roman" w:hAnsi="Times New Roman" w:cs="Times New Roman"/>
          <w:sz w:val="24"/>
          <w:szCs w:val="24"/>
        </w:rPr>
        <w:t>, Cilt 2, Sayı 2</w:t>
      </w:r>
      <w:r w:rsidRPr="00592B4C">
        <w:rPr>
          <w:rFonts w:ascii="Times New Roman" w:hAnsi="Times New Roman" w:cs="Times New Roman"/>
          <w:sz w:val="24"/>
          <w:szCs w:val="24"/>
        </w:rPr>
        <w:t>, s</w:t>
      </w:r>
      <w:r w:rsidR="006F7BBE" w:rsidRPr="00592B4C">
        <w:rPr>
          <w:rFonts w:ascii="Times New Roman" w:hAnsi="Times New Roman" w:cs="Times New Roman"/>
          <w:sz w:val="24"/>
          <w:szCs w:val="24"/>
        </w:rPr>
        <w:t>s</w:t>
      </w:r>
      <w:r w:rsidRPr="00592B4C">
        <w:rPr>
          <w:rFonts w:ascii="Times New Roman" w:hAnsi="Times New Roman" w:cs="Times New Roman"/>
          <w:sz w:val="24"/>
          <w:szCs w:val="24"/>
        </w:rPr>
        <w:t>.</w:t>
      </w:r>
      <w:r w:rsidR="00F245F8">
        <w:rPr>
          <w:rFonts w:ascii="Times New Roman" w:hAnsi="Times New Roman" w:cs="Times New Roman"/>
          <w:sz w:val="24"/>
          <w:szCs w:val="24"/>
        </w:rPr>
        <w:t xml:space="preserve"> </w:t>
      </w:r>
      <w:r w:rsidRPr="00592B4C">
        <w:rPr>
          <w:rFonts w:ascii="Times New Roman" w:hAnsi="Times New Roman" w:cs="Times New Roman"/>
          <w:sz w:val="24"/>
          <w:szCs w:val="24"/>
        </w:rPr>
        <w:t>69-77.</w:t>
      </w:r>
    </w:p>
    <w:p w:rsidR="00433255" w:rsidRPr="002E402A" w:rsidRDefault="00433255" w:rsidP="000A7CD7">
      <w:pPr>
        <w:spacing w:after="0" w:line="240" w:lineRule="auto"/>
        <w:ind w:left="567" w:hanging="567"/>
        <w:rPr>
          <w:rFonts w:ascii="Times New Roman" w:hAnsi="Times New Roman" w:cs="Times New Roman"/>
          <w:sz w:val="24"/>
          <w:szCs w:val="24"/>
        </w:rPr>
      </w:pPr>
    </w:p>
    <w:p w:rsidR="005E3152" w:rsidRPr="00592B4C" w:rsidRDefault="005E3152" w:rsidP="00592B4C">
      <w:pPr>
        <w:pStyle w:val="ListeParagraf"/>
        <w:numPr>
          <w:ilvl w:val="0"/>
          <w:numId w:val="6"/>
        </w:numPr>
        <w:spacing w:after="0" w:line="240" w:lineRule="auto"/>
        <w:rPr>
          <w:rFonts w:ascii="Times New Roman" w:hAnsi="Times New Roman" w:cs="Times New Roman"/>
          <w:sz w:val="24"/>
          <w:szCs w:val="24"/>
        </w:rPr>
      </w:pPr>
      <w:r w:rsidRPr="00592B4C">
        <w:rPr>
          <w:rFonts w:ascii="Times New Roman" w:hAnsi="Times New Roman" w:cs="Times New Roman"/>
          <w:sz w:val="24"/>
          <w:szCs w:val="24"/>
        </w:rPr>
        <w:lastRenderedPageBreak/>
        <w:t>TETİK, Semra,</w:t>
      </w:r>
      <w:r w:rsidR="00705982" w:rsidRPr="00592B4C">
        <w:rPr>
          <w:rFonts w:ascii="Times New Roman" w:hAnsi="Times New Roman" w:cs="Times New Roman"/>
          <w:sz w:val="24"/>
          <w:szCs w:val="24"/>
        </w:rPr>
        <w:t xml:space="preserve"> (2003),</w:t>
      </w:r>
      <w:r w:rsidRPr="00592B4C">
        <w:rPr>
          <w:rFonts w:ascii="Times New Roman" w:hAnsi="Times New Roman" w:cs="Times New Roman"/>
          <w:sz w:val="24"/>
          <w:szCs w:val="24"/>
        </w:rPr>
        <w:t xml:space="preserve">  “İşletme Performansı Belirlemede Veri Zarflama Analizi”, </w:t>
      </w:r>
      <w:r w:rsidRPr="00592B4C">
        <w:rPr>
          <w:rFonts w:ascii="Times New Roman" w:hAnsi="Times New Roman" w:cs="Times New Roman"/>
          <w:b/>
          <w:sz w:val="24"/>
          <w:szCs w:val="24"/>
        </w:rPr>
        <w:t>Celal Bayar Üniversitesi, Yönetim ve Ekonomi Dergisi,</w:t>
      </w:r>
      <w:r w:rsidRPr="00592B4C">
        <w:rPr>
          <w:rFonts w:ascii="Times New Roman" w:hAnsi="Times New Roman" w:cs="Times New Roman"/>
          <w:sz w:val="24"/>
          <w:szCs w:val="24"/>
        </w:rPr>
        <w:t xml:space="preserve"> Cilt 10, Sayı 2, </w:t>
      </w:r>
      <w:r w:rsidR="00705982" w:rsidRPr="00592B4C">
        <w:rPr>
          <w:rFonts w:ascii="Times New Roman" w:hAnsi="Times New Roman" w:cs="Times New Roman"/>
          <w:sz w:val="24"/>
          <w:szCs w:val="24"/>
        </w:rPr>
        <w:t>s</w:t>
      </w:r>
      <w:r w:rsidRPr="00592B4C">
        <w:rPr>
          <w:rFonts w:ascii="Times New Roman" w:hAnsi="Times New Roman" w:cs="Times New Roman"/>
          <w:sz w:val="24"/>
          <w:szCs w:val="24"/>
        </w:rPr>
        <w:t>s.</w:t>
      </w:r>
      <w:r w:rsidR="00F245F8">
        <w:rPr>
          <w:rFonts w:ascii="Times New Roman" w:hAnsi="Times New Roman" w:cs="Times New Roman"/>
          <w:sz w:val="24"/>
          <w:szCs w:val="24"/>
        </w:rPr>
        <w:t xml:space="preserve"> </w:t>
      </w:r>
      <w:r w:rsidRPr="00592B4C">
        <w:rPr>
          <w:rFonts w:ascii="Times New Roman" w:hAnsi="Times New Roman" w:cs="Times New Roman"/>
          <w:sz w:val="24"/>
          <w:szCs w:val="24"/>
        </w:rPr>
        <w:t>221-229.</w:t>
      </w:r>
    </w:p>
    <w:p w:rsidR="00705982" w:rsidRPr="002E402A" w:rsidRDefault="00705982" w:rsidP="000A7CD7">
      <w:pPr>
        <w:spacing w:line="240" w:lineRule="auto"/>
        <w:ind w:left="567" w:hanging="567"/>
        <w:rPr>
          <w:rFonts w:ascii="Times New Roman" w:hAnsi="Times New Roman" w:cs="Times New Roman"/>
          <w:sz w:val="24"/>
          <w:szCs w:val="24"/>
        </w:rPr>
      </w:pPr>
    </w:p>
    <w:p w:rsidR="00F01C9C" w:rsidRPr="00592B4C" w:rsidRDefault="007A57AE" w:rsidP="00592B4C">
      <w:pPr>
        <w:pStyle w:val="ListeParagraf"/>
        <w:numPr>
          <w:ilvl w:val="0"/>
          <w:numId w:val="6"/>
        </w:numPr>
        <w:spacing w:line="240" w:lineRule="auto"/>
        <w:rPr>
          <w:rFonts w:ascii="Times New Roman" w:hAnsi="Times New Roman" w:cs="Times New Roman"/>
          <w:sz w:val="24"/>
          <w:szCs w:val="24"/>
        </w:rPr>
      </w:pPr>
      <w:r w:rsidRPr="00592B4C">
        <w:rPr>
          <w:rFonts w:ascii="Times New Roman" w:hAnsi="Times New Roman" w:cs="Times New Roman"/>
          <w:sz w:val="24"/>
          <w:szCs w:val="24"/>
        </w:rPr>
        <w:t xml:space="preserve">YAŞA, </w:t>
      </w:r>
      <w:r w:rsidR="0022318B" w:rsidRPr="00592B4C">
        <w:rPr>
          <w:rFonts w:ascii="Times New Roman" w:hAnsi="Times New Roman" w:cs="Times New Roman"/>
          <w:sz w:val="24"/>
          <w:szCs w:val="24"/>
        </w:rPr>
        <w:t xml:space="preserve">Ahu, </w:t>
      </w:r>
      <w:r w:rsidR="00705982" w:rsidRPr="00592B4C">
        <w:rPr>
          <w:rFonts w:ascii="Times New Roman" w:hAnsi="Times New Roman" w:cs="Times New Roman"/>
          <w:sz w:val="24"/>
          <w:szCs w:val="24"/>
        </w:rPr>
        <w:t xml:space="preserve">(2008), “Bankacılık Sektöründe Etkinlik ve Veri Zarflama Analizi Yöntemi ile Ölçülmesi”, </w:t>
      </w:r>
      <w:r w:rsidR="00705982" w:rsidRPr="00592B4C">
        <w:rPr>
          <w:rFonts w:ascii="Times New Roman" w:hAnsi="Times New Roman" w:cs="Times New Roman"/>
          <w:b/>
          <w:sz w:val="24"/>
          <w:szCs w:val="24"/>
        </w:rPr>
        <w:t>An</w:t>
      </w:r>
      <w:r w:rsidR="007210D2" w:rsidRPr="00592B4C">
        <w:rPr>
          <w:rFonts w:ascii="Times New Roman" w:hAnsi="Times New Roman" w:cs="Times New Roman"/>
          <w:b/>
          <w:sz w:val="24"/>
          <w:szCs w:val="24"/>
        </w:rPr>
        <w:t>k</w:t>
      </w:r>
      <w:r w:rsidR="00F85805" w:rsidRPr="00592B4C">
        <w:rPr>
          <w:rFonts w:ascii="Times New Roman" w:hAnsi="Times New Roman" w:cs="Times New Roman"/>
          <w:b/>
          <w:sz w:val="24"/>
          <w:szCs w:val="24"/>
        </w:rPr>
        <w:t>a</w:t>
      </w:r>
      <w:r w:rsidR="007210D2" w:rsidRPr="00592B4C">
        <w:rPr>
          <w:rFonts w:ascii="Times New Roman" w:hAnsi="Times New Roman" w:cs="Times New Roman"/>
          <w:b/>
          <w:sz w:val="24"/>
          <w:szCs w:val="24"/>
        </w:rPr>
        <w:t>r</w:t>
      </w:r>
      <w:r w:rsidR="00705982" w:rsidRPr="00592B4C">
        <w:rPr>
          <w:rFonts w:ascii="Times New Roman" w:hAnsi="Times New Roman" w:cs="Times New Roman"/>
          <w:b/>
          <w:sz w:val="24"/>
          <w:szCs w:val="24"/>
        </w:rPr>
        <w:t xml:space="preserve">a Üniversitesi, </w:t>
      </w:r>
      <w:r w:rsidR="0022318B" w:rsidRPr="00592B4C">
        <w:rPr>
          <w:rFonts w:ascii="Times New Roman" w:hAnsi="Times New Roman" w:cs="Times New Roman"/>
          <w:b/>
          <w:sz w:val="24"/>
          <w:szCs w:val="24"/>
        </w:rPr>
        <w:t>Sosyal Bilimler Enstitüsü</w:t>
      </w:r>
      <w:r w:rsidR="00334082" w:rsidRPr="00592B4C">
        <w:rPr>
          <w:rFonts w:ascii="Times New Roman" w:hAnsi="Times New Roman" w:cs="Times New Roman"/>
          <w:b/>
          <w:sz w:val="24"/>
          <w:szCs w:val="24"/>
        </w:rPr>
        <w:t xml:space="preserve"> Yüksek Lisans Tezi</w:t>
      </w:r>
      <w:r w:rsidR="0022318B" w:rsidRPr="00592B4C">
        <w:rPr>
          <w:rFonts w:ascii="Times New Roman" w:hAnsi="Times New Roman" w:cs="Times New Roman"/>
          <w:sz w:val="24"/>
          <w:szCs w:val="24"/>
        </w:rPr>
        <w:t xml:space="preserve">, </w:t>
      </w:r>
      <w:hyperlink r:id="rId74" w:history="1">
        <w:r w:rsidR="0022318B" w:rsidRPr="00592B4C">
          <w:rPr>
            <w:rStyle w:val="Kpr"/>
            <w:rFonts w:ascii="Times New Roman" w:hAnsi="Times New Roman" w:cs="Times New Roman"/>
            <w:sz w:val="24"/>
            <w:szCs w:val="24"/>
          </w:rPr>
          <w:t>http://www.yok.gov.tr</w:t>
        </w:r>
      </w:hyperlink>
      <w:r w:rsidR="0022318B" w:rsidRPr="00592B4C">
        <w:rPr>
          <w:rFonts w:ascii="Times New Roman" w:hAnsi="Times New Roman" w:cs="Times New Roman"/>
          <w:sz w:val="24"/>
          <w:szCs w:val="24"/>
        </w:rPr>
        <w:t>.</w:t>
      </w:r>
    </w:p>
    <w:p w:rsidR="001D29AE" w:rsidRPr="002E402A" w:rsidRDefault="001D29AE" w:rsidP="000A7CD7">
      <w:pPr>
        <w:spacing w:after="0" w:line="240" w:lineRule="auto"/>
        <w:rPr>
          <w:rFonts w:ascii="Times New Roman" w:hAnsi="Times New Roman" w:cs="Times New Roman"/>
          <w:sz w:val="24"/>
          <w:szCs w:val="24"/>
        </w:rPr>
      </w:pPr>
    </w:p>
    <w:p w:rsidR="001D29AE" w:rsidRPr="00592B4C" w:rsidRDefault="00F245F8" w:rsidP="00F245F8">
      <w:pPr>
        <w:pStyle w:val="ListeParagraf"/>
        <w:spacing w:after="0" w:line="240" w:lineRule="auto"/>
        <w:rPr>
          <w:rFonts w:ascii="Times New Roman" w:hAnsi="Times New Roman" w:cs="Times New Roman"/>
          <w:b/>
          <w:sz w:val="24"/>
          <w:szCs w:val="24"/>
        </w:rPr>
      </w:pPr>
      <w:r w:rsidRPr="00592B4C">
        <w:rPr>
          <w:rFonts w:ascii="Times New Roman" w:hAnsi="Times New Roman" w:cs="Times New Roman"/>
          <w:b/>
          <w:sz w:val="24"/>
          <w:szCs w:val="24"/>
        </w:rPr>
        <w:t>İNTERNET KAYNAKLARI</w:t>
      </w:r>
    </w:p>
    <w:p w:rsidR="00B03EBD" w:rsidRPr="002E402A" w:rsidRDefault="00B03EBD" w:rsidP="000A7CD7">
      <w:pPr>
        <w:spacing w:after="0" w:line="240" w:lineRule="auto"/>
        <w:rPr>
          <w:rFonts w:ascii="Times New Roman" w:hAnsi="Times New Roman" w:cs="Times New Roman"/>
          <w:sz w:val="24"/>
          <w:szCs w:val="24"/>
        </w:rPr>
      </w:pPr>
    </w:p>
    <w:p w:rsidR="00B03EBD" w:rsidRPr="00592B4C" w:rsidRDefault="0075698F" w:rsidP="00592B4C">
      <w:pPr>
        <w:pStyle w:val="ListeParagraf"/>
        <w:numPr>
          <w:ilvl w:val="0"/>
          <w:numId w:val="6"/>
        </w:numPr>
        <w:spacing w:after="0" w:line="240" w:lineRule="auto"/>
        <w:rPr>
          <w:rFonts w:ascii="Times New Roman" w:hAnsi="Times New Roman" w:cs="Times New Roman"/>
          <w:sz w:val="24"/>
          <w:szCs w:val="24"/>
        </w:rPr>
      </w:pPr>
      <w:hyperlink r:id="rId75" w:history="1">
        <w:r w:rsidR="00B03EBD" w:rsidRPr="00592B4C">
          <w:rPr>
            <w:rStyle w:val="Kpr"/>
            <w:rFonts w:ascii="Times New Roman" w:hAnsi="Times New Roman" w:cs="Times New Roman"/>
            <w:sz w:val="24"/>
            <w:szCs w:val="24"/>
          </w:rPr>
          <w:t>http://www.finnet.com.tr/f2000/yabanci/YillikIslemSeyri.aspx</w:t>
        </w:r>
      </w:hyperlink>
      <w:r w:rsidR="00193E95" w:rsidRPr="00592B4C">
        <w:rPr>
          <w:rStyle w:val="Kpr"/>
          <w:rFonts w:ascii="Times New Roman" w:hAnsi="Times New Roman" w:cs="Times New Roman"/>
          <w:sz w:val="24"/>
          <w:szCs w:val="24"/>
        </w:rPr>
        <w:t xml:space="preserve">, </w:t>
      </w:r>
      <w:r w:rsidR="00193E95" w:rsidRPr="00592B4C">
        <w:rPr>
          <w:rStyle w:val="Kpr"/>
          <w:rFonts w:ascii="Times New Roman" w:hAnsi="Times New Roman" w:cs="Times New Roman"/>
          <w:color w:val="auto"/>
          <w:sz w:val="24"/>
          <w:szCs w:val="24"/>
          <w:u w:val="none"/>
        </w:rPr>
        <w:t>(25.10.2014)</w:t>
      </w:r>
    </w:p>
    <w:p w:rsidR="00D1243C" w:rsidRPr="002E402A" w:rsidRDefault="00D1243C" w:rsidP="000A7CD7">
      <w:pPr>
        <w:spacing w:after="0" w:line="240" w:lineRule="auto"/>
        <w:rPr>
          <w:rFonts w:ascii="Times New Roman" w:hAnsi="Times New Roman" w:cs="Times New Roman"/>
          <w:sz w:val="24"/>
          <w:szCs w:val="24"/>
        </w:rPr>
      </w:pPr>
    </w:p>
    <w:p w:rsidR="00C04197" w:rsidRPr="00592B4C" w:rsidRDefault="0075698F" w:rsidP="00592B4C">
      <w:pPr>
        <w:pStyle w:val="ListeParagraf"/>
        <w:numPr>
          <w:ilvl w:val="0"/>
          <w:numId w:val="6"/>
        </w:numPr>
        <w:spacing w:after="0" w:line="240" w:lineRule="auto"/>
        <w:rPr>
          <w:rStyle w:val="Kpr"/>
          <w:rFonts w:ascii="Times New Roman" w:hAnsi="Times New Roman" w:cs="Times New Roman"/>
          <w:color w:val="auto"/>
          <w:sz w:val="24"/>
          <w:szCs w:val="24"/>
          <w:u w:val="none"/>
        </w:rPr>
      </w:pPr>
      <w:hyperlink r:id="rId76" w:history="1">
        <w:r w:rsidR="00D1243C" w:rsidRPr="00592B4C">
          <w:rPr>
            <w:rStyle w:val="Kpr"/>
            <w:rFonts w:ascii="Times New Roman" w:hAnsi="Times New Roman" w:cs="Times New Roman"/>
            <w:sz w:val="24"/>
            <w:szCs w:val="24"/>
          </w:rPr>
          <w:t>http://borsaistanbul.com/veriler/verileralt/aylik-konsolide-veriler</w:t>
        </w:r>
      </w:hyperlink>
      <w:r w:rsidR="00193E95" w:rsidRPr="00592B4C">
        <w:rPr>
          <w:rStyle w:val="Kpr"/>
          <w:rFonts w:ascii="Times New Roman" w:hAnsi="Times New Roman" w:cs="Times New Roman"/>
          <w:sz w:val="24"/>
          <w:szCs w:val="24"/>
        </w:rPr>
        <w:t xml:space="preserve">, </w:t>
      </w:r>
      <w:r w:rsidR="00D748F5" w:rsidRPr="00592B4C">
        <w:rPr>
          <w:rStyle w:val="Kpr"/>
          <w:rFonts w:ascii="Times New Roman" w:hAnsi="Times New Roman" w:cs="Times New Roman"/>
          <w:color w:val="auto"/>
          <w:sz w:val="24"/>
          <w:szCs w:val="24"/>
          <w:u w:val="none"/>
        </w:rPr>
        <w:t>(17.11.2014)</w:t>
      </w:r>
    </w:p>
    <w:p w:rsidR="009611A9" w:rsidRPr="002E402A" w:rsidRDefault="009611A9" w:rsidP="000A7CD7">
      <w:pPr>
        <w:spacing w:after="0" w:line="240" w:lineRule="auto"/>
        <w:rPr>
          <w:rFonts w:ascii="Times New Roman" w:hAnsi="Times New Roman" w:cs="Times New Roman"/>
          <w:sz w:val="24"/>
          <w:szCs w:val="24"/>
        </w:rPr>
      </w:pPr>
    </w:p>
    <w:p w:rsidR="009611A9" w:rsidRPr="00592B4C" w:rsidRDefault="0075698F" w:rsidP="00592B4C">
      <w:pPr>
        <w:pStyle w:val="ListeParagraf"/>
        <w:numPr>
          <w:ilvl w:val="0"/>
          <w:numId w:val="6"/>
        </w:numPr>
        <w:spacing w:after="0" w:line="240" w:lineRule="auto"/>
        <w:rPr>
          <w:rFonts w:ascii="Times New Roman" w:hAnsi="Times New Roman" w:cs="Times New Roman"/>
          <w:sz w:val="24"/>
          <w:szCs w:val="24"/>
        </w:rPr>
      </w:pPr>
      <w:hyperlink r:id="rId77" w:history="1">
        <w:r w:rsidR="009611A9" w:rsidRPr="00592B4C">
          <w:rPr>
            <w:rStyle w:val="Kpr"/>
            <w:rFonts w:ascii="Times New Roman" w:hAnsi="Times New Roman" w:cs="Times New Roman"/>
            <w:sz w:val="24"/>
            <w:szCs w:val="24"/>
          </w:rPr>
          <w:t>http://www.tuik.gov.tr/UstMenu.do?metod=temelist</w:t>
        </w:r>
      </w:hyperlink>
      <w:r w:rsidR="009611A9" w:rsidRPr="00592B4C">
        <w:rPr>
          <w:rFonts w:ascii="Times New Roman" w:hAnsi="Times New Roman" w:cs="Times New Roman"/>
          <w:sz w:val="24"/>
          <w:szCs w:val="24"/>
        </w:rPr>
        <w:t xml:space="preserve"> (10.01.2015)</w:t>
      </w:r>
    </w:p>
    <w:p w:rsidR="00335092" w:rsidRPr="002E402A" w:rsidRDefault="00335092" w:rsidP="000A7CD7">
      <w:pPr>
        <w:spacing w:after="0" w:line="240" w:lineRule="auto"/>
        <w:rPr>
          <w:rFonts w:ascii="Times New Roman" w:hAnsi="Times New Roman" w:cs="Times New Roman"/>
          <w:sz w:val="24"/>
          <w:szCs w:val="24"/>
        </w:rPr>
      </w:pPr>
    </w:p>
    <w:p w:rsidR="00335092" w:rsidRPr="00592B4C" w:rsidRDefault="0075698F" w:rsidP="00592B4C">
      <w:pPr>
        <w:pStyle w:val="ListeParagraf"/>
        <w:numPr>
          <w:ilvl w:val="0"/>
          <w:numId w:val="6"/>
        </w:numPr>
        <w:spacing w:after="0" w:line="240" w:lineRule="auto"/>
        <w:rPr>
          <w:rStyle w:val="Kpr"/>
          <w:rFonts w:ascii="Times New Roman" w:hAnsi="Times New Roman" w:cs="Times New Roman"/>
          <w:color w:val="auto"/>
          <w:sz w:val="24"/>
          <w:szCs w:val="24"/>
          <w:u w:val="none"/>
        </w:rPr>
      </w:pPr>
      <w:hyperlink r:id="rId78" w:history="1">
        <w:r w:rsidR="00335092" w:rsidRPr="00592B4C">
          <w:rPr>
            <w:rStyle w:val="Kpr"/>
            <w:rFonts w:ascii="Times New Roman" w:hAnsi="Times New Roman" w:cs="Times New Roman"/>
            <w:sz w:val="24"/>
            <w:szCs w:val="24"/>
          </w:rPr>
          <w:t>www.deu.edu.tr/userweb/k.../Veri%20%20Zarflama%20Analizi.doc</w:t>
        </w:r>
      </w:hyperlink>
      <w:r w:rsidR="00335092" w:rsidRPr="00592B4C">
        <w:rPr>
          <w:rStyle w:val="Kpr"/>
          <w:rFonts w:ascii="Times New Roman" w:hAnsi="Times New Roman" w:cs="Times New Roman"/>
          <w:i/>
          <w:iCs/>
          <w:sz w:val="24"/>
          <w:szCs w:val="24"/>
        </w:rPr>
        <w:t xml:space="preserve"> </w:t>
      </w:r>
      <w:r w:rsidR="00335092" w:rsidRPr="00592B4C">
        <w:rPr>
          <w:rStyle w:val="Kpr"/>
          <w:rFonts w:ascii="Times New Roman" w:hAnsi="Times New Roman" w:cs="Times New Roman"/>
          <w:i/>
          <w:iCs/>
          <w:sz w:val="24"/>
          <w:szCs w:val="24"/>
          <w:u w:val="none"/>
        </w:rPr>
        <w:t xml:space="preserve"> </w:t>
      </w:r>
      <w:r w:rsidR="00335092" w:rsidRPr="00592B4C">
        <w:rPr>
          <w:rStyle w:val="Kpr"/>
          <w:rFonts w:ascii="Times New Roman" w:hAnsi="Times New Roman" w:cs="Times New Roman"/>
          <w:iCs/>
          <w:color w:val="auto"/>
          <w:sz w:val="24"/>
          <w:szCs w:val="24"/>
          <w:u w:val="none"/>
        </w:rPr>
        <w:t>(</w:t>
      </w:r>
      <w:r w:rsidR="003F0B7F" w:rsidRPr="00592B4C">
        <w:rPr>
          <w:rStyle w:val="Kpr"/>
          <w:rFonts w:ascii="Times New Roman" w:hAnsi="Times New Roman" w:cs="Times New Roman"/>
          <w:iCs/>
          <w:color w:val="auto"/>
          <w:sz w:val="24"/>
          <w:szCs w:val="24"/>
          <w:u w:val="none"/>
        </w:rPr>
        <w:t>27.06.2015)</w:t>
      </w:r>
    </w:p>
    <w:p w:rsidR="00EE602B" w:rsidRPr="002E402A" w:rsidRDefault="00EE602B" w:rsidP="000A7CD7">
      <w:pPr>
        <w:spacing w:after="0" w:line="240" w:lineRule="auto"/>
        <w:rPr>
          <w:rFonts w:ascii="Times New Roman" w:hAnsi="Times New Roman" w:cs="Times New Roman"/>
          <w:sz w:val="24"/>
          <w:szCs w:val="24"/>
        </w:rPr>
      </w:pPr>
    </w:p>
    <w:p w:rsidR="00567E62" w:rsidRPr="00592B4C" w:rsidRDefault="0075698F" w:rsidP="00592B4C">
      <w:pPr>
        <w:pStyle w:val="ListeParagraf"/>
        <w:numPr>
          <w:ilvl w:val="0"/>
          <w:numId w:val="6"/>
        </w:numPr>
        <w:spacing w:after="0" w:line="240" w:lineRule="auto"/>
        <w:rPr>
          <w:rFonts w:ascii="Times New Roman" w:hAnsi="Times New Roman" w:cs="Times New Roman"/>
          <w:sz w:val="24"/>
          <w:szCs w:val="24"/>
        </w:rPr>
      </w:pPr>
      <w:hyperlink r:id="rId79" w:history="1">
        <w:r w:rsidR="00567E62" w:rsidRPr="00592B4C">
          <w:rPr>
            <w:rStyle w:val="Kpr"/>
            <w:rFonts w:ascii="Times New Roman" w:hAnsi="Times New Roman" w:cs="Times New Roman"/>
            <w:sz w:val="24"/>
            <w:szCs w:val="24"/>
          </w:rPr>
          <w:t>http://www.spk.gov.tr/apps/afd/adres.aspx</w:t>
        </w:r>
      </w:hyperlink>
      <w:r w:rsidR="00567E62" w:rsidRPr="00592B4C">
        <w:rPr>
          <w:rFonts w:ascii="Times New Roman" w:hAnsi="Times New Roman" w:cs="Times New Roman"/>
          <w:sz w:val="24"/>
          <w:szCs w:val="24"/>
        </w:rPr>
        <w:t xml:space="preserve"> (27.06.2015)</w:t>
      </w:r>
    </w:p>
    <w:p w:rsidR="001D3F9E" w:rsidRPr="002E402A" w:rsidRDefault="001D3F9E" w:rsidP="000A7CD7">
      <w:pPr>
        <w:spacing w:after="0" w:line="240" w:lineRule="auto"/>
        <w:rPr>
          <w:rFonts w:ascii="Times New Roman" w:hAnsi="Times New Roman" w:cs="Times New Roman"/>
          <w:sz w:val="24"/>
          <w:szCs w:val="24"/>
        </w:rPr>
      </w:pPr>
    </w:p>
    <w:p w:rsidR="001D3F9E" w:rsidRPr="00592B4C" w:rsidRDefault="0075698F" w:rsidP="00592B4C">
      <w:pPr>
        <w:pStyle w:val="ListeParagraf"/>
        <w:numPr>
          <w:ilvl w:val="0"/>
          <w:numId w:val="6"/>
        </w:numPr>
        <w:spacing w:after="0" w:line="240" w:lineRule="auto"/>
        <w:rPr>
          <w:rFonts w:ascii="Times New Roman" w:hAnsi="Times New Roman" w:cs="Times New Roman"/>
          <w:sz w:val="24"/>
          <w:szCs w:val="24"/>
        </w:rPr>
      </w:pPr>
      <w:hyperlink r:id="rId80" w:history="1">
        <w:r w:rsidR="001D3F9E" w:rsidRPr="00592B4C">
          <w:rPr>
            <w:rStyle w:val="Kpr"/>
            <w:rFonts w:ascii="Times New Roman" w:hAnsi="Times New Roman" w:cs="Times New Roman"/>
            <w:sz w:val="24"/>
            <w:szCs w:val="24"/>
          </w:rPr>
          <w:t>http://www.spk.gov.tr/apps/aylikbulten/index.aspx?submenuheader=-1</w:t>
        </w:r>
      </w:hyperlink>
      <w:r w:rsidR="001D3F9E" w:rsidRPr="00592B4C">
        <w:rPr>
          <w:rFonts w:ascii="Times New Roman" w:hAnsi="Times New Roman" w:cs="Times New Roman"/>
          <w:sz w:val="24"/>
          <w:szCs w:val="24"/>
        </w:rPr>
        <w:t xml:space="preserve"> (27.06.2015)</w:t>
      </w:r>
    </w:p>
    <w:p w:rsidR="00B81D72" w:rsidRPr="002E402A" w:rsidRDefault="00B81D72" w:rsidP="000A7CD7">
      <w:pPr>
        <w:spacing w:after="0" w:line="240" w:lineRule="auto"/>
        <w:rPr>
          <w:rFonts w:ascii="Times New Roman" w:hAnsi="Times New Roman" w:cs="Times New Roman"/>
          <w:sz w:val="24"/>
          <w:szCs w:val="24"/>
        </w:rPr>
      </w:pPr>
    </w:p>
    <w:p w:rsidR="00B81D72" w:rsidRPr="00592B4C" w:rsidRDefault="0075698F" w:rsidP="00592B4C">
      <w:pPr>
        <w:pStyle w:val="ListeParagraf"/>
        <w:numPr>
          <w:ilvl w:val="0"/>
          <w:numId w:val="6"/>
        </w:numPr>
        <w:spacing w:after="0" w:line="240" w:lineRule="auto"/>
        <w:rPr>
          <w:rFonts w:ascii="Times New Roman" w:hAnsi="Times New Roman" w:cs="Times New Roman"/>
          <w:sz w:val="24"/>
          <w:szCs w:val="24"/>
        </w:rPr>
      </w:pPr>
      <w:hyperlink r:id="rId81" w:history="1">
        <w:r w:rsidR="00B81D72" w:rsidRPr="00592B4C">
          <w:rPr>
            <w:rStyle w:val="Kpr"/>
            <w:rFonts w:ascii="Times New Roman" w:hAnsi="Times New Roman" w:cs="Times New Roman"/>
            <w:sz w:val="24"/>
            <w:szCs w:val="24"/>
          </w:rPr>
          <w:t>http://www.tspb.org.tr/tr/Default.aspx?tabid=133</w:t>
        </w:r>
      </w:hyperlink>
      <w:r w:rsidR="00B81D72" w:rsidRPr="00592B4C">
        <w:rPr>
          <w:rFonts w:ascii="Times New Roman" w:hAnsi="Times New Roman" w:cs="Times New Roman"/>
          <w:sz w:val="24"/>
          <w:szCs w:val="24"/>
        </w:rPr>
        <w:t xml:space="preserve"> (27.06.2015)</w:t>
      </w:r>
    </w:p>
    <w:p w:rsidR="007723A2" w:rsidRPr="002E402A" w:rsidRDefault="007723A2" w:rsidP="000A7CD7">
      <w:pPr>
        <w:spacing w:after="0" w:line="240" w:lineRule="auto"/>
        <w:rPr>
          <w:rFonts w:ascii="Times New Roman" w:hAnsi="Times New Roman" w:cs="Times New Roman"/>
          <w:sz w:val="24"/>
          <w:szCs w:val="24"/>
        </w:rPr>
      </w:pPr>
    </w:p>
    <w:p w:rsidR="007723A2" w:rsidRPr="00592B4C" w:rsidRDefault="0075698F" w:rsidP="00592B4C">
      <w:pPr>
        <w:pStyle w:val="ListeParagraf"/>
        <w:numPr>
          <w:ilvl w:val="0"/>
          <w:numId w:val="6"/>
        </w:numPr>
        <w:spacing w:after="0" w:line="240" w:lineRule="auto"/>
        <w:rPr>
          <w:rFonts w:ascii="Times New Roman" w:hAnsi="Times New Roman" w:cs="Times New Roman"/>
          <w:sz w:val="24"/>
          <w:szCs w:val="24"/>
        </w:rPr>
      </w:pPr>
      <w:hyperlink r:id="rId82" w:history="1">
        <w:r w:rsidR="007723A2" w:rsidRPr="00592B4C">
          <w:rPr>
            <w:rStyle w:val="Kpr"/>
            <w:rFonts w:ascii="Times New Roman" w:hAnsi="Times New Roman" w:cs="Times New Roman"/>
            <w:sz w:val="24"/>
            <w:szCs w:val="24"/>
          </w:rPr>
          <w:t>http://slideplayer.biz.tr/slide/1898095/</w:t>
        </w:r>
      </w:hyperlink>
      <w:r w:rsidR="007723A2" w:rsidRPr="00592B4C">
        <w:rPr>
          <w:rFonts w:ascii="Times New Roman" w:hAnsi="Times New Roman" w:cs="Times New Roman"/>
          <w:sz w:val="24"/>
          <w:szCs w:val="24"/>
        </w:rPr>
        <w:t xml:space="preserve"> (27.06.2015)</w:t>
      </w:r>
    </w:p>
    <w:p w:rsidR="007723A2" w:rsidRPr="002E402A" w:rsidRDefault="007723A2" w:rsidP="000A7CD7">
      <w:pPr>
        <w:spacing w:after="0" w:line="240" w:lineRule="auto"/>
        <w:rPr>
          <w:rFonts w:ascii="Times New Roman" w:hAnsi="Times New Roman" w:cs="Times New Roman"/>
          <w:sz w:val="24"/>
          <w:szCs w:val="24"/>
        </w:rPr>
      </w:pPr>
    </w:p>
    <w:sectPr w:rsidR="007723A2" w:rsidRPr="002E402A" w:rsidSect="00B1060C">
      <w:type w:val="continuous"/>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8F" w:rsidRDefault="0075698F" w:rsidP="00C01FEF">
      <w:pPr>
        <w:spacing w:after="0" w:line="240" w:lineRule="auto"/>
      </w:pPr>
      <w:r>
        <w:separator/>
      </w:r>
    </w:p>
  </w:endnote>
  <w:endnote w:type="continuationSeparator" w:id="0">
    <w:p w:rsidR="0075698F" w:rsidRDefault="0075698F" w:rsidP="00C0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yriad Pro">
    <w:altName w:val="Myriad Pro"/>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258996"/>
      <w:docPartObj>
        <w:docPartGallery w:val="Page Numbers (Bottom of Page)"/>
        <w:docPartUnique/>
      </w:docPartObj>
    </w:sdtPr>
    <w:sdtEndPr/>
    <w:sdtContent>
      <w:p w:rsidR="0001313F" w:rsidRDefault="0001313F">
        <w:pPr>
          <w:pStyle w:val="Altbilgi"/>
          <w:jc w:val="right"/>
        </w:pPr>
        <w:r>
          <w:fldChar w:fldCharType="begin"/>
        </w:r>
        <w:r>
          <w:instrText>PAGE   \* MERGEFORMAT</w:instrText>
        </w:r>
        <w:r>
          <w:fldChar w:fldCharType="separate"/>
        </w:r>
        <w:r w:rsidR="00840020">
          <w:rPr>
            <w:noProof/>
          </w:rPr>
          <w:t>15</w:t>
        </w:r>
        <w:r>
          <w:fldChar w:fldCharType="end"/>
        </w:r>
      </w:p>
    </w:sdtContent>
  </w:sdt>
  <w:p w:rsidR="0001313F" w:rsidRDefault="0001313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227558"/>
      <w:docPartObj>
        <w:docPartGallery w:val="Page Numbers (Bottom of Page)"/>
        <w:docPartUnique/>
      </w:docPartObj>
    </w:sdtPr>
    <w:sdtEndPr/>
    <w:sdtContent>
      <w:p w:rsidR="0001313F" w:rsidRDefault="0001313F">
        <w:pPr>
          <w:pStyle w:val="Altbilgi"/>
          <w:jc w:val="right"/>
        </w:pPr>
        <w:r>
          <w:fldChar w:fldCharType="begin"/>
        </w:r>
        <w:r>
          <w:instrText>PAGE   \* MERGEFORMAT</w:instrText>
        </w:r>
        <w:r>
          <w:fldChar w:fldCharType="separate"/>
        </w:r>
        <w:r w:rsidR="00840020">
          <w:rPr>
            <w:noProof/>
          </w:rPr>
          <w:t>16</w:t>
        </w:r>
        <w:r>
          <w:fldChar w:fldCharType="end"/>
        </w:r>
      </w:p>
    </w:sdtContent>
  </w:sdt>
  <w:p w:rsidR="0001313F" w:rsidRDefault="0001313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92697"/>
      <w:docPartObj>
        <w:docPartGallery w:val="Page Numbers (Bottom of Page)"/>
        <w:docPartUnique/>
      </w:docPartObj>
    </w:sdtPr>
    <w:sdtEndPr/>
    <w:sdtContent>
      <w:p w:rsidR="0001313F" w:rsidRDefault="0001313F">
        <w:pPr>
          <w:pStyle w:val="Altbilgi"/>
          <w:jc w:val="right"/>
        </w:pPr>
        <w:r>
          <w:fldChar w:fldCharType="begin"/>
        </w:r>
        <w:r>
          <w:instrText>PAGE   \* MERGEFORMAT</w:instrText>
        </w:r>
        <w:r>
          <w:fldChar w:fldCharType="separate"/>
        </w:r>
        <w:r w:rsidR="00840020">
          <w:rPr>
            <w:noProof/>
          </w:rPr>
          <w:t>33</w:t>
        </w:r>
        <w:r>
          <w:fldChar w:fldCharType="end"/>
        </w:r>
      </w:p>
    </w:sdtContent>
  </w:sdt>
  <w:p w:rsidR="0001313F" w:rsidRDefault="000131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8F" w:rsidRDefault="0075698F" w:rsidP="00C01FEF">
      <w:pPr>
        <w:spacing w:after="0" w:line="240" w:lineRule="auto"/>
      </w:pPr>
      <w:r>
        <w:separator/>
      </w:r>
    </w:p>
  </w:footnote>
  <w:footnote w:type="continuationSeparator" w:id="0">
    <w:p w:rsidR="0075698F" w:rsidRDefault="0075698F" w:rsidP="00C01FEF">
      <w:pPr>
        <w:spacing w:after="0" w:line="240" w:lineRule="auto"/>
      </w:pPr>
      <w:r>
        <w:continuationSeparator/>
      </w:r>
    </w:p>
  </w:footnote>
  <w:footnote w:id="1">
    <w:p w:rsidR="0001313F" w:rsidRPr="00AD1401" w:rsidRDefault="0001313F">
      <w:pPr>
        <w:pStyle w:val="DipnotMetni"/>
        <w:rPr>
          <w:rFonts w:ascii="Times New Roman" w:hAnsi="Times New Roman" w:cs="Times New Roman"/>
          <w:i/>
          <w:sz w:val="22"/>
          <w:szCs w:val="22"/>
        </w:rPr>
      </w:pPr>
      <w:r w:rsidRPr="001F4C2A">
        <w:rPr>
          <w:rStyle w:val="DipnotBavurusu"/>
          <w:rFonts w:ascii="Times New Roman" w:hAnsi="Times New Roman" w:cs="Times New Roman"/>
        </w:rPr>
        <w:footnoteRef/>
      </w:r>
      <w:r w:rsidRPr="001F4C2A">
        <w:rPr>
          <w:rFonts w:ascii="Times New Roman" w:hAnsi="Times New Roman" w:cs="Times New Roman"/>
        </w:rPr>
        <w:t xml:space="preserve"> </w:t>
      </w:r>
      <w:r w:rsidRPr="00AD1401">
        <w:rPr>
          <w:rFonts w:ascii="Times New Roman" w:hAnsi="Times New Roman" w:cs="Times New Roman"/>
          <w:b/>
          <w:i/>
          <w:sz w:val="22"/>
          <w:szCs w:val="22"/>
        </w:rPr>
        <w:t>Nilüfer BAYRAM</w:t>
      </w:r>
      <w:r w:rsidRPr="00AD1401">
        <w:rPr>
          <w:rFonts w:ascii="Times New Roman" w:hAnsi="Times New Roman" w:cs="Times New Roman"/>
          <w:i/>
          <w:sz w:val="22"/>
          <w:szCs w:val="22"/>
        </w:rPr>
        <w:t>, Dr., İş Yatırım Ortaklığı A.Ş., Teftiş Birimi</w:t>
      </w:r>
      <w:r>
        <w:rPr>
          <w:rFonts w:ascii="Times New Roman" w:hAnsi="Times New Roman" w:cs="Times New Roman"/>
          <w:i/>
          <w:sz w:val="22"/>
          <w:szCs w:val="22"/>
        </w:rPr>
        <w:t>, Kıdemli Müfettişi.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689"/>
    <w:multiLevelType w:val="hybridMultilevel"/>
    <w:tmpl w:val="D9CE3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E33291"/>
    <w:multiLevelType w:val="hybridMultilevel"/>
    <w:tmpl w:val="A7A61D3A"/>
    <w:lvl w:ilvl="0" w:tplc="041F000F">
      <w:start w:val="1"/>
      <w:numFmt w:val="decimal"/>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
    <w:nsid w:val="1D311D7C"/>
    <w:multiLevelType w:val="hybridMultilevel"/>
    <w:tmpl w:val="95D44B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3173B1"/>
    <w:multiLevelType w:val="hybridMultilevel"/>
    <w:tmpl w:val="41C8071A"/>
    <w:lvl w:ilvl="0" w:tplc="9E1C3114">
      <w:start w:val="200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C87069"/>
    <w:multiLevelType w:val="multilevel"/>
    <w:tmpl w:val="6164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036960"/>
    <w:multiLevelType w:val="hybridMultilevel"/>
    <w:tmpl w:val="D0A86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9C"/>
    <w:rsid w:val="0000370B"/>
    <w:rsid w:val="00003A2B"/>
    <w:rsid w:val="000041D0"/>
    <w:rsid w:val="0000665D"/>
    <w:rsid w:val="0000796B"/>
    <w:rsid w:val="00007F57"/>
    <w:rsid w:val="0001003A"/>
    <w:rsid w:val="00010769"/>
    <w:rsid w:val="0001093E"/>
    <w:rsid w:val="00011609"/>
    <w:rsid w:val="0001181D"/>
    <w:rsid w:val="00011F31"/>
    <w:rsid w:val="00011FD5"/>
    <w:rsid w:val="000124F7"/>
    <w:rsid w:val="0001313F"/>
    <w:rsid w:val="000131C8"/>
    <w:rsid w:val="00013488"/>
    <w:rsid w:val="00014838"/>
    <w:rsid w:val="00014922"/>
    <w:rsid w:val="0001666D"/>
    <w:rsid w:val="00016FFC"/>
    <w:rsid w:val="000200CF"/>
    <w:rsid w:val="00020E3B"/>
    <w:rsid w:val="00022575"/>
    <w:rsid w:val="0002293F"/>
    <w:rsid w:val="00022CCC"/>
    <w:rsid w:val="00022ED5"/>
    <w:rsid w:val="0002358C"/>
    <w:rsid w:val="000239F8"/>
    <w:rsid w:val="00024833"/>
    <w:rsid w:val="00026453"/>
    <w:rsid w:val="0002721D"/>
    <w:rsid w:val="000276A1"/>
    <w:rsid w:val="00027AC9"/>
    <w:rsid w:val="00030147"/>
    <w:rsid w:val="00035041"/>
    <w:rsid w:val="0003593A"/>
    <w:rsid w:val="0003601A"/>
    <w:rsid w:val="00036561"/>
    <w:rsid w:val="00036DDA"/>
    <w:rsid w:val="000379E5"/>
    <w:rsid w:val="000402C6"/>
    <w:rsid w:val="000406D1"/>
    <w:rsid w:val="000411EC"/>
    <w:rsid w:val="000440F9"/>
    <w:rsid w:val="00044189"/>
    <w:rsid w:val="00044CB3"/>
    <w:rsid w:val="00044D78"/>
    <w:rsid w:val="00046907"/>
    <w:rsid w:val="00047390"/>
    <w:rsid w:val="00053D78"/>
    <w:rsid w:val="00055066"/>
    <w:rsid w:val="00060EDA"/>
    <w:rsid w:val="00061237"/>
    <w:rsid w:val="00061906"/>
    <w:rsid w:val="00061C4F"/>
    <w:rsid w:val="00062E56"/>
    <w:rsid w:val="00063E21"/>
    <w:rsid w:val="000646DC"/>
    <w:rsid w:val="000647BB"/>
    <w:rsid w:val="000659E3"/>
    <w:rsid w:val="00066087"/>
    <w:rsid w:val="000665BB"/>
    <w:rsid w:val="000678F7"/>
    <w:rsid w:val="00067996"/>
    <w:rsid w:val="00067E16"/>
    <w:rsid w:val="000701BB"/>
    <w:rsid w:val="0007029A"/>
    <w:rsid w:val="000707D8"/>
    <w:rsid w:val="00070BA3"/>
    <w:rsid w:val="00070BF9"/>
    <w:rsid w:val="00071BC6"/>
    <w:rsid w:val="00072348"/>
    <w:rsid w:val="00072449"/>
    <w:rsid w:val="00072A9B"/>
    <w:rsid w:val="0007316C"/>
    <w:rsid w:val="000736E6"/>
    <w:rsid w:val="00081A8B"/>
    <w:rsid w:val="0008239E"/>
    <w:rsid w:val="00085B15"/>
    <w:rsid w:val="00086132"/>
    <w:rsid w:val="00086823"/>
    <w:rsid w:val="0008730B"/>
    <w:rsid w:val="000878E2"/>
    <w:rsid w:val="000879EE"/>
    <w:rsid w:val="00087F19"/>
    <w:rsid w:val="00091A2E"/>
    <w:rsid w:val="000920B0"/>
    <w:rsid w:val="00093C95"/>
    <w:rsid w:val="00093CFC"/>
    <w:rsid w:val="000968AD"/>
    <w:rsid w:val="000969CA"/>
    <w:rsid w:val="000A015E"/>
    <w:rsid w:val="000A04D8"/>
    <w:rsid w:val="000A1C63"/>
    <w:rsid w:val="000A1E4E"/>
    <w:rsid w:val="000A2C1C"/>
    <w:rsid w:val="000A330A"/>
    <w:rsid w:val="000A3B65"/>
    <w:rsid w:val="000A4B28"/>
    <w:rsid w:val="000A65CF"/>
    <w:rsid w:val="000A7CD7"/>
    <w:rsid w:val="000A7D0D"/>
    <w:rsid w:val="000B04B6"/>
    <w:rsid w:val="000B05ED"/>
    <w:rsid w:val="000B0752"/>
    <w:rsid w:val="000B102D"/>
    <w:rsid w:val="000B139C"/>
    <w:rsid w:val="000B2270"/>
    <w:rsid w:val="000B2273"/>
    <w:rsid w:val="000B25DB"/>
    <w:rsid w:val="000B2720"/>
    <w:rsid w:val="000B311B"/>
    <w:rsid w:val="000B4037"/>
    <w:rsid w:val="000B443D"/>
    <w:rsid w:val="000B4FD3"/>
    <w:rsid w:val="000B5329"/>
    <w:rsid w:val="000B53D2"/>
    <w:rsid w:val="000B5ED9"/>
    <w:rsid w:val="000B604C"/>
    <w:rsid w:val="000B666D"/>
    <w:rsid w:val="000B6B92"/>
    <w:rsid w:val="000B716F"/>
    <w:rsid w:val="000B79C5"/>
    <w:rsid w:val="000B7E47"/>
    <w:rsid w:val="000C18E8"/>
    <w:rsid w:val="000C3F54"/>
    <w:rsid w:val="000C4764"/>
    <w:rsid w:val="000C4787"/>
    <w:rsid w:val="000C526D"/>
    <w:rsid w:val="000C5914"/>
    <w:rsid w:val="000C5DA3"/>
    <w:rsid w:val="000C60D2"/>
    <w:rsid w:val="000C6F25"/>
    <w:rsid w:val="000C732C"/>
    <w:rsid w:val="000D049B"/>
    <w:rsid w:val="000D05EF"/>
    <w:rsid w:val="000D0A6F"/>
    <w:rsid w:val="000D12D9"/>
    <w:rsid w:val="000D210F"/>
    <w:rsid w:val="000D3445"/>
    <w:rsid w:val="000D40CD"/>
    <w:rsid w:val="000D5A6F"/>
    <w:rsid w:val="000D64E0"/>
    <w:rsid w:val="000D7DD6"/>
    <w:rsid w:val="000E0040"/>
    <w:rsid w:val="000E0363"/>
    <w:rsid w:val="000E0FC2"/>
    <w:rsid w:val="000E11DB"/>
    <w:rsid w:val="000E205D"/>
    <w:rsid w:val="000E2D8E"/>
    <w:rsid w:val="000E3059"/>
    <w:rsid w:val="000E3580"/>
    <w:rsid w:val="000E584D"/>
    <w:rsid w:val="000E59A3"/>
    <w:rsid w:val="000E7928"/>
    <w:rsid w:val="000F0B80"/>
    <w:rsid w:val="000F0BE8"/>
    <w:rsid w:val="000F0F09"/>
    <w:rsid w:val="000F16ED"/>
    <w:rsid w:val="000F1746"/>
    <w:rsid w:val="000F1A04"/>
    <w:rsid w:val="000F1F59"/>
    <w:rsid w:val="000F2495"/>
    <w:rsid w:val="000F401F"/>
    <w:rsid w:val="000F411F"/>
    <w:rsid w:val="000F43CA"/>
    <w:rsid w:val="000F4D91"/>
    <w:rsid w:val="000F5DB3"/>
    <w:rsid w:val="000F6C5F"/>
    <w:rsid w:val="000F7CAF"/>
    <w:rsid w:val="001008CE"/>
    <w:rsid w:val="00100CEB"/>
    <w:rsid w:val="00101E4F"/>
    <w:rsid w:val="0010204D"/>
    <w:rsid w:val="00102CE8"/>
    <w:rsid w:val="00102E26"/>
    <w:rsid w:val="00103654"/>
    <w:rsid w:val="00103A06"/>
    <w:rsid w:val="00103C2E"/>
    <w:rsid w:val="0010444D"/>
    <w:rsid w:val="001053CC"/>
    <w:rsid w:val="0010551B"/>
    <w:rsid w:val="0010590F"/>
    <w:rsid w:val="00106803"/>
    <w:rsid w:val="00106921"/>
    <w:rsid w:val="001075A6"/>
    <w:rsid w:val="001076EB"/>
    <w:rsid w:val="00111721"/>
    <w:rsid w:val="00111920"/>
    <w:rsid w:val="001141AF"/>
    <w:rsid w:val="00114567"/>
    <w:rsid w:val="001149F8"/>
    <w:rsid w:val="00116080"/>
    <w:rsid w:val="001164FB"/>
    <w:rsid w:val="0011742F"/>
    <w:rsid w:val="001201AA"/>
    <w:rsid w:val="001213CF"/>
    <w:rsid w:val="00121EDF"/>
    <w:rsid w:val="00123531"/>
    <w:rsid w:val="001235CE"/>
    <w:rsid w:val="00123875"/>
    <w:rsid w:val="001243B7"/>
    <w:rsid w:val="00124C46"/>
    <w:rsid w:val="001259EF"/>
    <w:rsid w:val="00125E37"/>
    <w:rsid w:val="00126817"/>
    <w:rsid w:val="001300FE"/>
    <w:rsid w:val="001306CE"/>
    <w:rsid w:val="0013073C"/>
    <w:rsid w:val="001313AF"/>
    <w:rsid w:val="00132489"/>
    <w:rsid w:val="00132F8B"/>
    <w:rsid w:val="00133D3B"/>
    <w:rsid w:val="0013518E"/>
    <w:rsid w:val="00135FB8"/>
    <w:rsid w:val="0013692D"/>
    <w:rsid w:val="00137147"/>
    <w:rsid w:val="001412C3"/>
    <w:rsid w:val="00141703"/>
    <w:rsid w:val="00144008"/>
    <w:rsid w:val="001448B0"/>
    <w:rsid w:val="001461DC"/>
    <w:rsid w:val="00150065"/>
    <w:rsid w:val="0015019E"/>
    <w:rsid w:val="001502CE"/>
    <w:rsid w:val="00151BEF"/>
    <w:rsid w:val="00151DC8"/>
    <w:rsid w:val="00152472"/>
    <w:rsid w:val="00153275"/>
    <w:rsid w:val="0015463E"/>
    <w:rsid w:val="00154D03"/>
    <w:rsid w:val="00155AB3"/>
    <w:rsid w:val="0015675A"/>
    <w:rsid w:val="0015682D"/>
    <w:rsid w:val="00156B08"/>
    <w:rsid w:val="001576BD"/>
    <w:rsid w:val="00157F6D"/>
    <w:rsid w:val="001600BA"/>
    <w:rsid w:val="00160155"/>
    <w:rsid w:val="00160C6C"/>
    <w:rsid w:val="0016121E"/>
    <w:rsid w:val="001631CD"/>
    <w:rsid w:val="001634B1"/>
    <w:rsid w:val="001642C2"/>
    <w:rsid w:val="0016450F"/>
    <w:rsid w:val="00165178"/>
    <w:rsid w:val="0016572C"/>
    <w:rsid w:val="00166EA9"/>
    <w:rsid w:val="00171069"/>
    <w:rsid w:val="00171524"/>
    <w:rsid w:val="001715CE"/>
    <w:rsid w:val="00171B8C"/>
    <w:rsid w:val="00172527"/>
    <w:rsid w:val="0017275D"/>
    <w:rsid w:val="001743C2"/>
    <w:rsid w:val="001746C0"/>
    <w:rsid w:val="00174A2D"/>
    <w:rsid w:val="001751EE"/>
    <w:rsid w:val="00177472"/>
    <w:rsid w:val="001777D6"/>
    <w:rsid w:val="00177A38"/>
    <w:rsid w:val="00177CA4"/>
    <w:rsid w:val="00180573"/>
    <w:rsid w:val="0018067E"/>
    <w:rsid w:val="001820C3"/>
    <w:rsid w:val="00182229"/>
    <w:rsid w:val="0018239D"/>
    <w:rsid w:val="0018372B"/>
    <w:rsid w:val="00183A24"/>
    <w:rsid w:val="00186834"/>
    <w:rsid w:val="00186D71"/>
    <w:rsid w:val="0018784D"/>
    <w:rsid w:val="0019005A"/>
    <w:rsid w:val="00190D08"/>
    <w:rsid w:val="00190E7F"/>
    <w:rsid w:val="001913BE"/>
    <w:rsid w:val="001920D3"/>
    <w:rsid w:val="001925E7"/>
    <w:rsid w:val="0019262D"/>
    <w:rsid w:val="00193BF9"/>
    <w:rsid w:val="00193E95"/>
    <w:rsid w:val="00193EDB"/>
    <w:rsid w:val="001943A7"/>
    <w:rsid w:val="0019462F"/>
    <w:rsid w:val="001966C3"/>
    <w:rsid w:val="00196807"/>
    <w:rsid w:val="00196D42"/>
    <w:rsid w:val="00197B1A"/>
    <w:rsid w:val="001A014B"/>
    <w:rsid w:val="001A35D4"/>
    <w:rsid w:val="001A3920"/>
    <w:rsid w:val="001A39F1"/>
    <w:rsid w:val="001A411A"/>
    <w:rsid w:val="001A446C"/>
    <w:rsid w:val="001A4E00"/>
    <w:rsid w:val="001A5935"/>
    <w:rsid w:val="001A661C"/>
    <w:rsid w:val="001A6BA9"/>
    <w:rsid w:val="001B066A"/>
    <w:rsid w:val="001B0743"/>
    <w:rsid w:val="001B0E1C"/>
    <w:rsid w:val="001B2602"/>
    <w:rsid w:val="001B2DF9"/>
    <w:rsid w:val="001B351D"/>
    <w:rsid w:val="001B3A9F"/>
    <w:rsid w:val="001B3D62"/>
    <w:rsid w:val="001B3FCD"/>
    <w:rsid w:val="001C18BB"/>
    <w:rsid w:val="001C354F"/>
    <w:rsid w:val="001C38CF"/>
    <w:rsid w:val="001C40A4"/>
    <w:rsid w:val="001C431E"/>
    <w:rsid w:val="001C4826"/>
    <w:rsid w:val="001C4A90"/>
    <w:rsid w:val="001C524B"/>
    <w:rsid w:val="001C5ED2"/>
    <w:rsid w:val="001C733D"/>
    <w:rsid w:val="001C7D11"/>
    <w:rsid w:val="001C7DA8"/>
    <w:rsid w:val="001D0542"/>
    <w:rsid w:val="001D07E5"/>
    <w:rsid w:val="001D116E"/>
    <w:rsid w:val="001D1782"/>
    <w:rsid w:val="001D1907"/>
    <w:rsid w:val="001D1EA4"/>
    <w:rsid w:val="001D29AE"/>
    <w:rsid w:val="001D33DC"/>
    <w:rsid w:val="001D3BCD"/>
    <w:rsid w:val="001D3E55"/>
    <w:rsid w:val="001D3F9E"/>
    <w:rsid w:val="001D4606"/>
    <w:rsid w:val="001D4DD6"/>
    <w:rsid w:val="001D7B6C"/>
    <w:rsid w:val="001D7D1B"/>
    <w:rsid w:val="001D7EE1"/>
    <w:rsid w:val="001E16D9"/>
    <w:rsid w:val="001E170A"/>
    <w:rsid w:val="001E1872"/>
    <w:rsid w:val="001E3115"/>
    <w:rsid w:val="001E359A"/>
    <w:rsid w:val="001E539A"/>
    <w:rsid w:val="001E5A01"/>
    <w:rsid w:val="001E68EF"/>
    <w:rsid w:val="001E6B75"/>
    <w:rsid w:val="001F113B"/>
    <w:rsid w:val="001F1699"/>
    <w:rsid w:val="001F1B6B"/>
    <w:rsid w:val="001F2069"/>
    <w:rsid w:val="001F2168"/>
    <w:rsid w:val="001F26DD"/>
    <w:rsid w:val="001F4431"/>
    <w:rsid w:val="001F47A8"/>
    <w:rsid w:val="001F4A99"/>
    <w:rsid w:val="001F4C2A"/>
    <w:rsid w:val="001F54CF"/>
    <w:rsid w:val="001F5EAD"/>
    <w:rsid w:val="001F5EB2"/>
    <w:rsid w:val="0020094D"/>
    <w:rsid w:val="002012B5"/>
    <w:rsid w:val="00204EFF"/>
    <w:rsid w:val="00204FF1"/>
    <w:rsid w:val="00206222"/>
    <w:rsid w:val="00206FD6"/>
    <w:rsid w:val="00210007"/>
    <w:rsid w:val="00210B8E"/>
    <w:rsid w:val="00211A81"/>
    <w:rsid w:val="00212208"/>
    <w:rsid w:val="002128F8"/>
    <w:rsid w:val="00212CF0"/>
    <w:rsid w:val="00212EF0"/>
    <w:rsid w:val="0021335A"/>
    <w:rsid w:val="00213E21"/>
    <w:rsid w:val="00214E59"/>
    <w:rsid w:val="00215D4D"/>
    <w:rsid w:val="00216700"/>
    <w:rsid w:val="00216BF5"/>
    <w:rsid w:val="002173EE"/>
    <w:rsid w:val="00217818"/>
    <w:rsid w:val="0022097A"/>
    <w:rsid w:val="0022199F"/>
    <w:rsid w:val="002223C1"/>
    <w:rsid w:val="0022318B"/>
    <w:rsid w:val="0022382C"/>
    <w:rsid w:val="00223D73"/>
    <w:rsid w:val="002258D5"/>
    <w:rsid w:val="0022593D"/>
    <w:rsid w:val="002269E5"/>
    <w:rsid w:val="00226E92"/>
    <w:rsid w:val="00227BD4"/>
    <w:rsid w:val="00227D66"/>
    <w:rsid w:val="00230275"/>
    <w:rsid w:val="002302FD"/>
    <w:rsid w:val="0023179E"/>
    <w:rsid w:val="00234B53"/>
    <w:rsid w:val="0023617D"/>
    <w:rsid w:val="0023689B"/>
    <w:rsid w:val="00237ECC"/>
    <w:rsid w:val="00240955"/>
    <w:rsid w:val="00241C60"/>
    <w:rsid w:val="00244447"/>
    <w:rsid w:val="002456FA"/>
    <w:rsid w:val="00246DBD"/>
    <w:rsid w:val="00246E5D"/>
    <w:rsid w:val="0024738D"/>
    <w:rsid w:val="0025209C"/>
    <w:rsid w:val="0025250B"/>
    <w:rsid w:val="00252926"/>
    <w:rsid w:val="00252F36"/>
    <w:rsid w:val="002534F9"/>
    <w:rsid w:val="00253596"/>
    <w:rsid w:val="00253969"/>
    <w:rsid w:val="002543FC"/>
    <w:rsid w:val="00254D0E"/>
    <w:rsid w:val="0025505D"/>
    <w:rsid w:val="00255C84"/>
    <w:rsid w:val="002566D6"/>
    <w:rsid w:val="00256774"/>
    <w:rsid w:val="00257209"/>
    <w:rsid w:val="00257A9D"/>
    <w:rsid w:val="00257ADA"/>
    <w:rsid w:val="00257B3B"/>
    <w:rsid w:val="00257BDB"/>
    <w:rsid w:val="00260853"/>
    <w:rsid w:val="002617ED"/>
    <w:rsid w:val="002618CF"/>
    <w:rsid w:val="00261A50"/>
    <w:rsid w:val="00262B6D"/>
    <w:rsid w:val="00262CDC"/>
    <w:rsid w:val="00264354"/>
    <w:rsid w:val="0026456D"/>
    <w:rsid w:val="00264A3C"/>
    <w:rsid w:val="00264B3A"/>
    <w:rsid w:val="00264CD7"/>
    <w:rsid w:val="00264E14"/>
    <w:rsid w:val="00264F7F"/>
    <w:rsid w:val="002652D2"/>
    <w:rsid w:val="0026536D"/>
    <w:rsid w:val="00265485"/>
    <w:rsid w:val="002655E2"/>
    <w:rsid w:val="00265B37"/>
    <w:rsid w:val="0026737C"/>
    <w:rsid w:val="00267B6E"/>
    <w:rsid w:val="00267BC8"/>
    <w:rsid w:val="00267EC6"/>
    <w:rsid w:val="00270904"/>
    <w:rsid w:val="00270B5A"/>
    <w:rsid w:val="0027122C"/>
    <w:rsid w:val="00271FE2"/>
    <w:rsid w:val="002721E1"/>
    <w:rsid w:val="00272B0D"/>
    <w:rsid w:val="00274852"/>
    <w:rsid w:val="002748FD"/>
    <w:rsid w:val="002749EF"/>
    <w:rsid w:val="00274EDE"/>
    <w:rsid w:val="00275354"/>
    <w:rsid w:val="00275B92"/>
    <w:rsid w:val="00277CEA"/>
    <w:rsid w:val="00280319"/>
    <w:rsid w:val="00280F66"/>
    <w:rsid w:val="0028102B"/>
    <w:rsid w:val="00281A54"/>
    <w:rsid w:val="002820E2"/>
    <w:rsid w:val="00282E70"/>
    <w:rsid w:val="00284602"/>
    <w:rsid w:val="00284CA1"/>
    <w:rsid w:val="00285EC1"/>
    <w:rsid w:val="00285FA1"/>
    <w:rsid w:val="00286F1B"/>
    <w:rsid w:val="00287857"/>
    <w:rsid w:val="0028788F"/>
    <w:rsid w:val="00290AD7"/>
    <w:rsid w:val="00290CC3"/>
    <w:rsid w:val="002911C5"/>
    <w:rsid w:val="00291407"/>
    <w:rsid w:val="00291EAB"/>
    <w:rsid w:val="00295321"/>
    <w:rsid w:val="002956AF"/>
    <w:rsid w:val="00295851"/>
    <w:rsid w:val="002966A4"/>
    <w:rsid w:val="0029762C"/>
    <w:rsid w:val="002A35CD"/>
    <w:rsid w:val="002A3883"/>
    <w:rsid w:val="002A4C29"/>
    <w:rsid w:val="002A50DA"/>
    <w:rsid w:val="002A5190"/>
    <w:rsid w:val="002A5535"/>
    <w:rsid w:val="002A5D18"/>
    <w:rsid w:val="002A6E43"/>
    <w:rsid w:val="002A776A"/>
    <w:rsid w:val="002B16CD"/>
    <w:rsid w:val="002B2628"/>
    <w:rsid w:val="002B2776"/>
    <w:rsid w:val="002B27F2"/>
    <w:rsid w:val="002B2A94"/>
    <w:rsid w:val="002B2BA5"/>
    <w:rsid w:val="002B2BA8"/>
    <w:rsid w:val="002B4AC8"/>
    <w:rsid w:val="002B5606"/>
    <w:rsid w:val="002B6F3C"/>
    <w:rsid w:val="002B7E38"/>
    <w:rsid w:val="002C1F34"/>
    <w:rsid w:val="002C2DAD"/>
    <w:rsid w:val="002C4E4B"/>
    <w:rsid w:val="002C67F1"/>
    <w:rsid w:val="002D0EAD"/>
    <w:rsid w:val="002D1309"/>
    <w:rsid w:val="002D1B26"/>
    <w:rsid w:val="002D1B4A"/>
    <w:rsid w:val="002D2847"/>
    <w:rsid w:val="002D2A01"/>
    <w:rsid w:val="002D4C64"/>
    <w:rsid w:val="002D51D1"/>
    <w:rsid w:val="002D52FC"/>
    <w:rsid w:val="002D5876"/>
    <w:rsid w:val="002D744E"/>
    <w:rsid w:val="002D7F53"/>
    <w:rsid w:val="002E0967"/>
    <w:rsid w:val="002E12E7"/>
    <w:rsid w:val="002E22F3"/>
    <w:rsid w:val="002E2659"/>
    <w:rsid w:val="002E3D20"/>
    <w:rsid w:val="002E402A"/>
    <w:rsid w:val="002E4557"/>
    <w:rsid w:val="002E4885"/>
    <w:rsid w:val="002E4AF6"/>
    <w:rsid w:val="002E574C"/>
    <w:rsid w:val="002E6358"/>
    <w:rsid w:val="002E63BC"/>
    <w:rsid w:val="002E6D49"/>
    <w:rsid w:val="002E799C"/>
    <w:rsid w:val="002E7CFB"/>
    <w:rsid w:val="002E7D97"/>
    <w:rsid w:val="002F1596"/>
    <w:rsid w:val="002F1A96"/>
    <w:rsid w:val="002F1ED8"/>
    <w:rsid w:val="002F2A39"/>
    <w:rsid w:val="002F3AE2"/>
    <w:rsid w:val="002F43B1"/>
    <w:rsid w:val="002F54E0"/>
    <w:rsid w:val="002F697D"/>
    <w:rsid w:val="00300AFA"/>
    <w:rsid w:val="00300CA1"/>
    <w:rsid w:val="00301737"/>
    <w:rsid w:val="00301CAE"/>
    <w:rsid w:val="00302974"/>
    <w:rsid w:val="003029DB"/>
    <w:rsid w:val="00302C0E"/>
    <w:rsid w:val="00304F48"/>
    <w:rsid w:val="00306161"/>
    <w:rsid w:val="00306235"/>
    <w:rsid w:val="0031033D"/>
    <w:rsid w:val="0031078B"/>
    <w:rsid w:val="00310E1A"/>
    <w:rsid w:val="00312E49"/>
    <w:rsid w:val="00313A99"/>
    <w:rsid w:val="003156A3"/>
    <w:rsid w:val="003157C4"/>
    <w:rsid w:val="0031650D"/>
    <w:rsid w:val="0031785B"/>
    <w:rsid w:val="00320234"/>
    <w:rsid w:val="00320AD7"/>
    <w:rsid w:val="00322035"/>
    <w:rsid w:val="00322248"/>
    <w:rsid w:val="00322284"/>
    <w:rsid w:val="00322A9B"/>
    <w:rsid w:val="00323416"/>
    <w:rsid w:val="00323E98"/>
    <w:rsid w:val="00324594"/>
    <w:rsid w:val="003247DE"/>
    <w:rsid w:val="00324BCD"/>
    <w:rsid w:val="00324F7B"/>
    <w:rsid w:val="00325C0F"/>
    <w:rsid w:val="0032637D"/>
    <w:rsid w:val="00326758"/>
    <w:rsid w:val="00326A87"/>
    <w:rsid w:val="00326EDE"/>
    <w:rsid w:val="00327F6D"/>
    <w:rsid w:val="003321C0"/>
    <w:rsid w:val="003322E9"/>
    <w:rsid w:val="003327F0"/>
    <w:rsid w:val="0033336B"/>
    <w:rsid w:val="00333521"/>
    <w:rsid w:val="00334082"/>
    <w:rsid w:val="00334EEC"/>
    <w:rsid w:val="00335092"/>
    <w:rsid w:val="00336F78"/>
    <w:rsid w:val="00337149"/>
    <w:rsid w:val="003376FD"/>
    <w:rsid w:val="0034001E"/>
    <w:rsid w:val="00341571"/>
    <w:rsid w:val="0034178D"/>
    <w:rsid w:val="00343437"/>
    <w:rsid w:val="0034401E"/>
    <w:rsid w:val="00344C3A"/>
    <w:rsid w:val="0034597B"/>
    <w:rsid w:val="00345A6E"/>
    <w:rsid w:val="00346DB9"/>
    <w:rsid w:val="00346EB1"/>
    <w:rsid w:val="003471B1"/>
    <w:rsid w:val="00347563"/>
    <w:rsid w:val="003477C0"/>
    <w:rsid w:val="003500F3"/>
    <w:rsid w:val="003512F4"/>
    <w:rsid w:val="0035381A"/>
    <w:rsid w:val="003539ED"/>
    <w:rsid w:val="00353BD0"/>
    <w:rsid w:val="00354851"/>
    <w:rsid w:val="00355866"/>
    <w:rsid w:val="00355C5F"/>
    <w:rsid w:val="00356797"/>
    <w:rsid w:val="00357E11"/>
    <w:rsid w:val="00360C41"/>
    <w:rsid w:val="00360C87"/>
    <w:rsid w:val="00361187"/>
    <w:rsid w:val="003619A1"/>
    <w:rsid w:val="003630FB"/>
    <w:rsid w:val="0036338A"/>
    <w:rsid w:val="00363AF1"/>
    <w:rsid w:val="00364201"/>
    <w:rsid w:val="0036593C"/>
    <w:rsid w:val="00365966"/>
    <w:rsid w:val="003662A9"/>
    <w:rsid w:val="00367054"/>
    <w:rsid w:val="00367D2A"/>
    <w:rsid w:val="00370003"/>
    <w:rsid w:val="003718BB"/>
    <w:rsid w:val="00371C5B"/>
    <w:rsid w:val="00374AC5"/>
    <w:rsid w:val="003751C0"/>
    <w:rsid w:val="00375CD0"/>
    <w:rsid w:val="00376D10"/>
    <w:rsid w:val="003770EA"/>
    <w:rsid w:val="00380C0F"/>
    <w:rsid w:val="003810AC"/>
    <w:rsid w:val="00382791"/>
    <w:rsid w:val="00383A3E"/>
    <w:rsid w:val="00384271"/>
    <w:rsid w:val="00384D1A"/>
    <w:rsid w:val="00385700"/>
    <w:rsid w:val="00385714"/>
    <w:rsid w:val="00386E37"/>
    <w:rsid w:val="0038715B"/>
    <w:rsid w:val="00387430"/>
    <w:rsid w:val="0039119B"/>
    <w:rsid w:val="00391897"/>
    <w:rsid w:val="00393CA9"/>
    <w:rsid w:val="003944DC"/>
    <w:rsid w:val="00394BF5"/>
    <w:rsid w:val="00394F85"/>
    <w:rsid w:val="00395BCD"/>
    <w:rsid w:val="003967A9"/>
    <w:rsid w:val="00396C2F"/>
    <w:rsid w:val="00397720"/>
    <w:rsid w:val="00397CB3"/>
    <w:rsid w:val="003A1711"/>
    <w:rsid w:val="003A1B58"/>
    <w:rsid w:val="003A261C"/>
    <w:rsid w:val="003A272A"/>
    <w:rsid w:val="003A2F7D"/>
    <w:rsid w:val="003A377E"/>
    <w:rsid w:val="003A3930"/>
    <w:rsid w:val="003A3977"/>
    <w:rsid w:val="003A4D84"/>
    <w:rsid w:val="003A5A95"/>
    <w:rsid w:val="003A5DE1"/>
    <w:rsid w:val="003A6246"/>
    <w:rsid w:val="003A67A4"/>
    <w:rsid w:val="003A6EF1"/>
    <w:rsid w:val="003A7715"/>
    <w:rsid w:val="003A7D28"/>
    <w:rsid w:val="003B01DC"/>
    <w:rsid w:val="003B1E95"/>
    <w:rsid w:val="003B4817"/>
    <w:rsid w:val="003B4C28"/>
    <w:rsid w:val="003B57F0"/>
    <w:rsid w:val="003B609A"/>
    <w:rsid w:val="003B6A40"/>
    <w:rsid w:val="003B736C"/>
    <w:rsid w:val="003B7471"/>
    <w:rsid w:val="003C01CA"/>
    <w:rsid w:val="003C03E0"/>
    <w:rsid w:val="003C11B5"/>
    <w:rsid w:val="003C26E8"/>
    <w:rsid w:val="003C27FC"/>
    <w:rsid w:val="003C32A6"/>
    <w:rsid w:val="003C34B4"/>
    <w:rsid w:val="003C356B"/>
    <w:rsid w:val="003C3B77"/>
    <w:rsid w:val="003C4090"/>
    <w:rsid w:val="003C4C03"/>
    <w:rsid w:val="003C4C77"/>
    <w:rsid w:val="003C4FF1"/>
    <w:rsid w:val="003C5BB2"/>
    <w:rsid w:val="003C6A2E"/>
    <w:rsid w:val="003C7245"/>
    <w:rsid w:val="003C7D09"/>
    <w:rsid w:val="003D097E"/>
    <w:rsid w:val="003D2E12"/>
    <w:rsid w:val="003D2F12"/>
    <w:rsid w:val="003D2FCD"/>
    <w:rsid w:val="003D336E"/>
    <w:rsid w:val="003D356B"/>
    <w:rsid w:val="003D4C3F"/>
    <w:rsid w:val="003D66FD"/>
    <w:rsid w:val="003D69B3"/>
    <w:rsid w:val="003D7858"/>
    <w:rsid w:val="003D7E96"/>
    <w:rsid w:val="003E03D5"/>
    <w:rsid w:val="003E121C"/>
    <w:rsid w:val="003E313E"/>
    <w:rsid w:val="003E38DB"/>
    <w:rsid w:val="003E48C8"/>
    <w:rsid w:val="003E51B5"/>
    <w:rsid w:val="003E5B4F"/>
    <w:rsid w:val="003E5BC0"/>
    <w:rsid w:val="003E6313"/>
    <w:rsid w:val="003E66C5"/>
    <w:rsid w:val="003E6829"/>
    <w:rsid w:val="003E6E00"/>
    <w:rsid w:val="003F00FD"/>
    <w:rsid w:val="003F0177"/>
    <w:rsid w:val="003F0B7F"/>
    <w:rsid w:val="003F148E"/>
    <w:rsid w:val="003F239B"/>
    <w:rsid w:val="003F2989"/>
    <w:rsid w:val="003F2A8F"/>
    <w:rsid w:val="003F64EB"/>
    <w:rsid w:val="004012C1"/>
    <w:rsid w:val="004014E5"/>
    <w:rsid w:val="00401FF0"/>
    <w:rsid w:val="00402CD5"/>
    <w:rsid w:val="004039F1"/>
    <w:rsid w:val="004074DD"/>
    <w:rsid w:val="00410977"/>
    <w:rsid w:val="00412BE1"/>
    <w:rsid w:val="00412C8A"/>
    <w:rsid w:val="00413388"/>
    <w:rsid w:val="004139E2"/>
    <w:rsid w:val="00413B08"/>
    <w:rsid w:val="00414170"/>
    <w:rsid w:val="004141E8"/>
    <w:rsid w:val="004145DA"/>
    <w:rsid w:val="0041588A"/>
    <w:rsid w:val="00416C49"/>
    <w:rsid w:val="00416E95"/>
    <w:rsid w:val="00420D0D"/>
    <w:rsid w:val="00423DD4"/>
    <w:rsid w:val="0042511D"/>
    <w:rsid w:val="004253E9"/>
    <w:rsid w:val="00425C26"/>
    <w:rsid w:val="00426EB6"/>
    <w:rsid w:val="00433255"/>
    <w:rsid w:val="00434887"/>
    <w:rsid w:val="00434EC4"/>
    <w:rsid w:val="00435556"/>
    <w:rsid w:val="00435920"/>
    <w:rsid w:val="004405E8"/>
    <w:rsid w:val="00440879"/>
    <w:rsid w:val="00442CAA"/>
    <w:rsid w:val="004452E9"/>
    <w:rsid w:val="004464DC"/>
    <w:rsid w:val="0044707A"/>
    <w:rsid w:val="00450786"/>
    <w:rsid w:val="004510F5"/>
    <w:rsid w:val="004515A5"/>
    <w:rsid w:val="00451AF0"/>
    <w:rsid w:val="00451FA0"/>
    <w:rsid w:val="004523FF"/>
    <w:rsid w:val="004528D3"/>
    <w:rsid w:val="0045300F"/>
    <w:rsid w:val="0045490C"/>
    <w:rsid w:val="00455791"/>
    <w:rsid w:val="00455CDC"/>
    <w:rsid w:val="004566FD"/>
    <w:rsid w:val="00460BDB"/>
    <w:rsid w:val="00461459"/>
    <w:rsid w:val="0046298E"/>
    <w:rsid w:val="00463471"/>
    <w:rsid w:val="00463CCF"/>
    <w:rsid w:val="0046445F"/>
    <w:rsid w:val="004650CD"/>
    <w:rsid w:val="00466633"/>
    <w:rsid w:val="00466A06"/>
    <w:rsid w:val="00466A88"/>
    <w:rsid w:val="00467679"/>
    <w:rsid w:val="004706EC"/>
    <w:rsid w:val="00471BCE"/>
    <w:rsid w:val="00472960"/>
    <w:rsid w:val="00472EE9"/>
    <w:rsid w:val="0047307F"/>
    <w:rsid w:val="004745CC"/>
    <w:rsid w:val="00475EBB"/>
    <w:rsid w:val="00476938"/>
    <w:rsid w:val="00476FD4"/>
    <w:rsid w:val="0048242E"/>
    <w:rsid w:val="00484BDD"/>
    <w:rsid w:val="00484EA7"/>
    <w:rsid w:val="0048512C"/>
    <w:rsid w:val="00485A10"/>
    <w:rsid w:val="00485DFC"/>
    <w:rsid w:val="00485F40"/>
    <w:rsid w:val="00486BED"/>
    <w:rsid w:val="00487C40"/>
    <w:rsid w:val="0049111F"/>
    <w:rsid w:val="00493D7B"/>
    <w:rsid w:val="0049431A"/>
    <w:rsid w:val="004945A0"/>
    <w:rsid w:val="004951A1"/>
    <w:rsid w:val="00496AA8"/>
    <w:rsid w:val="00497590"/>
    <w:rsid w:val="00497731"/>
    <w:rsid w:val="004A06C5"/>
    <w:rsid w:val="004A0ACE"/>
    <w:rsid w:val="004A0E15"/>
    <w:rsid w:val="004A0E58"/>
    <w:rsid w:val="004A10A1"/>
    <w:rsid w:val="004A1337"/>
    <w:rsid w:val="004A1447"/>
    <w:rsid w:val="004A2A76"/>
    <w:rsid w:val="004A3081"/>
    <w:rsid w:val="004A356D"/>
    <w:rsid w:val="004A37D5"/>
    <w:rsid w:val="004A396C"/>
    <w:rsid w:val="004A3E5A"/>
    <w:rsid w:val="004A3F65"/>
    <w:rsid w:val="004A40B0"/>
    <w:rsid w:val="004A5097"/>
    <w:rsid w:val="004A5C84"/>
    <w:rsid w:val="004A6B86"/>
    <w:rsid w:val="004A6BED"/>
    <w:rsid w:val="004A7C3B"/>
    <w:rsid w:val="004B0211"/>
    <w:rsid w:val="004B0E83"/>
    <w:rsid w:val="004B279D"/>
    <w:rsid w:val="004B46F9"/>
    <w:rsid w:val="004B498F"/>
    <w:rsid w:val="004B68C2"/>
    <w:rsid w:val="004B6E73"/>
    <w:rsid w:val="004B7A3A"/>
    <w:rsid w:val="004C01AC"/>
    <w:rsid w:val="004C0C79"/>
    <w:rsid w:val="004C2141"/>
    <w:rsid w:val="004C29DD"/>
    <w:rsid w:val="004C4C63"/>
    <w:rsid w:val="004C5120"/>
    <w:rsid w:val="004C5614"/>
    <w:rsid w:val="004C5A71"/>
    <w:rsid w:val="004C6B48"/>
    <w:rsid w:val="004C7FD2"/>
    <w:rsid w:val="004D03D9"/>
    <w:rsid w:val="004D0878"/>
    <w:rsid w:val="004D0955"/>
    <w:rsid w:val="004D0C38"/>
    <w:rsid w:val="004D1908"/>
    <w:rsid w:val="004D3EB2"/>
    <w:rsid w:val="004D648A"/>
    <w:rsid w:val="004D6589"/>
    <w:rsid w:val="004D738B"/>
    <w:rsid w:val="004D7BA0"/>
    <w:rsid w:val="004D7DEC"/>
    <w:rsid w:val="004E2DBE"/>
    <w:rsid w:val="004E3294"/>
    <w:rsid w:val="004E392C"/>
    <w:rsid w:val="004E3A2E"/>
    <w:rsid w:val="004E45EF"/>
    <w:rsid w:val="004E45F8"/>
    <w:rsid w:val="004E469A"/>
    <w:rsid w:val="004E5281"/>
    <w:rsid w:val="004E73F5"/>
    <w:rsid w:val="004E7684"/>
    <w:rsid w:val="004E7EDB"/>
    <w:rsid w:val="004F0E7A"/>
    <w:rsid w:val="004F3690"/>
    <w:rsid w:val="004F4635"/>
    <w:rsid w:val="004F4703"/>
    <w:rsid w:val="004F4886"/>
    <w:rsid w:val="004F48C0"/>
    <w:rsid w:val="004F5092"/>
    <w:rsid w:val="004F6747"/>
    <w:rsid w:val="004F7872"/>
    <w:rsid w:val="004F78FA"/>
    <w:rsid w:val="00500F2E"/>
    <w:rsid w:val="00502CBB"/>
    <w:rsid w:val="00506A82"/>
    <w:rsid w:val="00507C65"/>
    <w:rsid w:val="00507F71"/>
    <w:rsid w:val="00510B4E"/>
    <w:rsid w:val="00511D9F"/>
    <w:rsid w:val="00511E06"/>
    <w:rsid w:val="00513065"/>
    <w:rsid w:val="00514428"/>
    <w:rsid w:val="00514713"/>
    <w:rsid w:val="0051472B"/>
    <w:rsid w:val="00514BFA"/>
    <w:rsid w:val="0051559C"/>
    <w:rsid w:val="005156D9"/>
    <w:rsid w:val="005158EA"/>
    <w:rsid w:val="005170EC"/>
    <w:rsid w:val="00517926"/>
    <w:rsid w:val="00517A85"/>
    <w:rsid w:val="00520778"/>
    <w:rsid w:val="005210F6"/>
    <w:rsid w:val="00522BFD"/>
    <w:rsid w:val="00522F6A"/>
    <w:rsid w:val="005245E9"/>
    <w:rsid w:val="005258FA"/>
    <w:rsid w:val="005305F2"/>
    <w:rsid w:val="0053070C"/>
    <w:rsid w:val="0053178E"/>
    <w:rsid w:val="00532028"/>
    <w:rsid w:val="0053281B"/>
    <w:rsid w:val="00532F2B"/>
    <w:rsid w:val="00533C57"/>
    <w:rsid w:val="005347D4"/>
    <w:rsid w:val="00534A21"/>
    <w:rsid w:val="0053526C"/>
    <w:rsid w:val="00535F8A"/>
    <w:rsid w:val="00537A8A"/>
    <w:rsid w:val="00542735"/>
    <w:rsid w:val="0054286A"/>
    <w:rsid w:val="005432D6"/>
    <w:rsid w:val="005434EA"/>
    <w:rsid w:val="0054409B"/>
    <w:rsid w:val="005458D0"/>
    <w:rsid w:val="00545CBC"/>
    <w:rsid w:val="00546B36"/>
    <w:rsid w:val="00547842"/>
    <w:rsid w:val="0055057E"/>
    <w:rsid w:val="005506DF"/>
    <w:rsid w:val="005507C9"/>
    <w:rsid w:val="0055105C"/>
    <w:rsid w:val="005510F9"/>
    <w:rsid w:val="00551566"/>
    <w:rsid w:val="00552A4E"/>
    <w:rsid w:val="00552E04"/>
    <w:rsid w:val="005536AB"/>
    <w:rsid w:val="00553C0E"/>
    <w:rsid w:val="00553DF3"/>
    <w:rsid w:val="005542A7"/>
    <w:rsid w:val="0055497D"/>
    <w:rsid w:val="00554D7C"/>
    <w:rsid w:val="00555EC3"/>
    <w:rsid w:val="00556A51"/>
    <w:rsid w:val="005577CF"/>
    <w:rsid w:val="00557E0F"/>
    <w:rsid w:val="005603FB"/>
    <w:rsid w:val="00560462"/>
    <w:rsid w:val="005606A5"/>
    <w:rsid w:val="005611F4"/>
    <w:rsid w:val="005618B8"/>
    <w:rsid w:val="00561C1D"/>
    <w:rsid w:val="005630A1"/>
    <w:rsid w:val="005636BC"/>
    <w:rsid w:val="0056376C"/>
    <w:rsid w:val="0056471B"/>
    <w:rsid w:val="00564951"/>
    <w:rsid w:val="005656A5"/>
    <w:rsid w:val="005669B3"/>
    <w:rsid w:val="00567E62"/>
    <w:rsid w:val="00572612"/>
    <w:rsid w:val="0057347B"/>
    <w:rsid w:val="0057418C"/>
    <w:rsid w:val="00574DDA"/>
    <w:rsid w:val="0057524D"/>
    <w:rsid w:val="00575652"/>
    <w:rsid w:val="00576243"/>
    <w:rsid w:val="0057646B"/>
    <w:rsid w:val="00576A88"/>
    <w:rsid w:val="00577E30"/>
    <w:rsid w:val="00577F8B"/>
    <w:rsid w:val="00580FF9"/>
    <w:rsid w:val="0058312E"/>
    <w:rsid w:val="0058394B"/>
    <w:rsid w:val="00583E57"/>
    <w:rsid w:val="00584947"/>
    <w:rsid w:val="005849A7"/>
    <w:rsid w:val="00584C33"/>
    <w:rsid w:val="00584E93"/>
    <w:rsid w:val="00584FC0"/>
    <w:rsid w:val="005854D8"/>
    <w:rsid w:val="005854EC"/>
    <w:rsid w:val="00585BDF"/>
    <w:rsid w:val="00585FA8"/>
    <w:rsid w:val="00587070"/>
    <w:rsid w:val="005879AE"/>
    <w:rsid w:val="00587F43"/>
    <w:rsid w:val="00590B49"/>
    <w:rsid w:val="00591900"/>
    <w:rsid w:val="005919EE"/>
    <w:rsid w:val="0059293B"/>
    <w:rsid w:val="00592B4C"/>
    <w:rsid w:val="00593EFB"/>
    <w:rsid w:val="00594CEA"/>
    <w:rsid w:val="005952A5"/>
    <w:rsid w:val="00596184"/>
    <w:rsid w:val="005A06B2"/>
    <w:rsid w:val="005A143B"/>
    <w:rsid w:val="005A16A0"/>
    <w:rsid w:val="005A2C7D"/>
    <w:rsid w:val="005A3A17"/>
    <w:rsid w:val="005A3ADD"/>
    <w:rsid w:val="005A45EE"/>
    <w:rsid w:val="005A4DF1"/>
    <w:rsid w:val="005A4EA6"/>
    <w:rsid w:val="005A5F50"/>
    <w:rsid w:val="005A6384"/>
    <w:rsid w:val="005A653E"/>
    <w:rsid w:val="005A6851"/>
    <w:rsid w:val="005A6AA4"/>
    <w:rsid w:val="005A6B0D"/>
    <w:rsid w:val="005A79FD"/>
    <w:rsid w:val="005B06E7"/>
    <w:rsid w:val="005B1E93"/>
    <w:rsid w:val="005B44FC"/>
    <w:rsid w:val="005B4A18"/>
    <w:rsid w:val="005B50E9"/>
    <w:rsid w:val="005B51D6"/>
    <w:rsid w:val="005B5DF0"/>
    <w:rsid w:val="005B5ED9"/>
    <w:rsid w:val="005B65D8"/>
    <w:rsid w:val="005B7C68"/>
    <w:rsid w:val="005C08B2"/>
    <w:rsid w:val="005C17EF"/>
    <w:rsid w:val="005C19CA"/>
    <w:rsid w:val="005C23DD"/>
    <w:rsid w:val="005C329A"/>
    <w:rsid w:val="005C4B99"/>
    <w:rsid w:val="005C509B"/>
    <w:rsid w:val="005C54A4"/>
    <w:rsid w:val="005C5892"/>
    <w:rsid w:val="005C64CE"/>
    <w:rsid w:val="005C6890"/>
    <w:rsid w:val="005D111A"/>
    <w:rsid w:val="005D1CFE"/>
    <w:rsid w:val="005D2844"/>
    <w:rsid w:val="005D3042"/>
    <w:rsid w:val="005D3A47"/>
    <w:rsid w:val="005D535C"/>
    <w:rsid w:val="005D5C35"/>
    <w:rsid w:val="005D6CFB"/>
    <w:rsid w:val="005D6EEA"/>
    <w:rsid w:val="005E02B3"/>
    <w:rsid w:val="005E263F"/>
    <w:rsid w:val="005E276C"/>
    <w:rsid w:val="005E2963"/>
    <w:rsid w:val="005E3152"/>
    <w:rsid w:val="005E362D"/>
    <w:rsid w:val="005E4DA4"/>
    <w:rsid w:val="005E5802"/>
    <w:rsid w:val="005E5D23"/>
    <w:rsid w:val="005E5EEA"/>
    <w:rsid w:val="005E600B"/>
    <w:rsid w:val="005E66EA"/>
    <w:rsid w:val="005E6E1B"/>
    <w:rsid w:val="005F0EAE"/>
    <w:rsid w:val="005F10C4"/>
    <w:rsid w:val="005F1B9E"/>
    <w:rsid w:val="005F2405"/>
    <w:rsid w:val="005F26AD"/>
    <w:rsid w:val="005F3108"/>
    <w:rsid w:val="005F3461"/>
    <w:rsid w:val="005F3976"/>
    <w:rsid w:val="005F3B22"/>
    <w:rsid w:val="005F4963"/>
    <w:rsid w:val="005F496A"/>
    <w:rsid w:val="005F5447"/>
    <w:rsid w:val="005F559D"/>
    <w:rsid w:val="005F5824"/>
    <w:rsid w:val="005F6B34"/>
    <w:rsid w:val="006008CF"/>
    <w:rsid w:val="00601296"/>
    <w:rsid w:val="00602625"/>
    <w:rsid w:val="00602683"/>
    <w:rsid w:val="00602F97"/>
    <w:rsid w:val="00603778"/>
    <w:rsid w:val="00603CAC"/>
    <w:rsid w:val="006055FA"/>
    <w:rsid w:val="006056D7"/>
    <w:rsid w:val="00606027"/>
    <w:rsid w:val="00606101"/>
    <w:rsid w:val="00606165"/>
    <w:rsid w:val="00610B98"/>
    <w:rsid w:val="00610BF7"/>
    <w:rsid w:val="00610D39"/>
    <w:rsid w:val="00612C6B"/>
    <w:rsid w:val="006135DB"/>
    <w:rsid w:val="00613673"/>
    <w:rsid w:val="00614143"/>
    <w:rsid w:val="006148CF"/>
    <w:rsid w:val="006148F7"/>
    <w:rsid w:val="00615B51"/>
    <w:rsid w:val="00615BF9"/>
    <w:rsid w:val="00616DB8"/>
    <w:rsid w:val="00617EA2"/>
    <w:rsid w:val="00620932"/>
    <w:rsid w:val="00620DA7"/>
    <w:rsid w:val="00621CE5"/>
    <w:rsid w:val="00621E5F"/>
    <w:rsid w:val="0062229C"/>
    <w:rsid w:val="00623BC5"/>
    <w:rsid w:val="00625FB9"/>
    <w:rsid w:val="00626395"/>
    <w:rsid w:val="006268C4"/>
    <w:rsid w:val="00626B9C"/>
    <w:rsid w:val="00626BB3"/>
    <w:rsid w:val="006275B2"/>
    <w:rsid w:val="00627D28"/>
    <w:rsid w:val="00627FE1"/>
    <w:rsid w:val="0063056E"/>
    <w:rsid w:val="00630C24"/>
    <w:rsid w:val="00630DD4"/>
    <w:rsid w:val="00630E52"/>
    <w:rsid w:val="00632A57"/>
    <w:rsid w:val="00633999"/>
    <w:rsid w:val="006339BE"/>
    <w:rsid w:val="00633F97"/>
    <w:rsid w:val="006344A1"/>
    <w:rsid w:val="00634C1A"/>
    <w:rsid w:val="00634DA1"/>
    <w:rsid w:val="00634E27"/>
    <w:rsid w:val="006351F8"/>
    <w:rsid w:val="006357CD"/>
    <w:rsid w:val="00636052"/>
    <w:rsid w:val="006361B0"/>
    <w:rsid w:val="00636622"/>
    <w:rsid w:val="00637588"/>
    <w:rsid w:val="00641B76"/>
    <w:rsid w:val="00641F18"/>
    <w:rsid w:val="0064252C"/>
    <w:rsid w:val="006437B4"/>
    <w:rsid w:val="006442C4"/>
    <w:rsid w:val="00645361"/>
    <w:rsid w:val="0064654D"/>
    <w:rsid w:val="00650715"/>
    <w:rsid w:val="006534D6"/>
    <w:rsid w:val="00653663"/>
    <w:rsid w:val="006538B9"/>
    <w:rsid w:val="00653DE2"/>
    <w:rsid w:val="006547B7"/>
    <w:rsid w:val="00654AB3"/>
    <w:rsid w:val="006576B8"/>
    <w:rsid w:val="00660876"/>
    <w:rsid w:val="006610AD"/>
    <w:rsid w:val="00661146"/>
    <w:rsid w:val="006616C0"/>
    <w:rsid w:val="00661F59"/>
    <w:rsid w:val="00662D93"/>
    <w:rsid w:val="00662F63"/>
    <w:rsid w:val="00664F84"/>
    <w:rsid w:val="006651C2"/>
    <w:rsid w:val="00667522"/>
    <w:rsid w:val="00667AB6"/>
    <w:rsid w:val="00671B77"/>
    <w:rsid w:val="00671F99"/>
    <w:rsid w:val="00672F25"/>
    <w:rsid w:val="006744A4"/>
    <w:rsid w:val="006744DC"/>
    <w:rsid w:val="00674B90"/>
    <w:rsid w:val="00674F40"/>
    <w:rsid w:val="006756FB"/>
    <w:rsid w:val="00675AF9"/>
    <w:rsid w:val="006760BD"/>
    <w:rsid w:val="00676426"/>
    <w:rsid w:val="00677498"/>
    <w:rsid w:val="00677C8E"/>
    <w:rsid w:val="006800D9"/>
    <w:rsid w:val="0068091E"/>
    <w:rsid w:val="006810AB"/>
    <w:rsid w:val="006813F8"/>
    <w:rsid w:val="006818F9"/>
    <w:rsid w:val="006825F3"/>
    <w:rsid w:val="0068276F"/>
    <w:rsid w:val="00683685"/>
    <w:rsid w:val="00684446"/>
    <w:rsid w:val="00685025"/>
    <w:rsid w:val="00686613"/>
    <w:rsid w:val="006867F9"/>
    <w:rsid w:val="00687E36"/>
    <w:rsid w:val="006900D1"/>
    <w:rsid w:val="0069018B"/>
    <w:rsid w:val="0069097C"/>
    <w:rsid w:val="00690B8F"/>
    <w:rsid w:val="0069251A"/>
    <w:rsid w:val="00692ABA"/>
    <w:rsid w:val="006932A2"/>
    <w:rsid w:val="00693F60"/>
    <w:rsid w:val="00694613"/>
    <w:rsid w:val="00696383"/>
    <w:rsid w:val="00696882"/>
    <w:rsid w:val="006972A5"/>
    <w:rsid w:val="00697359"/>
    <w:rsid w:val="006A0305"/>
    <w:rsid w:val="006A1168"/>
    <w:rsid w:val="006A16BC"/>
    <w:rsid w:val="006A246D"/>
    <w:rsid w:val="006A2CF4"/>
    <w:rsid w:val="006A3003"/>
    <w:rsid w:val="006A3E11"/>
    <w:rsid w:val="006A4774"/>
    <w:rsid w:val="006A4A12"/>
    <w:rsid w:val="006A71C0"/>
    <w:rsid w:val="006B0C5E"/>
    <w:rsid w:val="006B0D72"/>
    <w:rsid w:val="006B3262"/>
    <w:rsid w:val="006B432B"/>
    <w:rsid w:val="006B4569"/>
    <w:rsid w:val="006B5A87"/>
    <w:rsid w:val="006B5B7F"/>
    <w:rsid w:val="006B698E"/>
    <w:rsid w:val="006B6FF5"/>
    <w:rsid w:val="006B715B"/>
    <w:rsid w:val="006C06FF"/>
    <w:rsid w:val="006C078A"/>
    <w:rsid w:val="006C0D75"/>
    <w:rsid w:val="006C0E1A"/>
    <w:rsid w:val="006C156F"/>
    <w:rsid w:val="006C1A12"/>
    <w:rsid w:val="006C1E3B"/>
    <w:rsid w:val="006C1EA4"/>
    <w:rsid w:val="006C4E8C"/>
    <w:rsid w:val="006C505A"/>
    <w:rsid w:val="006C5DA7"/>
    <w:rsid w:val="006C694D"/>
    <w:rsid w:val="006C6F20"/>
    <w:rsid w:val="006C7221"/>
    <w:rsid w:val="006D0762"/>
    <w:rsid w:val="006D0CDC"/>
    <w:rsid w:val="006D10A0"/>
    <w:rsid w:val="006D154F"/>
    <w:rsid w:val="006E0A27"/>
    <w:rsid w:val="006E1AA3"/>
    <w:rsid w:val="006E2B47"/>
    <w:rsid w:val="006E4BCD"/>
    <w:rsid w:val="006E5426"/>
    <w:rsid w:val="006E55F7"/>
    <w:rsid w:val="006E5631"/>
    <w:rsid w:val="006E740B"/>
    <w:rsid w:val="006E79B4"/>
    <w:rsid w:val="006F0100"/>
    <w:rsid w:val="006F192D"/>
    <w:rsid w:val="006F1BEE"/>
    <w:rsid w:val="006F2ACA"/>
    <w:rsid w:val="006F2D0C"/>
    <w:rsid w:val="006F34E8"/>
    <w:rsid w:val="006F35C7"/>
    <w:rsid w:val="006F4AE5"/>
    <w:rsid w:val="006F7AF7"/>
    <w:rsid w:val="006F7BBE"/>
    <w:rsid w:val="007006DA"/>
    <w:rsid w:val="00700B37"/>
    <w:rsid w:val="007011F5"/>
    <w:rsid w:val="00701A22"/>
    <w:rsid w:val="00702042"/>
    <w:rsid w:val="0070206A"/>
    <w:rsid w:val="00702B24"/>
    <w:rsid w:val="00702F03"/>
    <w:rsid w:val="00703296"/>
    <w:rsid w:val="00704420"/>
    <w:rsid w:val="0070467F"/>
    <w:rsid w:val="00704E20"/>
    <w:rsid w:val="00704E23"/>
    <w:rsid w:val="007053E3"/>
    <w:rsid w:val="00705982"/>
    <w:rsid w:val="00706474"/>
    <w:rsid w:val="007064FC"/>
    <w:rsid w:val="00706D73"/>
    <w:rsid w:val="00711519"/>
    <w:rsid w:val="00711D59"/>
    <w:rsid w:val="0071209F"/>
    <w:rsid w:val="007123AB"/>
    <w:rsid w:val="00716EB9"/>
    <w:rsid w:val="0071742C"/>
    <w:rsid w:val="00717525"/>
    <w:rsid w:val="00717584"/>
    <w:rsid w:val="007210D2"/>
    <w:rsid w:val="00721BD5"/>
    <w:rsid w:val="00721FF4"/>
    <w:rsid w:val="00722242"/>
    <w:rsid w:val="0072268C"/>
    <w:rsid w:val="00722889"/>
    <w:rsid w:val="0072289B"/>
    <w:rsid w:val="00722BB0"/>
    <w:rsid w:val="00724269"/>
    <w:rsid w:val="00724C42"/>
    <w:rsid w:val="00731A85"/>
    <w:rsid w:val="0073315F"/>
    <w:rsid w:val="00733FD4"/>
    <w:rsid w:val="0073454A"/>
    <w:rsid w:val="007357C7"/>
    <w:rsid w:val="007369F7"/>
    <w:rsid w:val="00736D56"/>
    <w:rsid w:val="00737168"/>
    <w:rsid w:val="00737270"/>
    <w:rsid w:val="00737410"/>
    <w:rsid w:val="00737426"/>
    <w:rsid w:val="00737675"/>
    <w:rsid w:val="0073776D"/>
    <w:rsid w:val="00737FC3"/>
    <w:rsid w:val="00740031"/>
    <w:rsid w:val="007423B1"/>
    <w:rsid w:val="007425C3"/>
    <w:rsid w:val="00742B1C"/>
    <w:rsid w:val="00743830"/>
    <w:rsid w:val="007468BD"/>
    <w:rsid w:val="00746AB9"/>
    <w:rsid w:val="00746E00"/>
    <w:rsid w:val="00746F0F"/>
    <w:rsid w:val="00747CB6"/>
    <w:rsid w:val="00747F17"/>
    <w:rsid w:val="00750A83"/>
    <w:rsid w:val="007513DD"/>
    <w:rsid w:val="00751C2D"/>
    <w:rsid w:val="00752CB8"/>
    <w:rsid w:val="00753091"/>
    <w:rsid w:val="00753BA4"/>
    <w:rsid w:val="00753E07"/>
    <w:rsid w:val="007540BD"/>
    <w:rsid w:val="00755624"/>
    <w:rsid w:val="00756952"/>
    <w:rsid w:val="0075698F"/>
    <w:rsid w:val="00761B26"/>
    <w:rsid w:val="007628AA"/>
    <w:rsid w:val="00762E62"/>
    <w:rsid w:val="00763D4A"/>
    <w:rsid w:val="00764338"/>
    <w:rsid w:val="00766179"/>
    <w:rsid w:val="00770566"/>
    <w:rsid w:val="00770C57"/>
    <w:rsid w:val="00771565"/>
    <w:rsid w:val="007723A2"/>
    <w:rsid w:val="00772758"/>
    <w:rsid w:val="00772B9A"/>
    <w:rsid w:val="007738FC"/>
    <w:rsid w:val="00773DEC"/>
    <w:rsid w:val="0077441A"/>
    <w:rsid w:val="00774BC6"/>
    <w:rsid w:val="00775779"/>
    <w:rsid w:val="0077650D"/>
    <w:rsid w:val="00776C5F"/>
    <w:rsid w:val="00780DBF"/>
    <w:rsid w:val="007810BC"/>
    <w:rsid w:val="00781651"/>
    <w:rsid w:val="00781C67"/>
    <w:rsid w:val="007849A8"/>
    <w:rsid w:val="00785918"/>
    <w:rsid w:val="007878E5"/>
    <w:rsid w:val="00787D18"/>
    <w:rsid w:val="00787EC3"/>
    <w:rsid w:val="00790C6C"/>
    <w:rsid w:val="00792060"/>
    <w:rsid w:val="00792384"/>
    <w:rsid w:val="00794C56"/>
    <w:rsid w:val="00794D7B"/>
    <w:rsid w:val="00795DED"/>
    <w:rsid w:val="00797461"/>
    <w:rsid w:val="00797CCE"/>
    <w:rsid w:val="007A0767"/>
    <w:rsid w:val="007A08A8"/>
    <w:rsid w:val="007A14DA"/>
    <w:rsid w:val="007A1B01"/>
    <w:rsid w:val="007A2065"/>
    <w:rsid w:val="007A2652"/>
    <w:rsid w:val="007A400B"/>
    <w:rsid w:val="007A465B"/>
    <w:rsid w:val="007A520E"/>
    <w:rsid w:val="007A57AE"/>
    <w:rsid w:val="007A5961"/>
    <w:rsid w:val="007A6211"/>
    <w:rsid w:val="007A6668"/>
    <w:rsid w:val="007B1FFA"/>
    <w:rsid w:val="007B2404"/>
    <w:rsid w:val="007B30AF"/>
    <w:rsid w:val="007B7529"/>
    <w:rsid w:val="007B7D24"/>
    <w:rsid w:val="007C000A"/>
    <w:rsid w:val="007C0517"/>
    <w:rsid w:val="007C06E8"/>
    <w:rsid w:val="007C1220"/>
    <w:rsid w:val="007C1307"/>
    <w:rsid w:val="007C1403"/>
    <w:rsid w:val="007C17F1"/>
    <w:rsid w:val="007C1EFA"/>
    <w:rsid w:val="007C2C9A"/>
    <w:rsid w:val="007C4668"/>
    <w:rsid w:val="007C483F"/>
    <w:rsid w:val="007C4942"/>
    <w:rsid w:val="007C4BED"/>
    <w:rsid w:val="007C4F17"/>
    <w:rsid w:val="007C50E4"/>
    <w:rsid w:val="007C6719"/>
    <w:rsid w:val="007C737E"/>
    <w:rsid w:val="007C76DC"/>
    <w:rsid w:val="007C7C72"/>
    <w:rsid w:val="007D0434"/>
    <w:rsid w:val="007D0650"/>
    <w:rsid w:val="007D0E5B"/>
    <w:rsid w:val="007D2140"/>
    <w:rsid w:val="007D58DD"/>
    <w:rsid w:val="007D5A80"/>
    <w:rsid w:val="007D5BDF"/>
    <w:rsid w:val="007D5E51"/>
    <w:rsid w:val="007E0E8F"/>
    <w:rsid w:val="007E0EE2"/>
    <w:rsid w:val="007E3AD0"/>
    <w:rsid w:val="007E41C9"/>
    <w:rsid w:val="007E4F49"/>
    <w:rsid w:val="007E50C7"/>
    <w:rsid w:val="007E6BD5"/>
    <w:rsid w:val="007E7733"/>
    <w:rsid w:val="007F0658"/>
    <w:rsid w:val="007F1C25"/>
    <w:rsid w:val="007F2036"/>
    <w:rsid w:val="007F39ED"/>
    <w:rsid w:val="007F3C18"/>
    <w:rsid w:val="007F7294"/>
    <w:rsid w:val="007F79E9"/>
    <w:rsid w:val="007F7CB2"/>
    <w:rsid w:val="00800656"/>
    <w:rsid w:val="0080079A"/>
    <w:rsid w:val="008018A3"/>
    <w:rsid w:val="008024BB"/>
    <w:rsid w:val="008040B3"/>
    <w:rsid w:val="00804A90"/>
    <w:rsid w:val="00804E9C"/>
    <w:rsid w:val="00805A10"/>
    <w:rsid w:val="00805D69"/>
    <w:rsid w:val="0080702B"/>
    <w:rsid w:val="00807188"/>
    <w:rsid w:val="008072BF"/>
    <w:rsid w:val="008108FF"/>
    <w:rsid w:val="0081243B"/>
    <w:rsid w:val="00813AB2"/>
    <w:rsid w:val="00813CBD"/>
    <w:rsid w:val="00816049"/>
    <w:rsid w:val="00816372"/>
    <w:rsid w:val="00816B4F"/>
    <w:rsid w:val="00820AFD"/>
    <w:rsid w:val="00821AD0"/>
    <w:rsid w:val="00821BD0"/>
    <w:rsid w:val="00822162"/>
    <w:rsid w:val="00822899"/>
    <w:rsid w:val="00823798"/>
    <w:rsid w:val="008240E8"/>
    <w:rsid w:val="00824135"/>
    <w:rsid w:val="008249B6"/>
    <w:rsid w:val="00824DD0"/>
    <w:rsid w:val="00825BED"/>
    <w:rsid w:val="0082671B"/>
    <w:rsid w:val="008315A5"/>
    <w:rsid w:val="0083201A"/>
    <w:rsid w:val="0083279E"/>
    <w:rsid w:val="00832885"/>
    <w:rsid w:val="00834612"/>
    <w:rsid w:val="00834F15"/>
    <w:rsid w:val="0083569F"/>
    <w:rsid w:val="00836E92"/>
    <w:rsid w:val="00836FF8"/>
    <w:rsid w:val="00837307"/>
    <w:rsid w:val="0083749C"/>
    <w:rsid w:val="00840020"/>
    <w:rsid w:val="00841091"/>
    <w:rsid w:val="00842217"/>
    <w:rsid w:val="0084282D"/>
    <w:rsid w:val="00846309"/>
    <w:rsid w:val="0085059D"/>
    <w:rsid w:val="008506FC"/>
    <w:rsid w:val="00852F17"/>
    <w:rsid w:val="008532BC"/>
    <w:rsid w:val="008539F2"/>
    <w:rsid w:val="00854341"/>
    <w:rsid w:val="00854C67"/>
    <w:rsid w:val="00855822"/>
    <w:rsid w:val="00856358"/>
    <w:rsid w:val="008564A6"/>
    <w:rsid w:val="00860088"/>
    <w:rsid w:val="00860AF7"/>
    <w:rsid w:val="00861681"/>
    <w:rsid w:val="008617BD"/>
    <w:rsid w:val="00861E2A"/>
    <w:rsid w:val="00862507"/>
    <w:rsid w:val="00863148"/>
    <w:rsid w:val="0086407C"/>
    <w:rsid w:val="00864360"/>
    <w:rsid w:val="00864986"/>
    <w:rsid w:val="00864BF5"/>
    <w:rsid w:val="00865C99"/>
    <w:rsid w:val="00866B5B"/>
    <w:rsid w:val="008712C3"/>
    <w:rsid w:val="00871335"/>
    <w:rsid w:val="00871737"/>
    <w:rsid w:val="00872500"/>
    <w:rsid w:val="00872FF7"/>
    <w:rsid w:val="00877740"/>
    <w:rsid w:val="00880218"/>
    <w:rsid w:val="00880B8D"/>
    <w:rsid w:val="008817F3"/>
    <w:rsid w:val="0088186F"/>
    <w:rsid w:val="00881AE5"/>
    <w:rsid w:val="00883A62"/>
    <w:rsid w:val="00883F8C"/>
    <w:rsid w:val="00884140"/>
    <w:rsid w:val="00884720"/>
    <w:rsid w:val="00884E5F"/>
    <w:rsid w:val="00885419"/>
    <w:rsid w:val="00885613"/>
    <w:rsid w:val="0088575F"/>
    <w:rsid w:val="008866A1"/>
    <w:rsid w:val="008866D9"/>
    <w:rsid w:val="00886C35"/>
    <w:rsid w:val="008874D9"/>
    <w:rsid w:val="00892214"/>
    <w:rsid w:val="00893039"/>
    <w:rsid w:val="008933F0"/>
    <w:rsid w:val="0089342D"/>
    <w:rsid w:val="0089459D"/>
    <w:rsid w:val="00894989"/>
    <w:rsid w:val="0089548D"/>
    <w:rsid w:val="00896E70"/>
    <w:rsid w:val="00897A18"/>
    <w:rsid w:val="008A1A4F"/>
    <w:rsid w:val="008A2018"/>
    <w:rsid w:val="008A23C3"/>
    <w:rsid w:val="008A2658"/>
    <w:rsid w:val="008A4380"/>
    <w:rsid w:val="008A4B87"/>
    <w:rsid w:val="008A4C7C"/>
    <w:rsid w:val="008A4FE1"/>
    <w:rsid w:val="008A52E5"/>
    <w:rsid w:val="008A5522"/>
    <w:rsid w:val="008A652C"/>
    <w:rsid w:val="008B0157"/>
    <w:rsid w:val="008B0328"/>
    <w:rsid w:val="008B0BA8"/>
    <w:rsid w:val="008B279B"/>
    <w:rsid w:val="008B3AF4"/>
    <w:rsid w:val="008B4168"/>
    <w:rsid w:val="008B4D20"/>
    <w:rsid w:val="008B4E58"/>
    <w:rsid w:val="008B4FC8"/>
    <w:rsid w:val="008B503E"/>
    <w:rsid w:val="008B55D9"/>
    <w:rsid w:val="008B7132"/>
    <w:rsid w:val="008B7879"/>
    <w:rsid w:val="008C0EA0"/>
    <w:rsid w:val="008C2D68"/>
    <w:rsid w:val="008C3065"/>
    <w:rsid w:val="008C32DF"/>
    <w:rsid w:val="008C3C55"/>
    <w:rsid w:val="008C3E2C"/>
    <w:rsid w:val="008C4A02"/>
    <w:rsid w:val="008C6B9B"/>
    <w:rsid w:val="008C78CF"/>
    <w:rsid w:val="008C7E83"/>
    <w:rsid w:val="008D00FE"/>
    <w:rsid w:val="008D26B6"/>
    <w:rsid w:val="008D29FE"/>
    <w:rsid w:val="008D38A4"/>
    <w:rsid w:val="008D3A44"/>
    <w:rsid w:val="008D43DA"/>
    <w:rsid w:val="008D4C07"/>
    <w:rsid w:val="008D5622"/>
    <w:rsid w:val="008D602E"/>
    <w:rsid w:val="008D632C"/>
    <w:rsid w:val="008D6D28"/>
    <w:rsid w:val="008D788D"/>
    <w:rsid w:val="008D7F60"/>
    <w:rsid w:val="008E014C"/>
    <w:rsid w:val="008E1FE5"/>
    <w:rsid w:val="008E2BF9"/>
    <w:rsid w:val="008E2D29"/>
    <w:rsid w:val="008E3146"/>
    <w:rsid w:val="008E38B0"/>
    <w:rsid w:val="008E4045"/>
    <w:rsid w:val="008E4402"/>
    <w:rsid w:val="008E4411"/>
    <w:rsid w:val="008E5E55"/>
    <w:rsid w:val="008E719B"/>
    <w:rsid w:val="008E7BD0"/>
    <w:rsid w:val="008F0554"/>
    <w:rsid w:val="008F0C26"/>
    <w:rsid w:val="008F1921"/>
    <w:rsid w:val="008F192E"/>
    <w:rsid w:val="008F2067"/>
    <w:rsid w:val="008F3CC3"/>
    <w:rsid w:val="008F406D"/>
    <w:rsid w:val="008F4E36"/>
    <w:rsid w:val="008F5907"/>
    <w:rsid w:val="008F6832"/>
    <w:rsid w:val="008F6962"/>
    <w:rsid w:val="008F6A66"/>
    <w:rsid w:val="0090019D"/>
    <w:rsid w:val="009010BE"/>
    <w:rsid w:val="00902236"/>
    <w:rsid w:val="00905BA9"/>
    <w:rsid w:val="00906607"/>
    <w:rsid w:val="00906693"/>
    <w:rsid w:val="00906701"/>
    <w:rsid w:val="00907044"/>
    <w:rsid w:val="0090781B"/>
    <w:rsid w:val="00910503"/>
    <w:rsid w:val="009113C6"/>
    <w:rsid w:val="00911743"/>
    <w:rsid w:val="00911B08"/>
    <w:rsid w:val="00911FA2"/>
    <w:rsid w:val="0091274E"/>
    <w:rsid w:val="00912DEE"/>
    <w:rsid w:val="00913049"/>
    <w:rsid w:val="0091382B"/>
    <w:rsid w:val="00913EFE"/>
    <w:rsid w:val="00914D49"/>
    <w:rsid w:val="00916585"/>
    <w:rsid w:val="009165A1"/>
    <w:rsid w:val="00916A7C"/>
    <w:rsid w:val="00917423"/>
    <w:rsid w:val="00917782"/>
    <w:rsid w:val="00917DA1"/>
    <w:rsid w:val="00920CE1"/>
    <w:rsid w:val="00920F7D"/>
    <w:rsid w:val="00921A17"/>
    <w:rsid w:val="00922B3D"/>
    <w:rsid w:val="009231CF"/>
    <w:rsid w:val="00923A70"/>
    <w:rsid w:val="00923BEA"/>
    <w:rsid w:val="00924279"/>
    <w:rsid w:val="00925B62"/>
    <w:rsid w:val="009268EE"/>
    <w:rsid w:val="00926AE2"/>
    <w:rsid w:val="00926E46"/>
    <w:rsid w:val="0092726D"/>
    <w:rsid w:val="009275E2"/>
    <w:rsid w:val="00927787"/>
    <w:rsid w:val="00927BD1"/>
    <w:rsid w:val="00927C0B"/>
    <w:rsid w:val="00927CA5"/>
    <w:rsid w:val="009306E0"/>
    <w:rsid w:val="00930BDB"/>
    <w:rsid w:val="00930DEF"/>
    <w:rsid w:val="00930F2B"/>
    <w:rsid w:val="00931444"/>
    <w:rsid w:val="0093149A"/>
    <w:rsid w:val="00932346"/>
    <w:rsid w:val="009325B2"/>
    <w:rsid w:val="009331E9"/>
    <w:rsid w:val="00933321"/>
    <w:rsid w:val="00933F08"/>
    <w:rsid w:val="00940DC9"/>
    <w:rsid w:val="00941F5E"/>
    <w:rsid w:val="009433A1"/>
    <w:rsid w:val="0094363F"/>
    <w:rsid w:val="00943C80"/>
    <w:rsid w:val="00944592"/>
    <w:rsid w:val="0094675A"/>
    <w:rsid w:val="00946BB7"/>
    <w:rsid w:val="00947493"/>
    <w:rsid w:val="009508E6"/>
    <w:rsid w:val="00952B81"/>
    <w:rsid w:val="0095372D"/>
    <w:rsid w:val="00954047"/>
    <w:rsid w:val="00954FA6"/>
    <w:rsid w:val="00955837"/>
    <w:rsid w:val="0095612C"/>
    <w:rsid w:val="0095686F"/>
    <w:rsid w:val="009573A7"/>
    <w:rsid w:val="0096003F"/>
    <w:rsid w:val="00960708"/>
    <w:rsid w:val="00960DC3"/>
    <w:rsid w:val="009611A9"/>
    <w:rsid w:val="009612FA"/>
    <w:rsid w:val="00961EC6"/>
    <w:rsid w:val="00962F29"/>
    <w:rsid w:val="0096424C"/>
    <w:rsid w:val="00964F50"/>
    <w:rsid w:val="0096533B"/>
    <w:rsid w:val="00965BAE"/>
    <w:rsid w:val="0096632A"/>
    <w:rsid w:val="00966A51"/>
    <w:rsid w:val="00966C83"/>
    <w:rsid w:val="009671E7"/>
    <w:rsid w:val="00967759"/>
    <w:rsid w:val="00970C27"/>
    <w:rsid w:val="00971AC7"/>
    <w:rsid w:val="00972849"/>
    <w:rsid w:val="00972D70"/>
    <w:rsid w:val="00974560"/>
    <w:rsid w:val="00974FC1"/>
    <w:rsid w:val="009751A4"/>
    <w:rsid w:val="0097595B"/>
    <w:rsid w:val="00975F33"/>
    <w:rsid w:val="00976474"/>
    <w:rsid w:val="00976CB3"/>
    <w:rsid w:val="00977512"/>
    <w:rsid w:val="00977EC4"/>
    <w:rsid w:val="009806CA"/>
    <w:rsid w:val="00981CA7"/>
    <w:rsid w:val="00983132"/>
    <w:rsid w:val="009850FC"/>
    <w:rsid w:val="00986076"/>
    <w:rsid w:val="00986418"/>
    <w:rsid w:val="009870FA"/>
    <w:rsid w:val="009878A3"/>
    <w:rsid w:val="00987F01"/>
    <w:rsid w:val="00990056"/>
    <w:rsid w:val="00990BE2"/>
    <w:rsid w:val="00990C6C"/>
    <w:rsid w:val="0099249C"/>
    <w:rsid w:val="00992ED8"/>
    <w:rsid w:val="009956D8"/>
    <w:rsid w:val="00996167"/>
    <w:rsid w:val="009966BD"/>
    <w:rsid w:val="009967E7"/>
    <w:rsid w:val="00997259"/>
    <w:rsid w:val="009A0677"/>
    <w:rsid w:val="009A09A2"/>
    <w:rsid w:val="009A1F9D"/>
    <w:rsid w:val="009A23EC"/>
    <w:rsid w:val="009A3629"/>
    <w:rsid w:val="009A3744"/>
    <w:rsid w:val="009A392A"/>
    <w:rsid w:val="009A3CC0"/>
    <w:rsid w:val="009A49A3"/>
    <w:rsid w:val="009A5206"/>
    <w:rsid w:val="009A52BA"/>
    <w:rsid w:val="009A7155"/>
    <w:rsid w:val="009A7972"/>
    <w:rsid w:val="009A7FD3"/>
    <w:rsid w:val="009B1E56"/>
    <w:rsid w:val="009B2D67"/>
    <w:rsid w:val="009B4CE1"/>
    <w:rsid w:val="009B5BE3"/>
    <w:rsid w:val="009B5D77"/>
    <w:rsid w:val="009B68F6"/>
    <w:rsid w:val="009B6EC9"/>
    <w:rsid w:val="009B7AF4"/>
    <w:rsid w:val="009C0529"/>
    <w:rsid w:val="009C1273"/>
    <w:rsid w:val="009C171B"/>
    <w:rsid w:val="009C1770"/>
    <w:rsid w:val="009C1F3C"/>
    <w:rsid w:val="009C2B9A"/>
    <w:rsid w:val="009C32B0"/>
    <w:rsid w:val="009C3374"/>
    <w:rsid w:val="009C35E9"/>
    <w:rsid w:val="009C3870"/>
    <w:rsid w:val="009C501B"/>
    <w:rsid w:val="009C5A87"/>
    <w:rsid w:val="009C60D7"/>
    <w:rsid w:val="009C6593"/>
    <w:rsid w:val="009C69B4"/>
    <w:rsid w:val="009C72D9"/>
    <w:rsid w:val="009C7B90"/>
    <w:rsid w:val="009C7BA2"/>
    <w:rsid w:val="009D063D"/>
    <w:rsid w:val="009D09C1"/>
    <w:rsid w:val="009D16CC"/>
    <w:rsid w:val="009D203F"/>
    <w:rsid w:val="009D220B"/>
    <w:rsid w:val="009D2A70"/>
    <w:rsid w:val="009D3212"/>
    <w:rsid w:val="009D42D9"/>
    <w:rsid w:val="009D5356"/>
    <w:rsid w:val="009D6496"/>
    <w:rsid w:val="009D6931"/>
    <w:rsid w:val="009D76B5"/>
    <w:rsid w:val="009D7AAD"/>
    <w:rsid w:val="009E0F3F"/>
    <w:rsid w:val="009E166D"/>
    <w:rsid w:val="009E23C3"/>
    <w:rsid w:val="009E3285"/>
    <w:rsid w:val="009E3E90"/>
    <w:rsid w:val="009E3F52"/>
    <w:rsid w:val="009E6553"/>
    <w:rsid w:val="009E6B54"/>
    <w:rsid w:val="009E6D9B"/>
    <w:rsid w:val="009E6E40"/>
    <w:rsid w:val="009E6EBD"/>
    <w:rsid w:val="009E71FC"/>
    <w:rsid w:val="009E796E"/>
    <w:rsid w:val="009F0001"/>
    <w:rsid w:val="009F0292"/>
    <w:rsid w:val="009F0ADA"/>
    <w:rsid w:val="009F110C"/>
    <w:rsid w:val="009F1E90"/>
    <w:rsid w:val="009F24E6"/>
    <w:rsid w:val="009F2531"/>
    <w:rsid w:val="009F31AA"/>
    <w:rsid w:val="009F480A"/>
    <w:rsid w:val="009F5700"/>
    <w:rsid w:val="009F5F47"/>
    <w:rsid w:val="009F7186"/>
    <w:rsid w:val="009F796D"/>
    <w:rsid w:val="00A0038D"/>
    <w:rsid w:val="00A005AD"/>
    <w:rsid w:val="00A00BAB"/>
    <w:rsid w:val="00A0257A"/>
    <w:rsid w:val="00A0391A"/>
    <w:rsid w:val="00A03DAE"/>
    <w:rsid w:val="00A05BA2"/>
    <w:rsid w:val="00A06441"/>
    <w:rsid w:val="00A0750C"/>
    <w:rsid w:val="00A07C00"/>
    <w:rsid w:val="00A07DD4"/>
    <w:rsid w:val="00A11765"/>
    <w:rsid w:val="00A12732"/>
    <w:rsid w:val="00A14505"/>
    <w:rsid w:val="00A14EBF"/>
    <w:rsid w:val="00A14F44"/>
    <w:rsid w:val="00A1654A"/>
    <w:rsid w:val="00A16BF6"/>
    <w:rsid w:val="00A171F8"/>
    <w:rsid w:val="00A1722F"/>
    <w:rsid w:val="00A174A2"/>
    <w:rsid w:val="00A17BA6"/>
    <w:rsid w:val="00A17D55"/>
    <w:rsid w:val="00A208B6"/>
    <w:rsid w:val="00A21713"/>
    <w:rsid w:val="00A227F8"/>
    <w:rsid w:val="00A2463E"/>
    <w:rsid w:val="00A24FD3"/>
    <w:rsid w:val="00A25A28"/>
    <w:rsid w:val="00A26013"/>
    <w:rsid w:val="00A2644D"/>
    <w:rsid w:val="00A26549"/>
    <w:rsid w:val="00A267CC"/>
    <w:rsid w:val="00A26BDB"/>
    <w:rsid w:val="00A273C0"/>
    <w:rsid w:val="00A3024D"/>
    <w:rsid w:val="00A31555"/>
    <w:rsid w:val="00A31607"/>
    <w:rsid w:val="00A31C7D"/>
    <w:rsid w:val="00A324AD"/>
    <w:rsid w:val="00A3255E"/>
    <w:rsid w:val="00A34451"/>
    <w:rsid w:val="00A34A9B"/>
    <w:rsid w:val="00A352B7"/>
    <w:rsid w:val="00A35533"/>
    <w:rsid w:val="00A362A1"/>
    <w:rsid w:val="00A37B54"/>
    <w:rsid w:val="00A4105F"/>
    <w:rsid w:val="00A41A31"/>
    <w:rsid w:val="00A43123"/>
    <w:rsid w:val="00A4382B"/>
    <w:rsid w:val="00A43E0E"/>
    <w:rsid w:val="00A44EE4"/>
    <w:rsid w:val="00A45B17"/>
    <w:rsid w:val="00A45EA3"/>
    <w:rsid w:val="00A50468"/>
    <w:rsid w:val="00A51030"/>
    <w:rsid w:val="00A5171F"/>
    <w:rsid w:val="00A525BB"/>
    <w:rsid w:val="00A5416D"/>
    <w:rsid w:val="00A566B8"/>
    <w:rsid w:val="00A578FE"/>
    <w:rsid w:val="00A60350"/>
    <w:rsid w:val="00A606EA"/>
    <w:rsid w:val="00A62D38"/>
    <w:rsid w:val="00A63365"/>
    <w:rsid w:val="00A63E70"/>
    <w:rsid w:val="00A64675"/>
    <w:rsid w:val="00A64855"/>
    <w:rsid w:val="00A64BF3"/>
    <w:rsid w:val="00A6505F"/>
    <w:rsid w:val="00A678A2"/>
    <w:rsid w:val="00A70E5E"/>
    <w:rsid w:val="00A72A6C"/>
    <w:rsid w:val="00A73C28"/>
    <w:rsid w:val="00A75F83"/>
    <w:rsid w:val="00A7617F"/>
    <w:rsid w:val="00A765F7"/>
    <w:rsid w:val="00A76655"/>
    <w:rsid w:val="00A768A7"/>
    <w:rsid w:val="00A768D6"/>
    <w:rsid w:val="00A76EF9"/>
    <w:rsid w:val="00A772C1"/>
    <w:rsid w:val="00A77385"/>
    <w:rsid w:val="00A77521"/>
    <w:rsid w:val="00A77E5E"/>
    <w:rsid w:val="00A8084F"/>
    <w:rsid w:val="00A80AF4"/>
    <w:rsid w:val="00A80B6F"/>
    <w:rsid w:val="00A80D26"/>
    <w:rsid w:val="00A82433"/>
    <w:rsid w:val="00A82447"/>
    <w:rsid w:val="00A8278B"/>
    <w:rsid w:val="00A839AC"/>
    <w:rsid w:val="00A87C5F"/>
    <w:rsid w:val="00A905D4"/>
    <w:rsid w:val="00A91155"/>
    <w:rsid w:val="00A921EC"/>
    <w:rsid w:val="00A93195"/>
    <w:rsid w:val="00A941FA"/>
    <w:rsid w:val="00A943A3"/>
    <w:rsid w:val="00A94BB4"/>
    <w:rsid w:val="00A954ED"/>
    <w:rsid w:val="00A9626E"/>
    <w:rsid w:val="00A97AC8"/>
    <w:rsid w:val="00AA2298"/>
    <w:rsid w:val="00AA23B6"/>
    <w:rsid w:val="00AA3207"/>
    <w:rsid w:val="00AA4118"/>
    <w:rsid w:val="00AA41C8"/>
    <w:rsid w:val="00AA5813"/>
    <w:rsid w:val="00AA5CF4"/>
    <w:rsid w:val="00AA609A"/>
    <w:rsid w:val="00AA62F5"/>
    <w:rsid w:val="00AA68E5"/>
    <w:rsid w:val="00AA74F9"/>
    <w:rsid w:val="00AA7A9B"/>
    <w:rsid w:val="00AB1966"/>
    <w:rsid w:val="00AB25CA"/>
    <w:rsid w:val="00AB35FF"/>
    <w:rsid w:val="00AB6F21"/>
    <w:rsid w:val="00AB7E83"/>
    <w:rsid w:val="00AC0BE1"/>
    <w:rsid w:val="00AC2164"/>
    <w:rsid w:val="00AC2266"/>
    <w:rsid w:val="00AC3CFA"/>
    <w:rsid w:val="00AC51CA"/>
    <w:rsid w:val="00AC593B"/>
    <w:rsid w:val="00AD0F9F"/>
    <w:rsid w:val="00AD1401"/>
    <w:rsid w:val="00AD170E"/>
    <w:rsid w:val="00AD21DE"/>
    <w:rsid w:val="00AD23B4"/>
    <w:rsid w:val="00AD2EC3"/>
    <w:rsid w:val="00AD3A41"/>
    <w:rsid w:val="00AD3AA9"/>
    <w:rsid w:val="00AD4802"/>
    <w:rsid w:val="00AD5E4F"/>
    <w:rsid w:val="00AD60C4"/>
    <w:rsid w:val="00AD76BD"/>
    <w:rsid w:val="00AE068A"/>
    <w:rsid w:val="00AE0C35"/>
    <w:rsid w:val="00AE15CD"/>
    <w:rsid w:val="00AE1C99"/>
    <w:rsid w:val="00AE2B12"/>
    <w:rsid w:val="00AE402A"/>
    <w:rsid w:val="00AE44CF"/>
    <w:rsid w:val="00AE6AAE"/>
    <w:rsid w:val="00AE7942"/>
    <w:rsid w:val="00AE7EE9"/>
    <w:rsid w:val="00AF23CD"/>
    <w:rsid w:val="00AF34E7"/>
    <w:rsid w:val="00AF57EF"/>
    <w:rsid w:val="00AF58B6"/>
    <w:rsid w:val="00AF5BAE"/>
    <w:rsid w:val="00AF6BF1"/>
    <w:rsid w:val="00B00A3E"/>
    <w:rsid w:val="00B018A1"/>
    <w:rsid w:val="00B0347C"/>
    <w:rsid w:val="00B038B9"/>
    <w:rsid w:val="00B03EBD"/>
    <w:rsid w:val="00B04ECA"/>
    <w:rsid w:val="00B05075"/>
    <w:rsid w:val="00B0531A"/>
    <w:rsid w:val="00B06303"/>
    <w:rsid w:val="00B070F7"/>
    <w:rsid w:val="00B071BC"/>
    <w:rsid w:val="00B1060C"/>
    <w:rsid w:val="00B11289"/>
    <w:rsid w:val="00B1148A"/>
    <w:rsid w:val="00B11739"/>
    <w:rsid w:val="00B119CC"/>
    <w:rsid w:val="00B122E5"/>
    <w:rsid w:val="00B1246F"/>
    <w:rsid w:val="00B126B8"/>
    <w:rsid w:val="00B13CB4"/>
    <w:rsid w:val="00B13F4B"/>
    <w:rsid w:val="00B13F84"/>
    <w:rsid w:val="00B1437C"/>
    <w:rsid w:val="00B145C4"/>
    <w:rsid w:val="00B147C2"/>
    <w:rsid w:val="00B149B4"/>
    <w:rsid w:val="00B15085"/>
    <w:rsid w:val="00B15D9F"/>
    <w:rsid w:val="00B16D20"/>
    <w:rsid w:val="00B174D8"/>
    <w:rsid w:val="00B17AF1"/>
    <w:rsid w:val="00B17F3A"/>
    <w:rsid w:val="00B20697"/>
    <w:rsid w:val="00B20864"/>
    <w:rsid w:val="00B225DF"/>
    <w:rsid w:val="00B22A65"/>
    <w:rsid w:val="00B22FB5"/>
    <w:rsid w:val="00B23F27"/>
    <w:rsid w:val="00B240F2"/>
    <w:rsid w:val="00B2596E"/>
    <w:rsid w:val="00B25B5B"/>
    <w:rsid w:val="00B26F5A"/>
    <w:rsid w:val="00B27D22"/>
    <w:rsid w:val="00B30380"/>
    <w:rsid w:val="00B3161E"/>
    <w:rsid w:val="00B31980"/>
    <w:rsid w:val="00B32203"/>
    <w:rsid w:val="00B34CAD"/>
    <w:rsid w:val="00B360E3"/>
    <w:rsid w:val="00B366C1"/>
    <w:rsid w:val="00B36981"/>
    <w:rsid w:val="00B36AB4"/>
    <w:rsid w:val="00B41D38"/>
    <w:rsid w:val="00B41D4E"/>
    <w:rsid w:val="00B430AB"/>
    <w:rsid w:val="00B43E19"/>
    <w:rsid w:val="00B448A9"/>
    <w:rsid w:val="00B454EA"/>
    <w:rsid w:val="00B466B4"/>
    <w:rsid w:val="00B50DFB"/>
    <w:rsid w:val="00B517B9"/>
    <w:rsid w:val="00B52480"/>
    <w:rsid w:val="00B52F0B"/>
    <w:rsid w:val="00B53D85"/>
    <w:rsid w:val="00B54D16"/>
    <w:rsid w:val="00B55412"/>
    <w:rsid w:val="00B5703D"/>
    <w:rsid w:val="00B60DD2"/>
    <w:rsid w:val="00B60F80"/>
    <w:rsid w:val="00B6114F"/>
    <w:rsid w:val="00B61BE3"/>
    <w:rsid w:val="00B62C80"/>
    <w:rsid w:val="00B65BC9"/>
    <w:rsid w:val="00B65FC8"/>
    <w:rsid w:val="00B67614"/>
    <w:rsid w:val="00B67C5B"/>
    <w:rsid w:val="00B70689"/>
    <w:rsid w:val="00B715D3"/>
    <w:rsid w:val="00B73448"/>
    <w:rsid w:val="00B7473B"/>
    <w:rsid w:val="00B75DB7"/>
    <w:rsid w:val="00B75E8C"/>
    <w:rsid w:val="00B764A0"/>
    <w:rsid w:val="00B77590"/>
    <w:rsid w:val="00B77F36"/>
    <w:rsid w:val="00B805DC"/>
    <w:rsid w:val="00B80745"/>
    <w:rsid w:val="00B8078C"/>
    <w:rsid w:val="00B808F6"/>
    <w:rsid w:val="00B81156"/>
    <w:rsid w:val="00B81618"/>
    <w:rsid w:val="00B81D72"/>
    <w:rsid w:val="00B82062"/>
    <w:rsid w:val="00B821FD"/>
    <w:rsid w:val="00B838F9"/>
    <w:rsid w:val="00B83BB5"/>
    <w:rsid w:val="00B83BF9"/>
    <w:rsid w:val="00B83CCD"/>
    <w:rsid w:val="00B84E93"/>
    <w:rsid w:val="00B852EC"/>
    <w:rsid w:val="00B85355"/>
    <w:rsid w:val="00B86631"/>
    <w:rsid w:val="00B86FA7"/>
    <w:rsid w:val="00B8796C"/>
    <w:rsid w:val="00B908E8"/>
    <w:rsid w:val="00B91671"/>
    <w:rsid w:val="00B91A46"/>
    <w:rsid w:val="00B91CB8"/>
    <w:rsid w:val="00B928A2"/>
    <w:rsid w:val="00B92ABA"/>
    <w:rsid w:val="00B931DA"/>
    <w:rsid w:val="00B9334D"/>
    <w:rsid w:val="00B9338B"/>
    <w:rsid w:val="00B9465D"/>
    <w:rsid w:val="00B95532"/>
    <w:rsid w:val="00B968E6"/>
    <w:rsid w:val="00B9745D"/>
    <w:rsid w:val="00B97EBE"/>
    <w:rsid w:val="00BA04FF"/>
    <w:rsid w:val="00BA0CA3"/>
    <w:rsid w:val="00BA1084"/>
    <w:rsid w:val="00BA323C"/>
    <w:rsid w:val="00BA7A1F"/>
    <w:rsid w:val="00BB1519"/>
    <w:rsid w:val="00BB16B3"/>
    <w:rsid w:val="00BB18DD"/>
    <w:rsid w:val="00BB3A75"/>
    <w:rsid w:val="00BB3E59"/>
    <w:rsid w:val="00BB4824"/>
    <w:rsid w:val="00BB49F0"/>
    <w:rsid w:val="00BB5B3B"/>
    <w:rsid w:val="00BB5DD0"/>
    <w:rsid w:val="00BB5E86"/>
    <w:rsid w:val="00BB5FF5"/>
    <w:rsid w:val="00BB6236"/>
    <w:rsid w:val="00BB7C02"/>
    <w:rsid w:val="00BC05BD"/>
    <w:rsid w:val="00BC06E3"/>
    <w:rsid w:val="00BC1BBC"/>
    <w:rsid w:val="00BC1E74"/>
    <w:rsid w:val="00BC1EE3"/>
    <w:rsid w:val="00BC1F6F"/>
    <w:rsid w:val="00BC282E"/>
    <w:rsid w:val="00BC334B"/>
    <w:rsid w:val="00BC6DD5"/>
    <w:rsid w:val="00BC7FEB"/>
    <w:rsid w:val="00BD0013"/>
    <w:rsid w:val="00BD0C71"/>
    <w:rsid w:val="00BD0E94"/>
    <w:rsid w:val="00BD1655"/>
    <w:rsid w:val="00BD1709"/>
    <w:rsid w:val="00BD1AB9"/>
    <w:rsid w:val="00BD26C1"/>
    <w:rsid w:val="00BD35B6"/>
    <w:rsid w:val="00BD36D5"/>
    <w:rsid w:val="00BD40CD"/>
    <w:rsid w:val="00BD42BF"/>
    <w:rsid w:val="00BD4593"/>
    <w:rsid w:val="00BD4A21"/>
    <w:rsid w:val="00BD4E31"/>
    <w:rsid w:val="00BD5596"/>
    <w:rsid w:val="00BD56EA"/>
    <w:rsid w:val="00BE059A"/>
    <w:rsid w:val="00BE1A0F"/>
    <w:rsid w:val="00BE35D8"/>
    <w:rsid w:val="00BE3934"/>
    <w:rsid w:val="00BE4130"/>
    <w:rsid w:val="00BE5685"/>
    <w:rsid w:val="00BE6482"/>
    <w:rsid w:val="00BE6528"/>
    <w:rsid w:val="00BE6F27"/>
    <w:rsid w:val="00BE7038"/>
    <w:rsid w:val="00BF05EE"/>
    <w:rsid w:val="00BF0642"/>
    <w:rsid w:val="00BF1D3B"/>
    <w:rsid w:val="00BF2556"/>
    <w:rsid w:val="00BF2A06"/>
    <w:rsid w:val="00BF2E4B"/>
    <w:rsid w:val="00BF504C"/>
    <w:rsid w:val="00BF53AE"/>
    <w:rsid w:val="00BF676B"/>
    <w:rsid w:val="00BF6B2D"/>
    <w:rsid w:val="00BF7B7C"/>
    <w:rsid w:val="00C01FEF"/>
    <w:rsid w:val="00C02B66"/>
    <w:rsid w:val="00C04197"/>
    <w:rsid w:val="00C04D5F"/>
    <w:rsid w:val="00C07552"/>
    <w:rsid w:val="00C07694"/>
    <w:rsid w:val="00C07DB2"/>
    <w:rsid w:val="00C105E0"/>
    <w:rsid w:val="00C12529"/>
    <w:rsid w:val="00C1265B"/>
    <w:rsid w:val="00C13B54"/>
    <w:rsid w:val="00C14718"/>
    <w:rsid w:val="00C151AF"/>
    <w:rsid w:val="00C15A27"/>
    <w:rsid w:val="00C171B6"/>
    <w:rsid w:val="00C20827"/>
    <w:rsid w:val="00C21E7F"/>
    <w:rsid w:val="00C2210C"/>
    <w:rsid w:val="00C23C1B"/>
    <w:rsid w:val="00C243C5"/>
    <w:rsid w:val="00C2449E"/>
    <w:rsid w:val="00C24769"/>
    <w:rsid w:val="00C2747B"/>
    <w:rsid w:val="00C305B1"/>
    <w:rsid w:val="00C30633"/>
    <w:rsid w:val="00C30984"/>
    <w:rsid w:val="00C30CCF"/>
    <w:rsid w:val="00C319CF"/>
    <w:rsid w:val="00C32213"/>
    <w:rsid w:val="00C324A9"/>
    <w:rsid w:val="00C32836"/>
    <w:rsid w:val="00C32CF7"/>
    <w:rsid w:val="00C339A1"/>
    <w:rsid w:val="00C3437C"/>
    <w:rsid w:val="00C3598F"/>
    <w:rsid w:val="00C3647C"/>
    <w:rsid w:val="00C3674C"/>
    <w:rsid w:val="00C369DB"/>
    <w:rsid w:val="00C37495"/>
    <w:rsid w:val="00C37AC6"/>
    <w:rsid w:val="00C37F6A"/>
    <w:rsid w:val="00C40447"/>
    <w:rsid w:val="00C40453"/>
    <w:rsid w:val="00C405C4"/>
    <w:rsid w:val="00C40F19"/>
    <w:rsid w:val="00C42566"/>
    <w:rsid w:val="00C44980"/>
    <w:rsid w:val="00C44FEA"/>
    <w:rsid w:val="00C44FEB"/>
    <w:rsid w:val="00C45666"/>
    <w:rsid w:val="00C46739"/>
    <w:rsid w:val="00C46978"/>
    <w:rsid w:val="00C469DA"/>
    <w:rsid w:val="00C46C4D"/>
    <w:rsid w:val="00C47705"/>
    <w:rsid w:val="00C508EA"/>
    <w:rsid w:val="00C516F7"/>
    <w:rsid w:val="00C539E0"/>
    <w:rsid w:val="00C5411E"/>
    <w:rsid w:val="00C54230"/>
    <w:rsid w:val="00C54E0B"/>
    <w:rsid w:val="00C554D1"/>
    <w:rsid w:val="00C55620"/>
    <w:rsid w:val="00C57360"/>
    <w:rsid w:val="00C578DE"/>
    <w:rsid w:val="00C60A88"/>
    <w:rsid w:val="00C60D81"/>
    <w:rsid w:val="00C61C54"/>
    <w:rsid w:val="00C623C8"/>
    <w:rsid w:val="00C63BC1"/>
    <w:rsid w:val="00C65899"/>
    <w:rsid w:val="00C66156"/>
    <w:rsid w:val="00C67085"/>
    <w:rsid w:val="00C71D23"/>
    <w:rsid w:val="00C72BCE"/>
    <w:rsid w:val="00C73C5C"/>
    <w:rsid w:val="00C74A35"/>
    <w:rsid w:val="00C759AC"/>
    <w:rsid w:val="00C76604"/>
    <w:rsid w:val="00C76704"/>
    <w:rsid w:val="00C76BD5"/>
    <w:rsid w:val="00C771AE"/>
    <w:rsid w:val="00C77284"/>
    <w:rsid w:val="00C77AF3"/>
    <w:rsid w:val="00C80A45"/>
    <w:rsid w:val="00C80D5C"/>
    <w:rsid w:val="00C81DA2"/>
    <w:rsid w:val="00C823F1"/>
    <w:rsid w:val="00C82918"/>
    <w:rsid w:val="00C83BB0"/>
    <w:rsid w:val="00C84778"/>
    <w:rsid w:val="00C84A62"/>
    <w:rsid w:val="00C8570E"/>
    <w:rsid w:val="00C85BF6"/>
    <w:rsid w:val="00C86EC6"/>
    <w:rsid w:val="00C8747D"/>
    <w:rsid w:val="00C879FD"/>
    <w:rsid w:val="00C87B73"/>
    <w:rsid w:val="00C9240E"/>
    <w:rsid w:val="00C92DC3"/>
    <w:rsid w:val="00C932D9"/>
    <w:rsid w:val="00C93FAE"/>
    <w:rsid w:val="00C94217"/>
    <w:rsid w:val="00C943B3"/>
    <w:rsid w:val="00C9530B"/>
    <w:rsid w:val="00C979E1"/>
    <w:rsid w:val="00CA0798"/>
    <w:rsid w:val="00CA2915"/>
    <w:rsid w:val="00CA30C7"/>
    <w:rsid w:val="00CA39EC"/>
    <w:rsid w:val="00CA3B83"/>
    <w:rsid w:val="00CA49A2"/>
    <w:rsid w:val="00CA4AF3"/>
    <w:rsid w:val="00CA648F"/>
    <w:rsid w:val="00CA6550"/>
    <w:rsid w:val="00CB02CE"/>
    <w:rsid w:val="00CB06F8"/>
    <w:rsid w:val="00CB1F54"/>
    <w:rsid w:val="00CB37E9"/>
    <w:rsid w:val="00CB519C"/>
    <w:rsid w:val="00CB65EB"/>
    <w:rsid w:val="00CB7010"/>
    <w:rsid w:val="00CB7290"/>
    <w:rsid w:val="00CB7DA3"/>
    <w:rsid w:val="00CC011C"/>
    <w:rsid w:val="00CC0CFF"/>
    <w:rsid w:val="00CC1CCF"/>
    <w:rsid w:val="00CC283E"/>
    <w:rsid w:val="00CC2B31"/>
    <w:rsid w:val="00CC39D3"/>
    <w:rsid w:val="00CC3A2E"/>
    <w:rsid w:val="00CC3A73"/>
    <w:rsid w:val="00CC3B93"/>
    <w:rsid w:val="00CC3CF0"/>
    <w:rsid w:val="00CC3D47"/>
    <w:rsid w:val="00CC4626"/>
    <w:rsid w:val="00CC4D84"/>
    <w:rsid w:val="00CC530E"/>
    <w:rsid w:val="00CC55E5"/>
    <w:rsid w:val="00CC5625"/>
    <w:rsid w:val="00CC5CC4"/>
    <w:rsid w:val="00CC60B8"/>
    <w:rsid w:val="00CD1029"/>
    <w:rsid w:val="00CD2E10"/>
    <w:rsid w:val="00CD3513"/>
    <w:rsid w:val="00CD3B35"/>
    <w:rsid w:val="00CD54ED"/>
    <w:rsid w:val="00CD5868"/>
    <w:rsid w:val="00CD63A8"/>
    <w:rsid w:val="00CD6555"/>
    <w:rsid w:val="00CD6791"/>
    <w:rsid w:val="00CD684B"/>
    <w:rsid w:val="00CD6F55"/>
    <w:rsid w:val="00CD7F11"/>
    <w:rsid w:val="00CE1EB2"/>
    <w:rsid w:val="00CE2369"/>
    <w:rsid w:val="00CE4345"/>
    <w:rsid w:val="00CE46AC"/>
    <w:rsid w:val="00CE60E6"/>
    <w:rsid w:val="00CE651D"/>
    <w:rsid w:val="00CE689E"/>
    <w:rsid w:val="00CE6B93"/>
    <w:rsid w:val="00CE71F7"/>
    <w:rsid w:val="00CE787D"/>
    <w:rsid w:val="00CF0954"/>
    <w:rsid w:val="00CF1627"/>
    <w:rsid w:val="00CF2A9C"/>
    <w:rsid w:val="00CF3B24"/>
    <w:rsid w:val="00CF42DD"/>
    <w:rsid w:val="00CF560B"/>
    <w:rsid w:val="00CF62A1"/>
    <w:rsid w:val="00CF66D3"/>
    <w:rsid w:val="00CF6A01"/>
    <w:rsid w:val="00D005B8"/>
    <w:rsid w:val="00D00677"/>
    <w:rsid w:val="00D02574"/>
    <w:rsid w:val="00D02E8F"/>
    <w:rsid w:val="00D036CD"/>
    <w:rsid w:val="00D041CE"/>
    <w:rsid w:val="00D04ECA"/>
    <w:rsid w:val="00D06882"/>
    <w:rsid w:val="00D076A3"/>
    <w:rsid w:val="00D1013F"/>
    <w:rsid w:val="00D102AF"/>
    <w:rsid w:val="00D1055D"/>
    <w:rsid w:val="00D1063C"/>
    <w:rsid w:val="00D10D43"/>
    <w:rsid w:val="00D10DFD"/>
    <w:rsid w:val="00D119DF"/>
    <w:rsid w:val="00D1235A"/>
    <w:rsid w:val="00D1243C"/>
    <w:rsid w:val="00D131E1"/>
    <w:rsid w:val="00D1375A"/>
    <w:rsid w:val="00D13F09"/>
    <w:rsid w:val="00D1469E"/>
    <w:rsid w:val="00D1592E"/>
    <w:rsid w:val="00D17B98"/>
    <w:rsid w:val="00D2010F"/>
    <w:rsid w:val="00D21A9F"/>
    <w:rsid w:val="00D22702"/>
    <w:rsid w:val="00D238B9"/>
    <w:rsid w:val="00D23BC0"/>
    <w:rsid w:val="00D23C10"/>
    <w:rsid w:val="00D24B7A"/>
    <w:rsid w:val="00D24CD4"/>
    <w:rsid w:val="00D25622"/>
    <w:rsid w:val="00D26F18"/>
    <w:rsid w:val="00D27D60"/>
    <w:rsid w:val="00D30BE9"/>
    <w:rsid w:val="00D30E97"/>
    <w:rsid w:val="00D319A8"/>
    <w:rsid w:val="00D32AFC"/>
    <w:rsid w:val="00D33AB5"/>
    <w:rsid w:val="00D33D7D"/>
    <w:rsid w:val="00D342C0"/>
    <w:rsid w:val="00D34A14"/>
    <w:rsid w:val="00D34E37"/>
    <w:rsid w:val="00D34E51"/>
    <w:rsid w:val="00D35A43"/>
    <w:rsid w:val="00D35B2D"/>
    <w:rsid w:val="00D35BD6"/>
    <w:rsid w:val="00D36C91"/>
    <w:rsid w:val="00D3715F"/>
    <w:rsid w:val="00D37337"/>
    <w:rsid w:val="00D42C2C"/>
    <w:rsid w:val="00D42F18"/>
    <w:rsid w:val="00D43809"/>
    <w:rsid w:val="00D4381B"/>
    <w:rsid w:val="00D45083"/>
    <w:rsid w:val="00D46F66"/>
    <w:rsid w:val="00D50110"/>
    <w:rsid w:val="00D50CA7"/>
    <w:rsid w:val="00D52191"/>
    <w:rsid w:val="00D52639"/>
    <w:rsid w:val="00D52699"/>
    <w:rsid w:val="00D5342B"/>
    <w:rsid w:val="00D53DA6"/>
    <w:rsid w:val="00D54357"/>
    <w:rsid w:val="00D5464F"/>
    <w:rsid w:val="00D566BC"/>
    <w:rsid w:val="00D56843"/>
    <w:rsid w:val="00D56A81"/>
    <w:rsid w:val="00D56FB0"/>
    <w:rsid w:val="00D611C6"/>
    <w:rsid w:val="00D61A23"/>
    <w:rsid w:val="00D62D4D"/>
    <w:rsid w:val="00D63B8F"/>
    <w:rsid w:val="00D63E3D"/>
    <w:rsid w:val="00D6423D"/>
    <w:rsid w:val="00D64727"/>
    <w:rsid w:val="00D6496B"/>
    <w:rsid w:val="00D64E65"/>
    <w:rsid w:val="00D651A8"/>
    <w:rsid w:val="00D65870"/>
    <w:rsid w:val="00D659C9"/>
    <w:rsid w:val="00D668B4"/>
    <w:rsid w:val="00D67682"/>
    <w:rsid w:val="00D676B1"/>
    <w:rsid w:val="00D6782A"/>
    <w:rsid w:val="00D67938"/>
    <w:rsid w:val="00D70C02"/>
    <w:rsid w:val="00D715EA"/>
    <w:rsid w:val="00D716A2"/>
    <w:rsid w:val="00D71CFE"/>
    <w:rsid w:val="00D721AC"/>
    <w:rsid w:val="00D724E0"/>
    <w:rsid w:val="00D738F8"/>
    <w:rsid w:val="00D748F5"/>
    <w:rsid w:val="00D76108"/>
    <w:rsid w:val="00D77963"/>
    <w:rsid w:val="00D77DA2"/>
    <w:rsid w:val="00D80BA3"/>
    <w:rsid w:val="00D8284F"/>
    <w:rsid w:val="00D82A3F"/>
    <w:rsid w:val="00D82BDB"/>
    <w:rsid w:val="00D83715"/>
    <w:rsid w:val="00D83851"/>
    <w:rsid w:val="00D84401"/>
    <w:rsid w:val="00D85B07"/>
    <w:rsid w:val="00D87253"/>
    <w:rsid w:val="00D8794D"/>
    <w:rsid w:val="00D91EC6"/>
    <w:rsid w:val="00D9250B"/>
    <w:rsid w:val="00D94763"/>
    <w:rsid w:val="00DA0202"/>
    <w:rsid w:val="00DA1288"/>
    <w:rsid w:val="00DA246F"/>
    <w:rsid w:val="00DA2F7B"/>
    <w:rsid w:val="00DA49AF"/>
    <w:rsid w:val="00DA5769"/>
    <w:rsid w:val="00DA671E"/>
    <w:rsid w:val="00DA768D"/>
    <w:rsid w:val="00DA7F07"/>
    <w:rsid w:val="00DB2599"/>
    <w:rsid w:val="00DB353F"/>
    <w:rsid w:val="00DB35AF"/>
    <w:rsid w:val="00DB38D0"/>
    <w:rsid w:val="00DB3DAE"/>
    <w:rsid w:val="00DB4288"/>
    <w:rsid w:val="00DB509E"/>
    <w:rsid w:val="00DB5153"/>
    <w:rsid w:val="00DB659A"/>
    <w:rsid w:val="00DB7320"/>
    <w:rsid w:val="00DC09A7"/>
    <w:rsid w:val="00DC13E5"/>
    <w:rsid w:val="00DC1CF6"/>
    <w:rsid w:val="00DC2B11"/>
    <w:rsid w:val="00DC3976"/>
    <w:rsid w:val="00DC3EA2"/>
    <w:rsid w:val="00DC43C7"/>
    <w:rsid w:val="00DC5841"/>
    <w:rsid w:val="00DC62EE"/>
    <w:rsid w:val="00DC66F0"/>
    <w:rsid w:val="00DC6DC8"/>
    <w:rsid w:val="00DD0DF9"/>
    <w:rsid w:val="00DD202E"/>
    <w:rsid w:val="00DD31C0"/>
    <w:rsid w:val="00DD3B38"/>
    <w:rsid w:val="00DD3DC3"/>
    <w:rsid w:val="00DD43FD"/>
    <w:rsid w:val="00DD44A6"/>
    <w:rsid w:val="00DE05E6"/>
    <w:rsid w:val="00DE0752"/>
    <w:rsid w:val="00DE139C"/>
    <w:rsid w:val="00DE26D9"/>
    <w:rsid w:val="00DE2E3E"/>
    <w:rsid w:val="00DE3957"/>
    <w:rsid w:val="00DE3A59"/>
    <w:rsid w:val="00DE60B9"/>
    <w:rsid w:val="00DE776A"/>
    <w:rsid w:val="00DE7A20"/>
    <w:rsid w:val="00DF150C"/>
    <w:rsid w:val="00DF1CDF"/>
    <w:rsid w:val="00DF200F"/>
    <w:rsid w:val="00DF20D6"/>
    <w:rsid w:val="00DF3D26"/>
    <w:rsid w:val="00DF4E37"/>
    <w:rsid w:val="00DF556C"/>
    <w:rsid w:val="00DF5C37"/>
    <w:rsid w:val="00DF61C4"/>
    <w:rsid w:val="00DF67AA"/>
    <w:rsid w:val="00DF7C08"/>
    <w:rsid w:val="00E00AE7"/>
    <w:rsid w:val="00E0115D"/>
    <w:rsid w:val="00E012BF"/>
    <w:rsid w:val="00E026A2"/>
    <w:rsid w:val="00E028D3"/>
    <w:rsid w:val="00E03814"/>
    <w:rsid w:val="00E03EEE"/>
    <w:rsid w:val="00E0666C"/>
    <w:rsid w:val="00E06AFE"/>
    <w:rsid w:val="00E07F41"/>
    <w:rsid w:val="00E1101C"/>
    <w:rsid w:val="00E1230F"/>
    <w:rsid w:val="00E126E7"/>
    <w:rsid w:val="00E13081"/>
    <w:rsid w:val="00E135D0"/>
    <w:rsid w:val="00E13854"/>
    <w:rsid w:val="00E13ADE"/>
    <w:rsid w:val="00E141CF"/>
    <w:rsid w:val="00E15202"/>
    <w:rsid w:val="00E15777"/>
    <w:rsid w:val="00E16F7A"/>
    <w:rsid w:val="00E20BA4"/>
    <w:rsid w:val="00E214B0"/>
    <w:rsid w:val="00E21771"/>
    <w:rsid w:val="00E2225C"/>
    <w:rsid w:val="00E22588"/>
    <w:rsid w:val="00E22BDE"/>
    <w:rsid w:val="00E2316E"/>
    <w:rsid w:val="00E237A0"/>
    <w:rsid w:val="00E246BA"/>
    <w:rsid w:val="00E24A4B"/>
    <w:rsid w:val="00E25558"/>
    <w:rsid w:val="00E2616A"/>
    <w:rsid w:val="00E26977"/>
    <w:rsid w:val="00E272C9"/>
    <w:rsid w:val="00E27E4E"/>
    <w:rsid w:val="00E3269C"/>
    <w:rsid w:val="00E32FEF"/>
    <w:rsid w:val="00E3318D"/>
    <w:rsid w:val="00E345E9"/>
    <w:rsid w:val="00E35DD2"/>
    <w:rsid w:val="00E35FB2"/>
    <w:rsid w:val="00E35FD4"/>
    <w:rsid w:val="00E3616A"/>
    <w:rsid w:val="00E40092"/>
    <w:rsid w:val="00E41F40"/>
    <w:rsid w:val="00E42076"/>
    <w:rsid w:val="00E42564"/>
    <w:rsid w:val="00E462CF"/>
    <w:rsid w:val="00E4759E"/>
    <w:rsid w:val="00E47865"/>
    <w:rsid w:val="00E50D1B"/>
    <w:rsid w:val="00E51DC2"/>
    <w:rsid w:val="00E51E20"/>
    <w:rsid w:val="00E53AD3"/>
    <w:rsid w:val="00E53B26"/>
    <w:rsid w:val="00E53E29"/>
    <w:rsid w:val="00E55C8F"/>
    <w:rsid w:val="00E57442"/>
    <w:rsid w:val="00E5755E"/>
    <w:rsid w:val="00E57CFD"/>
    <w:rsid w:val="00E60358"/>
    <w:rsid w:val="00E613FE"/>
    <w:rsid w:val="00E61C35"/>
    <w:rsid w:val="00E6201B"/>
    <w:rsid w:val="00E626FC"/>
    <w:rsid w:val="00E62B20"/>
    <w:rsid w:val="00E6548D"/>
    <w:rsid w:val="00E659C5"/>
    <w:rsid w:val="00E65F88"/>
    <w:rsid w:val="00E6659B"/>
    <w:rsid w:val="00E66924"/>
    <w:rsid w:val="00E66E9B"/>
    <w:rsid w:val="00E66EE5"/>
    <w:rsid w:val="00E71BB1"/>
    <w:rsid w:val="00E7298B"/>
    <w:rsid w:val="00E74787"/>
    <w:rsid w:val="00E7485B"/>
    <w:rsid w:val="00E74EEE"/>
    <w:rsid w:val="00E76957"/>
    <w:rsid w:val="00E771A8"/>
    <w:rsid w:val="00E774BC"/>
    <w:rsid w:val="00E8123E"/>
    <w:rsid w:val="00E81444"/>
    <w:rsid w:val="00E82021"/>
    <w:rsid w:val="00E83AE8"/>
    <w:rsid w:val="00E8512D"/>
    <w:rsid w:val="00E85271"/>
    <w:rsid w:val="00E854E4"/>
    <w:rsid w:val="00E859EE"/>
    <w:rsid w:val="00E86E09"/>
    <w:rsid w:val="00E875C7"/>
    <w:rsid w:val="00E903E2"/>
    <w:rsid w:val="00E9355F"/>
    <w:rsid w:val="00E94E40"/>
    <w:rsid w:val="00E94F64"/>
    <w:rsid w:val="00E9528F"/>
    <w:rsid w:val="00E961CC"/>
    <w:rsid w:val="00E9677C"/>
    <w:rsid w:val="00E9775E"/>
    <w:rsid w:val="00EA0252"/>
    <w:rsid w:val="00EA02E9"/>
    <w:rsid w:val="00EA1019"/>
    <w:rsid w:val="00EA2192"/>
    <w:rsid w:val="00EA245E"/>
    <w:rsid w:val="00EA29BF"/>
    <w:rsid w:val="00EA2C0A"/>
    <w:rsid w:val="00EA31A6"/>
    <w:rsid w:val="00EA3E7F"/>
    <w:rsid w:val="00EA4A3D"/>
    <w:rsid w:val="00EA56C0"/>
    <w:rsid w:val="00EA5904"/>
    <w:rsid w:val="00EA68B4"/>
    <w:rsid w:val="00EA6BC5"/>
    <w:rsid w:val="00EA730E"/>
    <w:rsid w:val="00EA781B"/>
    <w:rsid w:val="00EB378E"/>
    <w:rsid w:val="00EB43AA"/>
    <w:rsid w:val="00EB4BE6"/>
    <w:rsid w:val="00EB60E0"/>
    <w:rsid w:val="00EB623B"/>
    <w:rsid w:val="00EB6572"/>
    <w:rsid w:val="00EB670B"/>
    <w:rsid w:val="00EB6D93"/>
    <w:rsid w:val="00EB7801"/>
    <w:rsid w:val="00EC09A8"/>
    <w:rsid w:val="00EC0ADF"/>
    <w:rsid w:val="00EC13E0"/>
    <w:rsid w:val="00EC17D8"/>
    <w:rsid w:val="00EC1867"/>
    <w:rsid w:val="00EC22AE"/>
    <w:rsid w:val="00EC2CAF"/>
    <w:rsid w:val="00EC363A"/>
    <w:rsid w:val="00EC3DEC"/>
    <w:rsid w:val="00EC3FA5"/>
    <w:rsid w:val="00EC40F5"/>
    <w:rsid w:val="00EC48ED"/>
    <w:rsid w:val="00EC5A0C"/>
    <w:rsid w:val="00EC629B"/>
    <w:rsid w:val="00EC63CD"/>
    <w:rsid w:val="00EC7333"/>
    <w:rsid w:val="00EC79D5"/>
    <w:rsid w:val="00ED2A38"/>
    <w:rsid w:val="00ED32FE"/>
    <w:rsid w:val="00ED360C"/>
    <w:rsid w:val="00ED3D17"/>
    <w:rsid w:val="00ED4479"/>
    <w:rsid w:val="00ED5619"/>
    <w:rsid w:val="00ED6949"/>
    <w:rsid w:val="00ED6A05"/>
    <w:rsid w:val="00EE24F7"/>
    <w:rsid w:val="00EE332F"/>
    <w:rsid w:val="00EE3552"/>
    <w:rsid w:val="00EE4DE1"/>
    <w:rsid w:val="00EE602B"/>
    <w:rsid w:val="00EE6C87"/>
    <w:rsid w:val="00EF018B"/>
    <w:rsid w:val="00EF09DE"/>
    <w:rsid w:val="00EF11E6"/>
    <w:rsid w:val="00EF1276"/>
    <w:rsid w:val="00EF1C4F"/>
    <w:rsid w:val="00EF21D4"/>
    <w:rsid w:val="00EF25B5"/>
    <w:rsid w:val="00EF32F6"/>
    <w:rsid w:val="00EF45E8"/>
    <w:rsid w:val="00EF4B05"/>
    <w:rsid w:val="00EF65AB"/>
    <w:rsid w:val="00F00495"/>
    <w:rsid w:val="00F004CD"/>
    <w:rsid w:val="00F01031"/>
    <w:rsid w:val="00F01C9C"/>
    <w:rsid w:val="00F0236C"/>
    <w:rsid w:val="00F028BE"/>
    <w:rsid w:val="00F0342C"/>
    <w:rsid w:val="00F042D4"/>
    <w:rsid w:val="00F044CF"/>
    <w:rsid w:val="00F049F2"/>
    <w:rsid w:val="00F04B6A"/>
    <w:rsid w:val="00F0682E"/>
    <w:rsid w:val="00F06D14"/>
    <w:rsid w:val="00F06D36"/>
    <w:rsid w:val="00F072A8"/>
    <w:rsid w:val="00F1081F"/>
    <w:rsid w:val="00F10DD3"/>
    <w:rsid w:val="00F110EA"/>
    <w:rsid w:val="00F11188"/>
    <w:rsid w:val="00F11B3F"/>
    <w:rsid w:val="00F131C3"/>
    <w:rsid w:val="00F13796"/>
    <w:rsid w:val="00F15075"/>
    <w:rsid w:val="00F159F3"/>
    <w:rsid w:val="00F15D51"/>
    <w:rsid w:val="00F16AA7"/>
    <w:rsid w:val="00F17DB7"/>
    <w:rsid w:val="00F201A0"/>
    <w:rsid w:val="00F20280"/>
    <w:rsid w:val="00F20F8E"/>
    <w:rsid w:val="00F21676"/>
    <w:rsid w:val="00F21866"/>
    <w:rsid w:val="00F2234E"/>
    <w:rsid w:val="00F2333E"/>
    <w:rsid w:val="00F2369A"/>
    <w:rsid w:val="00F245F8"/>
    <w:rsid w:val="00F27D5F"/>
    <w:rsid w:val="00F27DD0"/>
    <w:rsid w:val="00F308B7"/>
    <w:rsid w:val="00F32A6F"/>
    <w:rsid w:val="00F33A84"/>
    <w:rsid w:val="00F33E49"/>
    <w:rsid w:val="00F349D4"/>
    <w:rsid w:val="00F3538B"/>
    <w:rsid w:val="00F359A3"/>
    <w:rsid w:val="00F35D8B"/>
    <w:rsid w:val="00F36CB0"/>
    <w:rsid w:val="00F4046F"/>
    <w:rsid w:val="00F40991"/>
    <w:rsid w:val="00F418B7"/>
    <w:rsid w:val="00F42035"/>
    <w:rsid w:val="00F42C36"/>
    <w:rsid w:val="00F432EF"/>
    <w:rsid w:val="00F433A4"/>
    <w:rsid w:val="00F43DBA"/>
    <w:rsid w:val="00F44038"/>
    <w:rsid w:val="00F44189"/>
    <w:rsid w:val="00F4537E"/>
    <w:rsid w:val="00F458A0"/>
    <w:rsid w:val="00F51BAB"/>
    <w:rsid w:val="00F51C06"/>
    <w:rsid w:val="00F524B8"/>
    <w:rsid w:val="00F532A0"/>
    <w:rsid w:val="00F5394B"/>
    <w:rsid w:val="00F53E5B"/>
    <w:rsid w:val="00F55F7B"/>
    <w:rsid w:val="00F560B3"/>
    <w:rsid w:val="00F5637E"/>
    <w:rsid w:val="00F564E1"/>
    <w:rsid w:val="00F56BC2"/>
    <w:rsid w:val="00F57A6B"/>
    <w:rsid w:val="00F57C04"/>
    <w:rsid w:val="00F60D96"/>
    <w:rsid w:val="00F62C43"/>
    <w:rsid w:val="00F661EC"/>
    <w:rsid w:val="00F67C64"/>
    <w:rsid w:val="00F70B23"/>
    <w:rsid w:val="00F71037"/>
    <w:rsid w:val="00F727C2"/>
    <w:rsid w:val="00F72F72"/>
    <w:rsid w:val="00F73C70"/>
    <w:rsid w:val="00F73CB7"/>
    <w:rsid w:val="00F74402"/>
    <w:rsid w:val="00F759C6"/>
    <w:rsid w:val="00F7638A"/>
    <w:rsid w:val="00F76E83"/>
    <w:rsid w:val="00F77A01"/>
    <w:rsid w:val="00F822DD"/>
    <w:rsid w:val="00F82CAF"/>
    <w:rsid w:val="00F82D51"/>
    <w:rsid w:val="00F8386B"/>
    <w:rsid w:val="00F83C65"/>
    <w:rsid w:val="00F83D13"/>
    <w:rsid w:val="00F85805"/>
    <w:rsid w:val="00F858F2"/>
    <w:rsid w:val="00F85EBD"/>
    <w:rsid w:val="00F868F5"/>
    <w:rsid w:val="00F86D0D"/>
    <w:rsid w:val="00F9186C"/>
    <w:rsid w:val="00F919C4"/>
    <w:rsid w:val="00F91AA7"/>
    <w:rsid w:val="00F92A8C"/>
    <w:rsid w:val="00F92C81"/>
    <w:rsid w:val="00F92E88"/>
    <w:rsid w:val="00F9339A"/>
    <w:rsid w:val="00F93965"/>
    <w:rsid w:val="00F942A7"/>
    <w:rsid w:val="00F946CA"/>
    <w:rsid w:val="00F9578D"/>
    <w:rsid w:val="00F95C37"/>
    <w:rsid w:val="00F95C3C"/>
    <w:rsid w:val="00F96149"/>
    <w:rsid w:val="00F965CB"/>
    <w:rsid w:val="00F97823"/>
    <w:rsid w:val="00FA0160"/>
    <w:rsid w:val="00FA0368"/>
    <w:rsid w:val="00FA1EB6"/>
    <w:rsid w:val="00FA2CC7"/>
    <w:rsid w:val="00FA4626"/>
    <w:rsid w:val="00FA4D80"/>
    <w:rsid w:val="00FA586B"/>
    <w:rsid w:val="00FA5E4E"/>
    <w:rsid w:val="00FA70CD"/>
    <w:rsid w:val="00FB0A50"/>
    <w:rsid w:val="00FB0E0B"/>
    <w:rsid w:val="00FB13D5"/>
    <w:rsid w:val="00FB3A0B"/>
    <w:rsid w:val="00FB3ACC"/>
    <w:rsid w:val="00FB3B45"/>
    <w:rsid w:val="00FB5C3E"/>
    <w:rsid w:val="00FB6445"/>
    <w:rsid w:val="00FB6C16"/>
    <w:rsid w:val="00FB736A"/>
    <w:rsid w:val="00FB7A78"/>
    <w:rsid w:val="00FB7B36"/>
    <w:rsid w:val="00FC068A"/>
    <w:rsid w:val="00FC0F6D"/>
    <w:rsid w:val="00FC19F6"/>
    <w:rsid w:val="00FC230B"/>
    <w:rsid w:val="00FC30FF"/>
    <w:rsid w:val="00FC3E5E"/>
    <w:rsid w:val="00FC402F"/>
    <w:rsid w:val="00FC4CAB"/>
    <w:rsid w:val="00FC54EE"/>
    <w:rsid w:val="00FC5FDE"/>
    <w:rsid w:val="00FC6A64"/>
    <w:rsid w:val="00FC73E4"/>
    <w:rsid w:val="00FD1B63"/>
    <w:rsid w:val="00FD26ED"/>
    <w:rsid w:val="00FD3B8D"/>
    <w:rsid w:val="00FD3D47"/>
    <w:rsid w:val="00FD4307"/>
    <w:rsid w:val="00FD460D"/>
    <w:rsid w:val="00FD4B0E"/>
    <w:rsid w:val="00FD5489"/>
    <w:rsid w:val="00FD5B4E"/>
    <w:rsid w:val="00FD5D2D"/>
    <w:rsid w:val="00FD63DE"/>
    <w:rsid w:val="00FD647B"/>
    <w:rsid w:val="00FD6B83"/>
    <w:rsid w:val="00FD772A"/>
    <w:rsid w:val="00FD7E8C"/>
    <w:rsid w:val="00FE2D92"/>
    <w:rsid w:val="00FE2E01"/>
    <w:rsid w:val="00FE3316"/>
    <w:rsid w:val="00FE4137"/>
    <w:rsid w:val="00FE4D86"/>
    <w:rsid w:val="00FE53BD"/>
    <w:rsid w:val="00FE53F5"/>
    <w:rsid w:val="00FE5D53"/>
    <w:rsid w:val="00FE64C9"/>
    <w:rsid w:val="00FE6604"/>
    <w:rsid w:val="00FE7D9B"/>
    <w:rsid w:val="00FF2E3F"/>
    <w:rsid w:val="00FF2F36"/>
    <w:rsid w:val="00FF4A4B"/>
    <w:rsid w:val="00FF4A64"/>
    <w:rsid w:val="00FF583D"/>
    <w:rsid w:val="00FF7A1E"/>
    <w:rsid w:val="00FF7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01FE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01FEF"/>
    <w:rPr>
      <w:sz w:val="20"/>
      <w:szCs w:val="20"/>
    </w:rPr>
  </w:style>
  <w:style w:type="character" w:styleId="DipnotBavurusu">
    <w:name w:val="footnote reference"/>
    <w:basedOn w:val="VarsaylanParagrafYazTipi"/>
    <w:uiPriority w:val="99"/>
    <w:semiHidden/>
    <w:unhideWhenUsed/>
    <w:rsid w:val="00C01FEF"/>
    <w:rPr>
      <w:vertAlign w:val="superscript"/>
    </w:rPr>
  </w:style>
  <w:style w:type="character" w:styleId="Kpr">
    <w:name w:val="Hyperlink"/>
    <w:basedOn w:val="VarsaylanParagrafYazTipi"/>
    <w:uiPriority w:val="99"/>
    <w:unhideWhenUsed/>
    <w:rsid w:val="00C76BD5"/>
    <w:rPr>
      <w:color w:val="0000FF" w:themeColor="hyperlink"/>
      <w:u w:val="single"/>
    </w:rPr>
  </w:style>
  <w:style w:type="paragraph" w:styleId="BalonMetni">
    <w:name w:val="Balloon Text"/>
    <w:basedOn w:val="Normal"/>
    <w:link w:val="BalonMetniChar"/>
    <w:uiPriority w:val="99"/>
    <w:semiHidden/>
    <w:unhideWhenUsed/>
    <w:rsid w:val="006536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3663"/>
    <w:rPr>
      <w:rFonts w:ascii="Tahoma" w:hAnsi="Tahoma" w:cs="Tahoma"/>
      <w:sz w:val="16"/>
      <w:szCs w:val="16"/>
    </w:rPr>
  </w:style>
  <w:style w:type="paragraph" w:customStyle="1" w:styleId="Pa0">
    <w:name w:val="Pa0"/>
    <w:basedOn w:val="Normal"/>
    <w:next w:val="Normal"/>
    <w:uiPriority w:val="99"/>
    <w:rsid w:val="006616C0"/>
    <w:pPr>
      <w:autoSpaceDE w:val="0"/>
      <w:autoSpaceDN w:val="0"/>
      <w:adjustRightInd w:val="0"/>
      <w:spacing w:after="0" w:line="241" w:lineRule="atLeast"/>
    </w:pPr>
    <w:rPr>
      <w:rFonts w:ascii="Myriad Pro" w:hAnsi="Myriad Pro"/>
      <w:sz w:val="24"/>
      <w:szCs w:val="24"/>
    </w:rPr>
  </w:style>
  <w:style w:type="character" w:customStyle="1" w:styleId="A1">
    <w:name w:val="A1"/>
    <w:uiPriority w:val="99"/>
    <w:rsid w:val="006616C0"/>
    <w:rPr>
      <w:rFonts w:cs="Myriad Pro"/>
      <w:color w:val="000000"/>
      <w:sz w:val="20"/>
      <w:szCs w:val="20"/>
    </w:rPr>
  </w:style>
  <w:style w:type="paragraph" w:styleId="ListeParagraf">
    <w:name w:val="List Paragraph"/>
    <w:basedOn w:val="Normal"/>
    <w:uiPriority w:val="34"/>
    <w:qFormat/>
    <w:rsid w:val="00114567"/>
    <w:pPr>
      <w:ind w:left="720"/>
      <w:contextualSpacing/>
    </w:pPr>
  </w:style>
  <w:style w:type="paragraph" w:styleId="ResimYazs">
    <w:name w:val="caption"/>
    <w:basedOn w:val="Normal"/>
    <w:next w:val="Normal"/>
    <w:uiPriority w:val="35"/>
    <w:unhideWhenUsed/>
    <w:qFormat/>
    <w:rsid w:val="004D03D9"/>
    <w:pPr>
      <w:spacing w:line="240" w:lineRule="auto"/>
    </w:pPr>
    <w:rPr>
      <w:b/>
      <w:bCs/>
      <w:color w:val="4F81BD" w:themeColor="accent1"/>
      <w:sz w:val="18"/>
      <w:szCs w:val="18"/>
    </w:rPr>
  </w:style>
  <w:style w:type="paragraph" w:styleId="stbilgi">
    <w:name w:val="header"/>
    <w:basedOn w:val="Normal"/>
    <w:link w:val="stbilgiChar"/>
    <w:uiPriority w:val="99"/>
    <w:unhideWhenUsed/>
    <w:rsid w:val="005F3B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F3B22"/>
  </w:style>
  <w:style w:type="paragraph" w:styleId="Altbilgi">
    <w:name w:val="footer"/>
    <w:basedOn w:val="Normal"/>
    <w:link w:val="AltbilgiChar"/>
    <w:uiPriority w:val="99"/>
    <w:unhideWhenUsed/>
    <w:rsid w:val="005F3B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3B22"/>
  </w:style>
  <w:style w:type="paragraph" w:styleId="SonnotMetni">
    <w:name w:val="endnote text"/>
    <w:basedOn w:val="Normal"/>
    <w:link w:val="SonnotMetniChar"/>
    <w:uiPriority w:val="99"/>
    <w:semiHidden/>
    <w:unhideWhenUsed/>
    <w:rsid w:val="00B17F3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B17F3A"/>
    <w:rPr>
      <w:sz w:val="20"/>
      <w:szCs w:val="20"/>
    </w:rPr>
  </w:style>
  <w:style w:type="character" w:styleId="SonnotBavurusu">
    <w:name w:val="endnote reference"/>
    <w:basedOn w:val="VarsaylanParagrafYazTipi"/>
    <w:uiPriority w:val="99"/>
    <w:semiHidden/>
    <w:unhideWhenUsed/>
    <w:rsid w:val="00B17F3A"/>
    <w:rPr>
      <w:vertAlign w:val="superscript"/>
    </w:rPr>
  </w:style>
  <w:style w:type="character" w:styleId="HTMLCite">
    <w:name w:val="HTML Cite"/>
    <w:basedOn w:val="VarsaylanParagrafYazTipi"/>
    <w:uiPriority w:val="99"/>
    <w:semiHidden/>
    <w:unhideWhenUsed/>
    <w:rsid w:val="00335092"/>
    <w:rPr>
      <w:i/>
      <w:iCs/>
    </w:rPr>
  </w:style>
  <w:style w:type="paragraph" w:styleId="HTMLncedenBiimlendirilmi">
    <w:name w:val="HTML Preformatted"/>
    <w:basedOn w:val="Normal"/>
    <w:link w:val="HTMLncedenBiimlendirilmiChar"/>
    <w:uiPriority w:val="99"/>
    <w:unhideWhenUsed/>
    <w:rsid w:val="005C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C4B99"/>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01FE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01FEF"/>
    <w:rPr>
      <w:sz w:val="20"/>
      <w:szCs w:val="20"/>
    </w:rPr>
  </w:style>
  <w:style w:type="character" w:styleId="DipnotBavurusu">
    <w:name w:val="footnote reference"/>
    <w:basedOn w:val="VarsaylanParagrafYazTipi"/>
    <w:uiPriority w:val="99"/>
    <w:semiHidden/>
    <w:unhideWhenUsed/>
    <w:rsid w:val="00C01FEF"/>
    <w:rPr>
      <w:vertAlign w:val="superscript"/>
    </w:rPr>
  </w:style>
  <w:style w:type="character" w:styleId="Kpr">
    <w:name w:val="Hyperlink"/>
    <w:basedOn w:val="VarsaylanParagrafYazTipi"/>
    <w:uiPriority w:val="99"/>
    <w:unhideWhenUsed/>
    <w:rsid w:val="00C76BD5"/>
    <w:rPr>
      <w:color w:val="0000FF" w:themeColor="hyperlink"/>
      <w:u w:val="single"/>
    </w:rPr>
  </w:style>
  <w:style w:type="paragraph" w:styleId="BalonMetni">
    <w:name w:val="Balloon Text"/>
    <w:basedOn w:val="Normal"/>
    <w:link w:val="BalonMetniChar"/>
    <w:uiPriority w:val="99"/>
    <w:semiHidden/>
    <w:unhideWhenUsed/>
    <w:rsid w:val="006536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3663"/>
    <w:rPr>
      <w:rFonts w:ascii="Tahoma" w:hAnsi="Tahoma" w:cs="Tahoma"/>
      <w:sz w:val="16"/>
      <w:szCs w:val="16"/>
    </w:rPr>
  </w:style>
  <w:style w:type="paragraph" w:customStyle="1" w:styleId="Pa0">
    <w:name w:val="Pa0"/>
    <w:basedOn w:val="Normal"/>
    <w:next w:val="Normal"/>
    <w:uiPriority w:val="99"/>
    <w:rsid w:val="006616C0"/>
    <w:pPr>
      <w:autoSpaceDE w:val="0"/>
      <w:autoSpaceDN w:val="0"/>
      <w:adjustRightInd w:val="0"/>
      <w:spacing w:after="0" w:line="241" w:lineRule="atLeast"/>
    </w:pPr>
    <w:rPr>
      <w:rFonts w:ascii="Myriad Pro" w:hAnsi="Myriad Pro"/>
      <w:sz w:val="24"/>
      <w:szCs w:val="24"/>
    </w:rPr>
  </w:style>
  <w:style w:type="character" w:customStyle="1" w:styleId="A1">
    <w:name w:val="A1"/>
    <w:uiPriority w:val="99"/>
    <w:rsid w:val="006616C0"/>
    <w:rPr>
      <w:rFonts w:cs="Myriad Pro"/>
      <w:color w:val="000000"/>
      <w:sz w:val="20"/>
      <w:szCs w:val="20"/>
    </w:rPr>
  </w:style>
  <w:style w:type="paragraph" w:styleId="ListeParagraf">
    <w:name w:val="List Paragraph"/>
    <w:basedOn w:val="Normal"/>
    <w:uiPriority w:val="34"/>
    <w:qFormat/>
    <w:rsid w:val="00114567"/>
    <w:pPr>
      <w:ind w:left="720"/>
      <w:contextualSpacing/>
    </w:pPr>
  </w:style>
  <w:style w:type="paragraph" w:styleId="ResimYazs">
    <w:name w:val="caption"/>
    <w:basedOn w:val="Normal"/>
    <w:next w:val="Normal"/>
    <w:uiPriority w:val="35"/>
    <w:unhideWhenUsed/>
    <w:qFormat/>
    <w:rsid w:val="004D03D9"/>
    <w:pPr>
      <w:spacing w:line="240" w:lineRule="auto"/>
    </w:pPr>
    <w:rPr>
      <w:b/>
      <w:bCs/>
      <w:color w:val="4F81BD" w:themeColor="accent1"/>
      <w:sz w:val="18"/>
      <w:szCs w:val="18"/>
    </w:rPr>
  </w:style>
  <w:style w:type="paragraph" w:styleId="stbilgi">
    <w:name w:val="header"/>
    <w:basedOn w:val="Normal"/>
    <w:link w:val="stbilgiChar"/>
    <w:uiPriority w:val="99"/>
    <w:unhideWhenUsed/>
    <w:rsid w:val="005F3B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F3B22"/>
  </w:style>
  <w:style w:type="paragraph" w:styleId="Altbilgi">
    <w:name w:val="footer"/>
    <w:basedOn w:val="Normal"/>
    <w:link w:val="AltbilgiChar"/>
    <w:uiPriority w:val="99"/>
    <w:unhideWhenUsed/>
    <w:rsid w:val="005F3B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3B22"/>
  </w:style>
  <w:style w:type="paragraph" w:styleId="SonnotMetni">
    <w:name w:val="endnote text"/>
    <w:basedOn w:val="Normal"/>
    <w:link w:val="SonnotMetniChar"/>
    <w:uiPriority w:val="99"/>
    <w:semiHidden/>
    <w:unhideWhenUsed/>
    <w:rsid w:val="00B17F3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B17F3A"/>
    <w:rPr>
      <w:sz w:val="20"/>
      <w:szCs w:val="20"/>
    </w:rPr>
  </w:style>
  <w:style w:type="character" w:styleId="SonnotBavurusu">
    <w:name w:val="endnote reference"/>
    <w:basedOn w:val="VarsaylanParagrafYazTipi"/>
    <w:uiPriority w:val="99"/>
    <w:semiHidden/>
    <w:unhideWhenUsed/>
    <w:rsid w:val="00B17F3A"/>
    <w:rPr>
      <w:vertAlign w:val="superscript"/>
    </w:rPr>
  </w:style>
  <w:style w:type="character" w:styleId="HTMLCite">
    <w:name w:val="HTML Cite"/>
    <w:basedOn w:val="VarsaylanParagrafYazTipi"/>
    <w:uiPriority w:val="99"/>
    <w:semiHidden/>
    <w:unhideWhenUsed/>
    <w:rsid w:val="00335092"/>
    <w:rPr>
      <w:i/>
      <w:iCs/>
    </w:rPr>
  </w:style>
  <w:style w:type="paragraph" w:styleId="HTMLncedenBiimlendirilmi">
    <w:name w:val="HTML Preformatted"/>
    <w:basedOn w:val="Normal"/>
    <w:link w:val="HTMLncedenBiimlendirilmiChar"/>
    <w:uiPriority w:val="99"/>
    <w:unhideWhenUsed/>
    <w:rsid w:val="005C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C4B99"/>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430275">
      <w:bodyDiv w:val="1"/>
      <w:marLeft w:val="0"/>
      <w:marRight w:val="0"/>
      <w:marTop w:val="0"/>
      <w:marBottom w:val="0"/>
      <w:divBdr>
        <w:top w:val="none" w:sz="0" w:space="0" w:color="auto"/>
        <w:left w:val="none" w:sz="0" w:space="0" w:color="auto"/>
        <w:bottom w:val="none" w:sz="0" w:space="0" w:color="auto"/>
        <w:right w:val="none" w:sz="0" w:space="0" w:color="auto"/>
      </w:divBdr>
    </w:div>
    <w:div w:id="717515340">
      <w:bodyDiv w:val="1"/>
      <w:marLeft w:val="0"/>
      <w:marRight w:val="0"/>
      <w:marTop w:val="0"/>
      <w:marBottom w:val="0"/>
      <w:divBdr>
        <w:top w:val="none" w:sz="0" w:space="0" w:color="auto"/>
        <w:left w:val="none" w:sz="0" w:space="0" w:color="auto"/>
        <w:bottom w:val="none" w:sz="0" w:space="0" w:color="auto"/>
        <w:right w:val="none" w:sz="0" w:space="0" w:color="auto"/>
      </w:divBdr>
      <w:divsChild>
        <w:div w:id="1697735324">
          <w:marLeft w:val="0"/>
          <w:marRight w:val="0"/>
          <w:marTop w:val="0"/>
          <w:marBottom w:val="0"/>
          <w:divBdr>
            <w:top w:val="none" w:sz="0" w:space="0" w:color="auto"/>
            <w:left w:val="none" w:sz="0" w:space="0" w:color="auto"/>
            <w:bottom w:val="none" w:sz="0" w:space="0" w:color="auto"/>
            <w:right w:val="none" w:sz="0" w:space="0" w:color="auto"/>
          </w:divBdr>
          <w:divsChild>
            <w:div w:id="1957715200">
              <w:marLeft w:val="0"/>
              <w:marRight w:val="0"/>
              <w:marTop w:val="0"/>
              <w:marBottom w:val="0"/>
              <w:divBdr>
                <w:top w:val="none" w:sz="0" w:space="0" w:color="auto"/>
                <w:left w:val="none" w:sz="0" w:space="0" w:color="auto"/>
                <w:bottom w:val="none" w:sz="0" w:space="0" w:color="auto"/>
                <w:right w:val="none" w:sz="0" w:space="0" w:color="auto"/>
              </w:divBdr>
              <w:divsChild>
                <w:div w:id="1961261481">
                  <w:marLeft w:val="0"/>
                  <w:marRight w:val="0"/>
                  <w:marTop w:val="0"/>
                  <w:marBottom w:val="0"/>
                  <w:divBdr>
                    <w:top w:val="none" w:sz="0" w:space="0" w:color="auto"/>
                    <w:left w:val="none" w:sz="0" w:space="0" w:color="auto"/>
                    <w:bottom w:val="none" w:sz="0" w:space="0" w:color="auto"/>
                    <w:right w:val="none" w:sz="0" w:space="0" w:color="auto"/>
                  </w:divBdr>
                  <w:divsChild>
                    <w:div w:id="183173727">
                      <w:marLeft w:val="0"/>
                      <w:marRight w:val="0"/>
                      <w:marTop w:val="0"/>
                      <w:marBottom w:val="0"/>
                      <w:divBdr>
                        <w:top w:val="none" w:sz="0" w:space="0" w:color="auto"/>
                        <w:left w:val="none" w:sz="0" w:space="0" w:color="auto"/>
                        <w:bottom w:val="none" w:sz="0" w:space="0" w:color="auto"/>
                        <w:right w:val="none" w:sz="0" w:space="0" w:color="auto"/>
                      </w:divBdr>
                      <w:divsChild>
                        <w:div w:id="874467814">
                          <w:marLeft w:val="0"/>
                          <w:marRight w:val="0"/>
                          <w:marTop w:val="45"/>
                          <w:marBottom w:val="0"/>
                          <w:divBdr>
                            <w:top w:val="none" w:sz="0" w:space="0" w:color="auto"/>
                            <w:left w:val="none" w:sz="0" w:space="0" w:color="auto"/>
                            <w:bottom w:val="none" w:sz="0" w:space="0" w:color="auto"/>
                            <w:right w:val="none" w:sz="0" w:space="0" w:color="auto"/>
                          </w:divBdr>
                          <w:divsChild>
                            <w:div w:id="392503660">
                              <w:marLeft w:val="0"/>
                              <w:marRight w:val="0"/>
                              <w:marTop w:val="0"/>
                              <w:marBottom w:val="0"/>
                              <w:divBdr>
                                <w:top w:val="none" w:sz="0" w:space="0" w:color="auto"/>
                                <w:left w:val="none" w:sz="0" w:space="0" w:color="auto"/>
                                <w:bottom w:val="none" w:sz="0" w:space="0" w:color="auto"/>
                                <w:right w:val="none" w:sz="0" w:space="0" w:color="auto"/>
                              </w:divBdr>
                              <w:divsChild>
                                <w:div w:id="766657478">
                                  <w:marLeft w:val="2070"/>
                                  <w:marRight w:val="3810"/>
                                  <w:marTop w:val="0"/>
                                  <w:marBottom w:val="0"/>
                                  <w:divBdr>
                                    <w:top w:val="none" w:sz="0" w:space="0" w:color="auto"/>
                                    <w:left w:val="none" w:sz="0" w:space="0" w:color="auto"/>
                                    <w:bottom w:val="none" w:sz="0" w:space="0" w:color="auto"/>
                                    <w:right w:val="none" w:sz="0" w:space="0" w:color="auto"/>
                                  </w:divBdr>
                                  <w:divsChild>
                                    <w:div w:id="2004963652">
                                      <w:marLeft w:val="0"/>
                                      <w:marRight w:val="0"/>
                                      <w:marTop w:val="0"/>
                                      <w:marBottom w:val="0"/>
                                      <w:divBdr>
                                        <w:top w:val="none" w:sz="0" w:space="0" w:color="auto"/>
                                        <w:left w:val="none" w:sz="0" w:space="0" w:color="auto"/>
                                        <w:bottom w:val="none" w:sz="0" w:space="0" w:color="auto"/>
                                        <w:right w:val="none" w:sz="0" w:space="0" w:color="auto"/>
                                      </w:divBdr>
                                      <w:divsChild>
                                        <w:div w:id="1676492761">
                                          <w:marLeft w:val="0"/>
                                          <w:marRight w:val="0"/>
                                          <w:marTop w:val="0"/>
                                          <w:marBottom w:val="0"/>
                                          <w:divBdr>
                                            <w:top w:val="none" w:sz="0" w:space="0" w:color="auto"/>
                                            <w:left w:val="none" w:sz="0" w:space="0" w:color="auto"/>
                                            <w:bottom w:val="none" w:sz="0" w:space="0" w:color="auto"/>
                                            <w:right w:val="none" w:sz="0" w:space="0" w:color="auto"/>
                                          </w:divBdr>
                                          <w:divsChild>
                                            <w:div w:id="1256476350">
                                              <w:marLeft w:val="0"/>
                                              <w:marRight w:val="0"/>
                                              <w:marTop w:val="0"/>
                                              <w:marBottom w:val="0"/>
                                              <w:divBdr>
                                                <w:top w:val="none" w:sz="0" w:space="0" w:color="auto"/>
                                                <w:left w:val="none" w:sz="0" w:space="0" w:color="auto"/>
                                                <w:bottom w:val="none" w:sz="0" w:space="0" w:color="auto"/>
                                                <w:right w:val="none" w:sz="0" w:space="0" w:color="auto"/>
                                              </w:divBdr>
                                              <w:divsChild>
                                                <w:div w:id="1063870352">
                                                  <w:marLeft w:val="0"/>
                                                  <w:marRight w:val="0"/>
                                                  <w:marTop w:val="0"/>
                                                  <w:marBottom w:val="0"/>
                                                  <w:divBdr>
                                                    <w:top w:val="none" w:sz="0" w:space="0" w:color="auto"/>
                                                    <w:left w:val="none" w:sz="0" w:space="0" w:color="auto"/>
                                                    <w:bottom w:val="none" w:sz="0" w:space="0" w:color="auto"/>
                                                    <w:right w:val="none" w:sz="0" w:space="0" w:color="auto"/>
                                                  </w:divBdr>
                                                  <w:divsChild>
                                                    <w:div w:id="2097749242">
                                                      <w:marLeft w:val="0"/>
                                                      <w:marRight w:val="0"/>
                                                      <w:marTop w:val="0"/>
                                                      <w:marBottom w:val="0"/>
                                                      <w:divBdr>
                                                        <w:top w:val="none" w:sz="0" w:space="0" w:color="auto"/>
                                                        <w:left w:val="none" w:sz="0" w:space="0" w:color="auto"/>
                                                        <w:bottom w:val="none" w:sz="0" w:space="0" w:color="auto"/>
                                                        <w:right w:val="none" w:sz="0" w:space="0" w:color="auto"/>
                                                      </w:divBdr>
                                                      <w:divsChild>
                                                        <w:div w:id="607978433">
                                                          <w:marLeft w:val="0"/>
                                                          <w:marRight w:val="0"/>
                                                          <w:marTop w:val="0"/>
                                                          <w:marBottom w:val="0"/>
                                                          <w:divBdr>
                                                            <w:top w:val="none" w:sz="0" w:space="0" w:color="auto"/>
                                                            <w:left w:val="none" w:sz="0" w:space="0" w:color="auto"/>
                                                            <w:bottom w:val="none" w:sz="0" w:space="0" w:color="auto"/>
                                                            <w:right w:val="none" w:sz="0" w:space="0" w:color="auto"/>
                                                          </w:divBdr>
                                                          <w:divsChild>
                                                            <w:div w:id="889222039">
                                                              <w:marLeft w:val="0"/>
                                                              <w:marRight w:val="0"/>
                                                              <w:marTop w:val="0"/>
                                                              <w:marBottom w:val="0"/>
                                                              <w:divBdr>
                                                                <w:top w:val="none" w:sz="0" w:space="0" w:color="auto"/>
                                                                <w:left w:val="none" w:sz="0" w:space="0" w:color="auto"/>
                                                                <w:bottom w:val="none" w:sz="0" w:space="0" w:color="auto"/>
                                                                <w:right w:val="none" w:sz="0" w:space="0" w:color="auto"/>
                                                              </w:divBdr>
                                                              <w:divsChild>
                                                                <w:div w:id="1309556248">
                                                                  <w:marLeft w:val="0"/>
                                                                  <w:marRight w:val="0"/>
                                                                  <w:marTop w:val="0"/>
                                                                  <w:marBottom w:val="0"/>
                                                                  <w:divBdr>
                                                                    <w:top w:val="none" w:sz="0" w:space="0" w:color="auto"/>
                                                                    <w:left w:val="none" w:sz="0" w:space="0" w:color="auto"/>
                                                                    <w:bottom w:val="none" w:sz="0" w:space="0" w:color="auto"/>
                                                                    <w:right w:val="none" w:sz="0" w:space="0" w:color="auto"/>
                                                                  </w:divBdr>
                                                                  <w:divsChild>
                                                                    <w:div w:id="286161527">
                                                                      <w:marLeft w:val="0"/>
                                                                      <w:marRight w:val="0"/>
                                                                      <w:marTop w:val="0"/>
                                                                      <w:marBottom w:val="0"/>
                                                                      <w:divBdr>
                                                                        <w:top w:val="none" w:sz="0" w:space="0" w:color="auto"/>
                                                                        <w:left w:val="none" w:sz="0" w:space="0" w:color="auto"/>
                                                                        <w:bottom w:val="none" w:sz="0" w:space="0" w:color="auto"/>
                                                                        <w:right w:val="none" w:sz="0" w:space="0" w:color="auto"/>
                                                                      </w:divBdr>
                                                                      <w:divsChild>
                                                                        <w:div w:id="1999964591">
                                                                          <w:marLeft w:val="0"/>
                                                                          <w:marRight w:val="0"/>
                                                                          <w:marTop w:val="0"/>
                                                                          <w:marBottom w:val="0"/>
                                                                          <w:divBdr>
                                                                            <w:top w:val="none" w:sz="0" w:space="0" w:color="auto"/>
                                                                            <w:left w:val="none" w:sz="0" w:space="0" w:color="auto"/>
                                                                            <w:bottom w:val="none" w:sz="0" w:space="0" w:color="auto"/>
                                                                            <w:right w:val="none" w:sz="0" w:space="0" w:color="auto"/>
                                                                          </w:divBdr>
                                                                          <w:divsChild>
                                                                            <w:div w:id="297876597">
                                                                              <w:marLeft w:val="0"/>
                                                                              <w:marRight w:val="0"/>
                                                                              <w:marTop w:val="0"/>
                                                                              <w:marBottom w:val="0"/>
                                                                              <w:divBdr>
                                                                                <w:top w:val="none" w:sz="0" w:space="0" w:color="auto"/>
                                                                                <w:left w:val="none" w:sz="0" w:space="0" w:color="auto"/>
                                                                                <w:bottom w:val="none" w:sz="0" w:space="0" w:color="auto"/>
                                                                                <w:right w:val="none" w:sz="0" w:space="0" w:color="auto"/>
                                                                              </w:divBdr>
                                                                              <w:divsChild>
                                                                                <w:div w:id="10200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737134">
      <w:bodyDiv w:val="1"/>
      <w:marLeft w:val="0"/>
      <w:marRight w:val="0"/>
      <w:marTop w:val="0"/>
      <w:marBottom w:val="0"/>
      <w:divBdr>
        <w:top w:val="none" w:sz="0" w:space="0" w:color="auto"/>
        <w:left w:val="none" w:sz="0" w:space="0" w:color="auto"/>
        <w:bottom w:val="none" w:sz="0" w:space="0" w:color="auto"/>
        <w:right w:val="none" w:sz="0" w:space="0" w:color="auto"/>
      </w:divBdr>
    </w:div>
    <w:div w:id="852114237">
      <w:bodyDiv w:val="1"/>
      <w:marLeft w:val="0"/>
      <w:marRight w:val="0"/>
      <w:marTop w:val="0"/>
      <w:marBottom w:val="0"/>
      <w:divBdr>
        <w:top w:val="none" w:sz="0" w:space="0" w:color="auto"/>
        <w:left w:val="none" w:sz="0" w:space="0" w:color="auto"/>
        <w:bottom w:val="none" w:sz="0" w:space="0" w:color="auto"/>
        <w:right w:val="none" w:sz="0" w:space="0" w:color="auto"/>
      </w:divBdr>
    </w:div>
    <w:div w:id="1170682468">
      <w:bodyDiv w:val="1"/>
      <w:marLeft w:val="0"/>
      <w:marRight w:val="0"/>
      <w:marTop w:val="0"/>
      <w:marBottom w:val="0"/>
      <w:divBdr>
        <w:top w:val="none" w:sz="0" w:space="0" w:color="auto"/>
        <w:left w:val="none" w:sz="0" w:space="0" w:color="auto"/>
        <w:bottom w:val="none" w:sz="0" w:space="0" w:color="auto"/>
        <w:right w:val="none" w:sz="0" w:space="0" w:color="auto"/>
      </w:divBdr>
    </w:div>
    <w:div w:id="1564214696">
      <w:bodyDiv w:val="1"/>
      <w:marLeft w:val="0"/>
      <w:marRight w:val="0"/>
      <w:marTop w:val="0"/>
      <w:marBottom w:val="0"/>
      <w:divBdr>
        <w:top w:val="none" w:sz="0" w:space="0" w:color="auto"/>
        <w:left w:val="none" w:sz="0" w:space="0" w:color="auto"/>
        <w:bottom w:val="none" w:sz="0" w:space="0" w:color="auto"/>
        <w:right w:val="none" w:sz="0" w:space="0" w:color="auto"/>
      </w:divBdr>
    </w:div>
    <w:div w:id="1798718686">
      <w:bodyDiv w:val="1"/>
      <w:marLeft w:val="0"/>
      <w:marRight w:val="0"/>
      <w:marTop w:val="0"/>
      <w:marBottom w:val="0"/>
      <w:divBdr>
        <w:top w:val="none" w:sz="0" w:space="0" w:color="auto"/>
        <w:left w:val="none" w:sz="0" w:space="0" w:color="auto"/>
        <w:bottom w:val="none" w:sz="0" w:space="0" w:color="auto"/>
        <w:right w:val="none" w:sz="0" w:space="0" w:color="auto"/>
      </w:divBdr>
    </w:div>
    <w:div w:id="1909610388">
      <w:bodyDiv w:val="1"/>
      <w:marLeft w:val="0"/>
      <w:marRight w:val="0"/>
      <w:marTop w:val="0"/>
      <w:marBottom w:val="0"/>
      <w:divBdr>
        <w:top w:val="none" w:sz="0" w:space="0" w:color="auto"/>
        <w:left w:val="none" w:sz="0" w:space="0" w:color="auto"/>
        <w:bottom w:val="none" w:sz="0" w:space="0" w:color="auto"/>
        <w:right w:val="none" w:sz="0" w:space="0" w:color="auto"/>
      </w:divBdr>
    </w:div>
    <w:div w:id="21276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footer" Target="footer3.xml"/><Relationship Id="rId47" Type="http://schemas.openxmlformats.org/officeDocument/2006/relationships/image" Target="media/image23.emf"/><Relationship Id="rId50" Type="http://schemas.openxmlformats.org/officeDocument/2006/relationships/image" Target="media/image26.emf"/><Relationship Id="rId55" Type="http://schemas.openxmlformats.org/officeDocument/2006/relationships/hyperlink" Target="http://www.iif.com.tr/index.php/iif/article/view/iif.2007.258.9844" TargetMode="External"/><Relationship Id="rId63" Type="http://schemas.openxmlformats.org/officeDocument/2006/relationships/hyperlink" Target="http://www.tkbb.org.tr/Documents/Tezler/Yukseklisans/sinan_dag_tez.pdf" TargetMode="External"/><Relationship Id="rId68" Type="http://schemas.openxmlformats.org/officeDocument/2006/relationships/hyperlink" Target="http://www.elsevier.com/locate/measurement" TargetMode="External"/><Relationship Id="rId76" Type="http://schemas.openxmlformats.org/officeDocument/2006/relationships/hyperlink" Target="http://borsaistanbul.com/veriler/verileralt/aylik-konsolide-veriler"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journal.mufad.org/index.php/tr/arsiv/938-sayi-57-ocak-2013/689-mevduat-bankalarinin-etkinligi-ve-hisse-senedi-getirileri-arasindaki-iliski-" TargetMode="Externa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png"/><Relationship Id="rId40" Type="http://schemas.openxmlformats.org/officeDocument/2006/relationships/footer" Target="footer2.xml"/><Relationship Id="rId45" Type="http://schemas.openxmlformats.org/officeDocument/2006/relationships/image" Target="media/image21.png"/><Relationship Id="rId53" Type="http://schemas.openxmlformats.org/officeDocument/2006/relationships/image" Target="media/image29.emf"/><Relationship Id="rId58" Type="http://schemas.openxmlformats.org/officeDocument/2006/relationships/hyperlink" Target="http://www.elsevier.com/locate/omega" TargetMode="External"/><Relationship Id="rId66" Type="http://schemas.openxmlformats.org/officeDocument/2006/relationships/hyperlink" Target="http://www.mevzuatdergisi.com/2006/08a/04.htm" TargetMode="External"/><Relationship Id="rId74" Type="http://schemas.openxmlformats.org/officeDocument/2006/relationships/hyperlink" Target="http://www.yok.gov.tr" TargetMode="External"/><Relationship Id="rId79" Type="http://schemas.openxmlformats.org/officeDocument/2006/relationships/hyperlink" Target="http://www.spk.gov.tr/apps/afd/adres.aspx" TargetMode="External"/><Relationship Id="rId5" Type="http://schemas.openxmlformats.org/officeDocument/2006/relationships/settings" Target="settings.xml"/><Relationship Id="rId61" Type="http://schemas.openxmlformats.org/officeDocument/2006/relationships/hyperlink" Target="http://www.elsevier.com/locate/measurement" TargetMode="External"/><Relationship Id="rId82" Type="http://schemas.openxmlformats.org/officeDocument/2006/relationships/hyperlink" Target="http://slideplayer.biz.tr/slide/1898095/" TargetMode="External"/><Relationship Id="rId10" Type="http://schemas.openxmlformats.org/officeDocument/2006/relationships/image" Target="media/image2.e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png"/><Relationship Id="rId52" Type="http://schemas.openxmlformats.org/officeDocument/2006/relationships/image" Target="media/image28.emf"/><Relationship Id="rId60" Type="http://schemas.openxmlformats.org/officeDocument/2006/relationships/hyperlink" Target="http://www.sosyoekonomi.org/%20130114.pdf" TargetMode="External"/><Relationship Id="rId65" Type="http://schemas.openxmlformats.org/officeDocument/2006/relationships/hyperlink" Target="http://iibf.deu.edu.tr/deuj/index.php/cilt1-sayi1/article/view/202" TargetMode="External"/><Relationship Id="rId73" Type="http://schemas.openxmlformats.org/officeDocument/2006/relationships/hyperlink" Target="http://sablon.sdu.edu.tr/fakulteler/iibf/dergi/files/2009-3-16.pdf" TargetMode="External"/><Relationship Id="rId78" Type="http://schemas.openxmlformats.org/officeDocument/2006/relationships/hyperlink" Target="http://www.deu.edu.tr/userweb/k.../Veri%20%20Zarflama%20Analizi.doc" TargetMode="External"/><Relationship Id="rId81" Type="http://schemas.openxmlformats.org/officeDocument/2006/relationships/hyperlink" Target="http://www.tspb.org.tr/tr/Default.aspx?tabid=133"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4.emf"/><Relationship Id="rId56" Type="http://schemas.openxmlformats.org/officeDocument/2006/relationships/hyperlink" Target="http://e-dergi.atauni.edu.tr/atauniiibd/article/%20view/1025008897/1025007797" TargetMode="External"/><Relationship Id="rId64" Type="http://schemas.openxmlformats.org/officeDocument/2006/relationships/hyperlink" Target="http://business.cardiff.ac.uk/research/working-papers/post-crisis-cost-efficiency-jamaican-banks" TargetMode="External"/><Relationship Id="rId69" Type="http://schemas.openxmlformats.org/officeDocument/2006/relationships/hyperlink" Target="http://www.mkyilmaz.net/makaleler/makale6.pdf" TargetMode="External"/><Relationship Id="rId77" Type="http://schemas.openxmlformats.org/officeDocument/2006/relationships/hyperlink" Target="http://www.tuik.gov.tr/UstMenu.do?metod=temelist" TargetMode="External"/><Relationship Id="rId8" Type="http://schemas.openxmlformats.org/officeDocument/2006/relationships/endnotes" Target="endnotes.xml"/><Relationship Id="rId51" Type="http://schemas.openxmlformats.org/officeDocument/2006/relationships/image" Target="media/image27.emf"/><Relationship Id="rId72" Type="http://schemas.openxmlformats.org/officeDocument/2006/relationships/hyperlink" Target="https://www.bddk.org.tr/WebSitesi/turkce/Raporlar/BDDK_Dergi/9071ibrahim.pdf" TargetMode="External"/><Relationship Id="rId80" Type="http://schemas.openxmlformats.org/officeDocument/2006/relationships/hyperlink" Target="http://www.spk.gov.tr/apps/aylikbulten/index.aspx?submenuheader=-1"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png"/><Relationship Id="rId46" Type="http://schemas.openxmlformats.org/officeDocument/2006/relationships/image" Target="media/image22.emf"/><Relationship Id="rId59" Type="http://schemas.openxmlformats.org/officeDocument/2006/relationships/hyperlink" Target="http://iibfdergi.sdu.edu.tr/tr/yayinlanmis-sayilar/yil-2009-cilt-14-sayi-3-5255s.html" TargetMode="External"/><Relationship Id="rId67" Type="http://schemas.openxmlformats.org/officeDocument/2006/relationships/hyperlink" Target="http://dosya.marmara.edu.tr/ikf/37-VERi-ZARFLAMA-ANALiZi.pdf" TargetMode="External"/><Relationship Id="rId20" Type="http://schemas.openxmlformats.org/officeDocument/2006/relationships/oleObject" Target="embeddings/oleObject5.bin"/><Relationship Id="rId41" Type="http://schemas.openxmlformats.org/officeDocument/2006/relationships/image" Target="media/image18.png"/><Relationship Id="rId54" Type="http://schemas.openxmlformats.org/officeDocument/2006/relationships/hyperlink" Target="http://e-dergi.marmara.edu.tr/marufacd/article/view/5000%20004941" TargetMode="External"/><Relationship Id="rId62" Type="http://schemas.openxmlformats.org/officeDocument/2006/relationships/hyperlink" Target="http://connection.ebscohost.com/c/articles/74240351/%20quarterly-performance-stability-patterns-turkish-largest-commercial-banks-2003-2009-period-application-data-envelopment-window-analysis" TargetMode="External"/><Relationship Id="rId70" Type="http://schemas.openxmlformats.org/officeDocument/2006/relationships/hyperlink" Target="http://www.spk.gov.tr/displayfile.aspx?action=displayfile&amp;pageid=741&amp;fn" TargetMode="External"/><Relationship Id="rId75" Type="http://schemas.openxmlformats.org/officeDocument/2006/relationships/hyperlink" Target="http://www.finnet.com.tr/f2000/yabanci/YillikIslemSeyri.asp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5.emf"/><Relationship Id="rId57" Type="http://schemas.openxmlformats.org/officeDocument/2006/relationships/hyperlink" Target="http://ekonomikyaklasim.org/pdfs2/EYD_V14_%20N48_A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8EEAD-9C98-409A-9799-B643BD42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12550</Words>
  <Characters>71538</Characters>
  <Application>Microsoft Office Word</Application>
  <DocSecurity>0</DocSecurity>
  <Lines>596</Lines>
  <Paragraphs>167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Nilufer Bayram</dc:creator>
  <cp:lastModifiedBy>Sevgin Fettahoğlu</cp:lastModifiedBy>
  <cp:revision>112</cp:revision>
  <cp:lastPrinted>2015-06-24T10:48:00Z</cp:lastPrinted>
  <dcterms:created xsi:type="dcterms:W3CDTF">2015-07-21T12:51:00Z</dcterms:created>
  <dcterms:modified xsi:type="dcterms:W3CDTF">2016-03-07T12:26:00Z</dcterms:modified>
</cp:coreProperties>
</file>