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6A" w:rsidRPr="003F5547" w:rsidRDefault="00A62E57" w:rsidP="00830F79">
      <w:pPr>
        <w:spacing w:before="120" w:after="120"/>
        <w:jc w:val="center"/>
        <w:rPr>
          <w:rFonts w:ascii="Arial" w:hAnsi="Arial" w:cs="Arial"/>
          <w:b/>
          <w:color w:val="FFFFFF" w:themeColor="background1"/>
          <w:sz w:val="20"/>
          <w:szCs w:val="20"/>
        </w:rPr>
      </w:pPr>
      <w:r>
        <w:rPr>
          <w:rFonts w:ascii="Arial" w:hAnsi="Arial" w:cs="Arial"/>
          <w:i/>
          <w:noProof/>
          <w:sz w:val="20"/>
          <w:szCs w:val="20"/>
          <w:lang w:val="de-DE" w:eastAsia="de-DE"/>
        </w:rPr>
        <mc:AlternateContent>
          <mc:Choice Requires="wps">
            <w:drawing>
              <wp:anchor distT="0" distB="0" distL="114300" distR="114300" simplePos="0" relativeHeight="251658240" behindDoc="0" locked="0" layoutInCell="1" allowOverlap="1" wp14:anchorId="1FB95C28" wp14:editId="25112161">
                <wp:simplePos x="0" y="0"/>
                <wp:positionH relativeFrom="column">
                  <wp:posOffset>-18266</wp:posOffset>
                </wp:positionH>
                <wp:positionV relativeFrom="paragraph">
                  <wp:posOffset>208698</wp:posOffset>
                </wp:positionV>
                <wp:extent cx="5939790" cy="0"/>
                <wp:effectExtent l="9525" t="8890" r="13335" b="1016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6.45pt" to="466.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"/>
            </w:pict>
          </mc:Fallback>
        </mc:AlternateContent>
      </w:r>
      <w:r w:rsidR="00AC096A" w:rsidRPr="003F5547">
        <w:rPr>
          <w:rFonts w:ascii="Arial" w:hAnsi="Arial" w:cs="Arial"/>
          <w:b/>
          <w:color w:val="FFFFFF" w:themeColor="background1"/>
          <w:sz w:val="20"/>
          <w:szCs w:val="20"/>
          <w:highlight w:val="black"/>
        </w:rPr>
        <w:t>RESEARCH ARTICLE</w:t>
      </w:r>
    </w:p>
    <w:p w:rsidR="008D4FFF" w:rsidRPr="003C2ED9" w:rsidRDefault="0036111D" w:rsidP="008D4FFF">
      <w:pPr>
        <w:spacing w:before="120" w:after="120"/>
        <w:jc w:val="center"/>
        <w:rPr>
          <w:rFonts w:ascii="Arial" w:hAnsi="Arial" w:cs="Arial"/>
          <w:b/>
          <w:sz w:val="26"/>
          <w:szCs w:val="26"/>
          <w:lang w:val="en-US"/>
        </w:rPr>
      </w:pPr>
      <w:r w:rsidRPr="0036111D">
        <w:rPr>
          <w:rFonts w:ascii="Arial" w:hAnsi="Arial" w:cs="Arial"/>
          <w:b/>
          <w:sz w:val="26"/>
          <w:szCs w:val="26"/>
          <w:lang w:val="en-US"/>
        </w:rPr>
        <w:t>C</w:t>
      </w:r>
      <w:r w:rsidR="003F303B">
        <w:rPr>
          <w:rFonts w:ascii="Arial" w:hAnsi="Arial" w:cs="Arial"/>
          <w:b/>
          <w:sz w:val="26"/>
          <w:szCs w:val="26"/>
          <w:lang w:val="en-US"/>
        </w:rPr>
        <w:t>urrent Prognostic Factors of Tetanus in Abidjan: 2005-2014</w:t>
      </w:r>
    </w:p>
    <w:p w:rsidR="008D4FFF" w:rsidRPr="000D7970" w:rsidRDefault="0010024F" w:rsidP="008D4FFF">
      <w:pPr>
        <w:spacing w:before="120" w:after="120"/>
        <w:jc w:val="center"/>
        <w:rPr>
          <w:rFonts w:ascii="Arial" w:hAnsi="Arial" w:cs="Arial"/>
          <w:sz w:val="20"/>
          <w:szCs w:val="20"/>
        </w:rPr>
      </w:pPr>
      <w:r w:rsidRPr="0010024F">
        <w:rPr>
          <w:rFonts w:ascii="Arial" w:eastAsia="Arial Unicode MS" w:hAnsi="Arial" w:cs="Arial"/>
          <w:sz w:val="20"/>
          <w:szCs w:val="20"/>
        </w:rPr>
        <w:t>Aristophane Koffi Tanon</w:t>
      </w:r>
      <w:r w:rsidRPr="0010024F">
        <w:rPr>
          <w:rFonts w:ascii="Arial" w:eastAsia="Arial Unicode MS" w:hAnsi="Arial" w:cs="Arial"/>
          <w:sz w:val="20"/>
          <w:szCs w:val="20"/>
          <w:vertAlign w:val="superscript"/>
        </w:rPr>
        <w:t>1</w:t>
      </w:r>
      <w:r w:rsidRPr="0010024F">
        <w:rPr>
          <w:rFonts w:ascii="Arial" w:eastAsia="Arial Unicode MS" w:hAnsi="Arial" w:cs="Arial"/>
          <w:sz w:val="20"/>
          <w:szCs w:val="20"/>
        </w:rPr>
        <w:t>, Adama Doumbia</w:t>
      </w:r>
      <w:r w:rsidRPr="0010024F">
        <w:rPr>
          <w:rFonts w:ascii="Arial" w:eastAsia="Arial Unicode MS" w:hAnsi="Arial" w:cs="Arial"/>
          <w:sz w:val="20"/>
          <w:szCs w:val="20"/>
          <w:vertAlign w:val="superscript"/>
        </w:rPr>
        <w:t>1</w:t>
      </w:r>
      <w:r w:rsidRPr="0010024F">
        <w:rPr>
          <w:rFonts w:ascii="Arial" w:eastAsia="Arial Unicode MS" w:hAnsi="Arial" w:cs="Arial"/>
          <w:sz w:val="20"/>
          <w:szCs w:val="20"/>
        </w:rPr>
        <w:t>, Patrick Ahuatchi Coffie</w:t>
      </w:r>
      <w:r w:rsidRPr="0010024F">
        <w:rPr>
          <w:rFonts w:ascii="Arial" w:eastAsia="Arial Unicode MS" w:hAnsi="Arial" w:cs="Arial"/>
          <w:sz w:val="20"/>
          <w:szCs w:val="20"/>
          <w:vertAlign w:val="superscript"/>
        </w:rPr>
        <w:t>1</w:t>
      </w:r>
      <w:r w:rsidRPr="0010024F">
        <w:rPr>
          <w:rFonts w:ascii="Arial" w:eastAsia="Arial Unicode MS" w:hAnsi="Arial" w:cs="Arial"/>
          <w:sz w:val="20"/>
          <w:szCs w:val="20"/>
        </w:rPr>
        <w:t>, Bonaventure Asséké</w:t>
      </w:r>
      <w:r w:rsidRPr="0010024F">
        <w:rPr>
          <w:rFonts w:ascii="Arial" w:eastAsia="Arial Unicode MS" w:hAnsi="Arial" w:cs="Arial"/>
          <w:sz w:val="20"/>
          <w:szCs w:val="20"/>
          <w:vertAlign w:val="superscript"/>
        </w:rPr>
        <w:t>2</w:t>
      </w:r>
      <w:r w:rsidRPr="0010024F">
        <w:rPr>
          <w:rFonts w:ascii="Arial" w:eastAsia="Arial Unicode MS" w:hAnsi="Arial" w:cs="Arial"/>
          <w:sz w:val="20"/>
          <w:szCs w:val="20"/>
        </w:rPr>
        <w:t>, Eboi Ehui</w:t>
      </w:r>
      <w:r w:rsidRPr="0010024F">
        <w:rPr>
          <w:rFonts w:ascii="Arial" w:eastAsia="Arial Unicode MS" w:hAnsi="Arial" w:cs="Arial"/>
          <w:sz w:val="20"/>
          <w:szCs w:val="20"/>
          <w:vertAlign w:val="superscript"/>
        </w:rPr>
        <w:t>1</w:t>
      </w:r>
      <w:r w:rsidRPr="0010024F">
        <w:rPr>
          <w:rFonts w:ascii="Arial" w:eastAsia="Arial Unicode MS" w:hAnsi="Arial" w:cs="Arial"/>
          <w:sz w:val="20"/>
          <w:szCs w:val="20"/>
        </w:rPr>
        <w:t>, François Eba Aoussi</w:t>
      </w:r>
      <w:r w:rsidRPr="0010024F">
        <w:rPr>
          <w:rFonts w:ascii="Arial" w:eastAsia="Arial Unicode MS" w:hAnsi="Arial" w:cs="Arial"/>
          <w:sz w:val="20"/>
          <w:szCs w:val="20"/>
          <w:vertAlign w:val="superscript"/>
        </w:rPr>
        <w:t>1</w:t>
      </w:r>
      <w:r w:rsidRPr="0010024F">
        <w:rPr>
          <w:rFonts w:ascii="Arial" w:eastAsia="Arial Unicode MS" w:hAnsi="Arial" w:cs="Arial"/>
          <w:sz w:val="20"/>
          <w:szCs w:val="20"/>
        </w:rPr>
        <w:t>, Serge Paul Eholié</w:t>
      </w:r>
      <w:r w:rsidRPr="0010024F">
        <w:rPr>
          <w:rFonts w:ascii="Arial" w:eastAsia="Arial Unicode MS" w:hAnsi="Arial" w:cs="Arial"/>
          <w:sz w:val="20"/>
          <w:szCs w:val="20"/>
          <w:vertAlign w:val="superscript"/>
        </w:rPr>
        <w:t>1</w:t>
      </w:r>
      <w:r w:rsidRPr="0010024F">
        <w:rPr>
          <w:rFonts w:ascii="Arial" w:eastAsia="Arial Unicode MS" w:hAnsi="Arial" w:cs="Arial"/>
          <w:sz w:val="20"/>
          <w:szCs w:val="20"/>
        </w:rPr>
        <w:t>, Aka Rigobert Kakou</w:t>
      </w:r>
      <w:r w:rsidRPr="0010024F">
        <w:rPr>
          <w:rFonts w:ascii="Arial" w:eastAsia="Arial Unicode MS" w:hAnsi="Arial" w:cs="Arial"/>
          <w:sz w:val="20"/>
          <w:szCs w:val="20"/>
          <w:vertAlign w:val="superscript"/>
        </w:rPr>
        <w:t>2</w:t>
      </w:r>
    </w:p>
    <w:p w:rsidR="0010024F" w:rsidRPr="0010024F" w:rsidRDefault="0010024F" w:rsidP="0010024F">
      <w:pPr>
        <w:pStyle w:val="Fuzeile"/>
        <w:jc w:val="center"/>
        <w:rPr>
          <w:rStyle w:val="10-AltBilgiYazismaAdresiChar"/>
          <w:rFonts w:ascii="Arial" w:eastAsiaTheme="minorHAnsi" w:hAnsi="Arial" w:cs="Arial"/>
          <w:i/>
        </w:rPr>
      </w:pPr>
      <w:r w:rsidRPr="0010024F">
        <w:rPr>
          <w:rStyle w:val="10-AltBilgiYazismaAdresiChar"/>
          <w:rFonts w:ascii="Arial" w:eastAsiaTheme="minorHAnsi" w:hAnsi="Arial" w:cs="Arial"/>
          <w:i/>
          <w:vertAlign w:val="superscript"/>
        </w:rPr>
        <w:t>1</w:t>
      </w:r>
      <w:r w:rsidRPr="0010024F">
        <w:rPr>
          <w:rStyle w:val="10-AltBilgiYazismaAdresiChar"/>
          <w:rFonts w:ascii="Arial" w:eastAsiaTheme="minorHAnsi" w:hAnsi="Arial" w:cs="Arial"/>
          <w:i/>
        </w:rPr>
        <w:t xml:space="preserve">Training and </w:t>
      </w:r>
      <w:proofErr w:type="spellStart"/>
      <w:r w:rsidRPr="0010024F">
        <w:rPr>
          <w:rStyle w:val="10-AltBilgiYazismaAdresiChar"/>
          <w:rFonts w:ascii="Arial" w:eastAsiaTheme="minorHAnsi" w:hAnsi="Arial" w:cs="Arial"/>
          <w:i/>
        </w:rPr>
        <w:t>Reaserch</w:t>
      </w:r>
      <w:proofErr w:type="spellEnd"/>
      <w:r w:rsidRPr="0010024F">
        <w:rPr>
          <w:rStyle w:val="10-AltBilgiYazismaAdresiChar"/>
          <w:rFonts w:ascii="Arial" w:eastAsiaTheme="minorHAnsi" w:hAnsi="Arial" w:cs="Arial"/>
          <w:i/>
        </w:rPr>
        <w:t xml:space="preserve"> Unit of Medical Sciences: University Félix </w:t>
      </w:r>
      <w:proofErr w:type="spellStart"/>
      <w:r w:rsidRPr="0010024F">
        <w:rPr>
          <w:rStyle w:val="10-AltBilgiYazismaAdresiChar"/>
          <w:rFonts w:ascii="Arial" w:eastAsiaTheme="minorHAnsi" w:hAnsi="Arial" w:cs="Arial"/>
          <w:i/>
        </w:rPr>
        <w:t>Houphouët</w:t>
      </w:r>
      <w:proofErr w:type="spellEnd"/>
      <w:r w:rsidRPr="0010024F">
        <w:rPr>
          <w:rStyle w:val="10-AltBilgiYazismaAdresiChar"/>
          <w:rFonts w:ascii="Arial" w:eastAsiaTheme="minorHAnsi" w:hAnsi="Arial" w:cs="Arial"/>
          <w:i/>
        </w:rPr>
        <w:t xml:space="preserve"> </w:t>
      </w:r>
      <w:proofErr w:type="spellStart"/>
      <w:r w:rsidRPr="0010024F">
        <w:rPr>
          <w:rStyle w:val="10-AltBilgiYazismaAdresiChar"/>
          <w:rFonts w:ascii="Arial" w:eastAsiaTheme="minorHAnsi" w:hAnsi="Arial" w:cs="Arial"/>
          <w:i/>
        </w:rPr>
        <w:t>Boigny</w:t>
      </w:r>
      <w:proofErr w:type="spellEnd"/>
      <w:r w:rsidRPr="0010024F">
        <w:rPr>
          <w:rStyle w:val="10-AltBilgiYazismaAdresiChar"/>
          <w:rFonts w:ascii="Arial" w:eastAsiaTheme="minorHAnsi" w:hAnsi="Arial" w:cs="Arial"/>
          <w:i/>
        </w:rPr>
        <w:t xml:space="preserve"> of </w:t>
      </w:r>
      <w:proofErr w:type="spellStart"/>
      <w:r w:rsidRPr="0010024F">
        <w:rPr>
          <w:rStyle w:val="10-AltBilgiYazismaAdresiChar"/>
          <w:rFonts w:ascii="Arial" w:eastAsiaTheme="minorHAnsi" w:hAnsi="Arial" w:cs="Arial"/>
          <w:i/>
        </w:rPr>
        <w:t>Cocody</w:t>
      </w:r>
      <w:proofErr w:type="spellEnd"/>
      <w:r w:rsidRPr="0010024F">
        <w:rPr>
          <w:rStyle w:val="10-AltBilgiYazismaAdresiChar"/>
          <w:rFonts w:ascii="Arial" w:eastAsiaTheme="minorHAnsi" w:hAnsi="Arial" w:cs="Arial"/>
          <w:i/>
        </w:rPr>
        <w:t>, Abidjan, Ivory Coast</w:t>
      </w:r>
    </w:p>
    <w:p w:rsidR="000D7970" w:rsidRPr="0010024F" w:rsidRDefault="0010024F" w:rsidP="0010024F">
      <w:pPr>
        <w:pStyle w:val="Fuzeile"/>
        <w:jc w:val="center"/>
        <w:rPr>
          <w:rStyle w:val="10-AltBilgiYazismaAdresiChar"/>
          <w:rFonts w:ascii="Arial" w:eastAsiaTheme="minorHAnsi" w:hAnsi="Arial" w:cs="Arial"/>
          <w:i/>
        </w:rPr>
      </w:pPr>
      <w:r w:rsidRPr="0010024F">
        <w:rPr>
          <w:rStyle w:val="10-AltBilgiYazismaAdresiChar"/>
          <w:rFonts w:ascii="Arial" w:eastAsiaTheme="minorHAnsi" w:hAnsi="Arial" w:cs="Arial"/>
          <w:i/>
          <w:vertAlign w:val="superscript"/>
        </w:rPr>
        <w:t>2</w:t>
      </w:r>
      <w:r w:rsidRPr="0010024F">
        <w:rPr>
          <w:rStyle w:val="10-AltBilgiYazismaAdresiChar"/>
          <w:rFonts w:ascii="Arial" w:eastAsiaTheme="minorHAnsi" w:hAnsi="Arial" w:cs="Arial"/>
          <w:i/>
        </w:rPr>
        <w:t>Infectious and Tropical diseases Department, BP V3 Treichville Teaching Hospital, Abidjan, Ivory Coast</w:t>
      </w:r>
    </w:p>
    <w:p w:rsidR="00AC096A" w:rsidRPr="000D7970" w:rsidRDefault="00AC096A" w:rsidP="00830F79">
      <w:pPr>
        <w:spacing w:before="120" w:after="120"/>
        <w:jc w:val="both"/>
        <w:rPr>
          <w:rFonts w:ascii="Arial" w:hAnsi="Arial" w:cs="Arial"/>
          <w:sz w:val="20"/>
          <w:szCs w:val="20"/>
          <w:lang w:val="en-US"/>
        </w:rPr>
      </w:pPr>
    </w:p>
    <w:p w:rsidR="00AC096A" w:rsidRPr="003F5547" w:rsidRDefault="00AC096A" w:rsidP="00830F79">
      <w:pPr>
        <w:spacing w:before="120" w:after="120"/>
        <w:jc w:val="both"/>
        <w:rPr>
          <w:rFonts w:ascii="Arial" w:hAnsi="Arial" w:cs="Arial"/>
          <w:b/>
          <w:sz w:val="20"/>
          <w:szCs w:val="20"/>
        </w:rPr>
      </w:pPr>
      <w:r w:rsidRPr="003F5547">
        <w:rPr>
          <w:rFonts w:ascii="Arial" w:hAnsi="Arial" w:cs="Arial"/>
          <w:b/>
          <w:sz w:val="20"/>
          <w:szCs w:val="20"/>
        </w:rPr>
        <w:t>ABSTRACT</w:t>
      </w:r>
    </w:p>
    <w:p w:rsidR="005A65BE" w:rsidRPr="005A65BE" w:rsidRDefault="005A65BE" w:rsidP="005A65BE">
      <w:pPr>
        <w:spacing w:before="120" w:after="120"/>
        <w:jc w:val="both"/>
        <w:rPr>
          <w:rFonts w:ascii="Arial" w:hAnsi="Arial" w:cs="Arial"/>
          <w:sz w:val="18"/>
          <w:szCs w:val="18"/>
        </w:rPr>
      </w:pPr>
      <w:r w:rsidRPr="005A65BE">
        <w:rPr>
          <w:rFonts w:ascii="Arial" w:hAnsi="Arial" w:cs="Arial"/>
          <w:b/>
          <w:sz w:val="18"/>
          <w:szCs w:val="18"/>
        </w:rPr>
        <w:t>Objective:</w:t>
      </w:r>
      <w:r w:rsidRPr="005A65BE">
        <w:rPr>
          <w:rFonts w:ascii="Arial" w:hAnsi="Arial" w:cs="Arial"/>
          <w:sz w:val="18"/>
          <w:szCs w:val="18"/>
        </w:rPr>
        <w:t xml:space="preserve"> To describe the epidemiological, clinical and prognosis aspects of tetanus in patients hospitalized at the Infectious and Tropical Diseases Unit of Treichville Teaching Hospital.</w:t>
      </w:r>
    </w:p>
    <w:p w:rsidR="005A65BE" w:rsidRPr="005A65BE" w:rsidRDefault="005A65BE" w:rsidP="005A65BE">
      <w:pPr>
        <w:spacing w:before="120" w:after="120"/>
        <w:jc w:val="both"/>
        <w:rPr>
          <w:rFonts w:ascii="Arial" w:hAnsi="Arial" w:cs="Arial"/>
          <w:sz w:val="18"/>
          <w:szCs w:val="18"/>
        </w:rPr>
      </w:pPr>
      <w:r w:rsidRPr="005A65BE">
        <w:rPr>
          <w:rFonts w:ascii="Arial" w:hAnsi="Arial" w:cs="Arial"/>
          <w:b/>
          <w:sz w:val="18"/>
          <w:szCs w:val="18"/>
        </w:rPr>
        <w:t>Methods:</w:t>
      </w:r>
      <w:r w:rsidRPr="005A65BE">
        <w:rPr>
          <w:rFonts w:ascii="Arial" w:hAnsi="Arial" w:cs="Arial"/>
          <w:sz w:val="18"/>
          <w:szCs w:val="18"/>
        </w:rPr>
        <w:t xml:space="preserve"> A retrospective study of the medical records of all patients hospitalized between 2005 and 2014. The “Dakar prognosis score” was established on the basis of six parameters: incubation period, duration of invasion, site of entry, presence of paroxysms, body temperature and pulse rate. A logistic regression model was used to identify the factors associated with death.</w:t>
      </w:r>
    </w:p>
    <w:p w:rsidR="005A65BE" w:rsidRPr="005A65BE" w:rsidRDefault="005A65BE" w:rsidP="005A65BE">
      <w:pPr>
        <w:spacing w:before="120" w:after="120"/>
        <w:jc w:val="both"/>
        <w:rPr>
          <w:rFonts w:ascii="Arial" w:hAnsi="Arial" w:cs="Arial"/>
          <w:sz w:val="18"/>
          <w:szCs w:val="18"/>
        </w:rPr>
      </w:pPr>
      <w:r w:rsidRPr="005A65BE">
        <w:rPr>
          <w:rFonts w:ascii="Arial" w:hAnsi="Arial" w:cs="Arial"/>
          <w:b/>
          <w:sz w:val="18"/>
          <w:szCs w:val="18"/>
        </w:rPr>
        <w:t>Results:</w:t>
      </w:r>
      <w:r w:rsidRPr="005A65BE">
        <w:rPr>
          <w:rFonts w:ascii="Arial" w:hAnsi="Arial" w:cs="Arial"/>
          <w:sz w:val="18"/>
          <w:szCs w:val="18"/>
        </w:rPr>
        <w:t xml:space="preserve"> Overall, 455 cases of tetanus were included, with a predominance of males (86%). Most patients lived in Abidjan (77%). A very high proportion of cases were generalized tetanus (96%), and 137 patients (30%) died. The factors associated with death were age &gt;60 years (aOR 2.76; 95% CI 1.07 to 9.91), being a labourer (aOR 2.83 95% CI 1.07-9.39), a severe Dakar prognostic score (aOR 5.76; 95% CI 2.26-14.72), no intrathecal serotherapy (aOR = 15.6; 95% CI 5.40- 44.84), no penicillin-therapy (aOR 2.33; 95% CI 1.11-4.87) and the presence of complications (aOR 8.53, 95% CI 4.83-15.09). </w:t>
      </w:r>
    </w:p>
    <w:p w:rsidR="008D4FFF" w:rsidRPr="00657A0E" w:rsidRDefault="005A65BE" w:rsidP="005A65BE">
      <w:pPr>
        <w:spacing w:before="120" w:after="120"/>
        <w:jc w:val="both"/>
        <w:rPr>
          <w:rFonts w:ascii="Arial" w:hAnsi="Arial" w:cs="Arial"/>
          <w:bCs/>
          <w:i/>
          <w:sz w:val="18"/>
          <w:szCs w:val="18"/>
          <w:lang w:val="en-US"/>
        </w:rPr>
      </w:pPr>
      <w:r w:rsidRPr="005A65BE">
        <w:rPr>
          <w:rFonts w:ascii="Arial" w:hAnsi="Arial" w:cs="Arial"/>
          <w:b/>
          <w:sz w:val="18"/>
          <w:szCs w:val="18"/>
        </w:rPr>
        <w:t>Conclusion:</w:t>
      </w:r>
      <w:r w:rsidRPr="005A65BE">
        <w:rPr>
          <w:rFonts w:ascii="Arial" w:hAnsi="Arial" w:cs="Arial"/>
          <w:sz w:val="18"/>
          <w:szCs w:val="18"/>
        </w:rPr>
        <w:t xml:space="preserve"> This study identifies a number of factors for a poor prognosis among patients with tetanus admitted to our hospital, indicating that measures to reduce morbidity and mortality due to tetanus should be strengthened and prevention improved in resource limited settings. The prognostic parameters in “the Dakar score” should therefore be adapted to the current epidemiological and clinical contexts in Côte d’Ivoire.</w:t>
      </w:r>
      <w:r w:rsidR="00657A0E" w:rsidRPr="005A65BE">
        <w:rPr>
          <w:rFonts w:ascii="Arial" w:hAnsi="Arial" w:cs="Arial"/>
          <w:sz w:val="18"/>
          <w:szCs w:val="18"/>
        </w:rPr>
        <w:t xml:space="preserve"> </w:t>
      </w:r>
      <w:r w:rsidR="00657A0E" w:rsidRPr="00657A0E">
        <w:rPr>
          <w:rFonts w:ascii="Arial" w:hAnsi="Arial" w:cs="Arial"/>
          <w:i/>
          <w:sz w:val="18"/>
          <w:szCs w:val="18"/>
        </w:rPr>
        <w:t>J Micro</w:t>
      </w:r>
      <w:r w:rsidR="00657A0E">
        <w:rPr>
          <w:rFonts w:ascii="Arial" w:hAnsi="Arial" w:cs="Arial"/>
          <w:i/>
          <w:sz w:val="18"/>
          <w:szCs w:val="18"/>
        </w:rPr>
        <w:t>biol Infect Dis 2017; 7(</w:t>
      </w:r>
      <w:r w:rsidR="00156F95">
        <w:rPr>
          <w:rFonts w:ascii="Arial" w:hAnsi="Arial" w:cs="Arial"/>
          <w:i/>
          <w:sz w:val="18"/>
          <w:szCs w:val="18"/>
        </w:rPr>
        <w:t>3</w:t>
      </w:r>
      <w:r w:rsidR="00E15A52" w:rsidRPr="00F01A6A">
        <w:rPr>
          <w:rFonts w:ascii="Arial" w:hAnsi="Arial" w:cs="Arial"/>
          <w:i/>
          <w:sz w:val="18"/>
          <w:szCs w:val="18"/>
        </w:rPr>
        <w:t>):</w:t>
      </w:r>
      <w:r w:rsidR="00F01A6A" w:rsidRPr="00F01A6A">
        <w:rPr>
          <w:rFonts w:ascii="Arial" w:hAnsi="Arial" w:cs="Arial"/>
          <w:i/>
          <w:sz w:val="18"/>
          <w:szCs w:val="18"/>
        </w:rPr>
        <w:t>1</w:t>
      </w:r>
      <w:r w:rsidR="00EC4224">
        <w:rPr>
          <w:rFonts w:ascii="Arial" w:hAnsi="Arial" w:cs="Arial"/>
          <w:i/>
          <w:sz w:val="18"/>
          <w:szCs w:val="18"/>
        </w:rPr>
        <w:t>25</w:t>
      </w:r>
      <w:r w:rsidR="00657A0E" w:rsidRPr="00F01A6A">
        <w:rPr>
          <w:rFonts w:ascii="Arial" w:hAnsi="Arial" w:cs="Arial"/>
          <w:i/>
          <w:sz w:val="18"/>
          <w:szCs w:val="18"/>
        </w:rPr>
        <w:t>-</w:t>
      </w:r>
      <w:r w:rsidR="00F01A6A">
        <w:rPr>
          <w:rFonts w:ascii="Arial" w:hAnsi="Arial" w:cs="Arial"/>
          <w:i/>
          <w:sz w:val="18"/>
          <w:szCs w:val="18"/>
        </w:rPr>
        <w:t>1</w:t>
      </w:r>
      <w:r w:rsidR="00EC4224">
        <w:rPr>
          <w:rFonts w:ascii="Arial" w:hAnsi="Arial" w:cs="Arial"/>
          <w:i/>
          <w:sz w:val="18"/>
          <w:szCs w:val="18"/>
        </w:rPr>
        <w:t>31</w:t>
      </w:r>
    </w:p>
    <w:p w:rsidR="008D4FFF" w:rsidRPr="008D4FFF" w:rsidRDefault="00AC096A" w:rsidP="008D4FFF">
      <w:pPr>
        <w:spacing w:before="120" w:after="120"/>
        <w:jc w:val="both"/>
        <w:rPr>
          <w:rFonts w:ascii="Arial" w:hAnsi="Arial" w:cs="Arial"/>
          <w:bCs/>
          <w:sz w:val="18"/>
          <w:szCs w:val="18"/>
          <w:lang w:val="en-US"/>
        </w:rPr>
      </w:pPr>
      <w:r w:rsidRPr="003F5547">
        <w:rPr>
          <w:rFonts w:ascii="Arial" w:hAnsi="Arial" w:cs="Arial"/>
          <w:b/>
          <w:sz w:val="18"/>
          <w:szCs w:val="18"/>
        </w:rPr>
        <w:t>Keywords:</w:t>
      </w:r>
      <w:r w:rsidRPr="003F5547">
        <w:rPr>
          <w:rFonts w:ascii="Arial" w:hAnsi="Arial" w:cs="Arial"/>
          <w:sz w:val="18"/>
          <w:szCs w:val="18"/>
        </w:rPr>
        <w:t xml:space="preserve"> </w:t>
      </w:r>
      <w:r w:rsidR="005A65BE" w:rsidRPr="005A65BE">
        <w:rPr>
          <w:rFonts w:ascii="Arial" w:hAnsi="Arial" w:cs="Arial"/>
          <w:bCs/>
          <w:sz w:val="18"/>
          <w:szCs w:val="18"/>
          <w:lang w:val="en-US"/>
        </w:rPr>
        <w:t>Prognosis factors, tetanus Côte d’Ivoire, West-Africa</w:t>
      </w:r>
    </w:p>
    <w:p w:rsidR="00AC096A" w:rsidRPr="008D4FFF" w:rsidRDefault="00AC096A" w:rsidP="00830F79">
      <w:pPr>
        <w:spacing w:before="120" w:after="120"/>
        <w:jc w:val="both"/>
        <w:rPr>
          <w:rFonts w:ascii="Arial" w:hAnsi="Arial" w:cs="Arial"/>
          <w:sz w:val="18"/>
          <w:szCs w:val="18"/>
          <w:lang w:val="en-US"/>
        </w:rPr>
      </w:pPr>
    </w:p>
    <w:p w:rsidR="00AC096A" w:rsidRPr="003F5547" w:rsidRDefault="00AC096A" w:rsidP="00830F79">
      <w:pPr>
        <w:spacing w:before="120" w:after="120"/>
        <w:jc w:val="both"/>
        <w:rPr>
          <w:rFonts w:ascii="Arial" w:hAnsi="Arial" w:cs="Arial"/>
          <w:sz w:val="20"/>
          <w:szCs w:val="20"/>
        </w:rPr>
      </w:pPr>
    </w:p>
    <w:p w:rsidR="00AC096A" w:rsidRPr="003F5547" w:rsidRDefault="00AC096A" w:rsidP="00830F79">
      <w:pPr>
        <w:spacing w:before="120" w:after="120"/>
        <w:jc w:val="both"/>
        <w:rPr>
          <w:rFonts w:ascii="Arial" w:hAnsi="Arial" w:cs="Arial"/>
          <w:sz w:val="20"/>
          <w:szCs w:val="20"/>
        </w:rPr>
        <w:sectPr w:rsidR="00AC096A" w:rsidRPr="003F5547" w:rsidSect="00EA3D2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814" w:right="1247" w:bottom="1758" w:left="1304" w:header="1304" w:footer="1361" w:gutter="0"/>
          <w:pgNumType w:start="229"/>
          <w:cols w:space="708"/>
          <w:noEndnote/>
          <w:titlePg/>
          <w:docGrid w:linePitch="326"/>
        </w:sectPr>
      </w:pPr>
    </w:p>
    <w:p w:rsidR="00AC096A" w:rsidRPr="003F5547" w:rsidRDefault="00AC096A" w:rsidP="00830F79">
      <w:pPr>
        <w:spacing w:before="120" w:after="120"/>
        <w:jc w:val="both"/>
        <w:rPr>
          <w:rFonts w:ascii="Arial" w:hAnsi="Arial" w:cs="Arial"/>
          <w:b/>
          <w:sz w:val="20"/>
          <w:szCs w:val="20"/>
        </w:rPr>
      </w:pPr>
      <w:r w:rsidRPr="003F5547">
        <w:rPr>
          <w:rFonts w:ascii="Arial" w:hAnsi="Arial" w:cs="Arial"/>
          <w:b/>
          <w:sz w:val="20"/>
          <w:szCs w:val="20"/>
        </w:rPr>
        <w:lastRenderedPageBreak/>
        <w:t>INTRODUCTION</w:t>
      </w:r>
    </w:p>
    <w:p w:rsidR="005A65BE" w:rsidRPr="005A65BE" w:rsidRDefault="005A65BE" w:rsidP="005A65BE">
      <w:pPr>
        <w:spacing w:before="120" w:after="0"/>
        <w:jc w:val="both"/>
        <w:rPr>
          <w:rFonts w:ascii="Arial" w:hAnsi="Arial" w:cs="Arial"/>
          <w:sz w:val="20"/>
          <w:szCs w:val="20"/>
          <w:lang w:val="en-US"/>
        </w:rPr>
      </w:pPr>
      <w:r w:rsidRPr="005A65BE">
        <w:rPr>
          <w:rFonts w:ascii="Arial" w:hAnsi="Arial" w:cs="Arial"/>
          <w:sz w:val="20"/>
          <w:szCs w:val="20"/>
          <w:lang w:val="en-US"/>
        </w:rPr>
        <w:t xml:space="preserve">Tetanus is a serious, accidental, non-contagious </w:t>
      </w:r>
      <w:proofErr w:type="spellStart"/>
      <w:r w:rsidRPr="005A65BE">
        <w:rPr>
          <w:rFonts w:ascii="Arial" w:hAnsi="Arial" w:cs="Arial"/>
          <w:sz w:val="20"/>
          <w:szCs w:val="20"/>
          <w:lang w:val="en-US"/>
        </w:rPr>
        <w:t>toxi</w:t>
      </w:r>
      <w:proofErr w:type="spellEnd"/>
      <w:r w:rsidRPr="005A65BE">
        <w:rPr>
          <w:rFonts w:ascii="Arial" w:hAnsi="Arial" w:cs="Arial"/>
          <w:sz w:val="20"/>
          <w:szCs w:val="20"/>
          <w:lang w:val="en-US"/>
        </w:rPr>
        <w:t xml:space="preserve">-infection that does not confer immunity and is caused by </w:t>
      </w:r>
      <w:r w:rsidRPr="003443AA">
        <w:rPr>
          <w:rFonts w:ascii="Arial" w:hAnsi="Arial" w:cs="Arial"/>
          <w:i/>
          <w:sz w:val="20"/>
          <w:szCs w:val="20"/>
          <w:lang w:val="en-US"/>
        </w:rPr>
        <w:t xml:space="preserve">Clostridium </w:t>
      </w:r>
      <w:proofErr w:type="spellStart"/>
      <w:r w:rsidRPr="003443AA">
        <w:rPr>
          <w:rFonts w:ascii="Arial" w:hAnsi="Arial" w:cs="Arial"/>
          <w:i/>
          <w:sz w:val="20"/>
          <w:szCs w:val="20"/>
          <w:lang w:val="en-US"/>
        </w:rPr>
        <w:t>tetani</w:t>
      </w:r>
      <w:proofErr w:type="spellEnd"/>
      <w:r w:rsidRPr="005A65BE">
        <w:rPr>
          <w:rFonts w:ascii="Arial" w:hAnsi="Arial" w:cs="Arial"/>
          <w:sz w:val="20"/>
          <w:szCs w:val="20"/>
          <w:lang w:val="en-US"/>
        </w:rPr>
        <w:t xml:space="preserve">, with a strong disparity in the world. Since the Dakar conference which established its prognosis criteria used in sub-Saharan Africa since 1975 [1], and despite the 1995 World Health Organization’s (WHO) stated intention to eradicate tetanus in childbearing, it remains a severe endemic infectious disease, responsible for nearly one million deaths per year in developing countries [2]. </w:t>
      </w:r>
    </w:p>
    <w:p w:rsidR="005A65BE" w:rsidRPr="005A65BE" w:rsidRDefault="005A65BE" w:rsidP="005A65BE">
      <w:pPr>
        <w:spacing w:before="120" w:after="0"/>
        <w:jc w:val="both"/>
        <w:rPr>
          <w:rFonts w:ascii="Arial" w:hAnsi="Arial" w:cs="Arial"/>
          <w:sz w:val="20"/>
          <w:szCs w:val="20"/>
          <w:lang w:val="en-US"/>
        </w:rPr>
      </w:pPr>
      <w:r w:rsidRPr="005A65BE">
        <w:rPr>
          <w:rFonts w:ascii="Arial" w:hAnsi="Arial" w:cs="Arial"/>
          <w:sz w:val="20"/>
          <w:szCs w:val="20"/>
          <w:lang w:val="en-US"/>
        </w:rPr>
        <w:t xml:space="preserve">In Côte d’Ivoire, the immunization schedule recommended for children consists of three vaccine injections at 6, 10 and 14 weeks of life. A vaccine booster dose is given at 16 months, at </w:t>
      </w:r>
      <w:r w:rsidRPr="005A65BE">
        <w:rPr>
          <w:rFonts w:ascii="Arial" w:hAnsi="Arial" w:cs="Arial"/>
          <w:sz w:val="20"/>
          <w:szCs w:val="20"/>
          <w:lang w:val="en-US"/>
        </w:rPr>
        <w:lastRenderedPageBreak/>
        <w:t xml:space="preserve">6 and half years, at 11 and half years, and then every 10 years. For adolescent or adult subjects not vaccinated during childhood, the tetanus vaccine is recommended on the 1st day, and then 1 month and 6 months or 12 months later. A booster shot is given every 10 years. For women not vaccinated, the immunization schedule consists of a 1st dose of tetanus vaccine at the 1st visit regardless of age, followed by a 2nd dose one month after the 1st one. The booster shot is given six months after the last injection, the 2nd one is given one year after the last injection and the 3rd and last one is also given 1 year after the last injection. </w:t>
      </w:r>
    </w:p>
    <w:p w:rsidR="00BE0E94" w:rsidRPr="00303FF6" w:rsidRDefault="005A65BE" w:rsidP="005A65BE">
      <w:pPr>
        <w:spacing w:before="120" w:after="0"/>
        <w:jc w:val="both"/>
        <w:rPr>
          <w:rFonts w:ascii="Arial" w:hAnsi="Arial" w:cs="Arial"/>
          <w:sz w:val="20"/>
          <w:szCs w:val="20"/>
          <w:lang w:val="en-US"/>
        </w:rPr>
      </w:pPr>
      <w:r w:rsidRPr="005A65BE">
        <w:rPr>
          <w:rFonts w:ascii="Arial" w:hAnsi="Arial" w:cs="Arial"/>
          <w:sz w:val="20"/>
          <w:szCs w:val="20"/>
          <w:lang w:val="en-US"/>
        </w:rPr>
        <w:t xml:space="preserve">Although the Expanded Program on Immunization (EPI) is the means by which these WHO initiatives are carried out, the booster shot program is not yet implemented for tetanus </w:t>
      </w:r>
      <w:r w:rsidRPr="005A65BE">
        <w:rPr>
          <w:rFonts w:ascii="Arial" w:hAnsi="Arial" w:cs="Arial"/>
          <w:sz w:val="20"/>
          <w:szCs w:val="20"/>
          <w:lang w:val="en-US"/>
        </w:rPr>
        <w:lastRenderedPageBreak/>
        <w:t>prevention in older age ranges (youngers, adults and elders) [3,4]. Moreover, recent African studies showed a trend towards increased incidence of tetanus in adults [4-8]. Hence the present study aimed at describing the current aspects of tetanus in patients admitted to the referral tetanus care unit, the Infectious and Tropical Diseases Unit (ITDU) at Treichville Teaching Hospital, Abidjan, over a period of ten years (2005-2014) while reporting the current featur</w:t>
      </w:r>
      <w:r>
        <w:rPr>
          <w:rFonts w:ascii="Arial" w:hAnsi="Arial" w:cs="Arial"/>
          <w:sz w:val="20"/>
          <w:szCs w:val="20"/>
          <w:lang w:val="en-US"/>
        </w:rPr>
        <w:t>es of poor prognosis [4,9,10]</w:t>
      </w:r>
      <w:r w:rsidRPr="005A65BE">
        <w:rPr>
          <w:rFonts w:ascii="Arial" w:hAnsi="Arial" w:cs="Arial"/>
          <w:sz w:val="20"/>
          <w:szCs w:val="20"/>
          <w:lang w:val="en-US"/>
        </w:rPr>
        <w:t>.</w:t>
      </w:r>
    </w:p>
    <w:p w:rsidR="00F20730" w:rsidRDefault="00471D1A" w:rsidP="00F20730">
      <w:pPr>
        <w:spacing w:before="120" w:after="0"/>
        <w:jc w:val="both"/>
        <w:rPr>
          <w:rFonts w:ascii="Arial" w:hAnsi="Arial" w:cs="Arial"/>
          <w:b/>
          <w:sz w:val="20"/>
          <w:szCs w:val="20"/>
        </w:rPr>
      </w:pPr>
      <w:r w:rsidRPr="003F5547">
        <w:rPr>
          <w:rFonts w:ascii="Arial" w:hAnsi="Arial" w:cs="Arial"/>
          <w:b/>
          <w:sz w:val="20"/>
          <w:szCs w:val="20"/>
        </w:rPr>
        <w:t>METHODS</w:t>
      </w:r>
    </w:p>
    <w:p w:rsidR="00F20730" w:rsidRPr="00F20730" w:rsidRDefault="00F20730" w:rsidP="00F20730">
      <w:pPr>
        <w:spacing w:before="120" w:after="0"/>
        <w:jc w:val="both"/>
        <w:rPr>
          <w:rFonts w:ascii="Arial" w:hAnsi="Arial" w:cs="Arial"/>
          <w:b/>
          <w:i/>
          <w:sz w:val="20"/>
          <w:szCs w:val="20"/>
          <w:lang w:val="en-US"/>
        </w:rPr>
      </w:pPr>
      <w:r w:rsidRPr="00F20730">
        <w:rPr>
          <w:rFonts w:ascii="Arial" w:hAnsi="Arial" w:cs="Arial"/>
          <w:b/>
          <w:i/>
          <w:sz w:val="20"/>
          <w:szCs w:val="20"/>
          <w:lang w:val="en-US"/>
        </w:rPr>
        <w:t>Study design and setting</w:t>
      </w:r>
    </w:p>
    <w:p w:rsidR="00F20730" w:rsidRPr="00F20730" w:rsidRDefault="00F20730" w:rsidP="00F20730">
      <w:pPr>
        <w:spacing w:before="120" w:after="0"/>
        <w:jc w:val="both"/>
        <w:rPr>
          <w:rFonts w:ascii="Arial" w:hAnsi="Arial" w:cs="Arial"/>
          <w:sz w:val="20"/>
          <w:szCs w:val="20"/>
          <w:lang w:val="en-US"/>
        </w:rPr>
      </w:pPr>
      <w:r w:rsidRPr="00F20730">
        <w:rPr>
          <w:rFonts w:ascii="Arial" w:hAnsi="Arial" w:cs="Arial"/>
          <w:sz w:val="20"/>
          <w:szCs w:val="20"/>
          <w:lang w:val="en-US"/>
        </w:rPr>
        <w:t xml:space="preserve">A medical chart review was conducted at the ITDU, in Treichville Teaching Hospital, Abidjan, Côte d’Ivoire. That ITDU is the referral service for the management of tetanus cases in the country. Although since the creation of neonatology units in the various Teaching Hospitals of Côte d'Ivoire, cases of neonatal and infant tetanus are managed by medical </w:t>
      </w:r>
      <w:r w:rsidR="00EE646F" w:rsidRPr="00F20730">
        <w:rPr>
          <w:rFonts w:ascii="Arial" w:hAnsi="Arial" w:cs="Arial"/>
          <w:sz w:val="20"/>
          <w:szCs w:val="20"/>
          <w:lang w:val="en-US"/>
        </w:rPr>
        <w:t>pediatrics</w:t>
      </w:r>
      <w:r w:rsidRPr="00F20730">
        <w:rPr>
          <w:rFonts w:ascii="Arial" w:hAnsi="Arial" w:cs="Arial"/>
          <w:sz w:val="20"/>
          <w:szCs w:val="20"/>
          <w:lang w:val="en-US"/>
        </w:rPr>
        <w:t xml:space="preserve"> services, most cases of juvenile tetanus still attend ITDU [4]. It is also the referral service for the treatment and care of HIV/AIDS and illnesses with a high risk of epidemic and nosocomial infections (viral </w:t>
      </w:r>
      <w:r w:rsidR="00EE646F" w:rsidRPr="00F20730">
        <w:rPr>
          <w:rFonts w:ascii="Arial" w:hAnsi="Arial" w:cs="Arial"/>
          <w:sz w:val="20"/>
          <w:szCs w:val="20"/>
          <w:lang w:val="en-US"/>
        </w:rPr>
        <w:t>hemorrhagic</w:t>
      </w:r>
      <w:r w:rsidRPr="00F20730">
        <w:rPr>
          <w:rFonts w:ascii="Arial" w:hAnsi="Arial" w:cs="Arial"/>
          <w:sz w:val="20"/>
          <w:szCs w:val="20"/>
          <w:lang w:val="en-US"/>
        </w:rPr>
        <w:t xml:space="preserve"> fever, severe acute respiratory syndrome, bird flu, Ebola virus disease, AIDS</w:t>
      </w:r>
      <w:r w:rsidR="0026442C">
        <w:rPr>
          <w:rFonts w:ascii="Arial" w:hAnsi="Arial" w:cs="Arial"/>
          <w:sz w:val="20"/>
          <w:szCs w:val="20"/>
          <w:lang w:val="en-US"/>
        </w:rPr>
        <w:t xml:space="preserve"> etc.)</w:t>
      </w:r>
      <w:r w:rsidRPr="00F20730">
        <w:rPr>
          <w:rFonts w:ascii="Arial" w:hAnsi="Arial" w:cs="Arial"/>
          <w:sz w:val="20"/>
          <w:szCs w:val="20"/>
          <w:lang w:val="en-US"/>
        </w:rPr>
        <w:t xml:space="preserve"> </w:t>
      </w:r>
    </w:p>
    <w:p w:rsidR="00F20730" w:rsidRPr="00F20730" w:rsidRDefault="00F20730" w:rsidP="00F20730">
      <w:pPr>
        <w:spacing w:before="120" w:after="0"/>
        <w:jc w:val="both"/>
        <w:rPr>
          <w:rFonts w:ascii="Arial" w:hAnsi="Arial" w:cs="Arial"/>
          <w:b/>
          <w:i/>
          <w:sz w:val="20"/>
          <w:szCs w:val="20"/>
          <w:lang w:val="en-US"/>
        </w:rPr>
      </w:pPr>
      <w:r w:rsidRPr="00F20730">
        <w:rPr>
          <w:rFonts w:ascii="Arial" w:hAnsi="Arial" w:cs="Arial"/>
          <w:b/>
          <w:i/>
          <w:sz w:val="20"/>
          <w:szCs w:val="20"/>
          <w:lang w:val="en-US"/>
        </w:rPr>
        <w:t>Study population</w:t>
      </w:r>
    </w:p>
    <w:p w:rsidR="00F20730" w:rsidRPr="00F20730" w:rsidRDefault="00F20730" w:rsidP="00F20730">
      <w:pPr>
        <w:spacing w:before="120" w:after="0"/>
        <w:jc w:val="both"/>
        <w:rPr>
          <w:rFonts w:ascii="Arial" w:hAnsi="Arial" w:cs="Arial"/>
          <w:sz w:val="20"/>
          <w:szCs w:val="20"/>
          <w:lang w:val="en-US"/>
        </w:rPr>
      </w:pPr>
      <w:r w:rsidRPr="00F20730">
        <w:rPr>
          <w:rFonts w:ascii="Arial" w:hAnsi="Arial" w:cs="Arial"/>
          <w:sz w:val="20"/>
          <w:szCs w:val="20"/>
          <w:lang w:val="en-US"/>
        </w:rPr>
        <w:t xml:space="preserve">All patients with generalized or localized tetanus, admitted at ITDU from 1st January 2005 to 31st December 2014 were included. </w:t>
      </w:r>
    </w:p>
    <w:p w:rsidR="00F20730" w:rsidRPr="00F20730" w:rsidRDefault="00F20730" w:rsidP="00F20730">
      <w:pPr>
        <w:spacing w:before="120" w:after="0"/>
        <w:jc w:val="both"/>
        <w:rPr>
          <w:rFonts w:ascii="Arial" w:hAnsi="Arial" w:cs="Arial"/>
          <w:b/>
          <w:i/>
          <w:sz w:val="20"/>
          <w:szCs w:val="20"/>
          <w:lang w:val="en-US"/>
        </w:rPr>
      </w:pPr>
      <w:r w:rsidRPr="00F20730">
        <w:rPr>
          <w:rFonts w:ascii="Arial" w:hAnsi="Arial" w:cs="Arial"/>
          <w:b/>
          <w:i/>
          <w:sz w:val="20"/>
          <w:szCs w:val="20"/>
          <w:lang w:val="en-US"/>
        </w:rPr>
        <w:t>Data collection</w:t>
      </w:r>
    </w:p>
    <w:p w:rsidR="00F20730" w:rsidRPr="00F20730" w:rsidRDefault="00F20730" w:rsidP="00F20730">
      <w:pPr>
        <w:spacing w:before="120" w:after="0"/>
        <w:jc w:val="both"/>
        <w:rPr>
          <w:rFonts w:ascii="Arial" w:hAnsi="Arial" w:cs="Arial"/>
          <w:sz w:val="20"/>
          <w:szCs w:val="20"/>
          <w:lang w:val="en-US"/>
        </w:rPr>
      </w:pPr>
      <w:r w:rsidRPr="00F20730">
        <w:rPr>
          <w:rFonts w:ascii="Arial" w:hAnsi="Arial" w:cs="Arial"/>
          <w:sz w:val="20"/>
          <w:szCs w:val="20"/>
          <w:lang w:val="en-US"/>
        </w:rPr>
        <w:t xml:space="preserve">A standardized survey form was completed from patients’ records and included Socio-demographic, clinical and treatment histories. </w:t>
      </w:r>
    </w:p>
    <w:p w:rsidR="00F20730" w:rsidRPr="00F20730" w:rsidRDefault="00F20730" w:rsidP="00F20730">
      <w:pPr>
        <w:spacing w:before="120" w:after="0"/>
        <w:jc w:val="both"/>
        <w:rPr>
          <w:rFonts w:ascii="Arial" w:hAnsi="Arial" w:cs="Arial"/>
          <w:b/>
          <w:i/>
          <w:sz w:val="20"/>
          <w:szCs w:val="20"/>
          <w:lang w:val="en-US"/>
        </w:rPr>
      </w:pPr>
      <w:r w:rsidRPr="00F20730">
        <w:rPr>
          <w:rFonts w:ascii="Arial" w:hAnsi="Arial" w:cs="Arial"/>
          <w:b/>
          <w:i/>
          <w:sz w:val="20"/>
          <w:szCs w:val="20"/>
          <w:lang w:val="en-US"/>
        </w:rPr>
        <w:t>Diagnosis of tetanus</w:t>
      </w:r>
    </w:p>
    <w:p w:rsidR="00F20730" w:rsidRPr="00F20730" w:rsidRDefault="00F20730" w:rsidP="00F20730">
      <w:pPr>
        <w:spacing w:before="120" w:after="0"/>
        <w:jc w:val="both"/>
        <w:rPr>
          <w:rFonts w:ascii="Arial" w:hAnsi="Arial" w:cs="Arial"/>
          <w:sz w:val="20"/>
          <w:szCs w:val="20"/>
          <w:lang w:val="en-US"/>
        </w:rPr>
      </w:pPr>
      <w:r w:rsidRPr="00F20730">
        <w:rPr>
          <w:rFonts w:ascii="Arial" w:hAnsi="Arial" w:cs="Arial"/>
          <w:sz w:val="20"/>
          <w:szCs w:val="20"/>
          <w:lang w:val="en-US"/>
        </w:rPr>
        <w:t>The diagnosis of tetanus was based on the prese</w:t>
      </w:r>
      <w:r w:rsidR="0026442C">
        <w:rPr>
          <w:rFonts w:ascii="Arial" w:hAnsi="Arial" w:cs="Arial"/>
          <w:sz w:val="20"/>
          <w:szCs w:val="20"/>
          <w:lang w:val="en-US"/>
        </w:rPr>
        <w:t>nce of following clinical signs</w:t>
      </w:r>
      <w:r w:rsidRPr="00F20730">
        <w:rPr>
          <w:rFonts w:ascii="Arial" w:hAnsi="Arial" w:cs="Arial"/>
          <w:sz w:val="20"/>
          <w:szCs w:val="20"/>
          <w:lang w:val="en-US"/>
        </w:rPr>
        <w:t>: (</w:t>
      </w:r>
      <w:proofErr w:type="spellStart"/>
      <w:r w:rsidRPr="00F20730">
        <w:rPr>
          <w:rFonts w:ascii="Arial" w:hAnsi="Arial" w:cs="Arial"/>
          <w:sz w:val="20"/>
          <w:szCs w:val="20"/>
          <w:lang w:val="en-US"/>
        </w:rPr>
        <w:t>i</w:t>
      </w:r>
      <w:proofErr w:type="spellEnd"/>
      <w:r w:rsidRPr="00F20730">
        <w:rPr>
          <w:rFonts w:ascii="Arial" w:hAnsi="Arial" w:cs="Arial"/>
          <w:sz w:val="20"/>
          <w:szCs w:val="20"/>
          <w:lang w:val="en-US"/>
        </w:rPr>
        <w:t xml:space="preserve">) presence of trismus (difficulty of mouth opening) or permanent painful muscle contractions with or without paroxysms; (ii) no disorders of consciousness (coma, </w:t>
      </w:r>
      <w:proofErr w:type="spellStart"/>
      <w:r w:rsidRPr="00F20730">
        <w:rPr>
          <w:rFonts w:ascii="Arial" w:hAnsi="Arial" w:cs="Arial"/>
          <w:sz w:val="20"/>
          <w:szCs w:val="20"/>
          <w:lang w:val="en-US"/>
        </w:rPr>
        <w:t>obnubilation</w:t>
      </w:r>
      <w:proofErr w:type="spellEnd"/>
      <w:r w:rsidRPr="00F20730">
        <w:rPr>
          <w:rFonts w:ascii="Arial" w:hAnsi="Arial" w:cs="Arial"/>
          <w:sz w:val="20"/>
          <w:szCs w:val="20"/>
          <w:lang w:val="en-US"/>
        </w:rPr>
        <w:t xml:space="preserve">) [4-8]; (iii) point of entry such as skin injuries according to </w:t>
      </w:r>
      <w:r>
        <w:rPr>
          <w:rFonts w:ascii="Arial" w:hAnsi="Arial" w:cs="Arial"/>
          <w:sz w:val="20"/>
          <w:szCs w:val="20"/>
          <w:lang w:val="en-US"/>
        </w:rPr>
        <w:t>“the Dakar Prognosis Score” [1</w:t>
      </w:r>
      <w:proofErr w:type="gramStart"/>
      <w:r>
        <w:rPr>
          <w:rFonts w:ascii="Arial" w:hAnsi="Arial" w:cs="Arial"/>
          <w:sz w:val="20"/>
          <w:szCs w:val="20"/>
          <w:lang w:val="en-US"/>
        </w:rPr>
        <w:t>,4,5,7,</w:t>
      </w:r>
      <w:r w:rsidRPr="00F20730">
        <w:rPr>
          <w:rFonts w:ascii="Arial" w:hAnsi="Arial" w:cs="Arial"/>
          <w:sz w:val="20"/>
          <w:szCs w:val="20"/>
          <w:lang w:val="en-US"/>
        </w:rPr>
        <w:t>10</w:t>
      </w:r>
      <w:proofErr w:type="gramEnd"/>
      <w:r w:rsidRPr="00F20730">
        <w:rPr>
          <w:rFonts w:ascii="Arial" w:hAnsi="Arial" w:cs="Arial"/>
          <w:sz w:val="20"/>
          <w:szCs w:val="20"/>
          <w:lang w:val="en-US"/>
        </w:rPr>
        <w:t>];.</w:t>
      </w:r>
    </w:p>
    <w:p w:rsidR="00F20730" w:rsidRPr="00F20730" w:rsidRDefault="00F20730" w:rsidP="00F20730">
      <w:pPr>
        <w:spacing w:before="120" w:after="0"/>
        <w:jc w:val="both"/>
        <w:rPr>
          <w:rFonts w:ascii="Arial" w:hAnsi="Arial" w:cs="Arial"/>
          <w:b/>
          <w:i/>
          <w:sz w:val="20"/>
          <w:szCs w:val="20"/>
          <w:lang w:val="en-US"/>
        </w:rPr>
      </w:pPr>
      <w:r w:rsidRPr="00F20730">
        <w:rPr>
          <w:rFonts w:ascii="Arial" w:hAnsi="Arial" w:cs="Arial"/>
          <w:b/>
          <w:i/>
          <w:sz w:val="20"/>
          <w:szCs w:val="20"/>
          <w:lang w:val="en-US"/>
        </w:rPr>
        <w:t>Statistical Analysis</w:t>
      </w:r>
    </w:p>
    <w:p w:rsidR="00F20730" w:rsidRPr="00F20730" w:rsidRDefault="00F20730" w:rsidP="00F20730">
      <w:pPr>
        <w:spacing w:before="120" w:after="0"/>
        <w:jc w:val="both"/>
        <w:rPr>
          <w:rFonts w:ascii="Arial" w:hAnsi="Arial" w:cs="Arial"/>
          <w:sz w:val="20"/>
          <w:szCs w:val="20"/>
          <w:lang w:val="en-US"/>
        </w:rPr>
      </w:pPr>
      <w:r w:rsidRPr="00F20730">
        <w:rPr>
          <w:rFonts w:ascii="Arial" w:hAnsi="Arial" w:cs="Arial"/>
          <w:sz w:val="20"/>
          <w:szCs w:val="20"/>
          <w:lang w:val="en-US"/>
        </w:rPr>
        <w:t xml:space="preserve">Quantitative variables were described in terms of median and interquartile range. Categorical </w:t>
      </w:r>
      <w:r w:rsidRPr="00F20730">
        <w:rPr>
          <w:rFonts w:ascii="Arial" w:hAnsi="Arial" w:cs="Arial"/>
          <w:sz w:val="20"/>
          <w:szCs w:val="20"/>
          <w:lang w:val="en-US"/>
        </w:rPr>
        <w:lastRenderedPageBreak/>
        <w:t xml:space="preserve">variables were described in terms of numbers and percentage. Tetanus prevalence was estimated with its 95% confidence interval. The comparison of median was made using the </w:t>
      </w:r>
      <w:proofErr w:type="spellStart"/>
      <w:r w:rsidRPr="00F20730">
        <w:rPr>
          <w:rFonts w:ascii="Arial" w:hAnsi="Arial" w:cs="Arial"/>
          <w:sz w:val="20"/>
          <w:szCs w:val="20"/>
          <w:lang w:val="en-US"/>
        </w:rPr>
        <w:t>Kruskal</w:t>
      </w:r>
      <w:proofErr w:type="spellEnd"/>
      <w:r w:rsidRPr="00F20730">
        <w:rPr>
          <w:rFonts w:ascii="Arial" w:hAnsi="Arial" w:cs="Arial"/>
          <w:sz w:val="20"/>
          <w:szCs w:val="20"/>
          <w:lang w:val="en-US"/>
        </w:rPr>
        <w:t xml:space="preserve">-Wallis test and that of qualitative variables using the Chi-square test or the Fisher’s exact test according to theoretical numbers. A multivariate logistic regression model was used to identify factors associated with death. Data were </w:t>
      </w:r>
      <w:r w:rsidR="0026442C" w:rsidRPr="00F20730">
        <w:rPr>
          <w:rFonts w:ascii="Arial" w:hAnsi="Arial" w:cs="Arial"/>
          <w:sz w:val="20"/>
          <w:szCs w:val="20"/>
          <w:lang w:val="en-US"/>
        </w:rPr>
        <w:t>analyzed</w:t>
      </w:r>
      <w:r w:rsidRPr="00F20730">
        <w:rPr>
          <w:rFonts w:ascii="Arial" w:hAnsi="Arial" w:cs="Arial"/>
          <w:sz w:val="20"/>
          <w:szCs w:val="20"/>
          <w:lang w:val="en-US"/>
        </w:rPr>
        <w:t xml:space="preserve"> using Stata 9.0 software.</w:t>
      </w:r>
      <w:r w:rsidR="0026442C">
        <w:rPr>
          <w:rFonts w:ascii="Arial" w:hAnsi="Arial" w:cs="Arial"/>
          <w:sz w:val="20"/>
          <w:szCs w:val="20"/>
          <w:lang w:val="en-US"/>
        </w:rPr>
        <w:t xml:space="preserve"> </w:t>
      </w:r>
    </w:p>
    <w:p w:rsidR="00F20730" w:rsidRPr="00F20730" w:rsidRDefault="00F20730" w:rsidP="00F20730">
      <w:pPr>
        <w:spacing w:before="120" w:after="0"/>
        <w:jc w:val="both"/>
        <w:rPr>
          <w:rFonts w:ascii="Arial" w:hAnsi="Arial" w:cs="Arial"/>
          <w:b/>
          <w:caps/>
          <w:sz w:val="20"/>
          <w:szCs w:val="20"/>
          <w:lang w:val="en-US"/>
        </w:rPr>
      </w:pPr>
      <w:r w:rsidRPr="00F20730">
        <w:rPr>
          <w:rFonts w:ascii="Arial" w:hAnsi="Arial" w:cs="Arial"/>
          <w:b/>
          <w:caps/>
          <w:sz w:val="20"/>
          <w:szCs w:val="20"/>
          <w:lang w:val="en-US"/>
        </w:rPr>
        <w:t>Results</w:t>
      </w:r>
    </w:p>
    <w:p w:rsidR="00F20730" w:rsidRPr="00F20730" w:rsidRDefault="00F20730" w:rsidP="00F20730">
      <w:pPr>
        <w:spacing w:before="120" w:after="0"/>
        <w:jc w:val="both"/>
        <w:rPr>
          <w:rFonts w:ascii="Arial" w:hAnsi="Arial" w:cs="Arial"/>
          <w:b/>
          <w:i/>
          <w:sz w:val="20"/>
          <w:szCs w:val="20"/>
          <w:lang w:val="en-US"/>
        </w:rPr>
      </w:pPr>
      <w:r w:rsidRPr="00F20730">
        <w:rPr>
          <w:rFonts w:ascii="Arial" w:hAnsi="Arial" w:cs="Arial"/>
          <w:b/>
          <w:i/>
          <w:sz w:val="20"/>
          <w:szCs w:val="20"/>
          <w:lang w:val="en-US"/>
        </w:rPr>
        <w:t>Socio-demographic data</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A total of 6988 patients were admitted to ITDU during the study period, including 467 (6.7%; 95 CI 6.1-7.3) cases of tetanus from which 12 were excluded because of incomplete data. Among the 455 cases of tetanus enrolled, 390 patients (85.7%) were male. Their median age was 41 years [IQR: 1-80] and the most affected age group was the ones between 15 and 60 years.</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Patients were predominantly of Ivorian nationality (58.6%), and most of them were living in urban zone: Abidjan district (76.9%). The occupations most represented were liberal professions (small businesse</w:t>
      </w:r>
      <w:r>
        <w:rPr>
          <w:rFonts w:ascii="Arial" w:hAnsi="Arial" w:cs="Arial"/>
          <w:sz w:val="20"/>
          <w:szCs w:val="20"/>
          <w:lang w:val="en-US"/>
        </w:rPr>
        <w:t xml:space="preserve">s at risk of skin excoriations: </w:t>
      </w:r>
      <w:proofErr w:type="gramStart"/>
      <w:r w:rsidR="00EE646F" w:rsidRPr="00F20730">
        <w:rPr>
          <w:rFonts w:ascii="Arial" w:hAnsi="Arial" w:cs="Arial"/>
          <w:sz w:val="20"/>
          <w:szCs w:val="20"/>
          <w:lang w:val="en-US"/>
        </w:rPr>
        <w:t>hairdressers</w:t>
      </w:r>
      <w:r w:rsidR="00EE646F">
        <w:rPr>
          <w:rFonts w:ascii="Arial" w:hAnsi="Arial" w:cs="Arial"/>
          <w:sz w:val="20"/>
          <w:szCs w:val="20"/>
          <w:lang w:val="en-US"/>
        </w:rPr>
        <w:t>,</w:t>
      </w:r>
      <w:proofErr w:type="gramEnd"/>
      <w:r w:rsidRPr="00F20730">
        <w:rPr>
          <w:rFonts w:ascii="Arial" w:hAnsi="Arial" w:cs="Arial"/>
          <w:sz w:val="20"/>
          <w:szCs w:val="20"/>
          <w:lang w:val="en-US"/>
        </w:rPr>
        <w:t xml:space="preserve"> scrap merchants, masons, carpenters, cleaners etc.) (53.3%), followed by workers (14.1%) and the unemployed (13.9%). The majority of patients (93%) had no tetanus immunization coverage.</w:t>
      </w:r>
    </w:p>
    <w:p w:rsidR="00F20730" w:rsidRPr="00F20730" w:rsidRDefault="00F20730" w:rsidP="00F20730">
      <w:pPr>
        <w:spacing w:before="120" w:after="120"/>
        <w:jc w:val="both"/>
        <w:rPr>
          <w:rFonts w:ascii="Arial" w:hAnsi="Arial" w:cs="Arial"/>
          <w:b/>
          <w:i/>
          <w:sz w:val="20"/>
          <w:szCs w:val="20"/>
          <w:lang w:val="en-US"/>
        </w:rPr>
      </w:pPr>
      <w:r w:rsidRPr="00F20730">
        <w:rPr>
          <w:rFonts w:ascii="Arial" w:hAnsi="Arial" w:cs="Arial"/>
          <w:b/>
          <w:i/>
          <w:sz w:val="20"/>
          <w:szCs w:val="20"/>
          <w:lang w:val="en-US"/>
        </w:rPr>
        <w:t>Clinical Findings</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 xml:space="preserve">The main symptoms observed at admission were reported in Table 2. Muscle contractions (100.0%), trismus (92.7%) and paroxysms (80.2%) were the predominant symptoms. The incubation period was greater than or equal to 7 days in the majority of cases (73.1%) and the invasion period was less than 2 days in 66.3% of patients. A total of 435 patients had generalized tetanus and 20 patients had localized tetanus. </w:t>
      </w:r>
    </w:p>
    <w:p w:rsidR="00F20730" w:rsidRPr="00F20730" w:rsidRDefault="00F20730" w:rsidP="00F20730">
      <w:pPr>
        <w:spacing w:before="120" w:after="120"/>
        <w:jc w:val="both"/>
        <w:rPr>
          <w:rFonts w:ascii="Arial" w:hAnsi="Arial" w:cs="Arial"/>
          <w:b/>
          <w:i/>
          <w:sz w:val="20"/>
          <w:szCs w:val="20"/>
          <w:lang w:val="en-US"/>
        </w:rPr>
      </w:pPr>
      <w:r w:rsidRPr="00F20730">
        <w:rPr>
          <w:rFonts w:ascii="Arial" w:hAnsi="Arial" w:cs="Arial"/>
          <w:b/>
          <w:i/>
          <w:sz w:val="20"/>
          <w:szCs w:val="20"/>
          <w:lang w:val="en-US"/>
        </w:rPr>
        <w:t>Main sites of entry</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 xml:space="preserve">The sites of entry were known for 404 patients (88.8%). These were in the lower limbs in 304 cases (75.2%), on the face in 21 cases (5.2%), in the upper limbs 41 cases (10.2%) and finally on the head in 38 cases (9.4%). </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 xml:space="preserve">Among patients whose sites of entry were found, those scored 1 according to “the Dakar </w:t>
      </w:r>
      <w:r w:rsidRPr="00F20730">
        <w:rPr>
          <w:rFonts w:ascii="Arial" w:hAnsi="Arial" w:cs="Arial"/>
          <w:sz w:val="20"/>
          <w:szCs w:val="20"/>
          <w:lang w:val="en-US"/>
        </w:rPr>
        <w:lastRenderedPageBreak/>
        <w:t xml:space="preserve">prognosis score” predominantly consisted of intramuscular injections (n=22; 4.8%), surgeries (n=13; 2.9%), fractures (n=8; 1.8%). The other sites of entry (scored 0) were the most observed in the study with 360 cases (79.1%) </w:t>
      </w:r>
      <w:proofErr w:type="gramStart"/>
      <w:r w:rsidRPr="00F20730">
        <w:rPr>
          <w:rFonts w:ascii="Arial" w:hAnsi="Arial" w:cs="Arial"/>
          <w:sz w:val="20"/>
          <w:szCs w:val="20"/>
          <w:lang w:val="en-US"/>
        </w:rPr>
        <w:t>(Table 3).</w:t>
      </w:r>
      <w:proofErr w:type="gramEnd"/>
    </w:p>
    <w:p w:rsidR="00F20730" w:rsidRPr="00F20730" w:rsidRDefault="00F20730" w:rsidP="00F20730">
      <w:pPr>
        <w:spacing w:before="120" w:after="120"/>
        <w:jc w:val="both"/>
        <w:rPr>
          <w:rFonts w:ascii="Arial" w:hAnsi="Arial" w:cs="Arial"/>
          <w:b/>
          <w:i/>
          <w:sz w:val="20"/>
          <w:szCs w:val="20"/>
          <w:lang w:val="en-US"/>
        </w:rPr>
      </w:pPr>
      <w:r w:rsidRPr="00F20730">
        <w:rPr>
          <w:rFonts w:ascii="Arial" w:hAnsi="Arial" w:cs="Arial"/>
          <w:b/>
          <w:i/>
          <w:sz w:val="20"/>
          <w:szCs w:val="20"/>
          <w:lang w:val="en-US"/>
        </w:rPr>
        <w:t xml:space="preserve">Treatment history </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Upon hospitalization, most of our tetanus patients received antibiotics, 429 cases (94.3%) because of over infected site of entry and sepsis in sub-Saharan Africa context. Among the treated patients, 388 received antibiotic monotherapy (85.3%) versus 41 cases which were treated with two antibiotics (9.0%). Penicillin G 100 000 IU/</w:t>
      </w:r>
      <w:r w:rsidR="00650AAF">
        <w:rPr>
          <w:rFonts w:ascii="Arial" w:hAnsi="Arial" w:cs="Arial"/>
          <w:sz w:val="20"/>
          <w:szCs w:val="20"/>
          <w:lang w:val="en-US"/>
        </w:rPr>
        <w:t>k</w:t>
      </w:r>
      <w:r w:rsidRPr="00F20730">
        <w:rPr>
          <w:rFonts w:ascii="Arial" w:hAnsi="Arial" w:cs="Arial"/>
          <w:sz w:val="20"/>
          <w:szCs w:val="20"/>
          <w:lang w:val="en-US"/>
        </w:rPr>
        <w:t>g per day in continuous intravenous was the most prescribed in 382 cases (83.9%). It was replaced by metronidazole (500 mg three times intravenous) in 12 cases (2.6%) for allergic reaction to penicillin G. Patients with complications or over infection of the site of entry received a second-line amoxicillin/clavulanic acid combination therapy plus gentamycin in 164 cases (36%).</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 xml:space="preserve">The daily treatment of the site of entry consisted in disinfection, cleaning and excision. Intrathecal </w:t>
      </w:r>
      <w:proofErr w:type="spellStart"/>
      <w:r w:rsidRPr="00F20730">
        <w:rPr>
          <w:rFonts w:ascii="Arial" w:hAnsi="Arial" w:cs="Arial"/>
          <w:sz w:val="20"/>
          <w:szCs w:val="20"/>
          <w:lang w:val="en-US"/>
        </w:rPr>
        <w:t>serotherapy</w:t>
      </w:r>
      <w:proofErr w:type="spellEnd"/>
      <w:r w:rsidRPr="00F20730">
        <w:rPr>
          <w:rFonts w:ascii="Arial" w:hAnsi="Arial" w:cs="Arial"/>
          <w:sz w:val="20"/>
          <w:szCs w:val="20"/>
          <w:lang w:val="en-US"/>
        </w:rPr>
        <w:t xml:space="preserve"> was performed with 1500 IU of heterologous </w:t>
      </w:r>
      <w:proofErr w:type="spellStart"/>
      <w:r w:rsidRPr="00F20730">
        <w:rPr>
          <w:rFonts w:ascii="Arial" w:hAnsi="Arial" w:cs="Arial"/>
          <w:sz w:val="20"/>
          <w:szCs w:val="20"/>
          <w:lang w:val="en-US"/>
        </w:rPr>
        <w:t>antitetanus</w:t>
      </w:r>
      <w:proofErr w:type="spellEnd"/>
      <w:r w:rsidRPr="00F20730">
        <w:rPr>
          <w:rFonts w:ascii="Arial" w:hAnsi="Arial" w:cs="Arial"/>
          <w:sz w:val="20"/>
          <w:szCs w:val="20"/>
          <w:lang w:val="en-US"/>
        </w:rPr>
        <w:t xml:space="preserve"> serum of equine origin combined with 25 mg of hydrocortisone </w:t>
      </w:r>
      <w:proofErr w:type="spellStart"/>
      <w:r w:rsidRPr="00F20730">
        <w:rPr>
          <w:rFonts w:ascii="Arial" w:hAnsi="Arial" w:cs="Arial"/>
          <w:sz w:val="20"/>
          <w:szCs w:val="20"/>
          <w:lang w:val="en-US"/>
        </w:rPr>
        <w:t>hemisuccinate</w:t>
      </w:r>
      <w:proofErr w:type="spellEnd"/>
      <w:r w:rsidRPr="00F20730">
        <w:rPr>
          <w:rFonts w:ascii="Arial" w:hAnsi="Arial" w:cs="Arial"/>
          <w:sz w:val="20"/>
          <w:szCs w:val="20"/>
          <w:lang w:val="en-US"/>
        </w:rPr>
        <w:t>. Maintaining the hydro-electrolytic and caloric balance was done with continuous infusions of crystalloid solutions (hypertonic and isotonic glucoses, saline and Ringer’s lactate). The sedation of contractions was based on intravenous infusions of diazepam at a dose of 1-2</w:t>
      </w:r>
      <w:r w:rsidR="00650AAF">
        <w:rPr>
          <w:rFonts w:ascii="Arial" w:hAnsi="Arial" w:cs="Arial"/>
          <w:sz w:val="20"/>
          <w:szCs w:val="20"/>
          <w:lang w:val="en-US"/>
        </w:rPr>
        <w:t xml:space="preserve"> </w:t>
      </w:r>
      <w:r w:rsidRPr="00F20730">
        <w:rPr>
          <w:rFonts w:ascii="Arial" w:hAnsi="Arial" w:cs="Arial"/>
          <w:sz w:val="20"/>
          <w:szCs w:val="20"/>
          <w:lang w:val="en-US"/>
        </w:rPr>
        <w:t>mg/</w:t>
      </w:r>
      <w:r w:rsidR="00650AAF">
        <w:rPr>
          <w:rFonts w:ascii="Arial" w:hAnsi="Arial" w:cs="Arial"/>
          <w:sz w:val="20"/>
          <w:szCs w:val="20"/>
          <w:lang w:val="en-US"/>
        </w:rPr>
        <w:t>k</w:t>
      </w:r>
      <w:r w:rsidRPr="00F20730">
        <w:rPr>
          <w:rFonts w:ascii="Arial" w:hAnsi="Arial" w:cs="Arial"/>
          <w:sz w:val="20"/>
          <w:szCs w:val="20"/>
          <w:lang w:val="en-US"/>
        </w:rPr>
        <w:t xml:space="preserve">g/day, sometimes combined with phenobarbital at a dose of 5-20 </w:t>
      </w:r>
      <w:r w:rsidR="00650AAF">
        <w:rPr>
          <w:rFonts w:ascii="Arial" w:hAnsi="Arial" w:cs="Arial"/>
          <w:sz w:val="20"/>
          <w:szCs w:val="20"/>
          <w:lang w:val="en-US"/>
        </w:rPr>
        <w:t>µ</w:t>
      </w:r>
      <w:r w:rsidRPr="00F20730">
        <w:rPr>
          <w:rFonts w:ascii="Arial" w:hAnsi="Arial" w:cs="Arial"/>
          <w:sz w:val="20"/>
          <w:szCs w:val="20"/>
          <w:lang w:val="en-US"/>
        </w:rPr>
        <w:t>g/</w:t>
      </w:r>
      <w:r w:rsidR="00650AAF">
        <w:rPr>
          <w:rFonts w:ascii="Arial" w:hAnsi="Arial" w:cs="Arial"/>
          <w:sz w:val="20"/>
          <w:szCs w:val="20"/>
          <w:lang w:val="en-US"/>
        </w:rPr>
        <w:t>k</w:t>
      </w:r>
      <w:r w:rsidRPr="00F20730">
        <w:rPr>
          <w:rFonts w:ascii="Arial" w:hAnsi="Arial" w:cs="Arial"/>
          <w:sz w:val="20"/>
          <w:szCs w:val="20"/>
          <w:lang w:val="en-US"/>
        </w:rPr>
        <w:t>g in known drug-addicted patients.</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Hospital stay ranged from 1 to 48 days depending on complications with a median of 10 days.</w:t>
      </w:r>
    </w:p>
    <w:p w:rsidR="00F20730" w:rsidRPr="00F20730" w:rsidRDefault="00F20730" w:rsidP="00F20730">
      <w:pPr>
        <w:spacing w:before="120" w:after="120"/>
        <w:jc w:val="both"/>
        <w:rPr>
          <w:rFonts w:ascii="Arial" w:hAnsi="Arial" w:cs="Arial"/>
          <w:b/>
          <w:i/>
          <w:sz w:val="20"/>
          <w:szCs w:val="20"/>
          <w:lang w:val="en-US"/>
        </w:rPr>
      </w:pPr>
      <w:r w:rsidRPr="00F20730">
        <w:rPr>
          <w:rFonts w:ascii="Arial" w:hAnsi="Arial" w:cs="Arial"/>
          <w:b/>
          <w:i/>
          <w:sz w:val="20"/>
          <w:szCs w:val="20"/>
          <w:lang w:val="en-US"/>
        </w:rPr>
        <w:t>Evolution and complications</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The 455 patients were divided into three groups according to “the Dakar prognosis score”: 145 cases of Mild tetanus (score 0-1), 31.8%; 251 cases of moderate tetanus (score 2-3), 55.2% and 59 cases of severe tetanus (score 4-6), 13.0%.</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 xml:space="preserve">Some complications were observed in 254 patients (55.8%). These were infectious complications characterized as severe sepsis </w:t>
      </w:r>
      <w:r w:rsidRPr="00F20730">
        <w:rPr>
          <w:rFonts w:ascii="Arial" w:hAnsi="Arial" w:cs="Arial"/>
          <w:sz w:val="20"/>
          <w:szCs w:val="20"/>
          <w:lang w:val="en-US"/>
        </w:rPr>
        <w:lastRenderedPageBreak/>
        <w:t xml:space="preserve">and infections associated with treatment in 100 cases (38.4%) and severe malaria in 22 cases (8.6%). Neurological complications were observed in 32 patients (12.5%), particularly </w:t>
      </w:r>
      <w:proofErr w:type="spellStart"/>
      <w:r w:rsidRPr="00F20730">
        <w:rPr>
          <w:rFonts w:ascii="Arial" w:hAnsi="Arial" w:cs="Arial"/>
          <w:sz w:val="20"/>
          <w:szCs w:val="20"/>
          <w:lang w:val="en-US"/>
        </w:rPr>
        <w:t>subintrant</w:t>
      </w:r>
      <w:proofErr w:type="spellEnd"/>
      <w:r w:rsidRPr="00F20730">
        <w:rPr>
          <w:rFonts w:ascii="Arial" w:hAnsi="Arial" w:cs="Arial"/>
          <w:sz w:val="20"/>
          <w:szCs w:val="20"/>
          <w:lang w:val="en-US"/>
        </w:rPr>
        <w:t xml:space="preserve"> paroxysms. As for respiratory complications, they included respiratory distress in 24 cases (9.4%) and pulmonary superinfection in 21 cases (8.2%). Finally, 10 cases of high blood pressure crisis were reported among cardiovascular complications (3.9%).</w:t>
      </w:r>
    </w:p>
    <w:p w:rsidR="00F20730" w:rsidRPr="00F20730" w:rsidRDefault="00F20730" w:rsidP="00F20730">
      <w:pPr>
        <w:spacing w:before="120" w:after="120"/>
        <w:jc w:val="both"/>
        <w:rPr>
          <w:rFonts w:ascii="Arial" w:hAnsi="Arial" w:cs="Arial"/>
          <w:b/>
          <w:i/>
          <w:sz w:val="20"/>
          <w:szCs w:val="20"/>
          <w:lang w:val="en-US"/>
        </w:rPr>
      </w:pPr>
      <w:r w:rsidRPr="00F20730">
        <w:rPr>
          <w:rFonts w:ascii="Arial" w:hAnsi="Arial" w:cs="Arial"/>
          <w:b/>
          <w:i/>
          <w:sz w:val="20"/>
          <w:szCs w:val="20"/>
          <w:lang w:val="en-US"/>
        </w:rPr>
        <w:t>Patient outcomes</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In the 455 patients, 318 were discharged alive from the hospital (69.9%). Among the alive ones, there were 296 cases of healing (93.1%) including 201 without sequels; 10 were referred to other services for additional care and 12 (2.6%) discharged themselves from the hospitalization unit against medical advice.</w:t>
      </w:r>
    </w:p>
    <w:p w:rsidR="00F20730" w:rsidRPr="00F20730" w:rsidRDefault="00F20730" w:rsidP="00F20730">
      <w:pPr>
        <w:spacing w:before="120" w:after="120"/>
        <w:jc w:val="both"/>
        <w:rPr>
          <w:rFonts w:ascii="Arial" w:hAnsi="Arial" w:cs="Arial"/>
          <w:b/>
          <w:i/>
          <w:sz w:val="20"/>
          <w:szCs w:val="20"/>
          <w:lang w:val="en-US"/>
        </w:rPr>
      </w:pPr>
      <w:r w:rsidRPr="00F20730">
        <w:rPr>
          <w:rFonts w:ascii="Arial" w:hAnsi="Arial" w:cs="Arial"/>
          <w:b/>
          <w:i/>
          <w:sz w:val="20"/>
          <w:szCs w:val="20"/>
          <w:lang w:val="en-US"/>
        </w:rPr>
        <w:t xml:space="preserve">Factors associated with death or severity </w:t>
      </w:r>
    </w:p>
    <w:p w:rsidR="00F20730" w:rsidRPr="00F20730" w:rsidRDefault="00F20730" w:rsidP="00F20730">
      <w:pPr>
        <w:spacing w:before="120" w:after="120"/>
        <w:jc w:val="both"/>
        <w:rPr>
          <w:rFonts w:ascii="Arial" w:hAnsi="Arial" w:cs="Arial"/>
          <w:sz w:val="20"/>
          <w:szCs w:val="20"/>
          <w:lang w:val="en-US"/>
        </w:rPr>
      </w:pPr>
      <w:r w:rsidRPr="00F20730">
        <w:rPr>
          <w:rFonts w:ascii="Arial" w:hAnsi="Arial" w:cs="Arial"/>
          <w:sz w:val="20"/>
          <w:szCs w:val="20"/>
          <w:lang w:val="en-US"/>
        </w:rPr>
        <w:t>The analysis of death-associated factors demonstrates that patients most at risk of dying were: (Table 4):</w:t>
      </w:r>
    </w:p>
    <w:p w:rsidR="00F20730" w:rsidRPr="00F20730" w:rsidRDefault="00F20730" w:rsidP="00F20730">
      <w:pPr>
        <w:spacing w:before="120" w:after="120"/>
        <w:jc w:val="both"/>
        <w:rPr>
          <w:rFonts w:ascii="Arial" w:hAnsi="Arial" w:cs="Arial"/>
          <w:sz w:val="20"/>
          <w:szCs w:val="20"/>
          <w:lang w:val="en-US"/>
        </w:rPr>
      </w:pPr>
      <w:r>
        <w:rPr>
          <w:rFonts w:ascii="Arial" w:hAnsi="Arial" w:cs="Arial"/>
          <w:sz w:val="20"/>
          <w:szCs w:val="20"/>
          <w:lang w:val="en-US"/>
        </w:rPr>
        <w:t>•</w:t>
      </w:r>
      <w:r w:rsidRPr="00F20730">
        <w:rPr>
          <w:rFonts w:ascii="Arial" w:hAnsi="Arial" w:cs="Arial"/>
          <w:sz w:val="20"/>
          <w:szCs w:val="20"/>
          <w:lang w:val="en-US"/>
        </w:rPr>
        <w:t>Those over 60 years of age (</w:t>
      </w:r>
      <w:proofErr w:type="spellStart"/>
      <w:r w:rsidRPr="00F20730">
        <w:rPr>
          <w:rFonts w:ascii="Arial" w:hAnsi="Arial" w:cs="Arial"/>
          <w:sz w:val="20"/>
          <w:szCs w:val="20"/>
          <w:lang w:val="en-US"/>
        </w:rPr>
        <w:t>aOR</w:t>
      </w:r>
      <w:proofErr w:type="spellEnd"/>
      <w:r w:rsidRPr="00F20730">
        <w:rPr>
          <w:rFonts w:ascii="Arial" w:hAnsi="Arial" w:cs="Arial"/>
          <w:sz w:val="20"/>
          <w:szCs w:val="20"/>
          <w:lang w:val="en-US"/>
        </w:rPr>
        <w:t xml:space="preserve"> </w:t>
      </w:r>
      <w:proofErr w:type="gramStart"/>
      <w:r w:rsidRPr="00F20730">
        <w:rPr>
          <w:rFonts w:ascii="Arial" w:hAnsi="Arial" w:cs="Arial"/>
          <w:sz w:val="20"/>
          <w:szCs w:val="20"/>
          <w:lang w:val="en-US"/>
        </w:rPr>
        <w:t>2.76 :</w:t>
      </w:r>
      <w:proofErr w:type="gramEnd"/>
      <w:r w:rsidRPr="00F20730">
        <w:rPr>
          <w:rFonts w:ascii="Arial" w:hAnsi="Arial" w:cs="Arial"/>
          <w:sz w:val="20"/>
          <w:szCs w:val="20"/>
          <w:lang w:val="en-US"/>
        </w:rPr>
        <w:t xml:space="preserve"> 95% CI 1.07-9.91), </w:t>
      </w:r>
    </w:p>
    <w:p w:rsidR="00F20730" w:rsidRPr="00F20730" w:rsidRDefault="00F20730" w:rsidP="00F20730">
      <w:pPr>
        <w:spacing w:before="120" w:after="120"/>
        <w:jc w:val="both"/>
        <w:rPr>
          <w:rFonts w:ascii="Arial" w:hAnsi="Arial" w:cs="Arial"/>
          <w:sz w:val="20"/>
          <w:szCs w:val="20"/>
          <w:lang w:val="en-US"/>
        </w:rPr>
      </w:pPr>
      <w:r>
        <w:rPr>
          <w:rFonts w:ascii="Arial" w:hAnsi="Arial" w:cs="Arial"/>
          <w:sz w:val="20"/>
          <w:szCs w:val="20"/>
          <w:lang w:val="en-US"/>
        </w:rPr>
        <w:t>•</w:t>
      </w:r>
      <w:r w:rsidRPr="00F20730">
        <w:rPr>
          <w:rFonts w:ascii="Arial" w:hAnsi="Arial" w:cs="Arial"/>
          <w:sz w:val="20"/>
          <w:szCs w:val="20"/>
          <w:lang w:val="en-US"/>
        </w:rPr>
        <w:t xml:space="preserve">Workers and </w:t>
      </w:r>
      <w:proofErr w:type="spellStart"/>
      <w:r w:rsidRPr="00F20730">
        <w:rPr>
          <w:rFonts w:ascii="Arial" w:hAnsi="Arial" w:cs="Arial"/>
          <w:sz w:val="20"/>
          <w:szCs w:val="20"/>
          <w:lang w:val="en-US"/>
        </w:rPr>
        <w:t>labour</w:t>
      </w:r>
      <w:proofErr w:type="spellEnd"/>
      <w:r w:rsidRPr="00F20730">
        <w:rPr>
          <w:rFonts w:ascii="Arial" w:hAnsi="Arial" w:cs="Arial"/>
          <w:sz w:val="20"/>
          <w:szCs w:val="20"/>
          <w:lang w:val="en-US"/>
        </w:rPr>
        <w:t xml:space="preserve"> force (</w:t>
      </w:r>
      <w:proofErr w:type="spellStart"/>
      <w:r w:rsidRPr="00F20730">
        <w:rPr>
          <w:rFonts w:ascii="Arial" w:hAnsi="Arial" w:cs="Arial"/>
          <w:sz w:val="20"/>
          <w:szCs w:val="20"/>
          <w:lang w:val="en-US"/>
        </w:rPr>
        <w:t>aOR</w:t>
      </w:r>
      <w:proofErr w:type="spellEnd"/>
      <w:r w:rsidRPr="00F20730">
        <w:rPr>
          <w:rFonts w:ascii="Arial" w:hAnsi="Arial" w:cs="Arial"/>
          <w:sz w:val="20"/>
          <w:szCs w:val="20"/>
          <w:lang w:val="en-US"/>
        </w:rPr>
        <w:t xml:space="preserve">=2.83, 95% CI 1.07-9.39), </w:t>
      </w:r>
    </w:p>
    <w:p w:rsidR="00F20730" w:rsidRPr="00F20730" w:rsidRDefault="00F20730" w:rsidP="00F20730">
      <w:pPr>
        <w:spacing w:before="120" w:after="120"/>
        <w:jc w:val="both"/>
        <w:rPr>
          <w:rFonts w:ascii="Arial" w:hAnsi="Arial" w:cs="Arial"/>
          <w:sz w:val="20"/>
          <w:szCs w:val="20"/>
          <w:lang w:val="en-US"/>
        </w:rPr>
      </w:pPr>
      <w:r>
        <w:rPr>
          <w:rFonts w:ascii="Arial" w:hAnsi="Arial" w:cs="Arial"/>
          <w:sz w:val="20"/>
          <w:szCs w:val="20"/>
          <w:lang w:val="en-US"/>
        </w:rPr>
        <w:t>•</w:t>
      </w:r>
      <w:r w:rsidRPr="00F20730">
        <w:rPr>
          <w:rFonts w:ascii="Arial" w:hAnsi="Arial" w:cs="Arial"/>
          <w:sz w:val="20"/>
          <w:szCs w:val="20"/>
          <w:lang w:val="en-US"/>
        </w:rPr>
        <w:t>Those with a severe Dakar prognosis score (</w:t>
      </w:r>
      <w:proofErr w:type="spellStart"/>
      <w:r w:rsidRPr="00F20730">
        <w:rPr>
          <w:rFonts w:ascii="Arial" w:hAnsi="Arial" w:cs="Arial"/>
          <w:sz w:val="20"/>
          <w:szCs w:val="20"/>
          <w:lang w:val="en-US"/>
        </w:rPr>
        <w:t>aOR</w:t>
      </w:r>
      <w:proofErr w:type="spellEnd"/>
      <w:r w:rsidRPr="00F20730">
        <w:rPr>
          <w:rFonts w:ascii="Arial" w:hAnsi="Arial" w:cs="Arial"/>
          <w:sz w:val="20"/>
          <w:szCs w:val="20"/>
          <w:lang w:val="en-US"/>
        </w:rPr>
        <w:t xml:space="preserve">=5.76, 95% CI 2.26-14.72), </w:t>
      </w:r>
    </w:p>
    <w:p w:rsidR="00F20730" w:rsidRPr="00F20730" w:rsidRDefault="00F20730" w:rsidP="00F20730">
      <w:pPr>
        <w:spacing w:before="120" w:after="120"/>
        <w:jc w:val="both"/>
        <w:rPr>
          <w:rFonts w:ascii="Arial" w:hAnsi="Arial" w:cs="Arial"/>
          <w:sz w:val="20"/>
          <w:szCs w:val="20"/>
          <w:lang w:val="en-US"/>
        </w:rPr>
      </w:pPr>
      <w:r>
        <w:rPr>
          <w:rFonts w:ascii="Arial" w:hAnsi="Arial" w:cs="Arial"/>
          <w:sz w:val="20"/>
          <w:szCs w:val="20"/>
          <w:lang w:val="en-US"/>
        </w:rPr>
        <w:t>•</w:t>
      </w:r>
      <w:r w:rsidRPr="00F20730">
        <w:rPr>
          <w:rFonts w:ascii="Arial" w:hAnsi="Arial" w:cs="Arial"/>
          <w:sz w:val="20"/>
          <w:szCs w:val="20"/>
          <w:lang w:val="en-US"/>
        </w:rPr>
        <w:t>Those who did not received intrathecal injection (</w:t>
      </w:r>
      <w:proofErr w:type="spellStart"/>
      <w:r w:rsidRPr="00F20730">
        <w:rPr>
          <w:rFonts w:ascii="Arial" w:hAnsi="Arial" w:cs="Arial"/>
          <w:sz w:val="20"/>
          <w:szCs w:val="20"/>
          <w:lang w:val="en-US"/>
        </w:rPr>
        <w:t>aOR</w:t>
      </w:r>
      <w:proofErr w:type="spellEnd"/>
      <w:r w:rsidRPr="00F20730">
        <w:rPr>
          <w:rFonts w:ascii="Arial" w:hAnsi="Arial" w:cs="Arial"/>
          <w:sz w:val="20"/>
          <w:szCs w:val="20"/>
          <w:lang w:val="en-US"/>
        </w:rPr>
        <w:t xml:space="preserve">=15.6, 95% CI 5.40-44.84), </w:t>
      </w:r>
    </w:p>
    <w:p w:rsidR="009E3E1C" w:rsidRPr="00AF345B" w:rsidRDefault="00F20730" w:rsidP="00F20730">
      <w:pPr>
        <w:spacing w:before="120" w:after="120"/>
        <w:jc w:val="both"/>
        <w:rPr>
          <w:rFonts w:ascii="Arial" w:hAnsi="Arial" w:cs="Arial"/>
          <w:bCs/>
          <w:sz w:val="20"/>
          <w:szCs w:val="20"/>
          <w:lang w:val="en-US"/>
        </w:rPr>
      </w:pPr>
      <w:r>
        <w:rPr>
          <w:rFonts w:ascii="Arial" w:hAnsi="Arial" w:cs="Arial"/>
          <w:sz w:val="20"/>
          <w:szCs w:val="20"/>
          <w:lang w:val="en-US"/>
        </w:rPr>
        <w:t>•</w:t>
      </w:r>
      <w:r w:rsidRPr="00F20730">
        <w:rPr>
          <w:rFonts w:ascii="Arial" w:hAnsi="Arial" w:cs="Arial"/>
          <w:sz w:val="20"/>
          <w:szCs w:val="20"/>
          <w:lang w:val="en-US"/>
        </w:rPr>
        <w:t>Those who did not receiv</w:t>
      </w:r>
      <w:r w:rsidR="00B41230">
        <w:rPr>
          <w:rFonts w:ascii="Arial" w:hAnsi="Arial" w:cs="Arial"/>
          <w:sz w:val="20"/>
          <w:szCs w:val="20"/>
          <w:lang w:val="en-US"/>
        </w:rPr>
        <w:t>ed penicillin-therapy (</w:t>
      </w:r>
      <w:proofErr w:type="spellStart"/>
      <w:r w:rsidR="00B41230">
        <w:rPr>
          <w:rFonts w:ascii="Arial" w:hAnsi="Arial" w:cs="Arial"/>
          <w:sz w:val="20"/>
          <w:szCs w:val="20"/>
          <w:lang w:val="en-US"/>
        </w:rPr>
        <w:t>aOR</w:t>
      </w:r>
      <w:proofErr w:type="spellEnd"/>
      <w:r w:rsidR="00B41230">
        <w:rPr>
          <w:rFonts w:ascii="Arial" w:hAnsi="Arial" w:cs="Arial"/>
          <w:sz w:val="20"/>
          <w:szCs w:val="20"/>
          <w:lang w:val="en-US"/>
        </w:rPr>
        <w:t>=2.33</w:t>
      </w:r>
      <w:r w:rsidRPr="00F20730">
        <w:rPr>
          <w:rFonts w:ascii="Arial" w:hAnsi="Arial" w:cs="Arial"/>
          <w:sz w:val="20"/>
          <w:szCs w:val="20"/>
          <w:lang w:val="en-US"/>
        </w:rPr>
        <w:t xml:space="preserve">; 95% CI 1.11-4.87) and </w:t>
      </w:r>
      <w:r w:rsidR="00B41230">
        <w:rPr>
          <w:rFonts w:ascii="Arial" w:hAnsi="Arial" w:cs="Arial"/>
          <w:sz w:val="20"/>
          <w:szCs w:val="20"/>
          <w:lang w:val="en-US"/>
        </w:rPr>
        <w:t>t</w:t>
      </w:r>
      <w:r w:rsidRPr="00F20730">
        <w:rPr>
          <w:rFonts w:ascii="Arial" w:hAnsi="Arial" w:cs="Arial"/>
          <w:sz w:val="20"/>
          <w:szCs w:val="20"/>
          <w:lang w:val="en-US"/>
        </w:rPr>
        <w:t>hose with complication (</w:t>
      </w:r>
      <w:proofErr w:type="spellStart"/>
      <w:r w:rsidRPr="00F20730">
        <w:rPr>
          <w:rFonts w:ascii="Arial" w:hAnsi="Arial" w:cs="Arial"/>
          <w:sz w:val="20"/>
          <w:szCs w:val="20"/>
          <w:lang w:val="en-US"/>
        </w:rPr>
        <w:t>aOR</w:t>
      </w:r>
      <w:proofErr w:type="spellEnd"/>
      <w:r w:rsidRPr="00F20730">
        <w:rPr>
          <w:rFonts w:ascii="Arial" w:hAnsi="Arial" w:cs="Arial"/>
          <w:sz w:val="20"/>
          <w:szCs w:val="20"/>
          <w:lang w:val="en-US"/>
        </w:rPr>
        <w:t>=8.53, 95% CI 4.83-15.09).</w:t>
      </w:r>
    </w:p>
    <w:p w:rsidR="003443AA" w:rsidRPr="00605A54" w:rsidRDefault="003443AA" w:rsidP="003443AA">
      <w:pPr>
        <w:spacing w:before="120" w:after="120"/>
        <w:rPr>
          <w:rFonts w:ascii="Arial" w:hAnsi="Arial" w:cs="Arial"/>
          <w:b/>
          <w:sz w:val="20"/>
          <w:szCs w:val="18"/>
        </w:rPr>
      </w:pPr>
      <w:r w:rsidRPr="00605A54">
        <w:rPr>
          <w:rFonts w:ascii="Arial" w:hAnsi="Arial" w:cs="Arial"/>
          <w:b/>
          <w:sz w:val="20"/>
          <w:szCs w:val="18"/>
        </w:rPr>
        <w:t>DISCUSSION</w:t>
      </w:r>
    </w:p>
    <w:p w:rsidR="003443AA" w:rsidRDefault="003443AA" w:rsidP="003443AA">
      <w:pPr>
        <w:spacing w:before="120" w:after="120"/>
        <w:jc w:val="both"/>
        <w:rPr>
          <w:rFonts w:ascii="Arial" w:hAnsi="Arial" w:cs="Arial"/>
          <w:sz w:val="20"/>
          <w:szCs w:val="18"/>
        </w:rPr>
      </w:pPr>
      <w:r w:rsidRPr="00605A54">
        <w:rPr>
          <w:rFonts w:ascii="Arial" w:hAnsi="Arial" w:cs="Arial"/>
          <w:sz w:val="20"/>
          <w:szCs w:val="18"/>
        </w:rPr>
        <w:t>Tetanus remains an endemic disease in Abidjan with an average annual prevalence of 47 ± 10 cases, slightly above t</w:t>
      </w:r>
      <w:r>
        <w:rPr>
          <w:rFonts w:ascii="Arial" w:hAnsi="Arial" w:cs="Arial"/>
          <w:sz w:val="20"/>
          <w:szCs w:val="18"/>
        </w:rPr>
        <w:t>hat reported by Aba et al. [5],</w:t>
      </w:r>
      <w:r w:rsidRPr="00605A54">
        <w:rPr>
          <w:rFonts w:ascii="Arial" w:hAnsi="Arial" w:cs="Arial"/>
          <w:sz w:val="20"/>
          <w:szCs w:val="18"/>
        </w:rPr>
        <w:t xml:space="preserve"> but below those found by Tanon et al. [4] and Kakou et al. [7] in studies conducted more than 10 years ago in the same Unit [4, 5, 7]. </w:t>
      </w:r>
    </w:p>
    <w:p w:rsidR="003443AA" w:rsidRDefault="003443AA" w:rsidP="003443AA">
      <w:pPr>
        <w:spacing w:before="120" w:after="120"/>
        <w:jc w:val="both"/>
        <w:rPr>
          <w:rFonts w:ascii="Arial" w:hAnsi="Arial" w:cs="Arial"/>
          <w:sz w:val="20"/>
          <w:szCs w:val="18"/>
        </w:rPr>
      </w:pPr>
      <w:r w:rsidRPr="00605A54">
        <w:rPr>
          <w:rFonts w:ascii="Arial" w:hAnsi="Arial" w:cs="Arial"/>
          <w:sz w:val="20"/>
          <w:szCs w:val="18"/>
        </w:rPr>
        <w:t xml:space="preserve">This overall decrease in the prevalence of tetanus could be explained by the management of some cases of juvenile tetanus by paediatric services, whereas previously, tetanus cases were mostly referred to ITDU, on the one hand, and by proper awareness and tetanus </w:t>
      </w:r>
      <w:r w:rsidRPr="00605A54">
        <w:rPr>
          <w:rFonts w:ascii="Arial" w:hAnsi="Arial" w:cs="Arial"/>
          <w:sz w:val="20"/>
          <w:szCs w:val="18"/>
        </w:rPr>
        <w:lastRenderedPageBreak/>
        <w:t xml:space="preserve">immunization coverage among women of childbearing age and infants as part of the EPI [2,3,9], on the other hand. However, there is still a need of vaccination in adults in several sub-Saharan Africa countries [3,5,8,11]. </w:t>
      </w:r>
    </w:p>
    <w:p w:rsidR="0042228A" w:rsidRPr="0042228A" w:rsidRDefault="001B30C0" w:rsidP="003443AA">
      <w:pPr>
        <w:spacing w:before="120" w:after="120"/>
        <w:jc w:val="both"/>
        <w:rPr>
          <w:rFonts w:ascii="Arial" w:hAnsi="Arial" w:cs="Arial"/>
          <w:color w:val="000000"/>
          <w:sz w:val="18"/>
          <w:szCs w:val="18"/>
          <w:lang w:val="yo-NG"/>
        </w:rPr>
      </w:pPr>
      <w:r w:rsidRPr="00D45B78">
        <w:rPr>
          <w:rFonts w:ascii="Arial" w:eastAsia="Arial,Times New Roman" w:hAnsi="Arial" w:cs="Arial"/>
          <w:bCs/>
          <w:color w:val="000000"/>
          <w:sz w:val="18"/>
          <w:szCs w:val="18"/>
        </w:rPr>
        <w:t>Table 1</w:t>
      </w:r>
      <w:r w:rsidRPr="00D45B78">
        <w:rPr>
          <w:rFonts w:ascii="Arial" w:eastAsia="Arial,Times New Roman" w:hAnsi="Arial" w:cs="Arial"/>
          <w:color w:val="000000"/>
          <w:sz w:val="18"/>
          <w:szCs w:val="18"/>
        </w:rPr>
        <w:t xml:space="preserve">. </w:t>
      </w:r>
      <w:r w:rsidR="00773181" w:rsidRPr="00773181">
        <w:rPr>
          <w:rFonts w:ascii="Arial" w:hAnsi="Arial" w:cs="Arial"/>
          <w:color w:val="000000"/>
          <w:sz w:val="18"/>
          <w:szCs w:val="18"/>
        </w:rPr>
        <w:t>The summarized characteristics of 455 patients with tetanus at admission in the ITDU</w:t>
      </w:r>
      <w:r w:rsidRPr="00D45B78">
        <w:rPr>
          <w:rFonts w:ascii="Arial" w:hAnsi="Arial" w:cs="Arial"/>
          <w:color w:val="000000"/>
          <w:sz w:val="18"/>
          <w:szCs w:val="18"/>
          <w:lang w:val="yo-NG"/>
        </w:rPr>
        <w:t>.</w:t>
      </w:r>
    </w:p>
    <w:tbl>
      <w:tblPr>
        <w:tblW w:w="0" w:type="auto"/>
        <w:tblInd w:w="108" w:type="dxa"/>
        <w:tblBorders>
          <w:top w:val="single" w:sz="8" w:space="0" w:color="000000"/>
          <w:bottom w:val="single" w:sz="8" w:space="0" w:color="000000"/>
        </w:tblBorders>
        <w:tblLook w:val="0620" w:firstRow="1" w:lastRow="0" w:firstColumn="0" w:lastColumn="0" w:noHBand="1" w:noVBand="1"/>
      </w:tblPr>
      <w:tblGrid>
        <w:gridCol w:w="2517"/>
        <w:gridCol w:w="1082"/>
      </w:tblGrid>
      <w:tr w:rsidR="0097434A" w:rsidRPr="0097434A" w:rsidTr="003A4267">
        <w:trPr>
          <w:trHeight w:val="231"/>
        </w:trPr>
        <w:tc>
          <w:tcPr>
            <w:tcW w:w="0" w:type="auto"/>
            <w:tcBorders>
              <w:top w:val="single" w:sz="8" w:space="0" w:color="000000"/>
              <w:left w:val="nil"/>
              <w:bottom w:val="single" w:sz="8" w:space="0" w:color="000000"/>
              <w:right w:val="nil"/>
            </w:tcBorders>
            <w:shd w:val="clear" w:color="auto" w:fill="auto"/>
          </w:tcPr>
          <w:p w:rsidR="0097434A" w:rsidRPr="0097434A" w:rsidRDefault="0097434A" w:rsidP="0097434A">
            <w:pPr>
              <w:autoSpaceDE w:val="0"/>
              <w:autoSpaceDN w:val="0"/>
              <w:adjustRightInd w:val="0"/>
              <w:spacing w:after="0" w:line="240" w:lineRule="auto"/>
              <w:jc w:val="both"/>
              <w:rPr>
                <w:rFonts w:ascii="Arial" w:hAnsi="Arial" w:cs="Arial"/>
                <w:b/>
                <w:bCs/>
                <w:color w:val="000000"/>
                <w:sz w:val="18"/>
                <w:szCs w:val="18"/>
              </w:rPr>
            </w:pPr>
            <w:r w:rsidRPr="0097434A">
              <w:rPr>
                <w:rFonts w:ascii="Arial" w:hAnsi="Arial" w:cs="Arial"/>
                <w:b/>
                <w:bCs/>
                <w:color w:val="000000"/>
                <w:sz w:val="18"/>
                <w:szCs w:val="18"/>
              </w:rPr>
              <w:t>Parameters</w:t>
            </w:r>
          </w:p>
        </w:tc>
        <w:tc>
          <w:tcPr>
            <w:tcW w:w="0" w:type="auto"/>
            <w:tcBorders>
              <w:top w:val="single" w:sz="8" w:space="0" w:color="000000"/>
              <w:left w:val="nil"/>
              <w:bottom w:val="single" w:sz="8" w:space="0" w:color="000000"/>
              <w:right w:val="nil"/>
            </w:tcBorders>
            <w:shd w:val="clear" w:color="auto" w:fill="auto"/>
          </w:tcPr>
          <w:p w:rsidR="0097434A" w:rsidRPr="0097434A" w:rsidRDefault="0097434A" w:rsidP="0097434A">
            <w:pPr>
              <w:autoSpaceDE w:val="0"/>
              <w:autoSpaceDN w:val="0"/>
              <w:adjustRightInd w:val="0"/>
              <w:spacing w:after="0" w:line="240" w:lineRule="auto"/>
              <w:jc w:val="center"/>
              <w:rPr>
                <w:rFonts w:ascii="Arial" w:hAnsi="Arial" w:cs="Arial"/>
                <w:b/>
                <w:bCs/>
                <w:sz w:val="18"/>
                <w:szCs w:val="18"/>
              </w:rPr>
            </w:pPr>
            <w:r w:rsidRPr="0097434A">
              <w:rPr>
                <w:rFonts w:ascii="Arial" w:hAnsi="Arial" w:cs="Arial"/>
                <w:b/>
                <w:bCs/>
                <w:sz w:val="18"/>
                <w:szCs w:val="18"/>
              </w:rPr>
              <w:t>N=455 (%)</w:t>
            </w:r>
          </w:p>
        </w:tc>
      </w:tr>
      <w:tr w:rsidR="0097434A" w:rsidRPr="0097434A" w:rsidTr="00072A97">
        <w:trPr>
          <w:trHeight w:val="395"/>
        </w:trPr>
        <w:tc>
          <w:tcPr>
            <w:tcW w:w="0" w:type="auto"/>
            <w:shd w:val="clear" w:color="auto" w:fill="D9D9D9" w:themeFill="background1" w:themeFillShade="D9"/>
          </w:tcPr>
          <w:p w:rsidR="0097434A" w:rsidRPr="0097434A" w:rsidRDefault="0097434A" w:rsidP="0097434A">
            <w:pPr>
              <w:spacing w:after="0" w:line="240" w:lineRule="auto"/>
              <w:rPr>
                <w:rFonts w:ascii="Arial" w:hAnsi="Arial" w:cs="Arial"/>
                <w:sz w:val="18"/>
                <w:szCs w:val="18"/>
              </w:rPr>
            </w:pPr>
            <w:r w:rsidRPr="0097434A">
              <w:rPr>
                <w:rFonts w:ascii="Arial" w:hAnsi="Arial" w:cs="Arial"/>
                <w:sz w:val="18"/>
                <w:szCs w:val="18"/>
              </w:rPr>
              <w:t>Age, range in years, n (%)</w:t>
            </w:r>
          </w:p>
          <w:p w:rsidR="0097434A" w:rsidRPr="0097434A" w:rsidRDefault="0097434A" w:rsidP="0097434A">
            <w:pPr>
              <w:spacing w:after="0" w:line="240" w:lineRule="auto"/>
              <w:ind w:firstLine="284"/>
              <w:rPr>
                <w:rFonts w:ascii="Arial" w:hAnsi="Arial" w:cs="Arial"/>
                <w:sz w:val="18"/>
                <w:szCs w:val="18"/>
              </w:rPr>
            </w:pPr>
            <w:r w:rsidRPr="0097434A">
              <w:rPr>
                <w:rFonts w:ascii="Arial" w:hAnsi="Arial" w:cs="Arial"/>
                <w:sz w:val="18"/>
                <w:szCs w:val="18"/>
              </w:rPr>
              <w:t>≤14</w:t>
            </w:r>
          </w:p>
          <w:p w:rsidR="0097434A" w:rsidRPr="0097434A" w:rsidRDefault="0097434A" w:rsidP="0097434A">
            <w:pPr>
              <w:spacing w:after="0" w:line="240" w:lineRule="auto"/>
              <w:ind w:firstLine="284"/>
              <w:rPr>
                <w:rFonts w:ascii="Arial" w:hAnsi="Arial" w:cs="Arial"/>
                <w:sz w:val="18"/>
                <w:szCs w:val="18"/>
              </w:rPr>
            </w:pPr>
            <w:r w:rsidRPr="0097434A">
              <w:rPr>
                <w:rFonts w:ascii="Arial" w:hAnsi="Arial" w:cs="Arial"/>
                <w:sz w:val="18"/>
                <w:szCs w:val="18"/>
              </w:rPr>
              <w:t>15-60</w:t>
            </w:r>
          </w:p>
          <w:p w:rsidR="0097434A" w:rsidRPr="0097434A" w:rsidRDefault="0097434A" w:rsidP="0097434A">
            <w:pPr>
              <w:spacing w:after="0" w:line="240" w:lineRule="auto"/>
              <w:ind w:firstLine="284"/>
              <w:rPr>
                <w:rFonts w:ascii="Arial" w:hAnsi="Arial" w:cs="Arial"/>
                <w:sz w:val="18"/>
                <w:szCs w:val="18"/>
              </w:rPr>
            </w:pPr>
            <w:r w:rsidRPr="0097434A">
              <w:rPr>
                <w:rFonts w:ascii="Arial" w:hAnsi="Arial" w:cs="Arial"/>
                <w:sz w:val="18"/>
                <w:szCs w:val="18"/>
              </w:rPr>
              <w:t>≥ 61</w:t>
            </w:r>
          </w:p>
        </w:tc>
        <w:tc>
          <w:tcPr>
            <w:tcW w:w="0" w:type="auto"/>
            <w:shd w:val="clear" w:color="auto" w:fill="D9D9D9" w:themeFill="background1" w:themeFillShade="D9"/>
          </w:tcPr>
          <w:p w:rsidR="0097434A" w:rsidRPr="0097434A" w:rsidRDefault="0097434A" w:rsidP="0097434A">
            <w:pPr>
              <w:spacing w:after="0" w:line="240" w:lineRule="auto"/>
              <w:jc w:val="center"/>
              <w:rPr>
                <w:rFonts w:ascii="Arial" w:hAnsi="Arial" w:cs="Arial"/>
                <w:sz w:val="18"/>
                <w:szCs w:val="18"/>
              </w:rPr>
            </w:pPr>
          </w:p>
          <w:p w:rsidR="0097434A" w:rsidRPr="0097434A" w:rsidRDefault="0097434A" w:rsidP="0097434A">
            <w:pPr>
              <w:spacing w:after="0" w:line="240" w:lineRule="auto"/>
              <w:jc w:val="center"/>
              <w:rPr>
                <w:rFonts w:ascii="Arial" w:hAnsi="Arial" w:cs="Arial"/>
                <w:sz w:val="18"/>
                <w:szCs w:val="18"/>
              </w:rPr>
            </w:pPr>
            <w:r w:rsidRPr="0097434A">
              <w:rPr>
                <w:rFonts w:ascii="Arial" w:hAnsi="Arial" w:cs="Arial"/>
                <w:sz w:val="18"/>
                <w:szCs w:val="18"/>
              </w:rPr>
              <w:t xml:space="preserve">57 </w:t>
            </w:r>
            <w:r w:rsidRPr="0097434A">
              <w:rPr>
                <w:rFonts w:ascii="Arial" w:hAnsi="Arial" w:cs="Arial"/>
                <w:color w:val="000000"/>
                <w:sz w:val="18"/>
                <w:szCs w:val="18"/>
              </w:rPr>
              <w:t>(12.5)</w:t>
            </w:r>
          </w:p>
          <w:p w:rsidR="0097434A" w:rsidRPr="0097434A" w:rsidRDefault="0097434A" w:rsidP="0097434A">
            <w:pPr>
              <w:spacing w:after="0" w:line="240" w:lineRule="auto"/>
              <w:jc w:val="center"/>
              <w:rPr>
                <w:rFonts w:ascii="Arial" w:hAnsi="Arial" w:cs="Arial"/>
                <w:sz w:val="18"/>
                <w:szCs w:val="18"/>
              </w:rPr>
            </w:pPr>
            <w:r w:rsidRPr="0097434A">
              <w:rPr>
                <w:rFonts w:ascii="Arial" w:hAnsi="Arial" w:cs="Arial"/>
                <w:sz w:val="18"/>
                <w:szCs w:val="18"/>
              </w:rPr>
              <w:t xml:space="preserve">360 </w:t>
            </w:r>
            <w:r w:rsidRPr="0097434A">
              <w:rPr>
                <w:rFonts w:ascii="Arial" w:hAnsi="Arial" w:cs="Arial"/>
                <w:color w:val="000000"/>
                <w:sz w:val="18"/>
                <w:szCs w:val="18"/>
              </w:rPr>
              <w:t>(79.1)</w:t>
            </w:r>
          </w:p>
          <w:p w:rsidR="0097434A" w:rsidRPr="0097434A" w:rsidRDefault="0097434A" w:rsidP="0097434A">
            <w:pPr>
              <w:spacing w:after="0" w:line="240" w:lineRule="auto"/>
              <w:jc w:val="center"/>
              <w:rPr>
                <w:rFonts w:ascii="Arial" w:hAnsi="Arial" w:cs="Arial"/>
                <w:sz w:val="18"/>
                <w:szCs w:val="18"/>
              </w:rPr>
            </w:pPr>
            <w:r w:rsidRPr="0097434A">
              <w:rPr>
                <w:rFonts w:ascii="Arial" w:hAnsi="Arial" w:cs="Arial"/>
                <w:sz w:val="18"/>
                <w:szCs w:val="18"/>
              </w:rPr>
              <w:t xml:space="preserve">38 </w:t>
            </w:r>
            <w:r w:rsidRPr="0097434A">
              <w:rPr>
                <w:rFonts w:ascii="Arial" w:hAnsi="Arial" w:cs="Arial"/>
                <w:color w:val="000000"/>
                <w:sz w:val="18"/>
                <w:szCs w:val="18"/>
              </w:rPr>
              <w:t>(8.4)</w:t>
            </w:r>
          </w:p>
        </w:tc>
      </w:tr>
      <w:tr w:rsidR="0097434A" w:rsidRPr="0097434A" w:rsidTr="003A4267">
        <w:trPr>
          <w:trHeight w:val="282"/>
        </w:trPr>
        <w:tc>
          <w:tcPr>
            <w:tcW w:w="0" w:type="auto"/>
            <w:shd w:val="clear" w:color="auto" w:fill="auto"/>
          </w:tcPr>
          <w:p w:rsidR="0097434A" w:rsidRPr="0097434A" w:rsidRDefault="0097434A" w:rsidP="0097434A">
            <w:pPr>
              <w:spacing w:after="0" w:line="240" w:lineRule="auto"/>
              <w:rPr>
                <w:rFonts w:ascii="Arial" w:hAnsi="Arial" w:cs="Arial"/>
                <w:sz w:val="18"/>
                <w:szCs w:val="18"/>
              </w:rPr>
            </w:pPr>
            <w:r w:rsidRPr="0097434A">
              <w:rPr>
                <w:rFonts w:ascii="Arial" w:hAnsi="Arial" w:cs="Arial"/>
                <w:sz w:val="18"/>
                <w:szCs w:val="18"/>
              </w:rPr>
              <w:t>Gender (M) n (%)</w:t>
            </w:r>
          </w:p>
        </w:tc>
        <w:tc>
          <w:tcPr>
            <w:tcW w:w="0" w:type="auto"/>
            <w:shd w:val="clear" w:color="auto" w:fill="auto"/>
          </w:tcPr>
          <w:p w:rsidR="0097434A" w:rsidRPr="0097434A" w:rsidRDefault="0097434A" w:rsidP="0097434A">
            <w:pPr>
              <w:spacing w:after="0" w:line="240" w:lineRule="auto"/>
              <w:jc w:val="center"/>
              <w:rPr>
                <w:rFonts w:ascii="Arial" w:hAnsi="Arial" w:cs="Arial"/>
                <w:sz w:val="18"/>
                <w:szCs w:val="18"/>
              </w:rPr>
            </w:pPr>
            <w:r w:rsidRPr="0097434A">
              <w:rPr>
                <w:rFonts w:ascii="Arial" w:hAnsi="Arial" w:cs="Arial"/>
                <w:color w:val="000000"/>
                <w:sz w:val="18"/>
                <w:szCs w:val="18"/>
              </w:rPr>
              <w:t>390 (85.7)</w:t>
            </w:r>
          </w:p>
        </w:tc>
      </w:tr>
      <w:tr w:rsidR="0097434A" w:rsidRPr="0097434A" w:rsidTr="00072A97">
        <w:trPr>
          <w:trHeight w:val="380"/>
        </w:trPr>
        <w:tc>
          <w:tcPr>
            <w:tcW w:w="0" w:type="auto"/>
            <w:shd w:val="clear" w:color="auto" w:fill="D9D9D9" w:themeFill="background1" w:themeFillShade="D9"/>
          </w:tcPr>
          <w:p w:rsidR="0097434A" w:rsidRPr="0097434A" w:rsidRDefault="0097434A" w:rsidP="0097434A">
            <w:pPr>
              <w:autoSpaceDE w:val="0"/>
              <w:autoSpaceDN w:val="0"/>
              <w:adjustRightInd w:val="0"/>
              <w:spacing w:after="0" w:line="240" w:lineRule="auto"/>
              <w:jc w:val="both"/>
              <w:rPr>
                <w:rFonts w:ascii="Arial" w:hAnsi="Arial" w:cs="Arial"/>
                <w:color w:val="000000"/>
                <w:sz w:val="18"/>
                <w:szCs w:val="18"/>
              </w:rPr>
            </w:pPr>
            <w:r w:rsidRPr="0097434A">
              <w:rPr>
                <w:rFonts w:ascii="Arial" w:hAnsi="Arial" w:cs="Arial"/>
                <w:sz w:val="18"/>
                <w:szCs w:val="18"/>
              </w:rPr>
              <w:t>Residence</w:t>
            </w:r>
            <w:r w:rsidRPr="0097434A">
              <w:rPr>
                <w:rFonts w:ascii="Arial" w:hAnsi="Arial" w:cs="Arial"/>
                <w:color w:val="000000"/>
                <w:sz w:val="18"/>
                <w:szCs w:val="18"/>
              </w:rPr>
              <w:t>, n (%)</w:t>
            </w:r>
          </w:p>
          <w:p w:rsidR="0097434A" w:rsidRPr="0097434A" w:rsidRDefault="0097434A" w:rsidP="0097434A">
            <w:pPr>
              <w:autoSpaceDE w:val="0"/>
              <w:autoSpaceDN w:val="0"/>
              <w:adjustRightInd w:val="0"/>
              <w:spacing w:after="0" w:line="240" w:lineRule="auto"/>
              <w:ind w:firstLine="284"/>
              <w:jc w:val="both"/>
              <w:rPr>
                <w:rFonts w:ascii="Arial" w:hAnsi="Arial" w:cs="Arial"/>
                <w:sz w:val="18"/>
                <w:szCs w:val="18"/>
              </w:rPr>
            </w:pPr>
            <w:r w:rsidRPr="0097434A">
              <w:rPr>
                <w:rFonts w:ascii="Arial" w:hAnsi="Arial" w:cs="Arial"/>
                <w:sz w:val="18"/>
                <w:szCs w:val="18"/>
              </w:rPr>
              <w:t xml:space="preserve">Urban </w:t>
            </w:r>
          </w:p>
          <w:p w:rsidR="0097434A" w:rsidRPr="0097434A" w:rsidRDefault="0097434A" w:rsidP="0097434A">
            <w:pPr>
              <w:autoSpaceDE w:val="0"/>
              <w:autoSpaceDN w:val="0"/>
              <w:adjustRightInd w:val="0"/>
              <w:spacing w:after="0" w:line="240" w:lineRule="auto"/>
              <w:ind w:firstLine="284"/>
              <w:jc w:val="both"/>
              <w:rPr>
                <w:rFonts w:ascii="Arial" w:hAnsi="Arial" w:cs="Arial"/>
                <w:sz w:val="18"/>
                <w:szCs w:val="18"/>
              </w:rPr>
            </w:pPr>
            <w:r w:rsidRPr="0097434A">
              <w:rPr>
                <w:rFonts w:ascii="Arial" w:hAnsi="Arial" w:cs="Arial"/>
                <w:sz w:val="18"/>
                <w:szCs w:val="18"/>
              </w:rPr>
              <w:t>Rural area</w:t>
            </w:r>
          </w:p>
        </w:tc>
        <w:tc>
          <w:tcPr>
            <w:tcW w:w="0" w:type="auto"/>
            <w:shd w:val="clear" w:color="auto" w:fill="D9D9D9" w:themeFill="background1" w:themeFillShade="D9"/>
          </w:tcPr>
          <w:p w:rsidR="0097434A" w:rsidRPr="0097434A" w:rsidRDefault="0097434A" w:rsidP="0097434A">
            <w:pPr>
              <w:autoSpaceDE w:val="0"/>
              <w:autoSpaceDN w:val="0"/>
              <w:adjustRightInd w:val="0"/>
              <w:spacing w:after="0" w:line="240" w:lineRule="auto"/>
              <w:jc w:val="center"/>
              <w:rPr>
                <w:rFonts w:ascii="Arial" w:hAnsi="Arial" w:cs="Arial"/>
                <w:color w:val="000000"/>
                <w:sz w:val="18"/>
                <w:szCs w:val="18"/>
              </w:rPr>
            </w:pPr>
          </w:p>
          <w:p w:rsidR="0097434A" w:rsidRPr="0097434A" w:rsidRDefault="0097434A" w:rsidP="0097434A">
            <w:pPr>
              <w:autoSpaceDE w:val="0"/>
              <w:autoSpaceDN w:val="0"/>
              <w:adjustRightInd w:val="0"/>
              <w:spacing w:after="0" w:line="240" w:lineRule="auto"/>
              <w:jc w:val="center"/>
              <w:rPr>
                <w:rFonts w:ascii="Arial" w:hAnsi="Arial" w:cs="Arial"/>
                <w:color w:val="000000"/>
                <w:sz w:val="18"/>
                <w:szCs w:val="18"/>
              </w:rPr>
            </w:pPr>
            <w:r w:rsidRPr="0097434A">
              <w:rPr>
                <w:rFonts w:ascii="Arial" w:hAnsi="Arial" w:cs="Arial"/>
                <w:color w:val="000000"/>
                <w:sz w:val="18"/>
                <w:szCs w:val="18"/>
              </w:rPr>
              <w:t>350 (76.9)</w:t>
            </w:r>
          </w:p>
          <w:p w:rsidR="0097434A" w:rsidRPr="0097434A" w:rsidRDefault="0097434A" w:rsidP="0097434A">
            <w:pPr>
              <w:autoSpaceDE w:val="0"/>
              <w:autoSpaceDN w:val="0"/>
              <w:adjustRightInd w:val="0"/>
              <w:spacing w:after="0" w:line="240" w:lineRule="auto"/>
              <w:jc w:val="center"/>
              <w:rPr>
                <w:rFonts w:ascii="Arial" w:hAnsi="Arial" w:cs="Arial"/>
                <w:sz w:val="18"/>
                <w:szCs w:val="18"/>
              </w:rPr>
            </w:pPr>
            <w:r w:rsidRPr="0097434A">
              <w:rPr>
                <w:rFonts w:ascii="Arial" w:hAnsi="Arial" w:cs="Arial"/>
                <w:color w:val="000000"/>
                <w:sz w:val="18"/>
                <w:szCs w:val="18"/>
              </w:rPr>
              <w:t>105 (23.1)</w:t>
            </w:r>
          </w:p>
        </w:tc>
      </w:tr>
      <w:tr w:rsidR="0097434A" w:rsidRPr="0097434A" w:rsidTr="003A4267">
        <w:trPr>
          <w:trHeight w:val="1074"/>
        </w:trPr>
        <w:tc>
          <w:tcPr>
            <w:tcW w:w="0" w:type="auto"/>
            <w:shd w:val="clear" w:color="auto" w:fill="auto"/>
          </w:tcPr>
          <w:p w:rsidR="0097434A" w:rsidRPr="0097434A" w:rsidRDefault="0097434A" w:rsidP="0097434A">
            <w:pPr>
              <w:autoSpaceDE w:val="0"/>
              <w:autoSpaceDN w:val="0"/>
              <w:adjustRightInd w:val="0"/>
              <w:spacing w:after="0" w:line="240" w:lineRule="auto"/>
              <w:jc w:val="both"/>
              <w:rPr>
                <w:rFonts w:ascii="Arial" w:hAnsi="Arial" w:cs="Arial"/>
                <w:color w:val="000000"/>
                <w:sz w:val="18"/>
                <w:szCs w:val="18"/>
              </w:rPr>
            </w:pPr>
            <w:r w:rsidRPr="0097434A">
              <w:rPr>
                <w:rFonts w:ascii="Arial" w:hAnsi="Arial" w:cs="Arial"/>
                <w:sz w:val="18"/>
                <w:szCs w:val="18"/>
              </w:rPr>
              <w:t>Occupation</w:t>
            </w:r>
            <w:r w:rsidRPr="0097434A">
              <w:rPr>
                <w:rFonts w:ascii="Arial" w:hAnsi="Arial" w:cs="Arial"/>
                <w:color w:val="000000"/>
                <w:sz w:val="18"/>
                <w:szCs w:val="18"/>
              </w:rPr>
              <w:t>, n (%)</w:t>
            </w:r>
          </w:p>
          <w:p w:rsidR="0097434A" w:rsidRPr="0097434A" w:rsidRDefault="0097434A" w:rsidP="0097434A">
            <w:pPr>
              <w:autoSpaceDE w:val="0"/>
              <w:autoSpaceDN w:val="0"/>
              <w:adjustRightInd w:val="0"/>
              <w:spacing w:after="0" w:line="240" w:lineRule="auto"/>
              <w:ind w:firstLine="284"/>
              <w:jc w:val="both"/>
              <w:rPr>
                <w:rFonts w:ascii="Arial" w:hAnsi="Arial" w:cs="Arial"/>
                <w:sz w:val="18"/>
                <w:szCs w:val="18"/>
              </w:rPr>
            </w:pPr>
            <w:r w:rsidRPr="0097434A">
              <w:rPr>
                <w:rFonts w:ascii="Arial" w:hAnsi="Arial" w:cs="Arial"/>
                <w:sz w:val="18"/>
                <w:szCs w:val="18"/>
              </w:rPr>
              <w:t xml:space="preserve">Student </w:t>
            </w:r>
          </w:p>
          <w:p w:rsidR="0097434A" w:rsidRPr="0097434A" w:rsidRDefault="0097434A" w:rsidP="0097434A">
            <w:pPr>
              <w:autoSpaceDE w:val="0"/>
              <w:autoSpaceDN w:val="0"/>
              <w:adjustRightInd w:val="0"/>
              <w:spacing w:after="0" w:line="240" w:lineRule="auto"/>
              <w:ind w:firstLine="284"/>
              <w:jc w:val="both"/>
              <w:rPr>
                <w:rFonts w:ascii="Arial" w:hAnsi="Arial" w:cs="Arial"/>
                <w:sz w:val="18"/>
                <w:szCs w:val="18"/>
              </w:rPr>
            </w:pPr>
            <w:r w:rsidRPr="0097434A">
              <w:rPr>
                <w:rFonts w:ascii="Arial" w:hAnsi="Arial" w:cs="Arial"/>
                <w:sz w:val="18"/>
                <w:szCs w:val="18"/>
              </w:rPr>
              <w:t xml:space="preserve">Unemployed </w:t>
            </w:r>
          </w:p>
          <w:p w:rsidR="0097434A" w:rsidRPr="0097434A" w:rsidRDefault="0097434A" w:rsidP="0097434A">
            <w:pPr>
              <w:autoSpaceDE w:val="0"/>
              <w:autoSpaceDN w:val="0"/>
              <w:adjustRightInd w:val="0"/>
              <w:spacing w:after="0" w:line="240" w:lineRule="auto"/>
              <w:ind w:firstLine="284"/>
              <w:jc w:val="both"/>
              <w:rPr>
                <w:rFonts w:ascii="Arial" w:hAnsi="Arial" w:cs="Arial"/>
                <w:sz w:val="18"/>
                <w:szCs w:val="18"/>
              </w:rPr>
            </w:pPr>
            <w:r w:rsidRPr="0097434A">
              <w:rPr>
                <w:rFonts w:ascii="Arial" w:hAnsi="Arial" w:cs="Arial"/>
                <w:sz w:val="18"/>
                <w:szCs w:val="18"/>
              </w:rPr>
              <w:t xml:space="preserve">Worker </w:t>
            </w:r>
          </w:p>
          <w:p w:rsidR="0097434A" w:rsidRPr="0097434A" w:rsidRDefault="0097434A" w:rsidP="0097434A">
            <w:pPr>
              <w:autoSpaceDE w:val="0"/>
              <w:autoSpaceDN w:val="0"/>
              <w:adjustRightInd w:val="0"/>
              <w:spacing w:after="0" w:line="240" w:lineRule="auto"/>
              <w:ind w:firstLine="284"/>
              <w:jc w:val="both"/>
              <w:rPr>
                <w:rFonts w:ascii="Arial" w:hAnsi="Arial" w:cs="Arial"/>
                <w:sz w:val="18"/>
                <w:szCs w:val="18"/>
              </w:rPr>
            </w:pPr>
            <w:r w:rsidRPr="0097434A">
              <w:rPr>
                <w:rFonts w:ascii="Arial" w:hAnsi="Arial" w:cs="Arial"/>
                <w:sz w:val="18"/>
                <w:szCs w:val="18"/>
              </w:rPr>
              <w:t>Liberal</w:t>
            </w:r>
          </w:p>
        </w:tc>
        <w:tc>
          <w:tcPr>
            <w:tcW w:w="0" w:type="auto"/>
            <w:shd w:val="clear" w:color="auto" w:fill="auto"/>
          </w:tcPr>
          <w:p w:rsidR="0097434A" w:rsidRPr="0097434A" w:rsidRDefault="0097434A" w:rsidP="0097434A">
            <w:pPr>
              <w:autoSpaceDE w:val="0"/>
              <w:autoSpaceDN w:val="0"/>
              <w:adjustRightInd w:val="0"/>
              <w:spacing w:after="0" w:line="240" w:lineRule="auto"/>
              <w:jc w:val="center"/>
              <w:rPr>
                <w:rFonts w:ascii="Arial" w:hAnsi="Arial" w:cs="Arial"/>
                <w:sz w:val="18"/>
                <w:szCs w:val="18"/>
              </w:rPr>
            </w:pPr>
          </w:p>
          <w:p w:rsidR="0097434A" w:rsidRPr="0097434A" w:rsidRDefault="0097434A" w:rsidP="0097434A">
            <w:pPr>
              <w:autoSpaceDE w:val="0"/>
              <w:autoSpaceDN w:val="0"/>
              <w:adjustRightInd w:val="0"/>
              <w:spacing w:after="0" w:line="240" w:lineRule="auto"/>
              <w:jc w:val="center"/>
              <w:rPr>
                <w:rFonts w:ascii="Arial" w:hAnsi="Arial" w:cs="Arial"/>
                <w:sz w:val="18"/>
                <w:szCs w:val="18"/>
              </w:rPr>
            </w:pPr>
            <w:r w:rsidRPr="0097434A">
              <w:rPr>
                <w:rFonts w:ascii="Arial" w:hAnsi="Arial" w:cs="Arial"/>
                <w:sz w:val="18"/>
                <w:szCs w:val="18"/>
              </w:rPr>
              <w:t xml:space="preserve">52 </w:t>
            </w:r>
            <w:r w:rsidRPr="0097434A">
              <w:rPr>
                <w:rFonts w:ascii="Arial" w:hAnsi="Arial" w:cs="Arial"/>
                <w:color w:val="000000"/>
                <w:sz w:val="18"/>
                <w:szCs w:val="18"/>
              </w:rPr>
              <w:t>(11.4)</w:t>
            </w:r>
          </w:p>
          <w:p w:rsidR="0097434A" w:rsidRPr="0097434A" w:rsidRDefault="0097434A" w:rsidP="0097434A">
            <w:pPr>
              <w:autoSpaceDE w:val="0"/>
              <w:autoSpaceDN w:val="0"/>
              <w:adjustRightInd w:val="0"/>
              <w:spacing w:after="0" w:line="240" w:lineRule="auto"/>
              <w:jc w:val="center"/>
              <w:rPr>
                <w:rFonts w:ascii="Arial" w:hAnsi="Arial" w:cs="Arial"/>
                <w:sz w:val="18"/>
                <w:szCs w:val="18"/>
              </w:rPr>
            </w:pPr>
            <w:r w:rsidRPr="0097434A">
              <w:rPr>
                <w:rFonts w:ascii="Arial" w:hAnsi="Arial" w:cs="Arial"/>
                <w:sz w:val="18"/>
                <w:szCs w:val="18"/>
              </w:rPr>
              <w:t xml:space="preserve">61 </w:t>
            </w:r>
            <w:r w:rsidRPr="0097434A">
              <w:rPr>
                <w:rFonts w:ascii="Arial" w:hAnsi="Arial" w:cs="Arial"/>
                <w:color w:val="000000"/>
                <w:sz w:val="18"/>
                <w:szCs w:val="18"/>
              </w:rPr>
              <w:t>(13.4)</w:t>
            </w:r>
          </w:p>
          <w:p w:rsidR="0097434A" w:rsidRPr="0097434A" w:rsidRDefault="0097434A" w:rsidP="0097434A">
            <w:pPr>
              <w:autoSpaceDE w:val="0"/>
              <w:autoSpaceDN w:val="0"/>
              <w:adjustRightInd w:val="0"/>
              <w:spacing w:after="0" w:line="240" w:lineRule="auto"/>
              <w:jc w:val="center"/>
              <w:rPr>
                <w:rFonts w:ascii="Arial" w:hAnsi="Arial" w:cs="Arial"/>
                <w:sz w:val="18"/>
                <w:szCs w:val="18"/>
              </w:rPr>
            </w:pPr>
            <w:r w:rsidRPr="0097434A">
              <w:rPr>
                <w:rFonts w:ascii="Arial" w:hAnsi="Arial" w:cs="Arial"/>
                <w:sz w:val="18"/>
                <w:szCs w:val="18"/>
              </w:rPr>
              <w:t xml:space="preserve">52 </w:t>
            </w:r>
            <w:r w:rsidRPr="0097434A">
              <w:rPr>
                <w:rFonts w:ascii="Arial" w:hAnsi="Arial" w:cs="Arial"/>
                <w:color w:val="000000"/>
                <w:sz w:val="18"/>
                <w:szCs w:val="18"/>
              </w:rPr>
              <w:t>(11.4)</w:t>
            </w:r>
          </w:p>
          <w:p w:rsidR="0097434A" w:rsidRPr="0097434A" w:rsidRDefault="0097434A" w:rsidP="0097434A">
            <w:pPr>
              <w:autoSpaceDE w:val="0"/>
              <w:autoSpaceDN w:val="0"/>
              <w:adjustRightInd w:val="0"/>
              <w:spacing w:after="0" w:line="240" w:lineRule="auto"/>
              <w:jc w:val="center"/>
              <w:rPr>
                <w:rFonts w:ascii="Arial" w:hAnsi="Arial" w:cs="Arial"/>
                <w:sz w:val="18"/>
                <w:szCs w:val="18"/>
              </w:rPr>
            </w:pPr>
            <w:r w:rsidRPr="0097434A">
              <w:rPr>
                <w:rFonts w:ascii="Arial" w:hAnsi="Arial" w:cs="Arial"/>
                <w:sz w:val="18"/>
                <w:szCs w:val="18"/>
              </w:rPr>
              <w:t xml:space="preserve">290 </w:t>
            </w:r>
            <w:r w:rsidRPr="0097434A">
              <w:rPr>
                <w:rFonts w:ascii="Arial" w:hAnsi="Arial" w:cs="Arial"/>
                <w:color w:val="000000"/>
                <w:sz w:val="18"/>
                <w:szCs w:val="18"/>
              </w:rPr>
              <w:t>(63.8)</w:t>
            </w:r>
          </w:p>
        </w:tc>
      </w:tr>
      <w:tr w:rsidR="0097434A" w:rsidRPr="0097434A" w:rsidTr="00072A97">
        <w:trPr>
          <w:trHeight w:val="282"/>
        </w:trPr>
        <w:tc>
          <w:tcPr>
            <w:tcW w:w="0" w:type="auto"/>
            <w:shd w:val="clear" w:color="auto" w:fill="D9D9D9" w:themeFill="background1" w:themeFillShade="D9"/>
          </w:tcPr>
          <w:p w:rsidR="0097434A" w:rsidRPr="0097434A" w:rsidRDefault="0097434A" w:rsidP="0097434A">
            <w:pPr>
              <w:autoSpaceDE w:val="0"/>
              <w:autoSpaceDN w:val="0"/>
              <w:adjustRightInd w:val="0"/>
              <w:spacing w:after="0" w:line="240" w:lineRule="auto"/>
              <w:jc w:val="both"/>
              <w:rPr>
                <w:rFonts w:ascii="Arial" w:hAnsi="Arial" w:cs="Arial"/>
                <w:sz w:val="18"/>
                <w:szCs w:val="18"/>
              </w:rPr>
            </w:pPr>
            <w:r w:rsidRPr="0097434A">
              <w:rPr>
                <w:rFonts w:ascii="Arial" w:hAnsi="Arial" w:cs="Arial"/>
                <w:sz w:val="18"/>
                <w:szCs w:val="18"/>
              </w:rPr>
              <w:t>HIV Infection positivity, n (%)</w:t>
            </w:r>
          </w:p>
        </w:tc>
        <w:tc>
          <w:tcPr>
            <w:tcW w:w="0" w:type="auto"/>
            <w:shd w:val="clear" w:color="auto" w:fill="D9D9D9" w:themeFill="background1" w:themeFillShade="D9"/>
          </w:tcPr>
          <w:p w:rsidR="0097434A" w:rsidRPr="0097434A" w:rsidRDefault="0097434A" w:rsidP="0097434A">
            <w:pPr>
              <w:autoSpaceDE w:val="0"/>
              <w:autoSpaceDN w:val="0"/>
              <w:adjustRightInd w:val="0"/>
              <w:spacing w:after="0" w:line="240" w:lineRule="auto"/>
              <w:jc w:val="center"/>
              <w:rPr>
                <w:rFonts w:ascii="Arial" w:hAnsi="Arial" w:cs="Arial"/>
                <w:sz w:val="18"/>
                <w:szCs w:val="18"/>
              </w:rPr>
            </w:pPr>
            <w:r w:rsidRPr="0097434A">
              <w:rPr>
                <w:rFonts w:ascii="Arial" w:hAnsi="Arial" w:cs="Arial"/>
                <w:color w:val="000000"/>
                <w:sz w:val="18"/>
                <w:szCs w:val="18"/>
              </w:rPr>
              <w:t>22 (4.8)</w:t>
            </w:r>
          </w:p>
        </w:tc>
      </w:tr>
      <w:tr w:rsidR="0097434A" w:rsidRPr="0097434A" w:rsidTr="003A4267">
        <w:trPr>
          <w:trHeight w:val="380"/>
        </w:trPr>
        <w:tc>
          <w:tcPr>
            <w:tcW w:w="0" w:type="auto"/>
            <w:shd w:val="clear" w:color="auto" w:fill="auto"/>
          </w:tcPr>
          <w:p w:rsidR="0097434A" w:rsidRPr="0097434A" w:rsidRDefault="0097434A" w:rsidP="0097434A">
            <w:pPr>
              <w:spacing w:after="0" w:line="240" w:lineRule="auto"/>
              <w:rPr>
                <w:rFonts w:ascii="Arial" w:hAnsi="Arial" w:cs="Arial"/>
                <w:sz w:val="18"/>
                <w:szCs w:val="18"/>
              </w:rPr>
            </w:pPr>
            <w:r w:rsidRPr="0097434A">
              <w:rPr>
                <w:rFonts w:ascii="Arial" w:hAnsi="Arial" w:cs="Arial"/>
                <w:sz w:val="18"/>
                <w:szCs w:val="18"/>
              </w:rPr>
              <w:t>“Dakar score”, range, n (%)</w:t>
            </w:r>
          </w:p>
          <w:p w:rsidR="0097434A" w:rsidRPr="0097434A" w:rsidRDefault="0097434A" w:rsidP="0097434A">
            <w:pPr>
              <w:spacing w:after="0" w:line="240" w:lineRule="auto"/>
              <w:ind w:firstLine="284"/>
              <w:rPr>
                <w:rFonts w:ascii="Arial" w:hAnsi="Arial" w:cs="Arial"/>
                <w:sz w:val="18"/>
                <w:szCs w:val="18"/>
              </w:rPr>
            </w:pPr>
            <w:r w:rsidRPr="0097434A">
              <w:rPr>
                <w:rFonts w:ascii="Arial" w:hAnsi="Arial" w:cs="Arial"/>
                <w:sz w:val="18"/>
                <w:szCs w:val="18"/>
              </w:rPr>
              <w:t xml:space="preserve">Mild </w:t>
            </w:r>
          </w:p>
          <w:p w:rsidR="0097434A" w:rsidRPr="0097434A" w:rsidRDefault="0097434A" w:rsidP="0097434A">
            <w:pPr>
              <w:spacing w:after="0" w:line="240" w:lineRule="auto"/>
              <w:ind w:firstLine="284"/>
              <w:rPr>
                <w:rFonts w:ascii="Arial" w:hAnsi="Arial" w:cs="Arial"/>
                <w:sz w:val="18"/>
                <w:szCs w:val="18"/>
              </w:rPr>
            </w:pPr>
            <w:r w:rsidRPr="0097434A">
              <w:rPr>
                <w:rFonts w:ascii="Arial" w:hAnsi="Arial" w:cs="Arial"/>
                <w:sz w:val="18"/>
                <w:szCs w:val="18"/>
              </w:rPr>
              <w:t xml:space="preserve">Moderate </w:t>
            </w:r>
          </w:p>
          <w:p w:rsidR="0097434A" w:rsidRPr="0097434A" w:rsidRDefault="0097434A" w:rsidP="0097434A">
            <w:pPr>
              <w:spacing w:after="0" w:line="240" w:lineRule="auto"/>
              <w:ind w:firstLine="284"/>
              <w:rPr>
                <w:rFonts w:ascii="Arial" w:hAnsi="Arial" w:cs="Arial"/>
                <w:sz w:val="18"/>
                <w:szCs w:val="18"/>
              </w:rPr>
            </w:pPr>
            <w:r w:rsidRPr="0097434A">
              <w:rPr>
                <w:rFonts w:ascii="Arial" w:hAnsi="Arial" w:cs="Arial"/>
                <w:sz w:val="18"/>
                <w:szCs w:val="18"/>
              </w:rPr>
              <w:t xml:space="preserve">Severe </w:t>
            </w:r>
          </w:p>
          <w:p w:rsidR="0097434A" w:rsidRPr="0097434A" w:rsidRDefault="0097434A" w:rsidP="0097434A">
            <w:pPr>
              <w:spacing w:after="0" w:line="240" w:lineRule="auto"/>
              <w:ind w:firstLine="284"/>
              <w:rPr>
                <w:rFonts w:ascii="Arial" w:hAnsi="Arial" w:cs="Arial"/>
                <w:sz w:val="18"/>
                <w:szCs w:val="18"/>
              </w:rPr>
            </w:pPr>
            <w:r w:rsidRPr="0097434A">
              <w:rPr>
                <w:rFonts w:ascii="Arial" w:hAnsi="Arial" w:cs="Arial"/>
                <w:sz w:val="18"/>
                <w:szCs w:val="18"/>
              </w:rPr>
              <w:t>Not specified</w:t>
            </w:r>
          </w:p>
        </w:tc>
        <w:tc>
          <w:tcPr>
            <w:tcW w:w="0" w:type="auto"/>
            <w:shd w:val="clear" w:color="auto" w:fill="auto"/>
          </w:tcPr>
          <w:p w:rsidR="0097434A" w:rsidRPr="0097434A" w:rsidRDefault="0097434A" w:rsidP="0097434A">
            <w:pPr>
              <w:spacing w:after="0" w:line="240" w:lineRule="auto"/>
              <w:jc w:val="center"/>
              <w:rPr>
                <w:rFonts w:ascii="Arial" w:hAnsi="Arial" w:cs="Arial"/>
                <w:sz w:val="18"/>
                <w:szCs w:val="18"/>
              </w:rPr>
            </w:pPr>
          </w:p>
          <w:p w:rsidR="0097434A" w:rsidRPr="0097434A" w:rsidRDefault="0097434A" w:rsidP="0097434A">
            <w:pPr>
              <w:spacing w:after="0" w:line="240" w:lineRule="auto"/>
              <w:jc w:val="center"/>
              <w:rPr>
                <w:rFonts w:ascii="Arial" w:hAnsi="Arial" w:cs="Arial"/>
                <w:sz w:val="18"/>
                <w:szCs w:val="18"/>
              </w:rPr>
            </w:pPr>
            <w:r w:rsidRPr="0097434A">
              <w:rPr>
                <w:rFonts w:ascii="Arial" w:hAnsi="Arial" w:cs="Arial"/>
                <w:sz w:val="18"/>
                <w:szCs w:val="18"/>
              </w:rPr>
              <w:t xml:space="preserve">141 </w:t>
            </w:r>
            <w:r w:rsidRPr="0097434A">
              <w:rPr>
                <w:rFonts w:ascii="Arial" w:hAnsi="Arial" w:cs="Arial"/>
                <w:color w:val="000000"/>
                <w:sz w:val="18"/>
                <w:szCs w:val="18"/>
              </w:rPr>
              <w:t>(31.0)</w:t>
            </w:r>
          </w:p>
          <w:p w:rsidR="0097434A" w:rsidRPr="0097434A" w:rsidRDefault="0097434A" w:rsidP="0097434A">
            <w:pPr>
              <w:spacing w:after="0" w:line="240" w:lineRule="auto"/>
              <w:jc w:val="center"/>
              <w:rPr>
                <w:rFonts w:ascii="Arial" w:hAnsi="Arial" w:cs="Arial"/>
                <w:sz w:val="18"/>
                <w:szCs w:val="18"/>
              </w:rPr>
            </w:pPr>
            <w:r w:rsidRPr="0097434A">
              <w:rPr>
                <w:rFonts w:ascii="Arial" w:hAnsi="Arial" w:cs="Arial"/>
                <w:sz w:val="18"/>
                <w:szCs w:val="18"/>
              </w:rPr>
              <w:t xml:space="preserve">246 </w:t>
            </w:r>
            <w:r w:rsidRPr="0097434A">
              <w:rPr>
                <w:rFonts w:ascii="Arial" w:hAnsi="Arial" w:cs="Arial"/>
                <w:color w:val="000000"/>
                <w:sz w:val="18"/>
                <w:szCs w:val="18"/>
              </w:rPr>
              <w:t>(54.1)</w:t>
            </w:r>
          </w:p>
          <w:p w:rsidR="0097434A" w:rsidRPr="0097434A" w:rsidRDefault="0097434A" w:rsidP="0097434A">
            <w:pPr>
              <w:spacing w:after="0" w:line="240" w:lineRule="auto"/>
              <w:jc w:val="center"/>
              <w:rPr>
                <w:rFonts w:ascii="Arial" w:hAnsi="Arial" w:cs="Arial"/>
                <w:sz w:val="18"/>
                <w:szCs w:val="18"/>
              </w:rPr>
            </w:pPr>
            <w:r w:rsidRPr="0097434A">
              <w:rPr>
                <w:rFonts w:ascii="Arial" w:hAnsi="Arial" w:cs="Arial"/>
                <w:sz w:val="18"/>
                <w:szCs w:val="18"/>
              </w:rPr>
              <w:t xml:space="preserve">59 </w:t>
            </w:r>
            <w:r w:rsidRPr="0097434A">
              <w:rPr>
                <w:rFonts w:ascii="Arial" w:hAnsi="Arial" w:cs="Arial"/>
                <w:color w:val="000000"/>
                <w:sz w:val="18"/>
                <w:szCs w:val="18"/>
              </w:rPr>
              <w:t>(13.0)</w:t>
            </w:r>
          </w:p>
          <w:p w:rsidR="0097434A" w:rsidRPr="0097434A" w:rsidRDefault="0097434A" w:rsidP="0097434A">
            <w:pPr>
              <w:spacing w:after="0" w:line="240" w:lineRule="auto"/>
              <w:jc w:val="center"/>
              <w:rPr>
                <w:rFonts w:ascii="Arial" w:hAnsi="Arial" w:cs="Arial"/>
                <w:b/>
                <w:sz w:val="18"/>
                <w:szCs w:val="18"/>
              </w:rPr>
            </w:pPr>
            <w:r w:rsidRPr="0097434A">
              <w:rPr>
                <w:rFonts w:ascii="Arial" w:hAnsi="Arial" w:cs="Arial"/>
                <w:sz w:val="18"/>
                <w:szCs w:val="18"/>
              </w:rPr>
              <w:t xml:space="preserve">09 </w:t>
            </w:r>
            <w:r w:rsidRPr="0097434A">
              <w:rPr>
                <w:rFonts w:ascii="Arial" w:hAnsi="Arial" w:cs="Arial"/>
                <w:color w:val="000000"/>
                <w:sz w:val="18"/>
                <w:szCs w:val="18"/>
              </w:rPr>
              <w:t>(1.9)</w:t>
            </w:r>
          </w:p>
        </w:tc>
      </w:tr>
      <w:tr w:rsidR="0097434A" w:rsidRPr="0097434A" w:rsidTr="00072A97">
        <w:trPr>
          <w:trHeight w:val="380"/>
        </w:trPr>
        <w:tc>
          <w:tcPr>
            <w:tcW w:w="0" w:type="auto"/>
            <w:shd w:val="clear" w:color="auto" w:fill="D9D9D9" w:themeFill="background1" w:themeFillShade="D9"/>
          </w:tcPr>
          <w:p w:rsidR="0097434A" w:rsidRPr="0097434A" w:rsidRDefault="0097434A" w:rsidP="0097434A">
            <w:pPr>
              <w:autoSpaceDE w:val="0"/>
              <w:autoSpaceDN w:val="0"/>
              <w:adjustRightInd w:val="0"/>
              <w:spacing w:after="0" w:line="240" w:lineRule="auto"/>
              <w:jc w:val="both"/>
              <w:rPr>
                <w:rFonts w:ascii="Arial" w:hAnsi="Arial" w:cs="Arial"/>
                <w:sz w:val="18"/>
                <w:szCs w:val="18"/>
              </w:rPr>
            </w:pPr>
            <w:r w:rsidRPr="0097434A">
              <w:rPr>
                <w:rFonts w:ascii="Arial" w:hAnsi="Arial" w:cs="Arial"/>
                <w:sz w:val="18"/>
                <w:szCs w:val="18"/>
              </w:rPr>
              <w:t>Antibiotherapy, n (%)</w:t>
            </w:r>
          </w:p>
          <w:p w:rsidR="0097434A" w:rsidRPr="0097434A" w:rsidRDefault="0097434A" w:rsidP="0097434A">
            <w:pPr>
              <w:autoSpaceDE w:val="0"/>
              <w:autoSpaceDN w:val="0"/>
              <w:adjustRightInd w:val="0"/>
              <w:spacing w:after="0" w:line="240" w:lineRule="auto"/>
              <w:ind w:firstLine="284"/>
              <w:jc w:val="both"/>
              <w:rPr>
                <w:rFonts w:ascii="Arial" w:hAnsi="Arial" w:cs="Arial"/>
                <w:sz w:val="18"/>
                <w:szCs w:val="18"/>
              </w:rPr>
            </w:pPr>
            <w:r w:rsidRPr="0097434A">
              <w:rPr>
                <w:rFonts w:ascii="Arial" w:hAnsi="Arial" w:cs="Arial"/>
                <w:sz w:val="18"/>
                <w:szCs w:val="18"/>
              </w:rPr>
              <w:t xml:space="preserve">One antibiotic </w:t>
            </w:r>
          </w:p>
          <w:p w:rsidR="0097434A" w:rsidRPr="0097434A" w:rsidRDefault="0097434A" w:rsidP="0097434A">
            <w:pPr>
              <w:autoSpaceDE w:val="0"/>
              <w:autoSpaceDN w:val="0"/>
              <w:adjustRightInd w:val="0"/>
              <w:spacing w:after="0" w:line="240" w:lineRule="auto"/>
              <w:ind w:firstLine="284"/>
              <w:jc w:val="both"/>
              <w:rPr>
                <w:rFonts w:ascii="Arial" w:hAnsi="Arial" w:cs="Arial"/>
                <w:sz w:val="18"/>
                <w:szCs w:val="18"/>
              </w:rPr>
            </w:pPr>
            <w:r w:rsidRPr="0097434A">
              <w:rPr>
                <w:rFonts w:ascii="Arial" w:hAnsi="Arial" w:cs="Arial"/>
                <w:sz w:val="18"/>
                <w:szCs w:val="18"/>
              </w:rPr>
              <w:t xml:space="preserve">Two antibiotics </w:t>
            </w:r>
          </w:p>
          <w:p w:rsidR="0097434A" w:rsidRPr="0097434A" w:rsidRDefault="0097434A" w:rsidP="0097434A">
            <w:pPr>
              <w:autoSpaceDE w:val="0"/>
              <w:autoSpaceDN w:val="0"/>
              <w:adjustRightInd w:val="0"/>
              <w:spacing w:after="0" w:line="240" w:lineRule="auto"/>
              <w:ind w:firstLine="284"/>
              <w:jc w:val="both"/>
              <w:rPr>
                <w:rFonts w:ascii="Arial" w:hAnsi="Arial" w:cs="Arial"/>
                <w:color w:val="000000"/>
                <w:sz w:val="18"/>
                <w:szCs w:val="18"/>
              </w:rPr>
            </w:pPr>
            <w:r w:rsidRPr="0097434A">
              <w:rPr>
                <w:rFonts w:ascii="Arial" w:hAnsi="Arial" w:cs="Arial"/>
                <w:sz w:val="18"/>
                <w:szCs w:val="18"/>
              </w:rPr>
              <w:t>None received</w:t>
            </w:r>
          </w:p>
        </w:tc>
        <w:tc>
          <w:tcPr>
            <w:tcW w:w="0" w:type="auto"/>
            <w:shd w:val="clear" w:color="auto" w:fill="D9D9D9" w:themeFill="background1" w:themeFillShade="D9"/>
          </w:tcPr>
          <w:p w:rsidR="0097434A" w:rsidRPr="0097434A" w:rsidRDefault="0097434A" w:rsidP="0097434A">
            <w:pPr>
              <w:autoSpaceDE w:val="0"/>
              <w:autoSpaceDN w:val="0"/>
              <w:adjustRightInd w:val="0"/>
              <w:spacing w:after="0" w:line="240" w:lineRule="auto"/>
              <w:jc w:val="center"/>
              <w:rPr>
                <w:rFonts w:ascii="Arial" w:hAnsi="Arial" w:cs="Arial"/>
                <w:sz w:val="18"/>
                <w:szCs w:val="18"/>
              </w:rPr>
            </w:pPr>
          </w:p>
          <w:p w:rsidR="0097434A" w:rsidRPr="0097434A" w:rsidRDefault="0097434A" w:rsidP="0097434A">
            <w:pPr>
              <w:autoSpaceDE w:val="0"/>
              <w:autoSpaceDN w:val="0"/>
              <w:adjustRightInd w:val="0"/>
              <w:spacing w:after="0" w:line="240" w:lineRule="auto"/>
              <w:jc w:val="center"/>
              <w:rPr>
                <w:rFonts w:ascii="Arial" w:hAnsi="Arial" w:cs="Arial"/>
                <w:sz w:val="18"/>
                <w:szCs w:val="18"/>
              </w:rPr>
            </w:pPr>
            <w:r w:rsidRPr="0097434A">
              <w:rPr>
                <w:rFonts w:ascii="Arial" w:hAnsi="Arial" w:cs="Arial"/>
                <w:sz w:val="18"/>
                <w:szCs w:val="18"/>
              </w:rPr>
              <w:t xml:space="preserve">388 </w:t>
            </w:r>
            <w:r w:rsidRPr="0097434A">
              <w:rPr>
                <w:rFonts w:ascii="Arial" w:hAnsi="Arial" w:cs="Arial"/>
                <w:color w:val="000000"/>
                <w:sz w:val="18"/>
                <w:szCs w:val="18"/>
              </w:rPr>
              <w:t>(85.3)</w:t>
            </w:r>
          </w:p>
          <w:p w:rsidR="0097434A" w:rsidRPr="0097434A" w:rsidRDefault="0097434A" w:rsidP="0097434A">
            <w:pPr>
              <w:autoSpaceDE w:val="0"/>
              <w:autoSpaceDN w:val="0"/>
              <w:adjustRightInd w:val="0"/>
              <w:spacing w:after="0" w:line="240" w:lineRule="auto"/>
              <w:jc w:val="center"/>
              <w:rPr>
                <w:rFonts w:ascii="Arial" w:hAnsi="Arial" w:cs="Arial"/>
                <w:color w:val="000000"/>
                <w:sz w:val="18"/>
                <w:szCs w:val="18"/>
              </w:rPr>
            </w:pPr>
            <w:r w:rsidRPr="0097434A">
              <w:rPr>
                <w:rFonts w:ascii="Arial" w:hAnsi="Arial" w:cs="Arial"/>
                <w:color w:val="000000"/>
                <w:sz w:val="18"/>
                <w:szCs w:val="18"/>
              </w:rPr>
              <w:t>41 (9.0)</w:t>
            </w:r>
          </w:p>
          <w:p w:rsidR="0097434A" w:rsidRPr="0097434A" w:rsidRDefault="0097434A" w:rsidP="0097434A">
            <w:pPr>
              <w:autoSpaceDE w:val="0"/>
              <w:autoSpaceDN w:val="0"/>
              <w:adjustRightInd w:val="0"/>
              <w:spacing w:after="0" w:line="240" w:lineRule="auto"/>
              <w:jc w:val="center"/>
              <w:rPr>
                <w:rFonts w:ascii="Arial" w:hAnsi="Arial" w:cs="Arial"/>
                <w:color w:val="000000"/>
                <w:sz w:val="18"/>
                <w:szCs w:val="18"/>
              </w:rPr>
            </w:pPr>
            <w:r w:rsidRPr="0097434A">
              <w:rPr>
                <w:rFonts w:ascii="Arial" w:hAnsi="Arial" w:cs="Arial"/>
                <w:color w:val="000000"/>
                <w:sz w:val="18"/>
                <w:szCs w:val="18"/>
              </w:rPr>
              <w:t>26 (5.7)</w:t>
            </w:r>
          </w:p>
        </w:tc>
      </w:tr>
      <w:tr w:rsidR="0097434A" w:rsidRPr="0097434A" w:rsidTr="003A4267">
        <w:trPr>
          <w:trHeight w:val="395"/>
        </w:trPr>
        <w:tc>
          <w:tcPr>
            <w:tcW w:w="0" w:type="auto"/>
            <w:shd w:val="clear" w:color="auto" w:fill="auto"/>
          </w:tcPr>
          <w:p w:rsidR="0097434A" w:rsidRPr="0097434A" w:rsidRDefault="0097434A" w:rsidP="0097434A">
            <w:pPr>
              <w:spacing w:after="0" w:line="240" w:lineRule="auto"/>
              <w:rPr>
                <w:rFonts w:ascii="Arial" w:hAnsi="Arial" w:cs="Arial"/>
                <w:sz w:val="18"/>
                <w:szCs w:val="18"/>
              </w:rPr>
            </w:pPr>
            <w:r w:rsidRPr="0097434A">
              <w:rPr>
                <w:rFonts w:ascii="Arial" w:hAnsi="Arial" w:cs="Arial"/>
                <w:sz w:val="18"/>
                <w:szCs w:val="18"/>
              </w:rPr>
              <w:t xml:space="preserve">Intrathecal serotherapy </w:t>
            </w:r>
          </w:p>
          <w:p w:rsidR="0097434A" w:rsidRPr="0097434A" w:rsidRDefault="0097434A" w:rsidP="0097434A">
            <w:pPr>
              <w:spacing w:after="0" w:line="240" w:lineRule="auto"/>
              <w:ind w:firstLine="284"/>
              <w:rPr>
                <w:rFonts w:ascii="Arial" w:hAnsi="Arial" w:cs="Arial"/>
                <w:sz w:val="18"/>
                <w:szCs w:val="18"/>
              </w:rPr>
            </w:pPr>
            <w:r w:rsidRPr="0097434A">
              <w:rPr>
                <w:rFonts w:ascii="Arial" w:hAnsi="Arial" w:cs="Arial"/>
                <w:sz w:val="18"/>
                <w:szCs w:val="18"/>
              </w:rPr>
              <w:t xml:space="preserve">Done </w:t>
            </w:r>
          </w:p>
          <w:p w:rsidR="0097434A" w:rsidRPr="0097434A" w:rsidRDefault="0097434A" w:rsidP="0097434A">
            <w:pPr>
              <w:spacing w:after="0" w:line="240" w:lineRule="auto"/>
              <w:ind w:firstLine="284"/>
              <w:rPr>
                <w:rFonts w:ascii="Arial" w:hAnsi="Arial" w:cs="Arial"/>
                <w:sz w:val="18"/>
                <w:szCs w:val="18"/>
              </w:rPr>
            </w:pPr>
            <w:r w:rsidRPr="0097434A">
              <w:rPr>
                <w:rFonts w:ascii="Arial" w:hAnsi="Arial" w:cs="Arial"/>
                <w:sz w:val="18"/>
                <w:szCs w:val="18"/>
              </w:rPr>
              <w:t>Not done</w:t>
            </w:r>
          </w:p>
        </w:tc>
        <w:tc>
          <w:tcPr>
            <w:tcW w:w="0" w:type="auto"/>
            <w:shd w:val="clear" w:color="auto" w:fill="auto"/>
          </w:tcPr>
          <w:p w:rsidR="0097434A" w:rsidRPr="0097434A" w:rsidRDefault="0097434A" w:rsidP="0097434A">
            <w:pPr>
              <w:spacing w:after="0" w:line="240" w:lineRule="auto"/>
              <w:jc w:val="center"/>
              <w:rPr>
                <w:rFonts w:ascii="Arial" w:hAnsi="Arial" w:cs="Arial"/>
                <w:sz w:val="18"/>
                <w:szCs w:val="18"/>
              </w:rPr>
            </w:pPr>
          </w:p>
          <w:p w:rsidR="0097434A" w:rsidRPr="0097434A" w:rsidRDefault="0097434A" w:rsidP="0097434A">
            <w:pPr>
              <w:spacing w:after="0" w:line="240" w:lineRule="auto"/>
              <w:jc w:val="center"/>
              <w:rPr>
                <w:rFonts w:ascii="Arial" w:hAnsi="Arial" w:cs="Arial"/>
                <w:sz w:val="18"/>
                <w:szCs w:val="18"/>
              </w:rPr>
            </w:pPr>
            <w:r w:rsidRPr="0097434A">
              <w:rPr>
                <w:rFonts w:ascii="Arial" w:hAnsi="Arial" w:cs="Arial"/>
                <w:sz w:val="18"/>
                <w:szCs w:val="18"/>
              </w:rPr>
              <w:t xml:space="preserve">407 </w:t>
            </w:r>
            <w:r w:rsidRPr="0097434A">
              <w:rPr>
                <w:rFonts w:ascii="Arial" w:hAnsi="Arial" w:cs="Arial"/>
                <w:color w:val="000000"/>
                <w:sz w:val="18"/>
                <w:szCs w:val="18"/>
              </w:rPr>
              <w:t>(89.5)</w:t>
            </w:r>
          </w:p>
          <w:p w:rsidR="0097434A" w:rsidRPr="0097434A" w:rsidRDefault="0097434A" w:rsidP="0097434A">
            <w:pPr>
              <w:spacing w:after="0" w:line="240" w:lineRule="auto"/>
              <w:jc w:val="center"/>
              <w:rPr>
                <w:rFonts w:ascii="Arial" w:hAnsi="Arial" w:cs="Arial"/>
                <w:b/>
                <w:sz w:val="18"/>
                <w:szCs w:val="18"/>
              </w:rPr>
            </w:pPr>
            <w:r w:rsidRPr="0097434A">
              <w:rPr>
                <w:rFonts w:ascii="Arial" w:hAnsi="Arial" w:cs="Arial"/>
                <w:sz w:val="18"/>
                <w:szCs w:val="18"/>
              </w:rPr>
              <w:t xml:space="preserve">48 </w:t>
            </w:r>
            <w:r w:rsidRPr="0097434A">
              <w:rPr>
                <w:rFonts w:ascii="Arial" w:hAnsi="Arial" w:cs="Arial"/>
                <w:color w:val="000000"/>
                <w:sz w:val="18"/>
                <w:szCs w:val="18"/>
              </w:rPr>
              <w:t>(10.5)</w:t>
            </w:r>
          </w:p>
        </w:tc>
      </w:tr>
    </w:tbl>
    <w:p w:rsidR="003A4267" w:rsidRDefault="003A4267" w:rsidP="003A4267">
      <w:pPr>
        <w:spacing w:after="0" w:line="240" w:lineRule="auto"/>
        <w:jc w:val="both"/>
        <w:rPr>
          <w:rFonts w:ascii="Arial" w:hAnsi="Arial" w:cs="Arial"/>
          <w:sz w:val="18"/>
          <w:szCs w:val="18"/>
        </w:rPr>
      </w:pPr>
    </w:p>
    <w:p w:rsidR="00B41230" w:rsidRPr="00B41230" w:rsidRDefault="003A4267" w:rsidP="003A4267">
      <w:pPr>
        <w:spacing w:after="0" w:line="240" w:lineRule="auto"/>
        <w:jc w:val="both"/>
        <w:rPr>
          <w:rFonts w:ascii="Arial" w:hAnsi="Arial" w:cs="Arial"/>
          <w:sz w:val="18"/>
          <w:szCs w:val="18"/>
        </w:rPr>
      </w:pPr>
      <w:r w:rsidRPr="00B41230">
        <w:rPr>
          <w:rFonts w:ascii="Arial" w:hAnsi="Arial" w:cs="Arial"/>
          <w:sz w:val="18"/>
          <w:szCs w:val="18"/>
        </w:rPr>
        <w:t>Table 2. Main symptoms observed at admission</w:t>
      </w:r>
      <w:r w:rsidR="00605A54">
        <w:rPr>
          <w:rFonts w:ascii="Arial" w:hAnsi="Arial" w:cs="Arial"/>
          <w:sz w:val="18"/>
          <w:szCs w:val="18"/>
        </w:rPr>
        <w:t xml:space="preserve"> (n=</w:t>
      </w:r>
      <w:r w:rsidRPr="00B41230">
        <w:rPr>
          <w:rFonts w:ascii="Arial" w:hAnsi="Arial" w:cs="Arial"/>
          <w:sz w:val="18"/>
          <w:szCs w:val="18"/>
        </w:rPr>
        <w:t>455)</w:t>
      </w:r>
      <w:r w:rsidR="00B41230">
        <w:rPr>
          <w:rFonts w:ascii="Arial" w:hAnsi="Arial" w:cs="Arial"/>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817"/>
      </w:tblGrid>
      <w:tr w:rsidR="0097434A" w:rsidRPr="003A4267" w:rsidTr="003A4267">
        <w:trPr>
          <w:trHeight w:val="290"/>
        </w:trPr>
        <w:tc>
          <w:tcPr>
            <w:tcW w:w="0" w:type="auto"/>
            <w:tcBorders>
              <w:top w:val="single" w:sz="4" w:space="0" w:color="auto"/>
              <w:left w:val="nil"/>
              <w:bottom w:val="single" w:sz="4" w:space="0" w:color="auto"/>
              <w:right w:val="nil"/>
            </w:tcBorders>
            <w:shd w:val="clear" w:color="auto" w:fill="auto"/>
          </w:tcPr>
          <w:p w:rsidR="0097434A" w:rsidRPr="003A4267" w:rsidRDefault="0097434A" w:rsidP="003A4267">
            <w:pPr>
              <w:spacing w:after="0" w:line="240" w:lineRule="auto"/>
              <w:ind w:right="-96"/>
              <w:jc w:val="both"/>
              <w:rPr>
                <w:rFonts w:ascii="Arial" w:hAnsi="Arial" w:cs="Arial"/>
                <w:b/>
                <w:sz w:val="18"/>
                <w:szCs w:val="18"/>
              </w:rPr>
            </w:pPr>
            <w:r w:rsidRPr="003A4267">
              <w:rPr>
                <w:rFonts w:ascii="Arial" w:hAnsi="Arial" w:cs="Arial"/>
                <w:b/>
                <w:sz w:val="18"/>
                <w:szCs w:val="18"/>
              </w:rPr>
              <w:t>Symptoms</w:t>
            </w:r>
          </w:p>
        </w:tc>
        <w:tc>
          <w:tcPr>
            <w:tcW w:w="0" w:type="auto"/>
            <w:tcBorders>
              <w:top w:val="single" w:sz="4" w:space="0" w:color="auto"/>
              <w:left w:val="nil"/>
              <w:bottom w:val="single" w:sz="4" w:space="0" w:color="auto"/>
              <w:right w:val="nil"/>
            </w:tcBorders>
            <w:shd w:val="clear" w:color="auto" w:fill="auto"/>
          </w:tcPr>
          <w:p w:rsidR="0097434A" w:rsidRPr="003A4267" w:rsidRDefault="0097434A" w:rsidP="003A4267">
            <w:pPr>
              <w:spacing w:after="0" w:line="240" w:lineRule="auto"/>
              <w:ind w:right="-70"/>
              <w:jc w:val="center"/>
              <w:rPr>
                <w:rFonts w:ascii="Arial" w:hAnsi="Arial" w:cs="Arial"/>
                <w:b/>
                <w:sz w:val="18"/>
                <w:szCs w:val="18"/>
              </w:rPr>
            </w:pPr>
            <w:r w:rsidRPr="003A4267">
              <w:rPr>
                <w:rFonts w:ascii="Arial" w:hAnsi="Arial" w:cs="Arial"/>
                <w:b/>
                <w:sz w:val="18"/>
                <w:szCs w:val="18"/>
              </w:rPr>
              <w:t>No. of positives (%)</w:t>
            </w:r>
          </w:p>
        </w:tc>
      </w:tr>
      <w:tr w:rsidR="0097434A" w:rsidRPr="003A4267" w:rsidTr="00072A97">
        <w:tc>
          <w:tcPr>
            <w:tcW w:w="0" w:type="auto"/>
            <w:tcBorders>
              <w:top w:val="nil"/>
              <w:left w:val="nil"/>
              <w:bottom w:val="nil"/>
              <w:right w:val="nil"/>
            </w:tcBorders>
            <w:shd w:val="clear" w:color="auto" w:fill="D9D9D9" w:themeFill="background1" w:themeFillShade="D9"/>
          </w:tcPr>
          <w:p w:rsidR="0097434A" w:rsidRPr="003A4267" w:rsidRDefault="0097434A" w:rsidP="003A4267">
            <w:pPr>
              <w:spacing w:after="0" w:line="240" w:lineRule="auto"/>
              <w:ind w:right="-96"/>
              <w:jc w:val="both"/>
              <w:rPr>
                <w:rFonts w:ascii="Arial" w:hAnsi="Arial" w:cs="Arial"/>
                <w:sz w:val="18"/>
                <w:szCs w:val="18"/>
              </w:rPr>
            </w:pPr>
            <w:r w:rsidRPr="003A4267">
              <w:rPr>
                <w:rFonts w:ascii="Arial" w:hAnsi="Arial" w:cs="Arial"/>
                <w:sz w:val="18"/>
                <w:szCs w:val="18"/>
              </w:rPr>
              <w:t>Trismus</w:t>
            </w:r>
          </w:p>
        </w:tc>
        <w:tc>
          <w:tcPr>
            <w:tcW w:w="0" w:type="auto"/>
            <w:tcBorders>
              <w:top w:val="nil"/>
              <w:left w:val="nil"/>
              <w:bottom w:val="nil"/>
              <w:right w:val="nil"/>
            </w:tcBorders>
            <w:shd w:val="clear" w:color="auto" w:fill="D9D9D9" w:themeFill="background1" w:themeFillShade="D9"/>
          </w:tcPr>
          <w:p w:rsidR="0097434A" w:rsidRPr="003A4267" w:rsidRDefault="0097434A" w:rsidP="003A4267">
            <w:pPr>
              <w:spacing w:after="0" w:line="240" w:lineRule="auto"/>
              <w:ind w:right="-70"/>
              <w:jc w:val="center"/>
              <w:rPr>
                <w:rFonts w:ascii="Arial" w:hAnsi="Arial" w:cs="Arial"/>
                <w:sz w:val="18"/>
                <w:szCs w:val="18"/>
              </w:rPr>
            </w:pPr>
            <w:r w:rsidRPr="003A4267">
              <w:rPr>
                <w:rFonts w:ascii="Arial" w:hAnsi="Arial" w:cs="Arial"/>
                <w:sz w:val="18"/>
                <w:szCs w:val="18"/>
              </w:rPr>
              <w:t>422 (92.7)</w:t>
            </w:r>
          </w:p>
        </w:tc>
      </w:tr>
      <w:tr w:rsidR="0097434A" w:rsidRPr="003A4267" w:rsidTr="003A4267">
        <w:tc>
          <w:tcPr>
            <w:tcW w:w="0" w:type="auto"/>
            <w:tcBorders>
              <w:top w:val="nil"/>
              <w:left w:val="nil"/>
              <w:bottom w:val="nil"/>
              <w:right w:val="nil"/>
            </w:tcBorders>
            <w:shd w:val="clear" w:color="auto" w:fill="auto"/>
          </w:tcPr>
          <w:p w:rsidR="0097434A" w:rsidRPr="003A4267" w:rsidRDefault="0097434A" w:rsidP="003A4267">
            <w:pPr>
              <w:spacing w:after="0" w:line="240" w:lineRule="auto"/>
              <w:ind w:right="-96"/>
              <w:jc w:val="both"/>
              <w:rPr>
                <w:rFonts w:ascii="Arial" w:hAnsi="Arial" w:cs="Arial"/>
                <w:sz w:val="18"/>
                <w:szCs w:val="18"/>
              </w:rPr>
            </w:pPr>
            <w:r w:rsidRPr="003A4267">
              <w:rPr>
                <w:rFonts w:ascii="Arial" w:hAnsi="Arial" w:cs="Arial"/>
                <w:sz w:val="18"/>
                <w:szCs w:val="18"/>
              </w:rPr>
              <w:t>Generalized Contraction</w:t>
            </w:r>
          </w:p>
        </w:tc>
        <w:tc>
          <w:tcPr>
            <w:tcW w:w="0" w:type="auto"/>
            <w:tcBorders>
              <w:top w:val="nil"/>
              <w:left w:val="nil"/>
              <w:bottom w:val="nil"/>
              <w:right w:val="nil"/>
            </w:tcBorders>
            <w:shd w:val="clear" w:color="auto" w:fill="auto"/>
          </w:tcPr>
          <w:p w:rsidR="0097434A" w:rsidRPr="003A4267" w:rsidRDefault="0097434A" w:rsidP="003A4267">
            <w:pPr>
              <w:spacing w:after="0" w:line="240" w:lineRule="auto"/>
              <w:ind w:right="-70"/>
              <w:jc w:val="center"/>
              <w:rPr>
                <w:rFonts w:ascii="Arial" w:hAnsi="Arial" w:cs="Arial"/>
                <w:sz w:val="18"/>
                <w:szCs w:val="18"/>
              </w:rPr>
            </w:pPr>
            <w:r w:rsidRPr="003A4267">
              <w:rPr>
                <w:rFonts w:ascii="Arial" w:hAnsi="Arial" w:cs="Arial"/>
                <w:sz w:val="18"/>
                <w:szCs w:val="18"/>
              </w:rPr>
              <w:t>435 (95.6)</w:t>
            </w:r>
          </w:p>
        </w:tc>
      </w:tr>
      <w:tr w:rsidR="0097434A" w:rsidRPr="003A4267" w:rsidTr="00072A97">
        <w:tc>
          <w:tcPr>
            <w:tcW w:w="0" w:type="auto"/>
            <w:tcBorders>
              <w:top w:val="nil"/>
              <w:left w:val="nil"/>
              <w:bottom w:val="nil"/>
              <w:right w:val="nil"/>
            </w:tcBorders>
            <w:shd w:val="clear" w:color="auto" w:fill="D9D9D9" w:themeFill="background1" w:themeFillShade="D9"/>
          </w:tcPr>
          <w:p w:rsidR="0097434A" w:rsidRPr="003A4267" w:rsidRDefault="0097434A" w:rsidP="003A4267">
            <w:pPr>
              <w:spacing w:after="0" w:line="240" w:lineRule="auto"/>
              <w:ind w:right="-96"/>
              <w:jc w:val="both"/>
              <w:rPr>
                <w:rFonts w:ascii="Arial" w:hAnsi="Arial" w:cs="Arial"/>
                <w:sz w:val="18"/>
                <w:szCs w:val="18"/>
              </w:rPr>
            </w:pPr>
            <w:r w:rsidRPr="003A4267">
              <w:rPr>
                <w:rFonts w:ascii="Arial" w:hAnsi="Arial" w:cs="Arial"/>
                <w:sz w:val="18"/>
                <w:szCs w:val="18"/>
              </w:rPr>
              <w:t>Localized Contraction</w:t>
            </w:r>
          </w:p>
        </w:tc>
        <w:tc>
          <w:tcPr>
            <w:tcW w:w="0" w:type="auto"/>
            <w:tcBorders>
              <w:top w:val="nil"/>
              <w:left w:val="nil"/>
              <w:bottom w:val="nil"/>
              <w:right w:val="nil"/>
            </w:tcBorders>
            <w:shd w:val="clear" w:color="auto" w:fill="D9D9D9" w:themeFill="background1" w:themeFillShade="D9"/>
          </w:tcPr>
          <w:p w:rsidR="0097434A" w:rsidRPr="003A4267" w:rsidRDefault="0097434A" w:rsidP="003A4267">
            <w:pPr>
              <w:spacing w:after="0" w:line="240" w:lineRule="auto"/>
              <w:ind w:right="-70"/>
              <w:jc w:val="center"/>
              <w:rPr>
                <w:rFonts w:ascii="Arial" w:hAnsi="Arial" w:cs="Arial"/>
                <w:sz w:val="18"/>
                <w:szCs w:val="18"/>
              </w:rPr>
            </w:pPr>
            <w:r w:rsidRPr="003A4267">
              <w:rPr>
                <w:rFonts w:ascii="Arial" w:hAnsi="Arial" w:cs="Arial"/>
                <w:sz w:val="18"/>
                <w:szCs w:val="18"/>
              </w:rPr>
              <w:t>20 (4.4)</w:t>
            </w:r>
          </w:p>
        </w:tc>
      </w:tr>
      <w:tr w:rsidR="0097434A" w:rsidRPr="003A4267" w:rsidTr="003A4267">
        <w:tc>
          <w:tcPr>
            <w:tcW w:w="0" w:type="auto"/>
            <w:tcBorders>
              <w:top w:val="nil"/>
              <w:left w:val="nil"/>
              <w:bottom w:val="nil"/>
              <w:right w:val="nil"/>
            </w:tcBorders>
            <w:shd w:val="clear" w:color="auto" w:fill="auto"/>
          </w:tcPr>
          <w:p w:rsidR="0097434A" w:rsidRPr="003A4267" w:rsidRDefault="0097434A" w:rsidP="003A4267">
            <w:pPr>
              <w:spacing w:after="0" w:line="240" w:lineRule="auto"/>
              <w:ind w:right="-96"/>
              <w:jc w:val="both"/>
              <w:rPr>
                <w:rFonts w:ascii="Arial" w:hAnsi="Arial" w:cs="Arial"/>
                <w:sz w:val="18"/>
                <w:szCs w:val="18"/>
              </w:rPr>
            </w:pPr>
            <w:r w:rsidRPr="003A4267">
              <w:rPr>
                <w:rFonts w:ascii="Arial" w:hAnsi="Arial" w:cs="Arial"/>
                <w:sz w:val="18"/>
                <w:szCs w:val="18"/>
              </w:rPr>
              <w:t>Paroxysm</w:t>
            </w:r>
          </w:p>
        </w:tc>
        <w:tc>
          <w:tcPr>
            <w:tcW w:w="0" w:type="auto"/>
            <w:tcBorders>
              <w:top w:val="nil"/>
              <w:left w:val="nil"/>
              <w:bottom w:val="nil"/>
              <w:right w:val="nil"/>
            </w:tcBorders>
            <w:shd w:val="clear" w:color="auto" w:fill="auto"/>
          </w:tcPr>
          <w:p w:rsidR="0097434A" w:rsidRPr="003A4267" w:rsidRDefault="0097434A" w:rsidP="003A4267">
            <w:pPr>
              <w:spacing w:after="0" w:line="240" w:lineRule="auto"/>
              <w:ind w:right="-70"/>
              <w:jc w:val="center"/>
              <w:rPr>
                <w:rFonts w:ascii="Arial" w:hAnsi="Arial" w:cs="Arial"/>
                <w:sz w:val="18"/>
                <w:szCs w:val="18"/>
              </w:rPr>
            </w:pPr>
            <w:r w:rsidRPr="003A4267">
              <w:rPr>
                <w:rFonts w:ascii="Arial" w:hAnsi="Arial" w:cs="Arial"/>
                <w:sz w:val="18"/>
                <w:szCs w:val="18"/>
              </w:rPr>
              <w:t>365 (80.2)</w:t>
            </w:r>
          </w:p>
        </w:tc>
      </w:tr>
      <w:tr w:rsidR="0097434A" w:rsidRPr="003A4267" w:rsidTr="00072A97">
        <w:tc>
          <w:tcPr>
            <w:tcW w:w="0" w:type="auto"/>
            <w:tcBorders>
              <w:top w:val="nil"/>
              <w:left w:val="nil"/>
              <w:bottom w:val="nil"/>
              <w:right w:val="nil"/>
            </w:tcBorders>
            <w:shd w:val="clear" w:color="auto" w:fill="D9D9D9" w:themeFill="background1" w:themeFillShade="D9"/>
          </w:tcPr>
          <w:p w:rsidR="0097434A" w:rsidRPr="003A4267" w:rsidRDefault="0097434A" w:rsidP="003A4267">
            <w:pPr>
              <w:spacing w:after="0" w:line="240" w:lineRule="auto"/>
              <w:ind w:right="-96"/>
              <w:jc w:val="both"/>
              <w:rPr>
                <w:rFonts w:ascii="Arial" w:hAnsi="Arial" w:cs="Arial"/>
                <w:sz w:val="18"/>
                <w:szCs w:val="18"/>
              </w:rPr>
            </w:pPr>
            <w:r w:rsidRPr="003A4267">
              <w:rPr>
                <w:rFonts w:ascii="Arial" w:hAnsi="Arial" w:cs="Arial"/>
                <w:bCs/>
                <w:sz w:val="18"/>
                <w:szCs w:val="18"/>
              </w:rPr>
              <w:t>Fever</w:t>
            </w:r>
            <w:r w:rsidRPr="003A4267">
              <w:rPr>
                <w:rFonts w:ascii="Arial" w:hAnsi="Arial" w:cs="Arial"/>
                <w:sz w:val="18"/>
                <w:szCs w:val="18"/>
              </w:rPr>
              <w:t>(&gt;38.4 °C)</w:t>
            </w:r>
          </w:p>
        </w:tc>
        <w:tc>
          <w:tcPr>
            <w:tcW w:w="0" w:type="auto"/>
            <w:tcBorders>
              <w:top w:val="nil"/>
              <w:left w:val="nil"/>
              <w:bottom w:val="nil"/>
              <w:right w:val="nil"/>
            </w:tcBorders>
            <w:shd w:val="clear" w:color="auto" w:fill="D9D9D9" w:themeFill="background1" w:themeFillShade="D9"/>
          </w:tcPr>
          <w:p w:rsidR="0097434A" w:rsidRPr="003A4267" w:rsidRDefault="0097434A" w:rsidP="003A4267">
            <w:pPr>
              <w:spacing w:after="0" w:line="240" w:lineRule="auto"/>
              <w:ind w:right="-70"/>
              <w:jc w:val="center"/>
              <w:rPr>
                <w:rFonts w:ascii="Arial" w:hAnsi="Arial" w:cs="Arial"/>
                <w:sz w:val="18"/>
                <w:szCs w:val="18"/>
              </w:rPr>
            </w:pPr>
            <w:r w:rsidRPr="003A4267">
              <w:rPr>
                <w:rFonts w:ascii="Arial" w:hAnsi="Arial" w:cs="Arial"/>
                <w:sz w:val="18"/>
                <w:szCs w:val="18"/>
              </w:rPr>
              <w:t>76 (16.7)</w:t>
            </w:r>
          </w:p>
        </w:tc>
      </w:tr>
      <w:tr w:rsidR="0097434A" w:rsidRPr="003A4267" w:rsidTr="003A4267">
        <w:tc>
          <w:tcPr>
            <w:tcW w:w="0" w:type="auto"/>
            <w:tcBorders>
              <w:top w:val="nil"/>
              <w:left w:val="nil"/>
              <w:bottom w:val="single" w:sz="4" w:space="0" w:color="auto"/>
              <w:right w:val="nil"/>
            </w:tcBorders>
            <w:shd w:val="clear" w:color="auto" w:fill="auto"/>
          </w:tcPr>
          <w:p w:rsidR="0097434A" w:rsidRPr="003A4267" w:rsidRDefault="0097434A" w:rsidP="003A4267">
            <w:pPr>
              <w:spacing w:after="0" w:line="240" w:lineRule="auto"/>
              <w:ind w:right="-96"/>
              <w:jc w:val="both"/>
              <w:rPr>
                <w:rFonts w:ascii="Arial" w:hAnsi="Arial" w:cs="Arial"/>
                <w:sz w:val="18"/>
                <w:szCs w:val="18"/>
              </w:rPr>
            </w:pPr>
            <w:r w:rsidRPr="003A4267">
              <w:rPr>
                <w:rFonts w:ascii="Arial" w:hAnsi="Arial" w:cs="Arial"/>
                <w:sz w:val="18"/>
                <w:szCs w:val="18"/>
              </w:rPr>
              <w:t>Pulse (≥120 /min)</w:t>
            </w:r>
          </w:p>
        </w:tc>
        <w:tc>
          <w:tcPr>
            <w:tcW w:w="0" w:type="auto"/>
            <w:tcBorders>
              <w:top w:val="nil"/>
              <w:left w:val="nil"/>
              <w:bottom w:val="single" w:sz="4" w:space="0" w:color="auto"/>
              <w:right w:val="nil"/>
            </w:tcBorders>
            <w:shd w:val="clear" w:color="auto" w:fill="auto"/>
          </w:tcPr>
          <w:p w:rsidR="0097434A" w:rsidRPr="003A4267" w:rsidRDefault="0097434A" w:rsidP="003A4267">
            <w:pPr>
              <w:spacing w:after="0" w:line="240" w:lineRule="auto"/>
              <w:ind w:right="-70"/>
              <w:jc w:val="center"/>
              <w:rPr>
                <w:rFonts w:ascii="Arial" w:hAnsi="Arial" w:cs="Arial"/>
                <w:sz w:val="18"/>
                <w:szCs w:val="18"/>
              </w:rPr>
            </w:pPr>
            <w:r w:rsidRPr="003A4267">
              <w:rPr>
                <w:rFonts w:ascii="Arial" w:hAnsi="Arial" w:cs="Arial"/>
                <w:sz w:val="18"/>
                <w:szCs w:val="18"/>
              </w:rPr>
              <w:t>34 (7.5</w:t>
            </w:r>
          </w:p>
        </w:tc>
      </w:tr>
    </w:tbl>
    <w:p w:rsidR="0042228A" w:rsidRPr="003A4267" w:rsidRDefault="0042228A" w:rsidP="003A4267">
      <w:pPr>
        <w:spacing w:after="0" w:line="240" w:lineRule="auto"/>
        <w:rPr>
          <w:rFonts w:ascii="Arial" w:hAnsi="Arial" w:cs="Arial"/>
          <w:sz w:val="18"/>
          <w:szCs w:val="18"/>
        </w:rPr>
      </w:pPr>
    </w:p>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Table 3. Frequency of main sites of entry (N= 455).</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167"/>
        <w:gridCol w:w="1227"/>
      </w:tblGrid>
      <w:tr w:rsidR="0097434A" w:rsidRPr="0097434A" w:rsidTr="003A4267">
        <w:tc>
          <w:tcPr>
            <w:tcW w:w="0" w:type="auto"/>
            <w:tcBorders>
              <w:top w:val="single" w:sz="4" w:space="0" w:color="auto"/>
              <w:bottom w:val="single" w:sz="4" w:space="0" w:color="auto"/>
            </w:tcBorders>
            <w:shd w:val="clear" w:color="auto" w:fill="auto"/>
          </w:tcPr>
          <w:p w:rsidR="0097434A" w:rsidRPr="0097434A" w:rsidRDefault="0097434A" w:rsidP="0097434A">
            <w:pPr>
              <w:spacing w:after="0" w:line="240" w:lineRule="auto"/>
              <w:jc w:val="both"/>
              <w:rPr>
                <w:rFonts w:ascii="Arial" w:hAnsi="Arial" w:cs="Arial"/>
                <w:b/>
                <w:sz w:val="18"/>
                <w:szCs w:val="18"/>
              </w:rPr>
            </w:pPr>
            <w:r w:rsidRPr="0097434A">
              <w:rPr>
                <w:rFonts w:ascii="Arial" w:hAnsi="Arial" w:cs="Arial"/>
                <w:b/>
                <w:sz w:val="18"/>
                <w:szCs w:val="18"/>
              </w:rPr>
              <w:t xml:space="preserve">Site of entry </w:t>
            </w:r>
          </w:p>
        </w:tc>
        <w:tc>
          <w:tcPr>
            <w:tcW w:w="0" w:type="auto"/>
            <w:tcBorders>
              <w:top w:val="single" w:sz="4" w:space="0" w:color="auto"/>
              <w:bottom w:val="single" w:sz="4" w:space="0" w:color="auto"/>
            </w:tcBorders>
            <w:shd w:val="clear" w:color="auto" w:fill="auto"/>
          </w:tcPr>
          <w:p w:rsidR="0097434A" w:rsidRPr="0097434A" w:rsidRDefault="0097434A" w:rsidP="0097434A">
            <w:pPr>
              <w:spacing w:after="0" w:line="240" w:lineRule="auto"/>
              <w:jc w:val="both"/>
              <w:rPr>
                <w:rFonts w:ascii="Arial" w:hAnsi="Arial" w:cs="Arial"/>
                <w:b/>
                <w:sz w:val="18"/>
                <w:szCs w:val="18"/>
              </w:rPr>
            </w:pPr>
            <w:r w:rsidRPr="0097434A">
              <w:rPr>
                <w:rFonts w:ascii="Arial" w:hAnsi="Arial" w:cs="Arial"/>
                <w:b/>
                <w:sz w:val="18"/>
                <w:szCs w:val="18"/>
              </w:rPr>
              <w:t>Number (%)</w:t>
            </w:r>
          </w:p>
        </w:tc>
      </w:tr>
      <w:tr w:rsidR="0097434A" w:rsidRPr="0097434A" w:rsidTr="00072A97">
        <w:tc>
          <w:tcPr>
            <w:tcW w:w="0" w:type="auto"/>
            <w:tcBorders>
              <w:top w:val="single" w:sz="4" w:space="0" w:color="auto"/>
            </w:tcBorders>
            <w:shd w:val="clear" w:color="auto" w:fill="D9D9D9" w:themeFill="background1" w:themeFillShade="D9"/>
          </w:tcPr>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Site of entry scored 1</w:t>
            </w:r>
          </w:p>
        </w:tc>
        <w:tc>
          <w:tcPr>
            <w:tcW w:w="0" w:type="auto"/>
            <w:tcBorders>
              <w:top w:val="single" w:sz="4" w:space="0" w:color="auto"/>
            </w:tcBorders>
            <w:shd w:val="clear" w:color="auto" w:fill="D9D9D9" w:themeFill="background1" w:themeFillShade="D9"/>
          </w:tcPr>
          <w:p w:rsidR="0097434A" w:rsidRPr="0097434A" w:rsidRDefault="0097434A" w:rsidP="0097434A">
            <w:pPr>
              <w:spacing w:after="0" w:line="240" w:lineRule="auto"/>
              <w:jc w:val="both"/>
              <w:rPr>
                <w:rFonts w:ascii="Arial" w:hAnsi="Arial" w:cs="Arial"/>
                <w:sz w:val="18"/>
                <w:szCs w:val="18"/>
              </w:rPr>
            </w:pPr>
          </w:p>
        </w:tc>
      </w:tr>
      <w:tr w:rsidR="0097434A" w:rsidRPr="0097434A" w:rsidTr="00072A97">
        <w:tc>
          <w:tcPr>
            <w:tcW w:w="0" w:type="auto"/>
            <w:shd w:val="clear" w:color="auto" w:fill="D9D9D9" w:themeFill="background1" w:themeFillShade="D9"/>
          </w:tcPr>
          <w:p w:rsidR="0097434A" w:rsidRPr="0097434A" w:rsidRDefault="0097434A" w:rsidP="00072A97">
            <w:pPr>
              <w:spacing w:after="0" w:line="240" w:lineRule="auto"/>
              <w:jc w:val="both"/>
              <w:rPr>
                <w:rFonts w:ascii="Arial" w:hAnsi="Arial" w:cs="Arial"/>
                <w:sz w:val="18"/>
                <w:szCs w:val="18"/>
              </w:rPr>
            </w:pPr>
            <w:r w:rsidRPr="0097434A">
              <w:rPr>
                <w:rFonts w:ascii="Arial" w:hAnsi="Arial" w:cs="Arial"/>
                <w:sz w:val="18"/>
                <w:szCs w:val="18"/>
              </w:rPr>
              <w:t xml:space="preserve">   Intramuscular injection </w:t>
            </w:r>
          </w:p>
        </w:tc>
        <w:tc>
          <w:tcPr>
            <w:tcW w:w="0" w:type="auto"/>
            <w:shd w:val="clear" w:color="auto" w:fill="D9D9D9" w:themeFill="background1" w:themeFillShade="D9"/>
          </w:tcPr>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22 (4.8)</w:t>
            </w:r>
          </w:p>
        </w:tc>
      </w:tr>
      <w:tr w:rsidR="0097434A" w:rsidRPr="0097434A" w:rsidTr="00072A97">
        <w:tc>
          <w:tcPr>
            <w:tcW w:w="0" w:type="auto"/>
            <w:shd w:val="clear" w:color="auto" w:fill="D9D9D9" w:themeFill="background1" w:themeFillShade="D9"/>
          </w:tcPr>
          <w:p w:rsidR="0097434A" w:rsidRPr="0097434A" w:rsidRDefault="0097434A" w:rsidP="00072A97">
            <w:pPr>
              <w:spacing w:after="0" w:line="240" w:lineRule="auto"/>
              <w:jc w:val="both"/>
              <w:rPr>
                <w:rFonts w:ascii="Arial" w:hAnsi="Arial" w:cs="Arial"/>
                <w:sz w:val="18"/>
                <w:szCs w:val="18"/>
              </w:rPr>
            </w:pPr>
            <w:r w:rsidRPr="0097434A">
              <w:rPr>
                <w:rFonts w:ascii="Arial" w:hAnsi="Arial" w:cs="Arial"/>
                <w:sz w:val="18"/>
                <w:szCs w:val="18"/>
              </w:rPr>
              <w:t xml:space="preserve">   Surgery </w:t>
            </w:r>
          </w:p>
        </w:tc>
        <w:tc>
          <w:tcPr>
            <w:tcW w:w="0" w:type="auto"/>
            <w:shd w:val="clear" w:color="auto" w:fill="D9D9D9" w:themeFill="background1" w:themeFillShade="D9"/>
          </w:tcPr>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13 (2.9)</w:t>
            </w:r>
          </w:p>
        </w:tc>
      </w:tr>
      <w:tr w:rsidR="0097434A" w:rsidRPr="0097434A" w:rsidTr="00072A97">
        <w:tc>
          <w:tcPr>
            <w:tcW w:w="0" w:type="auto"/>
            <w:shd w:val="clear" w:color="auto" w:fill="D9D9D9" w:themeFill="background1" w:themeFillShade="D9"/>
          </w:tcPr>
          <w:p w:rsidR="0097434A" w:rsidRPr="0097434A" w:rsidRDefault="0097434A" w:rsidP="00072A97">
            <w:pPr>
              <w:spacing w:after="0" w:line="240" w:lineRule="auto"/>
              <w:jc w:val="both"/>
              <w:rPr>
                <w:rFonts w:ascii="Arial" w:hAnsi="Arial" w:cs="Arial"/>
                <w:sz w:val="18"/>
                <w:szCs w:val="18"/>
              </w:rPr>
            </w:pPr>
            <w:r w:rsidRPr="0097434A">
              <w:rPr>
                <w:rFonts w:ascii="Arial" w:hAnsi="Arial" w:cs="Arial"/>
                <w:sz w:val="18"/>
                <w:szCs w:val="18"/>
              </w:rPr>
              <w:t xml:space="preserve">   Opened fracture </w:t>
            </w:r>
          </w:p>
        </w:tc>
        <w:tc>
          <w:tcPr>
            <w:tcW w:w="0" w:type="auto"/>
            <w:shd w:val="clear" w:color="auto" w:fill="D9D9D9" w:themeFill="background1" w:themeFillShade="D9"/>
          </w:tcPr>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8 (1.8)</w:t>
            </w:r>
          </w:p>
        </w:tc>
      </w:tr>
      <w:tr w:rsidR="0097434A" w:rsidRPr="0097434A" w:rsidTr="00072A97">
        <w:tc>
          <w:tcPr>
            <w:tcW w:w="0" w:type="auto"/>
            <w:shd w:val="clear" w:color="auto" w:fill="D9D9D9" w:themeFill="background1" w:themeFillShade="D9"/>
          </w:tcPr>
          <w:p w:rsidR="0097434A" w:rsidRPr="0097434A" w:rsidRDefault="0097434A" w:rsidP="00072A97">
            <w:pPr>
              <w:spacing w:after="0" w:line="240" w:lineRule="auto"/>
              <w:jc w:val="both"/>
              <w:rPr>
                <w:rFonts w:ascii="Arial" w:hAnsi="Arial" w:cs="Arial"/>
                <w:sz w:val="18"/>
                <w:szCs w:val="18"/>
              </w:rPr>
            </w:pPr>
            <w:r w:rsidRPr="0097434A">
              <w:rPr>
                <w:rFonts w:ascii="Arial" w:hAnsi="Arial" w:cs="Arial"/>
                <w:sz w:val="18"/>
                <w:szCs w:val="18"/>
              </w:rPr>
              <w:t xml:space="preserve">   Uterus</w:t>
            </w:r>
          </w:p>
        </w:tc>
        <w:tc>
          <w:tcPr>
            <w:tcW w:w="0" w:type="auto"/>
            <w:shd w:val="clear" w:color="auto" w:fill="D9D9D9" w:themeFill="background1" w:themeFillShade="D9"/>
          </w:tcPr>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1 (0.2)</w:t>
            </w:r>
          </w:p>
        </w:tc>
      </w:tr>
      <w:tr w:rsidR="0097434A" w:rsidRPr="0097434A" w:rsidTr="00072A97">
        <w:tc>
          <w:tcPr>
            <w:tcW w:w="0" w:type="auto"/>
            <w:shd w:val="clear" w:color="auto" w:fill="D9D9D9" w:themeFill="background1" w:themeFillShade="D9"/>
          </w:tcPr>
          <w:p w:rsidR="0097434A" w:rsidRPr="0097434A" w:rsidRDefault="0097434A" w:rsidP="00072A97">
            <w:pPr>
              <w:spacing w:after="0" w:line="240" w:lineRule="auto"/>
              <w:jc w:val="both"/>
              <w:rPr>
                <w:rFonts w:ascii="Arial" w:hAnsi="Arial" w:cs="Arial"/>
                <w:sz w:val="18"/>
                <w:szCs w:val="18"/>
              </w:rPr>
            </w:pPr>
            <w:r w:rsidRPr="0097434A">
              <w:rPr>
                <w:rFonts w:ascii="Arial" w:hAnsi="Arial" w:cs="Arial"/>
                <w:sz w:val="18"/>
                <w:szCs w:val="18"/>
              </w:rPr>
              <w:t xml:space="preserve">   Burn</w:t>
            </w:r>
          </w:p>
        </w:tc>
        <w:tc>
          <w:tcPr>
            <w:tcW w:w="0" w:type="auto"/>
            <w:shd w:val="clear" w:color="auto" w:fill="D9D9D9" w:themeFill="background1" w:themeFillShade="D9"/>
          </w:tcPr>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0 (0.0)</w:t>
            </w:r>
          </w:p>
        </w:tc>
      </w:tr>
      <w:tr w:rsidR="0097434A" w:rsidRPr="0097434A" w:rsidTr="00072A97">
        <w:tc>
          <w:tcPr>
            <w:tcW w:w="0" w:type="auto"/>
            <w:shd w:val="clear" w:color="auto" w:fill="D9D9D9" w:themeFill="background1" w:themeFillShade="D9"/>
          </w:tcPr>
          <w:p w:rsidR="0097434A" w:rsidRPr="0097434A" w:rsidRDefault="0097434A" w:rsidP="00072A97">
            <w:pPr>
              <w:spacing w:after="0" w:line="240" w:lineRule="auto"/>
              <w:jc w:val="both"/>
              <w:rPr>
                <w:rFonts w:ascii="Arial" w:hAnsi="Arial" w:cs="Arial"/>
                <w:sz w:val="18"/>
                <w:szCs w:val="18"/>
              </w:rPr>
            </w:pPr>
            <w:r w:rsidRPr="0097434A">
              <w:rPr>
                <w:rFonts w:ascii="Arial" w:hAnsi="Arial" w:cs="Arial"/>
                <w:sz w:val="18"/>
                <w:szCs w:val="18"/>
              </w:rPr>
              <w:t xml:space="preserve">   Umbilicus</w:t>
            </w:r>
          </w:p>
        </w:tc>
        <w:tc>
          <w:tcPr>
            <w:tcW w:w="0" w:type="auto"/>
            <w:shd w:val="clear" w:color="auto" w:fill="D9D9D9" w:themeFill="background1" w:themeFillShade="D9"/>
          </w:tcPr>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0 (0.0)</w:t>
            </w:r>
          </w:p>
        </w:tc>
      </w:tr>
      <w:tr w:rsidR="0097434A" w:rsidRPr="0097434A" w:rsidTr="003A4267">
        <w:tc>
          <w:tcPr>
            <w:tcW w:w="0" w:type="auto"/>
            <w:shd w:val="clear" w:color="auto" w:fill="auto"/>
          </w:tcPr>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Sites of entry scored 0</w:t>
            </w:r>
          </w:p>
        </w:tc>
        <w:tc>
          <w:tcPr>
            <w:tcW w:w="0" w:type="auto"/>
            <w:shd w:val="clear" w:color="auto" w:fill="auto"/>
          </w:tcPr>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360 (79.1)</w:t>
            </w:r>
          </w:p>
        </w:tc>
      </w:tr>
      <w:tr w:rsidR="0097434A" w:rsidRPr="0097434A" w:rsidTr="00072A97">
        <w:trPr>
          <w:trHeight w:val="271"/>
        </w:trPr>
        <w:tc>
          <w:tcPr>
            <w:tcW w:w="0" w:type="auto"/>
            <w:shd w:val="clear" w:color="auto" w:fill="D9D9D9" w:themeFill="background1" w:themeFillShade="D9"/>
          </w:tcPr>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Sites of entry not found</w:t>
            </w:r>
          </w:p>
        </w:tc>
        <w:tc>
          <w:tcPr>
            <w:tcW w:w="0" w:type="auto"/>
            <w:shd w:val="clear" w:color="auto" w:fill="D9D9D9" w:themeFill="background1" w:themeFillShade="D9"/>
          </w:tcPr>
          <w:p w:rsidR="0097434A" w:rsidRPr="0097434A" w:rsidRDefault="0097434A" w:rsidP="0097434A">
            <w:pPr>
              <w:spacing w:after="0" w:line="240" w:lineRule="auto"/>
              <w:jc w:val="both"/>
              <w:rPr>
                <w:rFonts w:ascii="Arial" w:hAnsi="Arial" w:cs="Arial"/>
                <w:sz w:val="18"/>
                <w:szCs w:val="18"/>
              </w:rPr>
            </w:pPr>
            <w:r w:rsidRPr="0097434A">
              <w:rPr>
                <w:rFonts w:ascii="Arial" w:hAnsi="Arial" w:cs="Arial"/>
                <w:sz w:val="18"/>
                <w:szCs w:val="18"/>
              </w:rPr>
              <w:t>51 (11.2)</w:t>
            </w:r>
          </w:p>
        </w:tc>
      </w:tr>
    </w:tbl>
    <w:p w:rsidR="00942FED" w:rsidRDefault="00942FED" w:rsidP="00605A54">
      <w:pPr>
        <w:spacing w:before="120" w:after="120"/>
        <w:rPr>
          <w:rFonts w:ascii="Arial" w:hAnsi="Arial" w:cs="Arial"/>
          <w:b/>
          <w:sz w:val="20"/>
          <w:szCs w:val="18"/>
        </w:rPr>
      </w:pPr>
    </w:p>
    <w:p w:rsidR="00B41230" w:rsidRPr="00605A54" w:rsidRDefault="00605A54" w:rsidP="00605A54">
      <w:pPr>
        <w:spacing w:before="120" w:after="120"/>
        <w:jc w:val="both"/>
        <w:rPr>
          <w:rFonts w:ascii="Arial" w:hAnsi="Arial" w:cs="Arial"/>
          <w:sz w:val="20"/>
          <w:szCs w:val="18"/>
        </w:rPr>
      </w:pPr>
      <w:r w:rsidRPr="00605A54">
        <w:rPr>
          <w:rFonts w:ascii="Arial" w:hAnsi="Arial" w:cs="Arial"/>
          <w:sz w:val="20"/>
          <w:szCs w:val="18"/>
        </w:rPr>
        <w:lastRenderedPageBreak/>
        <w:t>On socio demographical aspects, there was a male dominance of tetanus incident cases with a M/F sex ratio = 6, similar to that reported by Aba et al. [5] in Abidjan, but above those reported by Seydi et al. [12] in Dakar (Senegal) and Minta et al. [8] in Bamako (Mali) which were 4.3 and 2.41 respectively. This is evidence that the tetanus eradication policy through immunization for women of childbearing age, as advocated by WHO campaigns in all resource-limited countries, virtually works well.</w:t>
      </w:r>
    </w:p>
    <w:p w:rsidR="00605A54" w:rsidRDefault="00605A54" w:rsidP="00605A54">
      <w:pPr>
        <w:spacing w:before="120" w:after="120"/>
        <w:jc w:val="both"/>
        <w:rPr>
          <w:rFonts w:ascii="Arial" w:hAnsi="Arial" w:cs="Arial"/>
          <w:bCs/>
          <w:sz w:val="20"/>
          <w:szCs w:val="20"/>
          <w:lang w:val="en-US"/>
        </w:rPr>
      </w:pPr>
      <w:r w:rsidRPr="00F83659">
        <w:rPr>
          <w:rFonts w:ascii="Arial" w:hAnsi="Arial" w:cs="Arial"/>
          <w:bCs/>
          <w:sz w:val="20"/>
          <w:szCs w:val="20"/>
          <w:lang w:val="en-US"/>
        </w:rPr>
        <w:t>The sites of entry were many, varied and dominated by the cutaneous ones, as in other African studies [6</w:t>
      </w:r>
      <w:proofErr w:type="gramStart"/>
      <w:r w:rsidRPr="00F83659">
        <w:rPr>
          <w:rFonts w:ascii="Arial" w:hAnsi="Arial" w:cs="Arial"/>
          <w:bCs/>
          <w:sz w:val="20"/>
          <w:szCs w:val="20"/>
          <w:lang w:val="en-US"/>
        </w:rPr>
        <w:t>,9,12,13</w:t>
      </w:r>
      <w:proofErr w:type="gramEnd"/>
      <w:r w:rsidRPr="00F83659">
        <w:rPr>
          <w:rFonts w:ascii="Arial" w:hAnsi="Arial" w:cs="Arial"/>
          <w:bCs/>
          <w:sz w:val="20"/>
          <w:szCs w:val="20"/>
          <w:lang w:val="en-US"/>
        </w:rPr>
        <w:t>]. However, the proportions of the sites of entry scored 1 according to “the Dakar score” (intramuscular injections, umbilicus, burn, uterus, surgery and fracture) remain significant, with a grade always severe in our study; thus, health professionals’ awareness must be raised when providing care in order to prevent or reduce these cases of iatrogenic tetanus [14-19]. The proportion of generalized tetanus cases in our study remains high (95.6%), as demonstrated in most studies conducted in Côte d’Ivoire, Mali, Se</w:t>
      </w:r>
      <w:r>
        <w:rPr>
          <w:rFonts w:ascii="Arial" w:hAnsi="Arial" w:cs="Arial"/>
          <w:bCs/>
          <w:sz w:val="20"/>
          <w:szCs w:val="20"/>
          <w:lang w:val="en-US"/>
        </w:rPr>
        <w:t>negal, and Congo [4,6,8,12,20].</w:t>
      </w:r>
    </w:p>
    <w:p w:rsidR="00605A54" w:rsidRDefault="00605A54" w:rsidP="00605A54">
      <w:pPr>
        <w:spacing w:before="120" w:after="120"/>
        <w:jc w:val="both"/>
        <w:rPr>
          <w:rFonts w:ascii="Arial" w:hAnsi="Arial" w:cs="Arial"/>
          <w:bCs/>
          <w:sz w:val="20"/>
          <w:szCs w:val="20"/>
          <w:lang w:val="en-US"/>
        </w:rPr>
      </w:pPr>
      <w:r w:rsidRPr="00F83659">
        <w:rPr>
          <w:rFonts w:ascii="Arial" w:hAnsi="Arial" w:cs="Arial"/>
          <w:bCs/>
          <w:sz w:val="20"/>
          <w:szCs w:val="20"/>
          <w:lang w:val="en-US"/>
        </w:rPr>
        <w:t xml:space="preserve">As regards patient outcomes, 3.8% were discharged against the treating physicians’ advice, more often for lack of financial resources, whereas Aba et al. recorded 10.4% [5]. This variation could be explained by better awareness-raising among patients’ relatives by physicians, on the one hand, and the slow resumption of professional activities since the end of the post- electoral crisis in 2011 in Côte d’Ivoire, on the other hand. </w:t>
      </w:r>
    </w:p>
    <w:p w:rsidR="009F6EE0" w:rsidRDefault="009F6EE0" w:rsidP="009F6EE0">
      <w:pPr>
        <w:spacing w:before="120" w:after="120"/>
        <w:jc w:val="both"/>
        <w:rPr>
          <w:rFonts w:ascii="Arial" w:hAnsi="Arial" w:cs="Arial"/>
          <w:bCs/>
          <w:sz w:val="20"/>
          <w:szCs w:val="20"/>
          <w:lang w:val="en-US"/>
        </w:rPr>
      </w:pPr>
      <w:r w:rsidRPr="00942FED">
        <w:rPr>
          <w:rFonts w:ascii="Arial" w:hAnsi="Arial" w:cs="Arial"/>
          <w:bCs/>
          <w:sz w:val="20"/>
          <w:szCs w:val="20"/>
          <w:lang w:val="en-US"/>
        </w:rPr>
        <w:t>The median duration of hospital stays in our study was 7 days [1 and 28 days], similar to that found in Mali and Senegal [6</w:t>
      </w:r>
      <w:proofErr w:type="gramStart"/>
      <w:r w:rsidRPr="00942FED">
        <w:rPr>
          <w:rFonts w:ascii="Arial" w:hAnsi="Arial" w:cs="Arial"/>
          <w:bCs/>
          <w:sz w:val="20"/>
          <w:szCs w:val="20"/>
          <w:lang w:val="en-US"/>
        </w:rPr>
        <w:t>,8,12</w:t>
      </w:r>
      <w:proofErr w:type="gramEnd"/>
      <w:r w:rsidRPr="00942FED">
        <w:rPr>
          <w:rFonts w:ascii="Arial" w:hAnsi="Arial" w:cs="Arial"/>
          <w:bCs/>
          <w:sz w:val="20"/>
          <w:szCs w:val="20"/>
          <w:lang w:val="en-US"/>
        </w:rPr>
        <w:t xml:space="preserve">]. The in-hospital mortality rate related to tetanus was 30% over 10 years in our study. This is also similar to those of Aba et al. [5] (29.9%) and </w:t>
      </w:r>
      <w:proofErr w:type="spellStart"/>
      <w:r w:rsidRPr="00942FED">
        <w:rPr>
          <w:rFonts w:ascii="Arial" w:hAnsi="Arial" w:cs="Arial"/>
          <w:bCs/>
          <w:sz w:val="20"/>
          <w:szCs w:val="20"/>
          <w:lang w:val="en-US"/>
        </w:rPr>
        <w:t>Tanon</w:t>
      </w:r>
      <w:proofErr w:type="spellEnd"/>
      <w:r w:rsidRPr="00942FED">
        <w:rPr>
          <w:rFonts w:ascii="Arial" w:hAnsi="Arial" w:cs="Arial"/>
          <w:bCs/>
          <w:sz w:val="20"/>
          <w:szCs w:val="20"/>
          <w:lang w:val="en-US"/>
        </w:rPr>
        <w:t xml:space="preserve"> et al. [4] (32.0%) in the same service, but lower than that reported in Congo (37.50%) [16</w:t>
      </w:r>
      <w:proofErr w:type="gramStart"/>
      <w:r w:rsidRPr="00942FED">
        <w:rPr>
          <w:rFonts w:ascii="Arial" w:hAnsi="Arial" w:cs="Arial"/>
          <w:bCs/>
          <w:sz w:val="20"/>
          <w:szCs w:val="20"/>
          <w:lang w:val="en-US"/>
        </w:rPr>
        <w:t>,20</w:t>
      </w:r>
      <w:proofErr w:type="gramEnd"/>
      <w:r w:rsidRPr="00942FED">
        <w:rPr>
          <w:rFonts w:ascii="Arial" w:hAnsi="Arial" w:cs="Arial"/>
          <w:bCs/>
          <w:sz w:val="20"/>
          <w:szCs w:val="20"/>
          <w:lang w:val="en-US"/>
        </w:rPr>
        <w:t xml:space="preserve">], whereas </w:t>
      </w:r>
      <w:proofErr w:type="spellStart"/>
      <w:r w:rsidRPr="00942FED">
        <w:rPr>
          <w:rFonts w:ascii="Arial" w:hAnsi="Arial" w:cs="Arial"/>
          <w:bCs/>
          <w:sz w:val="20"/>
          <w:szCs w:val="20"/>
          <w:lang w:val="en-US"/>
        </w:rPr>
        <w:t>Seydi</w:t>
      </w:r>
      <w:proofErr w:type="spellEnd"/>
      <w:r w:rsidRPr="00942FED">
        <w:rPr>
          <w:rFonts w:ascii="Arial" w:hAnsi="Arial" w:cs="Arial"/>
          <w:bCs/>
          <w:sz w:val="20"/>
          <w:szCs w:val="20"/>
          <w:lang w:val="en-US"/>
        </w:rPr>
        <w:t xml:space="preserve"> et al. [12] found only 22% in Senegal. The mortality rate was higher in the most active age group (20-55 years) with 71%, and predominantly greater among men (86%), more often due to the presence of complications or disease severity. Sometimes the lack of financial resources among some </w:t>
      </w:r>
      <w:r w:rsidRPr="00942FED">
        <w:rPr>
          <w:rFonts w:ascii="Arial" w:hAnsi="Arial" w:cs="Arial"/>
          <w:bCs/>
          <w:sz w:val="20"/>
          <w:szCs w:val="20"/>
          <w:lang w:val="en-US"/>
        </w:rPr>
        <w:lastRenderedPageBreak/>
        <w:t>patients led to insufficient treatment and care, which were responsible for early deaths [12].</w:t>
      </w:r>
    </w:p>
    <w:p w:rsidR="009F6EE0" w:rsidRPr="00942FED" w:rsidRDefault="009F6EE0" w:rsidP="009F6EE0">
      <w:pPr>
        <w:spacing w:before="120" w:after="120"/>
        <w:jc w:val="both"/>
        <w:rPr>
          <w:rFonts w:ascii="Arial" w:hAnsi="Arial" w:cs="Arial"/>
          <w:bCs/>
          <w:sz w:val="20"/>
          <w:szCs w:val="20"/>
          <w:lang w:val="en-US"/>
        </w:rPr>
      </w:pPr>
      <w:r w:rsidRPr="00942FED">
        <w:rPr>
          <w:rFonts w:ascii="Arial" w:hAnsi="Arial" w:cs="Arial"/>
          <w:bCs/>
          <w:sz w:val="20"/>
          <w:szCs w:val="20"/>
          <w:lang w:val="en-US"/>
        </w:rPr>
        <w:t xml:space="preserve">The univariate and multivariate analysis of prognosis factors significantly associated with death revealed that age &gt;60 years, high-risk workers’ occupations, presence of complications especially respiratory distress and the lack of intrathecal </w:t>
      </w:r>
      <w:proofErr w:type="spellStart"/>
      <w:r w:rsidRPr="00942FED">
        <w:rPr>
          <w:rFonts w:ascii="Arial" w:hAnsi="Arial" w:cs="Arial"/>
          <w:bCs/>
          <w:sz w:val="20"/>
          <w:szCs w:val="20"/>
          <w:lang w:val="en-US"/>
        </w:rPr>
        <w:t>serotherapy</w:t>
      </w:r>
      <w:proofErr w:type="spellEnd"/>
      <w:r w:rsidRPr="00942FED">
        <w:rPr>
          <w:rFonts w:ascii="Arial" w:hAnsi="Arial" w:cs="Arial"/>
          <w:bCs/>
          <w:sz w:val="20"/>
          <w:szCs w:val="20"/>
          <w:lang w:val="en-US"/>
        </w:rPr>
        <w:t xml:space="preserve"> and </w:t>
      </w:r>
      <w:proofErr w:type="spellStart"/>
      <w:r w:rsidRPr="00942FED">
        <w:rPr>
          <w:rFonts w:ascii="Arial" w:hAnsi="Arial" w:cs="Arial"/>
          <w:bCs/>
          <w:sz w:val="20"/>
          <w:szCs w:val="20"/>
          <w:lang w:val="en-US"/>
        </w:rPr>
        <w:t>antibiotherapy</w:t>
      </w:r>
      <w:proofErr w:type="spellEnd"/>
      <w:r w:rsidRPr="00942FED">
        <w:rPr>
          <w:rFonts w:ascii="Arial" w:hAnsi="Arial" w:cs="Arial"/>
          <w:bCs/>
          <w:sz w:val="20"/>
          <w:szCs w:val="20"/>
          <w:lang w:val="en-US"/>
        </w:rPr>
        <w:t xml:space="preserve"> </w:t>
      </w:r>
      <w:r w:rsidRPr="00942FED">
        <w:rPr>
          <w:rFonts w:ascii="Arial" w:hAnsi="Arial" w:cs="Arial"/>
          <w:bCs/>
          <w:sz w:val="20"/>
          <w:szCs w:val="20"/>
          <w:lang w:val="en-US"/>
        </w:rPr>
        <w:lastRenderedPageBreak/>
        <w:t>(Penicillin-G) were significantly associated with death, apart from the poor prognosis features in the Dakar score [9, 18]. These results are similar to those of other studies in other countries. Indeed, a study conducted in Turkey in 1997 also showed that older age was associated with death among 88 adult patients with tetanus [21].</w:t>
      </w:r>
    </w:p>
    <w:p w:rsidR="009F6EE0" w:rsidRPr="00605A54" w:rsidRDefault="009F6EE0" w:rsidP="00605A54">
      <w:pPr>
        <w:spacing w:before="120" w:after="120"/>
        <w:jc w:val="both"/>
        <w:rPr>
          <w:rFonts w:ascii="Arial" w:hAnsi="Arial" w:cs="Arial"/>
          <w:bCs/>
          <w:sz w:val="20"/>
          <w:szCs w:val="20"/>
          <w:lang w:val="en-US"/>
        </w:rPr>
      </w:pPr>
    </w:p>
    <w:p w:rsidR="00605A54" w:rsidRPr="00605A54" w:rsidRDefault="00605A54" w:rsidP="00605A54">
      <w:pPr>
        <w:spacing w:before="120" w:after="120"/>
        <w:rPr>
          <w:rFonts w:ascii="Arial" w:hAnsi="Arial" w:cs="Arial"/>
          <w:sz w:val="20"/>
          <w:szCs w:val="18"/>
        </w:rPr>
        <w:sectPr w:rsidR="00605A54" w:rsidRPr="00605A54" w:rsidSect="00671E46">
          <w:headerReference w:type="first" r:id="rId15"/>
          <w:type w:val="continuous"/>
          <w:pgSz w:w="11907" w:h="16840" w:code="9"/>
          <w:pgMar w:top="1814" w:right="1247" w:bottom="1758" w:left="1304" w:header="1304" w:footer="1361" w:gutter="0"/>
          <w:pgNumType w:start="125"/>
          <w:cols w:num="2" w:space="708"/>
          <w:noEndnote/>
          <w:titlePg/>
          <w:docGrid w:linePitch="326"/>
        </w:sectPr>
      </w:pPr>
    </w:p>
    <w:p w:rsidR="00BB7FD3" w:rsidRDefault="00BB7FD3" w:rsidP="0097434A">
      <w:pPr>
        <w:spacing w:after="0" w:line="240" w:lineRule="auto"/>
        <w:rPr>
          <w:rFonts w:ascii="Arial" w:hAnsi="Arial" w:cs="Arial"/>
          <w:sz w:val="18"/>
          <w:szCs w:val="18"/>
        </w:rPr>
      </w:pPr>
    </w:p>
    <w:p w:rsidR="0097434A" w:rsidRPr="0097434A" w:rsidRDefault="0097434A" w:rsidP="0097434A">
      <w:pPr>
        <w:spacing w:after="0" w:line="240" w:lineRule="auto"/>
        <w:rPr>
          <w:rFonts w:ascii="Arial" w:hAnsi="Arial" w:cs="Arial"/>
          <w:sz w:val="18"/>
          <w:szCs w:val="18"/>
        </w:rPr>
      </w:pPr>
      <w:r w:rsidRPr="0097434A">
        <w:rPr>
          <w:rFonts w:ascii="Arial" w:hAnsi="Arial" w:cs="Arial"/>
          <w:sz w:val="18"/>
          <w:szCs w:val="18"/>
        </w:rPr>
        <w:t>Table 4: Factors associated with death in patients with Tetanus admitted to ITDU from 2005 to 2014, Logistic regression model, univariate and multivariate analysis</w:t>
      </w:r>
      <w:r>
        <w:rPr>
          <w:rFonts w:ascii="Arial" w:hAnsi="Arial" w:cs="Arial"/>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032"/>
        <w:gridCol w:w="1235"/>
        <w:gridCol w:w="720"/>
        <w:gridCol w:w="1273"/>
        <w:gridCol w:w="507"/>
        <w:gridCol w:w="308"/>
        <w:gridCol w:w="521"/>
        <w:gridCol w:w="1267"/>
        <w:gridCol w:w="542"/>
      </w:tblGrid>
      <w:tr w:rsidR="003A4267" w:rsidRPr="0097434A" w:rsidTr="003A4267">
        <w:trPr>
          <w:trHeight w:val="92"/>
        </w:trPr>
        <w:tc>
          <w:tcPr>
            <w:tcW w:w="1132" w:type="pct"/>
            <w:vMerge w:val="restart"/>
            <w:tcBorders>
              <w:left w:val="nil"/>
              <w:right w:val="nil"/>
            </w:tcBorders>
            <w:shd w:val="clear" w:color="auto" w:fill="auto"/>
            <w:vAlign w:val="center"/>
          </w:tcPr>
          <w:p w:rsidR="0097434A" w:rsidRPr="0097434A" w:rsidRDefault="0097434A" w:rsidP="003A4267">
            <w:pPr>
              <w:spacing w:after="0" w:line="240" w:lineRule="auto"/>
              <w:ind w:right="-190"/>
              <w:rPr>
                <w:rFonts w:ascii="Arial" w:hAnsi="Arial" w:cs="Arial"/>
                <w:b/>
                <w:sz w:val="18"/>
                <w:szCs w:val="18"/>
              </w:rPr>
            </w:pPr>
            <w:r w:rsidRPr="0097434A">
              <w:rPr>
                <w:rFonts w:ascii="Arial" w:hAnsi="Arial" w:cs="Arial"/>
                <w:b/>
                <w:sz w:val="18"/>
                <w:szCs w:val="18"/>
              </w:rPr>
              <w:t>Parameters</w:t>
            </w:r>
          </w:p>
        </w:tc>
        <w:tc>
          <w:tcPr>
            <w:tcW w:w="539" w:type="pct"/>
            <w:vMerge w:val="restart"/>
            <w:tcBorders>
              <w:left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b/>
                <w:sz w:val="18"/>
                <w:szCs w:val="18"/>
              </w:rPr>
            </w:pPr>
            <w:r w:rsidRPr="003A4267">
              <w:rPr>
                <w:rFonts w:ascii="Arial" w:hAnsi="Arial" w:cs="Arial"/>
                <w:b/>
                <w:sz w:val="18"/>
                <w:szCs w:val="18"/>
              </w:rPr>
              <w:t>Patients</w:t>
            </w:r>
          </w:p>
        </w:tc>
        <w:tc>
          <w:tcPr>
            <w:tcW w:w="645" w:type="pct"/>
            <w:vMerge w:val="restart"/>
            <w:tcBorders>
              <w:left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b/>
                <w:sz w:val="18"/>
                <w:szCs w:val="18"/>
              </w:rPr>
            </w:pPr>
            <w:r w:rsidRPr="003A4267">
              <w:rPr>
                <w:rFonts w:ascii="Arial" w:hAnsi="Arial" w:cs="Arial"/>
                <w:b/>
                <w:sz w:val="18"/>
                <w:szCs w:val="18"/>
              </w:rPr>
              <w:t>Deaths</w:t>
            </w:r>
          </w:p>
        </w:tc>
        <w:tc>
          <w:tcPr>
            <w:tcW w:w="1306" w:type="pct"/>
            <w:gridSpan w:val="3"/>
            <w:tcBorders>
              <w:left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b/>
                <w:sz w:val="18"/>
                <w:szCs w:val="18"/>
              </w:rPr>
            </w:pPr>
            <w:r w:rsidRPr="003A4267">
              <w:rPr>
                <w:rFonts w:ascii="Arial" w:hAnsi="Arial" w:cs="Arial"/>
                <w:b/>
                <w:sz w:val="18"/>
                <w:szCs w:val="18"/>
              </w:rPr>
              <w:t>Univariate analysis</w:t>
            </w:r>
          </w:p>
        </w:tc>
        <w:tc>
          <w:tcPr>
            <w:tcW w:w="161" w:type="pct"/>
            <w:tcBorders>
              <w:left w:val="nil"/>
              <w:bottom w:val="nil"/>
              <w:right w:val="nil"/>
            </w:tcBorders>
            <w:vAlign w:val="center"/>
          </w:tcPr>
          <w:p w:rsidR="0097434A" w:rsidRPr="003A4267" w:rsidRDefault="0097434A" w:rsidP="003A4267">
            <w:pPr>
              <w:spacing w:after="0" w:line="240" w:lineRule="auto"/>
              <w:ind w:left="-152" w:right="-150" w:firstLine="83"/>
              <w:jc w:val="center"/>
              <w:rPr>
                <w:rFonts w:ascii="Arial" w:hAnsi="Arial" w:cs="Arial"/>
                <w:b/>
                <w:sz w:val="18"/>
                <w:szCs w:val="18"/>
              </w:rPr>
            </w:pPr>
          </w:p>
        </w:tc>
        <w:tc>
          <w:tcPr>
            <w:tcW w:w="1217" w:type="pct"/>
            <w:gridSpan w:val="3"/>
            <w:tcBorders>
              <w:left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b/>
                <w:sz w:val="18"/>
                <w:szCs w:val="18"/>
              </w:rPr>
            </w:pPr>
            <w:r w:rsidRPr="003A4267">
              <w:rPr>
                <w:rFonts w:ascii="Arial" w:hAnsi="Arial" w:cs="Arial"/>
                <w:b/>
                <w:sz w:val="18"/>
                <w:szCs w:val="18"/>
              </w:rPr>
              <w:t>Multivariate analysis</w:t>
            </w:r>
          </w:p>
        </w:tc>
      </w:tr>
      <w:tr w:rsidR="003A4267" w:rsidRPr="0097434A" w:rsidTr="003A4267">
        <w:trPr>
          <w:trHeight w:val="67"/>
        </w:trPr>
        <w:tc>
          <w:tcPr>
            <w:tcW w:w="1132" w:type="pct"/>
            <w:vMerge/>
            <w:tcBorders>
              <w:left w:val="nil"/>
              <w:bottom w:val="single" w:sz="4" w:space="0" w:color="auto"/>
              <w:right w:val="nil"/>
            </w:tcBorders>
            <w:shd w:val="clear" w:color="auto" w:fill="auto"/>
            <w:vAlign w:val="center"/>
          </w:tcPr>
          <w:p w:rsidR="0097434A" w:rsidRPr="0097434A" w:rsidRDefault="0097434A" w:rsidP="003A4267">
            <w:pPr>
              <w:spacing w:after="0" w:line="240" w:lineRule="auto"/>
              <w:ind w:right="-190"/>
              <w:rPr>
                <w:rFonts w:ascii="Arial" w:hAnsi="Arial" w:cs="Arial"/>
                <w:b/>
                <w:sz w:val="18"/>
                <w:szCs w:val="18"/>
              </w:rPr>
            </w:pPr>
          </w:p>
        </w:tc>
        <w:tc>
          <w:tcPr>
            <w:tcW w:w="539" w:type="pct"/>
            <w:vMerge/>
            <w:tcBorders>
              <w:left w:val="nil"/>
              <w:bottom w:val="single" w:sz="4" w:space="0" w:color="auto"/>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b/>
                <w:sz w:val="18"/>
                <w:szCs w:val="18"/>
              </w:rPr>
            </w:pPr>
          </w:p>
        </w:tc>
        <w:tc>
          <w:tcPr>
            <w:tcW w:w="645" w:type="pct"/>
            <w:vMerge/>
            <w:tcBorders>
              <w:left w:val="nil"/>
              <w:bottom w:val="single" w:sz="4" w:space="0" w:color="auto"/>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b/>
                <w:sz w:val="18"/>
                <w:szCs w:val="18"/>
              </w:rPr>
            </w:pPr>
          </w:p>
        </w:tc>
        <w:tc>
          <w:tcPr>
            <w:tcW w:w="376" w:type="pct"/>
            <w:tcBorders>
              <w:left w:val="nil"/>
              <w:bottom w:val="single" w:sz="4" w:space="0" w:color="auto"/>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b/>
                <w:sz w:val="18"/>
                <w:szCs w:val="18"/>
              </w:rPr>
            </w:pPr>
            <w:r w:rsidRPr="003A4267">
              <w:rPr>
                <w:rFonts w:ascii="Arial" w:hAnsi="Arial" w:cs="Arial"/>
                <w:b/>
                <w:sz w:val="18"/>
                <w:szCs w:val="18"/>
              </w:rPr>
              <w:t>OR</w:t>
            </w:r>
          </w:p>
        </w:tc>
        <w:tc>
          <w:tcPr>
            <w:tcW w:w="665" w:type="pct"/>
            <w:tcBorders>
              <w:left w:val="nil"/>
              <w:bottom w:val="single" w:sz="4" w:space="0" w:color="auto"/>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b/>
                <w:sz w:val="18"/>
                <w:szCs w:val="18"/>
              </w:rPr>
            </w:pPr>
            <w:r w:rsidRPr="003A4267">
              <w:rPr>
                <w:rFonts w:ascii="Arial" w:hAnsi="Arial" w:cs="Arial"/>
                <w:b/>
                <w:sz w:val="18"/>
                <w:szCs w:val="18"/>
              </w:rPr>
              <w:t>CI = 95%</w:t>
            </w:r>
          </w:p>
        </w:tc>
        <w:tc>
          <w:tcPr>
            <w:tcW w:w="265" w:type="pct"/>
            <w:tcBorders>
              <w:left w:val="nil"/>
              <w:bottom w:val="single" w:sz="4" w:space="0" w:color="auto"/>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b/>
                <w:sz w:val="18"/>
                <w:szCs w:val="18"/>
              </w:rPr>
            </w:pPr>
            <w:r w:rsidRPr="003A4267">
              <w:rPr>
                <w:rFonts w:ascii="Arial" w:hAnsi="Arial" w:cs="Arial"/>
                <w:b/>
                <w:sz w:val="18"/>
                <w:szCs w:val="18"/>
              </w:rPr>
              <w:t>P</w:t>
            </w:r>
          </w:p>
        </w:tc>
        <w:tc>
          <w:tcPr>
            <w:tcW w:w="161" w:type="pct"/>
            <w:tcBorders>
              <w:top w:val="nil"/>
              <w:left w:val="nil"/>
              <w:bottom w:val="single" w:sz="4" w:space="0" w:color="auto"/>
              <w:right w:val="nil"/>
            </w:tcBorders>
            <w:vAlign w:val="center"/>
          </w:tcPr>
          <w:p w:rsidR="0097434A" w:rsidRPr="003A4267" w:rsidRDefault="0097434A" w:rsidP="003A4267">
            <w:pPr>
              <w:spacing w:after="0" w:line="240" w:lineRule="auto"/>
              <w:ind w:left="-152" w:right="-150" w:firstLine="83"/>
              <w:jc w:val="center"/>
              <w:rPr>
                <w:rFonts w:ascii="Arial" w:hAnsi="Arial" w:cs="Arial"/>
                <w:b/>
                <w:sz w:val="18"/>
                <w:szCs w:val="18"/>
              </w:rPr>
            </w:pPr>
          </w:p>
        </w:tc>
        <w:tc>
          <w:tcPr>
            <w:tcW w:w="272" w:type="pct"/>
            <w:tcBorders>
              <w:left w:val="nil"/>
              <w:bottom w:val="single" w:sz="4" w:space="0" w:color="auto"/>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b/>
                <w:sz w:val="18"/>
                <w:szCs w:val="18"/>
              </w:rPr>
            </w:pPr>
            <w:r w:rsidRPr="003A4267">
              <w:rPr>
                <w:rFonts w:ascii="Arial" w:hAnsi="Arial" w:cs="Arial"/>
                <w:b/>
                <w:sz w:val="18"/>
                <w:szCs w:val="18"/>
              </w:rPr>
              <w:t>aOR</w:t>
            </w:r>
          </w:p>
        </w:tc>
        <w:tc>
          <w:tcPr>
            <w:tcW w:w="662" w:type="pct"/>
            <w:tcBorders>
              <w:left w:val="nil"/>
              <w:bottom w:val="single" w:sz="4" w:space="0" w:color="auto"/>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b/>
                <w:sz w:val="18"/>
                <w:szCs w:val="18"/>
              </w:rPr>
            </w:pPr>
            <w:r w:rsidRPr="003A4267">
              <w:rPr>
                <w:rFonts w:ascii="Arial" w:hAnsi="Arial" w:cs="Arial"/>
                <w:b/>
                <w:sz w:val="18"/>
                <w:szCs w:val="18"/>
              </w:rPr>
              <w:t>CI = 95%</w:t>
            </w:r>
          </w:p>
        </w:tc>
        <w:tc>
          <w:tcPr>
            <w:tcW w:w="283" w:type="pct"/>
            <w:tcBorders>
              <w:left w:val="nil"/>
              <w:bottom w:val="single" w:sz="4" w:space="0" w:color="auto"/>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b/>
                <w:sz w:val="18"/>
                <w:szCs w:val="18"/>
              </w:rPr>
            </w:pPr>
            <w:r w:rsidRPr="003A4267">
              <w:rPr>
                <w:rFonts w:ascii="Arial" w:hAnsi="Arial" w:cs="Arial"/>
                <w:b/>
                <w:sz w:val="18"/>
                <w:szCs w:val="18"/>
              </w:rPr>
              <w:t>P</w:t>
            </w:r>
          </w:p>
        </w:tc>
      </w:tr>
      <w:tr w:rsidR="003A4267" w:rsidRPr="0097434A" w:rsidTr="00072A97">
        <w:trPr>
          <w:trHeight w:hRule="exact" w:val="241"/>
        </w:trPr>
        <w:tc>
          <w:tcPr>
            <w:tcW w:w="1132" w:type="pct"/>
            <w:tcBorders>
              <w:left w:val="nil"/>
              <w:bottom w:val="nil"/>
              <w:right w:val="nil"/>
            </w:tcBorders>
            <w:shd w:val="clear" w:color="auto" w:fill="D9D9D9" w:themeFill="background1" w:themeFillShade="D9"/>
            <w:vAlign w:val="center"/>
          </w:tcPr>
          <w:p w:rsidR="0097434A" w:rsidRPr="0097434A" w:rsidRDefault="0097434A" w:rsidP="003A4267">
            <w:pPr>
              <w:spacing w:after="0" w:line="240" w:lineRule="auto"/>
              <w:ind w:right="-190"/>
              <w:rPr>
                <w:rFonts w:ascii="Arial" w:hAnsi="Arial" w:cs="Arial"/>
                <w:sz w:val="18"/>
                <w:szCs w:val="18"/>
              </w:rPr>
            </w:pPr>
            <w:r w:rsidRPr="0097434A">
              <w:rPr>
                <w:rFonts w:ascii="Arial" w:hAnsi="Arial" w:cs="Arial"/>
                <w:sz w:val="18"/>
                <w:szCs w:val="18"/>
              </w:rPr>
              <w:t>Age in years</w:t>
            </w:r>
          </w:p>
        </w:tc>
        <w:tc>
          <w:tcPr>
            <w:tcW w:w="539" w:type="pct"/>
            <w:tcBorders>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p>
        </w:tc>
        <w:tc>
          <w:tcPr>
            <w:tcW w:w="645" w:type="pct"/>
            <w:tcBorders>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p>
        </w:tc>
        <w:tc>
          <w:tcPr>
            <w:tcW w:w="376" w:type="pct"/>
            <w:tcBorders>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p>
        </w:tc>
        <w:tc>
          <w:tcPr>
            <w:tcW w:w="665" w:type="pct"/>
            <w:tcBorders>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65" w:type="pct"/>
            <w:tcBorders>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161" w:type="pct"/>
            <w:tcBorders>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14</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57</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15 (26.3)</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1.00</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1.00</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15-60</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360</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99 (27.5)</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1.06</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0.56-2.00</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0.85</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1.12</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0.40-3.13</w:t>
            </w: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0.83</w:t>
            </w: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&gt;60</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38</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23 (60.5)</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4.29</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1.78-10.32</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0.001</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2.76</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1.07-9.91</w:t>
            </w: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0.04</w:t>
            </w:r>
          </w:p>
        </w:tc>
      </w:tr>
      <w:tr w:rsidR="003A4267" w:rsidRPr="0097434A" w:rsidTr="003A4267">
        <w:trPr>
          <w:trHeight w:hRule="exact" w:val="340"/>
        </w:trPr>
        <w:tc>
          <w:tcPr>
            <w:tcW w:w="1132" w:type="pct"/>
            <w:tcBorders>
              <w:top w:val="nil"/>
              <w:left w:val="nil"/>
              <w:bottom w:val="nil"/>
              <w:right w:val="nil"/>
            </w:tcBorders>
            <w:shd w:val="clear" w:color="auto" w:fill="auto"/>
            <w:vAlign w:val="center"/>
          </w:tcPr>
          <w:p w:rsidR="0097434A" w:rsidRPr="0097434A" w:rsidRDefault="0097434A" w:rsidP="003A4267">
            <w:pPr>
              <w:spacing w:after="0" w:line="240" w:lineRule="auto"/>
              <w:ind w:right="-190"/>
              <w:rPr>
                <w:rFonts w:ascii="Arial" w:hAnsi="Arial" w:cs="Arial"/>
                <w:sz w:val="18"/>
                <w:szCs w:val="18"/>
              </w:rPr>
            </w:pPr>
            <w:r w:rsidRPr="0097434A">
              <w:rPr>
                <w:rFonts w:ascii="Arial" w:hAnsi="Arial" w:cs="Arial"/>
                <w:sz w:val="18"/>
                <w:szCs w:val="18"/>
              </w:rPr>
              <w:t>Sex</w:t>
            </w:r>
          </w:p>
        </w:tc>
        <w:tc>
          <w:tcPr>
            <w:tcW w:w="539" w:type="pct"/>
            <w:tcBorders>
              <w:top w:val="nil"/>
              <w:left w:val="nil"/>
              <w:bottom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p>
        </w:tc>
        <w:tc>
          <w:tcPr>
            <w:tcW w:w="645"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p>
        </w:tc>
        <w:tc>
          <w:tcPr>
            <w:tcW w:w="376"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p>
        </w:tc>
        <w:tc>
          <w:tcPr>
            <w:tcW w:w="6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161" w:type="pct"/>
            <w:tcBorders>
              <w:top w:val="nil"/>
              <w:left w:val="nil"/>
              <w:bottom w:val="nil"/>
              <w:right w:val="nil"/>
            </w:tcBorders>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072A97">
        <w:trPr>
          <w:trHeight w:hRule="exact" w:val="340"/>
        </w:trPr>
        <w:tc>
          <w:tcPr>
            <w:tcW w:w="1132" w:type="pct"/>
            <w:tcBorders>
              <w:top w:val="nil"/>
              <w:left w:val="nil"/>
              <w:bottom w:val="nil"/>
              <w:right w:val="nil"/>
            </w:tcBorders>
            <w:shd w:val="clear" w:color="auto" w:fill="auto"/>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Male</w:t>
            </w:r>
          </w:p>
        </w:tc>
        <w:tc>
          <w:tcPr>
            <w:tcW w:w="539" w:type="pct"/>
            <w:tcBorders>
              <w:top w:val="nil"/>
              <w:left w:val="nil"/>
              <w:bottom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390</w:t>
            </w:r>
          </w:p>
        </w:tc>
        <w:tc>
          <w:tcPr>
            <w:tcW w:w="645"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118 (30.3)</w:t>
            </w:r>
          </w:p>
        </w:tc>
        <w:tc>
          <w:tcPr>
            <w:tcW w:w="376"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1.00</w:t>
            </w:r>
          </w:p>
        </w:tc>
        <w:tc>
          <w:tcPr>
            <w:tcW w:w="6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2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161"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3A4267">
        <w:trPr>
          <w:trHeight w:hRule="exact" w:val="340"/>
        </w:trPr>
        <w:tc>
          <w:tcPr>
            <w:tcW w:w="1132" w:type="pct"/>
            <w:tcBorders>
              <w:top w:val="nil"/>
              <w:left w:val="nil"/>
              <w:bottom w:val="nil"/>
              <w:right w:val="nil"/>
            </w:tcBorders>
            <w:shd w:val="clear" w:color="auto" w:fill="auto"/>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Female</w:t>
            </w:r>
          </w:p>
        </w:tc>
        <w:tc>
          <w:tcPr>
            <w:tcW w:w="539" w:type="pct"/>
            <w:tcBorders>
              <w:top w:val="nil"/>
              <w:left w:val="nil"/>
              <w:bottom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65</w:t>
            </w:r>
          </w:p>
        </w:tc>
        <w:tc>
          <w:tcPr>
            <w:tcW w:w="645"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19 (29.3)</w:t>
            </w:r>
          </w:p>
        </w:tc>
        <w:tc>
          <w:tcPr>
            <w:tcW w:w="376"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0.95</w:t>
            </w:r>
          </w:p>
        </w:tc>
        <w:tc>
          <w:tcPr>
            <w:tcW w:w="6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0.53-1.69</w:t>
            </w:r>
          </w:p>
        </w:tc>
        <w:tc>
          <w:tcPr>
            <w:tcW w:w="2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0.87</w:t>
            </w:r>
          </w:p>
        </w:tc>
        <w:tc>
          <w:tcPr>
            <w:tcW w:w="161" w:type="pct"/>
            <w:tcBorders>
              <w:top w:val="nil"/>
              <w:left w:val="nil"/>
              <w:bottom w:val="nil"/>
              <w:right w:val="nil"/>
            </w:tcBorders>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3A4267">
            <w:pPr>
              <w:spacing w:after="0" w:line="240" w:lineRule="auto"/>
              <w:ind w:right="-190"/>
              <w:rPr>
                <w:rFonts w:ascii="Arial" w:hAnsi="Arial" w:cs="Arial"/>
                <w:sz w:val="18"/>
                <w:szCs w:val="18"/>
              </w:rPr>
            </w:pPr>
            <w:r w:rsidRPr="0097434A">
              <w:rPr>
                <w:rFonts w:ascii="Arial" w:hAnsi="Arial" w:cs="Arial"/>
                <w:sz w:val="18"/>
                <w:szCs w:val="18"/>
              </w:rPr>
              <w:t>Occupation</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Student</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52</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13 (25.0)</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1.00</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1.00</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w:t>
            </w: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w:t>
            </w: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Unemployed</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61</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23 (37.7)</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1.82</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0.80- 4.10</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0.15</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1.34</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0.43 – 4.18</w:t>
            </w: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0.25</w:t>
            </w: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Worker</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52</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26 (60)</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3.00</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1.31 – 6.88</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0.01</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2.83</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1.07 – 9.39</w:t>
            </w: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0.048</w:t>
            </w: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Liberal</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290</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75 (25.9)</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1.05</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0.53 – 2.07</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0.90</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1.29</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0.47 – 3.54</w:t>
            </w: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0.62</w:t>
            </w:r>
          </w:p>
        </w:tc>
      </w:tr>
      <w:tr w:rsidR="003A4267" w:rsidRPr="0097434A" w:rsidTr="003A4267">
        <w:trPr>
          <w:trHeight w:hRule="exact" w:val="340"/>
        </w:trPr>
        <w:tc>
          <w:tcPr>
            <w:tcW w:w="1132" w:type="pct"/>
            <w:tcBorders>
              <w:top w:val="nil"/>
              <w:left w:val="nil"/>
              <w:bottom w:val="nil"/>
              <w:right w:val="nil"/>
            </w:tcBorders>
            <w:shd w:val="clear" w:color="auto" w:fill="auto"/>
            <w:vAlign w:val="center"/>
          </w:tcPr>
          <w:p w:rsidR="0097434A" w:rsidRPr="0097434A" w:rsidRDefault="0097434A" w:rsidP="003A4267">
            <w:pPr>
              <w:spacing w:after="0" w:line="240" w:lineRule="auto"/>
              <w:ind w:right="-190"/>
              <w:rPr>
                <w:rFonts w:ascii="Arial" w:hAnsi="Arial" w:cs="Arial"/>
                <w:sz w:val="18"/>
                <w:szCs w:val="18"/>
              </w:rPr>
            </w:pPr>
            <w:r w:rsidRPr="0097434A">
              <w:rPr>
                <w:rFonts w:ascii="Arial" w:hAnsi="Arial" w:cs="Arial"/>
                <w:sz w:val="18"/>
                <w:szCs w:val="18"/>
              </w:rPr>
              <w:t>HIV status</w:t>
            </w:r>
          </w:p>
        </w:tc>
        <w:tc>
          <w:tcPr>
            <w:tcW w:w="539" w:type="pct"/>
            <w:tcBorders>
              <w:top w:val="nil"/>
              <w:left w:val="nil"/>
              <w:bottom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p>
        </w:tc>
        <w:tc>
          <w:tcPr>
            <w:tcW w:w="645"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p>
        </w:tc>
        <w:tc>
          <w:tcPr>
            <w:tcW w:w="376"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p>
        </w:tc>
        <w:tc>
          <w:tcPr>
            <w:tcW w:w="6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161" w:type="pct"/>
            <w:tcBorders>
              <w:top w:val="nil"/>
              <w:left w:val="nil"/>
              <w:bottom w:val="nil"/>
              <w:right w:val="nil"/>
            </w:tcBorders>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3A4267">
        <w:trPr>
          <w:trHeight w:hRule="exact" w:val="340"/>
        </w:trPr>
        <w:tc>
          <w:tcPr>
            <w:tcW w:w="1132" w:type="pct"/>
            <w:tcBorders>
              <w:top w:val="nil"/>
              <w:left w:val="nil"/>
              <w:bottom w:val="nil"/>
              <w:right w:val="nil"/>
            </w:tcBorders>
            <w:shd w:val="clear" w:color="auto" w:fill="auto"/>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Non-infected</w:t>
            </w:r>
          </w:p>
        </w:tc>
        <w:tc>
          <w:tcPr>
            <w:tcW w:w="539" w:type="pct"/>
            <w:tcBorders>
              <w:top w:val="nil"/>
              <w:left w:val="nil"/>
              <w:bottom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433</w:t>
            </w:r>
          </w:p>
        </w:tc>
        <w:tc>
          <w:tcPr>
            <w:tcW w:w="645"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130 (30.2)</w:t>
            </w:r>
          </w:p>
        </w:tc>
        <w:tc>
          <w:tcPr>
            <w:tcW w:w="376"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p>
        </w:tc>
        <w:tc>
          <w:tcPr>
            <w:tcW w:w="6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161" w:type="pct"/>
            <w:tcBorders>
              <w:top w:val="nil"/>
              <w:left w:val="nil"/>
              <w:bottom w:val="nil"/>
              <w:right w:val="nil"/>
            </w:tcBorders>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3A4267">
        <w:trPr>
          <w:trHeight w:hRule="exact" w:val="340"/>
        </w:trPr>
        <w:tc>
          <w:tcPr>
            <w:tcW w:w="1132" w:type="pct"/>
            <w:tcBorders>
              <w:top w:val="nil"/>
              <w:left w:val="nil"/>
              <w:bottom w:val="nil"/>
              <w:right w:val="nil"/>
            </w:tcBorders>
            <w:shd w:val="clear" w:color="auto" w:fill="auto"/>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Infected</w:t>
            </w:r>
          </w:p>
        </w:tc>
        <w:tc>
          <w:tcPr>
            <w:tcW w:w="539" w:type="pct"/>
            <w:tcBorders>
              <w:top w:val="nil"/>
              <w:left w:val="nil"/>
              <w:bottom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22</w:t>
            </w:r>
          </w:p>
        </w:tc>
        <w:tc>
          <w:tcPr>
            <w:tcW w:w="645"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7 (31.8)</w:t>
            </w:r>
          </w:p>
        </w:tc>
        <w:tc>
          <w:tcPr>
            <w:tcW w:w="376"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1.09</w:t>
            </w:r>
          </w:p>
        </w:tc>
        <w:tc>
          <w:tcPr>
            <w:tcW w:w="6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0.43-2.73</w:t>
            </w:r>
          </w:p>
        </w:tc>
        <w:tc>
          <w:tcPr>
            <w:tcW w:w="2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0.86</w:t>
            </w:r>
          </w:p>
        </w:tc>
        <w:tc>
          <w:tcPr>
            <w:tcW w:w="161" w:type="pct"/>
            <w:tcBorders>
              <w:top w:val="nil"/>
              <w:left w:val="nil"/>
              <w:bottom w:val="nil"/>
              <w:right w:val="nil"/>
            </w:tcBorders>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3A4267">
            <w:pPr>
              <w:spacing w:after="0" w:line="240" w:lineRule="auto"/>
              <w:ind w:right="-190"/>
              <w:rPr>
                <w:rFonts w:ascii="Arial" w:hAnsi="Arial" w:cs="Arial"/>
                <w:sz w:val="18"/>
                <w:szCs w:val="18"/>
              </w:rPr>
            </w:pPr>
            <w:r w:rsidRPr="0097434A">
              <w:rPr>
                <w:rFonts w:ascii="Arial" w:hAnsi="Arial" w:cs="Arial"/>
                <w:sz w:val="18"/>
                <w:szCs w:val="18"/>
              </w:rPr>
              <w:t>Dakar score</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Mild</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141</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22 (15.60)</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1.00</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Moderate</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246</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68 (27.6)</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2.07</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1.21 – 3.52</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0.008</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1.77</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0.91- 3.46</w:t>
            </w: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0.09</w:t>
            </w: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Severe</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59</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43 (72.9)</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7.16</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6.99-30.24</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0.000</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5.76</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2.26 – 14.72</w:t>
            </w: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0.001</w:t>
            </w: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Not specified</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09</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04 (44.4)</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4.32</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1.08 – 17.39</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0.039</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0.78</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0.12 – 5.12</w:t>
            </w: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0.80</w:t>
            </w:r>
          </w:p>
        </w:tc>
      </w:tr>
      <w:tr w:rsidR="003A4267" w:rsidRPr="0097434A" w:rsidTr="003A4267">
        <w:trPr>
          <w:trHeight w:hRule="exact" w:val="340"/>
        </w:trPr>
        <w:tc>
          <w:tcPr>
            <w:tcW w:w="1132" w:type="pct"/>
            <w:tcBorders>
              <w:top w:val="nil"/>
              <w:left w:val="nil"/>
              <w:bottom w:val="nil"/>
              <w:right w:val="nil"/>
            </w:tcBorders>
            <w:shd w:val="clear" w:color="auto" w:fill="auto"/>
            <w:vAlign w:val="center"/>
          </w:tcPr>
          <w:p w:rsidR="0097434A" w:rsidRPr="0097434A" w:rsidRDefault="0097434A" w:rsidP="003A4267">
            <w:pPr>
              <w:spacing w:after="0" w:line="240" w:lineRule="auto"/>
              <w:ind w:right="-190"/>
              <w:rPr>
                <w:rFonts w:ascii="Arial" w:hAnsi="Arial" w:cs="Arial"/>
                <w:sz w:val="18"/>
                <w:szCs w:val="18"/>
              </w:rPr>
            </w:pPr>
            <w:r w:rsidRPr="0097434A">
              <w:rPr>
                <w:rFonts w:ascii="Arial" w:hAnsi="Arial" w:cs="Arial"/>
                <w:sz w:val="18"/>
                <w:szCs w:val="18"/>
              </w:rPr>
              <w:t>Intrathecal therapy</w:t>
            </w:r>
          </w:p>
        </w:tc>
        <w:tc>
          <w:tcPr>
            <w:tcW w:w="539" w:type="pct"/>
            <w:tcBorders>
              <w:top w:val="nil"/>
              <w:left w:val="nil"/>
              <w:bottom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p>
        </w:tc>
        <w:tc>
          <w:tcPr>
            <w:tcW w:w="645"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p>
        </w:tc>
        <w:tc>
          <w:tcPr>
            <w:tcW w:w="376"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p>
        </w:tc>
        <w:tc>
          <w:tcPr>
            <w:tcW w:w="6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161" w:type="pct"/>
            <w:tcBorders>
              <w:top w:val="nil"/>
              <w:left w:val="nil"/>
              <w:bottom w:val="nil"/>
              <w:right w:val="nil"/>
            </w:tcBorders>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3A4267">
        <w:trPr>
          <w:trHeight w:hRule="exact" w:val="340"/>
        </w:trPr>
        <w:tc>
          <w:tcPr>
            <w:tcW w:w="1132" w:type="pct"/>
            <w:tcBorders>
              <w:top w:val="nil"/>
              <w:left w:val="nil"/>
              <w:bottom w:val="nil"/>
              <w:right w:val="nil"/>
            </w:tcBorders>
            <w:shd w:val="clear" w:color="auto" w:fill="auto"/>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Done</w:t>
            </w:r>
          </w:p>
        </w:tc>
        <w:tc>
          <w:tcPr>
            <w:tcW w:w="539" w:type="pct"/>
            <w:tcBorders>
              <w:top w:val="nil"/>
              <w:left w:val="nil"/>
              <w:bottom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407</w:t>
            </w:r>
          </w:p>
        </w:tc>
        <w:tc>
          <w:tcPr>
            <w:tcW w:w="645"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97 (23.8)</w:t>
            </w:r>
          </w:p>
        </w:tc>
        <w:tc>
          <w:tcPr>
            <w:tcW w:w="376"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1.00</w:t>
            </w:r>
          </w:p>
        </w:tc>
        <w:tc>
          <w:tcPr>
            <w:tcW w:w="6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2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161" w:type="pct"/>
            <w:tcBorders>
              <w:top w:val="nil"/>
              <w:left w:val="nil"/>
              <w:bottom w:val="nil"/>
              <w:right w:val="nil"/>
            </w:tcBorders>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1.00</w:t>
            </w:r>
          </w:p>
        </w:tc>
        <w:tc>
          <w:tcPr>
            <w:tcW w:w="66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w:t>
            </w:r>
          </w:p>
        </w:tc>
        <w:tc>
          <w:tcPr>
            <w:tcW w:w="283"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w:t>
            </w:r>
          </w:p>
        </w:tc>
      </w:tr>
      <w:tr w:rsidR="003A4267" w:rsidRPr="0097434A" w:rsidTr="003A4267">
        <w:trPr>
          <w:trHeight w:hRule="exact" w:val="340"/>
        </w:trPr>
        <w:tc>
          <w:tcPr>
            <w:tcW w:w="1132" w:type="pct"/>
            <w:tcBorders>
              <w:top w:val="nil"/>
              <w:left w:val="nil"/>
              <w:bottom w:val="nil"/>
              <w:right w:val="nil"/>
            </w:tcBorders>
            <w:shd w:val="clear" w:color="auto" w:fill="auto"/>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Not done</w:t>
            </w:r>
          </w:p>
        </w:tc>
        <w:tc>
          <w:tcPr>
            <w:tcW w:w="539" w:type="pct"/>
            <w:tcBorders>
              <w:top w:val="nil"/>
              <w:left w:val="nil"/>
              <w:bottom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48</w:t>
            </w:r>
          </w:p>
        </w:tc>
        <w:tc>
          <w:tcPr>
            <w:tcW w:w="645"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40 (83.3)</w:t>
            </w:r>
          </w:p>
        </w:tc>
        <w:tc>
          <w:tcPr>
            <w:tcW w:w="376"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16.00</w:t>
            </w:r>
          </w:p>
        </w:tc>
        <w:tc>
          <w:tcPr>
            <w:tcW w:w="6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7.23 – 35.30</w:t>
            </w:r>
          </w:p>
        </w:tc>
        <w:tc>
          <w:tcPr>
            <w:tcW w:w="2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0.000</w:t>
            </w:r>
          </w:p>
        </w:tc>
        <w:tc>
          <w:tcPr>
            <w:tcW w:w="161" w:type="pct"/>
            <w:tcBorders>
              <w:top w:val="nil"/>
              <w:left w:val="nil"/>
              <w:bottom w:val="nil"/>
              <w:right w:val="nil"/>
            </w:tcBorders>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15.6</w:t>
            </w:r>
          </w:p>
        </w:tc>
        <w:tc>
          <w:tcPr>
            <w:tcW w:w="66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5.40-44.84</w:t>
            </w:r>
          </w:p>
        </w:tc>
        <w:tc>
          <w:tcPr>
            <w:tcW w:w="283"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0.001</w:t>
            </w: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3A4267">
            <w:pPr>
              <w:spacing w:after="0" w:line="240" w:lineRule="auto"/>
              <w:ind w:right="-190"/>
              <w:rPr>
                <w:rFonts w:ascii="Arial" w:hAnsi="Arial" w:cs="Arial"/>
                <w:sz w:val="18"/>
                <w:szCs w:val="18"/>
              </w:rPr>
            </w:pPr>
            <w:r w:rsidRPr="0097434A">
              <w:rPr>
                <w:rFonts w:ascii="Arial" w:hAnsi="Arial" w:cs="Arial"/>
                <w:sz w:val="18"/>
                <w:szCs w:val="18"/>
              </w:rPr>
              <w:t>Antibiotherapy</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Pen-G received</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382</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84 (21)</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1.00</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1.00</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w:t>
            </w: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w:t>
            </w:r>
          </w:p>
        </w:tc>
      </w:tr>
      <w:tr w:rsidR="003A4267" w:rsidRPr="0097434A" w:rsidTr="00072A97">
        <w:trPr>
          <w:trHeight w:hRule="exact" w:val="340"/>
        </w:trPr>
        <w:tc>
          <w:tcPr>
            <w:tcW w:w="1132" w:type="pct"/>
            <w:tcBorders>
              <w:top w:val="nil"/>
              <w:left w:val="nil"/>
              <w:bottom w:val="nil"/>
              <w:right w:val="nil"/>
            </w:tcBorders>
            <w:shd w:val="clear" w:color="auto" w:fill="D9D9D9" w:themeFill="background1" w:themeFillShade="D9"/>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No Pen-G received</w:t>
            </w:r>
          </w:p>
        </w:tc>
        <w:tc>
          <w:tcPr>
            <w:tcW w:w="539"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73</w:t>
            </w:r>
          </w:p>
        </w:tc>
        <w:tc>
          <w:tcPr>
            <w:tcW w:w="64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53 (72.6)</w:t>
            </w:r>
          </w:p>
        </w:tc>
        <w:tc>
          <w:tcPr>
            <w:tcW w:w="376"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9.40</w:t>
            </w:r>
          </w:p>
        </w:tc>
        <w:tc>
          <w:tcPr>
            <w:tcW w:w="6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5.32 – 16.06</w:t>
            </w:r>
          </w:p>
        </w:tc>
        <w:tc>
          <w:tcPr>
            <w:tcW w:w="265"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0.000</w:t>
            </w:r>
          </w:p>
        </w:tc>
        <w:tc>
          <w:tcPr>
            <w:tcW w:w="161"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2.33</w:t>
            </w:r>
          </w:p>
        </w:tc>
        <w:tc>
          <w:tcPr>
            <w:tcW w:w="662"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1.11 – 4.87</w:t>
            </w:r>
          </w:p>
        </w:tc>
        <w:tc>
          <w:tcPr>
            <w:tcW w:w="283" w:type="pct"/>
            <w:tcBorders>
              <w:top w:val="nil"/>
              <w:left w:val="nil"/>
              <w:bottom w:val="nil"/>
              <w:right w:val="nil"/>
            </w:tcBorders>
            <w:shd w:val="clear" w:color="auto" w:fill="D9D9D9" w:themeFill="background1" w:themeFillShade="D9"/>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0.025</w:t>
            </w:r>
          </w:p>
        </w:tc>
      </w:tr>
      <w:tr w:rsidR="003A4267" w:rsidRPr="0097434A" w:rsidTr="003A4267">
        <w:trPr>
          <w:trHeight w:hRule="exact" w:val="340"/>
        </w:trPr>
        <w:tc>
          <w:tcPr>
            <w:tcW w:w="1132" w:type="pct"/>
            <w:tcBorders>
              <w:top w:val="nil"/>
              <w:left w:val="nil"/>
              <w:bottom w:val="nil"/>
              <w:right w:val="nil"/>
            </w:tcBorders>
            <w:shd w:val="clear" w:color="auto" w:fill="auto"/>
            <w:vAlign w:val="center"/>
          </w:tcPr>
          <w:p w:rsidR="0097434A" w:rsidRPr="0097434A" w:rsidRDefault="0097434A" w:rsidP="003A4267">
            <w:pPr>
              <w:spacing w:after="0" w:line="240" w:lineRule="auto"/>
              <w:ind w:right="-190"/>
              <w:rPr>
                <w:rFonts w:ascii="Arial" w:hAnsi="Arial" w:cs="Arial"/>
                <w:sz w:val="18"/>
                <w:szCs w:val="18"/>
              </w:rPr>
            </w:pPr>
            <w:r w:rsidRPr="0097434A">
              <w:rPr>
                <w:rFonts w:ascii="Arial" w:hAnsi="Arial" w:cs="Arial"/>
                <w:sz w:val="18"/>
                <w:szCs w:val="18"/>
              </w:rPr>
              <w:t>Complications</w:t>
            </w:r>
          </w:p>
        </w:tc>
        <w:tc>
          <w:tcPr>
            <w:tcW w:w="539" w:type="pct"/>
            <w:tcBorders>
              <w:top w:val="nil"/>
              <w:left w:val="nil"/>
              <w:bottom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p>
        </w:tc>
        <w:tc>
          <w:tcPr>
            <w:tcW w:w="645"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p>
        </w:tc>
        <w:tc>
          <w:tcPr>
            <w:tcW w:w="376"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p>
        </w:tc>
        <w:tc>
          <w:tcPr>
            <w:tcW w:w="6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161" w:type="pct"/>
            <w:tcBorders>
              <w:top w:val="nil"/>
              <w:left w:val="nil"/>
              <w:bottom w:val="nil"/>
              <w:right w:val="nil"/>
            </w:tcBorders>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66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c>
          <w:tcPr>
            <w:tcW w:w="283"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p>
        </w:tc>
      </w:tr>
      <w:tr w:rsidR="003A4267" w:rsidRPr="0097434A" w:rsidTr="003A4267">
        <w:trPr>
          <w:trHeight w:hRule="exact" w:val="340"/>
        </w:trPr>
        <w:tc>
          <w:tcPr>
            <w:tcW w:w="1132" w:type="pct"/>
            <w:tcBorders>
              <w:top w:val="nil"/>
              <w:left w:val="nil"/>
              <w:bottom w:val="nil"/>
              <w:right w:val="nil"/>
            </w:tcBorders>
            <w:shd w:val="clear" w:color="auto" w:fill="auto"/>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No</w:t>
            </w:r>
          </w:p>
        </w:tc>
        <w:tc>
          <w:tcPr>
            <w:tcW w:w="539" w:type="pct"/>
            <w:tcBorders>
              <w:top w:val="nil"/>
              <w:left w:val="nil"/>
              <w:bottom w:val="nil"/>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291</w:t>
            </w:r>
          </w:p>
        </w:tc>
        <w:tc>
          <w:tcPr>
            <w:tcW w:w="645"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38 (13.1)</w:t>
            </w:r>
          </w:p>
        </w:tc>
        <w:tc>
          <w:tcPr>
            <w:tcW w:w="376" w:type="pct"/>
            <w:tcBorders>
              <w:top w:val="nil"/>
              <w:left w:val="nil"/>
              <w:bottom w:val="nil"/>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1.00</w:t>
            </w:r>
          </w:p>
        </w:tc>
        <w:tc>
          <w:tcPr>
            <w:tcW w:w="6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265"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w:t>
            </w:r>
          </w:p>
        </w:tc>
        <w:tc>
          <w:tcPr>
            <w:tcW w:w="161" w:type="pct"/>
            <w:tcBorders>
              <w:top w:val="nil"/>
              <w:left w:val="nil"/>
              <w:bottom w:val="nil"/>
              <w:right w:val="nil"/>
            </w:tcBorders>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1.00</w:t>
            </w:r>
          </w:p>
        </w:tc>
        <w:tc>
          <w:tcPr>
            <w:tcW w:w="662"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w:t>
            </w:r>
          </w:p>
        </w:tc>
        <w:tc>
          <w:tcPr>
            <w:tcW w:w="283" w:type="pct"/>
            <w:tcBorders>
              <w:top w:val="nil"/>
              <w:left w:val="nil"/>
              <w:bottom w:val="nil"/>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w:t>
            </w:r>
          </w:p>
        </w:tc>
      </w:tr>
      <w:tr w:rsidR="003A4267" w:rsidRPr="0097434A" w:rsidTr="003A4267">
        <w:trPr>
          <w:trHeight w:hRule="exact" w:val="340"/>
        </w:trPr>
        <w:tc>
          <w:tcPr>
            <w:tcW w:w="1132" w:type="pct"/>
            <w:tcBorders>
              <w:top w:val="nil"/>
              <w:left w:val="nil"/>
              <w:bottom w:val="single" w:sz="4" w:space="0" w:color="auto"/>
              <w:right w:val="nil"/>
            </w:tcBorders>
            <w:shd w:val="clear" w:color="auto" w:fill="auto"/>
            <w:vAlign w:val="center"/>
          </w:tcPr>
          <w:p w:rsidR="0097434A" w:rsidRPr="0097434A" w:rsidRDefault="0097434A" w:rsidP="00072A97">
            <w:pPr>
              <w:spacing w:after="0" w:line="240" w:lineRule="auto"/>
              <w:ind w:right="-190" w:firstLine="284"/>
              <w:rPr>
                <w:rFonts w:ascii="Arial" w:hAnsi="Arial" w:cs="Arial"/>
                <w:sz w:val="18"/>
                <w:szCs w:val="18"/>
              </w:rPr>
            </w:pPr>
            <w:r w:rsidRPr="0097434A">
              <w:rPr>
                <w:rFonts w:ascii="Arial" w:hAnsi="Arial" w:cs="Arial"/>
                <w:sz w:val="18"/>
                <w:szCs w:val="18"/>
              </w:rPr>
              <w:t>Yes</w:t>
            </w:r>
          </w:p>
        </w:tc>
        <w:tc>
          <w:tcPr>
            <w:tcW w:w="539" w:type="pct"/>
            <w:tcBorders>
              <w:top w:val="nil"/>
              <w:left w:val="nil"/>
              <w:bottom w:val="single" w:sz="4" w:space="0" w:color="auto"/>
              <w:right w:val="nil"/>
            </w:tcBorders>
            <w:shd w:val="clear" w:color="auto" w:fill="auto"/>
            <w:vAlign w:val="center"/>
          </w:tcPr>
          <w:p w:rsidR="0097434A" w:rsidRPr="003A4267" w:rsidRDefault="0097434A" w:rsidP="003A4267">
            <w:pPr>
              <w:spacing w:after="0" w:line="240" w:lineRule="auto"/>
              <w:ind w:left="-26" w:right="-150"/>
              <w:jc w:val="center"/>
              <w:rPr>
                <w:rFonts w:ascii="Arial" w:hAnsi="Arial" w:cs="Arial"/>
                <w:sz w:val="18"/>
                <w:szCs w:val="18"/>
              </w:rPr>
            </w:pPr>
            <w:r w:rsidRPr="003A4267">
              <w:rPr>
                <w:rFonts w:ascii="Arial" w:hAnsi="Arial" w:cs="Arial"/>
                <w:sz w:val="18"/>
                <w:szCs w:val="18"/>
              </w:rPr>
              <w:t>164</w:t>
            </w:r>
          </w:p>
        </w:tc>
        <w:tc>
          <w:tcPr>
            <w:tcW w:w="645" w:type="pct"/>
            <w:tcBorders>
              <w:top w:val="nil"/>
              <w:left w:val="nil"/>
              <w:bottom w:val="single" w:sz="4" w:space="0" w:color="auto"/>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99 (60.4)</w:t>
            </w:r>
          </w:p>
        </w:tc>
        <w:tc>
          <w:tcPr>
            <w:tcW w:w="376" w:type="pct"/>
            <w:tcBorders>
              <w:top w:val="nil"/>
              <w:left w:val="nil"/>
              <w:bottom w:val="single" w:sz="4" w:space="0" w:color="auto"/>
              <w:right w:val="nil"/>
            </w:tcBorders>
            <w:shd w:val="clear" w:color="auto" w:fill="auto"/>
            <w:vAlign w:val="center"/>
          </w:tcPr>
          <w:p w:rsidR="0097434A" w:rsidRPr="003A4267" w:rsidRDefault="0097434A" w:rsidP="003A4267">
            <w:pPr>
              <w:spacing w:after="0" w:line="240" w:lineRule="auto"/>
              <w:ind w:right="-150"/>
              <w:jc w:val="center"/>
              <w:rPr>
                <w:rFonts w:ascii="Arial" w:hAnsi="Arial" w:cs="Arial"/>
                <w:sz w:val="18"/>
                <w:szCs w:val="18"/>
              </w:rPr>
            </w:pPr>
            <w:r w:rsidRPr="003A4267">
              <w:rPr>
                <w:rFonts w:ascii="Arial" w:hAnsi="Arial" w:cs="Arial"/>
                <w:sz w:val="18"/>
                <w:szCs w:val="18"/>
              </w:rPr>
              <w:t>10.14</w:t>
            </w:r>
          </w:p>
        </w:tc>
        <w:tc>
          <w:tcPr>
            <w:tcW w:w="665" w:type="pct"/>
            <w:tcBorders>
              <w:top w:val="nil"/>
              <w:left w:val="nil"/>
              <w:bottom w:val="single" w:sz="4" w:space="0" w:color="auto"/>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6.38-16.11</w:t>
            </w:r>
          </w:p>
        </w:tc>
        <w:tc>
          <w:tcPr>
            <w:tcW w:w="265" w:type="pct"/>
            <w:tcBorders>
              <w:top w:val="nil"/>
              <w:left w:val="nil"/>
              <w:bottom w:val="single" w:sz="4" w:space="0" w:color="auto"/>
              <w:right w:val="nil"/>
            </w:tcBorders>
            <w:shd w:val="clear" w:color="auto" w:fill="auto"/>
            <w:vAlign w:val="center"/>
          </w:tcPr>
          <w:p w:rsidR="0097434A" w:rsidRPr="003A4267" w:rsidRDefault="0097434A" w:rsidP="003A4267">
            <w:pPr>
              <w:spacing w:after="0" w:line="240" w:lineRule="auto"/>
              <w:ind w:left="-152" w:right="-150" w:firstLine="83"/>
              <w:jc w:val="center"/>
              <w:rPr>
                <w:rFonts w:ascii="Arial" w:hAnsi="Arial" w:cs="Arial"/>
                <w:sz w:val="18"/>
                <w:szCs w:val="18"/>
              </w:rPr>
            </w:pPr>
            <w:r w:rsidRPr="003A4267">
              <w:rPr>
                <w:rFonts w:ascii="Arial" w:hAnsi="Arial" w:cs="Arial"/>
                <w:sz w:val="18"/>
                <w:szCs w:val="18"/>
              </w:rPr>
              <w:t>0.001</w:t>
            </w:r>
          </w:p>
        </w:tc>
        <w:tc>
          <w:tcPr>
            <w:tcW w:w="161" w:type="pct"/>
            <w:tcBorders>
              <w:top w:val="nil"/>
              <w:left w:val="nil"/>
              <w:bottom w:val="single" w:sz="4" w:space="0" w:color="auto"/>
              <w:right w:val="nil"/>
            </w:tcBorders>
            <w:vAlign w:val="center"/>
          </w:tcPr>
          <w:p w:rsidR="0097434A" w:rsidRPr="003A4267" w:rsidRDefault="0097434A" w:rsidP="003A4267">
            <w:pPr>
              <w:spacing w:after="0" w:line="240" w:lineRule="auto"/>
              <w:ind w:left="-152" w:right="-150" w:firstLine="83"/>
              <w:jc w:val="center"/>
              <w:rPr>
                <w:rFonts w:ascii="Arial" w:hAnsi="Arial" w:cs="Arial"/>
                <w:sz w:val="18"/>
                <w:szCs w:val="18"/>
              </w:rPr>
            </w:pPr>
          </w:p>
        </w:tc>
        <w:tc>
          <w:tcPr>
            <w:tcW w:w="272" w:type="pct"/>
            <w:tcBorders>
              <w:top w:val="nil"/>
              <w:left w:val="nil"/>
              <w:bottom w:val="single" w:sz="4" w:space="0" w:color="auto"/>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8.53</w:t>
            </w:r>
          </w:p>
        </w:tc>
        <w:tc>
          <w:tcPr>
            <w:tcW w:w="662" w:type="pct"/>
            <w:tcBorders>
              <w:top w:val="nil"/>
              <w:left w:val="nil"/>
              <w:bottom w:val="single" w:sz="4" w:space="0" w:color="auto"/>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4.83-15.09</w:t>
            </w:r>
          </w:p>
        </w:tc>
        <w:tc>
          <w:tcPr>
            <w:tcW w:w="283" w:type="pct"/>
            <w:tcBorders>
              <w:top w:val="nil"/>
              <w:left w:val="nil"/>
              <w:bottom w:val="single" w:sz="4" w:space="0" w:color="auto"/>
              <w:right w:val="nil"/>
            </w:tcBorders>
            <w:shd w:val="clear" w:color="auto" w:fill="auto"/>
            <w:vAlign w:val="center"/>
          </w:tcPr>
          <w:p w:rsidR="0097434A" w:rsidRPr="003A4267" w:rsidRDefault="0097434A" w:rsidP="003A4267">
            <w:pPr>
              <w:spacing w:after="0" w:line="240" w:lineRule="auto"/>
              <w:ind w:left="-152" w:right="-150" w:firstLine="152"/>
              <w:jc w:val="center"/>
              <w:rPr>
                <w:rFonts w:ascii="Arial" w:hAnsi="Arial" w:cs="Arial"/>
                <w:sz w:val="18"/>
                <w:szCs w:val="18"/>
              </w:rPr>
            </w:pPr>
            <w:r w:rsidRPr="003A4267">
              <w:rPr>
                <w:rFonts w:ascii="Arial" w:hAnsi="Arial" w:cs="Arial"/>
                <w:sz w:val="18"/>
                <w:szCs w:val="18"/>
              </w:rPr>
              <w:t>0.001</w:t>
            </w:r>
          </w:p>
        </w:tc>
      </w:tr>
    </w:tbl>
    <w:p w:rsidR="00942FED" w:rsidRDefault="00942FED" w:rsidP="001B30C0">
      <w:pPr>
        <w:spacing w:after="0" w:line="240" w:lineRule="auto"/>
        <w:rPr>
          <w:rFonts w:ascii="Arial" w:hAnsi="Arial" w:cs="Arial"/>
          <w:sz w:val="18"/>
          <w:szCs w:val="18"/>
        </w:rPr>
        <w:sectPr w:rsidR="00942FED" w:rsidSect="00671E46">
          <w:headerReference w:type="first" r:id="rId16"/>
          <w:type w:val="continuous"/>
          <w:pgSz w:w="11907" w:h="16840" w:code="9"/>
          <w:pgMar w:top="1814" w:right="1247" w:bottom="1758" w:left="1304" w:header="1304" w:footer="1361" w:gutter="0"/>
          <w:pgNumType w:start="129" w:chapStyle="1"/>
          <w:cols w:space="708"/>
          <w:noEndnote/>
          <w:docGrid w:linePitch="326"/>
        </w:sectPr>
      </w:pPr>
    </w:p>
    <w:p w:rsidR="00F83659" w:rsidRPr="00942FED" w:rsidRDefault="00942FED" w:rsidP="00942FED">
      <w:pPr>
        <w:spacing w:before="120" w:after="120"/>
        <w:jc w:val="both"/>
        <w:rPr>
          <w:rFonts w:ascii="Arial" w:hAnsi="Arial" w:cs="Arial"/>
          <w:bCs/>
          <w:sz w:val="20"/>
          <w:szCs w:val="20"/>
          <w:lang w:val="en-US"/>
        </w:rPr>
      </w:pPr>
      <w:r>
        <w:rPr>
          <w:rFonts w:ascii="Arial" w:hAnsi="Arial" w:cs="Arial"/>
          <w:sz w:val="18"/>
          <w:szCs w:val="18"/>
        </w:rPr>
        <w:lastRenderedPageBreak/>
        <w:br w:type="column"/>
      </w:r>
      <w:r>
        <w:rPr>
          <w:rFonts w:ascii="Arial" w:hAnsi="Arial" w:cs="Arial"/>
          <w:sz w:val="18"/>
          <w:szCs w:val="18"/>
        </w:rPr>
        <w:lastRenderedPageBreak/>
        <w:br w:type="column"/>
      </w:r>
      <w:r w:rsidR="00F83659" w:rsidRPr="00942FED">
        <w:rPr>
          <w:rFonts w:ascii="Arial" w:hAnsi="Arial" w:cs="Arial"/>
          <w:bCs/>
          <w:sz w:val="20"/>
          <w:szCs w:val="20"/>
          <w:lang w:val="en-US"/>
        </w:rPr>
        <w:lastRenderedPageBreak/>
        <w:t xml:space="preserve">Also, the administration of intrathecal </w:t>
      </w:r>
      <w:proofErr w:type="spellStart"/>
      <w:r w:rsidR="00F83659" w:rsidRPr="00942FED">
        <w:rPr>
          <w:rFonts w:ascii="Arial" w:hAnsi="Arial" w:cs="Arial"/>
          <w:bCs/>
          <w:sz w:val="20"/>
          <w:szCs w:val="20"/>
          <w:lang w:val="en-US"/>
        </w:rPr>
        <w:t>serotherapy</w:t>
      </w:r>
      <w:proofErr w:type="spellEnd"/>
      <w:r w:rsidR="00F83659" w:rsidRPr="00942FED">
        <w:rPr>
          <w:rFonts w:ascii="Arial" w:hAnsi="Arial" w:cs="Arial"/>
          <w:bCs/>
          <w:sz w:val="20"/>
          <w:szCs w:val="20"/>
          <w:lang w:val="en-US"/>
        </w:rPr>
        <w:t xml:space="preserve"> made it possible to considerably reduce (94%) mortality in our study. This practice, which aims to neutralize the circulating toxin in the nervous system that has not penetrated the neurons yet, demonstrated a reduction in mortality from 30% to 93% depending on the doses administrated in the previous studies [22-25]. Thus, intrathecal </w:t>
      </w:r>
      <w:proofErr w:type="spellStart"/>
      <w:r w:rsidR="00F83659" w:rsidRPr="00942FED">
        <w:rPr>
          <w:rFonts w:ascii="Arial" w:hAnsi="Arial" w:cs="Arial"/>
          <w:bCs/>
          <w:sz w:val="20"/>
          <w:szCs w:val="20"/>
          <w:lang w:val="en-US"/>
        </w:rPr>
        <w:t>serotherapy</w:t>
      </w:r>
      <w:proofErr w:type="spellEnd"/>
      <w:r w:rsidR="00F83659" w:rsidRPr="00942FED">
        <w:rPr>
          <w:rFonts w:ascii="Arial" w:hAnsi="Arial" w:cs="Arial"/>
          <w:bCs/>
          <w:sz w:val="20"/>
          <w:szCs w:val="20"/>
          <w:lang w:val="en-US"/>
        </w:rPr>
        <w:t xml:space="preserve"> could be recommended in countries with no specific human tetanus </w:t>
      </w:r>
      <w:proofErr w:type="spellStart"/>
      <w:r w:rsidR="00F83659" w:rsidRPr="00942FED">
        <w:rPr>
          <w:rFonts w:ascii="Arial" w:hAnsi="Arial" w:cs="Arial"/>
          <w:bCs/>
          <w:sz w:val="20"/>
          <w:szCs w:val="20"/>
          <w:lang w:val="en-US"/>
        </w:rPr>
        <w:t>immunoglobin</w:t>
      </w:r>
      <w:proofErr w:type="spellEnd"/>
      <w:r w:rsidR="00F83659" w:rsidRPr="00942FED">
        <w:rPr>
          <w:rFonts w:ascii="Arial" w:hAnsi="Arial" w:cs="Arial"/>
          <w:bCs/>
          <w:sz w:val="20"/>
          <w:szCs w:val="20"/>
          <w:lang w:val="en-US"/>
        </w:rPr>
        <w:t xml:space="preserve">. Conversely, HIV positive status, male sex and liberal professions or crafts did not appear as pejorative features (p-value not significant). This study highlighted the need to conduct a </w:t>
      </w:r>
      <w:proofErr w:type="spellStart"/>
      <w:r w:rsidR="00F83659" w:rsidRPr="00942FED">
        <w:rPr>
          <w:rFonts w:ascii="Arial" w:hAnsi="Arial" w:cs="Arial"/>
          <w:bCs/>
          <w:sz w:val="20"/>
          <w:szCs w:val="20"/>
          <w:lang w:val="en-US"/>
        </w:rPr>
        <w:t>multicentre</w:t>
      </w:r>
      <w:proofErr w:type="spellEnd"/>
      <w:r w:rsidR="00F83659" w:rsidRPr="00942FED">
        <w:rPr>
          <w:rFonts w:ascii="Arial" w:hAnsi="Arial" w:cs="Arial"/>
          <w:bCs/>
          <w:sz w:val="20"/>
          <w:szCs w:val="20"/>
          <w:lang w:val="en-US"/>
        </w:rPr>
        <w:t xml:space="preserve"> study in the affected countries, in order to integrate new parameters in determining the real tetanus’ prognosis score.</w:t>
      </w:r>
    </w:p>
    <w:p w:rsidR="00F83659" w:rsidRPr="00942FED" w:rsidRDefault="00F83659" w:rsidP="00942FED">
      <w:pPr>
        <w:spacing w:before="120" w:after="120"/>
        <w:jc w:val="both"/>
        <w:rPr>
          <w:rFonts w:ascii="Arial" w:hAnsi="Arial" w:cs="Arial"/>
          <w:bCs/>
          <w:sz w:val="20"/>
          <w:szCs w:val="20"/>
          <w:lang w:val="en-US"/>
        </w:rPr>
      </w:pPr>
      <w:r w:rsidRPr="00942FED">
        <w:rPr>
          <w:rFonts w:ascii="Arial" w:hAnsi="Arial" w:cs="Arial"/>
          <w:bCs/>
          <w:sz w:val="20"/>
          <w:szCs w:val="20"/>
          <w:lang w:val="en-US"/>
        </w:rPr>
        <w:t>In our study, the majority of patients were not vaccinated”. These results are similar to those reported in most of the Sub-Saharan Africa studies [4</w:t>
      </w:r>
      <w:proofErr w:type="gramStart"/>
      <w:r w:rsidRPr="00942FED">
        <w:rPr>
          <w:rFonts w:ascii="Arial" w:hAnsi="Arial" w:cs="Arial"/>
          <w:bCs/>
          <w:sz w:val="20"/>
          <w:szCs w:val="20"/>
          <w:lang w:val="en-US"/>
        </w:rPr>
        <w:t>,5,8</w:t>
      </w:r>
      <w:proofErr w:type="gramEnd"/>
      <w:r w:rsidRPr="00942FED">
        <w:rPr>
          <w:rFonts w:ascii="Arial" w:hAnsi="Arial" w:cs="Arial"/>
          <w:bCs/>
          <w:sz w:val="20"/>
          <w:szCs w:val="20"/>
          <w:lang w:val="en-US"/>
        </w:rPr>
        <w:t xml:space="preserve">-13,19]. These results emphasize the importance of catch-up immunization or vaccination in adolescents or adults not vaccinated during childhood. </w:t>
      </w:r>
    </w:p>
    <w:p w:rsidR="0042228A" w:rsidRPr="00942FED" w:rsidRDefault="00F83659" w:rsidP="00942FED">
      <w:pPr>
        <w:spacing w:before="120" w:after="120"/>
        <w:jc w:val="both"/>
        <w:rPr>
          <w:rFonts w:ascii="Arial" w:hAnsi="Arial" w:cs="Arial"/>
          <w:bCs/>
          <w:sz w:val="20"/>
          <w:szCs w:val="20"/>
          <w:lang w:val="en-US"/>
        </w:rPr>
      </w:pPr>
      <w:r w:rsidRPr="00942FED">
        <w:rPr>
          <w:rFonts w:ascii="Arial" w:hAnsi="Arial" w:cs="Arial"/>
          <w:bCs/>
          <w:sz w:val="20"/>
          <w:szCs w:val="20"/>
          <w:lang w:val="en-US"/>
        </w:rPr>
        <w:t>Finally, as any study with a retrospective component, ours has some limitations. Furthermore, some data were collected only based on the verbal reports of patients and/or their accompanying persons; this was particularly the case for the immunization status, because most of our hospitalized patients did not have vaccination records. In spite of these limitations noticed, the sample size and the long duration of our study allowed us to collect relevant data on the current aspects of tetanus and its treatment in Abidjan.</w:t>
      </w:r>
    </w:p>
    <w:p w:rsidR="00F83659" w:rsidRPr="00942FED" w:rsidRDefault="00F83659" w:rsidP="00942FED">
      <w:pPr>
        <w:spacing w:before="120" w:after="120"/>
        <w:jc w:val="both"/>
        <w:rPr>
          <w:rFonts w:ascii="Arial" w:hAnsi="Arial" w:cs="Arial"/>
          <w:sz w:val="20"/>
          <w:szCs w:val="20"/>
        </w:rPr>
      </w:pPr>
      <w:r w:rsidRPr="00942FED">
        <w:rPr>
          <w:rFonts w:ascii="Arial" w:hAnsi="Arial" w:cs="Arial"/>
          <w:sz w:val="20"/>
          <w:szCs w:val="20"/>
        </w:rPr>
        <w:t>Tetanus remains an endemic disease with high in-hospital mortality in Côte d’Ivoire. Tetanus vaccine, although effective, is available free of charge only for women of childbearing age and children under 11 months of age, as part of the Ivorian EPI. This has tremendously reduced morbidity in this portion of the population. However, the latter as well as older populations remain the most vulnerable ones with an alarming death rate.</w:t>
      </w:r>
    </w:p>
    <w:p w:rsidR="00F83659" w:rsidRPr="00942FED" w:rsidRDefault="00F83659" w:rsidP="00942FED">
      <w:pPr>
        <w:spacing w:before="120" w:after="120"/>
        <w:jc w:val="both"/>
        <w:rPr>
          <w:rFonts w:ascii="Arial" w:hAnsi="Arial" w:cs="Arial"/>
          <w:sz w:val="20"/>
          <w:szCs w:val="20"/>
        </w:rPr>
      </w:pPr>
      <w:r w:rsidRPr="00942FED">
        <w:rPr>
          <w:rFonts w:ascii="Arial" w:hAnsi="Arial" w:cs="Arial"/>
          <w:sz w:val="20"/>
          <w:szCs w:val="20"/>
        </w:rPr>
        <w:t xml:space="preserve">It therefore seems appropriate to revisit the prognosis parameters in “the Dakar score” so as </w:t>
      </w:r>
      <w:r w:rsidRPr="00942FED">
        <w:rPr>
          <w:rFonts w:ascii="Arial" w:hAnsi="Arial" w:cs="Arial"/>
          <w:sz w:val="20"/>
          <w:szCs w:val="20"/>
        </w:rPr>
        <w:lastRenderedPageBreak/>
        <w:t>to adapt them to the current epidemiological and clinical contexts in resources limited settings.</w:t>
      </w:r>
    </w:p>
    <w:p w:rsidR="00F83659" w:rsidRPr="00942FED" w:rsidRDefault="00F83659" w:rsidP="00942FED">
      <w:pPr>
        <w:spacing w:before="120" w:after="120"/>
        <w:jc w:val="both"/>
        <w:rPr>
          <w:rFonts w:ascii="Arial" w:hAnsi="Arial" w:cs="Arial"/>
          <w:b/>
          <w:sz w:val="20"/>
          <w:szCs w:val="20"/>
        </w:rPr>
      </w:pPr>
    </w:p>
    <w:p w:rsidR="00F83659" w:rsidRPr="00E0014F" w:rsidRDefault="00F83659" w:rsidP="00F83659">
      <w:pPr>
        <w:spacing w:before="120" w:after="120"/>
        <w:jc w:val="both"/>
        <w:rPr>
          <w:rFonts w:ascii="Arial" w:hAnsi="Arial" w:cs="Arial"/>
          <w:b/>
          <w:caps/>
          <w:sz w:val="20"/>
          <w:szCs w:val="20"/>
        </w:rPr>
      </w:pPr>
      <w:r w:rsidRPr="00E0014F">
        <w:rPr>
          <w:rFonts w:ascii="Arial" w:hAnsi="Arial" w:cs="Arial"/>
          <w:b/>
          <w:caps/>
          <w:sz w:val="20"/>
          <w:szCs w:val="20"/>
        </w:rPr>
        <w:t>Acknowledgments</w:t>
      </w:r>
    </w:p>
    <w:p w:rsidR="00F83659" w:rsidRPr="00F83659" w:rsidRDefault="00F83659" w:rsidP="00F83659">
      <w:pPr>
        <w:spacing w:before="120" w:after="120"/>
        <w:jc w:val="both"/>
        <w:rPr>
          <w:rFonts w:ascii="Arial" w:hAnsi="Arial" w:cs="Arial"/>
          <w:sz w:val="20"/>
          <w:szCs w:val="20"/>
        </w:rPr>
      </w:pPr>
      <w:r w:rsidRPr="00F83659">
        <w:rPr>
          <w:rFonts w:ascii="Arial" w:hAnsi="Arial" w:cs="Arial"/>
          <w:sz w:val="20"/>
          <w:szCs w:val="20"/>
        </w:rPr>
        <w:t>The authors thanking to Elisabeth Heseltine who made the final correction of this manuscript.</w:t>
      </w:r>
    </w:p>
    <w:p w:rsidR="00F83659" w:rsidRPr="00F83659" w:rsidRDefault="00F83659" w:rsidP="00F83659">
      <w:pPr>
        <w:spacing w:before="120" w:after="120"/>
        <w:jc w:val="both"/>
        <w:rPr>
          <w:rFonts w:ascii="Arial" w:hAnsi="Arial" w:cs="Arial"/>
          <w:sz w:val="20"/>
          <w:szCs w:val="20"/>
        </w:rPr>
      </w:pPr>
      <w:r w:rsidRPr="00F83659">
        <w:rPr>
          <w:rFonts w:ascii="Arial" w:hAnsi="Arial" w:cs="Arial"/>
          <w:b/>
          <w:sz w:val="20"/>
          <w:szCs w:val="20"/>
        </w:rPr>
        <w:t xml:space="preserve">Competing interests: </w:t>
      </w:r>
      <w:r w:rsidRPr="00F83659">
        <w:rPr>
          <w:rFonts w:ascii="Arial" w:hAnsi="Arial" w:cs="Arial"/>
          <w:sz w:val="20"/>
          <w:szCs w:val="20"/>
        </w:rPr>
        <w:t xml:space="preserve">The authors declare no competing interest. </w:t>
      </w:r>
    </w:p>
    <w:p w:rsidR="00F83659" w:rsidRPr="00F83659" w:rsidRDefault="00F83659" w:rsidP="00942FED">
      <w:pPr>
        <w:spacing w:before="120" w:after="120"/>
        <w:jc w:val="both"/>
        <w:rPr>
          <w:rFonts w:ascii="Arial" w:hAnsi="Arial" w:cs="Arial"/>
          <w:sz w:val="20"/>
          <w:szCs w:val="20"/>
        </w:rPr>
      </w:pPr>
      <w:r w:rsidRPr="00F83659">
        <w:rPr>
          <w:rFonts w:ascii="Arial" w:hAnsi="Arial" w:cs="Arial"/>
          <w:b/>
          <w:sz w:val="20"/>
          <w:szCs w:val="20"/>
        </w:rPr>
        <w:t xml:space="preserve">Ethics’ aspects: </w:t>
      </w:r>
      <w:r w:rsidRPr="00F83659">
        <w:rPr>
          <w:rFonts w:ascii="Arial" w:hAnsi="Arial" w:cs="Arial"/>
          <w:sz w:val="20"/>
          <w:szCs w:val="20"/>
        </w:rPr>
        <w:t xml:space="preserve">Our clinical work has been done in context of thesis in Infectiology field. It has been approved by the department’s head who is listed in the manuscript as the latest author (Professor Aka Rigobert Kakou). We had an oral consent of patients to be enrolled in the study but no submission was made to the country ethics committee. Patients’ privacy was respected. </w:t>
      </w:r>
    </w:p>
    <w:p w:rsidR="0042228A" w:rsidRPr="0042228A" w:rsidRDefault="0042228A" w:rsidP="0042228A">
      <w:pPr>
        <w:spacing w:before="120" w:after="120"/>
        <w:jc w:val="both"/>
        <w:rPr>
          <w:rFonts w:ascii="Arial" w:hAnsi="Arial" w:cs="Arial"/>
          <w:sz w:val="20"/>
          <w:szCs w:val="20"/>
        </w:rPr>
      </w:pPr>
      <w:r w:rsidRPr="00E0014F">
        <w:rPr>
          <w:rFonts w:ascii="Arial" w:hAnsi="Arial" w:cs="Arial"/>
          <w:b/>
          <w:sz w:val="20"/>
          <w:szCs w:val="20"/>
        </w:rPr>
        <w:t>Funding disclosure:</w:t>
      </w:r>
      <w:r w:rsidR="00E0014F" w:rsidRPr="00E0014F">
        <w:rPr>
          <w:rFonts w:ascii="Arial" w:hAnsi="Arial" w:cs="Arial"/>
          <w:b/>
          <w:sz w:val="20"/>
          <w:szCs w:val="20"/>
        </w:rPr>
        <w:t xml:space="preserve"> </w:t>
      </w:r>
      <w:r w:rsidRPr="00E0014F">
        <w:rPr>
          <w:rFonts w:ascii="Arial" w:hAnsi="Arial" w:cs="Arial"/>
          <w:sz w:val="20"/>
          <w:szCs w:val="20"/>
        </w:rPr>
        <w:t>Non to declare</w:t>
      </w:r>
      <w:r w:rsidR="00F83659">
        <w:rPr>
          <w:rFonts w:ascii="Arial" w:hAnsi="Arial" w:cs="Arial"/>
          <w:sz w:val="20"/>
          <w:szCs w:val="20"/>
        </w:rPr>
        <w:t>.</w:t>
      </w:r>
    </w:p>
    <w:p w:rsidR="00AC096A" w:rsidRPr="00161FDB" w:rsidRDefault="00AC096A" w:rsidP="009E3E1C">
      <w:pPr>
        <w:spacing w:before="120" w:after="120"/>
        <w:jc w:val="both"/>
        <w:rPr>
          <w:rFonts w:ascii="Arial" w:hAnsi="Arial" w:cs="Arial"/>
          <w:b/>
          <w:sz w:val="20"/>
          <w:szCs w:val="20"/>
        </w:rPr>
      </w:pPr>
      <w:r w:rsidRPr="00161FDB">
        <w:rPr>
          <w:rFonts w:ascii="Arial" w:hAnsi="Arial" w:cs="Arial"/>
          <w:b/>
          <w:sz w:val="20"/>
          <w:szCs w:val="20"/>
        </w:rPr>
        <w:t>REFERENCES</w:t>
      </w:r>
    </w:p>
    <w:p w:rsidR="00F83659" w:rsidRPr="00F83659" w:rsidRDefault="00F83659" w:rsidP="00F83659">
      <w:pPr>
        <w:pStyle w:val="18-Kaynaklar"/>
        <w:spacing w:before="120" w:after="120" w:line="240" w:lineRule="auto"/>
        <w:rPr>
          <w:sz w:val="18"/>
          <w:lang w:val="tr-TR"/>
        </w:rPr>
      </w:pPr>
      <w:r w:rsidRPr="00F83659">
        <w:rPr>
          <w:sz w:val="18"/>
          <w:lang w:val="tr-TR"/>
        </w:rPr>
        <w:t>1. Vachon F. IVème international congress on tetanus (Dakar 6-11; 1975), Report. Méd Mal Infect 1975; 5,6: 310-11. 1975.</w:t>
      </w:r>
    </w:p>
    <w:p w:rsidR="00F83659" w:rsidRPr="00F83659" w:rsidRDefault="00F83659" w:rsidP="00F83659">
      <w:pPr>
        <w:pStyle w:val="18-Kaynaklar"/>
        <w:spacing w:before="120" w:after="120" w:line="240" w:lineRule="auto"/>
        <w:rPr>
          <w:sz w:val="18"/>
          <w:lang w:val="tr-TR"/>
        </w:rPr>
      </w:pPr>
      <w:r w:rsidRPr="00F83659">
        <w:rPr>
          <w:sz w:val="18"/>
          <w:lang w:val="tr-TR"/>
        </w:rPr>
        <w:t xml:space="preserve">2. UNICEF, WHO. Sustainably eliminating maternal and neonatal tetanus: strategic plan 2012-2015. Available from: www.who.int/immunization/diseases/MNTEStrategicPlan_F.pdf. </w:t>
      </w:r>
    </w:p>
    <w:p w:rsidR="00F83659" w:rsidRPr="00F83659" w:rsidRDefault="00F83659" w:rsidP="00F83659">
      <w:pPr>
        <w:pStyle w:val="18-Kaynaklar"/>
        <w:spacing w:before="120" w:after="120" w:line="240" w:lineRule="auto"/>
        <w:rPr>
          <w:sz w:val="18"/>
          <w:lang w:val="tr-TR"/>
        </w:rPr>
      </w:pPr>
      <w:r w:rsidRPr="00F83659">
        <w:rPr>
          <w:sz w:val="18"/>
          <w:lang w:val="tr-TR"/>
        </w:rPr>
        <w:t>3. Dalal S, Samuelson J, Reed J, Yakubu A, Ncube B, Baggaley R. Tetanus disease and deaths in men reveal need for vaccination. Bull World Health Organ 2016; 94 (8):613-21.</w:t>
      </w:r>
    </w:p>
    <w:p w:rsidR="00F83659" w:rsidRPr="00F83659" w:rsidRDefault="00F83659" w:rsidP="00F83659">
      <w:pPr>
        <w:pStyle w:val="18-Kaynaklar"/>
        <w:spacing w:before="120" w:after="120" w:line="240" w:lineRule="auto"/>
        <w:rPr>
          <w:sz w:val="18"/>
          <w:lang w:val="tr-TR"/>
        </w:rPr>
      </w:pPr>
      <w:r w:rsidRPr="00F83659">
        <w:rPr>
          <w:sz w:val="18"/>
          <w:lang w:val="tr-TR"/>
        </w:rPr>
        <w:t>4. Tanon AK, Eholie SP, Coulibaly-Dacoury C, et al. [Morbidity and mortality of tetanus in the infectious and tropical diseases department in Abidjan 1985 - 1998]. Bull Soc Pathol Exot 2004; 97(4):283-287.</w:t>
      </w:r>
    </w:p>
    <w:p w:rsidR="00F83659" w:rsidRPr="00F83659" w:rsidRDefault="00F83659" w:rsidP="00F83659">
      <w:pPr>
        <w:pStyle w:val="18-Kaynaklar"/>
        <w:spacing w:before="120" w:after="120" w:line="240" w:lineRule="auto"/>
        <w:rPr>
          <w:sz w:val="18"/>
          <w:lang w:val="tr-TR"/>
        </w:rPr>
      </w:pPr>
      <w:r w:rsidRPr="00F83659">
        <w:rPr>
          <w:sz w:val="18"/>
          <w:lang w:val="tr-TR"/>
        </w:rPr>
        <w:t>5. Aba T, Kra O, Ehui E, et al. [Clinical and developmental aspects of care-related tetanus in the reference service of the teaching hospital of Abidjan]. Bull Soc Pathol Exot 2011; 104(1):38-41.</w:t>
      </w:r>
    </w:p>
    <w:p w:rsidR="00F83659" w:rsidRPr="00F83659" w:rsidRDefault="00F83659" w:rsidP="00F83659">
      <w:pPr>
        <w:pStyle w:val="18-Kaynaklar"/>
        <w:spacing w:before="120" w:after="120" w:line="240" w:lineRule="auto"/>
        <w:rPr>
          <w:sz w:val="18"/>
          <w:lang w:val="tr-TR"/>
        </w:rPr>
      </w:pPr>
      <w:r w:rsidRPr="00F83659">
        <w:rPr>
          <w:sz w:val="18"/>
          <w:lang w:val="tr-TR"/>
        </w:rPr>
        <w:t>6.Dao S, Oumar AA, Maiga I, Diarra M, Bougoudogo F. [Tetanus in a hospital setting in Bamako, Mali]. Med Trop 2009; 69(5):485-487.</w:t>
      </w:r>
    </w:p>
    <w:p w:rsidR="00F83659" w:rsidRPr="00F83659" w:rsidRDefault="00F83659" w:rsidP="00F83659">
      <w:pPr>
        <w:pStyle w:val="18-Kaynaklar"/>
        <w:spacing w:before="120" w:after="120" w:line="240" w:lineRule="auto"/>
        <w:rPr>
          <w:sz w:val="18"/>
          <w:lang w:val="tr-TR"/>
        </w:rPr>
      </w:pPr>
      <w:r w:rsidRPr="00F83659">
        <w:rPr>
          <w:sz w:val="18"/>
          <w:lang w:val="tr-TR"/>
        </w:rPr>
        <w:t>7. Kakou AR, Eholie S, Ehui E, et al. [Localized tetanus in Abidjan: clinical and prognostic features (1976-1997)]. Bull Soc Pathol Exot 2001; 94(4):308-311.</w:t>
      </w:r>
    </w:p>
    <w:p w:rsidR="00F83659" w:rsidRPr="00F83659" w:rsidRDefault="00F83659" w:rsidP="00F83659">
      <w:pPr>
        <w:pStyle w:val="18-Kaynaklar"/>
        <w:spacing w:before="120" w:after="120" w:line="240" w:lineRule="auto"/>
        <w:rPr>
          <w:sz w:val="18"/>
          <w:lang w:val="tr-TR"/>
        </w:rPr>
      </w:pPr>
      <w:r w:rsidRPr="00F83659">
        <w:rPr>
          <w:sz w:val="18"/>
          <w:lang w:val="tr-TR"/>
        </w:rPr>
        <w:t>8. Minta DK, Traore AM, Soucko AK, et al. [Mortality and morbidity of tetanus in the infectious diseases department, Point G teaching hospital, in Bamako, Mali (2004-2009)]. Bull Soc Pathol Exot 2012; 105(1):58-63.</w:t>
      </w:r>
    </w:p>
    <w:p w:rsidR="00F83659" w:rsidRPr="00F83659" w:rsidRDefault="00F83659" w:rsidP="00F83659">
      <w:pPr>
        <w:pStyle w:val="18-Kaynaklar"/>
        <w:spacing w:before="120" w:after="120" w:line="240" w:lineRule="auto"/>
        <w:rPr>
          <w:sz w:val="18"/>
          <w:lang w:val="tr-TR"/>
        </w:rPr>
      </w:pPr>
      <w:r w:rsidRPr="00F83659">
        <w:rPr>
          <w:sz w:val="18"/>
          <w:lang w:val="tr-TR"/>
        </w:rPr>
        <w:lastRenderedPageBreak/>
        <w:t>9. Soumare M, Seydi M, Ndour CT, Ndour JD, Diop BM. [Epidemiology, clinical features and prognosis of juvenile tetanus in Dakar, Senegal]. Bull Soc Pathol Exot 2005; 98(5):371-373.</w:t>
      </w:r>
    </w:p>
    <w:p w:rsidR="00F83659" w:rsidRPr="00F83659" w:rsidRDefault="00F83659" w:rsidP="00F83659">
      <w:pPr>
        <w:pStyle w:val="18-Kaynaklar"/>
        <w:spacing w:before="120" w:after="120" w:line="240" w:lineRule="auto"/>
        <w:rPr>
          <w:sz w:val="18"/>
          <w:lang w:val="tr-TR"/>
        </w:rPr>
      </w:pPr>
      <w:r w:rsidRPr="00F83659">
        <w:rPr>
          <w:sz w:val="18"/>
          <w:lang w:val="tr-TR"/>
        </w:rPr>
        <w:t>10.</w:t>
      </w:r>
      <w:r w:rsidRPr="00F83659">
        <w:rPr>
          <w:sz w:val="18"/>
          <w:lang w:val="tr-TR"/>
        </w:rPr>
        <w:tab/>
        <w:t xml:space="preserve">Sow PS, Seydi M, Diop BM, et al. Facteurs pronostiques du tétanos néonatal à Dakar. Prognosis factors for neonatal tetanus in Dakar. Med Mal Infect 2003; 33 (3):150-154. </w:t>
      </w:r>
    </w:p>
    <w:p w:rsidR="00F83659" w:rsidRPr="00F83659" w:rsidRDefault="00F83659" w:rsidP="00F83659">
      <w:pPr>
        <w:pStyle w:val="18-Kaynaklar"/>
        <w:spacing w:before="120" w:after="120" w:line="240" w:lineRule="auto"/>
        <w:rPr>
          <w:sz w:val="18"/>
          <w:lang w:val="tr-TR"/>
        </w:rPr>
      </w:pPr>
      <w:r w:rsidRPr="00F83659">
        <w:rPr>
          <w:sz w:val="18"/>
          <w:lang w:val="tr-TR"/>
        </w:rPr>
        <w:t xml:space="preserve">11. Scobie HM, Patel M, Martin D, et al. Tetanus Immunity Gaps in Children 5-14 Years and Men </w:t>
      </w:r>
      <w:r>
        <w:rPr>
          <w:rFonts w:cs="Arial"/>
          <w:sz w:val="18"/>
          <w:lang w:val="tr-TR"/>
        </w:rPr>
        <w:t>≥</w:t>
      </w:r>
      <w:r w:rsidRPr="00F83659">
        <w:rPr>
          <w:sz w:val="18"/>
          <w:lang w:val="tr-TR"/>
        </w:rPr>
        <w:t>15 Years of Age Revealed by Integrated Disease Serosurveillance in Kenya, Tanzania, and Mozambique. Am J Trop Med Hyg 2017; 96(2):415-420.</w:t>
      </w:r>
    </w:p>
    <w:p w:rsidR="00F83659" w:rsidRPr="00F83659" w:rsidRDefault="00F83659" w:rsidP="00F83659">
      <w:pPr>
        <w:pStyle w:val="18-Kaynaklar"/>
        <w:spacing w:before="120" w:after="120" w:line="240" w:lineRule="auto"/>
        <w:rPr>
          <w:sz w:val="18"/>
          <w:lang w:val="tr-TR"/>
        </w:rPr>
      </w:pPr>
      <w:r w:rsidRPr="00F83659">
        <w:rPr>
          <w:sz w:val="18"/>
          <w:lang w:val="tr-TR"/>
        </w:rPr>
        <w:t>12.</w:t>
      </w:r>
      <w:r w:rsidRPr="00F83659">
        <w:rPr>
          <w:sz w:val="18"/>
          <w:lang w:val="tr-TR"/>
        </w:rPr>
        <w:tab/>
        <w:t>Seydi M, Soumare M, Gbangba-ngai E, et al. [Current aspects of pediatric and adult tetanus in Dakar]. Med Mal Infect. 2005; 35(1):28-32.</w:t>
      </w:r>
    </w:p>
    <w:p w:rsidR="00F83659" w:rsidRPr="00F83659" w:rsidRDefault="00F83659" w:rsidP="00F83659">
      <w:pPr>
        <w:pStyle w:val="18-Kaynaklar"/>
        <w:spacing w:before="120" w:after="120" w:line="240" w:lineRule="auto"/>
        <w:rPr>
          <w:sz w:val="18"/>
          <w:lang w:val="tr-TR"/>
        </w:rPr>
      </w:pPr>
      <w:r w:rsidRPr="00F83659">
        <w:rPr>
          <w:sz w:val="18"/>
          <w:lang w:val="tr-TR"/>
        </w:rPr>
        <w:t>13.</w:t>
      </w:r>
      <w:r w:rsidRPr="00F83659">
        <w:rPr>
          <w:sz w:val="18"/>
          <w:lang w:val="tr-TR"/>
        </w:rPr>
        <w:tab/>
        <w:t>Yeboue-Kouame BY, Bonny JS, Ahimon E, et al. Étude épidémiologique du tétanos à Abidjan et incidences professionnelles. Archives des Maladies Professionnelles et de Médecine du Travail 1999; 60 (2):132–135.</w:t>
      </w:r>
    </w:p>
    <w:p w:rsidR="00F83659" w:rsidRPr="00F83659" w:rsidRDefault="00F83659" w:rsidP="00F83659">
      <w:pPr>
        <w:pStyle w:val="18-Kaynaklar"/>
        <w:spacing w:before="120" w:after="120" w:line="240" w:lineRule="auto"/>
        <w:rPr>
          <w:sz w:val="18"/>
          <w:lang w:val="tr-TR"/>
        </w:rPr>
      </w:pPr>
      <w:r w:rsidRPr="00F83659">
        <w:rPr>
          <w:sz w:val="18"/>
          <w:lang w:val="tr-TR"/>
        </w:rPr>
        <w:t>14.</w:t>
      </w:r>
      <w:r w:rsidRPr="00F83659">
        <w:rPr>
          <w:sz w:val="18"/>
          <w:lang w:val="tr-TR"/>
        </w:rPr>
        <w:tab/>
        <w:t>Aba YT, Kra O, Tanoh AC, et al. [Surgical tetanus in Abidjan, Cote d'Ivoire]. Med Sante Trop 2012; 22(3):279-282.</w:t>
      </w:r>
    </w:p>
    <w:p w:rsidR="00F83659" w:rsidRPr="00F83659" w:rsidRDefault="00F83659" w:rsidP="00F83659">
      <w:pPr>
        <w:pStyle w:val="18-Kaynaklar"/>
        <w:spacing w:before="120" w:after="120" w:line="240" w:lineRule="auto"/>
        <w:rPr>
          <w:sz w:val="18"/>
          <w:lang w:val="tr-TR"/>
        </w:rPr>
      </w:pPr>
      <w:r w:rsidRPr="00F83659">
        <w:rPr>
          <w:sz w:val="18"/>
          <w:lang w:val="tr-TR"/>
        </w:rPr>
        <w:t>15.</w:t>
      </w:r>
      <w:r w:rsidRPr="00F83659">
        <w:rPr>
          <w:sz w:val="18"/>
          <w:lang w:val="tr-TR"/>
        </w:rPr>
        <w:tab/>
        <w:t>Adonis-Koffy LY, Tanon-Ano Bla MJ, N'Guessan R, Eboua TK, Adjaffi Sokolo AE, Timite-Konan AM. [Generalized tetanus with otitic portal of entry after using intra-auricular traditional remedies in a 2 old child]. Bull Soc Pathol Exot 2008; 101(4):301-302.</w:t>
      </w:r>
    </w:p>
    <w:p w:rsidR="00F83659" w:rsidRPr="00F83659" w:rsidRDefault="00F83659" w:rsidP="00F83659">
      <w:pPr>
        <w:pStyle w:val="18-Kaynaklar"/>
        <w:spacing w:before="120" w:after="120" w:line="240" w:lineRule="auto"/>
        <w:rPr>
          <w:sz w:val="18"/>
          <w:lang w:val="tr-TR"/>
        </w:rPr>
      </w:pPr>
      <w:r w:rsidRPr="00F83659">
        <w:rPr>
          <w:sz w:val="18"/>
          <w:lang w:val="tr-TR"/>
        </w:rPr>
        <w:t>16.</w:t>
      </w:r>
      <w:r w:rsidRPr="00F83659">
        <w:rPr>
          <w:sz w:val="18"/>
          <w:lang w:val="tr-TR"/>
        </w:rPr>
        <w:tab/>
        <w:t>Boumandouki P, Kounkou RY, Teke-Bagamboula JN, Ekouele Mbaki H, Ndinga E. [Intramuscular injections of quinine and tetanus at the Centre Hospitalier Universitaire of Brazzaville, Congo]. Bull Soc Pathol Exot 2008; 101(4):298-300.</w:t>
      </w:r>
    </w:p>
    <w:p w:rsidR="00F83659" w:rsidRPr="00F83659" w:rsidRDefault="00F83659" w:rsidP="00F83659">
      <w:pPr>
        <w:pStyle w:val="18-Kaynaklar"/>
        <w:spacing w:before="120" w:after="120" w:line="240" w:lineRule="auto"/>
        <w:rPr>
          <w:sz w:val="18"/>
          <w:lang w:val="tr-TR"/>
        </w:rPr>
      </w:pPr>
      <w:r w:rsidRPr="00F83659">
        <w:rPr>
          <w:sz w:val="18"/>
          <w:lang w:val="tr-TR"/>
        </w:rPr>
        <w:t>17.</w:t>
      </w:r>
      <w:r w:rsidRPr="00F83659">
        <w:rPr>
          <w:sz w:val="18"/>
          <w:lang w:val="tr-TR"/>
        </w:rPr>
        <w:tab/>
        <w:t>Ehui E, Kra O, Ouattara I, et al. [Generalized tetanus complicating a traditional medicine applied for snakebite]. Bull Soc Pathol Exot 2007; 100(3):184-185.</w:t>
      </w:r>
    </w:p>
    <w:p w:rsidR="00F83659" w:rsidRPr="00F83659" w:rsidRDefault="00F83659" w:rsidP="00F83659">
      <w:pPr>
        <w:pStyle w:val="18-Kaynaklar"/>
        <w:spacing w:before="120" w:after="120" w:line="240" w:lineRule="auto"/>
        <w:rPr>
          <w:sz w:val="18"/>
          <w:lang w:val="tr-TR"/>
        </w:rPr>
      </w:pPr>
      <w:r w:rsidRPr="00F83659">
        <w:rPr>
          <w:sz w:val="18"/>
          <w:lang w:val="tr-TR"/>
        </w:rPr>
        <w:t>18.</w:t>
      </w:r>
      <w:r w:rsidRPr="00F83659">
        <w:rPr>
          <w:sz w:val="18"/>
          <w:lang w:val="tr-TR"/>
        </w:rPr>
        <w:tab/>
        <w:t>Ndour CT, Soumaré M, Diop BM, Touré AK, Badiane S. Tetanus in obstetric gateway in Dakar: epidemiological and prognostic aspects about 21 cases observed in the clinic of infectious diseases of the Dakar Teaching Hospital. Med Mal Infect 2002; 32:399-396.</w:t>
      </w:r>
    </w:p>
    <w:p w:rsidR="00F83659" w:rsidRPr="00F83659" w:rsidRDefault="00F83659" w:rsidP="00F83659">
      <w:pPr>
        <w:pStyle w:val="18-Kaynaklar"/>
        <w:spacing w:before="120" w:after="120" w:line="240" w:lineRule="auto"/>
        <w:rPr>
          <w:sz w:val="18"/>
          <w:lang w:val="tr-TR"/>
        </w:rPr>
      </w:pPr>
      <w:r w:rsidRPr="00F83659">
        <w:rPr>
          <w:sz w:val="18"/>
          <w:lang w:val="tr-TR"/>
        </w:rPr>
        <w:t>19.</w:t>
      </w:r>
      <w:r w:rsidRPr="00F83659">
        <w:rPr>
          <w:sz w:val="18"/>
          <w:lang w:val="tr-TR"/>
        </w:rPr>
        <w:tab/>
        <w:t>Soumare M, Seydi M, Dia NM, et al. [Post-circumcision tetanus in Dakar, Senegal]. Bull Soc Pathol Exot 2008; 101(1):54-57.</w:t>
      </w:r>
    </w:p>
    <w:p w:rsidR="00F83659" w:rsidRPr="00F83659" w:rsidRDefault="00F83659" w:rsidP="00F83659">
      <w:pPr>
        <w:pStyle w:val="18-Kaynaklar"/>
        <w:spacing w:before="120" w:after="120" w:line="240" w:lineRule="auto"/>
        <w:rPr>
          <w:sz w:val="18"/>
          <w:lang w:val="tr-TR"/>
        </w:rPr>
      </w:pPr>
      <w:r w:rsidRPr="00F83659">
        <w:rPr>
          <w:sz w:val="18"/>
          <w:lang w:val="tr-TR"/>
        </w:rPr>
        <w:t>20.</w:t>
      </w:r>
      <w:r w:rsidRPr="00F83659">
        <w:rPr>
          <w:sz w:val="18"/>
          <w:lang w:val="tr-TR"/>
        </w:rPr>
        <w:tab/>
        <w:t>Ribereau-Gayon R: Tetanus treatment in east African rural area (RD Congo-Zaire). Evaluation of a therapeutic protocol over 21 cases. Med Afr Noire 2000; 47(3):131-138.</w:t>
      </w:r>
    </w:p>
    <w:p w:rsidR="00F83659" w:rsidRPr="00F83659" w:rsidRDefault="00F83659" w:rsidP="00F83659">
      <w:pPr>
        <w:pStyle w:val="18-Kaynaklar"/>
        <w:spacing w:before="120" w:after="120" w:line="240" w:lineRule="auto"/>
        <w:rPr>
          <w:sz w:val="18"/>
          <w:lang w:val="tr-TR"/>
        </w:rPr>
      </w:pPr>
      <w:r w:rsidRPr="00F83659">
        <w:rPr>
          <w:sz w:val="18"/>
          <w:lang w:val="tr-TR"/>
        </w:rPr>
        <w:t>21.</w:t>
      </w:r>
      <w:r w:rsidRPr="00F83659">
        <w:rPr>
          <w:sz w:val="18"/>
          <w:lang w:val="tr-TR"/>
        </w:rPr>
        <w:tab/>
        <w:t xml:space="preserve">Hosoglu S, Ayaz C, Faruk Geyik M, Yagmur Y, Faruk Kokoglu O. A continuing problem of tetanus </w:t>
      </w:r>
      <w:r w:rsidRPr="00F83659">
        <w:rPr>
          <w:sz w:val="18"/>
          <w:lang w:val="tr-TR"/>
        </w:rPr>
        <w:lastRenderedPageBreak/>
        <w:t>in the southeast of Turkey. Clin Microbiol Infect 1997; 3(6):690-692.</w:t>
      </w:r>
    </w:p>
    <w:p w:rsidR="00F83659" w:rsidRPr="00F83659" w:rsidRDefault="00F83659" w:rsidP="00F83659">
      <w:pPr>
        <w:pStyle w:val="18-Kaynaklar"/>
        <w:spacing w:before="120" w:after="120" w:line="240" w:lineRule="auto"/>
        <w:rPr>
          <w:sz w:val="18"/>
          <w:lang w:val="tr-TR"/>
        </w:rPr>
      </w:pPr>
      <w:r w:rsidRPr="00F83659">
        <w:rPr>
          <w:sz w:val="18"/>
          <w:lang w:val="tr-TR"/>
        </w:rPr>
        <w:t>22.</w:t>
      </w:r>
      <w:r w:rsidRPr="00F83659">
        <w:rPr>
          <w:sz w:val="18"/>
          <w:lang w:val="tr-TR"/>
        </w:rPr>
        <w:tab/>
        <w:t>Gallais H. [The value of intrathecal administration of antitetanus serum and corticoids in the treatment of manifest tetanus].  Nouvelle Presse Med 1977; 6(18):1571.</w:t>
      </w:r>
    </w:p>
    <w:p w:rsidR="00F83659" w:rsidRPr="00F83659" w:rsidRDefault="00F83659" w:rsidP="00F83659">
      <w:pPr>
        <w:pStyle w:val="18-Kaynaklar"/>
        <w:spacing w:before="120" w:after="120" w:line="240" w:lineRule="auto"/>
        <w:rPr>
          <w:sz w:val="18"/>
          <w:lang w:val="tr-TR"/>
        </w:rPr>
      </w:pPr>
      <w:r w:rsidRPr="00F83659">
        <w:rPr>
          <w:sz w:val="18"/>
          <w:lang w:val="tr-TR"/>
        </w:rPr>
        <w:t>23.</w:t>
      </w:r>
      <w:r w:rsidRPr="00F83659">
        <w:rPr>
          <w:sz w:val="18"/>
          <w:lang w:val="tr-TR"/>
        </w:rPr>
        <w:tab/>
        <w:t>Kabura L, Ilibagiza D, Menten J, Van den Ende J. Intrathecal vs. intramuscular administration of human antitetanus immunoglobulin or equine tetanus antitoxin in the treatment of tetanus: a meta-analysis. Trop Med Int health. 2006; 11(7):1075-1081.</w:t>
      </w:r>
    </w:p>
    <w:p w:rsidR="00F83659" w:rsidRPr="00F83659" w:rsidRDefault="00F83659" w:rsidP="00F83659">
      <w:pPr>
        <w:pStyle w:val="18-Kaynaklar"/>
        <w:spacing w:before="120" w:after="120" w:line="240" w:lineRule="auto"/>
        <w:rPr>
          <w:sz w:val="18"/>
          <w:lang w:val="tr-TR"/>
        </w:rPr>
      </w:pPr>
      <w:r w:rsidRPr="00F83659">
        <w:rPr>
          <w:sz w:val="18"/>
          <w:lang w:val="tr-TR"/>
        </w:rPr>
        <w:t>24.</w:t>
      </w:r>
      <w:r w:rsidRPr="00F83659">
        <w:rPr>
          <w:sz w:val="18"/>
          <w:lang w:val="tr-TR"/>
        </w:rPr>
        <w:tab/>
        <w:t>Miranda-Filho Dde B, Ximenes RA, Barone AA, Vaz VL, Vieira AG, Albuquerque VM. Randomised controlled trial of tetanus treatment with antitetanus immunoglobulin by the intrathecal or intramuscular route. BMJ 2004; 328(7440):615.</w:t>
      </w:r>
    </w:p>
    <w:p w:rsidR="003A35D5" w:rsidRPr="003F5547" w:rsidRDefault="00F83659" w:rsidP="00F83659">
      <w:pPr>
        <w:pStyle w:val="18-Kaynaklar"/>
        <w:spacing w:before="120" w:after="120" w:line="240" w:lineRule="auto"/>
        <w:rPr>
          <w:rFonts w:cs="Arial"/>
          <w:sz w:val="20"/>
          <w:szCs w:val="20"/>
        </w:rPr>
      </w:pPr>
      <w:r w:rsidRPr="00F83659">
        <w:rPr>
          <w:sz w:val="18"/>
          <w:lang w:val="tr-TR"/>
        </w:rPr>
        <w:t>25.</w:t>
      </w:r>
      <w:r w:rsidRPr="00F83659">
        <w:rPr>
          <w:sz w:val="18"/>
          <w:lang w:val="tr-TR"/>
        </w:rPr>
        <w:tab/>
        <w:t>Wateba M, Diop S, Nichols S, et al. [Intrathecal therapy with 1 500 UI of antitetanic serum and 1.5 g of intravenous metronidazole: prognosis of tetanus in hospitalized patients in Togo]. Sante 2008;18(3):125-129.</w:t>
      </w:r>
    </w:p>
    <w:sectPr w:rsidR="003A35D5" w:rsidRPr="003F5547" w:rsidSect="00671E46">
      <w:type w:val="continuous"/>
      <w:pgSz w:w="11907" w:h="16840" w:code="9"/>
      <w:pgMar w:top="1814" w:right="1247" w:bottom="1758" w:left="1304" w:header="1304" w:footer="1361" w:gutter="0"/>
      <w:pgNumType w:start="129" w:chapStyle="1"/>
      <w:cols w:num="2"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5D" w:rsidRDefault="00E13C5D" w:rsidP="00AC096A">
      <w:pPr>
        <w:spacing w:after="0" w:line="240" w:lineRule="auto"/>
      </w:pPr>
      <w:r>
        <w:separator/>
      </w:r>
    </w:p>
  </w:endnote>
  <w:endnote w:type="continuationSeparator" w:id="0">
    <w:p w:rsidR="00E13C5D" w:rsidRDefault="00E13C5D" w:rsidP="00AC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32" w:rsidRDefault="0096293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EA" w:rsidRDefault="00EF07EA">
    <w:pPr>
      <w:pStyle w:val="Fuzeile"/>
      <w:rPr>
        <w:sz w:val="18"/>
        <w:szCs w:val="18"/>
      </w:rPr>
    </w:pPr>
    <w:r>
      <w:rPr>
        <w:noProof/>
        <w:sz w:val="18"/>
        <w:szCs w:val="18"/>
        <w:lang w:val="de-DE" w:eastAsia="de-DE"/>
      </w:rPr>
      <mc:AlternateContent>
        <mc:Choice Requires="wps">
          <w:drawing>
            <wp:anchor distT="0" distB="0" distL="114300" distR="114300" simplePos="0" relativeHeight="251662336" behindDoc="0" locked="0" layoutInCell="1" allowOverlap="1" wp14:anchorId="76ABA733" wp14:editId="323A5474">
              <wp:simplePos x="0" y="0"/>
              <wp:positionH relativeFrom="column">
                <wp:posOffset>-29183</wp:posOffset>
              </wp:positionH>
              <wp:positionV relativeFrom="paragraph">
                <wp:posOffset>66621</wp:posOffset>
              </wp:positionV>
              <wp:extent cx="5939790" cy="0"/>
              <wp:effectExtent l="9525" t="8890" r="13335" b="1016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25pt" to="465.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"/>
          </w:pict>
        </mc:Fallback>
      </mc:AlternateContent>
    </w:r>
    <w:r>
      <w:rPr>
        <w:noProof/>
        <w:sz w:val="18"/>
        <w:szCs w:val="18"/>
        <w:lang w:val="de-DE" w:eastAsia="de-DE"/>
      </w:rPr>
      <mc:AlternateContent>
        <mc:Choice Requires="wps">
          <w:drawing>
            <wp:anchor distT="0" distB="0" distL="114300" distR="114300" simplePos="0" relativeHeight="251660288" behindDoc="0" locked="0" layoutInCell="1" allowOverlap="1" wp14:anchorId="02C6A29D" wp14:editId="1959048E">
              <wp:simplePos x="0" y="0"/>
              <wp:positionH relativeFrom="column">
                <wp:posOffset>807720</wp:posOffset>
              </wp:positionH>
              <wp:positionV relativeFrom="paragraph">
                <wp:posOffset>5344795</wp:posOffset>
              </wp:positionV>
              <wp:extent cx="5939790" cy="0"/>
              <wp:effectExtent l="9525" t="8890" r="13335" b="1016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420.85pt" to="531.3pt,4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"/>
          </w:pict>
        </mc:Fallback>
      </mc:AlternateContent>
    </w:r>
  </w:p>
  <w:p w:rsidR="00EF07EA" w:rsidRPr="003F5547" w:rsidRDefault="00EF07EA">
    <w:pPr>
      <w:pStyle w:val="Fuzeile"/>
      <w:rPr>
        <w:sz w:val="18"/>
        <w:szCs w:val="18"/>
      </w:rPr>
    </w:pPr>
    <w:r>
      <w:rPr>
        <w:sz w:val="18"/>
        <w:szCs w:val="18"/>
      </w:rPr>
      <w:t>J Microbiol Infect Dis</w:t>
    </w:r>
    <w:r>
      <w:rPr>
        <w:sz w:val="18"/>
        <w:szCs w:val="18"/>
      </w:rPr>
      <w:tab/>
      <w:t>www.jmid</w:t>
    </w:r>
    <w:r w:rsidRPr="003F5547">
      <w:rPr>
        <w:sz w:val="18"/>
        <w:szCs w:val="18"/>
      </w:rPr>
      <w:t>online.org</w:t>
    </w:r>
    <w:r w:rsidRPr="003F5547">
      <w:rPr>
        <w:sz w:val="18"/>
        <w:szCs w:val="18"/>
      </w:rPr>
      <w:tab/>
      <w:t xml:space="preserve">Vol 7, No </w:t>
    </w:r>
    <w:r w:rsidR="0024500F">
      <w:rPr>
        <w:sz w:val="18"/>
        <w:szCs w:val="18"/>
      </w:rPr>
      <w:t>3</w:t>
    </w:r>
    <w:r w:rsidRPr="003F5547">
      <w:rPr>
        <w:sz w:val="18"/>
        <w:szCs w:val="18"/>
      </w:rPr>
      <w:t xml:space="preserve">, </w:t>
    </w:r>
    <w:r w:rsidR="0024500F">
      <w:rPr>
        <w:sz w:val="18"/>
        <w:szCs w:val="18"/>
      </w:rPr>
      <w:t>September</w:t>
    </w:r>
    <w:r>
      <w:rPr>
        <w:sz w:val="18"/>
        <w:szCs w:val="18"/>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EA" w:rsidRDefault="00EF07EA" w:rsidP="0017252B">
    <w:pPr>
      <w:pStyle w:val="Fuzeile"/>
      <w:jc w:val="center"/>
      <w:rPr>
        <w:rStyle w:val="10-AltBilgiYazismaAdresiChar"/>
        <w:rFonts w:eastAsiaTheme="minorHAnsi"/>
        <w:vertAlign w:val="superscript"/>
        <w:lang w:val="de-DE"/>
      </w:rPr>
    </w:pPr>
    <w:r>
      <w:rPr>
        <w:noProof/>
        <w:sz w:val="18"/>
        <w:szCs w:val="18"/>
        <w:lang w:val="de-DE" w:eastAsia="de-DE"/>
      </w:rPr>
      <mc:AlternateContent>
        <mc:Choice Requires="wps">
          <w:drawing>
            <wp:anchor distT="0" distB="0" distL="114300" distR="114300" simplePos="0" relativeHeight="251658240" behindDoc="0" locked="0" layoutInCell="1" allowOverlap="1" wp14:anchorId="49E5454C" wp14:editId="7BA06021">
              <wp:simplePos x="0" y="0"/>
              <wp:positionH relativeFrom="column">
                <wp:posOffset>-18266</wp:posOffset>
              </wp:positionH>
              <wp:positionV relativeFrom="paragraph">
                <wp:posOffset>113435</wp:posOffset>
              </wp:positionV>
              <wp:extent cx="5939790" cy="0"/>
              <wp:effectExtent l="9525" t="8890" r="13335" b="1016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95pt" to="466.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"/>
          </w:pict>
        </mc:Fallback>
      </mc:AlternateContent>
    </w:r>
  </w:p>
  <w:p w:rsidR="00EF07EA" w:rsidRPr="009273CC" w:rsidRDefault="00EF07EA" w:rsidP="00837227">
    <w:pPr>
      <w:pStyle w:val="10-AltBilgiYazismaAdresi"/>
      <w:rPr>
        <w:rStyle w:val="10-AltBilgiYazismaAdresiChar"/>
      </w:rPr>
    </w:pPr>
    <w:r w:rsidRPr="00837227">
      <w:rPr>
        <w:rStyle w:val="10-AltBilgiYazismaAdresiChar"/>
        <w:b/>
      </w:rPr>
      <w:t>Correspondence:</w:t>
    </w:r>
    <w:r w:rsidRPr="009273CC">
      <w:rPr>
        <w:rStyle w:val="10-AltBilgiYazismaAdresiChar"/>
      </w:rPr>
      <w:t xml:space="preserve"> </w:t>
    </w:r>
    <w:r w:rsidRPr="0010024F">
      <w:rPr>
        <w:rStyle w:val="10-AltBilgiYazismaAdresiChar"/>
      </w:rPr>
      <w:t xml:space="preserve">Dr. </w:t>
    </w:r>
    <w:proofErr w:type="spellStart"/>
    <w:r w:rsidRPr="0010024F">
      <w:rPr>
        <w:rStyle w:val="10-AltBilgiYazismaAdresiChar"/>
      </w:rPr>
      <w:t>Aristophane</w:t>
    </w:r>
    <w:proofErr w:type="spellEnd"/>
    <w:r w:rsidRPr="0010024F">
      <w:rPr>
        <w:rStyle w:val="10-AltBilgiYazismaAdresiChar"/>
      </w:rPr>
      <w:t xml:space="preserve"> </w:t>
    </w:r>
    <w:proofErr w:type="spellStart"/>
    <w:r w:rsidRPr="0010024F">
      <w:rPr>
        <w:rStyle w:val="10-AltBilgiYazismaAdresiChar"/>
      </w:rPr>
      <w:t>Tanon</w:t>
    </w:r>
    <w:proofErr w:type="spellEnd"/>
    <w:r w:rsidRPr="0010024F">
      <w:rPr>
        <w:rStyle w:val="10-AltBilgiYazismaAdresiChar"/>
      </w:rPr>
      <w:t xml:space="preserve">, Training and </w:t>
    </w:r>
    <w:proofErr w:type="spellStart"/>
    <w:r w:rsidRPr="0010024F">
      <w:rPr>
        <w:rStyle w:val="10-AltBilgiYazismaAdresiChar"/>
      </w:rPr>
      <w:t>Reaserch</w:t>
    </w:r>
    <w:proofErr w:type="spellEnd"/>
    <w:r w:rsidRPr="0010024F">
      <w:rPr>
        <w:rStyle w:val="10-AltBilgiYazismaAdresiChar"/>
      </w:rPr>
      <w:t xml:space="preserve"> Unit of Medical Sciences: University Félix </w:t>
    </w:r>
    <w:proofErr w:type="spellStart"/>
    <w:r w:rsidRPr="0010024F">
      <w:rPr>
        <w:rStyle w:val="10-AltBilgiYazismaAdresiChar"/>
      </w:rPr>
      <w:t>Houphouët</w:t>
    </w:r>
    <w:proofErr w:type="spellEnd"/>
    <w:r w:rsidRPr="0010024F">
      <w:rPr>
        <w:rStyle w:val="10-AltBilgiYazismaAdresiChar"/>
      </w:rPr>
      <w:t xml:space="preserve"> </w:t>
    </w:r>
    <w:proofErr w:type="spellStart"/>
    <w:r w:rsidRPr="0010024F">
      <w:rPr>
        <w:rStyle w:val="10-AltBilgiYazismaAdresiChar"/>
      </w:rPr>
      <w:t>Boigny</w:t>
    </w:r>
    <w:proofErr w:type="spellEnd"/>
    <w:r w:rsidRPr="0010024F">
      <w:rPr>
        <w:rStyle w:val="10-AltBilgiYazismaAdresiChar"/>
      </w:rPr>
      <w:t xml:space="preserve"> of </w:t>
    </w:r>
    <w:proofErr w:type="spellStart"/>
    <w:r w:rsidRPr="0010024F">
      <w:rPr>
        <w:rStyle w:val="10-AltBilgiYazismaAdresiChar"/>
      </w:rPr>
      <w:t>Cocody</w:t>
    </w:r>
    <w:proofErr w:type="spellEnd"/>
    <w:r w:rsidRPr="0010024F">
      <w:rPr>
        <w:rStyle w:val="10-AltBilgiYazismaAdresiChar"/>
      </w:rPr>
      <w:t>, Abidjan,</w:t>
    </w:r>
    <w:r>
      <w:rPr>
        <w:rStyle w:val="10-AltBilgiYazismaAdresiChar"/>
      </w:rPr>
      <w:t xml:space="preserve"> Ivory Coast,</w:t>
    </w:r>
    <w:r w:rsidRPr="0010024F">
      <w:rPr>
        <w:rStyle w:val="10-AltBilgiYazismaAdresiChar"/>
      </w:rPr>
      <w:t xml:space="preserve"> E-mail: aristotanon@yahoo.fr</w:t>
    </w:r>
  </w:p>
  <w:p w:rsidR="00EF07EA" w:rsidRPr="009273CC" w:rsidRDefault="00EF07EA" w:rsidP="003C2ED9">
    <w:pPr>
      <w:pStyle w:val="10-AltBilgiYazismaAdresi"/>
      <w:rPr>
        <w:rStyle w:val="10-AltBilgiYazismaAdresiChar"/>
      </w:rPr>
    </w:pPr>
    <w:r w:rsidRPr="003C2ED9">
      <w:rPr>
        <w:rStyle w:val="10-AltBilgiYazismaAdresiChar"/>
      </w:rPr>
      <w:t xml:space="preserve">Received: 04 February </w:t>
    </w:r>
    <w:proofErr w:type="gramStart"/>
    <w:r w:rsidRPr="003C2ED9">
      <w:rPr>
        <w:rStyle w:val="10-AltBilgiYazismaAdresiChar"/>
      </w:rPr>
      <w:t>2017</w:t>
    </w:r>
    <w:r>
      <w:rPr>
        <w:rStyle w:val="10-AltBilgiYazismaAdresiChar"/>
      </w:rPr>
      <w:t xml:space="preserve">  </w:t>
    </w:r>
    <w:r w:rsidRPr="003C2ED9">
      <w:rPr>
        <w:rStyle w:val="10-AltBilgiYazismaAdresiChar"/>
      </w:rPr>
      <w:t>Accepted</w:t>
    </w:r>
    <w:proofErr w:type="gramEnd"/>
    <w:r w:rsidRPr="003C2ED9">
      <w:rPr>
        <w:rStyle w:val="10-AltBilgiYazismaAdresiChar"/>
      </w:rPr>
      <w:t>: 25 June 2017</w:t>
    </w:r>
  </w:p>
  <w:p w:rsidR="00EF07EA" w:rsidRPr="009273CC" w:rsidRDefault="00EF07EA" w:rsidP="009273CC">
    <w:pPr>
      <w:pStyle w:val="10-AltBilgiYazismaAdresi"/>
    </w:pPr>
    <w:r w:rsidRPr="009273CC">
      <w:rPr>
        <w:rStyle w:val="10-AltBilgiYazismaAdresiChar"/>
      </w:rPr>
      <w:t>Copyright ©</w:t>
    </w:r>
    <w:r>
      <w:rPr>
        <w:rStyle w:val="10-AltBilgiYazismaAdresiChar"/>
      </w:rPr>
      <w:t xml:space="preserve"> JMID /</w:t>
    </w:r>
    <w:r w:rsidRPr="009273CC">
      <w:rPr>
        <w:rStyle w:val="10-AltBilgiYazismaAdresiChar"/>
      </w:rPr>
      <w:t xml:space="preserve"> Journal of Microbiology and Infectious Diseases 2017,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5D" w:rsidRDefault="00E13C5D" w:rsidP="00AC096A">
      <w:pPr>
        <w:spacing w:after="0" w:line="240" w:lineRule="auto"/>
      </w:pPr>
      <w:r>
        <w:separator/>
      </w:r>
    </w:p>
  </w:footnote>
  <w:footnote w:type="continuationSeparator" w:id="0">
    <w:p w:rsidR="00E13C5D" w:rsidRDefault="00E13C5D" w:rsidP="00AC0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32" w:rsidRDefault="0096293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EA" w:rsidRPr="008D4FFF" w:rsidRDefault="00EF07EA" w:rsidP="00AC096A">
    <w:pPr>
      <w:pStyle w:val="Kopfzeile"/>
      <w:rPr>
        <w:b/>
        <w:sz w:val="18"/>
        <w:szCs w:val="18"/>
        <w:lang w:val="en-US"/>
      </w:rPr>
    </w:pPr>
    <w:r w:rsidRPr="008A0732">
      <w:rPr>
        <w:sz w:val="18"/>
        <w:szCs w:val="18"/>
      </w:rPr>
      <w:fldChar w:fldCharType="begin"/>
    </w:r>
    <w:r w:rsidRPr="008A0732">
      <w:rPr>
        <w:sz w:val="18"/>
        <w:szCs w:val="18"/>
      </w:rPr>
      <w:instrText>PAGE   \* MERGEFORMAT</w:instrText>
    </w:r>
    <w:r w:rsidRPr="008A0732">
      <w:rPr>
        <w:sz w:val="18"/>
        <w:szCs w:val="18"/>
      </w:rPr>
      <w:fldChar w:fldCharType="separate"/>
    </w:r>
    <w:r w:rsidR="00962932">
      <w:rPr>
        <w:noProof/>
        <w:sz w:val="18"/>
        <w:szCs w:val="18"/>
      </w:rPr>
      <w:t>131</w:t>
    </w:r>
    <w:r w:rsidRPr="008A0732">
      <w:rPr>
        <w:sz w:val="18"/>
        <w:szCs w:val="18"/>
      </w:rPr>
      <w:fldChar w:fldCharType="end"/>
    </w:r>
    <w:r>
      <w:rPr>
        <w:sz w:val="18"/>
        <w:szCs w:val="18"/>
      </w:rPr>
      <w:tab/>
      <w:t>Tanon A</w:t>
    </w:r>
    <w:r w:rsidR="00DD06AA">
      <w:rPr>
        <w:sz w:val="18"/>
        <w:szCs w:val="18"/>
      </w:rPr>
      <w:t>K</w:t>
    </w:r>
    <w:r>
      <w:rPr>
        <w:sz w:val="18"/>
        <w:szCs w:val="18"/>
      </w:rPr>
      <w:t>, et al.</w:t>
    </w:r>
    <w:r w:rsidRPr="008D4FFF">
      <w:rPr>
        <w:sz w:val="18"/>
        <w:szCs w:val="18"/>
      </w:rPr>
      <w:t xml:space="preserve"> </w:t>
    </w:r>
    <w:r w:rsidRPr="0010024F">
      <w:rPr>
        <w:sz w:val="18"/>
        <w:szCs w:val="18"/>
        <w:lang w:val="en-US"/>
      </w:rPr>
      <w:t xml:space="preserve">Prognostic </w:t>
    </w:r>
    <w:r>
      <w:rPr>
        <w:sz w:val="18"/>
        <w:szCs w:val="18"/>
        <w:lang w:val="en-US"/>
      </w:rPr>
      <w:t>f</w:t>
    </w:r>
    <w:r w:rsidRPr="0010024F">
      <w:rPr>
        <w:sz w:val="18"/>
        <w:szCs w:val="18"/>
        <w:lang w:val="en-US"/>
      </w:rPr>
      <w:t xml:space="preserve">actors of </w:t>
    </w:r>
    <w:r>
      <w:rPr>
        <w:sz w:val="18"/>
        <w:szCs w:val="18"/>
        <w:lang w:val="en-US"/>
      </w:rPr>
      <w:t>t</w:t>
    </w:r>
    <w:r w:rsidRPr="0010024F">
      <w:rPr>
        <w:sz w:val="18"/>
        <w:szCs w:val="18"/>
        <w:lang w:val="en-US"/>
      </w:rPr>
      <w:t>etanus</w:t>
    </w:r>
  </w:p>
  <w:p w:rsidR="00EF07EA" w:rsidRPr="003F5547" w:rsidRDefault="00EF07EA" w:rsidP="00AC096A">
    <w:pPr>
      <w:pStyle w:val="Kopfzeile"/>
      <w:rPr>
        <w:sz w:val="18"/>
        <w:szCs w:val="18"/>
      </w:rPr>
    </w:pPr>
    <w:r>
      <w:rPr>
        <w:noProof/>
        <w:sz w:val="18"/>
        <w:szCs w:val="18"/>
        <w:lang w:val="de-DE" w:eastAsia="de-DE"/>
      </w:rPr>
      <mc:AlternateContent>
        <mc:Choice Requires="wps">
          <w:drawing>
            <wp:anchor distT="0" distB="0" distL="114300" distR="114300" simplePos="0" relativeHeight="251659264" behindDoc="0" locked="0" layoutInCell="1" allowOverlap="1" wp14:anchorId="75222F69" wp14:editId="3B81BBF1">
              <wp:simplePos x="0" y="0"/>
              <wp:positionH relativeFrom="column">
                <wp:posOffset>-28858</wp:posOffset>
              </wp:positionH>
              <wp:positionV relativeFrom="paragraph">
                <wp:posOffset>43221</wp:posOffset>
              </wp:positionV>
              <wp:extent cx="5939790" cy="0"/>
              <wp:effectExtent l="9525" t="8890" r="13335" b="1016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46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EA" w:rsidRPr="00F01A6A" w:rsidRDefault="00EF07EA" w:rsidP="00AC096A">
    <w:pPr>
      <w:pStyle w:val="Kopfzeile"/>
      <w:rPr>
        <w:sz w:val="18"/>
        <w:szCs w:val="18"/>
      </w:rPr>
    </w:pPr>
    <w:r>
      <w:rPr>
        <w:sz w:val="18"/>
        <w:szCs w:val="18"/>
      </w:rPr>
      <w:t xml:space="preserve">JMID/ </w:t>
    </w:r>
    <w:r>
      <w:rPr>
        <w:sz w:val="18"/>
        <w:szCs w:val="18"/>
      </w:rPr>
      <w:tab/>
    </w:r>
    <w:r>
      <w:rPr>
        <w:sz w:val="18"/>
        <w:szCs w:val="18"/>
      </w:rPr>
      <w:tab/>
      <w:t xml:space="preserve">                                                                        </w:t>
    </w:r>
    <w:r w:rsidR="00761440">
      <w:rPr>
        <w:sz w:val="18"/>
        <w:szCs w:val="18"/>
      </w:rPr>
      <w:t xml:space="preserve"> </w:t>
    </w:r>
    <w:r>
      <w:rPr>
        <w:sz w:val="18"/>
        <w:szCs w:val="18"/>
      </w:rPr>
      <w:t xml:space="preserve">          </w:t>
    </w:r>
    <w:r w:rsidR="00761440">
      <w:rPr>
        <w:sz w:val="18"/>
        <w:szCs w:val="18"/>
      </w:rPr>
      <w:t>2017; 7 (3):</w:t>
    </w:r>
    <w:r w:rsidR="00EC4224">
      <w:rPr>
        <w:sz w:val="18"/>
        <w:szCs w:val="18"/>
      </w:rPr>
      <w:t>125-131</w:t>
    </w:r>
  </w:p>
  <w:p w:rsidR="00EF07EA" w:rsidRPr="003F5547" w:rsidRDefault="00EF07EA" w:rsidP="00AC096A">
    <w:pPr>
      <w:pStyle w:val="Kopfzeile"/>
      <w:rPr>
        <w:sz w:val="18"/>
        <w:szCs w:val="18"/>
      </w:rPr>
    </w:pPr>
    <w:r w:rsidRPr="00F01A6A">
      <w:rPr>
        <w:sz w:val="18"/>
        <w:szCs w:val="18"/>
      </w:rPr>
      <w:t xml:space="preserve">Journal of Microbiology and Infectious Diseases     </w:t>
    </w:r>
    <w:r w:rsidRPr="00F01A6A">
      <w:rPr>
        <w:sz w:val="18"/>
        <w:szCs w:val="18"/>
      </w:rPr>
      <w:tab/>
      <w:t xml:space="preserve">                                                                         doi</w:t>
    </w:r>
    <w:r w:rsidR="00EC4224">
      <w:rPr>
        <w:sz w:val="18"/>
        <w:szCs w:val="18"/>
      </w:rPr>
      <w:t xml:space="preserve">: </w:t>
    </w:r>
    <w:r w:rsidR="00EC4224">
      <w:rPr>
        <w:sz w:val="18"/>
        <w:szCs w:val="18"/>
      </w:rPr>
      <w:t>10.5799/</w:t>
    </w:r>
    <w:r w:rsidR="00962932">
      <w:rPr>
        <w:sz w:val="18"/>
        <w:szCs w:val="18"/>
      </w:rPr>
      <w:t>xxxxxx</w:t>
    </w: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EA" w:rsidRPr="008D4FFF" w:rsidRDefault="00EF07EA" w:rsidP="001E574E">
    <w:pPr>
      <w:pStyle w:val="Kopfzeile"/>
      <w:rPr>
        <w:b/>
        <w:sz w:val="18"/>
        <w:szCs w:val="18"/>
        <w:lang w:val="en-US"/>
      </w:rPr>
    </w:pPr>
    <w:r>
      <w:rPr>
        <w:sz w:val="18"/>
        <w:szCs w:val="18"/>
      </w:rPr>
      <w:t xml:space="preserve">60 </w:t>
    </w:r>
    <w:r>
      <w:rPr>
        <w:sz w:val="18"/>
        <w:szCs w:val="18"/>
      </w:rPr>
      <w:tab/>
      <w:t>Ismail N, et al.</w:t>
    </w:r>
    <w:r w:rsidRPr="008D4FFF">
      <w:rPr>
        <w:sz w:val="18"/>
        <w:szCs w:val="18"/>
      </w:rPr>
      <w:t xml:space="preserve"> </w:t>
    </w:r>
    <w:r w:rsidRPr="00303FF6">
      <w:rPr>
        <w:sz w:val="18"/>
        <w:szCs w:val="18"/>
        <w:lang w:val="en-US"/>
      </w:rPr>
      <w:t>Pneumococcus among vaccinated hajj pilgrims</w:t>
    </w:r>
  </w:p>
  <w:p w:rsidR="00EF07EA" w:rsidRPr="003F5547" w:rsidRDefault="00EF07EA" w:rsidP="001E574E">
    <w:pPr>
      <w:pStyle w:val="Kopfzeile"/>
      <w:rPr>
        <w:sz w:val="18"/>
        <w:szCs w:val="18"/>
      </w:rPr>
    </w:pPr>
    <w:r>
      <w:rPr>
        <w:noProof/>
        <w:sz w:val="18"/>
        <w:szCs w:val="18"/>
        <w:lang w:val="de-DE" w:eastAsia="de-DE"/>
      </w:rPr>
      <mc:AlternateContent>
        <mc:Choice Requires="wps">
          <w:drawing>
            <wp:anchor distT="0" distB="0" distL="114300" distR="114300" simplePos="0" relativeHeight="251666432" behindDoc="0" locked="0" layoutInCell="1" allowOverlap="1" wp14:anchorId="778F88D1" wp14:editId="5880A48C">
              <wp:simplePos x="0" y="0"/>
              <wp:positionH relativeFrom="column">
                <wp:posOffset>-28858</wp:posOffset>
              </wp:positionH>
              <wp:positionV relativeFrom="paragraph">
                <wp:posOffset>43221</wp:posOffset>
              </wp:positionV>
              <wp:extent cx="5939790" cy="0"/>
              <wp:effectExtent l="9525" t="8890" r="13335" b="10160"/>
              <wp:wrapNone/>
              <wp:docPr id="2"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46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EA" w:rsidRPr="008D4FFF" w:rsidRDefault="00EF07EA" w:rsidP="001E574E">
    <w:pPr>
      <w:pStyle w:val="Kopfzeile"/>
      <w:rPr>
        <w:b/>
        <w:sz w:val="18"/>
        <w:szCs w:val="18"/>
        <w:lang w:val="en-US"/>
      </w:rPr>
    </w:pPr>
    <w:r w:rsidRPr="003F5547">
      <w:rPr>
        <w:sz w:val="18"/>
        <w:szCs w:val="18"/>
      </w:rPr>
      <w:fldChar w:fldCharType="begin"/>
    </w:r>
    <w:r w:rsidRPr="003F5547">
      <w:rPr>
        <w:sz w:val="18"/>
        <w:szCs w:val="18"/>
      </w:rPr>
      <w:instrText>PAGE   \* MERGEFORMAT</w:instrText>
    </w:r>
    <w:r w:rsidRPr="003F5547">
      <w:rPr>
        <w:sz w:val="18"/>
        <w:szCs w:val="18"/>
      </w:rPr>
      <w:fldChar w:fldCharType="separate"/>
    </w:r>
    <w:r>
      <w:rPr>
        <w:noProof/>
        <w:sz w:val="18"/>
        <w:szCs w:val="18"/>
      </w:rPr>
      <w:t>1</w:t>
    </w:r>
    <w:r w:rsidRPr="003F5547">
      <w:rPr>
        <w:sz w:val="18"/>
        <w:szCs w:val="18"/>
      </w:rPr>
      <w:fldChar w:fldCharType="end"/>
    </w:r>
    <w:r>
      <w:rPr>
        <w:sz w:val="18"/>
        <w:szCs w:val="18"/>
      </w:rPr>
      <w:t xml:space="preserve"> </w:t>
    </w:r>
    <w:r>
      <w:rPr>
        <w:sz w:val="18"/>
        <w:szCs w:val="18"/>
      </w:rPr>
      <w:tab/>
      <w:t>Deşer SB &amp; Demirağ MK,</w:t>
    </w:r>
    <w:r w:rsidRPr="008D4FFF">
      <w:rPr>
        <w:sz w:val="18"/>
        <w:szCs w:val="18"/>
      </w:rPr>
      <w:t xml:space="preserve"> </w:t>
    </w:r>
    <w:r w:rsidRPr="00B36ED8">
      <w:rPr>
        <w:sz w:val="18"/>
        <w:szCs w:val="18"/>
        <w:lang w:val="en-US"/>
      </w:rPr>
      <w:t>Management of Atrial Thrombus</w:t>
    </w:r>
  </w:p>
  <w:p w:rsidR="00EF07EA" w:rsidRPr="003F5547" w:rsidRDefault="00EF07EA" w:rsidP="001E574E">
    <w:pPr>
      <w:pStyle w:val="Kopfzeile"/>
      <w:rPr>
        <w:sz w:val="18"/>
        <w:szCs w:val="18"/>
      </w:rPr>
    </w:pPr>
    <w:r>
      <w:rPr>
        <w:noProof/>
        <w:sz w:val="18"/>
        <w:szCs w:val="18"/>
        <w:lang w:val="de-DE" w:eastAsia="de-DE"/>
      </w:rPr>
      <mc:AlternateContent>
        <mc:Choice Requires="wps">
          <w:drawing>
            <wp:anchor distT="0" distB="0" distL="114300" distR="114300" simplePos="0" relativeHeight="251664384" behindDoc="0" locked="0" layoutInCell="1" allowOverlap="1" wp14:anchorId="0B25FAC2" wp14:editId="4B118FB6">
              <wp:simplePos x="0" y="0"/>
              <wp:positionH relativeFrom="column">
                <wp:posOffset>-28858</wp:posOffset>
              </wp:positionH>
              <wp:positionV relativeFrom="paragraph">
                <wp:posOffset>43221</wp:posOffset>
              </wp:positionV>
              <wp:extent cx="5939790" cy="0"/>
              <wp:effectExtent l="9525" t="8890" r="13335" b="1016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46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F180A"/>
    <w:multiLevelType w:val="hybridMultilevel"/>
    <w:tmpl w:val="F33AB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24"/>
    <w:rsid w:val="00064AAC"/>
    <w:rsid w:val="00072A97"/>
    <w:rsid w:val="00096E5B"/>
    <w:rsid w:val="000A5FB7"/>
    <w:rsid w:val="000B5DAA"/>
    <w:rsid w:val="000D7970"/>
    <w:rsid w:val="000F1315"/>
    <w:rsid w:val="0010024F"/>
    <w:rsid w:val="0011012F"/>
    <w:rsid w:val="001243FE"/>
    <w:rsid w:val="0012463F"/>
    <w:rsid w:val="00156F95"/>
    <w:rsid w:val="00161795"/>
    <w:rsid w:val="00161FDB"/>
    <w:rsid w:val="00163624"/>
    <w:rsid w:val="00166847"/>
    <w:rsid w:val="0017252B"/>
    <w:rsid w:val="00184412"/>
    <w:rsid w:val="001A11EE"/>
    <w:rsid w:val="001A2E85"/>
    <w:rsid w:val="001B30C0"/>
    <w:rsid w:val="001D39F6"/>
    <w:rsid w:val="001E574E"/>
    <w:rsid w:val="00210CA8"/>
    <w:rsid w:val="002159A9"/>
    <w:rsid w:val="00236B53"/>
    <w:rsid w:val="0024500F"/>
    <w:rsid w:val="002577E3"/>
    <w:rsid w:val="0026442C"/>
    <w:rsid w:val="002730D3"/>
    <w:rsid w:val="002A0773"/>
    <w:rsid w:val="002A0C8D"/>
    <w:rsid w:val="002A5425"/>
    <w:rsid w:val="002C4C9F"/>
    <w:rsid w:val="00303FF6"/>
    <w:rsid w:val="00325631"/>
    <w:rsid w:val="00343B30"/>
    <w:rsid w:val="003443AA"/>
    <w:rsid w:val="00344DBC"/>
    <w:rsid w:val="0036111D"/>
    <w:rsid w:val="003648DF"/>
    <w:rsid w:val="003667CB"/>
    <w:rsid w:val="00370C1B"/>
    <w:rsid w:val="00370DC0"/>
    <w:rsid w:val="003832FE"/>
    <w:rsid w:val="00385FC6"/>
    <w:rsid w:val="003A2FE8"/>
    <w:rsid w:val="003A35D5"/>
    <w:rsid w:val="003A4267"/>
    <w:rsid w:val="003A7F10"/>
    <w:rsid w:val="003C2ED9"/>
    <w:rsid w:val="003C668C"/>
    <w:rsid w:val="003E103C"/>
    <w:rsid w:val="003E4B4B"/>
    <w:rsid w:val="003F303B"/>
    <w:rsid w:val="003F5547"/>
    <w:rsid w:val="003F570C"/>
    <w:rsid w:val="003F731B"/>
    <w:rsid w:val="00400891"/>
    <w:rsid w:val="0040093D"/>
    <w:rsid w:val="00421639"/>
    <w:rsid w:val="0042228A"/>
    <w:rsid w:val="00432B47"/>
    <w:rsid w:val="00446714"/>
    <w:rsid w:val="00470A54"/>
    <w:rsid w:val="00471D1A"/>
    <w:rsid w:val="0047251D"/>
    <w:rsid w:val="00494471"/>
    <w:rsid w:val="005005F3"/>
    <w:rsid w:val="00501801"/>
    <w:rsid w:val="0052445B"/>
    <w:rsid w:val="00545015"/>
    <w:rsid w:val="00546B3E"/>
    <w:rsid w:val="005700EC"/>
    <w:rsid w:val="005A65BE"/>
    <w:rsid w:val="005D5518"/>
    <w:rsid w:val="006023A3"/>
    <w:rsid w:val="00604DA5"/>
    <w:rsid w:val="00605A54"/>
    <w:rsid w:val="00613141"/>
    <w:rsid w:val="00614DCF"/>
    <w:rsid w:val="0062080C"/>
    <w:rsid w:val="006269F5"/>
    <w:rsid w:val="00650AAF"/>
    <w:rsid w:val="00657A0E"/>
    <w:rsid w:val="00671E46"/>
    <w:rsid w:val="006A78B3"/>
    <w:rsid w:val="006C224F"/>
    <w:rsid w:val="007209E3"/>
    <w:rsid w:val="00735FF1"/>
    <w:rsid w:val="00745765"/>
    <w:rsid w:val="00761440"/>
    <w:rsid w:val="00773181"/>
    <w:rsid w:val="007D1E8F"/>
    <w:rsid w:val="008153EB"/>
    <w:rsid w:val="00826AC6"/>
    <w:rsid w:val="00830F79"/>
    <w:rsid w:val="00837227"/>
    <w:rsid w:val="008A0732"/>
    <w:rsid w:val="008B3CBA"/>
    <w:rsid w:val="008D4FFF"/>
    <w:rsid w:val="008E0F4B"/>
    <w:rsid w:val="00916BFE"/>
    <w:rsid w:val="009273CC"/>
    <w:rsid w:val="00942FED"/>
    <w:rsid w:val="00962932"/>
    <w:rsid w:val="0097434A"/>
    <w:rsid w:val="00984044"/>
    <w:rsid w:val="00986DD9"/>
    <w:rsid w:val="009C09D3"/>
    <w:rsid w:val="009E3E1C"/>
    <w:rsid w:val="009F6381"/>
    <w:rsid w:val="009F6EE0"/>
    <w:rsid w:val="00A2302E"/>
    <w:rsid w:val="00A57898"/>
    <w:rsid w:val="00A62E57"/>
    <w:rsid w:val="00A660BE"/>
    <w:rsid w:val="00A815B8"/>
    <w:rsid w:val="00AC096A"/>
    <w:rsid w:val="00AE38E1"/>
    <w:rsid w:val="00AF345B"/>
    <w:rsid w:val="00B35B16"/>
    <w:rsid w:val="00B36ED8"/>
    <w:rsid w:val="00B41230"/>
    <w:rsid w:val="00B43A40"/>
    <w:rsid w:val="00B5467D"/>
    <w:rsid w:val="00B97A24"/>
    <w:rsid w:val="00BA5459"/>
    <w:rsid w:val="00BB7FD3"/>
    <w:rsid w:val="00BD2899"/>
    <w:rsid w:val="00BE0E94"/>
    <w:rsid w:val="00C225BD"/>
    <w:rsid w:val="00C33AB9"/>
    <w:rsid w:val="00CA390C"/>
    <w:rsid w:val="00CC0B36"/>
    <w:rsid w:val="00CE129B"/>
    <w:rsid w:val="00CE5AC6"/>
    <w:rsid w:val="00CF3009"/>
    <w:rsid w:val="00D75881"/>
    <w:rsid w:val="00DB60AA"/>
    <w:rsid w:val="00DD06AA"/>
    <w:rsid w:val="00DF73FD"/>
    <w:rsid w:val="00E0014F"/>
    <w:rsid w:val="00E13C5D"/>
    <w:rsid w:val="00E15A52"/>
    <w:rsid w:val="00E213A9"/>
    <w:rsid w:val="00E2573B"/>
    <w:rsid w:val="00EA3D25"/>
    <w:rsid w:val="00EA63C4"/>
    <w:rsid w:val="00EC4224"/>
    <w:rsid w:val="00EE646F"/>
    <w:rsid w:val="00EF07EA"/>
    <w:rsid w:val="00F01A6A"/>
    <w:rsid w:val="00F0237B"/>
    <w:rsid w:val="00F071C3"/>
    <w:rsid w:val="00F168F3"/>
    <w:rsid w:val="00F16A8E"/>
    <w:rsid w:val="00F20730"/>
    <w:rsid w:val="00F31A05"/>
    <w:rsid w:val="00F34D72"/>
    <w:rsid w:val="00F50A67"/>
    <w:rsid w:val="00F83659"/>
    <w:rsid w:val="00FB7B82"/>
    <w:rsid w:val="00FC66EE"/>
    <w:rsid w:val="00FF4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57A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0-AltKonu">
    <w:name w:val="10-Alt Konu"/>
    <w:basedOn w:val="Standard"/>
    <w:qFormat/>
    <w:rsid w:val="00AC096A"/>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1"/>
      <w:lang w:val="en-US" w:eastAsia="tr-TR"/>
    </w:rPr>
  </w:style>
  <w:style w:type="paragraph" w:customStyle="1" w:styleId="11-KckKonu">
    <w:name w:val="11-Kck Konu"/>
    <w:basedOn w:val="Standard"/>
    <w:uiPriority w:val="99"/>
    <w:qFormat/>
    <w:rsid w:val="00AC096A"/>
    <w:pPr>
      <w:keepNext/>
      <w:suppressAutoHyphens/>
      <w:autoSpaceDE w:val="0"/>
      <w:autoSpaceDN w:val="0"/>
      <w:adjustRightInd w:val="0"/>
      <w:spacing w:before="160" w:after="80" w:line="288" w:lineRule="auto"/>
      <w:jc w:val="both"/>
      <w:textAlignment w:val="center"/>
    </w:pPr>
    <w:rPr>
      <w:rFonts w:ascii="Arial" w:eastAsia="Times New Roman" w:hAnsi="Arial" w:cs="Times New Roman"/>
      <w:b/>
      <w:bCs/>
      <w:color w:val="000000"/>
      <w:sz w:val="21"/>
      <w:lang w:val="en-US" w:eastAsia="tr-TR"/>
    </w:rPr>
  </w:style>
  <w:style w:type="paragraph" w:styleId="Kopfzeile">
    <w:name w:val="header"/>
    <w:basedOn w:val="Standard"/>
    <w:link w:val="KopfzeileZchn"/>
    <w:uiPriority w:val="99"/>
    <w:unhideWhenUsed/>
    <w:rsid w:val="00AC0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096A"/>
  </w:style>
  <w:style w:type="paragraph" w:styleId="Fuzeile">
    <w:name w:val="footer"/>
    <w:basedOn w:val="Standard"/>
    <w:link w:val="FuzeileZchn"/>
    <w:uiPriority w:val="99"/>
    <w:unhideWhenUsed/>
    <w:rsid w:val="00AC09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096A"/>
  </w:style>
  <w:style w:type="paragraph" w:customStyle="1" w:styleId="18-Kaynaklar">
    <w:name w:val="18-Kaynaklar"/>
    <w:basedOn w:val="Standard"/>
    <w:qFormat/>
    <w:rsid w:val="003F5547"/>
    <w:pPr>
      <w:autoSpaceDE w:val="0"/>
      <w:autoSpaceDN w:val="0"/>
      <w:adjustRightInd w:val="0"/>
      <w:spacing w:after="40" w:line="288" w:lineRule="auto"/>
      <w:ind w:left="284" w:hanging="284"/>
      <w:jc w:val="both"/>
      <w:textAlignment w:val="center"/>
    </w:pPr>
    <w:rPr>
      <w:rFonts w:ascii="Arial" w:eastAsia="Times New Roman" w:hAnsi="Arial" w:cs="Times New Roman"/>
      <w:color w:val="000000"/>
      <w:sz w:val="16"/>
      <w:szCs w:val="18"/>
      <w:lang w:val="en-US" w:eastAsia="tr-TR"/>
    </w:rPr>
  </w:style>
  <w:style w:type="character" w:styleId="Hyperlink">
    <w:name w:val="Hyperlink"/>
    <w:basedOn w:val="Absatz-Standardschriftart"/>
    <w:uiPriority w:val="99"/>
    <w:unhideWhenUsed/>
    <w:rsid w:val="008D4FFF"/>
    <w:rPr>
      <w:color w:val="0563C1" w:themeColor="hyperlink"/>
      <w:u w:val="single"/>
    </w:rPr>
  </w:style>
  <w:style w:type="table" w:customStyle="1" w:styleId="PlainTable3">
    <w:name w:val="Plain Table 3"/>
    <w:basedOn w:val="NormaleTabelle"/>
    <w:uiPriority w:val="43"/>
    <w:rsid w:val="008D4F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NormaleTabelle"/>
    <w:uiPriority w:val="45"/>
    <w:rsid w:val="008D4F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4944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4471"/>
    <w:rPr>
      <w:rFonts w:ascii="Tahoma" w:hAnsi="Tahoma" w:cs="Tahoma"/>
      <w:sz w:val="16"/>
      <w:szCs w:val="16"/>
    </w:rPr>
  </w:style>
  <w:style w:type="character" w:customStyle="1" w:styleId="berschrift1Zchn">
    <w:name w:val="Überschrift 1 Zchn"/>
    <w:basedOn w:val="Absatz-Standardschriftart"/>
    <w:link w:val="berschrift1"/>
    <w:uiPriority w:val="9"/>
    <w:rsid w:val="00657A0E"/>
    <w:rPr>
      <w:rFonts w:asciiTheme="majorHAnsi" w:eastAsiaTheme="majorEastAsia" w:hAnsiTheme="majorHAnsi" w:cstheme="majorBidi"/>
      <w:b/>
      <w:bCs/>
      <w:color w:val="2E74B5" w:themeColor="accent1" w:themeShade="BF"/>
      <w:sz w:val="28"/>
      <w:szCs w:val="28"/>
    </w:rPr>
  </w:style>
  <w:style w:type="paragraph" w:customStyle="1" w:styleId="11-AltKonu">
    <w:name w:val="11-Alt Konu"/>
    <w:basedOn w:val="Standard"/>
    <w:qFormat/>
    <w:rsid w:val="00184412"/>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0"/>
      <w:lang w:val="en-US" w:eastAsia="tr-TR"/>
    </w:rPr>
  </w:style>
  <w:style w:type="paragraph" w:customStyle="1" w:styleId="10-AltBilgiYazismaAdresi">
    <w:name w:val="10-AltBilgi YazismaAdresi"/>
    <w:basedOn w:val="Standard"/>
    <w:link w:val="10-AltBilgiYazismaAdresiChar"/>
    <w:rsid w:val="009273CC"/>
    <w:pPr>
      <w:autoSpaceDE w:val="0"/>
      <w:autoSpaceDN w:val="0"/>
      <w:adjustRightInd w:val="0"/>
      <w:spacing w:after="0" w:line="240" w:lineRule="auto"/>
      <w:jc w:val="center"/>
      <w:textAlignment w:val="center"/>
    </w:pPr>
    <w:rPr>
      <w:rFonts w:ascii="Calibri" w:eastAsia="Times New Roman" w:hAnsi="Calibri" w:cs="Segoe UI"/>
      <w:color w:val="000000"/>
      <w:sz w:val="18"/>
      <w:szCs w:val="18"/>
      <w:lang w:val="en-US" w:eastAsia="tr-TR"/>
    </w:rPr>
  </w:style>
  <w:style w:type="character" w:customStyle="1" w:styleId="10-AltBilgiYazismaAdresiChar">
    <w:name w:val="10-AltBilgi YazismaAdresi Char"/>
    <w:link w:val="10-AltBilgiYazismaAdresi"/>
    <w:rsid w:val="009273CC"/>
    <w:rPr>
      <w:rFonts w:ascii="Calibri" w:eastAsia="Times New Roman" w:hAnsi="Calibri" w:cs="Segoe UI"/>
      <w:color w:val="000000"/>
      <w:sz w:val="18"/>
      <w:szCs w:val="18"/>
      <w:lang w:val="en-US" w:eastAsia="tr-TR"/>
    </w:rPr>
  </w:style>
  <w:style w:type="table" w:styleId="Tabellenraster">
    <w:name w:val="Table Grid"/>
    <w:basedOn w:val="NormaleTabelle"/>
    <w:uiPriority w:val="59"/>
    <w:rsid w:val="0042228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Vorformatiert">
    <w:name w:val="HTML Preformatted"/>
    <w:basedOn w:val="Standard"/>
    <w:link w:val="HTMLVorformatiertZchn"/>
    <w:uiPriority w:val="99"/>
    <w:rsid w:val="0077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fr-FR"/>
    </w:rPr>
  </w:style>
  <w:style w:type="character" w:customStyle="1" w:styleId="HTMLVorformatiertZchn">
    <w:name w:val="HTML Vorformatiert Zchn"/>
    <w:basedOn w:val="Absatz-Standardschriftart"/>
    <w:link w:val="HTMLVorformatiert"/>
    <w:uiPriority w:val="99"/>
    <w:rsid w:val="00773181"/>
    <w:rPr>
      <w:rFonts w:ascii="Courier New" w:eastAsia="Times New Roman" w:hAnsi="Courier New" w:cs="Times New Roman"/>
      <w:sz w:val="20"/>
      <w:szCs w:val="20"/>
      <w:lang w:val="x-none"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57A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0-AltKonu">
    <w:name w:val="10-Alt Konu"/>
    <w:basedOn w:val="Standard"/>
    <w:qFormat/>
    <w:rsid w:val="00AC096A"/>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1"/>
      <w:lang w:val="en-US" w:eastAsia="tr-TR"/>
    </w:rPr>
  </w:style>
  <w:style w:type="paragraph" w:customStyle="1" w:styleId="11-KckKonu">
    <w:name w:val="11-Kck Konu"/>
    <w:basedOn w:val="Standard"/>
    <w:uiPriority w:val="99"/>
    <w:qFormat/>
    <w:rsid w:val="00AC096A"/>
    <w:pPr>
      <w:keepNext/>
      <w:suppressAutoHyphens/>
      <w:autoSpaceDE w:val="0"/>
      <w:autoSpaceDN w:val="0"/>
      <w:adjustRightInd w:val="0"/>
      <w:spacing w:before="160" w:after="80" w:line="288" w:lineRule="auto"/>
      <w:jc w:val="both"/>
      <w:textAlignment w:val="center"/>
    </w:pPr>
    <w:rPr>
      <w:rFonts w:ascii="Arial" w:eastAsia="Times New Roman" w:hAnsi="Arial" w:cs="Times New Roman"/>
      <w:b/>
      <w:bCs/>
      <w:color w:val="000000"/>
      <w:sz w:val="21"/>
      <w:lang w:val="en-US" w:eastAsia="tr-TR"/>
    </w:rPr>
  </w:style>
  <w:style w:type="paragraph" w:styleId="Kopfzeile">
    <w:name w:val="header"/>
    <w:basedOn w:val="Standard"/>
    <w:link w:val="KopfzeileZchn"/>
    <w:uiPriority w:val="99"/>
    <w:unhideWhenUsed/>
    <w:rsid w:val="00AC0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096A"/>
  </w:style>
  <w:style w:type="paragraph" w:styleId="Fuzeile">
    <w:name w:val="footer"/>
    <w:basedOn w:val="Standard"/>
    <w:link w:val="FuzeileZchn"/>
    <w:uiPriority w:val="99"/>
    <w:unhideWhenUsed/>
    <w:rsid w:val="00AC09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096A"/>
  </w:style>
  <w:style w:type="paragraph" w:customStyle="1" w:styleId="18-Kaynaklar">
    <w:name w:val="18-Kaynaklar"/>
    <w:basedOn w:val="Standard"/>
    <w:qFormat/>
    <w:rsid w:val="003F5547"/>
    <w:pPr>
      <w:autoSpaceDE w:val="0"/>
      <w:autoSpaceDN w:val="0"/>
      <w:adjustRightInd w:val="0"/>
      <w:spacing w:after="40" w:line="288" w:lineRule="auto"/>
      <w:ind w:left="284" w:hanging="284"/>
      <w:jc w:val="both"/>
      <w:textAlignment w:val="center"/>
    </w:pPr>
    <w:rPr>
      <w:rFonts w:ascii="Arial" w:eastAsia="Times New Roman" w:hAnsi="Arial" w:cs="Times New Roman"/>
      <w:color w:val="000000"/>
      <w:sz w:val="16"/>
      <w:szCs w:val="18"/>
      <w:lang w:val="en-US" w:eastAsia="tr-TR"/>
    </w:rPr>
  </w:style>
  <w:style w:type="character" w:styleId="Hyperlink">
    <w:name w:val="Hyperlink"/>
    <w:basedOn w:val="Absatz-Standardschriftart"/>
    <w:uiPriority w:val="99"/>
    <w:unhideWhenUsed/>
    <w:rsid w:val="008D4FFF"/>
    <w:rPr>
      <w:color w:val="0563C1" w:themeColor="hyperlink"/>
      <w:u w:val="single"/>
    </w:rPr>
  </w:style>
  <w:style w:type="table" w:customStyle="1" w:styleId="PlainTable3">
    <w:name w:val="Plain Table 3"/>
    <w:basedOn w:val="NormaleTabelle"/>
    <w:uiPriority w:val="43"/>
    <w:rsid w:val="008D4F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NormaleTabelle"/>
    <w:uiPriority w:val="45"/>
    <w:rsid w:val="008D4F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4944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4471"/>
    <w:rPr>
      <w:rFonts w:ascii="Tahoma" w:hAnsi="Tahoma" w:cs="Tahoma"/>
      <w:sz w:val="16"/>
      <w:szCs w:val="16"/>
    </w:rPr>
  </w:style>
  <w:style w:type="character" w:customStyle="1" w:styleId="berschrift1Zchn">
    <w:name w:val="Überschrift 1 Zchn"/>
    <w:basedOn w:val="Absatz-Standardschriftart"/>
    <w:link w:val="berschrift1"/>
    <w:uiPriority w:val="9"/>
    <w:rsid w:val="00657A0E"/>
    <w:rPr>
      <w:rFonts w:asciiTheme="majorHAnsi" w:eastAsiaTheme="majorEastAsia" w:hAnsiTheme="majorHAnsi" w:cstheme="majorBidi"/>
      <w:b/>
      <w:bCs/>
      <w:color w:val="2E74B5" w:themeColor="accent1" w:themeShade="BF"/>
      <w:sz w:val="28"/>
      <w:szCs w:val="28"/>
    </w:rPr>
  </w:style>
  <w:style w:type="paragraph" w:customStyle="1" w:styleId="11-AltKonu">
    <w:name w:val="11-Alt Konu"/>
    <w:basedOn w:val="Standard"/>
    <w:qFormat/>
    <w:rsid w:val="00184412"/>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0"/>
      <w:lang w:val="en-US" w:eastAsia="tr-TR"/>
    </w:rPr>
  </w:style>
  <w:style w:type="paragraph" w:customStyle="1" w:styleId="10-AltBilgiYazismaAdresi">
    <w:name w:val="10-AltBilgi YazismaAdresi"/>
    <w:basedOn w:val="Standard"/>
    <w:link w:val="10-AltBilgiYazismaAdresiChar"/>
    <w:rsid w:val="009273CC"/>
    <w:pPr>
      <w:autoSpaceDE w:val="0"/>
      <w:autoSpaceDN w:val="0"/>
      <w:adjustRightInd w:val="0"/>
      <w:spacing w:after="0" w:line="240" w:lineRule="auto"/>
      <w:jc w:val="center"/>
      <w:textAlignment w:val="center"/>
    </w:pPr>
    <w:rPr>
      <w:rFonts w:ascii="Calibri" w:eastAsia="Times New Roman" w:hAnsi="Calibri" w:cs="Segoe UI"/>
      <w:color w:val="000000"/>
      <w:sz w:val="18"/>
      <w:szCs w:val="18"/>
      <w:lang w:val="en-US" w:eastAsia="tr-TR"/>
    </w:rPr>
  </w:style>
  <w:style w:type="character" w:customStyle="1" w:styleId="10-AltBilgiYazismaAdresiChar">
    <w:name w:val="10-AltBilgi YazismaAdresi Char"/>
    <w:link w:val="10-AltBilgiYazismaAdresi"/>
    <w:rsid w:val="009273CC"/>
    <w:rPr>
      <w:rFonts w:ascii="Calibri" w:eastAsia="Times New Roman" w:hAnsi="Calibri" w:cs="Segoe UI"/>
      <w:color w:val="000000"/>
      <w:sz w:val="18"/>
      <w:szCs w:val="18"/>
      <w:lang w:val="en-US" w:eastAsia="tr-TR"/>
    </w:rPr>
  </w:style>
  <w:style w:type="table" w:styleId="Tabellenraster">
    <w:name w:val="Table Grid"/>
    <w:basedOn w:val="NormaleTabelle"/>
    <w:uiPriority w:val="59"/>
    <w:rsid w:val="0042228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Vorformatiert">
    <w:name w:val="HTML Preformatted"/>
    <w:basedOn w:val="Standard"/>
    <w:link w:val="HTMLVorformatiertZchn"/>
    <w:uiPriority w:val="99"/>
    <w:rsid w:val="0077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fr-FR"/>
    </w:rPr>
  </w:style>
  <w:style w:type="character" w:customStyle="1" w:styleId="HTMLVorformatiertZchn">
    <w:name w:val="HTML Vorformatiert Zchn"/>
    <w:basedOn w:val="Absatz-Standardschriftart"/>
    <w:link w:val="HTMLVorformatiert"/>
    <w:uiPriority w:val="99"/>
    <w:rsid w:val="00773181"/>
    <w:rPr>
      <w:rFonts w:ascii="Courier New" w:eastAsia="Times New Roman" w:hAnsi="Courier New" w:cs="Times New Roman"/>
      <w:sz w:val="20"/>
      <w:szCs w:val="20"/>
      <w:lang w:val="x-non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E41E1-61D3-4FB1-A1BF-A3A3A996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3467</Words>
  <Characters>21845</Characters>
  <Application>Microsoft Office Word</Application>
  <DocSecurity>0</DocSecurity>
  <Lines>182</Lines>
  <Paragraphs>50</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Selim</dc:creator>
  <cp:lastModifiedBy>Selim</cp:lastModifiedBy>
  <cp:revision>27</cp:revision>
  <cp:lastPrinted>2017-08-27T21:13:00Z</cp:lastPrinted>
  <dcterms:created xsi:type="dcterms:W3CDTF">2017-08-01T13:25:00Z</dcterms:created>
  <dcterms:modified xsi:type="dcterms:W3CDTF">2017-12-17T22:36:00Z</dcterms:modified>
</cp:coreProperties>
</file>