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9CF" w:rsidRDefault="00F57118">
      <w:pPr>
        <w:jc w:val="center"/>
        <w:rPr>
          <w:b/>
          <w:bCs/>
          <w:lang w:val="en-GB"/>
        </w:rPr>
      </w:pPr>
      <w:r w:rsidRPr="00F57118">
        <w:rPr>
          <w:b/>
          <w:bCs/>
          <w:lang w:val="en-GB"/>
        </w:rPr>
        <w:t>Does International Liquidity Matter For G-7 Countries? A PVAR Approach</w:t>
      </w:r>
    </w:p>
    <w:p w:rsidR="005E19CF" w:rsidRDefault="005E19CF">
      <w:pPr>
        <w:jc w:val="both"/>
        <w:rPr>
          <w:b/>
          <w:bCs/>
          <w:lang w:val="en-GB"/>
        </w:rPr>
      </w:pPr>
    </w:p>
    <w:p w:rsidR="005E19CF" w:rsidRDefault="005E19CF">
      <w:pPr>
        <w:jc w:val="both"/>
        <w:rPr>
          <w:b/>
          <w:bCs/>
          <w:lang w:val="en-GB"/>
        </w:rPr>
      </w:pPr>
    </w:p>
    <w:p w:rsidR="005E19CF" w:rsidRDefault="00F57118">
      <w:pPr>
        <w:pStyle w:val="Balk1"/>
      </w:pPr>
      <w:r w:rsidRPr="000920FB">
        <w:rPr>
          <w:rFonts w:eastAsia="Calibri"/>
          <w:color w:val="000000"/>
        </w:rPr>
        <w:t>Mesut Turkay</w:t>
      </w:r>
      <w:r w:rsidR="00564F54" w:rsidRPr="00A848AF">
        <w:rPr>
          <w:rStyle w:val="DipnotBavurusu"/>
          <w:lang w:val="en-US"/>
        </w:rPr>
        <w:footnoteReference w:customMarkFollows="1" w:id="1"/>
        <w:sym w:font="Symbol" w:char="F0D2"/>
      </w:r>
    </w:p>
    <w:p w:rsidR="005E19CF" w:rsidRDefault="005E19CF">
      <w:pPr>
        <w:rPr>
          <w:lang w:val="en-GB"/>
        </w:rPr>
      </w:pPr>
    </w:p>
    <w:p w:rsidR="005E19CF" w:rsidRDefault="00F57118">
      <w:pPr>
        <w:jc w:val="center"/>
        <w:rPr>
          <w:lang w:val="en-GB"/>
        </w:rPr>
      </w:pPr>
      <w:r w:rsidRPr="000920FB">
        <w:rPr>
          <w:rFonts w:eastAsia="Calibri"/>
          <w:color w:val="000000"/>
        </w:rPr>
        <w:t>Undersecretariat of Treasury</w:t>
      </w:r>
    </w:p>
    <w:p w:rsidR="005E19CF" w:rsidRDefault="005E19CF">
      <w:pPr>
        <w:jc w:val="center"/>
      </w:pPr>
    </w:p>
    <w:p w:rsidR="005E19CF" w:rsidRDefault="005E19CF">
      <w:pPr>
        <w:pStyle w:val="Balk1"/>
        <w:rPr>
          <w:lang w:val="en-US"/>
        </w:rPr>
      </w:pPr>
      <w:r>
        <w:rPr>
          <w:lang w:val="en-US"/>
        </w:rPr>
        <w:t>ABSTRACT</w:t>
      </w:r>
    </w:p>
    <w:p w:rsidR="005E19CF" w:rsidRDefault="005E19CF">
      <w:pPr>
        <w:jc w:val="center"/>
        <w:rPr>
          <w:b/>
          <w:bCs/>
          <w:lang w:val="en-GB"/>
        </w:rPr>
      </w:pPr>
    </w:p>
    <w:p w:rsidR="005E19CF" w:rsidRPr="001C325B" w:rsidRDefault="00F57118" w:rsidP="00A26EAC">
      <w:pPr>
        <w:pStyle w:val="GvdeMetni2"/>
        <w:ind w:left="567" w:right="567"/>
        <w:rPr>
          <w:sz w:val="22"/>
          <w:szCs w:val="22"/>
          <w:lang w:val="en-GB"/>
        </w:rPr>
      </w:pPr>
      <w:r w:rsidRPr="00F57118">
        <w:rPr>
          <w:sz w:val="22"/>
          <w:szCs w:val="22"/>
          <w:lang w:val="en-GB"/>
        </w:rPr>
        <w:t>Global liquidity has been more and more important in the last couple of years and everbody from media to policymakers are talking about it. In order to shed light on the effects of global liquidity, we investigate the impact of global liquidity expansion on major macroeconomic variables of G-7 countries by using panel vector autoregressive (PVAR) model and four different global liquidity indicators. We find that our data is non-stationary, there is cross sectional dependence and no cointegration relationship exits. Impulse response results show that an increase in global liquidity lowers government bond yields and has limited effect on output, inflation and real exchange rate. Additionally, global liquidity explains up to 10 percent of the variation in government bond yields. Our model results imply that the impact of global liquidity on the macroeconomic variables of G-7 countries is not very striking as some other studies suggest</w:t>
      </w:r>
      <w:r w:rsidR="005E19CF" w:rsidRPr="001C325B">
        <w:rPr>
          <w:sz w:val="22"/>
          <w:szCs w:val="22"/>
          <w:lang w:val="en-GB"/>
        </w:rPr>
        <w:t>.</w:t>
      </w:r>
    </w:p>
    <w:p w:rsidR="005E19CF" w:rsidRPr="001C325B" w:rsidRDefault="005E19CF" w:rsidP="00A26EAC">
      <w:pPr>
        <w:ind w:left="567" w:right="567"/>
        <w:jc w:val="both"/>
        <w:rPr>
          <w:b/>
          <w:bCs/>
          <w:sz w:val="22"/>
          <w:szCs w:val="22"/>
          <w:lang w:val="en-GB"/>
        </w:rPr>
      </w:pPr>
    </w:p>
    <w:p w:rsidR="005E19CF" w:rsidRPr="001C325B" w:rsidRDefault="005E19CF" w:rsidP="00A26EAC">
      <w:pPr>
        <w:ind w:left="567" w:right="567"/>
        <w:rPr>
          <w:sz w:val="22"/>
          <w:szCs w:val="22"/>
          <w:lang w:val="en-GB"/>
        </w:rPr>
      </w:pPr>
      <w:r w:rsidRPr="001C325B">
        <w:rPr>
          <w:b/>
          <w:bCs/>
          <w:sz w:val="22"/>
          <w:szCs w:val="22"/>
          <w:lang w:val="en-GB"/>
        </w:rPr>
        <w:t>Key words:</w:t>
      </w:r>
      <w:r w:rsidR="004624E7">
        <w:rPr>
          <w:b/>
          <w:bCs/>
          <w:sz w:val="22"/>
          <w:szCs w:val="22"/>
          <w:lang w:val="en-GB"/>
        </w:rPr>
        <w:t xml:space="preserve"> </w:t>
      </w:r>
      <w:r w:rsidR="00C04F58" w:rsidRPr="00F57118">
        <w:rPr>
          <w:i/>
          <w:iCs/>
          <w:sz w:val="22"/>
          <w:szCs w:val="22"/>
          <w:lang w:val="en-GB"/>
        </w:rPr>
        <w:t>Global Liquidity, Panel Vector Autoregressive, Impulse Response</w:t>
      </w:r>
    </w:p>
    <w:p w:rsidR="002724D3" w:rsidRPr="001C325B" w:rsidRDefault="002724D3" w:rsidP="002724D3">
      <w:pPr>
        <w:ind w:left="567" w:right="567"/>
        <w:jc w:val="both"/>
        <w:rPr>
          <w:b/>
          <w:bCs/>
          <w:sz w:val="22"/>
          <w:szCs w:val="22"/>
        </w:rPr>
      </w:pPr>
      <w:r w:rsidRPr="001C325B">
        <w:rPr>
          <w:sz w:val="22"/>
          <w:szCs w:val="22"/>
        </w:rPr>
        <w:t xml:space="preserve">JEL Classifications: </w:t>
      </w:r>
      <w:r w:rsidR="00C04F58" w:rsidRPr="00C04F58">
        <w:rPr>
          <w:sz w:val="22"/>
          <w:szCs w:val="22"/>
        </w:rPr>
        <w:t>C33, E44, E51, E52</w:t>
      </w:r>
    </w:p>
    <w:p w:rsidR="005E19CF" w:rsidRDefault="005E19CF">
      <w:pPr>
        <w:jc w:val="both"/>
        <w:rPr>
          <w:b/>
          <w:bCs/>
          <w:lang w:val="en-GB"/>
        </w:rPr>
      </w:pPr>
    </w:p>
    <w:p w:rsidR="005E19CF" w:rsidRDefault="005E19CF">
      <w:pPr>
        <w:jc w:val="both"/>
        <w:rPr>
          <w:lang w:val="en-GB"/>
        </w:rPr>
      </w:pPr>
    </w:p>
    <w:p w:rsidR="005E19CF" w:rsidRDefault="005E19CF">
      <w:pPr>
        <w:jc w:val="both"/>
        <w:rPr>
          <w:b/>
          <w:bCs/>
          <w:lang w:val="en-GB"/>
        </w:rPr>
      </w:pPr>
      <w:r>
        <w:rPr>
          <w:b/>
          <w:bCs/>
          <w:lang w:val="en-GB"/>
        </w:rPr>
        <w:t>1.</w:t>
      </w:r>
      <w:r w:rsidR="00C04F58">
        <w:rPr>
          <w:b/>
          <w:bCs/>
          <w:lang w:val="en-GB"/>
        </w:rPr>
        <w:t xml:space="preserve"> </w:t>
      </w:r>
      <w:r w:rsidR="00C04F58" w:rsidRPr="00C04F58">
        <w:rPr>
          <w:b/>
          <w:bCs/>
          <w:lang w:val="en-GB"/>
        </w:rPr>
        <w:t>INTRODUCTION</w:t>
      </w:r>
    </w:p>
    <w:p w:rsidR="005E19CF" w:rsidRDefault="005E19CF">
      <w:pPr>
        <w:jc w:val="both"/>
        <w:rPr>
          <w:b/>
          <w:bCs/>
          <w:lang w:val="en-GB"/>
        </w:rPr>
      </w:pPr>
    </w:p>
    <w:p w:rsidR="00C04F58" w:rsidRDefault="00C04F58" w:rsidP="00C04F58">
      <w:pPr>
        <w:jc w:val="both"/>
      </w:pPr>
      <w:r>
        <w:t xml:space="preserve">Global liquidity as a concept has been used for a long time but it has become much more popular in the last decade. Expansionary monetary policies, financial innovation and rising leverage in advanced countries led global liquidity to surge in 2000s. Global liquidity glut in this period contributed to increased capital flows to emerging market economies, surging asset prices and higher economic growth. The impact of global liquidity has been so widespread that even the global economic crisis of 2008-09 has been associated with prior ample global liquidity by some scholars (Borio, 2008; Bracke and Fidora, 2012). </w:t>
      </w:r>
    </w:p>
    <w:p w:rsidR="00C04F58" w:rsidRDefault="00C04F58" w:rsidP="00C04F58">
      <w:pPr>
        <w:jc w:val="both"/>
      </w:pPr>
    </w:p>
    <w:p w:rsidR="00C04F58" w:rsidRDefault="00C04F58" w:rsidP="00C04F58">
      <w:pPr>
        <w:jc w:val="both"/>
      </w:pPr>
      <w:r>
        <w:t xml:space="preserve">Loose monetary policies implemented to support recovery in the post-global economic crisis period again boosted global liquidity. This time, after reaching zero lower bound, major advanced country central banks carried out quantitative easing policies and more than tripled their balance sheets. Booming global liquidity increased risk appetite, capital flows and hence asset prices. There has been a surge in credit and corporate bond issuance in this period. On the other hand, it also caused inflationary pressures and accumulation of risks in emerging market economies. In addition, cheap and abundant external financing opportunities led many emerging market countries to increase leverage in foreign currency and postpone necessary structural reforms. </w:t>
      </w:r>
    </w:p>
    <w:p w:rsidR="00C04F58" w:rsidRDefault="00C04F58" w:rsidP="00C04F58">
      <w:pPr>
        <w:jc w:val="both"/>
      </w:pPr>
    </w:p>
    <w:p w:rsidR="00C04F58" w:rsidRDefault="00C04F58" w:rsidP="00C04F58">
      <w:pPr>
        <w:jc w:val="both"/>
      </w:pPr>
      <w:r>
        <w:t xml:space="preserve">Both global liquidity expansion and reduction have striking effects on macroeconomic and financial variables. There are several studies (among them Joyce et al., 2011; Gagnon et al., 2011; Chung et al., 2012; Gambacorta et al., 2014; Neely, 2015; Fratzscher et al., 2017) </w:t>
      </w:r>
      <w:r>
        <w:lastRenderedPageBreak/>
        <w:t xml:space="preserve">which show that quantitative easing (QE) programs of advanced country central banks had profound </w:t>
      </w:r>
      <w:r w:rsidR="0097070F">
        <w:t>effects</w:t>
      </w:r>
      <w:r>
        <w:t xml:space="preserve"> on macro and financial indicators of both advanced and emerging market economies. The importance of global liquidity was recognized clearly in May 2013, when the announcement by FED which stated that the asset purchase program might soon be reduced, increased volatility in financial markets and hit the asset prices. Thus, it is of vital importance to study the effects of global liquidity on macroeconomic and financial variables in order to understand contemporary global economy better. In that respect, this study aims to investigate the effects of global liquidity on the major economic variables of G-7 countries.</w:t>
      </w:r>
    </w:p>
    <w:p w:rsidR="00C04F58" w:rsidRDefault="00C04F58" w:rsidP="00C04F58">
      <w:pPr>
        <w:jc w:val="both"/>
      </w:pPr>
      <w:r>
        <w:t xml:space="preserve"> </w:t>
      </w:r>
    </w:p>
    <w:p w:rsidR="00C04F58" w:rsidRDefault="00C04F58" w:rsidP="00C04F58">
      <w:pPr>
        <w:jc w:val="both"/>
      </w:pPr>
      <w:r>
        <w:t>Although it is a widely used concept, there is still no consensus about the definition and measures of international liquidity. It can be defined as the availability of funds for purchases of goods or assets (Eickmeier et al., 2014) or ease of financing (CGFS, 2011). Global liquidity measures can be divided into two categories as price-based and quantity-based indicators. Price-based indicators include nominal or real interest rates. Sometimes, implied market volatility measures such as VIX can also be used as a proxy for global liquidity. Price-based indicators give information about the conditions under which liquidity is provided (IMF, 2013). As for quantity-based indicators, many empirical studies (Ruffer and Stracca</w:t>
      </w:r>
      <w:r w:rsidR="00A21EAD">
        <w:t>,</w:t>
      </w:r>
      <w:r>
        <w:t xml:space="preserve"> 2006</w:t>
      </w:r>
      <w:r w:rsidR="00A21EAD">
        <w:t>;</w:t>
      </w:r>
      <w:r>
        <w:t xml:space="preserve"> Sousa and Zaghini</w:t>
      </w:r>
      <w:r w:rsidR="00A21EAD">
        <w:t>,</w:t>
      </w:r>
      <w:r>
        <w:t xml:space="preserve"> 2008</w:t>
      </w:r>
      <w:r w:rsidR="00A21EAD">
        <w:t>;</w:t>
      </w:r>
      <w:r>
        <w:t xml:space="preserve"> D’Agostino and Surico</w:t>
      </w:r>
      <w:r w:rsidR="00A21EAD">
        <w:t xml:space="preserve">, </w:t>
      </w:r>
      <w:r>
        <w:t>2009) have used some global aggregates of broad money as a proxy for global liquidity. More recently, some studies such as CGFS (2011) and Bruno and Shin (2015) have set forth credit as an alternative measure of global liquidity. Especially, the international component of credit (lending across borders to non-residents or lending in foreign currency) is of particular importance (BIS, 2013). While the first phase of the expansion of global liquidity, roughly between 2003 and 2008, had banking in its center, in the second phase which started around 2010 it has been the bond market (Shin, 2013). Due to low interest rates and supportive financial conditions, bond issuance surged in this period and it contributed to global liquidity expansion. Therefore, bond issuance can also be used as a measure for global liquidity. Widespread implementation of quantitative easing programs in the post-crisis period has also been another important source of increasing global liquidity. QE led to surging monetary base in advanced countries and this can be used as another proxy for global liquidity.</w:t>
      </w:r>
    </w:p>
    <w:p w:rsidR="0078525F" w:rsidRDefault="0078525F" w:rsidP="00C04F58">
      <w:pPr>
        <w:jc w:val="both"/>
      </w:pPr>
    </w:p>
    <w:p w:rsidR="00C04F58" w:rsidRDefault="00C04F58" w:rsidP="00C04F58">
      <w:pPr>
        <w:jc w:val="both"/>
      </w:pPr>
      <w:r>
        <w:t>There are several reasons that motivate us to conduct a study regarding the effects of global liquidity on leading macroeconomic indicators. First, the concept of global liquidity is in the centre of our lifes. The attention of media, academics and policy makers has increased gradually as global liquidity started to affect almost everybody through various channels. Taking into consideration the rising importance of global liquidity, there is a need for comprehensive and illuminating empirical studies in this area. Second, despite its importance and widespread use, the number of empirical studies about the effects of global liquidity on economic variables is still limited. Some of them (Ruffer and Stracca</w:t>
      </w:r>
      <w:r w:rsidR="00A21EAD">
        <w:t>,</w:t>
      </w:r>
      <w:r>
        <w:t xml:space="preserve"> 2006</w:t>
      </w:r>
      <w:r w:rsidR="00A21EAD">
        <w:t>;</w:t>
      </w:r>
      <w:r>
        <w:t xml:space="preserve"> Sousa and Zaghini</w:t>
      </w:r>
      <w:r w:rsidR="00A21EAD">
        <w:t>,</w:t>
      </w:r>
      <w:r>
        <w:t xml:space="preserve"> 2007</w:t>
      </w:r>
      <w:r w:rsidR="00A21EAD">
        <w:t>;</w:t>
      </w:r>
      <w:r>
        <w:t xml:space="preserve"> Sousa and Zaghini</w:t>
      </w:r>
      <w:r w:rsidR="00A21EAD">
        <w:t>,</w:t>
      </w:r>
      <w:r>
        <w:t xml:space="preserve"> 2008</w:t>
      </w:r>
      <w:r w:rsidR="00A21EAD">
        <w:t>;</w:t>
      </w:r>
      <w:r>
        <w:t xml:space="preserve"> D’Agostino and Surico</w:t>
      </w:r>
      <w:r w:rsidR="00A21EAD">
        <w:t>,</w:t>
      </w:r>
      <w:r>
        <w:t xml:space="preserve"> 2009) focus on the effects of global liquidity on macroeconomic variables such as growth and inflation. Some others (Baks and Kramer</w:t>
      </w:r>
      <w:r w:rsidR="00A21EAD">
        <w:t>,</w:t>
      </w:r>
      <w:r>
        <w:t xml:space="preserve"> 1999</w:t>
      </w:r>
      <w:r w:rsidR="00A21EAD">
        <w:t>;</w:t>
      </w:r>
      <w:r>
        <w:t xml:space="preserve"> Belke et al.</w:t>
      </w:r>
      <w:r w:rsidR="00A21EAD">
        <w:t>,</w:t>
      </w:r>
      <w:r>
        <w:t xml:space="preserve"> 2010a</w:t>
      </w:r>
      <w:r w:rsidR="00A21EAD">
        <w:t>;</w:t>
      </w:r>
      <w:r>
        <w:t xml:space="preserve"> IMF</w:t>
      </w:r>
      <w:r w:rsidR="00A21EAD">
        <w:t>,</w:t>
      </w:r>
      <w:r>
        <w:t xml:space="preserve"> 2010</w:t>
      </w:r>
      <w:r w:rsidR="00A21EAD">
        <w:t>;</w:t>
      </w:r>
      <w:r>
        <w:t xml:space="preserve"> Brana et al.</w:t>
      </w:r>
      <w:r w:rsidR="00A21EAD">
        <w:t>,</w:t>
      </w:r>
      <w:r>
        <w:t xml:space="preserve"> 2012</w:t>
      </w:r>
      <w:r w:rsidR="00A21EAD">
        <w:t>;</w:t>
      </w:r>
      <w:r>
        <w:t xml:space="preserve"> Brana and Prat</w:t>
      </w:r>
      <w:r w:rsidR="00A21EAD">
        <w:t>,</w:t>
      </w:r>
      <w:r>
        <w:t xml:space="preserve"> 2016) analyse the effects of global liquidity on asset prices and more specifically on commodity prices (Belke et al.</w:t>
      </w:r>
      <w:r w:rsidR="005A3A54">
        <w:t>,</w:t>
      </w:r>
      <w:r>
        <w:t xml:space="preserve"> 2010b</w:t>
      </w:r>
      <w:r w:rsidR="005A3A54">
        <w:t>;</w:t>
      </w:r>
      <w:r>
        <w:t xml:space="preserve"> Beckmann et al.</w:t>
      </w:r>
      <w:r w:rsidR="005A3A54">
        <w:t>,</w:t>
      </w:r>
      <w:r>
        <w:t xml:space="preserve"> 2014). This study intends to fill the gap and contribute to the existing literature. Third, although there are several different definitions of global liquidity, existing studies usually focus only on one of them. We use four different definitions of global liquidity and this helps us better understand the concept and the effects on macroeconomic indicators. Using four different indicators can also be regarded as a robustness check. Fourth, providing policy lessons to policymakers is one of the most important motivations for this study. Strong and widespread effects of global liquidity necessitates policymakers to better understand the spillovers it creates. This study tries to shed light on this issue.</w:t>
      </w:r>
    </w:p>
    <w:p w:rsidR="005A3A54" w:rsidRDefault="005A3A54" w:rsidP="00C04F58">
      <w:pPr>
        <w:jc w:val="both"/>
      </w:pPr>
    </w:p>
    <w:p w:rsidR="00C04F58" w:rsidRDefault="00C04F58" w:rsidP="00C04F58">
      <w:pPr>
        <w:jc w:val="both"/>
      </w:pPr>
      <w:r>
        <w:t>The remainder of the paper is organized as follows. Section 2 describes our data set as well as our empirical methodology. Section 3 presents the model results. Section 4 concludes.</w:t>
      </w:r>
    </w:p>
    <w:p w:rsidR="005A3A54" w:rsidRDefault="005A3A54" w:rsidP="00C04F58">
      <w:pPr>
        <w:jc w:val="both"/>
      </w:pPr>
    </w:p>
    <w:p w:rsidR="005A3A54" w:rsidRDefault="005A3A54" w:rsidP="005A3A54">
      <w:pPr>
        <w:jc w:val="both"/>
        <w:rPr>
          <w:b/>
          <w:bCs/>
          <w:lang w:val="en-GB"/>
        </w:rPr>
      </w:pPr>
      <w:r>
        <w:rPr>
          <w:b/>
          <w:bCs/>
          <w:lang w:val="en-GB"/>
        </w:rPr>
        <w:t xml:space="preserve">2. </w:t>
      </w:r>
      <w:r w:rsidRPr="005A3A54">
        <w:rPr>
          <w:b/>
          <w:bCs/>
          <w:lang w:val="en-GB"/>
        </w:rPr>
        <w:t>DATA AND METHODOLOGY</w:t>
      </w:r>
    </w:p>
    <w:p w:rsidR="005A3A54" w:rsidRDefault="005A3A54" w:rsidP="005A3A54">
      <w:pPr>
        <w:jc w:val="both"/>
        <w:rPr>
          <w:b/>
          <w:bCs/>
          <w:lang w:val="en-GB"/>
        </w:rPr>
      </w:pPr>
    </w:p>
    <w:p w:rsidR="005A3A54" w:rsidRDefault="005A3A54" w:rsidP="005A3A54">
      <w:pPr>
        <w:jc w:val="both"/>
      </w:pPr>
      <w:r>
        <w:t xml:space="preserve">In our study, we use quarterly data from 2000:1 to 2015:2 for G-7 countries (US, Japan, Germany, UK, France, Italy, Canada). Data for Gross Domestic Product (GDP), Consumer Price Index (CPI) and real exchange rate were taken from WorldBank Global Economic Monitor database while the data for government bond interest rates were received from Bloomberg. Data are expressed in logarithmic form and are seasonally adjusted, except interest rates which are used in levels. </w:t>
      </w:r>
    </w:p>
    <w:p w:rsidR="005A3A54" w:rsidRDefault="005A3A54" w:rsidP="005A3A54">
      <w:pPr>
        <w:jc w:val="both"/>
      </w:pPr>
    </w:p>
    <w:p w:rsidR="005A3A54" w:rsidRDefault="005A3A54" w:rsidP="005A3A54">
      <w:pPr>
        <w:jc w:val="both"/>
      </w:pPr>
      <w:r>
        <w:t>The time period we choose is due to data availability. BIS statistics regarding global liquidity starts from 2000. GDP of G-7 economies make up about 50 percent of the global economy and 80 percent of the advanced economies. Taking into account their important role in the world economy, we want to analyze the effects of global liquidity on the economies of G-7 economies.</w:t>
      </w:r>
    </w:p>
    <w:p w:rsidR="005A3A54" w:rsidRDefault="005A3A54" w:rsidP="005A3A54">
      <w:pPr>
        <w:jc w:val="both"/>
      </w:pPr>
    </w:p>
    <w:p w:rsidR="005A3A54" w:rsidRDefault="005A3A54" w:rsidP="005A3A54">
      <w:pPr>
        <w:jc w:val="both"/>
      </w:pPr>
      <w:r>
        <w:t>In this study, we use quantity based indicators to measure global liquidity. One reason we prefer quantity based indicators over price based indicators is that the existing literature such as Ruffer and Stracca (2006), Sousa and Zaghini (2008) and Brana and Prat (2016) all use quantity based indicators. Another reason is that we want to focus on the amount of liquidity instead of the conditions under which liquidity is provided. VIX index is not preferred since it is very volatile. Price based indicators such as nominal and real interest rates are employed in another line of research to analyze the impact of monetary policy and is out of our area of interest.</w:t>
      </w:r>
    </w:p>
    <w:p w:rsidR="005A3A54" w:rsidRDefault="005A3A54" w:rsidP="005A3A54">
      <w:pPr>
        <w:jc w:val="both"/>
      </w:pPr>
    </w:p>
    <w:p w:rsidR="005A3A54" w:rsidRDefault="005A3A54" w:rsidP="005A3A54">
      <w:pPr>
        <w:jc w:val="both"/>
      </w:pPr>
      <w:r>
        <w:t>We use 4 different quantity-based measures. First is the sum of the reference monetary aggregates for G-5 (US, Euro Area, Japan, UK and Canada) weighted by GDP. Monetary aggregates used to calculate global liquidity are M2 for US, M3 for Euro Area, M2 plus certificates of deposits for Japan, M4 for UK and M3 for Canada. Global liquidity aggregate was derived by converting national aggregates into dollar using PPP exchange rates. Following is the formula:</w:t>
      </w:r>
    </w:p>
    <w:p w:rsidR="00595678" w:rsidRDefault="00595678" w:rsidP="00595678">
      <w:pPr>
        <w:tabs>
          <w:tab w:val="center" w:pos="4140"/>
          <w:tab w:val="right" w:pos="8820"/>
        </w:tabs>
        <w:jc w:val="both"/>
        <w:rPr>
          <w:color w:val="000000"/>
          <w:lang w:val="en-GB"/>
        </w:rPr>
      </w:pPr>
      <w:r>
        <w:rPr>
          <w:color w:val="000000"/>
          <w:lang w:val="fr-FR"/>
        </w:rPr>
        <w:tab/>
      </w:r>
      <w:r w:rsidR="00992FA9" w:rsidRPr="008A00C9">
        <w:rPr>
          <w:position w:val="-30"/>
        </w:rPr>
        <w:object w:dxaOrig="32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36.75pt" o:ole="">
            <v:imagedata r:id="rId8" o:title=""/>
          </v:shape>
          <o:OLEObject Type="Embed" ProgID="Equation.3" ShapeID="_x0000_i1025" DrawAspect="Content" ObjectID="_1576069626" r:id="rId9"/>
        </w:object>
      </w:r>
      <w:r>
        <w:rPr>
          <w:color w:val="000000"/>
          <w:lang w:val="en-GB"/>
        </w:rPr>
        <w:tab/>
        <w:t>(2.1)</w:t>
      </w:r>
    </w:p>
    <w:p w:rsidR="00EC38A3" w:rsidRDefault="00595678" w:rsidP="00595678">
      <w:pPr>
        <w:jc w:val="both"/>
      </w:pPr>
      <w:r>
        <w:t xml:space="preserve">where </w:t>
      </w:r>
      <w:r w:rsidRPr="00A97653">
        <w:rPr>
          <w:i/>
        </w:rPr>
        <w:t>M</w:t>
      </w:r>
      <w:r w:rsidRPr="00A97653">
        <w:rPr>
          <w:i/>
          <w:vertAlign w:val="subscript"/>
        </w:rPr>
        <w:t>i</w:t>
      </w:r>
      <w:r>
        <w:t xml:space="preserve"> represents each monetary aggregate,</w:t>
      </w:r>
      <w:r w:rsidRPr="000073C8">
        <w:rPr>
          <w:i/>
        </w:rPr>
        <w:t xml:space="preserve"> </w:t>
      </w:r>
      <m:oMath>
        <m:sSubSup>
          <m:sSubSupPr>
            <m:ctrlPr>
              <w:rPr>
                <w:rFonts w:ascii="Cambria Math" w:hAnsi="Cambria Math"/>
                <w:i/>
              </w:rPr>
            </m:ctrlPr>
          </m:sSubSupPr>
          <m:e>
            <m:r>
              <m:rPr>
                <m:nor/>
              </m:rPr>
              <w:rPr>
                <w:i/>
              </w:rPr>
              <m:t>E</m:t>
            </m:r>
          </m:e>
          <m:sub>
            <m:r>
              <m:rPr>
                <m:nor/>
              </m:rPr>
              <w:rPr>
                <w:i/>
                <w:vertAlign w:val="subscript"/>
              </w:rPr>
              <m:t>PPP</m:t>
            </m:r>
          </m:sub>
          <m:sup>
            <m:r>
              <m:rPr>
                <m:nor/>
              </m:rPr>
              <w:rPr>
                <w:i/>
                <w:vertAlign w:val="superscript"/>
              </w:rPr>
              <m:t>i,$</m:t>
            </m:r>
          </m:sup>
        </m:sSubSup>
      </m:oMath>
      <w:r>
        <w:t xml:space="preserve"> is PPP exchange rate of the corresponding country, </w:t>
      </w:r>
      <m:oMath>
        <m:sSubSup>
          <m:sSubSupPr>
            <m:ctrlPr>
              <w:rPr>
                <w:rFonts w:ascii="Cambria Math" w:hAnsi="Cambria Math"/>
                <w:i/>
              </w:rPr>
            </m:ctrlPr>
          </m:sSubSupPr>
          <m:e>
            <m:r>
              <m:rPr>
                <m:nor/>
              </m:rPr>
              <w:rPr>
                <w:i/>
              </w:rPr>
              <m:t>GDP</m:t>
            </m:r>
          </m:e>
          <m:sub>
            <m:r>
              <m:rPr>
                <m:nor/>
              </m:rPr>
              <w:rPr>
                <w:i/>
                <w:vertAlign w:val="subscript"/>
              </w:rPr>
              <m:t>i</m:t>
            </m:r>
          </m:sub>
          <m:sup>
            <m:r>
              <m:rPr>
                <m:nor/>
              </m:rPr>
              <m:t>5</m:t>
            </m:r>
          </m:sup>
        </m:sSubSup>
      </m:oMath>
      <w:r>
        <w:t xml:space="preserve"> is gross domestic product in local currency and </w:t>
      </w:r>
      <m:oMath>
        <m:sSubSup>
          <m:sSubSupPr>
            <m:ctrlPr>
              <w:rPr>
                <w:rFonts w:ascii="Cambria Math" w:hAnsi="Cambria Math"/>
                <w:i/>
              </w:rPr>
            </m:ctrlPr>
          </m:sSubSupPr>
          <m:e>
            <m:r>
              <m:rPr>
                <m:nor/>
              </m:rPr>
              <w:rPr>
                <w:i/>
              </w:rPr>
              <m:t>GDP</m:t>
            </m:r>
          </m:e>
          <m:sub>
            <m:r>
              <m:rPr>
                <m:nor/>
              </m:rPr>
              <w:rPr>
                <w:i/>
              </w:rPr>
              <m:t>total</m:t>
            </m:r>
          </m:sub>
          <m:sup>
            <m:r>
              <m:rPr>
                <m:nor/>
              </m:rPr>
              <m:t>$</m:t>
            </m:r>
          </m:sup>
        </m:sSubSup>
      </m:oMath>
      <w:r w:rsidR="0081598F">
        <w:rPr>
          <w:rFonts w:ascii="Cambria Math" w:hAnsi="Cambria Math" w:cs="Cambria Math"/>
        </w:rPr>
        <w:t xml:space="preserve"> </w:t>
      </w:r>
      <w:r>
        <w:t>is total GDP of countries converted to dollar using PPP exchange rates. This measure of global liquidity was used especially before the crisis of 2008-09 (Among them Ruffer and Stracca</w:t>
      </w:r>
      <w:r w:rsidR="0081598F">
        <w:t>,</w:t>
      </w:r>
      <w:r>
        <w:t xml:space="preserve"> 2006</w:t>
      </w:r>
      <w:r w:rsidR="0081598F">
        <w:t>;</w:t>
      </w:r>
      <w:r>
        <w:t xml:space="preserve"> Sousa and Zaghini</w:t>
      </w:r>
      <w:r w:rsidR="0081598F">
        <w:t>,</w:t>
      </w:r>
      <w:r>
        <w:t xml:space="preserve"> 2007</w:t>
      </w:r>
      <w:r w:rsidR="0081598F">
        <w:t>;</w:t>
      </w:r>
      <w:r>
        <w:t xml:space="preserve"> Sousa and Zaghini</w:t>
      </w:r>
      <w:r w:rsidR="0081598F">
        <w:t>,</w:t>
      </w:r>
      <w:r>
        <w:t xml:space="preserve"> 2008). Second global liquidity measure we use is the international bank claims which includes all BIS reporting banks’ cross border credit and local credit in foreign currency. Credit aggregates have some important advantages over other measures. They represent the end of financial intermediation chain and capture the interaction of public and private liquidity (Eickmeier et al.</w:t>
      </w:r>
      <w:r w:rsidR="00EC38A3">
        <w:t>,</w:t>
      </w:r>
      <w:r>
        <w:t xml:space="preserve"> 2014). Credit aggregates have been used extensively as a measure of global liquidity in the post crisis period. </w:t>
      </w:r>
      <w:r w:rsidR="00EC38A3">
        <w:t>However</w:t>
      </w:r>
      <w:r>
        <w:t xml:space="preserve">, due to the problems in the banking sector of advanced countries, global credit growth was weak in the post crisis period. In this period, low interest rates and </w:t>
      </w:r>
      <w:r w:rsidR="00EC38A3">
        <w:t>insufficient amount</w:t>
      </w:r>
      <w:r>
        <w:t xml:space="preserve"> of credit supply by the banking sector led to a surge in bond issuance. This has contributed to a new phase of global </w:t>
      </w:r>
      <w:r w:rsidR="00EC38A3">
        <w:t>liquidity</w:t>
      </w:r>
      <w:r>
        <w:t xml:space="preserve"> </w:t>
      </w:r>
      <w:r w:rsidR="00EC38A3">
        <w:t>expansion</w:t>
      </w:r>
      <w:r>
        <w:t>. Therefore, as a third measure of global liquidity we use total amount of financing which is calculated as the sum of bank loans to non-residents and international debt securities in dollar, euro and yen. These data were gathered from Bank for International Settlements (BIS) statistics. As the fourth measure of global liquidity, we build a proxy for global liquidity as the sum of central bank monetary base of US, Euro Area, Japan and UK. These are the countries that implemented QE policies after the crisis and had the largest contribution to the expansion of global monetary base. This measure of global liquidity takes quantitative easing into account. Since monetary base is expressed in local currency, we convert each into dollar using nominal exchange rates.</w:t>
      </w:r>
      <w:r w:rsidR="004624E7">
        <w:t xml:space="preserve"> </w:t>
      </w:r>
    </w:p>
    <w:p w:rsidR="00595678" w:rsidRDefault="004624E7" w:rsidP="00595678">
      <w:pPr>
        <w:jc w:val="both"/>
      </w:pPr>
      <w:r>
        <w:t xml:space="preserve"> </w:t>
      </w:r>
    </w:p>
    <w:p w:rsidR="00595678" w:rsidRDefault="00595678" w:rsidP="00595678">
      <w:pPr>
        <w:jc w:val="both"/>
      </w:pPr>
      <w:r>
        <w:t>Our estimation has four steps: first we test for cross sectional dependence in our data; second, panel unit root test is performed to identify the nature of stationarity of the variables; third, a panel cointegration test is conducted to see whether there is a long-run relationship between the variables; and fourth, a PVAR model is built to analyze the short run effects of global liquidity on</w:t>
      </w:r>
      <w:r w:rsidR="00EC38A3">
        <w:t xml:space="preserve"> other macroeconomic variables.</w:t>
      </w:r>
    </w:p>
    <w:p w:rsidR="00EC38A3" w:rsidRDefault="00EC38A3" w:rsidP="00595678">
      <w:pPr>
        <w:jc w:val="both"/>
      </w:pPr>
    </w:p>
    <w:p w:rsidR="00595678" w:rsidRDefault="00595678" w:rsidP="00595678">
      <w:pPr>
        <w:jc w:val="both"/>
      </w:pPr>
      <w:r>
        <w:t>In the empirical modeling, we first check cross sectional dependency properties of the variables. When we don’t take into account cross sectional dependence for panel data models, this may lead to over-rejection of the unit root hypothesis (O’Connell, 1998). Moreover, when cross sectional dependence is ignored, estimators may produce biased and inconsistent results as i</w:t>
      </w:r>
      <w:r w:rsidR="00EC38A3">
        <w:t>n the case of omitted variable.</w:t>
      </w:r>
    </w:p>
    <w:p w:rsidR="00EC38A3" w:rsidRDefault="00EC38A3" w:rsidP="00595678">
      <w:pPr>
        <w:jc w:val="both"/>
      </w:pPr>
    </w:p>
    <w:p w:rsidR="00595678" w:rsidRDefault="00595678" w:rsidP="00595678">
      <w:pPr>
        <w:jc w:val="both"/>
      </w:pPr>
      <w:r>
        <w:t>In order to investigate cross sectional dependence, we employ both the Bias adjusted LM test (Pesaran et al.</w:t>
      </w:r>
      <w:r w:rsidR="00EC38A3">
        <w:t>,</w:t>
      </w:r>
      <w:r>
        <w:t xml:space="preserve"> 2008) and CD LM test proposed by Breusch and Pagan (1980). CD test proposed by Peseran (2004) is also frequently used in the empirical literature when cross sectional dimension (</w:t>
      </w:r>
      <w:r w:rsidRPr="00EC38A3">
        <w:rPr>
          <w:i/>
        </w:rPr>
        <w:t>N</w:t>
      </w:r>
      <w:r>
        <w:t>) is higher than time dimension (</w:t>
      </w:r>
      <w:r w:rsidRPr="00EC38A3">
        <w:rPr>
          <w:i/>
        </w:rPr>
        <w:t>T</w:t>
      </w:r>
      <w:r>
        <w:t>). However, data access improved over time and time series dimension (</w:t>
      </w:r>
      <w:r w:rsidRPr="00EC38A3">
        <w:rPr>
          <w:i/>
        </w:rPr>
        <w:t>T</w:t>
      </w:r>
      <w:r>
        <w:t xml:space="preserve">) started to dominate the panel literature. If time dimension is greater than cross sectional dimension like our case, CD LM test of Breusch and Pagan and the bias adjusted LM test are </w:t>
      </w:r>
      <w:r w:rsidR="00EC38A3">
        <w:t>preferred</w:t>
      </w:r>
      <w:r>
        <w:t>.</w:t>
      </w:r>
    </w:p>
    <w:p w:rsidR="00EC38A3" w:rsidRDefault="00EC38A3" w:rsidP="00595678">
      <w:pPr>
        <w:jc w:val="both"/>
      </w:pPr>
    </w:p>
    <w:p w:rsidR="005A3A54" w:rsidRDefault="00595678" w:rsidP="00595678">
      <w:pPr>
        <w:jc w:val="both"/>
      </w:pPr>
      <w:r>
        <w:t xml:space="preserve">The LM test statistic given in </w:t>
      </w:r>
      <w:r w:rsidR="00EC38A3">
        <w:t>Breusch and Pagan is as follows:</w:t>
      </w:r>
    </w:p>
    <w:p w:rsidR="002524A5" w:rsidRDefault="002524A5" w:rsidP="002524A5">
      <w:pPr>
        <w:tabs>
          <w:tab w:val="center" w:pos="4140"/>
          <w:tab w:val="right" w:pos="8820"/>
        </w:tabs>
        <w:jc w:val="both"/>
        <w:rPr>
          <w:color w:val="000000"/>
          <w:lang w:val="en-GB"/>
        </w:rPr>
      </w:pPr>
      <w:r>
        <w:rPr>
          <w:color w:val="000000"/>
          <w:lang w:val="fr-FR"/>
        </w:rPr>
        <w:tab/>
      </w:r>
      <m:oMath>
        <m:r>
          <w:rPr>
            <w:rFonts w:ascii="Cambria Math" w:hAnsi="Cambria Math"/>
          </w:rPr>
          <m:t>LM=</m:t>
        </m:r>
        <m:r>
          <w:rPr>
            <w:rFonts w:ascii="Cambria Math" w:hAnsi="Cambria Math"/>
            <w:lang w:val="sv-SE"/>
          </w:rPr>
          <m:t>T</m:t>
        </m:r>
        <m:d>
          <m:dPr>
            <m:ctrlPr>
              <w:rPr>
                <w:rFonts w:ascii="Cambria Math" w:hAnsi="Cambria Math"/>
                <w:i/>
                <w:lang w:val="sv-SE"/>
              </w:rPr>
            </m:ctrlPr>
          </m:dPr>
          <m:e>
            <m:nary>
              <m:naryPr>
                <m:chr m:val="∑"/>
                <m:limLoc m:val="undOvr"/>
                <m:ctrlPr>
                  <w:rPr>
                    <w:rFonts w:ascii="Cambria Math" w:hAnsi="Cambria Math"/>
                    <w:i/>
                    <w:lang w:val="sv-SE"/>
                  </w:rPr>
                </m:ctrlPr>
              </m:naryPr>
              <m:sub>
                <m:r>
                  <w:rPr>
                    <w:rFonts w:ascii="Cambria Math" w:hAnsi="Cambria Math"/>
                    <w:lang w:val="sv-SE"/>
                  </w:rPr>
                  <m:t>i=1</m:t>
                </m:r>
              </m:sub>
              <m:sup>
                <m:r>
                  <w:rPr>
                    <w:rFonts w:ascii="Cambria Math" w:hAnsi="Cambria Math"/>
                    <w:lang w:val="sv-SE"/>
                  </w:rPr>
                  <m:t>N-1</m:t>
                </m:r>
              </m:sup>
              <m:e>
                <m:nary>
                  <m:naryPr>
                    <m:chr m:val="∑"/>
                    <m:limLoc m:val="undOvr"/>
                    <m:ctrlPr>
                      <w:rPr>
                        <w:rFonts w:ascii="Cambria Math" w:hAnsi="Cambria Math"/>
                        <w:i/>
                        <w:lang w:val="sv-SE"/>
                      </w:rPr>
                    </m:ctrlPr>
                  </m:naryPr>
                  <m:sub>
                    <m:r>
                      <w:rPr>
                        <w:rFonts w:ascii="Cambria Math" w:hAnsi="Cambria Math"/>
                        <w:lang w:val="sv-SE"/>
                      </w:rPr>
                      <m:t>j=i+1</m:t>
                    </m:r>
                  </m:sub>
                  <m:sup>
                    <m:r>
                      <w:rPr>
                        <w:rFonts w:ascii="Cambria Math" w:hAnsi="Cambria Math"/>
                        <w:lang w:val="sv-SE"/>
                      </w:rPr>
                      <m:t>N</m:t>
                    </m:r>
                  </m:sup>
                  <m:e>
                    <m:sSup>
                      <m:sSupPr>
                        <m:ctrlPr>
                          <w:rPr>
                            <w:rFonts w:ascii="Cambria Math" w:hAnsi="Cambria Math"/>
                            <w:i/>
                            <w:lang w:val="sv-SE"/>
                          </w:rPr>
                        </m:ctrlPr>
                      </m:sSupPr>
                      <m:e>
                        <m:sSub>
                          <m:sSubPr>
                            <m:ctrlPr>
                              <w:rPr>
                                <w:rFonts w:ascii="Cambria Math" w:hAnsi="Cambria Math"/>
                                <w:i/>
                                <w:lang w:val="sv-SE"/>
                              </w:rPr>
                            </m:ctrlPr>
                          </m:sSubPr>
                          <m:e>
                            <m:acc>
                              <m:accPr>
                                <m:ctrlPr>
                                  <w:rPr>
                                    <w:rFonts w:ascii="Cambria Math" w:hAnsi="Cambria Math"/>
                                    <w:i/>
                                    <w:lang w:val="sv-SE"/>
                                  </w:rPr>
                                </m:ctrlPr>
                              </m:accPr>
                              <m:e>
                                <m:r>
                                  <w:rPr>
                                    <w:rFonts w:ascii="Cambria Math" w:hAnsi="Cambria Math"/>
                                    <w:lang w:val="sv-SE"/>
                                  </w:rPr>
                                  <m:t>ρ</m:t>
                                </m:r>
                              </m:e>
                            </m:acc>
                          </m:e>
                          <m:sub>
                            <m:r>
                              <w:rPr>
                                <w:rFonts w:ascii="Cambria Math" w:hAnsi="Cambria Math"/>
                                <w:lang w:val="sv-SE"/>
                              </w:rPr>
                              <m:t>ij</m:t>
                            </m:r>
                          </m:sub>
                        </m:sSub>
                      </m:e>
                      <m:sup>
                        <m:r>
                          <w:rPr>
                            <w:rFonts w:ascii="Cambria Math" w:hAnsi="Cambria Math"/>
                            <w:lang w:val="sv-SE"/>
                          </w:rPr>
                          <m:t>2</m:t>
                        </m:r>
                      </m:sup>
                    </m:sSup>
                  </m:e>
                </m:nary>
              </m:e>
            </m:nary>
          </m:e>
        </m:d>
      </m:oMath>
      <w:r>
        <w:rPr>
          <w:color w:val="000000"/>
          <w:lang w:val="en-GB"/>
        </w:rPr>
        <w:tab/>
        <w:t>(2.2)</w:t>
      </w:r>
    </w:p>
    <w:p w:rsidR="002524A5" w:rsidRDefault="002524A5" w:rsidP="002524A5">
      <w:pPr>
        <w:jc w:val="both"/>
      </w:pPr>
      <w:r>
        <w:t xml:space="preserve">and the bias- adjusted version of LM test is </w:t>
      </w:r>
    </w:p>
    <w:p w:rsidR="002524A5" w:rsidRDefault="002524A5" w:rsidP="002524A5">
      <w:pPr>
        <w:tabs>
          <w:tab w:val="center" w:pos="4140"/>
          <w:tab w:val="right" w:pos="8820"/>
        </w:tabs>
        <w:jc w:val="both"/>
        <w:rPr>
          <w:color w:val="000000"/>
          <w:lang w:val="en-GB"/>
        </w:rPr>
      </w:pPr>
      <w:r>
        <w:rPr>
          <w:color w:val="000000"/>
          <w:lang w:val="fr-FR"/>
        </w:rPr>
        <w:tab/>
      </w:r>
      <m:oMath>
        <m:r>
          <w:rPr>
            <w:rFonts w:ascii="Cambria Math" w:hAnsi="Cambria Math"/>
          </w:rPr>
          <m:t>L</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m:t>
        </m:r>
        <m:rad>
          <m:radPr>
            <m:degHide m:val="on"/>
            <m:ctrlPr>
              <w:rPr>
                <w:rFonts w:ascii="Cambria Math" w:hAnsi="Cambria Math"/>
                <w:i/>
                <w:lang w:val="sv-SE"/>
              </w:rPr>
            </m:ctrlPr>
          </m:radPr>
          <m:deg/>
          <m:e>
            <m:f>
              <m:fPr>
                <m:ctrlPr>
                  <w:rPr>
                    <w:rFonts w:ascii="Cambria Math" w:hAnsi="Cambria Math"/>
                    <w:i/>
                    <w:lang w:val="sv-SE"/>
                  </w:rPr>
                </m:ctrlPr>
              </m:fPr>
              <m:num>
                <m:r>
                  <w:rPr>
                    <w:rFonts w:ascii="Cambria Math" w:hAnsi="Cambria Math"/>
                    <w:lang w:val="sv-SE"/>
                  </w:rPr>
                  <m:t>2T</m:t>
                </m:r>
              </m:num>
              <m:den>
                <m:r>
                  <w:rPr>
                    <w:rFonts w:ascii="Cambria Math" w:hAnsi="Cambria Math"/>
                    <w:lang w:val="sv-SE"/>
                  </w:rPr>
                  <m:t>N(N-1)</m:t>
                </m:r>
              </m:den>
            </m:f>
          </m:e>
        </m:rad>
        <m:d>
          <m:dPr>
            <m:ctrlPr>
              <w:rPr>
                <w:rFonts w:ascii="Cambria Math" w:hAnsi="Cambria Math"/>
                <w:i/>
                <w:lang w:val="sv-SE"/>
              </w:rPr>
            </m:ctrlPr>
          </m:dPr>
          <m:e>
            <m:nary>
              <m:naryPr>
                <m:chr m:val="∑"/>
                <m:limLoc m:val="undOvr"/>
                <m:ctrlPr>
                  <w:rPr>
                    <w:rFonts w:ascii="Cambria Math" w:hAnsi="Cambria Math"/>
                    <w:i/>
                    <w:lang w:val="sv-SE"/>
                  </w:rPr>
                </m:ctrlPr>
              </m:naryPr>
              <m:sub>
                <m:r>
                  <w:rPr>
                    <w:rFonts w:ascii="Cambria Math" w:hAnsi="Cambria Math"/>
                    <w:lang w:val="sv-SE"/>
                  </w:rPr>
                  <m:t>i=1</m:t>
                </m:r>
              </m:sub>
              <m:sup>
                <m:r>
                  <w:rPr>
                    <w:rFonts w:ascii="Cambria Math" w:hAnsi="Cambria Math"/>
                    <w:lang w:val="sv-SE"/>
                  </w:rPr>
                  <m:t>N-1</m:t>
                </m:r>
              </m:sup>
              <m:e>
                <m:nary>
                  <m:naryPr>
                    <m:chr m:val="∑"/>
                    <m:limLoc m:val="undOvr"/>
                    <m:ctrlPr>
                      <w:rPr>
                        <w:rFonts w:ascii="Cambria Math" w:hAnsi="Cambria Math"/>
                        <w:i/>
                        <w:lang w:val="sv-SE"/>
                      </w:rPr>
                    </m:ctrlPr>
                  </m:naryPr>
                  <m:sub>
                    <m:r>
                      <w:rPr>
                        <w:rFonts w:ascii="Cambria Math" w:hAnsi="Cambria Math"/>
                        <w:lang w:val="sv-SE"/>
                      </w:rPr>
                      <m:t>j=i+1</m:t>
                    </m:r>
                  </m:sub>
                  <m:sup>
                    <m:r>
                      <w:rPr>
                        <w:rFonts w:ascii="Cambria Math" w:hAnsi="Cambria Math"/>
                        <w:lang w:val="sv-SE"/>
                      </w:rPr>
                      <m:t>N</m:t>
                    </m:r>
                  </m:sup>
                  <m:e>
                    <m:sSub>
                      <m:sSubPr>
                        <m:ctrlPr>
                          <w:rPr>
                            <w:rFonts w:ascii="Cambria Math" w:hAnsi="Cambria Math"/>
                            <w:i/>
                            <w:lang w:val="sv-SE"/>
                          </w:rPr>
                        </m:ctrlPr>
                      </m:sSubPr>
                      <m:e>
                        <m:acc>
                          <m:accPr>
                            <m:ctrlPr>
                              <w:rPr>
                                <w:rFonts w:ascii="Cambria Math" w:hAnsi="Cambria Math"/>
                                <w:i/>
                                <w:lang w:val="sv-SE"/>
                              </w:rPr>
                            </m:ctrlPr>
                          </m:accPr>
                          <m:e>
                            <m:r>
                              <w:rPr>
                                <w:rFonts w:ascii="Cambria Math" w:hAnsi="Cambria Math"/>
                                <w:lang w:val="sv-SE"/>
                              </w:rPr>
                              <m:t>ρ</m:t>
                            </m:r>
                          </m:e>
                        </m:acc>
                      </m:e>
                      <m:sub>
                        <m:r>
                          <w:rPr>
                            <w:rFonts w:ascii="Cambria Math" w:hAnsi="Cambria Math"/>
                            <w:lang w:val="sv-SE"/>
                          </w:rPr>
                          <m:t>ij</m:t>
                        </m:r>
                      </m:sub>
                    </m:sSub>
                  </m:e>
                </m:nary>
              </m:e>
            </m:nary>
          </m:e>
        </m:d>
        <m:f>
          <m:fPr>
            <m:ctrlPr>
              <w:rPr>
                <w:rFonts w:ascii="Cambria Math" w:hAnsi="Cambria Math"/>
                <w:i/>
              </w:rPr>
            </m:ctrlPr>
          </m:fPr>
          <m:num>
            <m:d>
              <m:dPr>
                <m:ctrlPr>
                  <w:rPr>
                    <w:rFonts w:ascii="Cambria Math" w:hAnsi="Cambria Math"/>
                    <w:i/>
                  </w:rPr>
                </m:ctrlPr>
              </m:dPr>
              <m:e>
                <m:r>
                  <w:rPr>
                    <w:rFonts w:ascii="Cambria Math" w:hAnsi="Cambria Math"/>
                  </w:rPr>
                  <m:t>T-k</m:t>
                </m:r>
              </m:e>
            </m:d>
            <m:sSup>
              <m:sSupPr>
                <m:ctrlPr>
                  <w:rPr>
                    <w:rFonts w:ascii="Cambria Math" w:hAnsi="Cambria Math"/>
                    <w:i/>
                    <w:lang w:val="sv-SE"/>
                  </w:rPr>
                </m:ctrlPr>
              </m:sSupPr>
              <m:e>
                <m:sSub>
                  <m:sSubPr>
                    <m:ctrlPr>
                      <w:rPr>
                        <w:rFonts w:ascii="Cambria Math" w:hAnsi="Cambria Math"/>
                        <w:i/>
                        <w:lang w:val="sv-SE"/>
                      </w:rPr>
                    </m:ctrlPr>
                  </m:sSubPr>
                  <m:e>
                    <m:acc>
                      <m:accPr>
                        <m:ctrlPr>
                          <w:rPr>
                            <w:rFonts w:ascii="Cambria Math" w:hAnsi="Cambria Math"/>
                            <w:i/>
                            <w:lang w:val="sv-SE"/>
                          </w:rPr>
                        </m:ctrlPr>
                      </m:accPr>
                      <m:e>
                        <m:r>
                          <w:rPr>
                            <w:rFonts w:ascii="Cambria Math" w:hAnsi="Cambria Math"/>
                            <w:lang w:val="sv-SE"/>
                          </w:rPr>
                          <m:t>ρ</m:t>
                        </m:r>
                      </m:e>
                    </m:acc>
                  </m:e>
                  <m:sub>
                    <m:r>
                      <w:rPr>
                        <w:rFonts w:ascii="Cambria Math" w:hAnsi="Cambria Math"/>
                        <w:lang w:val="sv-SE"/>
                      </w:rPr>
                      <m:t>ij</m:t>
                    </m:r>
                  </m:sub>
                </m:sSub>
              </m:e>
              <m:sup>
                <m:r>
                  <w:rPr>
                    <w:rFonts w:ascii="Cambria Math" w:hAnsi="Cambria Math"/>
                    <w:lang w:val="sv-SE"/>
                  </w:rPr>
                  <m:t>2</m:t>
                </m:r>
              </m:sup>
            </m:sSup>
            <m:r>
              <w:rPr>
                <w:rFonts w:ascii="Cambria Math" w:hAnsi="Cambria Math"/>
                <w:lang w:val="sv-SE"/>
              </w:rPr>
              <m:t>-E</m:t>
            </m:r>
            <m:d>
              <m:dPr>
                <m:ctrlPr>
                  <w:rPr>
                    <w:rFonts w:ascii="Cambria Math" w:hAnsi="Cambria Math"/>
                    <w:i/>
                    <w:lang w:val="sv-SE"/>
                  </w:rPr>
                </m:ctrlPr>
              </m:dPr>
              <m:e>
                <m:r>
                  <w:rPr>
                    <w:rFonts w:ascii="Cambria Math" w:hAnsi="Cambria Math"/>
                    <w:lang w:val="sv-SE"/>
                  </w:rPr>
                  <m:t>T-k</m:t>
                </m:r>
              </m:e>
            </m:d>
            <m:sSup>
              <m:sSupPr>
                <m:ctrlPr>
                  <w:rPr>
                    <w:rFonts w:ascii="Cambria Math" w:hAnsi="Cambria Math"/>
                    <w:i/>
                    <w:lang w:val="sv-SE"/>
                  </w:rPr>
                </m:ctrlPr>
              </m:sSupPr>
              <m:e>
                <m:sSub>
                  <m:sSubPr>
                    <m:ctrlPr>
                      <w:rPr>
                        <w:rFonts w:ascii="Cambria Math" w:hAnsi="Cambria Math"/>
                        <w:i/>
                        <w:lang w:val="sv-SE"/>
                      </w:rPr>
                    </m:ctrlPr>
                  </m:sSubPr>
                  <m:e>
                    <m:acc>
                      <m:accPr>
                        <m:ctrlPr>
                          <w:rPr>
                            <w:rFonts w:ascii="Cambria Math" w:hAnsi="Cambria Math"/>
                            <w:i/>
                            <w:lang w:val="sv-SE"/>
                          </w:rPr>
                        </m:ctrlPr>
                      </m:accPr>
                      <m:e>
                        <m:r>
                          <w:rPr>
                            <w:rFonts w:ascii="Cambria Math" w:hAnsi="Cambria Math"/>
                            <w:lang w:val="sv-SE"/>
                          </w:rPr>
                          <m:t>ρ</m:t>
                        </m:r>
                      </m:e>
                    </m:acc>
                  </m:e>
                  <m:sub>
                    <m:r>
                      <w:rPr>
                        <w:rFonts w:ascii="Cambria Math" w:hAnsi="Cambria Math"/>
                        <w:lang w:val="sv-SE"/>
                      </w:rPr>
                      <m:t>ij</m:t>
                    </m:r>
                  </m:sub>
                </m:sSub>
              </m:e>
              <m:sup>
                <m:r>
                  <w:rPr>
                    <w:rFonts w:ascii="Cambria Math" w:hAnsi="Cambria Math"/>
                    <w:lang w:val="sv-SE"/>
                  </w:rPr>
                  <m:t>2</m:t>
                </m:r>
              </m:sup>
            </m:sSup>
          </m:num>
          <m:den>
            <m:r>
              <w:rPr>
                <w:rFonts w:ascii="Cambria Math" w:hAnsi="Cambria Math"/>
              </w:rPr>
              <m:t>Var</m:t>
            </m:r>
            <m:d>
              <m:dPr>
                <m:ctrlPr>
                  <w:rPr>
                    <w:rFonts w:ascii="Cambria Math" w:hAnsi="Cambria Math"/>
                    <w:i/>
                    <w:lang w:val="sv-SE"/>
                  </w:rPr>
                </m:ctrlPr>
              </m:dPr>
              <m:e>
                <m:r>
                  <w:rPr>
                    <w:rFonts w:ascii="Cambria Math" w:hAnsi="Cambria Math"/>
                    <w:lang w:val="sv-SE"/>
                  </w:rPr>
                  <m:t>T-k</m:t>
                </m:r>
              </m:e>
            </m:d>
            <m:sSup>
              <m:sSupPr>
                <m:ctrlPr>
                  <w:rPr>
                    <w:rFonts w:ascii="Cambria Math" w:hAnsi="Cambria Math"/>
                    <w:i/>
                    <w:lang w:val="sv-SE"/>
                  </w:rPr>
                </m:ctrlPr>
              </m:sSupPr>
              <m:e>
                <m:sSub>
                  <m:sSubPr>
                    <m:ctrlPr>
                      <w:rPr>
                        <w:rFonts w:ascii="Cambria Math" w:hAnsi="Cambria Math"/>
                        <w:i/>
                        <w:lang w:val="sv-SE"/>
                      </w:rPr>
                    </m:ctrlPr>
                  </m:sSubPr>
                  <m:e>
                    <m:acc>
                      <m:accPr>
                        <m:ctrlPr>
                          <w:rPr>
                            <w:rFonts w:ascii="Cambria Math" w:hAnsi="Cambria Math"/>
                            <w:i/>
                            <w:lang w:val="sv-SE"/>
                          </w:rPr>
                        </m:ctrlPr>
                      </m:accPr>
                      <m:e>
                        <m:r>
                          <w:rPr>
                            <w:rFonts w:ascii="Cambria Math" w:hAnsi="Cambria Math"/>
                            <w:lang w:val="sv-SE"/>
                          </w:rPr>
                          <m:t>ρ</m:t>
                        </m:r>
                      </m:e>
                    </m:acc>
                  </m:e>
                  <m:sub>
                    <m:r>
                      <w:rPr>
                        <w:rFonts w:ascii="Cambria Math" w:hAnsi="Cambria Math"/>
                        <w:lang w:val="sv-SE"/>
                      </w:rPr>
                      <m:t>ij</m:t>
                    </m:r>
                  </m:sub>
                </m:sSub>
              </m:e>
              <m:sup>
                <m:r>
                  <w:rPr>
                    <w:rFonts w:ascii="Cambria Math" w:hAnsi="Cambria Math"/>
                    <w:lang w:val="sv-SE"/>
                  </w:rPr>
                  <m:t>2</m:t>
                </m:r>
              </m:sup>
            </m:sSup>
          </m:den>
        </m:f>
      </m:oMath>
      <w:r>
        <w:rPr>
          <w:color w:val="000000"/>
          <w:lang w:val="en-GB"/>
        </w:rPr>
        <w:tab/>
        <w:t>(2.3)</w:t>
      </w:r>
    </w:p>
    <w:p w:rsidR="002524A5" w:rsidRDefault="002524A5" w:rsidP="002524A5">
      <w:pPr>
        <w:jc w:val="both"/>
      </w:pPr>
      <w:r>
        <w:t xml:space="preserve">where </w:t>
      </w:r>
      <m:oMath>
        <m:sSub>
          <m:sSubPr>
            <m:ctrlPr>
              <w:rPr>
                <w:rFonts w:ascii="Cambria Math" w:hAnsi="Cambria Math"/>
                <w:i/>
                <w:lang w:val="sv-SE"/>
              </w:rPr>
            </m:ctrlPr>
          </m:sSubPr>
          <m:e>
            <m:acc>
              <m:accPr>
                <m:ctrlPr>
                  <w:rPr>
                    <w:rFonts w:ascii="Cambria Math" w:hAnsi="Cambria Math"/>
                    <w:i/>
                    <w:lang w:val="sv-SE"/>
                  </w:rPr>
                </m:ctrlPr>
              </m:accPr>
              <m:e>
                <m:r>
                  <w:rPr>
                    <w:rFonts w:ascii="Cambria Math" w:hAnsi="Cambria Math"/>
                    <w:lang w:val="sv-SE"/>
                  </w:rPr>
                  <m:t>ρ</m:t>
                </m:r>
              </m:e>
            </m:acc>
          </m:e>
          <m:sub>
            <m:r>
              <w:rPr>
                <w:rFonts w:ascii="Cambria Math" w:hAnsi="Cambria Math"/>
                <w:lang w:val="sv-SE"/>
              </w:rPr>
              <m:t>ij</m:t>
            </m:r>
          </m:sub>
        </m:sSub>
      </m:oMath>
      <w:r>
        <w:t xml:space="preserve"> is the sample estimate of the pairwise correlation of the error terms taken from OLS. After testing for cross sectional dependence, we investigate stationarity properties of the variables. For stationarity check, we employ 5 different unit root tests. First one is Maddala and Wu (1999) first generation panel unit root test which don’t take into account cross sectional dependence. </w:t>
      </w:r>
    </w:p>
    <w:p w:rsidR="002524A5" w:rsidRDefault="002524A5" w:rsidP="002524A5">
      <w:pPr>
        <w:jc w:val="both"/>
      </w:pPr>
    </w:p>
    <w:p w:rsidR="002524A5" w:rsidRDefault="002524A5" w:rsidP="002524A5">
      <w:pPr>
        <w:jc w:val="both"/>
      </w:pPr>
      <w:r>
        <w:t>Maddala and Wu (1999) propose a Fisher-type test:</w:t>
      </w:r>
    </w:p>
    <w:p w:rsidR="002524A5" w:rsidRDefault="002524A5" w:rsidP="002524A5">
      <w:pPr>
        <w:tabs>
          <w:tab w:val="center" w:pos="4140"/>
          <w:tab w:val="right" w:pos="8820"/>
        </w:tabs>
        <w:jc w:val="both"/>
        <w:rPr>
          <w:color w:val="000000"/>
          <w:lang w:val="en-GB"/>
        </w:rPr>
      </w:pPr>
      <w:r>
        <w:rPr>
          <w:color w:val="000000"/>
          <w:lang w:val="fr-FR"/>
        </w:rPr>
        <w:tab/>
      </w:r>
      <m:oMath>
        <m:r>
          <w:rPr>
            <w:rFonts w:ascii="Cambria Math" w:hAnsi="Cambria Math"/>
            <w:lang w:val="sv-SE"/>
          </w:rPr>
          <m:t>P=-2</m:t>
        </m:r>
        <m:d>
          <m:dPr>
            <m:ctrlPr>
              <w:rPr>
                <w:rFonts w:ascii="Cambria Math" w:hAnsi="Cambria Math"/>
                <w:i/>
                <w:lang w:val="sv-SE"/>
              </w:rPr>
            </m:ctrlPr>
          </m:dPr>
          <m:e>
            <m:nary>
              <m:naryPr>
                <m:chr m:val="∑"/>
                <m:limLoc m:val="undOvr"/>
                <m:ctrlPr>
                  <w:rPr>
                    <w:rFonts w:ascii="Cambria Math" w:hAnsi="Cambria Math"/>
                    <w:i/>
                    <w:lang w:val="sv-SE"/>
                  </w:rPr>
                </m:ctrlPr>
              </m:naryPr>
              <m:sub>
                <m:r>
                  <w:rPr>
                    <w:rFonts w:ascii="Cambria Math" w:hAnsi="Cambria Math"/>
                    <w:lang w:val="sv-SE"/>
                  </w:rPr>
                  <m:t>i=1</m:t>
                </m:r>
              </m:sub>
              <m:sup>
                <m:r>
                  <w:rPr>
                    <w:rFonts w:ascii="Cambria Math" w:hAnsi="Cambria Math"/>
                    <w:lang w:val="sv-SE"/>
                  </w:rPr>
                  <m:t>N</m:t>
                </m:r>
              </m:sup>
              <m:e>
                <m:r>
                  <w:rPr>
                    <w:rFonts w:ascii="Cambria Math" w:hAnsi="Cambria Math"/>
                    <w:lang w:val="sv-SE"/>
                  </w:rPr>
                  <m:t>ln</m:t>
                </m:r>
                <m:sSub>
                  <m:sSubPr>
                    <m:ctrlPr>
                      <w:rPr>
                        <w:rFonts w:ascii="Cambria Math" w:hAnsi="Cambria Math"/>
                        <w:i/>
                        <w:lang w:val="sv-SE"/>
                      </w:rPr>
                    </m:ctrlPr>
                  </m:sSubPr>
                  <m:e>
                    <m:r>
                      <w:rPr>
                        <w:rFonts w:ascii="Cambria Math" w:hAnsi="Cambria Math"/>
                        <w:lang w:val="sv-SE"/>
                      </w:rPr>
                      <m:t>p</m:t>
                    </m:r>
                  </m:e>
                  <m:sub>
                    <m:r>
                      <w:rPr>
                        <w:rFonts w:ascii="Cambria Math" w:hAnsi="Cambria Math"/>
                        <w:lang w:val="sv-SE"/>
                      </w:rPr>
                      <m:t>i</m:t>
                    </m:r>
                  </m:sub>
                </m:sSub>
              </m:e>
            </m:nary>
          </m:e>
        </m:d>
        <m:r>
          <w:rPr>
            <w:rFonts w:ascii="Cambria Math" w:hAnsi="Cambria Math"/>
            <w:lang w:val="sv-SE"/>
          </w:rPr>
          <m:t xml:space="preserve"> → </m:t>
        </m:r>
        <m:sSup>
          <m:sSupPr>
            <m:ctrlPr>
              <w:rPr>
                <w:rFonts w:ascii="Cambria Math" w:hAnsi="Cambria Math"/>
                <w:i/>
                <w:lang w:val="sv-SE"/>
              </w:rPr>
            </m:ctrlPr>
          </m:sSupPr>
          <m:e>
            <m:r>
              <m:rPr>
                <m:scr m:val="script"/>
              </m:rPr>
              <w:rPr>
                <w:rFonts w:ascii="Cambria Math" w:hAnsi="Cambria Math"/>
                <w:lang w:val="sv-SE"/>
              </w:rPr>
              <m:t>X</m:t>
            </m:r>
          </m:e>
          <m:sup>
            <m:r>
              <w:rPr>
                <w:rFonts w:ascii="Cambria Math" w:hAnsi="Cambria Math"/>
                <w:lang w:val="sv-SE"/>
              </w:rPr>
              <m:t>2</m:t>
            </m:r>
          </m:sup>
        </m:sSup>
        <m:r>
          <w:rPr>
            <w:rFonts w:ascii="Cambria Math" w:hAnsi="Cambria Math"/>
            <w:lang w:val="sv-SE"/>
          </w:rPr>
          <m:t>(2n)</m:t>
        </m:r>
      </m:oMath>
      <w:r>
        <w:rPr>
          <w:color w:val="000000"/>
          <w:lang w:val="en-GB"/>
        </w:rPr>
        <w:tab/>
        <w:t>(2.4)</w:t>
      </w:r>
    </w:p>
    <w:p w:rsidR="005A3A54" w:rsidRDefault="002524A5" w:rsidP="002524A5">
      <w:pPr>
        <w:jc w:val="both"/>
      </w:pPr>
      <w:r>
        <w:t xml:space="preserve">that is based on combining the </w:t>
      </w:r>
      <w:r w:rsidRPr="002524A5">
        <w:rPr>
          <w:i/>
        </w:rPr>
        <w:t>p</w:t>
      </w:r>
      <w:r>
        <w:t>-values of the test-statistic for a unit root in each cross-sectional unit.</w:t>
      </w:r>
    </w:p>
    <w:p w:rsidR="002524A5" w:rsidRDefault="002524A5" w:rsidP="002524A5">
      <w:pPr>
        <w:jc w:val="both"/>
      </w:pPr>
    </w:p>
    <w:p w:rsidR="00D165E2" w:rsidRDefault="00D165E2" w:rsidP="00D165E2">
      <w:pPr>
        <w:jc w:val="both"/>
      </w:pPr>
      <w:r>
        <w:t>Second unit root test that we use is CIPS test proposed by Peseran (2007) which takes into account cross section dependence. Pesaran (2007) augments standard ADF regression with the cross section averages of lagged levels and first-differences of each series. It is based on the following AR(p) equation below augmented with the current and lagged values of y_t.</w:t>
      </w:r>
    </w:p>
    <w:p w:rsidR="00D165E2" w:rsidRDefault="00D165E2" w:rsidP="00D165E2">
      <w:pPr>
        <w:tabs>
          <w:tab w:val="center" w:pos="4140"/>
          <w:tab w:val="right" w:pos="8820"/>
        </w:tabs>
        <w:jc w:val="both"/>
        <w:rPr>
          <w:color w:val="000000"/>
          <w:lang w:val="en-GB"/>
        </w:rPr>
      </w:pPr>
      <w:r>
        <w:rPr>
          <w:color w:val="000000"/>
          <w:lang w:val="fr-FR"/>
        </w:rPr>
        <w:tab/>
      </w:r>
      <m:oMath>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i,t</m:t>
            </m:r>
          </m:sub>
        </m:sSub>
        <m:r>
          <w:rPr>
            <w:rFonts w:ascii="Cambria Math" w:hAnsi="Cambria Math"/>
            <w:lang w:val="sv-SE"/>
          </w:rPr>
          <m:t>=</m:t>
        </m:r>
        <m:sSub>
          <m:sSubPr>
            <m:ctrlPr>
              <w:rPr>
                <w:rFonts w:ascii="Cambria Math" w:hAnsi="Cambria Math"/>
                <w:i/>
                <w:lang w:val="sv-SE"/>
              </w:rPr>
            </m:ctrlPr>
          </m:sSubPr>
          <m:e>
            <m:r>
              <w:rPr>
                <w:rFonts w:ascii="Cambria Math" w:hAnsi="Cambria Math"/>
                <w:lang w:val="sv-SE"/>
              </w:rPr>
              <m:t>α</m:t>
            </m:r>
          </m:e>
          <m:sub>
            <m:r>
              <w:rPr>
                <w:rFonts w:ascii="Cambria Math" w:hAnsi="Cambria Math"/>
                <w:lang w:val="sv-SE"/>
              </w:rPr>
              <m:t>i</m:t>
            </m:r>
          </m:sub>
        </m:sSub>
        <m:r>
          <w:rPr>
            <w:rFonts w:ascii="Cambria Math" w:hAnsi="Cambria Math"/>
            <w:lang w:val="sv-SE"/>
          </w:rPr>
          <m:t>+</m:t>
        </m:r>
        <m:sSub>
          <m:sSubPr>
            <m:ctrlPr>
              <w:rPr>
                <w:rFonts w:ascii="Cambria Math" w:hAnsi="Cambria Math"/>
              </w:rPr>
            </m:ctrlPr>
          </m:sSubPr>
          <m:e>
            <m:r>
              <w:rPr>
                <w:rFonts w:ascii="Cambria Math" w:hAnsi="Cambria Math"/>
              </w:rPr>
              <m:t>γ</m:t>
            </m:r>
          </m:e>
          <m:sub>
            <m:r>
              <w:rPr>
                <w:rFonts w:ascii="Cambria Math" w:hAnsi="Cambria Math"/>
              </w:rPr>
              <m:t>i</m:t>
            </m:r>
          </m:sub>
        </m:sSub>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i,t-1</m:t>
            </m:r>
          </m:sub>
        </m:sSub>
        <m:r>
          <w:rPr>
            <w:rFonts w:ascii="Cambria Math" w:hAnsi="Cambria Math"/>
            <w:lang w:val="sv-SE"/>
          </w:rPr>
          <m:t>+…….</m:t>
        </m:r>
        <m:sSub>
          <m:sSubPr>
            <m:ctrlPr>
              <w:rPr>
                <w:rFonts w:ascii="Cambria Math" w:hAnsi="Cambria Math"/>
                <w:i/>
                <w:lang w:val="sv-SE"/>
              </w:rPr>
            </m:ctrlPr>
          </m:sSubPr>
          <m:e>
            <m:r>
              <w:rPr>
                <w:rFonts w:ascii="Cambria Math" w:hAnsi="Cambria Math"/>
                <w:lang w:val="sv-SE"/>
              </w:rPr>
              <m:t>δ</m:t>
            </m:r>
          </m:e>
          <m:sub>
            <m:r>
              <w:rPr>
                <w:rFonts w:ascii="Cambria Math" w:hAnsi="Cambria Math"/>
                <w:lang w:val="sv-SE"/>
              </w:rPr>
              <m:t>i0</m:t>
            </m:r>
          </m:sub>
        </m:sSub>
        <m:sSub>
          <m:sSubPr>
            <m:ctrlPr>
              <w:rPr>
                <w:rFonts w:ascii="Cambria Math" w:hAnsi="Cambria Math"/>
                <w:i/>
                <w:lang w:val="sv-SE"/>
              </w:rPr>
            </m:ctrlPr>
          </m:sSubPr>
          <m:e>
            <m:acc>
              <m:accPr>
                <m:chr m:val="̅"/>
                <m:ctrlPr>
                  <w:rPr>
                    <w:rFonts w:ascii="Cambria Math" w:hAnsi="Cambria Math"/>
                    <w:i/>
                    <w:lang w:val="sv-SE"/>
                  </w:rPr>
                </m:ctrlPr>
              </m:accPr>
              <m:e>
                <m:r>
                  <w:rPr>
                    <w:rFonts w:ascii="Cambria Math" w:hAnsi="Cambria Math"/>
                    <w:lang w:val="sv-SE"/>
                  </w:rPr>
                  <m:t>y</m:t>
                </m:r>
              </m:e>
            </m:acc>
          </m:e>
          <m:sub>
            <m:r>
              <w:rPr>
                <w:rFonts w:ascii="Cambria Math" w:hAnsi="Cambria Math"/>
                <w:lang w:val="sv-SE"/>
              </w:rPr>
              <m:t>t</m:t>
            </m:r>
          </m:sub>
        </m:sSub>
        <m:r>
          <w:rPr>
            <w:rFonts w:ascii="Cambria Math" w:hAnsi="Cambria Math"/>
            <w:lang w:val="sv-SE"/>
          </w:rPr>
          <m:t>+</m:t>
        </m:r>
        <m:sSub>
          <m:sSubPr>
            <m:ctrlPr>
              <w:rPr>
                <w:rFonts w:ascii="Cambria Math" w:hAnsi="Cambria Math"/>
                <w:i/>
                <w:lang w:val="sv-SE"/>
              </w:rPr>
            </m:ctrlPr>
          </m:sSubPr>
          <m:e>
            <m:r>
              <w:rPr>
                <w:rFonts w:ascii="Cambria Math" w:hAnsi="Cambria Math"/>
                <w:lang w:val="sv-SE"/>
              </w:rPr>
              <m:t>δ</m:t>
            </m:r>
          </m:e>
          <m:sub>
            <m:r>
              <w:rPr>
                <w:rFonts w:ascii="Cambria Math" w:hAnsi="Cambria Math"/>
                <w:lang w:val="sv-SE"/>
              </w:rPr>
              <m:t>i1</m:t>
            </m:r>
          </m:sub>
        </m:sSub>
        <m:sSub>
          <m:sSubPr>
            <m:ctrlPr>
              <w:rPr>
                <w:rFonts w:ascii="Cambria Math" w:hAnsi="Cambria Math"/>
                <w:i/>
                <w:lang w:val="sv-SE"/>
              </w:rPr>
            </m:ctrlPr>
          </m:sSubPr>
          <m:e>
            <m:acc>
              <m:accPr>
                <m:chr m:val="̅"/>
                <m:ctrlPr>
                  <w:rPr>
                    <w:rFonts w:ascii="Cambria Math" w:hAnsi="Cambria Math"/>
                    <w:i/>
                    <w:lang w:val="sv-SE"/>
                  </w:rPr>
                </m:ctrlPr>
              </m:accPr>
              <m:e>
                <m:r>
                  <w:rPr>
                    <w:rFonts w:ascii="Cambria Math" w:hAnsi="Cambria Math"/>
                    <w:lang w:val="sv-SE"/>
                  </w:rPr>
                  <m:t>y</m:t>
                </m:r>
              </m:e>
            </m:acc>
          </m:e>
          <m:sub>
            <m:r>
              <w:rPr>
                <w:rFonts w:ascii="Cambria Math" w:hAnsi="Cambria Math"/>
                <w:lang w:val="sv-SE"/>
              </w:rPr>
              <m:t>t-1</m:t>
            </m:r>
          </m:sub>
        </m:sSub>
        <m:r>
          <w:rPr>
            <w:rFonts w:ascii="Cambria Math" w:hAnsi="Cambria Math"/>
            <w:lang w:val="sv-SE"/>
          </w:rPr>
          <m:t>+…..+</m:t>
        </m:r>
        <m:sSub>
          <m:sSubPr>
            <m:ctrlPr>
              <w:rPr>
                <w:rFonts w:ascii="Cambria Math" w:hAnsi="Cambria Math"/>
                <w:i/>
                <w:lang w:val="sv-SE"/>
              </w:rPr>
            </m:ctrlPr>
          </m:sSubPr>
          <m:e>
            <m:sSub>
              <m:sSubPr>
                <m:ctrlPr>
                  <w:rPr>
                    <w:rFonts w:ascii="Cambria Math" w:hAnsi="Cambria Math"/>
                    <w:i/>
                    <w:lang w:val="sv-SE"/>
                  </w:rPr>
                </m:ctrlPr>
              </m:sSubPr>
              <m:e>
                <m:r>
                  <w:rPr>
                    <w:rFonts w:ascii="Cambria Math" w:hAnsi="Cambria Math"/>
                    <w:lang w:val="sv-SE"/>
                  </w:rPr>
                  <m:t>δ</m:t>
                </m:r>
              </m:e>
              <m:sub>
                <m:r>
                  <w:rPr>
                    <w:rFonts w:ascii="Cambria Math" w:hAnsi="Cambria Math"/>
                    <w:lang w:val="sv-SE"/>
                  </w:rPr>
                  <m:t>ip</m:t>
                </m:r>
              </m:sub>
            </m:sSub>
            <m:sSub>
              <m:sSubPr>
                <m:ctrlPr>
                  <w:rPr>
                    <w:rFonts w:ascii="Cambria Math" w:hAnsi="Cambria Math"/>
                    <w:i/>
                    <w:lang w:val="sv-SE"/>
                  </w:rPr>
                </m:ctrlPr>
              </m:sSubPr>
              <m:e>
                <m:acc>
                  <m:accPr>
                    <m:chr m:val="̅"/>
                    <m:ctrlPr>
                      <w:rPr>
                        <w:rFonts w:ascii="Cambria Math" w:hAnsi="Cambria Math"/>
                        <w:i/>
                        <w:lang w:val="sv-SE"/>
                      </w:rPr>
                    </m:ctrlPr>
                  </m:accPr>
                  <m:e>
                    <m:r>
                      <w:rPr>
                        <w:rFonts w:ascii="Cambria Math" w:hAnsi="Cambria Math"/>
                        <w:lang w:val="sv-SE"/>
                      </w:rPr>
                      <m:t>y</m:t>
                    </m:r>
                  </m:e>
                </m:acc>
              </m:e>
              <m:sub>
                <m:r>
                  <w:rPr>
                    <w:rFonts w:ascii="Cambria Math" w:hAnsi="Cambria Math"/>
                    <w:lang w:val="sv-SE"/>
                  </w:rPr>
                  <m:t>t-p</m:t>
                </m:r>
              </m:sub>
            </m:sSub>
            <m:r>
              <w:rPr>
                <w:rFonts w:ascii="Cambria Math" w:hAnsi="Cambria Math"/>
                <w:lang w:val="sv-SE"/>
              </w:rPr>
              <m:t>+ϵ</m:t>
            </m:r>
          </m:e>
          <m:sub>
            <m:r>
              <w:rPr>
                <w:rFonts w:ascii="Cambria Math" w:hAnsi="Cambria Math"/>
                <w:lang w:val="sv-SE"/>
              </w:rPr>
              <m:t>i,t</m:t>
            </m:r>
          </m:sub>
        </m:sSub>
      </m:oMath>
      <w:r>
        <w:rPr>
          <w:color w:val="000000"/>
          <w:lang w:val="en-GB"/>
        </w:rPr>
        <w:tab/>
        <w:t>(2.5)</w:t>
      </w:r>
    </w:p>
    <w:p w:rsidR="00D165E2" w:rsidRDefault="00D165E2" w:rsidP="00D165E2">
      <w:pPr>
        <w:jc w:val="both"/>
      </w:pPr>
    </w:p>
    <w:p w:rsidR="00D165E2" w:rsidRDefault="00D165E2" w:rsidP="00D165E2">
      <w:pPr>
        <w:jc w:val="both"/>
      </w:pPr>
      <w:r>
        <w:t>To get the CIPS statistic, this equation is transformed into first difference and individual ADF statistics (CADF</w:t>
      </w:r>
      <w:r w:rsidRPr="00D165E2">
        <w:rPr>
          <w:vertAlign w:val="subscript"/>
        </w:rPr>
        <w:t>i</w:t>
      </w:r>
      <w:r>
        <w:t>) are computed for every cross section.</w:t>
      </w:r>
      <w:r w:rsidR="004624E7">
        <w:t xml:space="preserve"> </w:t>
      </w:r>
      <w:r>
        <w:t>The simple average of the CADF</w:t>
      </w:r>
      <w:r w:rsidRPr="00D165E2">
        <w:rPr>
          <w:vertAlign w:val="subscript"/>
        </w:rPr>
        <w:t>i</w:t>
      </w:r>
      <w:r>
        <w:t xml:space="preserve"> statistics give the CIPS statistics: </w:t>
      </w:r>
      <w:r>
        <w:tab/>
      </w:r>
    </w:p>
    <w:p w:rsidR="00D165E2" w:rsidRDefault="00D165E2" w:rsidP="00D165E2">
      <w:pPr>
        <w:tabs>
          <w:tab w:val="center" w:pos="4140"/>
          <w:tab w:val="right" w:pos="8820"/>
        </w:tabs>
        <w:jc w:val="both"/>
        <w:rPr>
          <w:color w:val="000000"/>
          <w:lang w:val="en-GB"/>
        </w:rPr>
      </w:pPr>
      <w:r>
        <w:rPr>
          <w:color w:val="000000"/>
          <w:lang w:val="fr-FR"/>
        </w:rPr>
        <w:tab/>
      </w:r>
      <m:oMath>
        <m:r>
          <w:rPr>
            <w:rFonts w:ascii="Cambria Math" w:hAnsi="Cambria Math"/>
            <w:lang w:val="sv-SE"/>
          </w:rPr>
          <m:t>CIPS=</m:t>
        </m:r>
        <m:f>
          <m:fPr>
            <m:ctrlPr>
              <w:rPr>
                <w:rFonts w:ascii="Cambria Math" w:hAnsi="Cambria Math"/>
                <w:i/>
                <w:lang w:val="sv-SE"/>
              </w:rPr>
            </m:ctrlPr>
          </m:fPr>
          <m:num>
            <m:nary>
              <m:naryPr>
                <m:chr m:val="∑"/>
                <m:limLoc m:val="undOvr"/>
                <m:ctrlPr>
                  <w:rPr>
                    <w:rFonts w:ascii="Cambria Math" w:hAnsi="Cambria Math"/>
                    <w:i/>
                    <w:lang w:val="sv-SE"/>
                  </w:rPr>
                </m:ctrlPr>
              </m:naryPr>
              <m:sub>
                <m:r>
                  <w:rPr>
                    <w:rFonts w:ascii="Cambria Math" w:hAnsi="Cambria Math"/>
                    <w:lang w:val="sv-SE"/>
                  </w:rPr>
                  <m:t>i=1</m:t>
                </m:r>
              </m:sub>
              <m:sup>
                <m:r>
                  <m:rPr>
                    <m:sty m:val="p"/>
                  </m:rPr>
                  <w:rPr>
                    <w:rFonts w:ascii="Cambria Math" w:hAnsi="Cambria Math"/>
                  </w:rPr>
                  <m:t>N</m:t>
                </m:r>
              </m:sup>
              <m:e>
                <m:sSub>
                  <m:sSubPr>
                    <m:ctrlPr>
                      <w:rPr>
                        <w:rFonts w:ascii="Cambria Math" w:hAnsi="Cambria Math"/>
                        <w:i/>
                        <w:lang w:val="sv-SE"/>
                      </w:rPr>
                    </m:ctrlPr>
                  </m:sSubPr>
                  <m:e>
                    <m:r>
                      <w:rPr>
                        <w:rFonts w:ascii="Cambria Math" w:hAnsi="Cambria Math"/>
                        <w:lang w:val="sv-SE"/>
                      </w:rPr>
                      <m:t>CADF</m:t>
                    </m:r>
                  </m:e>
                  <m:sub>
                    <m:r>
                      <w:rPr>
                        <w:rFonts w:ascii="Cambria Math" w:hAnsi="Cambria Math"/>
                        <w:lang w:val="sv-SE"/>
                      </w:rPr>
                      <m:t>i</m:t>
                    </m:r>
                  </m:sub>
                </m:sSub>
              </m:e>
            </m:nary>
          </m:num>
          <m:den>
            <m:r>
              <w:rPr>
                <w:rFonts w:ascii="Cambria Math" w:hAnsi="Cambria Math"/>
                <w:lang w:val="sv-SE"/>
              </w:rPr>
              <m:t>N</m:t>
            </m:r>
          </m:den>
        </m:f>
      </m:oMath>
      <w:r>
        <w:rPr>
          <w:color w:val="000000"/>
          <w:lang w:val="en-GB"/>
        </w:rPr>
        <w:tab/>
        <w:t>(2.6)</w:t>
      </w:r>
    </w:p>
    <w:p w:rsidR="00D165E2" w:rsidRDefault="00D165E2" w:rsidP="00D165E2">
      <w:pPr>
        <w:jc w:val="both"/>
      </w:pPr>
    </w:p>
    <w:p w:rsidR="00D165E2" w:rsidRDefault="00D165E2" w:rsidP="00D165E2">
      <w:pPr>
        <w:jc w:val="both"/>
      </w:pPr>
      <w:r>
        <w:t>Third, we use Breitung and Das (2005) non-factor structure based test as robustness check. The test procedure is based on OLS statistics with panel corrected standard error. This test assumes that the error term is uncorrelated across both i and t. It is robust to cross sectional correlation. And lastly, in order to investigate stationarity of cross-sectionally invariant variable, that is global liquidity, we employ Ng-Perron (2001) test and unit root test with a breakpoint. In Ng-Perron test, the time series is detrended by applying a GLS estimator and it improves the power of the tests when there is a large AR root and reduces size distortions. It is thought to be superior to both Augmented Dickey Fuller (ADF) and Phillips-Perron (PP) tests. In addition to Ng-Perron test, we also perform unit root test with a breakpoint. Perron (1989) states that unit roots and structural change are closely related and unit root tests are biased toward a false unit root null when the data are trend stationary with a structural break. Therefore, it is of vital importance to consider structural breaks.</w:t>
      </w:r>
    </w:p>
    <w:p w:rsidR="00D165E2" w:rsidRDefault="00D165E2" w:rsidP="00D165E2">
      <w:pPr>
        <w:jc w:val="both"/>
      </w:pPr>
    </w:p>
    <w:p w:rsidR="00D165E2" w:rsidRDefault="00D165E2" w:rsidP="00D165E2">
      <w:pPr>
        <w:jc w:val="both"/>
      </w:pPr>
      <w:r>
        <w:t>After testing for unit root, we investigate co-integration relationship between the variables. We employ second generation Durbin-Hausman (Westerlund, 2008) co-integration test which takes cross-sectional dependence into account. This test can be used even when variables are integrated of different order. The Durbin-Hausman test has 2 dimensions. The Durbin-Hausman panel test (</w:t>
      </w:r>
      <w:r w:rsidRPr="00616226">
        <w:rPr>
          <w:i/>
        </w:rPr>
        <w:t>DHp</w:t>
      </w:r>
      <w:r>
        <w:t>) assumes that the autoregressive parameters are same for all cross-sections, both for the null and alternative hypotheses. The Durbin-Hausman group test (</w:t>
      </w:r>
      <w:r w:rsidRPr="00616226">
        <w:rPr>
          <w:i/>
        </w:rPr>
        <w:t>DHg</w:t>
      </w:r>
      <w:r>
        <w:t xml:space="preserve">) assumes that the autoregressive parameters differ across cross-sections under the alternative hypothesis. Both for </w:t>
      </w:r>
      <w:r w:rsidRPr="00616226">
        <w:rPr>
          <w:i/>
        </w:rPr>
        <w:t>DHp</w:t>
      </w:r>
      <w:r>
        <w:t xml:space="preserve"> and </w:t>
      </w:r>
      <w:r w:rsidRPr="00616226">
        <w:rPr>
          <w:i/>
        </w:rPr>
        <w:t>DHg</w:t>
      </w:r>
      <w:r>
        <w:t xml:space="preserve"> tests, rejection of the null hypothesis shows the existence of the co-integration relationship. Durbin-Hausman test is calculated as below:</w:t>
      </w:r>
    </w:p>
    <w:p w:rsidR="00D165E2" w:rsidRDefault="00D165E2" w:rsidP="00D165E2">
      <w:pPr>
        <w:tabs>
          <w:tab w:val="center" w:pos="4140"/>
          <w:tab w:val="right" w:pos="8820"/>
        </w:tabs>
        <w:jc w:val="both"/>
        <w:rPr>
          <w:color w:val="000000"/>
          <w:lang w:val="en-GB"/>
        </w:rPr>
      </w:pPr>
      <w:r>
        <w:rPr>
          <w:color w:val="000000"/>
          <w:lang w:val="fr-FR"/>
        </w:rPr>
        <w:tab/>
      </w:r>
      <m:oMath>
        <m:sSub>
          <m:sSubPr>
            <m:ctrlPr>
              <w:rPr>
                <w:rFonts w:ascii="Cambria Math" w:hAnsi="Cambria Math"/>
                <w:i/>
                <w:lang w:val="sv-SE"/>
              </w:rPr>
            </m:ctrlPr>
          </m:sSubPr>
          <m:e>
            <m:r>
              <w:rPr>
                <w:rFonts w:ascii="Cambria Math" w:hAnsi="Cambria Math"/>
                <w:lang w:val="sv-SE"/>
              </w:rPr>
              <m:t>DH</m:t>
            </m:r>
          </m:e>
          <m:sub>
            <m:r>
              <w:rPr>
                <w:rFonts w:ascii="Cambria Math" w:hAnsi="Cambria Math"/>
                <w:lang w:val="sv-SE"/>
              </w:rPr>
              <m:t>g</m:t>
            </m:r>
          </m:sub>
        </m:sSub>
        <m:r>
          <w:rPr>
            <w:rFonts w:ascii="Cambria Math" w:hAnsi="Cambria Math"/>
            <w:lang w:val="sv-SE"/>
          </w:rPr>
          <m:t>=</m:t>
        </m:r>
        <m:nary>
          <m:naryPr>
            <m:chr m:val="∑"/>
            <m:limLoc m:val="undOvr"/>
            <m:ctrlPr>
              <w:rPr>
                <w:rFonts w:ascii="Cambria Math" w:hAnsi="Cambria Math"/>
                <w:i/>
                <w:lang w:val="sv-SE"/>
              </w:rPr>
            </m:ctrlPr>
          </m:naryPr>
          <m:sub>
            <m:r>
              <w:rPr>
                <w:rFonts w:ascii="Cambria Math" w:hAnsi="Cambria Math"/>
                <w:lang w:val="sv-SE"/>
              </w:rPr>
              <m:t>i=1</m:t>
            </m:r>
          </m:sub>
          <m:sup>
            <m:r>
              <w:rPr>
                <w:rFonts w:ascii="Cambria Math" w:hAnsi="Cambria Math"/>
                <w:lang w:val="sv-SE"/>
              </w:rPr>
              <m:t>n</m:t>
            </m:r>
          </m:sup>
          <m:e>
            <m:sSub>
              <m:sSubPr>
                <m:ctrlPr>
                  <w:rPr>
                    <w:rFonts w:ascii="Cambria Math" w:hAnsi="Cambria Math"/>
                    <w:i/>
                    <w:lang w:val="sv-SE"/>
                  </w:rPr>
                </m:ctrlPr>
              </m:sSubPr>
              <m:e>
                <m:acc>
                  <m:accPr>
                    <m:ctrlPr>
                      <w:rPr>
                        <w:rFonts w:ascii="Cambria Math" w:hAnsi="Cambria Math"/>
                        <w:i/>
                        <w:lang w:val="sv-SE"/>
                      </w:rPr>
                    </m:ctrlPr>
                  </m:accPr>
                  <m:e>
                    <m:r>
                      <w:rPr>
                        <w:rFonts w:ascii="Cambria Math" w:hAnsi="Cambria Math"/>
                        <w:lang w:val="sv-SE"/>
                      </w:rPr>
                      <m:t>S</m:t>
                    </m:r>
                  </m:e>
                </m:acc>
              </m:e>
              <m:sub>
                <m:r>
                  <w:rPr>
                    <w:rFonts w:ascii="Cambria Math" w:hAnsi="Cambria Math"/>
                    <w:lang w:val="sv-SE"/>
                  </w:rPr>
                  <m:t>i</m:t>
                </m:r>
              </m:sub>
            </m:sSub>
          </m:e>
        </m:nary>
        <m:sSup>
          <m:sSupPr>
            <m:ctrlPr>
              <w:rPr>
                <w:rFonts w:ascii="Cambria Math" w:hAnsi="Cambria Math"/>
                <w:i/>
                <w:lang w:val="sv-SE"/>
              </w:rPr>
            </m:ctrlPr>
          </m:sSupPr>
          <m:e>
            <m:r>
              <w:rPr>
                <w:rFonts w:ascii="Cambria Math" w:hAnsi="Cambria Math"/>
                <w:lang w:val="sv-SE"/>
              </w:rPr>
              <m:t>(</m:t>
            </m:r>
            <m:sSub>
              <m:sSubPr>
                <m:ctrlPr>
                  <w:rPr>
                    <w:rFonts w:ascii="Cambria Math" w:hAnsi="Cambria Math"/>
                    <w:i/>
                    <w:lang w:val="sv-SE"/>
                  </w:rPr>
                </m:ctrlPr>
              </m:sSubPr>
              <m:e>
                <m:acc>
                  <m:accPr>
                    <m:chr m:val="̃"/>
                    <m:ctrlPr>
                      <w:rPr>
                        <w:rFonts w:ascii="Cambria Math" w:hAnsi="Cambria Math"/>
                        <w:i/>
                        <w:lang w:val="sv-SE"/>
                      </w:rPr>
                    </m:ctrlPr>
                  </m:accPr>
                  <m:e>
                    <m:r>
                      <w:rPr>
                        <w:rFonts w:ascii="Cambria Math" w:hAnsi="Cambria Math"/>
                        <w:lang w:val="sv-SE"/>
                      </w:rPr>
                      <m:t>ϕ</m:t>
                    </m:r>
                  </m:e>
                </m:acc>
              </m:e>
              <m:sub>
                <m:r>
                  <w:rPr>
                    <w:rFonts w:ascii="Cambria Math" w:hAnsi="Cambria Math"/>
                    <w:lang w:val="sv-SE"/>
                  </w:rPr>
                  <m:t>i</m:t>
                </m:r>
              </m:sub>
            </m:sSub>
            <m:r>
              <w:rPr>
                <w:rFonts w:ascii="Cambria Math" w:hAnsi="Cambria Math"/>
                <w:lang w:val="sv-SE"/>
              </w:rPr>
              <m:t>-</m:t>
            </m:r>
            <m:sSub>
              <m:sSubPr>
                <m:ctrlPr>
                  <w:rPr>
                    <w:rFonts w:ascii="Cambria Math" w:hAnsi="Cambria Math"/>
                    <w:i/>
                    <w:lang w:val="sv-SE"/>
                  </w:rPr>
                </m:ctrlPr>
              </m:sSubPr>
              <m:e>
                <m:acc>
                  <m:accPr>
                    <m:ctrlPr>
                      <w:rPr>
                        <w:rFonts w:ascii="Cambria Math" w:hAnsi="Cambria Math"/>
                        <w:i/>
                        <w:lang w:val="sv-SE"/>
                      </w:rPr>
                    </m:ctrlPr>
                  </m:accPr>
                  <m:e>
                    <m:r>
                      <w:rPr>
                        <w:rFonts w:ascii="Cambria Math" w:hAnsi="Cambria Math"/>
                        <w:lang w:val="sv-SE"/>
                      </w:rPr>
                      <m:t>ϕ</m:t>
                    </m:r>
                  </m:e>
                </m:acc>
              </m:e>
              <m:sub>
                <m:r>
                  <w:rPr>
                    <w:rFonts w:ascii="Cambria Math" w:hAnsi="Cambria Math"/>
                    <w:lang w:val="sv-SE"/>
                  </w:rPr>
                  <m:t>i</m:t>
                </m:r>
              </m:sub>
            </m:sSub>
            <m:r>
              <w:rPr>
                <w:rFonts w:ascii="Cambria Math" w:hAnsi="Cambria Math"/>
                <w:lang w:val="sv-SE"/>
              </w:rPr>
              <m:t>)</m:t>
            </m:r>
          </m:e>
          <m:sup>
            <m:r>
              <w:rPr>
                <w:rFonts w:ascii="Cambria Math" w:hAnsi="Cambria Math"/>
                <w:lang w:val="sv-SE"/>
              </w:rPr>
              <m:t>2</m:t>
            </m:r>
          </m:sup>
        </m:sSup>
        <m:nary>
          <m:naryPr>
            <m:chr m:val="∑"/>
            <m:limLoc m:val="undOvr"/>
            <m:ctrlPr>
              <w:rPr>
                <w:rFonts w:ascii="Cambria Math" w:hAnsi="Cambria Math"/>
                <w:i/>
                <w:lang w:val="sv-SE"/>
              </w:rPr>
            </m:ctrlPr>
          </m:naryPr>
          <m:sub>
            <m:r>
              <w:rPr>
                <w:rFonts w:ascii="Cambria Math" w:hAnsi="Cambria Math"/>
                <w:lang w:val="sv-SE"/>
              </w:rPr>
              <m:t>t=2</m:t>
            </m:r>
          </m:sub>
          <m:sup>
            <m:r>
              <w:rPr>
                <w:rFonts w:ascii="Cambria Math" w:hAnsi="Cambria Math"/>
                <w:lang w:val="sv-SE"/>
              </w:rPr>
              <m:t>T</m:t>
            </m:r>
          </m:sup>
          <m:e>
            <m:sSub>
              <m:sSubPr>
                <m:ctrlPr>
                  <w:rPr>
                    <w:rFonts w:ascii="Cambria Math" w:hAnsi="Cambria Math"/>
                    <w:i/>
                    <w:lang w:val="sv-SE"/>
                  </w:rPr>
                </m:ctrlPr>
              </m:sSubPr>
              <m:e>
                <m:acc>
                  <m:accPr>
                    <m:ctrlPr>
                      <w:rPr>
                        <w:rFonts w:ascii="Cambria Math" w:hAnsi="Cambria Math"/>
                        <w:i/>
                        <w:lang w:val="sv-SE"/>
                      </w:rPr>
                    </m:ctrlPr>
                  </m:accPr>
                  <m:e>
                    <m:r>
                      <w:rPr>
                        <w:rFonts w:ascii="Cambria Math" w:hAnsi="Cambria Math"/>
                        <w:lang w:val="sv-SE"/>
                      </w:rPr>
                      <m:t>e</m:t>
                    </m:r>
                  </m:e>
                </m:acc>
              </m:e>
              <m:sub>
                <m:r>
                  <w:rPr>
                    <w:rFonts w:ascii="Cambria Math" w:hAnsi="Cambria Math"/>
                    <w:lang w:val="sv-SE"/>
                  </w:rPr>
                  <m:t>it-1</m:t>
                </m:r>
              </m:sub>
            </m:sSub>
          </m:e>
        </m:nary>
      </m:oMath>
      <w:r>
        <w:rPr>
          <w:color w:val="000000"/>
          <w:lang w:val="en-GB"/>
        </w:rPr>
        <w:tab/>
        <w:t>(2.7)</w:t>
      </w:r>
    </w:p>
    <w:p w:rsidR="00616226" w:rsidRDefault="00D165E2" w:rsidP="00616226">
      <w:pPr>
        <w:tabs>
          <w:tab w:val="center" w:pos="4140"/>
          <w:tab w:val="right" w:pos="8820"/>
        </w:tabs>
        <w:jc w:val="both"/>
        <w:rPr>
          <w:color w:val="000000"/>
          <w:lang w:val="en-GB"/>
        </w:rPr>
      </w:pPr>
      <w:r>
        <w:rPr>
          <w:color w:val="000000"/>
          <w:lang w:val="fr-FR"/>
        </w:rPr>
        <w:tab/>
      </w:r>
      <m:oMath>
        <m:sSub>
          <m:sSubPr>
            <m:ctrlPr>
              <w:rPr>
                <w:rFonts w:ascii="Cambria Math" w:hAnsi="Cambria Math"/>
                <w:i/>
                <w:lang w:val="sv-SE"/>
              </w:rPr>
            </m:ctrlPr>
          </m:sSubPr>
          <m:e>
            <m:r>
              <w:rPr>
                <w:rFonts w:ascii="Cambria Math" w:hAnsi="Cambria Math"/>
                <w:lang w:val="sv-SE"/>
              </w:rPr>
              <m:t>DH</m:t>
            </m:r>
          </m:e>
          <m:sub>
            <m:r>
              <w:rPr>
                <w:rFonts w:ascii="Cambria Math" w:hAnsi="Cambria Math"/>
                <w:lang w:val="sv-SE"/>
              </w:rPr>
              <m:t>p</m:t>
            </m:r>
          </m:sub>
        </m:sSub>
        <m:r>
          <w:rPr>
            <w:rFonts w:ascii="Cambria Math" w:hAnsi="Cambria Math"/>
            <w:lang w:val="sv-SE"/>
          </w:rPr>
          <m:t>=</m:t>
        </m:r>
        <m:sSub>
          <m:sSubPr>
            <m:ctrlPr>
              <w:rPr>
                <w:rFonts w:ascii="Cambria Math" w:hAnsi="Cambria Math"/>
                <w:i/>
                <w:lang w:val="sv-SE"/>
              </w:rPr>
            </m:ctrlPr>
          </m:sSubPr>
          <m:e>
            <m:acc>
              <m:accPr>
                <m:ctrlPr>
                  <w:rPr>
                    <w:rFonts w:ascii="Cambria Math" w:hAnsi="Cambria Math"/>
                    <w:i/>
                    <w:lang w:val="sv-SE"/>
                  </w:rPr>
                </m:ctrlPr>
              </m:accPr>
              <m:e>
                <m:r>
                  <w:rPr>
                    <w:rFonts w:ascii="Cambria Math" w:hAnsi="Cambria Math"/>
                    <w:lang w:val="sv-SE"/>
                  </w:rPr>
                  <m:t>S</m:t>
                </m:r>
              </m:e>
            </m:acc>
          </m:e>
          <m:sub>
            <m:r>
              <w:rPr>
                <w:rFonts w:ascii="Cambria Math" w:hAnsi="Cambria Math"/>
                <w:lang w:val="sv-SE"/>
              </w:rPr>
              <m:t>n</m:t>
            </m:r>
          </m:sub>
        </m:sSub>
        <m:r>
          <w:rPr>
            <w:rFonts w:ascii="Cambria Math" w:hAnsi="Cambria Math"/>
            <w:lang w:val="sv-SE"/>
          </w:rPr>
          <m:t>=</m:t>
        </m:r>
        <m:sSup>
          <m:sSupPr>
            <m:ctrlPr>
              <w:rPr>
                <w:rFonts w:ascii="Cambria Math" w:hAnsi="Cambria Math"/>
                <w:i/>
                <w:lang w:val="sv-SE"/>
              </w:rPr>
            </m:ctrlPr>
          </m:sSupPr>
          <m:e>
            <m:r>
              <w:rPr>
                <w:rFonts w:ascii="Cambria Math" w:hAnsi="Cambria Math"/>
                <w:lang w:val="sv-SE"/>
              </w:rPr>
              <m:t>(</m:t>
            </m:r>
            <m:acc>
              <m:accPr>
                <m:chr m:val="̃"/>
                <m:ctrlPr>
                  <w:rPr>
                    <w:rFonts w:ascii="Cambria Math" w:hAnsi="Cambria Math"/>
                    <w:i/>
                    <w:lang w:val="sv-SE"/>
                  </w:rPr>
                </m:ctrlPr>
              </m:accPr>
              <m:e>
                <m:r>
                  <w:rPr>
                    <w:rFonts w:ascii="Cambria Math" w:hAnsi="Cambria Math"/>
                    <w:lang w:val="sv-SE"/>
                  </w:rPr>
                  <m:t>ϕ</m:t>
                </m:r>
              </m:e>
            </m:acc>
            <m:r>
              <w:rPr>
                <w:rFonts w:ascii="Cambria Math" w:hAnsi="Cambria Math"/>
                <w:lang w:val="sv-SE"/>
              </w:rPr>
              <m:t>-</m:t>
            </m:r>
            <m:acc>
              <m:accPr>
                <m:ctrlPr>
                  <w:rPr>
                    <w:rFonts w:ascii="Cambria Math" w:hAnsi="Cambria Math"/>
                    <w:i/>
                    <w:lang w:val="sv-SE"/>
                  </w:rPr>
                </m:ctrlPr>
              </m:accPr>
              <m:e>
                <m:r>
                  <w:rPr>
                    <w:rFonts w:ascii="Cambria Math" w:hAnsi="Cambria Math"/>
                    <w:lang w:val="sv-SE"/>
                  </w:rPr>
                  <m:t>ϕ</m:t>
                </m:r>
              </m:e>
            </m:acc>
            <m:r>
              <w:rPr>
                <w:rFonts w:ascii="Cambria Math" w:hAnsi="Cambria Math"/>
                <w:lang w:val="sv-SE"/>
              </w:rPr>
              <m:t>)</m:t>
            </m:r>
          </m:e>
          <m:sup>
            <m:r>
              <w:rPr>
                <w:rFonts w:ascii="Cambria Math" w:hAnsi="Cambria Math"/>
                <w:lang w:val="sv-SE"/>
              </w:rPr>
              <m:t>2</m:t>
            </m:r>
          </m:sup>
        </m:sSup>
        <m:nary>
          <m:naryPr>
            <m:chr m:val="∑"/>
            <m:limLoc m:val="undOvr"/>
            <m:ctrlPr>
              <w:rPr>
                <w:rFonts w:ascii="Cambria Math" w:hAnsi="Cambria Math"/>
                <w:i/>
                <w:lang w:val="sv-SE"/>
              </w:rPr>
            </m:ctrlPr>
          </m:naryPr>
          <m:sub>
            <m:r>
              <w:rPr>
                <w:rFonts w:ascii="Cambria Math" w:hAnsi="Cambria Math"/>
                <w:lang w:val="sv-SE"/>
              </w:rPr>
              <m:t>i=1</m:t>
            </m:r>
          </m:sub>
          <m:sup>
            <m:r>
              <w:rPr>
                <w:rFonts w:ascii="Cambria Math" w:hAnsi="Cambria Math"/>
                <w:lang w:val="sv-SE"/>
              </w:rPr>
              <m:t>n</m:t>
            </m:r>
          </m:sup>
          <m:e>
            <m:nary>
              <m:naryPr>
                <m:chr m:val="∑"/>
                <m:limLoc m:val="undOvr"/>
                <m:ctrlPr>
                  <w:rPr>
                    <w:rFonts w:ascii="Cambria Math" w:hAnsi="Cambria Math"/>
                    <w:i/>
                    <w:lang w:val="sv-SE"/>
                  </w:rPr>
                </m:ctrlPr>
              </m:naryPr>
              <m:sub>
                <m:r>
                  <w:rPr>
                    <w:rFonts w:ascii="Cambria Math" w:hAnsi="Cambria Math"/>
                    <w:lang w:val="sv-SE"/>
                  </w:rPr>
                  <m:t>t=2</m:t>
                </m:r>
              </m:sub>
              <m:sup>
                <m:r>
                  <w:rPr>
                    <w:rFonts w:ascii="Cambria Math" w:hAnsi="Cambria Math"/>
                    <w:lang w:val="sv-SE"/>
                  </w:rPr>
                  <m:t>T</m:t>
                </m:r>
              </m:sup>
              <m:e>
                <m:sSub>
                  <m:sSubPr>
                    <m:ctrlPr>
                      <w:rPr>
                        <w:rFonts w:ascii="Cambria Math" w:hAnsi="Cambria Math"/>
                        <w:i/>
                        <w:lang w:val="sv-SE"/>
                      </w:rPr>
                    </m:ctrlPr>
                  </m:sSubPr>
                  <m:e>
                    <m:acc>
                      <m:accPr>
                        <m:ctrlPr>
                          <w:rPr>
                            <w:rFonts w:ascii="Cambria Math" w:hAnsi="Cambria Math"/>
                            <w:i/>
                            <w:lang w:val="sv-SE"/>
                          </w:rPr>
                        </m:ctrlPr>
                      </m:accPr>
                      <m:e>
                        <m:r>
                          <w:rPr>
                            <w:rFonts w:ascii="Cambria Math" w:hAnsi="Cambria Math"/>
                            <w:lang w:val="sv-SE"/>
                          </w:rPr>
                          <m:t>e</m:t>
                        </m:r>
                      </m:e>
                    </m:acc>
                  </m:e>
                  <m:sub>
                    <m:r>
                      <w:rPr>
                        <w:rFonts w:ascii="Cambria Math" w:hAnsi="Cambria Math"/>
                        <w:lang w:val="sv-SE"/>
                      </w:rPr>
                      <m:t>it-1</m:t>
                    </m:r>
                  </m:sub>
                </m:sSub>
              </m:e>
            </m:nary>
          </m:e>
        </m:nary>
      </m:oMath>
      <w:r>
        <w:rPr>
          <w:color w:val="000000"/>
          <w:lang w:val="en-GB"/>
        </w:rPr>
        <w:tab/>
      </w:r>
    </w:p>
    <w:p w:rsidR="00D165E2" w:rsidRDefault="00D165E2" w:rsidP="00616226">
      <w:pPr>
        <w:tabs>
          <w:tab w:val="center" w:pos="4140"/>
          <w:tab w:val="right" w:pos="8820"/>
        </w:tabs>
        <w:jc w:val="both"/>
      </w:pPr>
      <w:r w:rsidRPr="00616226">
        <w:rPr>
          <w:i/>
        </w:rPr>
        <w:t>DHg</w:t>
      </w:r>
      <w:r>
        <w:t xml:space="preserve"> shows group statistics and </w:t>
      </w:r>
      <w:r w:rsidRPr="00616226">
        <w:rPr>
          <w:i/>
        </w:rPr>
        <w:t>DHp</w:t>
      </w:r>
      <w:r>
        <w:t xml:space="preserve"> shows panel </w:t>
      </w:r>
      <w:r w:rsidR="00616226">
        <w:t>statistics</w:t>
      </w:r>
      <w:r>
        <w:t xml:space="preserve">. </w:t>
      </w:r>
    </w:p>
    <w:p w:rsidR="00616226" w:rsidRPr="00616226" w:rsidRDefault="00616226" w:rsidP="00616226">
      <w:pPr>
        <w:tabs>
          <w:tab w:val="center" w:pos="4140"/>
          <w:tab w:val="right" w:pos="8820"/>
        </w:tabs>
        <w:jc w:val="both"/>
        <w:rPr>
          <w:color w:val="000000"/>
          <w:lang w:val="en-GB"/>
        </w:rPr>
      </w:pPr>
    </w:p>
    <w:p w:rsidR="00D165E2" w:rsidRDefault="00D165E2" w:rsidP="00D165E2">
      <w:pPr>
        <w:jc w:val="both"/>
      </w:pPr>
      <w:r>
        <w:t xml:space="preserve">To analyze the relationship between global </w:t>
      </w:r>
      <w:r w:rsidR="00616226">
        <w:t>liquidity</w:t>
      </w:r>
      <w:r>
        <w:t xml:space="preserve"> and GDP, CPI, government bond interest rate and real exchange rate for G-7 countries, we employ panel vector autoregression (PVAR) model developed by Abrigo and Love (2015) which is an updated version of Love and Zicchino (2006). It allows for individual heterogeneity in the levels of the variables by including panel specific fixed effects into the model. PVAR model can be written as:</w:t>
      </w:r>
    </w:p>
    <w:p w:rsidR="00616226" w:rsidRDefault="00616226" w:rsidP="00616226">
      <w:pPr>
        <w:tabs>
          <w:tab w:val="center" w:pos="4140"/>
          <w:tab w:val="right" w:pos="8820"/>
        </w:tabs>
        <w:jc w:val="both"/>
        <w:rPr>
          <w:color w:val="000000"/>
          <w:lang w:val="en-GB"/>
        </w:rPr>
      </w:pPr>
      <w:r>
        <w:rPr>
          <w:color w:val="000000"/>
          <w:lang w:val="fr-FR"/>
        </w:rPr>
        <w:tab/>
      </w:r>
      <w:r w:rsidRPr="00C737EA">
        <w:rPr>
          <w:szCs w:val="28"/>
        </w:rPr>
        <w:object w:dxaOrig="2280" w:dyaOrig="380">
          <v:shape id="_x0000_i1026" type="#_x0000_t75" style="width:99pt;height:21pt" o:ole="">
            <v:imagedata r:id="rId10" o:title=""/>
          </v:shape>
          <o:OLEObject Type="Embed" ProgID="Equation.3" ShapeID="_x0000_i1026" DrawAspect="Content" ObjectID="_1576069627" r:id="rId11"/>
        </w:object>
      </w:r>
      <w:r>
        <w:rPr>
          <w:color w:val="000000"/>
          <w:lang w:val="en-GB"/>
        </w:rPr>
        <w:tab/>
      </w:r>
    </w:p>
    <w:p w:rsidR="00D165E2" w:rsidRDefault="00D165E2" w:rsidP="00D165E2">
      <w:pPr>
        <w:jc w:val="both"/>
      </w:pPr>
      <w:r>
        <w:t xml:space="preserve">where </w:t>
      </w:r>
      <w:r w:rsidRPr="006D4677">
        <w:rPr>
          <w:i/>
        </w:rPr>
        <w:t>X</w:t>
      </w:r>
      <w:r w:rsidRPr="006D4677">
        <w:rPr>
          <w:i/>
          <w:vertAlign w:val="subscript"/>
        </w:rPr>
        <w:t>i,t</w:t>
      </w:r>
      <w:r>
        <w:t xml:space="preserve"> is a (5x1) vector of variables GDP, CPI, GL, IR and RER; in which GDP is gross domestic product, CPI is consumer price index, GL is global liqudity indicator, IR is 10 year government bond interest rate and RER is real exchange rate. Γ</w:t>
      </w:r>
      <w:r w:rsidRPr="0050515B">
        <w:rPr>
          <w:i/>
          <w:vertAlign w:val="subscript"/>
        </w:rPr>
        <w:t>t</w:t>
      </w:r>
      <w:r>
        <w:t xml:space="preserve"> is the lag operator, </w:t>
      </w:r>
      <w:r w:rsidRPr="0050515B">
        <w:rPr>
          <w:i/>
        </w:rPr>
        <w:t>u</w:t>
      </w:r>
      <w:r w:rsidRPr="0050515B">
        <w:rPr>
          <w:i/>
          <w:vertAlign w:val="subscript"/>
        </w:rPr>
        <w:t>i</w:t>
      </w:r>
      <w:r>
        <w:t xml:space="preserve"> and </w:t>
      </w:r>
      <w:r w:rsidRPr="0050515B">
        <w:rPr>
          <w:i/>
        </w:rPr>
        <w:t>e</w:t>
      </w:r>
      <w:r w:rsidRPr="0050515B">
        <w:rPr>
          <w:i/>
          <w:vertAlign w:val="subscript"/>
        </w:rPr>
        <w:t>it</w:t>
      </w:r>
      <w:r>
        <w:t xml:space="preserve"> are vectors of dependent variable-specific panel fixed-effects and idiosyncratic errors, respectively. Optimal lag order is chosen to be 1 by using Akaike, the Bayesian and the Hannan-Quinn information criteria. As fixed effects are correlated with regressors, we use forward mean differencing (the Helmert procedure) following Arellano and Bover (1995) to remove panel-fixed effects. We estimate the coefficients by using generalized method of moment (GMM). As illustrated in the following section the variables are non-stationary and no cointegration relationship exis</w:t>
      </w:r>
      <w:r w:rsidR="00BF520A">
        <w:t>”</w:t>
      </w:r>
      <w:r>
        <w:t>ts between variables and the VAR system in levels is unstable. Therefore, we estimate the model in first differences.</w:t>
      </w:r>
    </w:p>
    <w:p w:rsidR="0050515B" w:rsidRDefault="0050515B" w:rsidP="00D165E2">
      <w:pPr>
        <w:jc w:val="both"/>
      </w:pPr>
    </w:p>
    <w:p w:rsidR="00D165E2" w:rsidRDefault="00D165E2" w:rsidP="00D165E2">
      <w:pPr>
        <w:jc w:val="both"/>
      </w:pPr>
      <w:r>
        <w:t xml:space="preserve">The ordering of the variables is critical in VAR specification. Accordingly, the variables that are more exogenous come earlier in the system and the ones that are endogenous appear later. It means that the variables that come earlier affect the following variables both contemporaneously and with a lag while the variables that come later impact previous variables with a lag. In our specification, GDP and CPI come before global liquidity which is more endogenous compared to GDP and CPI. Growth and inflation developments affect global liquidity contemporaneously, while global liquidity impacts GDP and CPI only with a lag. A change in global liquidity affects government bond yield in the same period but bond yield influence global liquidity with a lag. Therefore, global liquidity is assumed to be more exogenous compared to government bond interest </w:t>
      </w:r>
      <w:r w:rsidR="0050515B">
        <w:t>rate</w:t>
      </w:r>
      <w:r w:rsidR="00BF520A">
        <w:rPr>
          <w:rStyle w:val="DipnotBavurusu"/>
        </w:rPr>
        <w:footnoteReference w:id="2"/>
      </w:r>
      <w:r w:rsidR="0050515B">
        <w:t xml:space="preserve">. </w:t>
      </w:r>
      <w:r>
        <w:t>Exchange rate reacts immediately to the changes in other variables and thus is the most end</w:t>
      </w:r>
      <w:r w:rsidR="0050515B">
        <w:t>ogenous variable in our system.</w:t>
      </w:r>
    </w:p>
    <w:p w:rsidR="0050515B" w:rsidRDefault="0050515B" w:rsidP="00D165E2">
      <w:pPr>
        <w:jc w:val="both"/>
      </w:pPr>
    </w:p>
    <w:p w:rsidR="00D165E2" w:rsidRDefault="00D165E2" w:rsidP="00D165E2">
      <w:pPr>
        <w:jc w:val="both"/>
      </w:pPr>
      <w:r>
        <w:t>Once the coefficients of the model are estimated, we compute the impulse response functions and the variance decompositions. We use impulse response functions to analyze the impact of global liquidity on major macroeconomic variables of interest. Finally, we also present variance decompositions that show the percentage of the variation in one variable that is explained by the shock to another variable accumulated over time.</w:t>
      </w:r>
    </w:p>
    <w:p w:rsidR="0050515B" w:rsidRDefault="0050515B" w:rsidP="00D165E2">
      <w:pPr>
        <w:jc w:val="both"/>
      </w:pPr>
    </w:p>
    <w:p w:rsidR="0050515B" w:rsidRDefault="0050515B" w:rsidP="0050515B">
      <w:pPr>
        <w:jc w:val="both"/>
        <w:rPr>
          <w:b/>
          <w:bCs/>
          <w:color w:val="000000"/>
          <w:lang w:val="en-GB"/>
        </w:rPr>
      </w:pPr>
      <w:r>
        <w:rPr>
          <w:b/>
          <w:bCs/>
          <w:color w:val="000000"/>
          <w:lang w:val="en-GB"/>
        </w:rPr>
        <w:t xml:space="preserve">3. </w:t>
      </w:r>
      <w:r w:rsidRPr="0050515B">
        <w:rPr>
          <w:b/>
          <w:bCs/>
          <w:color w:val="000000"/>
          <w:lang w:val="en-GB"/>
        </w:rPr>
        <w:t>RESULTS</w:t>
      </w:r>
    </w:p>
    <w:p w:rsidR="0050515B" w:rsidRDefault="0050515B" w:rsidP="0050515B">
      <w:pPr>
        <w:jc w:val="both"/>
        <w:rPr>
          <w:b/>
          <w:bCs/>
          <w:color w:val="000000"/>
          <w:lang w:val="en-GB"/>
        </w:rPr>
      </w:pPr>
    </w:p>
    <w:p w:rsidR="0050515B" w:rsidRDefault="0050515B" w:rsidP="0050515B">
      <w:pPr>
        <w:jc w:val="both"/>
        <w:rPr>
          <w:b/>
          <w:bCs/>
          <w:color w:val="000000"/>
          <w:lang w:val="en-GB"/>
        </w:rPr>
      </w:pPr>
      <w:r>
        <w:rPr>
          <w:b/>
          <w:bCs/>
          <w:color w:val="000000"/>
          <w:lang w:val="en-GB"/>
        </w:rPr>
        <w:t xml:space="preserve">3.1. </w:t>
      </w:r>
      <w:r w:rsidRPr="0050515B">
        <w:rPr>
          <w:b/>
          <w:bCs/>
          <w:color w:val="000000"/>
          <w:lang w:val="en-GB"/>
        </w:rPr>
        <w:t>Cross Sectional Dependence</w:t>
      </w:r>
    </w:p>
    <w:p w:rsidR="0050515B" w:rsidRDefault="0050515B" w:rsidP="0050515B">
      <w:pPr>
        <w:jc w:val="both"/>
        <w:rPr>
          <w:color w:val="000000"/>
          <w:lang w:val="en-GB"/>
        </w:rPr>
      </w:pPr>
      <w:r>
        <w:rPr>
          <w:color w:val="000000"/>
          <w:lang w:val="en-GB"/>
        </w:rPr>
        <w:t> </w:t>
      </w:r>
    </w:p>
    <w:p w:rsidR="0050515B" w:rsidRDefault="0050515B" w:rsidP="00C04F58">
      <w:pPr>
        <w:jc w:val="both"/>
      </w:pPr>
      <w:r w:rsidRPr="0050515B">
        <w:t xml:space="preserve">In order to analyze cross sectional dependence, we employ both Bias Adjusted LM Test and CD LM Test of Breusch and Pagan. Test results are presented in Table </w:t>
      </w:r>
      <w:r>
        <w:t>3.</w:t>
      </w:r>
      <w:r w:rsidRPr="0050515B">
        <w:t xml:space="preserve">1. </w:t>
      </w:r>
    </w:p>
    <w:p w:rsidR="0050515B" w:rsidRDefault="0050515B" w:rsidP="00C04F58">
      <w:pPr>
        <w:jc w:val="both"/>
      </w:pPr>
    </w:p>
    <w:tbl>
      <w:tblPr>
        <w:tblW w:w="4334" w:type="dxa"/>
        <w:jc w:val="center"/>
        <w:tblBorders>
          <w:top w:val="double" w:sz="4" w:space="0" w:color="auto"/>
          <w:bottom w:val="double" w:sz="4" w:space="0" w:color="auto"/>
        </w:tblBorders>
        <w:tblCellMar>
          <w:left w:w="70" w:type="dxa"/>
          <w:right w:w="70" w:type="dxa"/>
        </w:tblCellMar>
        <w:tblLook w:val="04A0"/>
      </w:tblPr>
      <w:tblGrid>
        <w:gridCol w:w="1910"/>
        <w:gridCol w:w="2424"/>
      </w:tblGrid>
      <w:tr w:rsidR="00B2768E" w:rsidRPr="0066604A" w:rsidTr="00B2768E">
        <w:trPr>
          <w:trHeight w:val="312"/>
          <w:jc w:val="center"/>
        </w:trPr>
        <w:tc>
          <w:tcPr>
            <w:tcW w:w="4334" w:type="dxa"/>
            <w:gridSpan w:val="2"/>
            <w:tcBorders>
              <w:bottom w:val="single" w:sz="4" w:space="0" w:color="auto"/>
            </w:tcBorders>
            <w:noWrap/>
            <w:vAlign w:val="bottom"/>
            <w:hideMark/>
          </w:tcPr>
          <w:p w:rsidR="00B2768E" w:rsidRPr="0066604A" w:rsidRDefault="00B2768E" w:rsidP="00CB4988">
            <w:pPr>
              <w:jc w:val="center"/>
              <w:rPr>
                <w:b/>
                <w:color w:val="000000"/>
                <w:sz w:val="20"/>
                <w:szCs w:val="20"/>
                <w:lang w:eastAsia="tr-TR"/>
              </w:rPr>
            </w:pPr>
            <w:r w:rsidRPr="0066604A">
              <w:rPr>
                <w:b/>
                <w:bCs/>
                <w:color w:val="000000"/>
                <w:sz w:val="20"/>
                <w:szCs w:val="20"/>
                <w:lang w:eastAsia="tr-TR"/>
              </w:rPr>
              <w:t>CD LM Test (Breusch and Pagan, 1980)</w:t>
            </w:r>
            <w:r w:rsidR="004624E7">
              <w:rPr>
                <w:b/>
                <w:bCs/>
                <w:color w:val="000000"/>
                <w:sz w:val="20"/>
                <w:szCs w:val="20"/>
                <w:lang w:eastAsia="tr-TR"/>
              </w:rPr>
              <w:t xml:space="preserve"> </w:t>
            </w:r>
          </w:p>
        </w:tc>
      </w:tr>
      <w:tr w:rsidR="00B2768E" w:rsidRPr="0066604A" w:rsidTr="00B2768E">
        <w:trPr>
          <w:trHeight w:val="312"/>
          <w:jc w:val="center"/>
        </w:trPr>
        <w:tc>
          <w:tcPr>
            <w:tcW w:w="1910" w:type="dxa"/>
            <w:tcBorders>
              <w:top w:val="single" w:sz="4" w:space="0" w:color="auto"/>
              <w:bottom w:val="nil"/>
            </w:tcBorders>
            <w:noWrap/>
            <w:vAlign w:val="bottom"/>
            <w:hideMark/>
          </w:tcPr>
          <w:p w:rsidR="00B2768E" w:rsidRPr="008F2162" w:rsidRDefault="00B2768E" w:rsidP="00CB4988">
            <w:pPr>
              <w:jc w:val="center"/>
              <w:rPr>
                <w:bCs/>
                <w:i/>
                <w:color w:val="000000"/>
                <w:sz w:val="20"/>
                <w:szCs w:val="20"/>
                <w:lang w:eastAsia="tr-TR"/>
              </w:rPr>
            </w:pPr>
            <w:r w:rsidRPr="008F2162">
              <w:rPr>
                <w:bCs/>
                <w:i/>
                <w:color w:val="000000"/>
                <w:sz w:val="20"/>
                <w:szCs w:val="20"/>
                <w:lang w:eastAsia="tr-TR"/>
              </w:rPr>
              <w:t>Variable</w:t>
            </w:r>
          </w:p>
        </w:tc>
        <w:tc>
          <w:tcPr>
            <w:tcW w:w="2424" w:type="dxa"/>
            <w:tcBorders>
              <w:top w:val="single" w:sz="4" w:space="0" w:color="auto"/>
              <w:bottom w:val="nil"/>
            </w:tcBorders>
            <w:vAlign w:val="bottom"/>
          </w:tcPr>
          <w:p w:rsidR="00B2768E" w:rsidRPr="0066604A" w:rsidRDefault="00B2768E" w:rsidP="00CB4988">
            <w:pPr>
              <w:jc w:val="center"/>
              <w:rPr>
                <w:color w:val="000000"/>
                <w:sz w:val="20"/>
                <w:szCs w:val="20"/>
                <w:lang w:eastAsia="tr-TR"/>
              </w:rPr>
            </w:pPr>
            <w:r w:rsidRPr="0066604A">
              <w:rPr>
                <w:bCs/>
                <w:color w:val="000000"/>
                <w:sz w:val="20"/>
                <w:szCs w:val="20"/>
                <w:lang w:eastAsia="tr-TR"/>
              </w:rPr>
              <w:t>Value</w:t>
            </w:r>
          </w:p>
        </w:tc>
      </w:tr>
      <w:tr w:rsidR="00B2768E" w:rsidRPr="0066604A" w:rsidTr="00B2768E">
        <w:trPr>
          <w:trHeight w:val="312"/>
          <w:jc w:val="center"/>
        </w:trPr>
        <w:tc>
          <w:tcPr>
            <w:tcW w:w="1910" w:type="dxa"/>
            <w:tcBorders>
              <w:top w:val="nil"/>
            </w:tcBorders>
            <w:noWrap/>
            <w:vAlign w:val="bottom"/>
            <w:hideMark/>
          </w:tcPr>
          <w:p w:rsidR="00B2768E" w:rsidRPr="008F2162" w:rsidRDefault="00B2768E" w:rsidP="00CB4988">
            <w:pPr>
              <w:jc w:val="center"/>
              <w:rPr>
                <w:bCs/>
                <w:i/>
                <w:color w:val="000000"/>
                <w:sz w:val="20"/>
                <w:szCs w:val="20"/>
                <w:lang w:eastAsia="tr-TR"/>
              </w:rPr>
            </w:pPr>
            <w:r w:rsidRPr="008F2162">
              <w:rPr>
                <w:bCs/>
                <w:i/>
                <w:color w:val="000000"/>
                <w:sz w:val="20"/>
                <w:szCs w:val="20"/>
                <w:lang w:eastAsia="tr-TR"/>
              </w:rPr>
              <w:t>GDP</w:t>
            </w:r>
          </w:p>
        </w:tc>
        <w:tc>
          <w:tcPr>
            <w:tcW w:w="2424" w:type="dxa"/>
            <w:tcBorders>
              <w:top w:val="nil"/>
            </w:tcBorders>
            <w:vAlign w:val="bottom"/>
          </w:tcPr>
          <w:p w:rsidR="00B2768E" w:rsidRPr="0066604A" w:rsidRDefault="00B2768E" w:rsidP="00CB4988">
            <w:pPr>
              <w:jc w:val="center"/>
              <w:rPr>
                <w:color w:val="000000"/>
                <w:sz w:val="20"/>
                <w:szCs w:val="20"/>
                <w:lang w:eastAsia="tr-TR"/>
              </w:rPr>
            </w:pPr>
            <w:r w:rsidRPr="0066604A">
              <w:rPr>
                <w:color w:val="000000"/>
                <w:sz w:val="20"/>
                <w:szCs w:val="20"/>
                <w:lang w:eastAsia="tr-TR"/>
              </w:rPr>
              <w:t>179.036</w:t>
            </w:r>
            <w:r w:rsidRPr="00B2768E">
              <w:rPr>
                <w:color w:val="000000"/>
                <w:sz w:val="20"/>
                <w:szCs w:val="20"/>
                <w:vertAlign w:val="superscript"/>
                <w:lang w:eastAsia="tr-TR"/>
              </w:rPr>
              <w:t>***</w:t>
            </w:r>
          </w:p>
        </w:tc>
      </w:tr>
      <w:tr w:rsidR="00B2768E" w:rsidRPr="0066604A" w:rsidTr="00B2768E">
        <w:trPr>
          <w:trHeight w:val="312"/>
          <w:jc w:val="center"/>
        </w:trPr>
        <w:tc>
          <w:tcPr>
            <w:tcW w:w="1910" w:type="dxa"/>
            <w:noWrap/>
            <w:vAlign w:val="bottom"/>
            <w:hideMark/>
          </w:tcPr>
          <w:p w:rsidR="00B2768E" w:rsidRPr="008F2162" w:rsidRDefault="00B2768E" w:rsidP="00CB4988">
            <w:pPr>
              <w:jc w:val="center"/>
              <w:rPr>
                <w:bCs/>
                <w:i/>
                <w:color w:val="000000"/>
                <w:sz w:val="20"/>
                <w:szCs w:val="20"/>
                <w:lang w:eastAsia="tr-TR"/>
              </w:rPr>
            </w:pPr>
            <w:r w:rsidRPr="008F2162">
              <w:rPr>
                <w:bCs/>
                <w:i/>
                <w:color w:val="000000"/>
                <w:sz w:val="20"/>
                <w:szCs w:val="20"/>
                <w:lang w:eastAsia="tr-TR"/>
              </w:rPr>
              <w:t>CPI</w:t>
            </w:r>
          </w:p>
        </w:tc>
        <w:tc>
          <w:tcPr>
            <w:tcW w:w="2424" w:type="dxa"/>
            <w:vAlign w:val="bottom"/>
          </w:tcPr>
          <w:p w:rsidR="00B2768E" w:rsidRPr="0066604A" w:rsidRDefault="00B2768E" w:rsidP="00CB4988">
            <w:pPr>
              <w:jc w:val="center"/>
              <w:rPr>
                <w:color w:val="000000"/>
                <w:sz w:val="20"/>
                <w:szCs w:val="20"/>
                <w:lang w:eastAsia="tr-TR"/>
              </w:rPr>
            </w:pPr>
            <w:r w:rsidRPr="0066604A">
              <w:rPr>
                <w:color w:val="000000"/>
                <w:sz w:val="20"/>
                <w:szCs w:val="20"/>
                <w:lang w:eastAsia="tr-TR"/>
              </w:rPr>
              <w:t>403.170</w:t>
            </w:r>
            <w:r w:rsidRPr="00B2768E">
              <w:rPr>
                <w:color w:val="000000"/>
                <w:sz w:val="20"/>
                <w:szCs w:val="20"/>
                <w:vertAlign w:val="superscript"/>
                <w:lang w:eastAsia="tr-TR"/>
              </w:rPr>
              <w:t>***</w:t>
            </w:r>
          </w:p>
        </w:tc>
      </w:tr>
      <w:tr w:rsidR="00B2768E" w:rsidRPr="0066604A" w:rsidTr="00B2768E">
        <w:trPr>
          <w:trHeight w:val="312"/>
          <w:jc w:val="center"/>
        </w:trPr>
        <w:tc>
          <w:tcPr>
            <w:tcW w:w="1910" w:type="dxa"/>
            <w:noWrap/>
            <w:vAlign w:val="bottom"/>
            <w:hideMark/>
          </w:tcPr>
          <w:p w:rsidR="00B2768E" w:rsidRPr="008F2162" w:rsidRDefault="00B2768E" w:rsidP="00CB4988">
            <w:pPr>
              <w:jc w:val="center"/>
              <w:rPr>
                <w:bCs/>
                <w:i/>
                <w:color w:val="000000"/>
                <w:sz w:val="20"/>
                <w:szCs w:val="20"/>
                <w:lang w:eastAsia="tr-TR"/>
              </w:rPr>
            </w:pPr>
            <w:r w:rsidRPr="008F2162">
              <w:rPr>
                <w:bCs/>
                <w:i/>
                <w:color w:val="000000"/>
                <w:sz w:val="20"/>
                <w:szCs w:val="20"/>
                <w:lang w:eastAsia="tr-TR"/>
              </w:rPr>
              <w:t>GINT</w:t>
            </w:r>
          </w:p>
        </w:tc>
        <w:tc>
          <w:tcPr>
            <w:tcW w:w="2424" w:type="dxa"/>
            <w:vAlign w:val="bottom"/>
          </w:tcPr>
          <w:p w:rsidR="00B2768E" w:rsidRPr="0066604A" w:rsidRDefault="00B2768E" w:rsidP="00CB4988">
            <w:pPr>
              <w:jc w:val="center"/>
              <w:rPr>
                <w:color w:val="000000"/>
                <w:sz w:val="20"/>
                <w:szCs w:val="20"/>
                <w:lang w:eastAsia="tr-TR"/>
              </w:rPr>
            </w:pPr>
            <w:r w:rsidRPr="0066604A">
              <w:rPr>
                <w:color w:val="000000"/>
                <w:sz w:val="20"/>
                <w:szCs w:val="20"/>
                <w:lang w:eastAsia="tr-TR"/>
              </w:rPr>
              <w:t>612.312</w:t>
            </w:r>
            <w:r w:rsidRPr="00B2768E">
              <w:rPr>
                <w:color w:val="000000"/>
                <w:sz w:val="20"/>
                <w:szCs w:val="20"/>
                <w:vertAlign w:val="superscript"/>
                <w:lang w:eastAsia="tr-TR"/>
              </w:rPr>
              <w:t>***</w:t>
            </w:r>
          </w:p>
        </w:tc>
      </w:tr>
      <w:tr w:rsidR="00B2768E" w:rsidRPr="0066604A" w:rsidTr="00B2768E">
        <w:trPr>
          <w:trHeight w:val="312"/>
          <w:jc w:val="center"/>
        </w:trPr>
        <w:tc>
          <w:tcPr>
            <w:tcW w:w="1910" w:type="dxa"/>
            <w:tcBorders>
              <w:bottom w:val="double" w:sz="4" w:space="0" w:color="auto"/>
            </w:tcBorders>
            <w:noWrap/>
            <w:vAlign w:val="bottom"/>
            <w:hideMark/>
          </w:tcPr>
          <w:p w:rsidR="00B2768E" w:rsidRPr="008F2162" w:rsidRDefault="00B2768E" w:rsidP="00CB4988">
            <w:pPr>
              <w:jc w:val="center"/>
              <w:rPr>
                <w:bCs/>
                <w:i/>
                <w:color w:val="000000"/>
                <w:sz w:val="20"/>
                <w:szCs w:val="20"/>
                <w:lang w:eastAsia="tr-TR"/>
              </w:rPr>
            </w:pPr>
            <w:r w:rsidRPr="008F2162">
              <w:rPr>
                <w:bCs/>
                <w:i/>
                <w:color w:val="000000"/>
                <w:sz w:val="20"/>
                <w:szCs w:val="20"/>
                <w:lang w:eastAsia="tr-TR"/>
              </w:rPr>
              <w:t>RER</w:t>
            </w:r>
          </w:p>
        </w:tc>
        <w:tc>
          <w:tcPr>
            <w:tcW w:w="2424" w:type="dxa"/>
            <w:tcBorders>
              <w:bottom w:val="double" w:sz="4" w:space="0" w:color="auto"/>
            </w:tcBorders>
            <w:vAlign w:val="bottom"/>
          </w:tcPr>
          <w:p w:rsidR="00B2768E" w:rsidRPr="0066604A" w:rsidRDefault="00B2768E" w:rsidP="00CB4988">
            <w:pPr>
              <w:jc w:val="center"/>
              <w:rPr>
                <w:color w:val="000000"/>
                <w:sz w:val="20"/>
                <w:szCs w:val="20"/>
                <w:lang w:eastAsia="tr-TR"/>
              </w:rPr>
            </w:pPr>
            <w:r w:rsidRPr="0066604A">
              <w:rPr>
                <w:color w:val="000000"/>
                <w:sz w:val="20"/>
                <w:szCs w:val="20"/>
                <w:lang w:eastAsia="tr-TR"/>
              </w:rPr>
              <w:t>308.052</w:t>
            </w:r>
            <w:r w:rsidRPr="00B2768E">
              <w:rPr>
                <w:color w:val="000000"/>
                <w:sz w:val="20"/>
                <w:szCs w:val="20"/>
                <w:vertAlign w:val="superscript"/>
                <w:lang w:eastAsia="tr-TR"/>
              </w:rPr>
              <w:t>***</w:t>
            </w:r>
          </w:p>
        </w:tc>
      </w:tr>
      <w:tr w:rsidR="00B2768E" w:rsidRPr="0066604A" w:rsidTr="00B2768E">
        <w:trPr>
          <w:trHeight w:val="312"/>
          <w:jc w:val="center"/>
        </w:trPr>
        <w:tc>
          <w:tcPr>
            <w:tcW w:w="4334" w:type="dxa"/>
            <w:gridSpan w:val="2"/>
            <w:tcBorders>
              <w:top w:val="double" w:sz="4" w:space="0" w:color="auto"/>
              <w:bottom w:val="single" w:sz="4" w:space="0" w:color="auto"/>
            </w:tcBorders>
            <w:noWrap/>
            <w:vAlign w:val="bottom"/>
            <w:hideMark/>
          </w:tcPr>
          <w:p w:rsidR="00B2768E" w:rsidRPr="0066604A" w:rsidRDefault="00B2768E" w:rsidP="00CB4988">
            <w:pPr>
              <w:jc w:val="center"/>
              <w:rPr>
                <w:b/>
                <w:color w:val="000000"/>
                <w:sz w:val="20"/>
                <w:szCs w:val="20"/>
                <w:lang w:eastAsia="tr-TR"/>
              </w:rPr>
            </w:pPr>
            <w:r w:rsidRPr="0066604A">
              <w:rPr>
                <w:b/>
                <w:bCs/>
                <w:color w:val="000000"/>
                <w:sz w:val="20"/>
                <w:szCs w:val="20"/>
                <w:lang w:eastAsia="tr-TR"/>
              </w:rPr>
              <w:t>Bias Adjusted LM Test (Pesaran, 2008)</w:t>
            </w:r>
          </w:p>
        </w:tc>
      </w:tr>
      <w:tr w:rsidR="00B2768E" w:rsidRPr="0066604A" w:rsidTr="00B2768E">
        <w:trPr>
          <w:trHeight w:val="312"/>
          <w:jc w:val="center"/>
        </w:trPr>
        <w:tc>
          <w:tcPr>
            <w:tcW w:w="1910" w:type="dxa"/>
            <w:tcBorders>
              <w:top w:val="single" w:sz="4" w:space="0" w:color="auto"/>
              <w:bottom w:val="nil"/>
            </w:tcBorders>
            <w:noWrap/>
            <w:vAlign w:val="bottom"/>
            <w:hideMark/>
          </w:tcPr>
          <w:p w:rsidR="00B2768E" w:rsidRPr="008F2162" w:rsidRDefault="00B2768E" w:rsidP="00CB4988">
            <w:pPr>
              <w:jc w:val="center"/>
              <w:rPr>
                <w:bCs/>
                <w:i/>
                <w:color w:val="000000"/>
                <w:sz w:val="20"/>
                <w:szCs w:val="20"/>
                <w:lang w:eastAsia="tr-TR"/>
              </w:rPr>
            </w:pPr>
            <w:r w:rsidRPr="008F2162">
              <w:rPr>
                <w:bCs/>
                <w:i/>
                <w:color w:val="000000"/>
                <w:sz w:val="20"/>
                <w:szCs w:val="20"/>
                <w:lang w:eastAsia="tr-TR"/>
              </w:rPr>
              <w:t>Variable</w:t>
            </w:r>
          </w:p>
        </w:tc>
        <w:tc>
          <w:tcPr>
            <w:tcW w:w="2424" w:type="dxa"/>
            <w:tcBorders>
              <w:top w:val="single" w:sz="4" w:space="0" w:color="auto"/>
              <w:bottom w:val="nil"/>
            </w:tcBorders>
            <w:vAlign w:val="bottom"/>
          </w:tcPr>
          <w:p w:rsidR="00B2768E" w:rsidRPr="0066604A" w:rsidRDefault="00B2768E" w:rsidP="00CB4988">
            <w:pPr>
              <w:jc w:val="center"/>
              <w:rPr>
                <w:color w:val="000000"/>
                <w:sz w:val="20"/>
                <w:szCs w:val="20"/>
                <w:lang w:eastAsia="tr-TR"/>
              </w:rPr>
            </w:pPr>
            <w:r w:rsidRPr="0066604A">
              <w:rPr>
                <w:bCs/>
                <w:color w:val="000000"/>
                <w:sz w:val="20"/>
                <w:szCs w:val="20"/>
                <w:lang w:eastAsia="tr-TR"/>
              </w:rPr>
              <w:t>Value</w:t>
            </w:r>
          </w:p>
        </w:tc>
      </w:tr>
      <w:tr w:rsidR="00B2768E" w:rsidRPr="0066604A" w:rsidTr="00B2768E">
        <w:trPr>
          <w:trHeight w:val="312"/>
          <w:jc w:val="center"/>
        </w:trPr>
        <w:tc>
          <w:tcPr>
            <w:tcW w:w="1910" w:type="dxa"/>
            <w:tcBorders>
              <w:top w:val="nil"/>
            </w:tcBorders>
            <w:noWrap/>
            <w:vAlign w:val="bottom"/>
            <w:hideMark/>
          </w:tcPr>
          <w:p w:rsidR="00B2768E" w:rsidRPr="008F2162" w:rsidRDefault="00B2768E" w:rsidP="00CB4988">
            <w:pPr>
              <w:jc w:val="center"/>
              <w:rPr>
                <w:bCs/>
                <w:i/>
                <w:color w:val="000000"/>
                <w:sz w:val="20"/>
                <w:szCs w:val="20"/>
                <w:lang w:eastAsia="tr-TR"/>
              </w:rPr>
            </w:pPr>
            <w:r w:rsidRPr="008F2162">
              <w:rPr>
                <w:bCs/>
                <w:i/>
                <w:color w:val="000000"/>
                <w:sz w:val="20"/>
                <w:szCs w:val="20"/>
                <w:lang w:eastAsia="tr-TR"/>
              </w:rPr>
              <w:t>GDP</w:t>
            </w:r>
          </w:p>
        </w:tc>
        <w:tc>
          <w:tcPr>
            <w:tcW w:w="2424" w:type="dxa"/>
            <w:tcBorders>
              <w:top w:val="nil"/>
            </w:tcBorders>
            <w:vAlign w:val="bottom"/>
          </w:tcPr>
          <w:p w:rsidR="00B2768E" w:rsidRPr="0066604A" w:rsidRDefault="00B2768E" w:rsidP="00CB4988">
            <w:pPr>
              <w:jc w:val="center"/>
              <w:rPr>
                <w:color w:val="000000"/>
                <w:sz w:val="20"/>
                <w:szCs w:val="20"/>
                <w:lang w:eastAsia="tr-TR"/>
              </w:rPr>
            </w:pPr>
            <w:r w:rsidRPr="0066604A">
              <w:rPr>
                <w:color w:val="000000"/>
                <w:sz w:val="20"/>
                <w:szCs w:val="20"/>
                <w:lang w:eastAsia="tr-TR"/>
              </w:rPr>
              <w:t>161.524</w:t>
            </w:r>
            <w:r w:rsidRPr="00B2768E">
              <w:rPr>
                <w:color w:val="000000"/>
                <w:sz w:val="20"/>
                <w:szCs w:val="20"/>
                <w:vertAlign w:val="superscript"/>
                <w:lang w:eastAsia="tr-TR"/>
              </w:rPr>
              <w:t>***</w:t>
            </w:r>
          </w:p>
        </w:tc>
      </w:tr>
      <w:tr w:rsidR="00B2768E" w:rsidRPr="0066604A" w:rsidTr="00B2768E">
        <w:trPr>
          <w:trHeight w:val="312"/>
          <w:jc w:val="center"/>
        </w:trPr>
        <w:tc>
          <w:tcPr>
            <w:tcW w:w="1910" w:type="dxa"/>
            <w:noWrap/>
            <w:vAlign w:val="bottom"/>
            <w:hideMark/>
          </w:tcPr>
          <w:p w:rsidR="00B2768E" w:rsidRPr="008F2162" w:rsidRDefault="00B2768E" w:rsidP="00CB4988">
            <w:pPr>
              <w:jc w:val="center"/>
              <w:rPr>
                <w:bCs/>
                <w:i/>
                <w:color w:val="000000"/>
                <w:sz w:val="20"/>
                <w:szCs w:val="20"/>
                <w:lang w:eastAsia="tr-TR"/>
              </w:rPr>
            </w:pPr>
            <w:r w:rsidRPr="008F2162">
              <w:rPr>
                <w:bCs/>
                <w:i/>
                <w:color w:val="000000"/>
                <w:sz w:val="20"/>
                <w:szCs w:val="20"/>
                <w:lang w:eastAsia="tr-TR"/>
              </w:rPr>
              <w:t>CPI</w:t>
            </w:r>
          </w:p>
        </w:tc>
        <w:tc>
          <w:tcPr>
            <w:tcW w:w="2424" w:type="dxa"/>
            <w:vAlign w:val="bottom"/>
          </w:tcPr>
          <w:p w:rsidR="00B2768E" w:rsidRPr="0066604A" w:rsidRDefault="00B2768E" w:rsidP="00CB4988">
            <w:pPr>
              <w:jc w:val="center"/>
              <w:rPr>
                <w:color w:val="000000"/>
                <w:sz w:val="20"/>
                <w:szCs w:val="20"/>
                <w:lang w:eastAsia="tr-TR"/>
              </w:rPr>
            </w:pPr>
            <w:r w:rsidRPr="0066604A">
              <w:rPr>
                <w:color w:val="000000"/>
                <w:sz w:val="20"/>
                <w:szCs w:val="20"/>
                <w:lang w:eastAsia="tr-TR"/>
              </w:rPr>
              <w:t>162.455</w:t>
            </w:r>
            <w:r w:rsidRPr="00B2768E">
              <w:rPr>
                <w:color w:val="000000"/>
                <w:sz w:val="20"/>
                <w:szCs w:val="20"/>
                <w:vertAlign w:val="superscript"/>
                <w:lang w:eastAsia="tr-TR"/>
              </w:rPr>
              <w:t>***</w:t>
            </w:r>
          </w:p>
        </w:tc>
      </w:tr>
      <w:tr w:rsidR="00B2768E" w:rsidRPr="0066604A" w:rsidTr="00B2768E">
        <w:trPr>
          <w:trHeight w:val="312"/>
          <w:jc w:val="center"/>
        </w:trPr>
        <w:tc>
          <w:tcPr>
            <w:tcW w:w="1910" w:type="dxa"/>
            <w:noWrap/>
            <w:vAlign w:val="bottom"/>
            <w:hideMark/>
          </w:tcPr>
          <w:p w:rsidR="00B2768E" w:rsidRPr="008F2162" w:rsidRDefault="00B2768E" w:rsidP="00CB4988">
            <w:pPr>
              <w:jc w:val="center"/>
              <w:rPr>
                <w:bCs/>
                <w:i/>
                <w:color w:val="000000"/>
                <w:sz w:val="20"/>
                <w:szCs w:val="20"/>
                <w:lang w:eastAsia="tr-TR"/>
              </w:rPr>
            </w:pPr>
            <w:r w:rsidRPr="008F2162">
              <w:rPr>
                <w:bCs/>
                <w:i/>
                <w:color w:val="000000"/>
                <w:sz w:val="20"/>
                <w:szCs w:val="20"/>
                <w:lang w:eastAsia="tr-TR"/>
              </w:rPr>
              <w:t>GINT</w:t>
            </w:r>
          </w:p>
        </w:tc>
        <w:tc>
          <w:tcPr>
            <w:tcW w:w="2424" w:type="dxa"/>
            <w:vAlign w:val="bottom"/>
          </w:tcPr>
          <w:p w:rsidR="00B2768E" w:rsidRPr="0066604A" w:rsidRDefault="00B2768E" w:rsidP="00CB4988">
            <w:pPr>
              <w:jc w:val="center"/>
              <w:rPr>
                <w:color w:val="000000"/>
                <w:sz w:val="20"/>
                <w:szCs w:val="20"/>
                <w:lang w:eastAsia="tr-TR"/>
              </w:rPr>
            </w:pPr>
            <w:r w:rsidRPr="0066604A">
              <w:rPr>
                <w:color w:val="000000"/>
                <w:sz w:val="20"/>
                <w:szCs w:val="20"/>
                <w:lang w:eastAsia="tr-TR"/>
              </w:rPr>
              <w:t>186.258</w:t>
            </w:r>
            <w:r w:rsidRPr="00B2768E">
              <w:rPr>
                <w:color w:val="000000"/>
                <w:sz w:val="20"/>
                <w:szCs w:val="20"/>
                <w:vertAlign w:val="superscript"/>
                <w:lang w:eastAsia="tr-TR"/>
              </w:rPr>
              <w:t>***</w:t>
            </w:r>
          </w:p>
        </w:tc>
      </w:tr>
      <w:tr w:rsidR="00B2768E" w:rsidRPr="0066604A" w:rsidTr="00B2768E">
        <w:trPr>
          <w:trHeight w:val="312"/>
          <w:jc w:val="center"/>
        </w:trPr>
        <w:tc>
          <w:tcPr>
            <w:tcW w:w="1910" w:type="dxa"/>
            <w:noWrap/>
            <w:vAlign w:val="bottom"/>
            <w:hideMark/>
          </w:tcPr>
          <w:p w:rsidR="00B2768E" w:rsidRPr="008F2162" w:rsidRDefault="00B2768E" w:rsidP="00CB4988">
            <w:pPr>
              <w:jc w:val="center"/>
              <w:rPr>
                <w:bCs/>
                <w:i/>
                <w:color w:val="000000"/>
                <w:sz w:val="20"/>
                <w:szCs w:val="20"/>
                <w:lang w:eastAsia="tr-TR"/>
              </w:rPr>
            </w:pPr>
            <w:r w:rsidRPr="008F2162">
              <w:rPr>
                <w:bCs/>
                <w:i/>
                <w:color w:val="000000"/>
                <w:sz w:val="20"/>
                <w:szCs w:val="20"/>
                <w:lang w:eastAsia="tr-TR"/>
              </w:rPr>
              <w:t>RER</w:t>
            </w:r>
          </w:p>
        </w:tc>
        <w:tc>
          <w:tcPr>
            <w:tcW w:w="2424" w:type="dxa"/>
            <w:vAlign w:val="bottom"/>
          </w:tcPr>
          <w:p w:rsidR="00B2768E" w:rsidRPr="0066604A" w:rsidRDefault="00B2768E" w:rsidP="00CB4988">
            <w:pPr>
              <w:jc w:val="center"/>
              <w:rPr>
                <w:color w:val="000000"/>
                <w:sz w:val="20"/>
                <w:szCs w:val="20"/>
                <w:lang w:eastAsia="tr-TR"/>
              </w:rPr>
            </w:pPr>
            <w:r w:rsidRPr="0066604A">
              <w:rPr>
                <w:color w:val="000000"/>
                <w:sz w:val="20"/>
                <w:szCs w:val="20"/>
                <w:lang w:eastAsia="tr-TR"/>
              </w:rPr>
              <w:t>179.543</w:t>
            </w:r>
            <w:r w:rsidRPr="00B2768E">
              <w:rPr>
                <w:color w:val="000000"/>
                <w:sz w:val="20"/>
                <w:szCs w:val="20"/>
                <w:vertAlign w:val="superscript"/>
                <w:lang w:eastAsia="tr-TR"/>
              </w:rPr>
              <w:t>***</w:t>
            </w:r>
          </w:p>
        </w:tc>
      </w:tr>
    </w:tbl>
    <w:p w:rsidR="00BF520A" w:rsidRDefault="00BF520A" w:rsidP="00BF520A">
      <w:pPr>
        <w:shd w:val="clear" w:color="auto" w:fill="FFFFFF"/>
        <w:jc w:val="both"/>
        <w:rPr>
          <w:sz w:val="20"/>
          <w:szCs w:val="20"/>
        </w:rPr>
      </w:pPr>
      <w:r w:rsidRPr="00850B83">
        <w:rPr>
          <w:b/>
          <w:sz w:val="20"/>
          <w:szCs w:val="20"/>
        </w:rPr>
        <w:t xml:space="preserve">Table </w:t>
      </w:r>
      <w:r>
        <w:rPr>
          <w:b/>
          <w:sz w:val="20"/>
          <w:szCs w:val="20"/>
        </w:rPr>
        <w:t>3.</w:t>
      </w:r>
      <w:r w:rsidRPr="00850B83">
        <w:rPr>
          <w:b/>
          <w:sz w:val="20"/>
          <w:szCs w:val="20"/>
        </w:rPr>
        <w:t>1</w:t>
      </w:r>
      <w:r w:rsidRPr="00073E09">
        <w:rPr>
          <w:sz w:val="20"/>
          <w:szCs w:val="20"/>
        </w:rPr>
        <w:t xml:space="preserve"> </w:t>
      </w:r>
      <w:r w:rsidRPr="00BF520A">
        <w:rPr>
          <w:sz w:val="20"/>
          <w:szCs w:val="20"/>
        </w:rPr>
        <w:t>Cross-sectional Dependence Test Results</w:t>
      </w:r>
      <w:r w:rsidRPr="00073E09">
        <w:rPr>
          <w:sz w:val="20"/>
          <w:szCs w:val="20"/>
        </w:rPr>
        <w:t>.</w:t>
      </w:r>
    </w:p>
    <w:p w:rsidR="00BF520A" w:rsidRPr="00073E09" w:rsidRDefault="00BF520A" w:rsidP="00B2768E">
      <w:pPr>
        <w:shd w:val="clear" w:color="auto" w:fill="FFFFFF"/>
        <w:tabs>
          <w:tab w:val="left" w:pos="3817"/>
        </w:tabs>
        <w:jc w:val="both"/>
        <w:rPr>
          <w:sz w:val="20"/>
          <w:szCs w:val="20"/>
        </w:rPr>
      </w:pPr>
      <w:r w:rsidRPr="00850B83">
        <w:rPr>
          <w:i/>
          <w:sz w:val="20"/>
          <w:szCs w:val="20"/>
        </w:rPr>
        <w:t>Notes</w:t>
      </w:r>
      <w:r w:rsidRPr="00850B83">
        <w:rPr>
          <w:sz w:val="20"/>
          <w:szCs w:val="20"/>
        </w:rPr>
        <w:t xml:space="preserve">: </w:t>
      </w:r>
      <w:r w:rsidR="00B2768E" w:rsidRPr="00B2768E">
        <w:rPr>
          <w:sz w:val="20"/>
          <w:szCs w:val="20"/>
          <w:vertAlign w:val="superscript"/>
        </w:rPr>
        <w:t>*</w:t>
      </w:r>
      <w:r w:rsidR="00B2768E" w:rsidRPr="00B2768E">
        <w:rPr>
          <w:sz w:val="20"/>
          <w:szCs w:val="20"/>
        </w:rPr>
        <w:t xml:space="preserve">, </w:t>
      </w:r>
      <w:r w:rsidR="00B2768E" w:rsidRPr="00B2768E">
        <w:rPr>
          <w:sz w:val="20"/>
          <w:szCs w:val="20"/>
          <w:vertAlign w:val="superscript"/>
        </w:rPr>
        <w:t>**</w:t>
      </w:r>
      <w:r w:rsidR="00B2768E" w:rsidRPr="00B2768E">
        <w:rPr>
          <w:sz w:val="20"/>
          <w:szCs w:val="20"/>
        </w:rPr>
        <w:t xml:space="preserve">, </w:t>
      </w:r>
      <w:r w:rsidR="00B2768E" w:rsidRPr="00B2768E">
        <w:rPr>
          <w:sz w:val="20"/>
          <w:szCs w:val="20"/>
          <w:vertAlign w:val="superscript"/>
        </w:rPr>
        <w:t>***</w:t>
      </w:r>
      <w:r w:rsidR="00B2768E" w:rsidRPr="00B2768E">
        <w:rPr>
          <w:sz w:val="20"/>
          <w:szCs w:val="20"/>
        </w:rPr>
        <w:t xml:space="preserve"> show significance level at 10%, 5% and 1%, respectively.</w:t>
      </w:r>
      <w:r w:rsidR="00B2768E">
        <w:rPr>
          <w:sz w:val="20"/>
          <w:szCs w:val="20"/>
        </w:rPr>
        <w:t xml:space="preserve"> </w:t>
      </w:r>
      <w:r w:rsidR="00B2768E" w:rsidRPr="00B2768E">
        <w:rPr>
          <w:sz w:val="20"/>
          <w:szCs w:val="20"/>
        </w:rPr>
        <w:t>The null hypothesis is no cross-sectional dependence.</w:t>
      </w:r>
      <w:r w:rsidR="004624E7">
        <w:rPr>
          <w:sz w:val="20"/>
          <w:szCs w:val="20"/>
        </w:rPr>
        <w:t xml:space="preserve"> </w:t>
      </w:r>
    </w:p>
    <w:p w:rsidR="00BF520A" w:rsidRDefault="00BF520A" w:rsidP="00C04F58">
      <w:pPr>
        <w:jc w:val="both"/>
      </w:pPr>
    </w:p>
    <w:p w:rsidR="006837A7" w:rsidRDefault="006837A7" w:rsidP="006837A7">
      <w:pPr>
        <w:jc w:val="both"/>
      </w:pPr>
      <w:r>
        <w:t xml:space="preserve">According to CD LM test, the null hypothesis of cross-sectional independence is rejected at 1 percent level. Bias Adjusted LM test results also show that there is cross sectional dependence among data. Since </w:t>
      </w:r>
      <w:r w:rsidRPr="006837A7">
        <w:rPr>
          <w:i/>
        </w:rPr>
        <w:t>T</w:t>
      </w:r>
      <w:r w:rsidRPr="006837A7">
        <w:rPr>
          <w:i/>
          <w:vertAlign w:val="subscript"/>
        </w:rPr>
        <w:t> </w:t>
      </w:r>
      <w:r>
        <w:t>&gt;</w:t>
      </w:r>
      <w:r w:rsidRPr="006837A7">
        <w:rPr>
          <w:i/>
        </w:rPr>
        <w:t xml:space="preserve"> N</w:t>
      </w:r>
      <w:r>
        <w:t xml:space="preserve"> in our study, we prefer to use Bias Adjusted LM test.</w:t>
      </w:r>
      <w:r w:rsidR="004624E7">
        <w:t xml:space="preserve"> </w:t>
      </w:r>
    </w:p>
    <w:p w:rsidR="006837A7" w:rsidRDefault="006837A7" w:rsidP="006837A7">
      <w:pPr>
        <w:jc w:val="both"/>
      </w:pPr>
    </w:p>
    <w:p w:rsidR="006837A7" w:rsidRDefault="006837A7" w:rsidP="006837A7">
      <w:pPr>
        <w:jc w:val="both"/>
      </w:pPr>
      <w:r>
        <w:t xml:space="preserve">Cross section dependence has become more and more common because of strong interdependencies between countries due to globalization and common shocks such as economic crises and oil price increases. Variable in country </w:t>
      </w:r>
      <w:r w:rsidRPr="006837A7">
        <w:rPr>
          <w:i/>
        </w:rPr>
        <w:t>i</w:t>
      </w:r>
      <w:r>
        <w:t xml:space="preserve"> may be non-spuriously correlated with variable in country j because of common shocks that affect all of the countries at the same time. Therefore, it is intuitive that there is cross sectional dependence among the macroeconomic variables of the G-7 countries. </w:t>
      </w:r>
    </w:p>
    <w:p w:rsidR="006837A7" w:rsidRDefault="006837A7" w:rsidP="006837A7">
      <w:pPr>
        <w:jc w:val="both"/>
      </w:pPr>
    </w:p>
    <w:p w:rsidR="006837A7" w:rsidRDefault="006837A7" w:rsidP="006837A7">
      <w:pPr>
        <w:jc w:val="both"/>
      </w:pPr>
      <w:r>
        <w:t xml:space="preserve">As there is cross sectional dependence among data, we need to use second generation unit root and co-integration tests that take cross sectional dependence into consideration. </w:t>
      </w:r>
    </w:p>
    <w:p w:rsidR="006837A7" w:rsidRDefault="006837A7" w:rsidP="006837A7">
      <w:pPr>
        <w:jc w:val="both"/>
      </w:pPr>
    </w:p>
    <w:p w:rsidR="006837A7" w:rsidRDefault="006837A7" w:rsidP="006837A7">
      <w:pPr>
        <w:jc w:val="both"/>
        <w:rPr>
          <w:b/>
          <w:bCs/>
          <w:color w:val="000000"/>
          <w:lang w:val="en-GB"/>
        </w:rPr>
      </w:pPr>
      <w:r>
        <w:rPr>
          <w:b/>
          <w:bCs/>
          <w:color w:val="000000"/>
          <w:lang w:val="en-GB"/>
        </w:rPr>
        <w:t xml:space="preserve">3.1. </w:t>
      </w:r>
      <w:r w:rsidRPr="006837A7">
        <w:rPr>
          <w:b/>
          <w:bCs/>
          <w:color w:val="000000"/>
          <w:lang w:val="en-GB"/>
        </w:rPr>
        <w:t>Unit Root Tests</w:t>
      </w:r>
    </w:p>
    <w:p w:rsidR="006837A7" w:rsidRDefault="006837A7" w:rsidP="006837A7">
      <w:pPr>
        <w:jc w:val="both"/>
        <w:rPr>
          <w:color w:val="000000"/>
          <w:lang w:val="en-GB"/>
        </w:rPr>
      </w:pPr>
      <w:r>
        <w:rPr>
          <w:color w:val="000000"/>
          <w:lang w:val="en-GB"/>
        </w:rPr>
        <w:t> </w:t>
      </w:r>
    </w:p>
    <w:p w:rsidR="006837A7" w:rsidRDefault="006837A7" w:rsidP="006837A7">
      <w:pPr>
        <w:jc w:val="both"/>
      </w:pPr>
      <w:r w:rsidRPr="006837A7">
        <w:t xml:space="preserve">After we detect the existence of cross sectional dependence, we investigate the stationarity characteristics of the variables by employing second generation CIPS unit root test proposed by Pesaran (2007) and Breitung and Das (2005) test that take into consideration cross sectional dependence. In addition, we also report first generation Maddala and Wu (1999) unit root test in </w:t>
      </w:r>
      <w:r>
        <w:t>T</w:t>
      </w:r>
      <w:r w:rsidRPr="006837A7">
        <w:t xml:space="preserve">able </w:t>
      </w:r>
      <w:r>
        <w:t>3.</w:t>
      </w:r>
      <w:r w:rsidRPr="006837A7">
        <w:t>2</w:t>
      </w:r>
      <w:r>
        <w:t>.</w:t>
      </w:r>
    </w:p>
    <w:p w:rsidR="006837A7" w:rsidRDefault="006837A7" w:rsidP="006837A7">
      <w:pPr>
        <w:jc w:val="both"/>
      </w:pPr>
    </w:p>
    <w:tbl>
      <w:tblPr>
        <w:tblW w:w="6795" w:type="dxa"/>
        <w:jc w:val="center"/>
        <w:tblBorders>
          <w:top w:val="double" w:sz="4" w:space="0" w:color="auto"/>
          <w:bottom w:val="double" w:sz="4" w:space="0" w:color="auto"/>
        </w:tblBorders>
        <w:tblCellMar>
          <w:left w:w="70" w:type="dxa"/>
          <w:right w:w="70" w:type="dxa"/>
        </w:tblCellMar>
        <w:tblLook w:val="04A0"/>
      </w:tblPr>
      <w:tblGrid>
        <w:gridCol w:w="683"/>
        <w:gridCol w:w="993"/>
        <w:gridCol w:w="1575"/>
        <w:gridCol w:w="767"/>
        <w:gridCol w:w="1280"/>
        <w:gridCol w:w="1497"/>
      </w:tblGrid>
      <w:tr w:rsidR="001541A2" w:rsidRPr="005F74C1" w:rsidTr="008F2162">
        <w:trPr>
          <w:trHeight w:val="274"/>
          <w:jc w:val="center"/>
        </w:trPr>
        <w:tc>
          <w:tcPr>
            <w:tcW w:w="683" w:type="dxa"/>
            <w:vMerge w:val="restart"/>
            <w:shd w:val="clear" w:color="auto" w:fill="FFFFFF"/>
            <w:noWrap/>
            <w:vAlign w:val="center"/>
            <w:hideMark/>
          </w:tcPr>
          <w:p w:rsidR="001541A2" w:rsidRPr="005F74C1" w:rsidRDefault="001541A2" w:rsidP="00CB4988">
            <w:pPr>
              <w:jc w:val="center"/>
              <w:rPr>
                <w:sz w:val="20"/>
                <w:szCs w:val="20"/>
                <w:lang w:eastAsia="tr-TR"/>
              </w:rPr>
            </w:pPr>
          </w:p>
        </w:tc>
        <w:tc>
          <w:tcPr>
            <w:tcW w:w="6112" w:type="dxa"/>
            <w:gridSpan w:val="5"/>
            <w:tcBorders>
              <w:bottom w:val="single" w:sz="4" w:space="0" w:color="auto"/>
            </w:tcBorders>
            <w:shd w:val="clear" w:color="auto" w:fill="FFFFFF"/>
            <w:vAlign w:val="center"/>
            <w:hideMark/>
          </w:tcPr>
          <w:p w:rsidR="001541A2" w:rsidRPr="005F74C1" w:rsidRDefault="001541A2" w:rsidP="00CB4988">
            <w:pPr>
              <w:jc w:val="center"/>
              <w:rPr>
                <w:b/>
                <w:bCs/>
                <w:sz w:val="20"/>
                <w:szCs w:val="20"/>
                <w:lang w:eastAsia="tr-TR"/>
              </w:rPr>
            </w:pPr>
            <w:r w:rsidRPr="005F74C1">
              <w:rPr>
                <w:b/>
                <w:bCs/>
                <w:sz w:val="20"/>
                <w:szCs w:val="20"/>
                <w:lang w:eastAsia="tr-TR"/>
              </w:rPr>
              <w:t>CIPS Tests</w:t>
            </w:r>
          </w:p>
        </w:tc>
      </w:tr>
      <w:tr w:rsidR="001541A2" w:rsidRPr="005F74C1" w:rsidTr="008F2162">
        <w:trPr>
          <w:trHeight w:val="445"/>
          <w:jc w:val="center"/>
        </w:trPr>
        <w:tc>
          <w:tcPr>
            <w:tcW w:w="0" w:type="auto"/>
            <w:vMerge/>
            <w:vAlign w:val="center"/>
            <w:hideMark/>
          </w:tcPr>
          <w:p w:rsidR="001541A2" w:rsidRPr="005F74C1" w:rsidRDefault="001541A2" w:rsidP="00CB4988">
            <w:pPr>
              <w:jc w:val="center"/>
              <w:rPr>
                <w:sz w:val="20"/>
                <w:szCs w:val="20"/>
                <w:lang w:eastAsia="tr-TR"/>
              </w:rPr>
            </w:pPr>
          </w:p>
        </w:tc>
        <w:tc>
          <w:tcPr>
            <w:tcW w:w="993" w:type="dxa"/>
            <w:tcBorders>
              <w:top w:val="single" w:sz="4" w:space="0" w:color="auto"/>
              <w:bottom w:val="single" w:sz="4" w:space="0" w:color="auto"/>
            </w:tcBorders>
            <w:shd w:val="clear" w:color="auto" w:fill="FFFFFF"/>
            <w:vAlign w:val="center"/>
            <w:hideMark/>
          </w:tcPr>
          <w:p w:rsidR="001541A2" w:rsidRPr="005F74C1" w:rsidRDefault="001541A2" w:rsidP="00CB4988">
            <w:pPr>
              <w:jc w:val="center"/>
              <w:rPr>
                <w:bCs/>
                <w:sz w:val="20"/>
                <w:szCs w:val="20"/>
                <w:lang w:eastAsia="tr-TR"/>
              </w:rPr>
            </w:pPr>
            <w:r w:rsidRPr="005F74C1">
              <w:rPr>
                <w:bCs/>
                <w:sz w:val="20"/>
                <w:szCs w:val="20"/>
                <w:lang w:eastAsia="tr-TR"/>
              </w:rPr>
              <w:t>Intercept</w:t>
            </w:r>
          </w:p>
        </w:tc>
        <w:tc>
          <w:tcPr>
            <w:tcW w:w="1575" w:type="dxa"/>
            <w:tcBorders>
              <w:top w:val="single" w:sz="4" w:space="0" w:color="auto"/>
              <w:bottom w:val="single" w:sz="4" w:space="0" w:color="auto"/>
            </w:tcBorders>
            <w:shd w:val="clear" w:color="auto" w:fill="FFFFFF"/>
            <w:vAlign w:val="center"/>
            <w:hideMark/>
          </w:tcPr>
          <w:p w:rsidR="001541A2" w:rsidRPr="005F74C1" w:rsidRDefault="001541A2" w:rsidP="00CB4988">
            <w:pPr>
              <w:jc w:val="center"/>
              <w:rPr>
                <w:bCs/>
                <w:sz w:val="20"/>
                <w:szCs w:val="20"/>
                <w:lang w:eastAsia="tr-TR"/>
              </w:rPr>
            </w:pPr>
            <w:r w:rsidRPr="005F74C1">
              <w:rPr>
                <w:bCs/>
                <w:sz w:val="20"/>
                <w:szCs w:val="20"/>
                <w:lang w:eastAsia="tr-TR"/>
              </w:rPr>
              <w:t>Intercept + trend</w:t>
            </w:r>
          </w:p>
        </w:tc>
        <w:tc>
          <w:tcPr>
            <w:tcW w:w="2047" w:type="dxa"/>
            <w:gridSpan w:val="2"/>
            <w:tcBorders>
              <w:top w:val="single" w:sz="4" w:space="0" w:color="auto"/>
              <w:bottom w:val="single" w:sz="4" w:space="0" w:color="auto"/>
            </w:tcBorders>
            <w:shd w:val="clear" w:color="auto" w:fill="FFFFFF"/>
            <w:vAlign w:val="center"/>
            <w:hideMark/>
          </w:tcPr>
          <w:p w:rsidR="001541A2" w:rsidRPr="005F74C1" w:rsidRDefault="001541A2" w:rsidP="00CB4988">
            <w:pPr>
              <w:jc w:val="center"/>
              <w:rPr>
                <w:bCs/>
                <w:sz w:val="20"/>
                <w:szCs w:val="20"/>
                <w:lang w:eastAsia="tr-TR"/>
              </w:rPr>
            </w:pPr>
            <w:r w:rsidRPr="005F74C1">
              <w:rPr>
                <w:bCs/>
                <w:sz w:val="20"/>
                <w:szCs w:val="20"/>
                <w:lang w:eastAsia="tr-TR"/>
              </w:rPr>
              <w:t>Intercept</w:t>
            </w:r>
          </w:p>
        </w:tc>
        <w:tc>
          <w:tcPr>
            <w:tcW w:w="1497" w:type="dxa"/>
            <w:tcBorders>
              <w:top w:val="single" w:sz="4" w:space="0" w:color="auto"/>
              <w:bottom w:val="single" w:sz="4" w:space="0" w:color="auto"/>
            </w:tcBorders>
            <w:shd w:val="clear" w:color="auto" w:fill="FFFFFF"/>
            <w:vAlign w:val="center"/>
            <w:hideMark/>
          </w:tcPr>
          <w:p w:rsidR="001541A2" w:rsidRPr="005F74C1" w:rsidRDefault="001541A2" w:rsidP="00CB4988">
            <w:pPr>
              <w:jc w:val="center"/>
              <w:rPr>
                <w:bCs/>
                <w:sz w:val="20"/>
                <w:szCs w:val="20"/>
                <w:lang w:eastAsia="tr-TR"/>
              </w:rPr>
            </w:pPr>
            <w:r w:rsidRPr="005F74C1">
              <w:rPr>
                <w:bCs/>
                <w:sz w:val="20"/>
                <w:szCs w:val="20"/>
                <w:lang w:eastAsia="tr-TR"/>
              </w:rPr>
              <w:t>Intercept + trend</w:t>
            </w:r>
          </w:p>
        </w:tc>
      </w:tr>
      <w:tr w:rsidR="001541A2" w:rsidRPr="005F74C1" w:rsidTr="008F2162">
        <w:trPr>
          <w:trHeight w:val="288"/>
          <w:jc w:val="center"/>
        </w:trPr>
        <w:tc>
          <w:tcPr>
            <w:tcW w:w="683" w:type="dxa"/>
            <w:shd w:val="clear" w:color="auto" w:fill="FFFFFF"/>
            <w:noWrap/>
            <w:vAlign w:val="bottom"/>
            <w:hideMark/>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GDP</w:t>
            </w:r>
          </w:p>
        </w:tc>
        <w:tc>
          <w:tcPr>
            <w:tcW w:w="993" w:type="dxa"/>
            <w:tcBorders>
              <w:top w:val="single" w:sz="4" w:space="0" w:color="auto"/>
            </w:tcBorders>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1.754</w:t>
            </w:r>
          </w:p>
        </w:tc>
        <w:tc>
          <w:tcPr>
            <w:tcW w:w="1575" w:type="dxa"/>
            <w:tcBorders>
              <w:top w:val="single" w:sz="4" w:space="0" w:color="auto"/>
            </w:tcBorders>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1.515</w:t>
            </w:r>
          </w:p>
        </w:tc>
        <w:tc>
          <w:tcPr>
            <w:tcW w:w="767"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∆GDP</w:t>
            </w:r>
          </w:p>
        </w:tc>
        <w:tc>
          <w:tcPr>
            <w:tcW w:w="1280"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-8.643</w:t>
            </w:r>
            <w:r w:rsidRPr="001541A2">
              <w:rPr>
                <w:sz w:val="20"/>
                <w:szCs w:val="20"/>
                <w:vertAlign w:val="superscript"/>
                <w:lang w:eastAsia="tr-TR"/>
              </w:rPr>
              <w:t>***</w:t>
            </w:r>
          </w:p>
        </w:tc>
        <w:tc>
          <w:tcPr>
            <w:tcW w:w="1497" w:type="dxa"/>
            <w:tcBorders>
              <w:top w:val="single" w:sz="4" w:space="0" w:color="auto"/>
            </w:tcBorders>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-7.891</w:t>
            </w:r>
            <w:r w:rsidRPr="001541A2">
              <w:rPr>
                <w:sz w:val="20"/>
                <w:szCs w:val="20"/>
                <w:vertAlign w:val="superscript"/>
                <w:lang w:eastAsia="tr-TR"/>
              </w:rPr>
              <w:t>***</w:t>
            </w:r>
          </w:p>
        </w:tc>
      </w:tr>
      <w:tr w:rsidR="001541A2" w:rsidRPr="005F74C1" w:rsidTr="008F2162">
        <w:trPr>
          <w:trHeight w:val="288"/>
          <w:jc w:val="center"/>
        </w:trPr>
        <w:tc>
          <w:tcPr>
            <w:tcW w:w="683" w:type="dxa"/>
            <w:shd w:val="clear" w:color="auto" w:fill="FFFFFF"/>
            <w:noWrap/>
            <w:vAlign w:val="bottom"/>
            <w:hideMark/>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CPI</w:t>
            </w:r>
          </w:p>
        </w:tc>
        <w:tc>
          <w:tcPr>
            <w:tcW w:w="993" w:type="dxa"/>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0.744</w:t>
            </w:r>
          </w:p>
        </w:tc>
        <w:tc>
          <w:tcPr>
            <w:tcW w:w="1575" w:type="dxa"/>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2.838</w:t>
            </w:r>
          </w:p>
        </w:tc>
        <w:tc>
          <w:tcPr>
            <w:tcW w:w="767" w:type="dxa"/>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∆CPI</w:t>
            </w:r>
          </w:p>
        </w:tc>
        <w:tc>
          <w:tcPr>
            <w:tcW w:w="1280"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-6.627</w:t>
            </w:r>
            <w:r w:rsidRPr="001541A2">
              <w:rPr>
                <w:sz w:val="20"/>
                <w:szCs w:val="20"/>
                <w:vertAlign w:val="superscript"/>
                <w:lang w:eastAsia="tr-TR"/>
              </w:rPr>
              <w:t>***</w:t>
            </w:r>
          </w:p>
        </w:tc>
        <w:tc>
          <w:tcPr>
            <w:tcW w:w="1497" w:type="dxa"/>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-6.442</w:t>
            </w:r>
            <w:r w:rsidRPr="001541A2">
              <w:rPr>
                <w:sz w:val="20"/>
                <w:szCs w:val="20"/>
                <w:vertAlign w:val="superscript"/>
                <w:lang w:eastAsia="tr-TR"/>
              </w:rPr>
              <w:t>***</w:t>
            </w:r>
          </w:p>
        </w:tc>
      </w:tr>
      <w:tr w:rsidR="001541A2" w:rsidRPr="005F74C1" w:rsidTr="008F2162">
        <w:trPr>
          <w:trHeight w:val="288"/>
          <w:jc w:val="center"/>
        </w:trPr>
        <w:tc>
          <w:tcPr>
            <w:tcW w:w="683" w:type="dxa"/>
            <w:shd w:val="clear" w:color="auto" w:fill="FFFFFF"/>
            <w:noWrap/>
            <w:vAlign w:val="bottom"/>
            <w:hideMark/>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IR</w:t>
            </w:r>
          </w:p>
        </w:tc>
        <w:tc>
          <w:tcPr>
            <w:tcW w:w="993" w:type="dxa"/>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-0.361</w:t>
            </w:r>
          </w:p>
        </w:tc>
        <w:tc>
          <w:tcPr>
            <w:tcW w:w="1575" w:type="dxa"/>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0.368</w:t>
            </w:r>
          </w:p>
        </w:tc>
        <w:tc>
          <w:tcPr>
            <w:tcW w:w="767" w:type="dxa"/>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∆IR</w:t>
            </w:r>
          </w:p>
        </w:tc>
        <w:tc>
          <w:tcPr>
            <w:tcW w:w="1280"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-8.786</w:t>
            </w:r>
            <w:r w:rsidRPr="001541A2">
              <w:rPr>
                <w:sz w:val="20"/>
                <w:szCs w:val="20"/>
                <w:vertAlign w:val="superscript"/>
                <w:lang w:eastAsia="tr-TR"/>
              </w:rPr>
              <w:t>***</w:t>
            </w:r>
          </w:p>
        </w:tc>
        <w:tc>
          <w:tcPr>
            <w:tcW w:w="1497" w:type="dxa"/>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-7.641</w:t>
            </w:r>
            <w:r w:rsidRPr="001541A2">
              <w:rPr>
                <w:sz w:val="20"/>
                <w:szCs w:val="20"/>
                <w:vertAlign w:val="superscript"/>
                <w:lang w:eastAsia="tr-TR"/>
              </w:rPr>
              <w:t>***</w:t>
            </w:r>
          </w:p>
        </w:tc>
      </w:tr>
      <w:tr w:rsidR="001541A2" w:rsidRPr="005F74C1" w:rsidTr="008F2162">
        <w:trPr>
          <w:trHeight w:val="288"/>
          <w:jc w:val="center"/>
        </w:trPr>
        <w:tc>
          <w:tcPr>
            <w:tcW w:w="683" w:type="dxa"/>
            <w:tcBorders>
              <w:bottom w:val="double" w:sz="4" w:space="0" w:color="auto"/>
            </w:tcBorders>
            <w:shd w:val="clear" w:color="auto" w:fill="FFFFFF"/>
            <w:noWrap/>
            <w:vAlign w:val="bottom"/>
            <w:hideMark/>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RER</w:t>
            </w:r>
          </w:p>
        </w:tc>
        <w:tc>
          <w:tcPr>
            <w:tcW w:w="993" w:type="dxa"/>
            <w:tcBorders>
              <w:bottom w:val="double" w:sz="4" w:space="0" w:color="auto"/>
            </w:tcBorders>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-0.323</w:t>
            </w:r>
          </w:p>
        </w:tc>
        <w:tc>
          <w:tcPr>
            <w:tcW w:w="1575" w:type="dxa"/>
            <w:tcBorders>
              <w:bottom w:val="double" w:sz="4" w:space="0" w:color="auto"/>
            </w:tcBorders>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-0.289</w:t>
            </w:r>
          </w:p>
        </w:tc>
        <w:tc>
          <w:tcPr>
            <w:tcW w:w="767" w:type="dxa"/>
            <w:tcBorders>
              <w:bottom w:val="double" w:sz="4" w:space="0" w:color="auto"/>
            </w:tcBorders>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∆RER</w:t>
            </w:r>
          </w:p>
        </w:tc>
        <w:tc>
          <w:tcPr>
            <w:tcW w:w="1280" w:type="dxa"/>
            <w:tcBorders>
              <w:bottom w:val="doub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-9.386</w:t>
            </w:r>
            <w:r w:rsidRPr="001541A2">
              <w:rPr>
                <w:sz w:val="20"/>
                <w:szCs w:val="20"/>
                <w:vertAlign w:val="superscript"/>
                <w:lang w:eastAsia="tr-TR"/>
              </w:rPr>
              <w:t>***</w:t>
            </w:r>
          </w:p>
        </w:tc>
        <w:tc>
          <w:tcPr>
            <w:tcW w:w="1497" w:type="dxa"/>
            <w:tcBorders>
              <w:bottom w:val="double" w:sz="4" w:space="0" w:color="auto"/>
            </w:tcBorders>
            <w:shd w:val="clear" w:color="auto" w:fill="FFFFFF"/>
            <w:vAlign w:val="center"/>
            <w:hideMark/>
          </w:tcPr>
          <w:p w:rsidR="001541A2" w:rsidRPr="005F74C1" w:rsidRDefault="001541A2" w:rsidP="00CB4988">
            <w:pPr>
              <w:jc w:val="center"/>
              <w:rPr>
                <w:sz w:val="20"/>
                <w:szCs w:val="20"/>
                <w:lang w:eastAsia="tr-TR"/>
              </w:rPr>
            </w:pPr>
            <w:r w:rsidRPr="005F74C1">
              <w:rPr>
                <w:sz w:val="20"/>
                <w:szCs w:val="20"/>
                <w:lang w:eastAsia="tr-TR"/>
              </w:rPr>
              <w:t>-8.694</w:t>
            </w:r>
            <w:r w:rsidRPr="001541A2">
              <w:rPr>
                <w:sz w:val="20"/>
                <w:szCs w:val="20"/>
                <w:vertAlign w:val="superscript"/>
                <w:lang w:eastAsia="tr-TR"/>
              </w:rPr>
              <w:t>***</w:t>
            </w:r>
          </w:p>
        </w:tc>
      </w:tr>
      <w:tr w:rsidR="001541A2" w:rsidRPr="005F74C1" w:rsidTr="008F2162">
        <w:trPr>
          <w:trHeight w:val="288"/>
          <w:jc w:val="center"/>
        </w:trPr>
        <w:tc>
          <w:tcPr>
            <w:tcW w:w="683" w:type="dxa"/>
            <w:vMerge w:val="restart"/>
            <w:tcBorders>
              <w:top w:val="double" w:sz="4" w:space="0" w:color="auto"/>
              <w:bottom w:val="nil"/>
            </w:tcBorders>
            <w:shd w:val="clear" w:color="auto" w:fill="FFFFFF"/>
            <w:noWrap/>
            <w:vAlign w:val="bottom"/>
          </w:tcPr>
          <w:p w:rsidR="001541A2" w:rsidRPr="008F2162" w:rsidRDefault="001541A2" w:rsidP="00CB4988">
            <w:pPr>
              <w:jc w:val="center"/>
              <w:rPr>
                <w:bCs/>
                <w:i/>
                <w:color w:val="000000"/>
                <w:sz w:val="20"/>
                <w:szCs w:val="20"/>
                <w:lang w:eastAsia="tr-TR"/>
              </w:rPr>
            </w:pPr>
          </w:p>
        </w:tc>
        <w:tc>
          <w:tcPr>
            <w:tcW w:w="6112" w:type="dxa"/>
            <w:gridSpan w:val="5"/>
            <w:tcBorders>
              <w:top w:val="double" w:sz="4" w:space="0" w:color="auto"/>
              <w:bottom w:val="single" w:sz="4" w:space="0" w:color="auto"/>
            </w:tcBorders>
            <w:shd w:val="clear" w:color="auto" w:fill="FFFFFF"/>
            <w:vAlign w:val="center"/>
          </w:tcPr>
          <w:p w:rsidR="001541A2" w:rsidRPr="005F74C1" w:rsidRDefault="001541A2" w:rsidP="00CB4988">
            <w:pPr>
              <w:jc w:val="center"/>
              <w:rPr>
                <w:b/>
                <w:bCs/>
                <w:sz w:val="20"/>
                <w:szCs w:val="20"/>
                <w:lang w:eastAsia="tr-TR"/>
              </w:rPr>
            </w:pPr>
            <w:r w:rsidRPr="005F74C1">
              <w:rPr>
                <w:b/>
                <w:bCs/>
                <w:sz w:val="20"/>
                <w:szCs w:val="20"/>
                <w:lang w:eastAsia="tr-TR"/>
              </w:rPr>
              <w:t>Breitung and Das Test</w:t>
            </w:r>
          </w:p>
        </w:tc>
      </w:tr>
      <w:tr w:rsidR="001541A2" w:rsidRPr="005F74C1" w:rsidTr="008F2162">
        <w:trPr>
          <w:trHeight w:val="288"/>
          <w:jc w:val="center"/>
        </w:trPr>
        <w:tc>
          <w:tcPr>
            <w:tcW w:w="683" w:type="dxa"/>
            <w:vMerge/>
            <w:tcBorders>
              <w:top w:val="nil"/>
            </w:tcBorders>
            <w:shd w:val="clear" w:color="auto" w:fill="FFFFFF"/>
            <w:noWrap/>
            <w:vAlign w:val="bottom"/>
          </w:tcPr>
          <w:p w:rsidR="001541A2" w:rsidRPr="008F2162" w:rsidRDefault="001541A2" w:rsidP="00CB4988">
            <w:pPr>
              <w:jc w:val="center"/>
              <w:rPr>
                <w:bCs/>
                <w:i/>
                <w:color w:val="000000"/>
                <w:sz w:val="20"/>
                <w:szCs w:val="20"/>
                <w:lang w:eastAsia="tr-TR"/>
              </w:rPr>
            </w:pPr>
          </w:p>
        </w:tc>
        <w:tc>
          <w:tcPr>
            <w:tcW w:w="993" w:type="dxa"/>
            <w:tcBorders>
              <w:top w:val="single" w:sz="4" w:space="0" w:color="auto"/>
              <w:bottom w:val="single" w:sz="4" w:space="0" w:color="auto"/>
            </w:tcBorders>
            <w:shd w:val="clear" w:color="auto" w:fill="FFFFFF"/>
            <w:vAlign w:val="center"/>
          </w:tcPr>
          <w:p w:rsidR="001541A2" w:rsidRPr="005F74C1" w:rsidRDefault="001541A2" w:rsidP="00CB4988">
            <w:pPr>
              <w:jc w:val="center"/>
              <w:rPr>
                <w:bCs/>
                <w:sz w:val="20"/>
                <w:szCs w:val="20"/>
                <w:lang w:eastAsia="tr-TR"/>
              </w:rPr>
            </w:pPr>
            <w:r w:rsidRPr="005F74C1">
              <w:rPr>
                <w:bCs/>
                <w:sz w:val="20"/>
                <w:szCs w:val="20"/>
                <w:lang w:eastAsia="tr-TR"/>
              </w:rPr>
              <w:t>Intercept</w:t>
            </w:r>
          </w:p>
        </w:tc>
        <w:tc>
          <w:tcPr>
            <w:tcW w:w="1575" w:type="dxa"/>
            <w:tcBorders>
              <w:top w:val="single" w:sz="4" w:space="0" w:color="auto"/>
              <w:bottom w:val="single" w:sz="4" w:space="0" w:color="auto"/>
            </w:tcBorders>
            <w:shd w:val="clear" w:color="auto" w:fill="FFFFFF"/>
            <w:vAlign w:val="center"/>
          </w:tcPr>
          <w:p w:rsidR="001541A2" w:rsidRPr="005F74C1" w:rsidRDefault="001541A2" w:rsidP="00CB4988">
            <w:pPr>
              <w:jc w:val="center"/>
              <w:rPr>
                <w:bCs/>
                <w:sz w:val="20"/>
                <w:szCs w:val="20"/>
                <w:lang w:eastAsia="tr-TR"/>
              </w:rPr>
            </w:pPr>
            <w:r w:rsidRPr="005F74C1">
              <w:rPr>
                <w:bCs/>
                <w:sz w:val="20"/>
                <w:szCs w:val="20"/>
                <w:lang w:eastAsia="tr-TR"/>
              </w:rPr>
              <w:t>Intercept + trend</w:t>
            </w:r>
          </w:p>
        </w:tc>
        <w:tc>
          <w:tcPr>
            <w:tcW w:w="2047" w:type="dxa"/>
            <w:gridSpan w:val="2"/>
            <w:tcBorders>
              <w:top w:val="single" w:sz="4" w:space="0" w:color="auto"/>
              <w:bottom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Intercept</w:t>
            </w:r>
          </w:p>
        </w:tc>
        <w:tc>
          <w:tcPr>
            <w:tcW w:w="1497" w:type="dxa"/>
            <w:tcBorders>
              <w:top w:val="single" w:sz="4" w:space="0" w:color="auto"/>
              <w:bottom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Intercept + trend</w:t>
            </w:r>
          </w:p>
        </w:tc>
      </w:tr>
      <w:tr w:rsidR="001541A2" w:rsidRPr="005F74C1" w:rsidTr="008F2162">
        <w:trPr>
          <w:trHeight w:val="288"/>
          <w:jc w:val="center"/>
        </w:trPr>
        <w:tc>
          <w:tcPr>
            <w:tcW w:w="683" w:type="dxa"/>
            <w:shd w:val="clear" w:color="auto" w:fill="FFFFFF"/>
            <w:noWrap/>
            <w:vAlign w:val="bottom"/>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GDP</w:t>
            </w:r>
          </w:p>
        </w:tc>
        <w:tc>
          <w:tcPr>
            <w:tcW w:w="993"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3.595</w:t>
            </w:r>
          </w:p>
        </w:tc>
        <w:tc>
          <w:tcPr>
            <w:tcW w:w="1575"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-0.020</w:t>
            </w:r>
          </w:p>
        </w:tc>
        <w:tc>
          <w:tcPr>
            <w:tcW w:w="767"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∆GDP</w:t>
            </w:r>
          </w:p>
        </w:tc>
        <w:tc>
          <w:tcPr>
            <w:tcW w:w="1280"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-5.934</w:t>
            </w:r>
            <w:r w:rsidRPr="001541A2">
              <w:rPr>
                <w:sz w:val="20"/>
                <w:szCs w:val="20"/>
                <w:vertAlign w:val="superscript"/>
                <w:lang w:eastAsia="tr-TR"/>
              </w:rPr>
              <w:t>***</w:t>
            </w:r>
          </w:p>
        </w:tc>
        <w:tc>
          <w:tcPr>
            <w:tcW w:w="1497"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-6.280</w:t>
            </w:r>
            <w:r w:rsidRPr="001541A2">
              <w:rPr>
                <w:sz w:val="20"/>
                <w:szCs w:val="20"/>
                <w:vertAlign w:val="superscript"/>
                <w:lang w:eastAsia="tr-TR"/>
              </w:rPr>
              <w:t>***</w:t>
            </w:r>
          </w:p>
        </w:tc>
      </w:tr>
      <w:tr w:rsidR="001541A2" w:rsidRPr="005F74C1" w:rsidTr="008F2162">
        <w:trPr>
          <w:trHeight w:val="288"/>
          <w:jc w:val="center"/>
        </w:trPr>
        <w:tc>
          <w:tcPr>
            <w:tcW w:w="683" w:type="dxa"/>
            <w:shd w:val="clear" w:color="auto" w:fill="FFFFFF"/>
            <w:noWrap/>
            <w:vAlign w:val="bottom"/>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CPI</w:t>
            </w:r>
          </w:p>
        </w:tc>
        <w:tc>
          <w:tcPr>
            <w:tcW w:w="993"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6.601</w:t>
            </w:r>
          </w:p>
        </w:tc>
        <w:tc>
          <w:tcPr>
            <w:tcW w:w="1575"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3.572</w:t>
            </w:r>
          </w:p>
        </w:tc>
        <w:tc>
          <w:tcPr>
            <w:tcW w:w="767" w:type="dxa"/>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∆CPI</w:t>
            </w:r>
          </w:p>
        </w:tc>
        <w:tc>
          <w:tcPr>
            <w:tcW w:w="1280"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-7.885</w:t>
            </w:r>
            <w:r w:rsidRPr="001541A2">
              <w:rPr>
                <w:sz w:val="20"/>
                <w:szCs w:val="20"/>
                <w:vertAlign w:val="superscript"/>
                <w:lang w:eastAsia="tr-TR"/>
              </w:rPr>
              <w:t>***</w:t>
            </w:r>
          </w:p>
        </w:tc>
        <w:tc>
          <w:tcPr>
            <w:tcW w:w="1497"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-6.370</w:t>
            </w:r>
            <w:r w:rsidRPr="001541A2">
              <w:rPr>
                <w:sz w:val="20"/>
                <w:szCs w:val="20"/>
                <w:vertAlign w:val="superscript"/>
                <w:lang w:eastAsia="tr-TR"/>
              </w:rPr>
              <w:t>***</w:t>
            </w:r>
          </w:p>
        </w:tc>
      </w:tr>
      <w:tr w:rsidR="001541A2" w:rsidRPr="005F74C1" w:rsidTr="008F2162">
        <w:trPr>
          <w:trHeight w:val="288"/>
          <w:jc w:val="center"/>
        </w:trPr>
        <w:tc>
          <w:tcPr>
            <w:tcW w:w="683" w:type="dxa"/>
            <w:shd w:val="clear" w:color="auto" w:fill="FFFFFF"/>
            <w:noWrap/>
            <w:vAlign w:val="bottom"/>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IR</w:t>
            </w:r>
          </w:p>
        </w:tc>
        <w:tc>
          <w:tcPr>
            <w:tcW w:w="993"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1.204</w:t>
            </w:r>
          </w:p>
        </w:tc>
        <w:tc>
          <w:tcPr>
            <w:tcW w:w="1575"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-0.550</w:t>
            </w:r>
          </w:p>
        </w:tc>
        <w:tc>
          <w:tcPr>
            <w:tcW w:w="767" w:type="dxa"/>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∆IR</w:t>
            </w:r>
          </w:p>
        </w:tc>
        <w:tc>
          <w:tcPr>
            <w:tcW w:w="1280"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-8.379</w:t>
            </w:r>
            <w:r w:rsidRPr="001541A2">
              <w:rPr>
                <w:sz w:val="20"/>
                <w:szCs w:val="20"/>
                <w:vertAlign w:val="superscript"/>
                <w:lang w:eastAsia="tr-TR"/>
              </w:rPr>
              <w:t>***</w:t>
            </w:r>
          </w:p>
        </w:tc>
        <w:tc>
          <w:tcPr>
            <w:tcW w:w="1497"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-4.445</w:t>
            </w:r>
            <w:r w:rsidRPr="001541A2">
              <w:rPr>
                <w:sz w:val="20"/>
                <w:szCs w:val="20"/>
                <w:vertAlign w:val="superscript"/>
                <w:lang w:eastAsia="tr-TR"/>
              </w:rPr>
              <w:t>***</w:t>
            </w:r>
          </w:p>
        </w:tc>
      </w:tr>
      <w:tr w:rsidR="001541A2" w:rsidRPr="005F74C1" w:rsidTr="008F2162">
        <w:trPr>
          <w:trHeight w:val="288"/>
          <w:jc w:val="center"/>
        </w:trPr>
        <w:tc>
          <w:tcPr>
            <w:tcW w:w="683" w:type="dxa"/>
            <w:tcBorders>
              <w:bottom w:val="double" w:sz="4" w:space="0" w:color="auto"/>
            </w:tcBorders>
            <w:shd w:val="clear" w:color="auto" w:fill="FFFFFF"/>
            <w:noWrap/>
            <w:vAlign w:val="bottom"/>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RER</w:t>
            </w:r>
          </w:p>
        </w:tc>
        <w:tc>
          <w:tcPr>
            <w:tcW w:w="993" w:type="dxa"/>
            <w:tcBorders>
              <w:bottom w:val="doub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0.282</w:t>
            </w:r>
          </w:p>
        </w:tc>
        <w:tc>
          <w:tcPr>
            <w:tcW w:w="1575" w:type="dxa"/>
            <w:tcBorders>
              <w:bottom w:val="doub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1.815</w:t>
            </w:r>
          </w:p>
        </w:tc>
        <w:tc>
          <w:tcPr>
            <w:tcW w:w="767" w:type="dxa"/>
            <w:tcBorders>
              <w:bottom w:val="double" w:sz="4" w:space="0" w:color="auto"/>
            </w:tcBorders>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∆RER</w:t>
            </w:r>
          </w:p>
        </w:tc>
        <w:tc>
          <w:tcPr>
            <w:tcW w:w="1280" w:type="dxa"/>
            <w:tcBorders>
              <w:bottom w:val="doub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-6.964</w:t>
            </w:r>
            <w:r w:rsidRPr="001541A2">
              <w:rPr>
                <w:sz w:val="20"/>
                <w:szCs w:val="20"/>
                <w:vertAlign w:val="superscript"/>
                <w:lang w:eastAsia="tr-TR"/>
              </w:rPr>
              <w:t>***</w:t>
            </w:r>
          </w:p>
        </w:tc>
        <w:tc>
          <w:tcPr>
            <w:tcW w:w="1497" w:type="dxa"/>
            <w:tcBorders>
              <w:bottom w:val="doub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-7.132</w:t>
            </w:r>
            <w:r w:rsidRPr="001541A2">
              <w:rPr>
                <w:sz w:val="20"/>
                <w:szCs w:val="20"/>
                <w:vertAlign w:val="superscript"/>
                <w:lang w:eastAsia="tr-TR"/>
              </w:rPr>
              <w:t>***</w:t>
            </w:r>
          </w:p>
        </w:tc>
      </w:tr>
      <w:tr w:rsidR="001541A2" w:rsidRPr="005F74C1" w:rsidTr="008F2162">
        <w:trPr>
          <w:trHeight w:val="288"/>
          <w:jc w:val="center"/>
        </w:trPr>
        <w:tc>
          <w:tcPr>
            <w:tcW w:w="683" w:type="dxa"/>
            <w:vMerge w:val="restart"/>
            <w:tcBorders>
              <w:top w:val="double" w:sz="4" w:space="0" w:color="auto"/>
              <w:bottom w:val="nil"/>
            </w:tcBorders>
            <w:shd w:val="clear" w:color="auto" w:fill="FFFFFF"/>
            <w:noWrap/>
            <w:vAlign w:val="bottom"/>
          </w:tcPr>
          <w:p w:rsidR="001541A2" w:rsidRPr="008F2162" w:rsidRDefault="001541A2" w:rsidP="00CB4988">
            <w:pPr>
              <w:jc w:val="center"/>
              <w:rPr>
                <w:b/>
                <w:bCs/>
                <w:i/>
                <w:color w:val="000000"/>
                <w:sz w:val="20"/>
                <w:szCs w:val="20"/>
                <w:lang w:eastAsia="tr-TR"/>
              </w:rPr>
            </w:pPr>
          </w:p>
        </w:tc>
        <w:tc>
          <w:tcPr>
            <w:tcW w:w="6112" w:type="dxa"/>
            <w:gridSpan w:val="5"/>
            <w:tcBorders>
              <w:top w:val="double" w:sz="4" w:space="0" w:color="auto"/>
              <w:bottom w:val="single" w:sz="4" w:space="0" w:color="auto"/>
            </w:tcBorders>
            <w:shd w:val="clear" w:color="auto" w:fill="FFFFFF"/>
            <w:vAlign w:val="center"/>
          </w:tcPr>
          <w:p w:rsidR="001541A2" w:rsidRPr="005F74C1" w:rsidRDefault="001541A2" w:rsidP="00CB4988">
            <w:pPr>
              <w:jc w:val="center"/>
              <w:rPr>
                <w:b/>
                <w:bCs/>
                <w:sz w:val="20"/>
                <w:szCs w:val="20"/>
                <w:lang w:eastAsia="tr-TR"/>
              </w:rPr>
            </w:pPr>
            <w:r w:rsidRPr="005F74C1">
              <w:rPr>
                <w:b/>
                <w:bCs/>
                <w:sz w:val="20"/>
                <w:szCs w:val="20"/>
                <w:lang w:eastAsia="tr-TR"/>
              </w:rPr>
              <w:t>Maddala and Wu Test</w:t>
            </w:r>
          </w:p>
        </w:tc>
      </w:tr>
      <w:tr w:rsidR="001541A2" w:rsidRPr="005F74C1" w:rsidTr="008F2162">
        <w:trPr>
          <w:trHeight w:val="288"/>
          <w:jc w:val="center"/>
        </w:trPr>
        <w:tc>
          <w:tcPr>
            <w:tcW w:w="683" w:type="dxa"/>
            <w:vMerge/>
            <w:tcBorders>
              <w:top w:val="nil"/>
            </w:tcBorders>
            <w:shd w:val="clear" w:color="auto" w:fill="FFFFFF"/>
            <w:noWrap/>
            <w:vAlign w:val="bottom"/>
          </w:tcPr>
          <w:p w:rsidR="001541A2" w:rsidRPr="008F2162" w:rsidRDefault="001541A2" w:rsidP="00CB4988">
            <w:pPr>
              <w:jc w:val="center"/>
              <w:rPr>
                <w:b/>
                <w:bCs/>
                <w:i/>
                <w:color w:val="000000"/>
                <w:sz w:val="20"/>
                <w:szCs w:val="20"/>
                <w:lang w:eastAsia="tr-TR"/>
              </w:rPr>
            </w:pPr>
          </w:p>
        </w:tc>
        <w:tc>
          <w:tcPr>
            <w:tcW w:w="993" w:type="dxa"/>
            <w:tcBorders>
              <w:top w:val="single" w:sz="4" w:space="0" w:color="auto"/>
              <w:bottom w:val="single" w:sz="4" w:space="0" w:color="auto"/>
            </w:tcBorders>
            <w:shd w:val="clear" w:color="auto" w:fill="FFFFFF"/>
            <w:vAlign w:val="center"/>
          </w:tcPr>
          <w:p w:rsidR="001541A2" w:rsidRPr="005F74C1" w:rsidRDefault="001541A2" w:rsidP="00CB4988">
            <w:pPr>
              <w:jc w:val="center"/>
              <w:rPr>
                <w:bCs/>
                <w:sz w:val="20"/>
                <w:szCs w:val="20"/>
                <w:lang w:eastAsia="tr-TR"/>
              </w:rPr>
            </w:pPr>
            <w:r w:rsidRPr="005F74C1">
              <w:rPr>
                <w:bCs/>
                <w:sz w:val="20"/>
                <w:szCs w:val="20"/>
                <w:lang w:eastAsia="tr-TR"/>
              </w:rPr>
              <w:t>Intercept</w:t>
            </w:r>
          </w:p>
        </w:tc>
        <w:tc>
          <w:tcPr>
            <w:tcW w:w="1575" w:type="dxa"/>
            <w:tcBorders>
              <w:top w:val="single" w:sz="4" w:space="0" w:color="auto"/>
              <w:bottom w:val="single" w:sz="4" w:space="0" w:color="auto"/>
            </w:tcBorders>
            <w:shd w:val="clear" w:color="auto" w:fill="FFFFFF"/>
            <w:vAlign w:val="center"/>
          </w:tcPr>
          <w:p w:rsidR="001541A2" w:rsidRPr="005F74C1" w:rsidRDefault="001541A2" w:rsidP="00CB4988">
            <w:pPr>
              <w:jc w:val="center"/>
              <w:rPr>
                <w:bCs/>
                <w:sz w:val="20"/>
                <w:szCs w:val="20"/>
                <w:lang w:eastAsia="tr-TR"/>
              </w:rPr>
            </w:pPr>
            <w:r w:rsidRPr="005F74C1">
              <w:rPr>
                <w:bCs/>
                <w:sz w:val="20"/>
                <w:szCs w:val="20"/>
                <w:lang w:eastAsia="tr-TR"/>
              </w:rPr>
              <w:t>Intercept + trend</w:t>
            </w:r>
          </w:p>
        </w:tc>
        <w:tc>
          <w:tcPr>
            <w:tcW w:w="2047" w:type="dxa"/>
            <w:gridSpan w:val="2"/>
            <w:tcBorders>
              <w:top w:val="single" w:sz="4" w:space="0" w:color="auto"/>
              <w:bottom w:val="single" w:sz="4" w:space="0" w:color="auto"/>
            </w:tcBorders>
            <w:shd w:val="clear" w:color="auto" w:fill="FFFFFF"/>
            <w:vAlign w:val="center"/>
          </w:tcPr>
          <w:p w:rsidR="001541A2" w:rsidRPr="005F74C1" w:rsidRDefault="001541A2" w:rsidP="00CB4988">
            <w:pPr>
              <w:jc w:val="center"/>
              <w:rPr>
                <w:bCs/>
                <w:sz w:val="20"/>
                <w:szCs w:val="20"/>
                <w:lang w:eastAsia="tr-TR"/>
              </w:rPr>
            </w:pPr>
            <w:r w:rsidRPr="005F74C1">
              <w:rPr>
                <w:bCs/>
                <w:sz w:val="20"/>
                <w:szCs w:val="20"/>
                <w:lang w:eastAsia="tr-TR"/>
              </w:rPr>
              <w:t>Intercept</w:t>
            </w:r>
          </w:p>
        </w:tc>
        <w:tc>
          <w:tcPr>
            <w:tcW w:w="1497" w:type="dxa"/>
            <w:tcBorders>
              <w:top w:val="single" w:sz="4" w:space="0" w:color="auto"/>
              <w:bottom w:val="single" w:sz="4" w:space="0" w:color="auto"/>
            </w:tcBorders>
            <w:shd w:val="clear" w:color="auto" w:fill="FFFFFF"/>
            <w:vAlign w:val="center"/>
          </w:tcPr>
          <w:p w:rsidR="001541A2" w:rsidRPr="005F74C1" w:rsidRDefault="001541A2" w:rsidP="00CB4988">
            <w:pPr>
              <w:jc w:val="center"/>
              <w:rPr>
                <w:bCs/>
                <w:sz w:val="20"/>
                <w:szCs w:val="20"/>
                <w:lang w:eastAsia="tr-TR"/>
              </w:rPr>
            </w:pPr>
            <w:r w:rsidRPr="005F74C1">
              <w:rPr>
                <w:bCs/>
                <w:sz w:val="20"/>
                <w:szCs w:val="20"/>
                <w:lang w:eastAsia="tr-TR"/>
              </w:rPr>
              <w:t>Intercept + trend</w:t>
            </w:r>
          </w:p>
        </w:tc>
      </w:tr>
      <w:tr w:rsidR="001541A2" w:rsidRPr="005F74C1" w:rsidTr="008F2162">
        <w:trPr>
          <w:trHeight w:val="288"/>
          <w:jc w:val="center"/>
        </w:trPr>
        <w:tc>
          <w:tcPr>
            <w:tcW w:w="683" w:type="dxa"/>
            <w:shd w:val="clear" w:color="auto" w:fill="FFFFFF"/>
            <w:noWrap/>
            <w:vAlign w:val="bottom"/>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GDP</w:t>
            </w:r>
          </w:p>
        </w:tc>
        <w:tc>
          <w:tcPr>
            <w:tcW w:w="993"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7.866</w:t>
            </w:r>
          </w:p>
        </w:tc>
        <w:tc>
          <w:tcPr>
            <w:tcW w:w="1575"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4.506</w:t>
            </w:r>
          </w:p>
        </w:tc>
        <w:tc>
          <w:tcPr>
            <w:tcW w:w="767"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∆GDP</w:t>
            </w:r>
          </w:p>
        </w:tc>
        <w:tc>
          <w:tcPr>
            <w:tcW w:w="1280"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99.802</w:t>
            </w:r>
            <w:r w:rsidRPr="001541A2">
              <w:rPr>
                <w:sz w:val="20"/>
                <w:szCs w:val="20"/>
                <w:vertAlign w:val="superscript"/>
                <w:lang w:eastAsia="tr-TR"/>
              </w:rPr>
              <w:t>***</w:t>
            </w:r>
          </w:p>
        </w:tc>
        <w:tc>
          <w:tcPr>
            <w:tcW w:w="1497" w:type="dxa"/>
            <w:tcBorders>
              <w:top w:val="single" w:sz="4" w:space="0" w:color="auto"/>
            </w:tcBorders>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74.573</w:t>
            </w:r>
            <w:r w:rsidRPr="001541A2">
              <w:rPr>
                <w:sz w:val="20"/>
                <w:szCs w:val="20"/>
                <w:vertAlign w:val="superscript"/>
                <w:lang w:eastAsia="tr-TR"/>
              </w:rPr>
              <w:t>***</w:t>
            </w:r>
          </w:p>
        </w:tc>
      </w:tr>
      <w:tr w:rsidR="001541A2" w:rsidRPr="005F74C1" w:rsidTr="008F2162">
        <w:trPr>
          <w:trHeight w:val="288"/>
          <w:jc w:val="center"/>
        </w:trPr>
        <w:tc>
          <w:tcPr>
            <w:tcW w:w="683" w:type="dxa"/>
            <w:shd w:val="clear" w:color="auto" w:fill="FFFFFF"/>
            <w:noWrap/>
            <w:vAlign w:val="bottom"/>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CPI</w:t>
            </w:r>
          </w:p>
        </w:tc>
        <w:tc>
          <w:tcPr>
            <w:tcW w:w="993"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9.970</w:t>
            </w:r>
          </w:p>
        </w:tc>
        <w:tc>
          <w:tcPr>
            <w:tcW w:w="1575"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6.335</w:t>
            </w:r>
          </w:p>
        </w:tc>
        <w:tc>
          <w:tcPr>
            <w:tcW w:w="767" w:type="dxa"/>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∆CPI</w:t>
            </w:r>
          </w:p>
        </w:tc>
        <w:tc>
          <w:tcPr>
            <w:tcW w:w="1280"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126.816</w:t>
            </w:r>
            <w:r w:rsidRPr="001541A2">
              <w:rPr>
                <w:sz w:val="20"/>
                <w:szCs w:val="20"/>
                <w:vertAlign w:val="superscript"/>
                <w:lang w:eastAsia="tr-TR"/>
              </w:rPr>
              <w:t>***</w:t>
            </w:r>
          </w:p>
        </w:tc>
        <w:tc>
          <w:tcPr>
            <w:tcW w:w="1497"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112.199</w:t>
            </w:r>
            <w:r w:rsidRPr="001541A2">
              <w:rPr>
                <w:sz w:val="20"/>
                <w:szCs w:val="20"/>
                <w:vertAlign w:val="superscript"/>
                <w:lang w:eastAsia="tr-TR"/>
              </w:rPr>
              <w:t>***</w:t>
            </w:r>
          </w:p>
        </w:tc>
      </w:tr>
      <w:tr w:rsidR="001541A2" w:rsidRPr="005F74C1" w:rsidTr="008F2162">
        <w:trPr>
          <w:trHeight w:val="288"/>
          <w:jc w:val="center"/>
        </w:trPr>
        <w:tc>
          <w:tcPr>
            <w:tcW w:w="683" w:type="dxa"/>
            <w:shd w:val="clear" w:color="auto" w:fill="FFFFFF"/>
            <w:noWrap/>
            <w:vAlign w:val="bottom"/>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IR</w:t>
            </w:r>
          </w:p>
        </w:tc>
        <w:tc>
          <w:tcPr>
            <w:tcW w:w="993"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5.264</w:t>
            </w:r>
          </w:p>
        </w:tc>
        <w:tc>
          <w:tcPr>
            <w:tcW w:w="1575"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23.628</w:t>
            </w:r>
          </w:p>
        </w:tc>
        <w:tc>
          <w:tcPr>
            <w:tcW w:w="767" w:type="dxa"/>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∆IR</w:t>
            </w:r>
          </w:p>
        </w:tc>
        <w:tc>
          <w:tcPr>
            <w:tcW w:w="1280"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25.018</w:t>
            </w:r>
            <w:r w:rsidRPr="001541A2">
              <w:rPr>
                <w:sz w:val="20"/>
                <w:szCs w:val="20"/>
                <w:vertAlign w:val="superscript"/>
                <w:lang w:eastAsia="tr-TR"/>
              </w:rPr>
              <w:t>***</w:t>
            </w:r>
          </w:p>
        </w:tc>
        <w:tc>
          <w:tcPr>
            <w:tcW w:w="1497"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218.507</w:t>
            </w:r>
            <w:r w:rsidRPr="001541A2">
              <w:rPr>
                <w:sz w:val="20"/>
                <w:szCs w:val="20"/>
                <w:vertAlign w:val="superscript"/>
                <w:lang w:eastAsia="tr-TR"/>
              </w:rPr>
              <w:t>***</w:t>
            </w:r>
          </w:p>
        </w:tc>
      </w:tr>
      <w:tr w:rsidR="001541A2" w:rsidRPr="005F74C1" w:rsidTr="008F2162">
        <w:trPr>
          <w:trHeight w:val="288"/>
          <w:jc w:val="center"/>
        </w:trPr>
        <w:tc>
          <w:tcPr>
            <w:tcW w:w="683" w:type="dxa"/>
            <w:shd w:val="clear" w:color="auto" w:fill="FFFFFF"/>
            <w:noWrap/>
            <w:vAlign w:val="bottom"/>
          </w:tcPr>
          <w:p w:rsidR="001541A2" w:rsidRPr="008F2162" w:rsidRDefault="001541A2" w:rsidP="00CB4988">
            <w:pPr>
              <w:jc w:val="center"/>
              <w:rPr>
                <w:bCs/>
                <w:i/>
                <w:color w:val="000000"/>
                <w:sz w:val="20"/>
                <w:szCs w:val="20"/>
                <w:lang w:eastAsia="tr-TR"/>
              </w:rPr>
            </w:pPr>
            <w:r w:rsidRPr="008F2162">
              <w:rPr>
                <w:bCs/>
                <w:i/>
                <w:color w:val="000000"/>
                <w:sz w:val="20"/>
                <w:szCs w:val="20"/>
                <w:lang w:eastAsia="tr-TR"/>
              </w:rPr>
              <w:t>RER</w:t>
            </w:r>
          </w:p>
        </w:tc>
        <w:tc>
          <w:tcPr>
            <w:tcW w:w="993"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11.680</w:t>
            </w:r>
          </w:p>
        </w:tc>
        <w:tc>
          <w:tcPr>
            <w:tcW w:w="1575"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3.145</w:t>
            </w:r>
          </w:p>
        </w:tc>
        <w:tc>
          <w:tcPr>
            <w:tcW w:w="767" w:type="dxa"/>
            <w:shd w:val="clear" w:color="auto" w:fill="FFFFFF"/>
            <w:vAlign w:val="center"/>
          </w:tcPr>
          <w:p w:rsidR="001541A2" w:rsidRPr="005F74C1" w:rsidRDefault="001541A2" w:rsidP="00CB4988">
            <w:pPr>
              <w:jc w:val="center"/>
              <w:rPr>
                <w:sz w:val="20"/>
                <w:szCs w:val="20"/>
                <w:lang w:eastAsia="tr-TR"/>
              </w:rPr>
            </w:pPr>
            <w:r w:rsidRPr="005F74C1">
              <w:rPr>
                <w:bCs/>
                <w:sz w:val="20"/>
                <w:szCs w:val="20"/>
                <w:lang w:eastAsia="tr-TR"/>
              </w:rPr>
              <w:t>∆RER</w:t>
            </w:r>
          </w:p>
        </w:tc>
        <w:tc>
          <w:tcPr>
            <w:tcW w:w="1280"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160.522</w:t>
            </w:r>
            <w:r w:rsidRPr="001541A2">
              <w:rPr>
                <w:sz w:val="20"/>
                <w:szCs w:val="20"/>
                <w:vertAlign w:val="superscript"/>
                <w:lang w:eastAsia="tr-TR"/>
              </w:rPr>
              <w:t>***</w:t>
            </w:r>
          </w:p>
        </w:tc>
        <w:tc>
          <w:tcPr>
            <w:tcW w:w="1497" w:type="dxa"/>
            <w:shd w:val="clear" w:color="auto" w:fill="FFFFFF"/>
            <w:vAlign w:val="center"/>
          </w:tcPr>
          <w:p w:rsidR="001541A2" w:rsidRPr="005F74C1" w:rsidRDefault="001541A2" w:rsidP="00CB4988">
            <w:pPr>
              <w:jc w:val="center"/>
              <w:rPr>
                <w:sz w:val="20"/>
                <w:szCs w:val="20"/>
                <w:lang w:eastAsia="tr-TR"/>
              </w:rPr>
            </w:pPr>
            <w:r w:rsidRPr="005F74C1">
              <w:rPr>
                <w:sz w:val="20"/>
                <w:szCs w:val="20"/>
                <w:lang w:eastAsia="tr-TR"/>
              </w:rPr>
              <w:t>145.066</w:t>
            </w:r>
            <w:r w:rsidRPr="001541A2">
              <w:rPr>
                <w:sz w:val="20"/>
                <w:szCs w:val="20"/>
                <w:vertAlign w:val="superscript"/>
                <w:lang w:eastAsia="tr-TR"/>
              </w:rPr>
              <w:t>***</w:t>
            </w:r>
          </w:p>
        </w:tc>
      </w:tr>
    </w:tbl>
    <w:p w:rsidR="001541A2" w:rsidRDefault="001541A2" w:rsidP="001541A2">
      <w:pPr>
        <w:shd w:val="clear" w:color="auto" w:fill="FFFFFF"/>
        <w:jc w:val="both"/>
        <w:rPr>
          <w:sz w:val="20"/>
          <w:szCs w:val="20"/>
        </w:rPr>
      </w:pPr>
      <w:r w:rsidRPr="00850B83">
        <w:rPr>
          <w:b/>
          <w:sz w:val="20"/>
          <w:szCs w:val="20"/>
        </w:rPr>
        <w:t xml:space="preserve">Table </w:t>
      </w:r>
      <w:r>
        <w:rPr>
          <w:b/>
          <w:sz w:val="20"/>
          <w:szCs w:val="20"/>
        </w:rPr>
        <w:t>3.2</w:t>
      </w:r>
      <w:r w:rsidRPr="00073E09">
        <w:rPr>
          <w:sz w:val="20"/>
          <w:szCs w:val="20"/>
        </w:rPr>
        <w:t xml:space="preserve"> </w:t>
      </w:r>
      <w:r w:rsidRPr="001541A2">
        <w:rPr>
          <w:sz w:val="20"/>
          <w:szCs w:val="20"/>
        </w:rPr>
        <w:t>Panel Unit Root Test Results</w:t>
      </w:r>
      <w:r w:rsidRPr="00073E09">
        <w:rPr>
          <w:sz w:val="20"/>
          <w:szCs w:val="20"/>
        </w:rPr>
        <w:t>.</w:t>
      </w:r>
    </w:p>
    <w:p w:rsidR="001541A2" w:rsidRPr="00073E09" w:rsidRDefault="001541A2" w:rsidP="001541A2">
      <w:pPr>
        <w:shd w:val="clear" w:color="auto" w:fill="FFFFFF"/>
        <w:tabs>
          <w:tab w:val="left" w:pos="3817"/>
        </w:tabs>
        <w:jc w:val="both"/>
        <w:rPr>
          <w:sz w:val="20"/>
          <w:szCs w:val="20"/>
        </w:rPr>
      </w:pPr>
      <w:r w:rsidRPr="00850B83">
        <w:rPr>
          <w:i/>
          <w:sz w:val="20"/>
          <w:szCs w:val="20"/>
        </w:rPr>
        <w:t>Notes</w:t>
      </w:r>
      <w:r w:rsidRPr="00850B83">
        <w:rPr>
          <w:sz w:val="20"/>
          <w:szCs w:val="20"/>
        </w:rPr>
        <w:t xml:space="preserve">: </w:t>
      </w:r>
      <w:r w:rsidRPr="00B2768E">
        <w:rPr>
          <w:sz w:val="20"/>
          <w:szCs w:val="20"/>
          <w:vertAlign w:val="superscript"/>
        </w:rPr>
        <w:t>*</w:t>
      </w:r>
      <w:r w:rsidRPr="00B2768E">
        <w:rPr>
          <w:sz w:val="20"/>
          <w:szCs w:val="20"/>
        </w:rPr>
        <w:t xml:space="preserve">, </w:t>
      </w:r>
      <w:r w:rsidRPr="00B2768E">
        <w:rPr>
          <w:sz w:val="20"/>
          <w:szCs w:val="20"/>
          <w:vertAlign w:val="superscript"/>
        </w:rPr>
        <w:t>**</w:t>
      </w:r>
      <w:r w:rsidRPr="00B2768E">
        <w:rPr>
          <w:sz w:val="20"/>
          <w:szCs w:val="20"/>
        </w:rPr>
        <w:t xml:space="preserve">, </w:t>
      </w:r>
      <w:r w:rsidRPr="00B2768E">
        <w:rPr>
          <w:sz w:val="20"/>
          <w:szCs w:val="20"/>
          <w:vertAlign w:val="superscript"/>
        </w:rPr>
        <w:t>***</w:t>
      </w:r>
      <w:r w:rsidRPr="00B2768E">
        <w:rPr>
          <w:sz w:val="20"/>
          <w:szCs w:val="20"/>
        </w:rPr>
        <w:t xml:space="preserve"> </w:t>
      </w:r>
      <w:r w:rsidR="008F2162" w:rsidRPr="008F2162">
        <w:rPr>
          <w:sz w:val="20"/>
          <w:szCs w:val="20"/>
        </w:rPr>
        <w:t>show significance level at 10%, 5% and 1%, respectively. The null hypothesis for all tests is unit root.</w:t>
      </w:r>
      <w:r w:rsidR="008F2162">
        <w:rPr>
          <w:sz w:val="20"/>
          <w:szCs w:val="20"/>
        </w:rPr>
        <w:t xml:space="preserve"> </w:t>
      </w:r>
      <w:r w:rsidR="008F2162" w:rsidRPr="008F2162">
        <w:rPr>
          <w:sz w:val="20"/>
          <w:szCs w:val="20"/>
        </w:rPr>
        <w:t xml:space="preserve">CIPS and Breitung and Das tests assume cross-section dependence. MW test assumes cross-section independence. </w:t>
      </w:r>
    </w:p>
    <w:p w:rsidR="001541A2" w:rsidRDefault="001541A2" w:rsidP="006837A7">
      <w:pPr>
        <w:jc w:val="both"/>
      </w:pPr>
    </w:p>
    <w:p w:rsidR="008F2162" w:rsidRDefault="008F2162" w:rsidP="008F2162">
      <w:pPr>
        <w:jc w:val="both"/>
      </w:pPr>
      <w:r>
        <w:t>According to Table 3.2, all three tests we employ show that all of the variables are stationary after differencing, that is they are I(1).</w:t>
      </w:r>
    </w:p>
    <w:p w:rsidR="008F2162" w:rsidRDefault="008F2162" w:rsidP="008F2162">
      <w:pPr>
        <w:jc w:val="both"/>
      </w:pPr>
      <w:r>
        <w:t>In order to investigate stationarity of the cross-sectionally invariant variable, that is global liquidity, we first employ Ng-Perron test which is one of the most used robust time series unit root test in the empirical literature. Ng-Perron test results are presented in Table 3.3 below.</w:t>
      </w:r>
    </w:p>
    <w:p w:rsidR="008F2162" w:rsidRDefault="008F2162" w:rsidP="008F2162">
      <w:pPr>
        <w:jc w:val="both"/>
      </w:pPr>
    </w:p>
    <w:tbl>
      <w:tblPr>
        <w:tblStyle w:val="TabloKlavuzu"/>
        <w:tblW w:w="0" w:type="auto"/>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tblPr>
      <w:tblGrid>
        <w:gridCol w:w="805"/>
        <w:gridCol w:w="1728"/>
        <w:gridCol w:w="1728"/>
        <w:gridCol w:w="1728"/>
        <w:gridCol w:w="1728"/>
      </w:tblGrid>
      <w:tr w:rsidR="00A61599" w:rsidRPr="003C093F" w:rsidTr="00A61599">
        <w:trPr>
          <w:trHeight w:val="64"/>
          <w:jc w:val="center"/>
        </w:trPr>
        <w:tc>
          <w:tcPr>
            <w:tcW w:w="805" w:type="dxa"/>
            <w:tcBorders>
              <w:bottom w:val="single" w:sz="4" w:space="0" w:color="auto"/>
            </w:tcBorders>
            <w:vAlign w:val="center"/>
          </w:tcPr>
          <w:p w:rsidR="00A61599" w:rsidRPr="00A61599" w:rsidRDefault="00A61599" w:rsidP="00CB4988">
            <w:pPr>
              <w:jc w:val="center"/>
              <w:rPr>
                <w:rFonts w:ascii="Times New Roman" w:eastAsia="Times New Roman" w:hAnsi="Times New Roman" w:cs="Times New Roman"/>
                <w:bCs/>
                <w:i/>
                <w:color w:val="000000"/>
                <w:sz w:val="20"/>
                <w:szCs w:val="20"/>
                <w:lang w:eastAsia="tr-TR"/>
              </w:rPr>
            </w:pPr>
            <w:r w:rsidRPr="00A61599">
              <w:rPr>
                <w:rFonts w:ascii="Times New Roman" w:eastAsia="Times New Roman" w:hAnsi="Times New Roman" w:cs="Times New Roman"/>
                <w:bCs/>
                <w:i/>
                <w:color w:val="000000"/>
                <w:sz w:val="20"/>
                <w:szCs w:val="20"/>
                <w:lang w:eastAsia="tr-TR"/>
              </w:rPr>
              <w:t>Series</w:t>
            </w:r>
          </w:p>
        </w:tc>
        <w:tc>
          <w:tcPr>
            <w:tcW w:w="1728" w:type="dxa"/>
            <w:tcBorders>
              <w:bottom w:val="single" w:sz="4" w:space="0" w:color="auto"/>
            </w:tcBorders>
            <w:vAlign w:val="center"/>
          </w:tcPr>
          <w:p w:rsidR="00A61599" w:rsidRPr="003C093F" w:rsidRDefault="00A61599" w:rsidP="00CB4988">
            <w:pPr>
              <w:jc w:val="center"/>
              <w:rPr>
                <w:rFonts w:ascii="Times New Roman" w:eastAsia="Times New Roman" w:hAnsi="Times New Roman" w:cs="Times New Roman"/>
                <w:bCs/>
                <w:color w:val="000000"/>
                <w:sz w:val="20"/>
                <w:szCs w:val="20"/>
                <w:lang w:eastAsia="tr-TR"/>
              </w:rPr>
            </w:pPr>
            <w:r w:rsidRPr="003C093F">
              <w:rPr>
                <w:rFonts w:ascii="Times New Roman" w:eastAsia="Times New Roman" w:hAnsi="Times New Roman" w:cs="Times New Roman"/>
                <w:bCs/>
                <w:color w:val="000000"/>
                <w:sz w:val="20"/>
                <w:szCs w:val="20"/>
                <w:lang w:eastAsia="tr-TR"/>
              </w:rPr>
              <w:t>MZa</w:t>
            </w:r>
          </w:p>
        </w:tc>
        <w:tc>
          <w:tcPr>
            <w:tcW w:w="1728" w:type="dxa"/>
            <w:tcBorders>
              <w:bottom w:val="single" w:sz="4" w:space="0" w:color="auto"/>
            </w:tcBorders>
            <w:vAlign w:val="center"/>
          </w:tcPr>
          <w:p w:rsidR="00A61599" w:rsidRPr="003C093F" w:rsidRDefault="00A61599" w:rsidP="00CB4988">
            <w:pPr>
              <w:jc w:val="center"/>
              <w:rPr>
                <w:rFonts w:ascii="Times New Roman" w:eastAsia="Times New Roman" w:hAnsi="Times New Roman" w:cs="Times New Roman"/>
                <w:bCs/>
                <w:color w:val="000000"/>
                <w:sz w:val="20"/>
                <w:szCs w:val="20"/>
                <w:lang w:eastAsia="tr-TR"/>
              </w:rPr>
            </w:pPr>
            <w:r w:rsidRPr="003C093F">
              <w:rPr>
                <w:rFonts w:ascii="Times New Roman" w:eastAsia="Times New Roman" w:hAnsi="Times New Roman" w:cs="Times New Roman"/>
                <w:bCs/>
                <w:color w:val="000000"/>
                <w:sz w:val="20"/>
                <w:szCs w:val="20"/>
                <w:lang w:eastAsia="tr-TR"/>
              </w:rPr>
              <w:t>MZt</w:t>
            </w:r>
          </w:p>
        </w:tc>
        <w:tc>
          <w:tcPr>
            <w:tcW w:w="1728" w:type="dxa"/>
            <w:tcBorders>
              <w:bottom w:val="single" w:sz="4" w:space="0" w:color="auto"/>
            </w:tcBorders>
            <w:vAlign w:val="center"/>
          </w:tcPr>
          <w:p w:rsidR="00A61599" w:rsidRPr="003C093F" w:rsidRDefault="00A61599" w:rsidP="00CB4988">
            <w:pPr>
              <w:jc w:val="center"/>
              <w:rPr>
                <w:rFonts w:ascii="Times New Roman" w:eastAsia="Times New Roman" w:hAnsi="Times New Roman" w:cs="Times New Roman"/>
                <w:bCs/>
                <w:color w:val="000000"/>
                <w:sz w:val="20"/>
                <w:szCs w:val="20"/>
                <w:lang w:eastAsia="tr-TR"/>
              </w:rPr>
            </w:pPr>
            <w:r w:rsidRPr="003C093F">
              <w:rPr>
                <w:rFonts w:ascii="Times New Roman" w:eastAsia="Times New Roman" w:hAnsi="Times New Roman" w:cs="Times New Roman"/>
                <w:bCs/>
                <w:color w:val="000000"/>
                <w:sz w:val="20"/>
                <w:szCs w:val="20"/>
                <w:lang w:eastAsia="tr-TR"/>
              </w:rPr>
              <w:t>MSB</w:t>
            </w:r>
          </w:p>
        </w:tc>
        <w:tc>
          <w:tcPr>
            <w:tcW w:w="1728" w:type="dxa"/>
            <w:tcBorders>
              <w:bottom w:val="single" w:sz="4" w:space="0" w:color="auto"/>
            </w:tcBorders>
            <w:vAlign w:val="center"/>
          </w:tcPr>
          <w:p w:rsidR="00A61599" w:rsidRPr="003C093F" w:rsidRDefault="00A61599" w:rsidP="00CB4988">
            <w:pPr>
              <w:jc w:val="center"/>
              <w:rPr>
                <w:rFonts w:ascii="Times New Roman" w:eastAsia="Times New Roman" w:hAnsi="Times New Roman" w:cs="Times New Roman"/>
                <w:bCs/>
                <w:color w:val="000000"/>
                <w:sz w:val="20"/>
                <w:szCs w:val="20"/>
                <w:lang w:eastAsia="tr-TR"/>
              </w:rPr>
            </w:pPr>
            <w:r w:rsidRPr="003C093F">
              <w:rPr>
                <w:rFonts w:ascii="Times New Roman" w:eastAsia="Times New Roman" w:hAnsi="Times New Roman" w:cs="Times New Roman"/>
                <w:bCs/>
                <w:color w:val="000000"/>
                <w:sz w:val="20"/>
                <w:szCs w:val="20"/>
                <w:lang w:eastAsia="tr-TR"/>
              </w:rPr>
              <w:t>MPT</w:t>
            </w:r>
          </w:p>
        </w:tc>
      </w:tr>
      <w:tr w:rsidR="00A61599" w:rsidRPr="003C093F" w:rsidTr="00A61599">
        <w:trPr>
          <w:trHeight w:val="64"/>
          <w:jc w:val="center"/>
        </w:trPr>
        <w:tc>
          <w:tcPr>
            <w:tcW w:w="805" w:type="dxa"/>
            <w:tcBorders>
              <w:top w:val="single" w:sz="4" w:space="0" w:color="auto"/>
              <w:bottom w:val="nil"/>
            </w:tcBorders>
            <w:vAlign w:val="center"/>
          </w:tcPr>
          <w:p w:rsidR="00A61599" w:rsidRPr="00A61599" w:rsidRDefault="00A61599" w:rsidP="00CB4988">
            <w:pPr>
              <w:jc w:val="center"/>
              <w:rPr>
                <w:rFonts w:ascii="Times New Roman" w:eastAsia="Times New Roman" w:hAnsi="Times New Roman" w:cs="Times New Roman"/>
                <w:bCs/>
                <w:i/>
                <w:color w:val="000000"/>
                <w:sz w:val="20"/>
                <w:szCs w:val="20"/>
                <w:lang w:eastAsia="tr-TR"/>
              </w:rPr>
            </w:pPr>
            <w:r w:rsidRPr="00A61599">
              <w:rPr>
                <w:rFonts w:ascii="Times New Roman" w:eastAsia="Times New Roman" w:hAnsi="Times New Roman" w:cs="Times New Roman"/>
                <w:bCs/>
                <w:i/>
                <w:color w:val="000000"/>
                <w:sz w:val="20"/>
                <w:szCs w:val="20"/>
                <w:lang w:eastAsia="tr-TR"/>
              </w:rPr>
              <w:t>GL</w:t>
            </w:r>
            <w:r w:rsidRPr="00E21CBC">
              <w:rPr>
                <w:rFonts w:ascii="Times New Roman" w:eastAsia="Times New Roman" w:hAnsi="Times New Roman" w:cs="Times New Roman"/>
                <w:bCs/>
                <w:color w:val="000000"/>
                <w:sz w:val="20"/>
                <w:szCs w:val="20"/>
                <w:lang w:eastAsia="tr-TR"/>
              </w:rPr>
              <w:t>1</w:t>
            </w:r>
          </w:p>
        </w:tc>
        <w:tc>
          <w:tcPr>
            <w:tcW w:w="1728" w:type="dxa"/>
            <w:tcBorders>
              <w:top w:val="single" w:sz="4" w:space="0" w:color="auto"/>
              <w:bottom w:val="nil"/>
            </w:tcBorders>
            <w:vAlign w:val="center"/>
          </w:tcPr>
          <w:p w:rsidR="00A61599" w:rsidRPr="003C093F" w:rsidRDefault="00A61599" w:rsidP="00A61599">
            <w:pPr>
              <w:autoSpaceDE w:val="0"/>
              <w:autoSpaceDN w:val="0"/>
              <w:adjustRightInd w:val="0"/>
              <w:ind w:right="407"/>
              <w:jc w:val="right"/>
              <w:rPr>
                <w:rFonts w:ascii="Times New Roman" w:eastAsia="Times New Roman" w:hAnsi="Times New Roman" w:cs="Times New Roman"/>
                <w:bCs/>
                <w:color w:val="000000"/>
                <w:sz w:val="20"/>
                <w:szCs w:val="20"/>
                <w:lang w:eastAsia="tr-TR"/>
              </w:rPr>
            </w:pPr>
            <w:r w:rsidRPr="003C093F">
              <w:rPr>
                <w:rFonts w:ascii="Times New Roman" w:eastAsia="Times New Roman" w:hAnsi="Times New Roman" w:cs="Times New Roman"/>
                <w:bCs/>
                <w:color w:val="000000"/>
                <w:sz w:val="20"/>
                <w:szCs w:val="20"/>
                <w:lang w:eastAsia="tr-TR"/>
              </w:rPr>
              <w:t>-4.899</w:t>
            </w:r>
            <w:r w:rsidRPr="00A61599">
              <w:rPr>
                <w:rFonts w:ascii="Times New Roman" w:hAnsi="Times New Roman" w:cs="Times New Roman"/>
                <w:color w:val="FFFFFF" w:themeColor="background1"/>
                <w:sz w:val="20"/>
                <w:szCs w:val="20"/>
                <w:vertAlign w:val="superscript"/>
              </w:rPr>
              <w:t>**</w:t>
            </w:r>
          </w:p>
        </w:tc>
        <w:tc>
          <w:tcPr>
            <w:tcW w:w="1728" w:type="dxa"/>
            <w:tcBorders>
              <w:top w:val="single" w:sz="4" w:space="0" w:color="auto"/>
              <w:bottom w:val="nil"/>
            </w:tcBorders>
            <w:vAlign w:val="center"/>
          </w:tcPr>
          <w:p w:rsidR="00A61599" w:rsidRPr="003C093F" w:rsidRDefault="00A61599" w:rsidP="00A61599">
            <w:pPr>
              <w:autoSpaceDE w:val="0"/>
              <w:autoSpaceDN w:val="0"/>
              <w:adjustRightInd w:val="0"/>
              <w:ind w:right="407"/>
              <w:jc w:val="right"/>
              <w:rPr>
                <w:rFonts w:ascii="Times New Roman" w:eastAsia="Times New Roman" w:hAnsi="Times New Roman" w:cs="Times New Roman"/>
                <w:bCs/>
                <w:color w:val="000000"/>
                <w:sz w:val="20"/>
                <w:szCs w:val="20"/>
                <w:lang w:eastAsia="tr-TR"/>
              </w:rPr>
            </w:pPr>
            <w:r w:rsidRPr="003C093F">
              <w:rPr>
                <w:rFonts w:ascii="Times New Roman" w:eastAsia="Times New Roman" w:hAnsi="Times New Roman" w:cs="Times New Roman"/>
                <w:bCs/>
                <w:color w:val="000000"/>
                <w:sz w:val="20"/>
                <w:szCs w:val="20"/>
                <w:lang w:eastAsia="tr-TR"/>
              </w:rPr>
              <w:t>-1.448</w:t>
            </w:r>
            <w:r w:rsidRPr="00A61599">
              <w:rPr>
                <w:rFonts w:ascii="Times New Roman" w:hAnsi="Times New Roman" w:cs="Times New Roman"/>
                <w:color w:val="FFFFFF" w:themeColor="background1"/>
                <w:sz w:val="20"/>
                <w:szCs w:val="20"/>
                <w:vertAlign w:val="superscript"/>
              </w:rPr>
              <w:t>**</w:t>
            </w:r>
          </w:p>
        </w:tc>
        <w:tc>
          <w:tcPr>
            <w:tcW w:w="1728" w:type="dxa"/>
            <w:tcBorders>
              <w:top w:val="single" w:sz="4" w:space="0" w:color="auto"/>
              <w:bottom w:val="nil"/>
            </w:tcBorders>
            <w:vAlign w:val="center"/>
          </w:tcPr>
          <w:p w:rsidR="00A61599" w:rsidRPr="003C093F" w:rsidRDefault="00A61599" w:rsidP="00A61599">
            <w:pPr>
              <w:autoSpaceDE w:val="0"/>
              <w:autoSpaceDN w:val="0"/>
              <w:adjustRightInd w:val="0"/>
              <w:ind w:right="407"/>
              <w:jc w:val="right"/>
              <w:rPr>
                <w:rFonts w:ascii="Times New Roman" w:eastAsia="Times New Roman" w:hAnsi="Times New Roman" w:cs="Times New Roman"/>
                <w:bCs/>
                <w:color w:val="000000"/>
                <w:sz w:val="20"/>
                <w:szCs w:val="20"/>
                <w:lang w:eastAsia="tr-TR"/>
              </w:rPr>
            </w:pPr>
            <w:r w:rsidRPr="003C093F">
              <w:rPr>
                <w:rFonts w:ascii="Times New Roman" w:eastAsia="Times New Roman" w:hAnsi="Times New Roman" w:cs="Times New Roman"/>
                <w:bCs/>
                <w:color w:val="000000"/>
                <w:sz w:val="20"/>
                <w:szCs w:val="20"/>
                <w:lang w:eastAsia="tr-TR"/>
              </w:rPr>
              <w:t>0.295</w:t>
            </w:r>
            <w:r w:rsidRPr="00A61599">
              <w:rPr>
                <w:rFonts w:ascii="Times New Roman" w:hAnsi="Times New Roman" w:cs="Times New Roman"/>
                <w:color w:val="FFFFFF" w:themeColor="background1"/>
                <w:sz w:val="20"/>
                <w:szCs w:val="20"/>
                <w:vertAlign w:val="superscript"/>
              </w:rPr>
              <w:t>**</w:t>
            </w:r>
          </w:p>
        </w:tc>
        <w:tc>
          <w:tcPr>
            <w:tcW w:w="1728" w:type="dxa"/>
            <w:tcBorders>
              <w:top w:val="single" w:sz="4" w:space="0" w:color="auto"/>
              <w:bottom w:val="nil"/>
            </w:tcBorders>
            <w:vAlign w:val="center"/>
          </w:tcPr>
          <w:p w:rsidR="00A61599" w:rsidRPr="003C093F" w:rsidRDefault="00A61599" w:rsidP="00A61599">
            <w:pPr>
              <w:autoSpaceDE w:val="0"/>
              <w:autoSpaceDN w:val="0"/>
              <w:adjustRightInd w:val="0"/>
              <w:ind w:right="407"/>
              <w:jc w:val="right"/>
              <w:rPr>
                <w:rFonts w:ascii="Times New Roman" w:eastAsia="Times New Roman" w:hAnsi="Times New Roman" w:cs="Times New Roman"/>
                <w:bCs/>
                <w:color w:val="000000"/>
                <w:sz w:val="20"/>
                <w:szCs w:val="20"/>
                <w:lang w:eastAsia="tr-TR"/>
              </w:rPr>
            </w:pPr>
            <w:r w:rsidRPr="003C093F">
              <w:rPr>
                <w:rFonts w:ascii="Times New Roman" w:eastAsia="Times New Roman" w:hAnsi="Times New Roman" w:cs="Times New Roman"/>
                <w:bCs/>
                <w:color w:val="000000"/>
                <w:sz w:val="20"/>
                <w:szCs w:val="20"/>
                <w:lang w:eastAsia="tr-TR"/>
              </w:rPr>
              <w:t>17.977</w:t>
            </w:r>
            <w:r w:rsidRPr="00A61599">
              <w:rPr>
                <w:rFonts w:ascii="Times New Roman" w:hAnsi="Times New Roman" w:cs="Times New Roman"/>
                <w:color w:val="FFFFFF" w:themeColor="background1"/>
                <w:sz w:val="20"/>
                <w:szCs w:val="20"/>
                <w:vertAlign w:val="superscript"/>
              </w:rPr>
              <w:t>**</w:t>
            </w:r>
          </w:p>
        </w:tc>
      </w:tr>
      <w:tr w:rsidR="00A61599" w:rsidRPr="003C093F" w:rsidTr="00A61599">
        <w:trPr>
          <w:trHeight w:val="64"/>
          <w:jc w:val="center"/>
        </w:trPr>
        <w:tc>
          <w:tcPr>
            <w:tcW w:w="805" w:type="dxa"/>
            <w:tcBorders>
              <w:top w:val="nil"/>
            </w:tcBorders>
            <w:vAlign w:val="center"/>
          </w:tcPr>
          <w:p w:rsidR="00A61599" w:rsidRPr="003C093F" w:rsidRDefault="00A61599" w:rsidP="00CB4988">
            <w:pPr>
              <w:jc w:val="center"/>
              <w:rPr>
                <w:rFonts w:ascii="Times New Roman" w:eastAsia="Times New Roman" w:hAnsi="Times New Roman" w:cs="Times New Roman"/>
                <w:color w:val="000000"/>
                <w:sz w:val="20"/>
                <w:szCs w:val="20"/>
                <w:lang w:eastAsia="tr-TR"/>
              </w:rPr>
            </w:pPr>
            <w:r w:rsidRPr="003C093F">
              <w:rPr>
                <w:rFonts w:ascii="Times New Roman" w:eastAsia="Times New Roman" w:hAnsi="Times New Roman" w:cs="Times New Roman"/>
                <w:bCs/>
                <w:sz w:val="20"/>
                <w:szCs w:val="20"/>
                <w:lang w:eastAsia="tr-TR"/>
              </w:rPr>
              <w:t>∆</w:t>
            </w:r>
            <w:r w:rsidRPr="00A61599">
              <w:rPr>
                <w:rFonts w:ascii="Times New Roman" w:eastAsia="Times New Roman" w:hAnsi="Times New Roman" w:cs="Times New Roman"/>
                <w:bCs/>
                <w:i/>
                <w:sz w:val="20"/>
                <w:szCs w:val="20"/>
                <w:lang w:eastAsia="tr-TR"/>
              </w:rPr>
              <w:t>GL</w:t>
            </w:r>
            <w:r w:rsidRPr="00E21CBC">
              <w:rPr>
                <w:rFonts w:ascii="Times New Roman" w:eastAsia="Times New Roman" w:hAnsi="Times New Roman" w:cs="Times New Roman"/>
                <w:bCs/>
                <w:sz w:val="20"/>
                <w:szCs w:val="20"/>
                <w:lang w:eastAsia="tr-TR"/>
              </w:rPr>
              <w:t>1</w:t>
            </w:r>
          </w:p>
        </w:tc>
        <w:tc>
          <w:tcPr>
            <w:tcW w:w="1728" w:type="dxa"/>
            <w:tcBorders>
              <w:top w:val="nil"/>
            </w:tcBorders>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-22.366</w:t>
            </w:r>
            <w:r w:rsidRPr="00A61599">
              <w:rPr>
                <w:rFonts w:ascii="Times New Roman" w:hAnsi="Times New Roman" w:cs="Times New Roman"/>
                <w:color w:val="000000"/>
                <w:sz w:val="20"/>
                <w:szCs w:val="20"/>
                <w:vertAlign w:val="superscript"/>
              </w:rPr>
              <w:t>**</w:t>
            </w:r>
          </w:p>
        </w:tc>
        <w:tc>
          <w:tcPr>
            <w:tcW w:w="1728" w:type="dxa"/>
            <w:tcBorders>
              <w:top w:val="nil"/>
            </w:tcBorders>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-3.340</w:t>
            </w:r>
            <w:r w:rsidRPr="00A61599">
              <w:rPr>
                <w:rFonts w:ascii="Times New Roman" w:hAnsi="Times New Roman" w:cs="Times New Roman"/>
                <w:color w:val="000000"/>
                <w:sz w:val="20"/>
                <w:szCs w:val="20"/>
                <w:vertAlign w:val="superscript"/>
              </w:rPr>
              <w:t>**</w:t>
            </w:r>
          </w:p>
        </w:tc>
        <w:tc>
          <w:tcPr>
            <w:tcW w:w="1728" w:type="dxa"/>
            <w:tcBorders>
              <w:top w:val="nil"/>
            </w:tcBorders>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0.149</w:t>
            </w:r>
            <w:r w:rsidRPr="00A61599">
              <w:rPr>
                <w:rFonts w:ascii="Times New Roman" w:hAnsi="Times New Roman" w:cs="Times New Roman"/>
                <w:color w:val="000000"/>
                <w:sz w:val="20"/>
                <w:szCs w:val="20"/>
                <w:vertAlign w:val="superscript"/>
              </w:rPr>
              <w:t>**</w:t>
            </w:r>
          </w:p>
        </w:tc>
        <w:tc>
          <w:tcPr>
            <w:tcW w:w="1728" w:type="dxa"/>
            <w:tcBorders>
              <w:top w:val="nil"/>
            </w:tcBorders>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4.098</w:t>
            </w:r>
            <w:r w:rsidRPr="00A61599">
              <w:rPr>
                <w:rFonts w:ascii="Times New Roman" w:hAnsi="Times New Roman" w:cs="Times New Roman"/>
                <w:color w:val="000000"/>
                <w:sz w:val="20"/>
                <w:szCs w:val="20"/>
                <w:vertAlign w:val="superscript"/>
              </w:rPr>
              <w:t>**</w:t>
            </w:r>
          </w:p>
        </w:tc>
      </w:tr>
      <w:tr w:rsidR="00A61599" w:rsidRPr="003C093F" w:rsidTr="00A61599">
        <w:trPr>
          <w:trHeight w:val="64"/>
          <w:jc w:val="center"/>
        </w:trPr>
        <w:tc>
          <w:tcPr>
            <w:tcW w:w="805" w:type="dxa"/>
            <w:vAlign w:val="center"/>
          </w:tcPr>
          <w:p w:rsidR="00A61599" w:rsidRPr="00A61599" w:rsidRDefault="00A61599" w:rsidP="00CB4988">
            <w:pPr>
              <w:jc w:val="center"/>
              <w:rPr>
                <w:rFonts w:ascii="Times New Roman" w:eastAsia="Times New Roman" w:hAnsi="Times New Roman" w:cs="Times New Roman"/>
                <w:i/>
                <w:color w:val="000000"/>
                <w:sz w:val="20"/>
                <w:szCs w:val="20"/>
                <w:lang w:eastAsia="tr-TR"/>
              </w:rPr>
            </w:pPr>
            <w:r w:rsidRPr="00A61599">
              <w:rPr>
                <w:rFonts w:ascii="Times New Roman" w:eastAsia="Times New Roman" w:hAnsi="Times New Roman" w:cs="Times New Roman"/>
                <w:i/>
                <w:color w:val="000000"/>
                <w:sz w:val="20"/>
                <w:szCs w:val="20"/>
                <w:lang w:eastAsia="tr-TR"/>
              </w:rPr>
              <w:t>GL</w:t>
            </w:r>
            <w:r w:rsidRPr="00E21CBC">
              <w:rPr>
                <w:rFonts w:ascii="Times New Roman" w:eastAsia="Times New Roman" w:hAnsi="Times New Roman" w:cs="Times New Roman"/>
                <w:color w:val="000000"/>
                <w:sz w:val="20"/>
                <w:szCs w:val="20"/>
                <w:lang w:eastAsia="tr-TR"/>
              </w:rPr>
              <w:t>2</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-2.69</w:t>
            </w:r>
            <w:r>
              <w:rPr>
                <w:rFonts w:ascii="Times New Roman" w:hAnsi="Times New Roman" w:cs="Times New Roman"/>
                <w:color w:val="000000"/>
                <w:sz w:val="20"/>
                <w:szCs w:val="20"/>
              </w:rPr>
              <w:t>2</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-0.943</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0.350</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27.220</w:t>
            </w:r>
            <w:r w:rsidRPr="00A61599">
              <w:rPr>
                <w:rFonts w:ascii="Times New Roman" w:hAnsi="Times New Roman" w:cs="Times New Roman"/>
                <w:color w:val="FFFFFF" w:themeColor="background1"/>
                <w:sz w:val="20"/>
                <w:szCs w:val="20"/>
                <w:vertAlign w:val="superscript"/>
              </w:rPr>
              <w:t>**</w:t>
            </w:r>
          </w:p>
        </w:tc>
      </w:tr>
      <w:tr w:rsidR="00A61599" w:rsidRPr="003C093F" w:rsidTr="00A61599">
        <w:trPr>
          <w:trHeight w:val="64"/>
          <w:jc w:val="center"/>
        </w:trPr>
        <w:tc>
          <w:tcPr>
            <w:tcW w:w="805" w:type="dxa"/>
            <w:vAlign w:val="center"/>
          </w:tcPr>
          <w:p w:rsidR="00A61599" w:rsidRPr="003C093F" w:rsidRDefault="00A61599" w:rsidP="00CB4988">
            <w:pPr>
              <w:jc w:val="center"/>
              <w:rPr>
                <w:rFonts w:ascii="Times New Roman" w:eastAsia="Times New Roman" w:hAnsi="Times New Roman" w:cs="Times New Roman"/>
                <w:color w:val="000000"/>
                <w:sz w:val="20"/>
                <w:szCs w:val="20"/>
                <w:lang w:eastAsia="tr-TR"/>
              </w:rPr>
            </w:pPr>
            <w:r w:rsidRPr="003C093F">
              <w:rPr>
                <w:rFonts w:ascii="Times New Roman" w:eastAsia="Times New Roman" w:hAnsi="Times New Roman" w:cs="Times New Roman"/>
                <w:bCs/>
                <w:sz w:val="20"/>
                <w:szCs w:val="20"/>
                <w:lang w:eastAsia="tr-TR"/>
              </w:rPr>
              <w:t>∆</w:t>
            </w:r>
            <w:r w:rsidRPr="00A61599">
              <w:rPr>
                <w:rFonts w:ascii="Times New Roman" w:eastAsia="Times New Roman" w:hAnsi="Times New Roman" w:cs="Times New Roman"/>
                <w:bCs/>
                <w:i/>
                <w:sz w:val="20"/>
                <w:szCs w:val="20"/>
                <w:lang w:eastAsia="tr-TR"/>
              </w:rPr>
              <w:t>GL</w:t>
            </w:r>
            <w:r w:rsidRPr="00E21CBC">
              <w:rPr>
                <w:rFonts w:ascii="Times New Roman" w:eastAsia="Times New Roman" w:hAnsi="Times New Roman" w:cs="Times New Roman"/>
                <w:bCs/>
                <w:sz w:val="20"/>
                <w:szCs w:val="20"/>
                <w:lang w:eastAsia="tr-TR"/>
              </w:rPr>
              <w:t>2</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-28.178</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-3.750</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0.133</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3.254</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r>
      <w:tr w:rsidR="00A61599" w:rsidRPr="003C093F" w:rsidTr="00A61599">
        <w:trPr>
          <w:trHeight w:val="64"/>
          <w:jc w:val="center"/>
        </w:trPr>
        <w:tc>
          <w:tcPr>
            <w:tcW w:w="805" w:type="dxa"/>
            <w:vAlign w:val="center"/>
          </w:tcPr>
          <w:p w:rsidR="00A61599" w:rsidRPr="00A61599" w:rsidRDefault="00A61599" w:rsidP="00CB4988">
            <w:pPr>
              <w:jc w:val="center"/>
              <w:rPr>
                <w:rFonts w:ascii="Times New Roman" w:eastAsia="Times New Roman" w:hAnsi="Times New Roman" w:cs="Times New Roman"/>
                <w:i/>
                <w:color w:val="000000"/>
                <w:sz w:val="20"/>
                <w:szCs w:val="20"/>
                <w:lang w:eastAsia="tr-TR"/>
              </w:rPr>
            </w:pPr>
            <w:r w:rsidRPr="00A61599">
              <w:rPr>
                <w:rFonts w:ascii="Times New Roman" w:eastAsia="Times New Roman" w:hAnsi="Times New Roman" w:cs="Times New Roman"/>
                <w:i/>
                <w:color w:val="000000"/>
                <w:sz w:val="20"/>
                <w:szCs w:val="20"/>
                <w:lang w:eastAsia="tr-TR"/>
              </w:rPr>
              <w:t>GL</w:t>
            </w:r>
            <w:r w:rsidRPr="00E21CBC">
              <w:rPr>
                <w:rFonts w:ascii="Times New Roman" w:eastAsia="Times New Roman" w:hAnsi="Times New Roman" w:cs="Times New Roman"/>
                <w:color w:val="000000"/>
                <w:sz w:val="20"/>
                <w:szCs w:val="20"/>
                <w:lang w:eastAsia="tr-TR"/>
              </w:rPr>
              <w:t>3</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-12.10</w:t>
            </w:r>
            <w:r>
              <w:rPr>
                <w:rFonts w:ascii="Times New Roman" w:hAnsi="Times New Roman" w:cs="Times New Roman"/>
                <w:color w:val="000000"/>
                <w:sz w:val="20"/>
                <w:szCs w:val="20"/>
              </w:rPr>
              <w:t>6</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-2.443</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0.20</w:t>
            </w:r>
            <w:r>
              <w:rPr>
                <w:rFonts w:ascii="Times New Roman" w:hAnsi="Times New Roman" w:cs="Times New Roman"/>
                <w:color w:val="000000"/>
                <w:sz w:val="20"/>
                <w:szCs w:val="20"/>
              </w:rPr>
              <w:t>2</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7.6</w:t>
            </w:r>
            <w:r>
              <w:rPr>
                <w:rFonts w:ascii="Times New Roman" w:hAnsi="Times New Roman" w:cs="Times New Roman"/>
                <w:color w:val="000000"/>
                <w:sz w:val="20"/>
                <w:szCs w:val="20"/>
              </w:rPr>
              <w:t>20</w:t>
            </w:r>
            <w:r w:rsidRPr="00A61599">
              <w:rPr>
                <w:rFonts w:ascii="Times New Roman" w:hAnsi="Times New Roman" w:cs="Times New Roman"/>
                <w:color w:val="FFFFFF" w:themeColor="background1"/>
                <w:sz w:val="20"/>
                <w:szCs w:val="20"/>
                <w:vertAlign w:val="superscript"/>
              </w:rPr>
              <w:t>**</w:t>
            </w:r>
          </w:p>
        </w:tc>
      </w:tr>
      <w:tr w:rsidR="00A61599" w:rsidRPr="003C093F" w:rsidTr="00A61599">
        <w:trPr>
          <w:trHeight w:val="64"/>
          <w:jc w:val="center"/>
        </w:trPr>
        <w:tc>
          <w:tcPr>
            <w:tcW w:w="805" w:type="dxa"/>
            <w:vAlign w:val="center"/>
          </w:tcPr>
          <w:p w:rsidR="00A61599" w:rsidRPr="003C093F" w:rsidRDefault="00A61599" w:rsidP="00CB4988">
            <w:pPr>
              <w:jc w:val="center"/>
              <w:rPr>
                <w:rFonts w:ascii="Times New Roman" w:eastAsia="Times New Roman" w:hAnsi="Times New Roman" w:cs="Times New Roman"/>
                <w:color w:val="000000"/>
                <w:sz w:val="20"/>
                <w:szCs w:val="20"/>
                <w:lang w:eastAsia="tr-TR"/>
              </w:rPr>
            </w:pPr>
            <w:r w:rsidRPr="003C093F">
              <w:rPr>
                <w:rFonts w:ascii="Times New Roman" w:eastAsia="Times New Roman" w:hAnsi="Times New Roman" w:cs="Times New Roman"/>
                <w:bCs/>
                <w:sz w:val="20"/>
                <w:szCs w:val="20"/>
                <w:lang w:eastAsia="tr-TR"/>
              </w:rPr>
              <w:t>∆</w:t>
            </w:r>
            <w:r w:rsidRPr="00A61599">
              <w:rPr>
                <w:rFonts w:ascii="Times New Roman" w:eastAsia="Times New Roman" w:hAnsi="Times New Roman" w:cs="Times New Roman"/>
                <w:bCs/>
                <w:i/>
                <w:sz w:val="20"/>
                <w:szCs w:val="20"/>
                <w:lang w:eastAsia="tr-TR"/>
              </w:rPr>
              <w:t>GL</w:t>
            </w:r>
            <w:r w:rsidRPr="00E21CBC">
              <w:rPr>
                <w:rFonts w:ascii="Times New Roman" w:eastAsia="Times New Roman" w:hAnsi="Times New Roman" w:cs="Times New Roman"/>
                <w:bCs/>
                <w:sz w:val="20"/>
                <w:szCs w:val="20"/>
                <w:lang w:eastAsia="tr-TR"/>
              </w:rPr>
              <w:t>3</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-28.437</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-3.770</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0.132</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3.208</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r>
      <w:tr w:rsidR="00A61599" w:rsidRPr="003C093F" w:rsidTr="00A61599">
        <w:trPr>
          <w:trHeight w:val="64"/>
          <w:jc w:val="center"/>
        </w:trPr>
        <w:tc>
          <w:tcPr>
            <w:tcW w:w="805" w:type="dxa"/>
            <w:vAlign w:val="center"/>
          </w:tcPr>
          <w:p w:rsidR="00A61599" w:rsidRPr="00A61599" w:rsidRDefault="00A61599" w:rsidP="00CB4988">
            <w:pPr>
              <w:jc w:val="center"/>
              <w:rPr>
                <w:rFonts w:ascii="Times New Roman" w:eastAsia="Times New Roman" w:hAnsi="Times New Roman" w:cs="Times New Roman"/>
                <w:i/>
                <w:color w:val="000000"/>
                <w:sz w:val="20"/>
                <w:szCs w:val="20"/>
                <w:lang w:eastAsia="tr-TR"/>
              </w:rPr>
            </w:pPr>
            <w:r w:rsidRPr="00A61599">
              <w:rPr>
                <w:rFonts w:ascii="Times New Roman" w:eastAsia="Times New Roman" w:hAnsi="Times New Roman" w:cs="Times New Roman"/>
                <w:i/>
                <w:color w:val="000000"/>
                <w:sz w:val="20"/>
                <w:szCs w:val="20"/>
                <w:lang w:eastAsia="tr-TR"/>
              </w:rPr>
              <w:t>GL</w:t>
            </w:r>
            <w:r w:rsidRPr="00E21CBC">
              <w:rPr>
                <w:rFonts w:ascii="Times New Roman" w:eastAsia="Times New Roman" w:hAnsi="Times New Roman" w:cs="Times New Roman"/>
                <w:color w:val="000000"/>
                <w:sz w:val="20"/>
                <w:szCs w:val="20"/>
                <w:lang w:eastAsia="tr-TR"/>
              </w:rPr>
              <w:t>4</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-11.99</w:t>
            </w:r>
            <w:r>
              <w:rPr>
                <w:rFonts w:ascii="Times New Roman" w:hAnsi="Times New Roman" w:cs="Times New Roman"/>
                <w:color w:val="000000"/>
                <w:sz w:val="20"/>
                <w:szCs w:val="20"/>
              </w:rPr>
              <w:t>2</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-2.444</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0.20</w:t>
            </w:r>
            <w:r>
              <w:rPr>
                <w:rFonts w:ascii="Times New Roman" w:hAnsi="Times New Roman" w:cs="Times New Roman"/>
                <w:color w:val="000000"/>
                <w:sz w:val="20"/>
                <w:szCs w:val="20"/>
              </w:rPr>
              <w:t>4</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7.62</w:t>
            </w:r>
            <w:r>
              <w:rPr>
                <w:rFonts w:ascii="Times New Roman" w:hAnsi="Times New Roman" w:cs="Times New Roman"/>
                <w:color w:val="000000"/>
                <w:sz w:val="20"/>
                <w:szCs w:val="20"/>
              </w:rPr>
              <w:t>4</w:t>
            </w:r>
            <w:r w:rsidRPr="00A61599">
              <w:rPr>
                <w:rFonts w:ascii="Times New Roman" w:hAnsi="Times New Roman" w:cs="Times New Roman"/>
                <w:color w:val="FFFFFF" w:themeColor="background1"/>
                <w:sz w:val="20"/>
                <w:szCs w:val="20"/>
                <w:vertAlign w:val="superscript"/>
              </w:rPr>
              <w:t>**</w:t>
            </w:r>
          </w:p>
        </w:tc>
      </w:tr>
      <w:tr w:rsidR="00A61599" w:rsidRPr="003C093F" w:rsidTr="00A61599">
        <w:trPr>
          <w:trHeight w:val="64"/>
          <w:jc w:val="center"/>
        </w:trPr>
        <w:tc>
          <w:tcPr>
            <w:tcW w:w="805" w:type="dxa"/>
            <w:vAlign w:val="center"/>
          </w:tcPr>
          <w:p w:rsidR="00A61599" w:rsidRPr="003C093F" w:rsidRDefault="00A61599" w:rsidP="00CB4988">
            <w:pPr>
              <w:jc w:val="center"/>
              <w:rPr>
                <w:rFonts w:ascii="Times New Roman" w:eastAsia="Times New Roman" w:hAnsi="Times New Roman" w:cs="Times New Roman"/>
                <w:color w:val="000000"/>
                <w:sz w:val="20"/>
                <w:szCs w:val="20"/>
                <w:lang w:eastAsia="tr-TR"/>
              </w:rPr>
            </w:pPr>
            <w:r w:rsidRPr="003C093F">
              <w:rPr>
                <w:rFonts w:ascii="Times New Roman" w:eastAsia="Times New Roman" w:hAnsi="Times New Roman" w:cs="Times New Roman"/>
                <w:bCs/>
                <w:sz w:val="20"/>
                <w:szCs w:val="20"/>
                <w:lang w:eastAsia="tr-TR"/>
              </w:rPr>
              <w:t>∆</w:t>
            </w:r>
            <w:r w:rsidRPr="00A61599">
              <w:rPr>
                <w:rFonts w:ascii="Times New Roman" w:eastAsia="Times New Roman" w:hAnsi="Times New Roman" w:cs="Times New Roman"/>
                <w:bCs/>
                <w:i/>
                <w:sz w:val="20"/>
                <w:szCs w:val="20"/>
                <w:lang w:eastAsia="tr-TR"/>
              </w:rPr>
              <w:t>GL</w:t>
            </w:r>
            <w:r w:rsidRPr="00E21CBC">
              <w:rPr>
                <w:rFonts w:ascii="Times New Roman" w:eastAsia="Times New Roman" w:hAnsi="Times New Roman" w:cs="Times New Roman"/>
                <w:bCs/>
                <w:sz w:val="20"/>
                <w:szCs w:val="20"/>
                <w:lang w:eastAsia="tr-TR"/>
              </w:rPr>
              <w:t>4</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-24.919</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-3.527</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0.141</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c>
          <w:tcPr>
            <w:tcW w:w="1728" w:type="dxa"/>
            <w:vAlign w:val="center"/>
          </w:tcPr>
          <w:p w:rsidR="00A61599" w:rsidRPr="003C093F" w:rsidRDefault="00A61599" w:rsidP="00A61599">
            <w:pPr>
              <w:autoSpaceDE w:val="0"/>
              <w:autoSpaceDN w:val="0"/>
              <w:adjustRightInd w:val="0"/>
              <w:ind w:right="407"/>
              <w:jc w:val="right"/>
              <w:rPr>
                <w:rFonts w:ascii="Times New Roman" w:hAnsi="Times New Roman" w:cs="Times New Roman"/>
                <w:color w:val="000000"/>
                <w:sz w:val="20"/>
                <w:szCs w:val="20"/>
              </w:rPr>
            </w:pPr>
            <w:r w:rsidRPr="003C093F">
              <w:rPr>
                <w:rFonts w:ascii="Times New Roman" w:hAnsi="Times New Roman" w:cs="Times New Roman"/>
                <w:color w:val="000000"/>
                <w:sz w:val="20"/>
                <w:szCs w:val="20"/>
              </w:rPr>
              <w:t>3.672</w:t>
            </w:r>
            <w:r w:rsidRPr="00A61599">
              <w:rPr>
                <w:rFonts w:ascii="Times New Roman" w:hAnsi="Times New Roman" w:cs="Times New Roman"/>
                <w:color w:val="000000"/>
                <w:sz w:val="20"/>
                <w:szCs w:val="20"/>
                <w:vertAlign w:val="superscript"/>
              </w:rPr>
              <w:t>*</w:t>
            </w:r>
            <w:r w:rsidRPr="00A61599">
              <w:rPr>
                <w:rFonts w:ascii="Times New Roman" w:hAnsi="Times New Roman" w:cs="Times New Roman"/>
                <w:color w:val="FFFFFF" w:themeColor="background1"/>
                <w:sz w:val="20"/>
                <w:szCs w:val="20"/>
                <w:vertAlign w:val="superscript"/>
              </w:rPr>
              <w:t>*</w:t>
            </w:r>
          </w:p>
        </w:tc>
      </w:tr>
    </w:tbl>
    <w:p w:rsidR="00A61599" w:rsidRDefault="00A61599" w:rsidP="00A61599">
      <w:pPr>
        <w:shd w:val="clear" w:color="auto" w:fill="FFFFFF"/>
        <w:jc w:val="both"/>
        <w:rPr>
          <w:sz w:val="20"/>
          <w:szCs w:val="20"/>
        </w:rPr>
      </w:pPr>
      <w:r w:rsidRPr="00850B83">
        <w:rPr>
          <w:b/>
          <w:sz w:val="20"/>
          <w:szCs w:val="20"/>
        </w:rPr>
        <w:t xml:space="preserve">Table </w:t>
      </w:r>
      <w:r>
        <w:rPr>
          <w:b/>
          <w:sz w:val="20"/>
          <w:szCs w:val="20"/>
        </w:rPr>
        <w:t>3.3</w:t>
      </w:r>
      <w:r w:rsidRPr="00073E09">
        <w:rPr>
          <w:sz w:val="20"/>
          <w:szCs w:val="20"/>
        </w:rPr>
        <w:t xml:space="preserve"> </w:t>
      </w:r>
      <w:r w:rsidRPr="00A61599">
        <w:rPr>
          <w:sz w:val="20"/>
          <w:szCs w:val="20"/>
        </w:rPr>
        <w:t>Ng-Peron Unit Root Test Results</w:t>
      </w:r>
      <w:r w:rsidRPr="00073E09">
        <w:rPr>
          <w:sz w:val="20"/>
          <w:szCs w:val="20"/>
        </w:rPr>
        <w:t>.</w:t>
      </w:r>
    </w:p>
    <w:p w:rsidR="00A61599" w:rsidRPr="00073E09" w:rsidRDefault="00A61599" w:rsidP="00A61599">
      <w:pPr>
        <w:shd w:val="clear" w:color="auto" w:fill="FFFFFF"/>
        <w:tabs>
          <w:tab w:val="left" w:pos="3817"/>
        </w:tabs>
        <w:jc w:val="both"/>
        <w:rPr>
          <w:sz w:val="20"/>
          <w:szCs w:val="20"/>
        </w:rPr>
      </w:pPr>
      <w:r w:rsidRPr="00850B83">
        <w:rPr>
          <w:i/>
          <w:sz w:val="20"/>
          <w:szCs w:val="20"/>
        </w:rPr>
        <w:t>Notes</w:t>
      </w:r>
      <w:r w:rsidRPr="00850B83">
        <w:rPr>
          <w:sz w:val="20"/>
          <w:szCs w:val="20"/>
        </w:rPr>
        <w:t xml:space="preserve">: </w:t>
      </w:r>
      <w:r w:rsidRPr="00B2768E">
        <w:rPr>
          <w:sz w:val="20"/>
          <w:szCs w:val="20"/>
          <w:vertAlign w:val="superscript"/>
        </w:rPr>
        <w:t>*</w:t>
      </w:r>
      <w:r w:rsidRPr="00B2768E">
        <w:rPr>
          <w:sz w:val="20"/>
          <w:szCs w:val="20"/>
        </w:rPr>
        <w:t xml:space="preserve">, </w:t>
      </w:r>
      <w:r w:rsidRPr="00B2768E">
        <w:rPr>
          <w:sz w:val="20"/>
          <w:szCs w:val="20"/>
          <w:vertAlign w:val="superscript"/>
        </w:rPr>
        <w:t>**</w:t>
      </w:r>
      <w:r w:rsidRPr="00B2768E">
        <w:rPr>
          <w:sz w:val="20"/>
          <w:szCs w:val="20"/>
        </w:rPr>
        <w:t xml:space="preserve">, </w:t>
      </w:r>
      <w:r w:rsidRPr="00B2768E">
        <w:rPr>
          <w:sz w:val="20"/>
          <w:szCs w:val="20"/>
          <w:vertAlign w:val="superscript"/>
        </w:rPr>
        <w:t>***</w:t>
      </w:r>
      <w:r w:rsidRPr="00B2768E">
        <w:rPr>
          <w:sz w:val="20"/>
          <w:szCs w:val="20"/>
        </w:rPr>
        <w:t xml:space="preserve"> </w:t>
      </w:r>
      <w:r w:rsidRPr="00A61599">
        <w:rPr>
          <w:sz w:val="20"/>
          <w:szCs w:val="20"/>
        </w:rPr>
        <w:t>show significance level at 10%, 5% and 1%, respectively. The null hypothesis is unit root. ∆ refers to first difference of the variable.</w:t>
      </w:r>
      <w:r w:rsidR="004624E7">
        <w:rPr>
          <w:sz w:val="20"/>
          <w:szCs w:val="20"/>
        </w:rPr>
        <w:t xml:space="preserve"> </w:t>
      </w:r>
      <w:r w:rsidRPr="00A61599">
        <w:rPr>
          <w:sz w:val="20"/>
          <w:szCs w:val="20"/>
        </w:rPr>
        <w:t>The test constructs four test statistics that are based upon the GLS detrended data.</w:t>
      </w:r>
      <w:r w:rsidRPr="008F2162">
        <w:rPr>
          <w:sz w:val="20"/>
          <w:szCs w:val="20"/>
        </w:rPr>
        <w:t xml:space="preserve"> </w:t>
      </w:r>
    </w:p>
    <w:p w:rsidR="00A61599" w:rsidRDefault="00A61599" w:rsidP="008F2162">
      <w:pPr>
        <w:jc w:val="both"/>
      </w:pPr>
    </w:p>
    <w:tbl>
      <w:tblPr>
        <w:tblW w:w="7105" w:type="dxa"/>
        <w:jc w:val="center"/>
        <w:tblBorders>
          <w:top w:val="double" w:sz="4" w:space="0" w:color="auto"/>
          <w:bottom w:val="double" w:sz="4" w:space="0" w:color="auto"/>
        </w:tblBorders>
        <w:tblLayout w:type="fixed"/>
        <w:tblCellMar>
          <w:left w:w="70" w:type="dxa"/>
          <w:right w:w="70" w:type="dxa"/>
        </w:tblCellMar>
        <w:tblLook w:val="04A0"/>
      </w:tblPr>
      <w:tblGrid>
        <w:gridCol w:w="1013"/>
        <w:gridCol w:w="951"/>
        <w:gridCol w:w="1575"/>
        <w:gridCol w:w="1039"/>
        <w:gridCol w:w="952"/>
        <w:gridCol w:w="1575"/>
      </w:tblGrid>
      <w:tr w:rsidR="00A61599" w:rsidRPr="003C093F" w:rsidTr="00A61599">
        <w:trPr>
          <w:trHeight w:val="288"/>
          <w:jc w:val="center"/>
        </w:trPr>
        <w:tc>
          <w:tcPr>
            <w:tcW w:w="1013" w:type="dxa"/>
            <w:tcBorders>
              <w:bottom w:val="single" w:sz="4" w:space="0" w:color="auto"/>
            </w:tcBorders>
            <w:shd w:val="clear" w:color="auto" w:fill="FFFFFF"/>
            <w:noWrap/>
            <w:vAlign w:val="bottom"/>
          </w:tcPr>
          <w:p w:rsidR="00A61599" w:rsidRPr="003C093F" w:rsidRDefault="00A61599" w:rsidP="00CB4988">
            <w:pPr>
              <w:jc w:val="center"/>
              <w:rPr>
                <w:b/>
                <w:bCs/>
                <w:color w:val="000000"/>
                <w:sz w:val="20"/>
                <w:szCs w:val="20"/>
                <w:lang w:eastAsia="tr-TR"/>
              </w:rPr>
            </w:pPr>
          </w:p>
        </w:tc>
        <w:tc>
          <w:tcPr>
            <w:tcW w:w="951" w:type="dxa"/>
            <w:tcBorders>
              <w:bottom w:val="single" w:sz="4" w:space="0" w:color="auto"/>
            </w:tcBorders>
            <w:shd w:val="clear" w:color="auto" w:fill="FFFFFF"/>
            <w:vAlign w:val="center"/>
          </w:tcPr>
          <w:p w:rsidR="00A61599" w:rsidRPr="003C093F" w:rsidRDefault="00A61599" w:rsidP="00CB4988">
            <w:pPr>
              <w:jc w:val="center"/>
              <w:rPr>
                <w:bCs/>
                <w:sz w:val="20"/>
                <w:szCs w:val="20"/>
                <w:lang w:eastAsia="tr-TR"/>
              </w:rPr>
            </w:pPr>
            <w:r w:rsidRPr="003C093F">
              <w:rPr>
                <w:bCs/>
                <w:sz w:val="20"/>
                <w:szCs w:val="20"/>
                <w:lang w:eastAsia="tr-TR"/>
              </w:rPr>
              <w:t>Intercept</w:t>
            </w:r>
          </w:p>
        </w:tc>
        <w:tc>
          <w:tcPr>
            <w:tcW w:w="1575" w:type="dxa"/>
            <w:tcBorders>
              <w:bottom w:val="single" w:sz="4" w:space="0" w:color="auto"/>
            </w:tcBorders>
            <w:shd w:val="clear" w:color="auto" w:fill="FFFFFF"/>
            <w:vAlign w:val="center"/>
          </w:tcPr>
          <w:p w:rsidR="00A61599" w:rsidRPr="003C093F" w:rsidRDefault="00A61599" w:rsidP="00CB4988">
            <w:pPr>
              <w:jc w:val="center"/>
              <w:rPr>
                <w:bCs/>
                <w:sz w:val="20"/>
                <w:szCs w:val="20"/>
                <w:lang w:eastAsia="tr-TR"/>
              </w:rPr>
            </w:pPr>
            <w:r w:rsidRPr="003C093F">
              <w:rPr>
                <w:bCs/>
                <w:sz w:val="20"/>
                <w:szCs w:val="20"/>
                <w:lang w:eastAsia="tr-TR"/>
              </w:rPr>
              <w:t>Intercept + trend</w:t>
            </w:r>
          </w:p>
        </w:tc>
        <w:tc>
          <w:tcPr>
            <w:tcW w:w="1991" w:type="dxa"/>
            <w:gridSpan w:val="2"/>
            <w:tcBorders>
              <w:bottom w:val="single" w:sz="4" w:space="0" w:color="auto"/>
            </w:tcBorders>
            <w:shd w:val="clear" w:color="auto" w:fill="FFFFFF"/>
            <w:vAlign w:val="center"/>
          </w:tcPr>
          <w:p w:rsidR="00A61599" w:rsidRPr="003C093F" w:rsidRDefault="00A61599" w:rsidP="00CB4988">
            <w:pPr>
              <w:jc w:val="center"/>
              <w:rPr>
                <w:bCs/>
                <w:sz w:val="20"/>
                <w:szCs w:val="20"/>
                <w:lang w:eastAsia="tr-TR"/>
              </w:rPr>
            </w:pPr>
            <w:r w:rsidRPr="003C093F">
              <w:rPr>
                <w:bCs/>
                <w:sz w:val="20"/>
                <w:szCs w:val="20"/>
                <w:lang w:eastAsia="tr-TR"/>
              </w:rPr>
              <w:t>Intercept</w:t>
            </w:r>
          </w:p>
        </w:tc>
        <w:tc>
          <w:tcPr>
            <w:tcW w:w="1575" w:type="dxa"/>
            <w:tcBorders>
              <w:bottom w:val="single" w:sz="4" w:space="0" w:color="auto"/>
            </w:tcBorders>
            <w:shd w:val="clear" w:color="auto" w:fill="FFFFFF"/>
            <w:vAlign w:val="center"/>
          </w:tcPr>
          <w:p w:rsidR="00A61599" w:rsidRPr="003C093F" w:rsidRDefault="00A61599" w:rsidP="00CB4988">
            <w:pPr>
              <w:jc w:val="center"/>
              <w:rPr>
                <w:bCs/>
                <w:sz w:val="20"/>
                <w:szCs w:val="20"/>
                <w:lang w:eastAsia="tr-TR"/>
              </w:rPr>
            </w:pPr>
            <w:r w:rsidRPr="003C093F">
              <w:rPr>
                <w:bCs/>
                <w:sz w:val="20"/>
                <w:szCs w:val="20"/>
                <w:lang w:eastAsia="tr-TR"/>
              </w:rPr>
              <w:t>Intercept + trend</w:t>
            </w:r>
          </w:p>
        </w:tc>
      </w:tr>
      <w:tr w:rsidR="00A61599" w:rsidRPr="003C093F" w:rsidTr="00A61599">
        <w:trPr>
          <w:trHeight w:val="288"/>
          <w:jc w:val="center"/>
        </w:trPr>
        <w:tc>
          <w:tcPr>
            <w:tcW w:w="1013" w:type="dxa"/>
            <w:tcBorders>
              <w:top w:val="single" w:sz="4" w:space="0" w:color="auto"/>
              <w:bottom w:val="nil"/>
            </w:tcBorders>
            <w:shd w:val="clear" w:color="auto" w:fill="FFFFFF"/>
            <w:noWrap/>
            <w:vAlign w:val="bottom"/>
          </w:tcPr>
          <w:p w:rsidR="00A61599" w:rsidRPr="00A61599" w:rsidRDefault="00A61599" w:rsidP="00CB4988">
            <w:pPr>
              <w:jc w:val="center"/>
              <w:rPr>
                <w:bCs/>
                <w:i/>
                <w:color w:val="000000"/>
                <w:sz w:val="20"/>
                <w:szCs w:val="20"/>
                <w:lang w:eastAsia="tr-TR"/>
              </w:rPr>
            </w:pPr>
            <w:r w:rsidRPr="00A61599">
              <w:rPr>
                <w:bCs/>
                <w:i/>
                <w:color w:val="000000"/>
                <w:sz w:val="20"/>
                <w:szCs w:val="20"/>
                <w:lang w:eastAsia="tr-TR"/>
              </w:rPr>
              <w:t>GL</w:t>
            </w:r>
            <w:r w:rsidRPr="00E21CBC">
              <w:rPr>
                <w:bCs/>
                <w:color w:val="000000"/>
                <w:sz w:val="20"/>
                <w:szCs w:val="20"/>
                <w:lang w:eastAsia="tr-TR"/>
              </w:rPr>
              <w:t>1</w:t>
            </w:r>
          </w:p>
        </w:tc>
        <w:tc>
          <w:tcPr>
            <w:tcW w:w="951" w:type="dxa"/>
            <w:tcBorders>
              <w:top w:val="single" w:sz="4" w:space="0" w:color="auto"/>
              <w:bottom w:val="nil"/>
            </w:tcBorders>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-1.952</w:t>
            </w:r>
          </w:p>
        </w:tc>
        <w:tc>
          <w:tcPr>
            <w:tcW w:w="1575" w:type="dxa"/>
            <w:tcBorders>
              <w:top w:val="single" w:sz="4" w:space="0" w:color="auto"/>
              <w:bottom w:val="nil"/>
            </w:tcBorders>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-4.488</w:t>
            </w:r>
          </w:p>
        </w:tc>
        <w:tc>
          <w:tcPr>
            <w:tcW w:w="1039" w:type="dxa"/>
            <w:tcBorders>
              <w:top w:val="single" w:sz="4" w:space="0" w:color="auto"/>
              <w:bottom w:val="nil"/>
            </w:tcBorders>
            <w:shd w:val="clear" w:color="auto" w:fill="FFFFFF"/>
            <w:vAlign w:val="center"/>
          </w:tcPr>
          <w:p w:rsidR="00A61599" w:rsidRPr="003C093F" w:rsidRDefault="00A61599" w:rsidP="00CB4988">
            <w:pPr>
              <w:jc w:val="center"/>
              <w:rPr>
                <w:sz w:val="20"/>
                <w:szCs w:val="20"/>
                <w:lang w:eastAsia="tr-TR"/>
              </w:rPr>
            </w:pPr>
            <w:r w:rsidRPr="003C093F">
              <w:rPr>
                <w:bCs/>
                <w:sz w:val="20"/>
                <w:szCs w:val="20"/>
                <w:lang w:eastAsia="tr-TR"/>
              </w:rPr>
              <w:t>∆GL1</w:t>
            </w:r>
          </w:p>
        </w:tc>
        <w:tc>
          <w:tcPr>
            <w:tcW w:w="952" w:type="dxa"/>
            <w:tcBorders>
              <w:top w:val="single" w:sz="4" w:space="0" w:color="auto"/>
              <w:bottom w:val="nil"/>
            </w:tcBorders>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-5.609</w:t>
            </w:r>
            <w:r w:rsidRPr="00A61599">
              <w:rPr>
                <w:sz w:val="20"/>
                <w:szCs w:val="20"/>
                <w:vertAlign w:val="superscript"/>
                <w:lang w:eastAsia="tr-TR"/>
              </w:rPr>
              <w:t>***</w:t>
            </w:r>
          </w:p>
        </w:tc>
        <w:tc>
          <w:tcPr>
            <w:tcW w:w="1575" w:type="dxa"/>
            <w:tcBorders>
              <w:top w:val="single" w:sz="4" w:space="0" w:color="auto"/>
              <w:bottom w:val="nil"/>
            </w:tcBorders>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-5.329</w:t>
            </w:r>
            <w:r w:rsidRPr="00A61599">
              <w:rPr>
                <w:sz w:val="20"/>
                <w:szCs w:val="20"/>
                <w:vertAlign w:val="superscript"/>
                <w:lang w:eastAsia="tr-TR"/>
              </w:rPr>
              <w:t>**</w:t>
            </w:r>
          </w:p>
        </w:tc>
      </w:tr>
      <w:tr w:rsidR="00A61599" w:rsidRPr="003C093F" w:rsidTr="00A61599">
        <w:trPr>
          <w:trHeight w:val="288"/>
          <w:jc w:val="center"/>
        </w:trPr>
        <w:tc>
          <w:tcPr>
            <w:tcW w:w="1013" w:type="dxa"/>
            <w:tcBorders>
              <w:top w:val="nil"/>
            </w:tcBorders>
            <w:shd w:val="clear" w:color="auto" w:fill="FFFFFF"/>
            <w:noWrap/>
            <w:vAlign w:val="bottom"/>
          </w:tcPr>
          <w:p w:rsidR="00A61599" w:rsidRPr="00A61599" w:rsidRDefault="00A61599" w:rsidP="00CB4988">
            <w:pPr>
              <w:jc w:val="center"/>
              <w:rPr>
                <w:bCs/>
                <w:i/>
                <w:color w:val="000000"/>
                <w:sz w:val="20"/>
                <w:szCs w:val="20"/>
                <w:lang w:eastAsia="tr-TR"/>
              </w:rPr>
            </w:pPr>
            <w:r w:rsidRPr="00A61599">
              <w:rPr>
                <w:bCs/>
                <w:i/>
                <w:color w:val="000000"/>
                <w:sz w:val="20"/>
                <w:szCs w:val="20"/>
                <w:lang w:eastAsia="tr-TR"/>
              </w:rPr>
              <w:t>GL</w:t>
            </w:r>
            <w:r w:rsidRPr="00E21CBC">
              <w:rPr>
                <w:bCs/>
                <w:color w:val="000000"/>
                <w:sz w:val="20"/>
                <w:szCs w:val="20"/>
                <w:lang w:eastAsia="tr-TR"/>
              </w:rPr>
              <w:t>2</w:t>
            </w:r>
          </w:p>
        </w:tc>
        <w:tc>
          <w:tcPr>
            <w:tcW w:w="951" w:type="dxa"/>
            <w:tcBorders>
              <w:top w:val="nil"/>
            </w:tcBorders>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-3.477</w:t>
            </w:r>
          </w:p>
        </w:tc>
        <w:tc>
          <w:tcPr>
            <w:tcW w:w="1575" w:type="dxa"/>
            <w:tcBorders>
              <w:top w:val="nil"/>
            </w:tcBorders>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-1.408</w:t>
            </w:r>
          </w:p>
        </w:tc>
        <w:tc>
          <w:tcPr>
            <w:tcW w:w="1039" w:type="dxa"/>
            <w:tcBorders>
              <w:top w:val="nil"/>
            </w:tcBorders>
            <w:shd w:val="clear" w:color="auto" w:fill="FFFFFF"/>
            <w:vAlign w:val="center"/>
          </w:tcPr>
          <w:p w:rsidR="00A61599" w:rsidRPr="003C093F" w:rsidRDefault="00A61599" w:rsidP="00CB4988">
            <w:pPr>
              <w:jc w:val="center"/>
              <w:rPr>
                <w:sz w:val="20"/>
                <w:szCs w:val="20"/>
                <w:lang w:eastAsia="tr-TR"/>
              </w:rPr>
            </w:pPr>
            <w:r w:rsidRPr="003C093F">
              <w:rPr>
                <w:bCs/>
                <w:sz w:val="20"/>
                <w:szCs w:val="20"/>
                <w:lang w:eastAsia="tr-TR"/>
              </w:rPr>
              <w:t>∆GL2</w:t>
            </w:r>
          </w:p>
        </w:tc>
        <w:tc>
          <w:tcPr>
            <w:tcW w:w="952" w:type="dxa"/>
            <w:tcBorders>
              <w:top w:val="nil"/>
            </w:tcBorders>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-8.451</w:t>
            </w:r>
            <w:r w:rsidRPr="00A61599">
              <w:rPr>
                <w:sz w:val="20"/>
                <w:szCs w:val="20"/>
                <w:vertAlign w:val="superscript"/>
                <w:lang w:eastAsia="tr-TR"/>
              </w:rPr>
              <w:t>***</w:t>
            </w:r>
          </w:p>
        </w:tc>
        <w:tc>
          <w:tcPr>
            <w:tcW w:w="1575" w:type="dxa"/>
            <w:tcBorders>
              <w:top w:val="nil"/>
            </w:tcBorders>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-8.999</w:t>
            </w:r>
            <w:r w:rsidRPr="00A61599">
              <w:rPr>
                <w:sz w:val="20"/>
                <w:szCs w:val="20"/>
                <w:vertAlign w:val="superscript"/>
                <w:lang w:eastAsia="tr-TR"/>
              </w:rPr>
              <w:t>***</w:t>
            </w:r>
          </w:p>
        </w:tc>
      </w:tr>
      <w:tr w:rsidR="00A61599" w:rsidRPr="003C093F" w:rsidTr="00A61599">
        <w:trPr>
          <w:trHeight w:val="288"/>
          <w:jc w:val="center"/>
        </w:trPr>
        <w:tc>
          <w:tcPr>
            <w:tcW w:w="1013" w:type="dxa"/>
            <w:shd w:val="clear" w:color="auto" w:fill="FFFFFF"/>
            <w:noWrap/>
            <w:vAlign w:val="bottom"/>
          </w:tcPr>
          <w:p w:rsidR="00A61599" w:rsidRPr="00A61599" w:rsidRDefault="00A61599" w:rsidP="00CB4988">
            <w:pPr>
              <w:jc w:val="center"/>
              <w:rPr>
                <w:bCs/>
                <w:i/>
                <w:color w:val="000000"/>
                <w:sz w:val="20"/>
                <w:szCs w:val="20"/>
                <w:lang w:eastAsia="tr-TR"/>
              </w:rPr>
            </w:pPr>
            <w:r w:rsidRPr="00A61599">
              <w:rPr>
                <w:bCs/>
                <w:i/>
                <w:color w:val="000000"/>
                <w:sz w:val="20"/>
                <w:szCs w:val="20"/>
                <w:lang w:eastAsia="tr-TR"/>
              </w:rPr>
              <w:t>GL</w:t>
            </w:r>
            <w:r w:rsidRPr="00E21CBC">
              <w:rPr>
                <w:bCs/>
                <w:color w:val="000000"/>
                <w:sz w:val="20"/>
                <w:szCs w:val="20"/>
                <w:lang w:eastAsia="tr-TR"/>
              </w:rPr>
              <w:t>3</w:t>
            </w:r>
          </w:p>
        </w:tc>
        <w:tc>
          <w:tcPr>
            <w:tcW w:w="951" w:type="dxa"/>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-2.152</w:t>
            </w:r>
          </w:p>
        </w:tc>
        <w:tc>
          <w:tcPr>
            <w:tcW w:w="1575" w:type="dxa"/>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-4.061</w:t>
            </w:r>
          </w:p>
        </w:tc>
        <w:tc>
          <w:tcPr>
            <w:tcW w:w="1039" w:type="dxa"/>
            <w:shd w:val="clear" w:color="auto" w:fill="FFFFFF"/>
            <w:vAlign w:val="center"/>
          </w:tcPr>
          <w:p w:rsidR="00A61599" w:rsidRPr="003C093F" w:rsidRDefault="00A61599" w:rsidP="00CB4988">
            <w:pPr>
              <w:jc w:val="center"/>
              <w:rPr>
                <w:sz w:val="20"/>
                <w:szCs w:val="20"/>
                <w:lang w:eastAsia="tr-TR"/>
              </w:rPr>
            </w:pPr>
            <w:r w:rsidRPr="003C093F">
              <w:rPr>
                <w:bCs/>
                <w:sz w:val="20"/>
                <w:szCs w:val="20"/>
                <w:lang w:eastAsia="tr-TR"/>
              </w:rPr>
              <w:t>∆GL3</w:t>
            </w:r>
          </w:p>
        </w:tc>
        <w:tc>
          <w:tcPr>
            <w:tcW w:w="952" w:type="dxa"/>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-7.738</w:t>
            </w:r>
            <w:r w:rsidRPr="00A61599">
              <w:rPr>
                <w:sz w:val="20"/>
                <w:szCs w:val="20"/>
                <w:vertAlign w:val="superscript"/>
                <w:lang w:eastAsia="tr-TR"/>
              </w:rPr>
              <w:t>***</w:t>
            </w:r>
          </w:p>
        </w:tc>
        <w:tc>
          <w:tcPr>
            <w:tcW w:w="1575" w:type="dxa"/>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-8.489</w:t>
            </w:r>
            <w:r w:rsidRPr="00A61599">
              <w:rPr>
                <w:sz w:val="20"/>
                <w:szCs w:val="20"/>
                <w:vertAlign w:val="superscript"/>
                <w:lang w:eastAsia="tr-TR"/>
              </w:rPr>
              <w:t>***</w:t>
            </w:r>
          </w:p>
        </w:tc>
      </w:tr>
      <w:tr w:rsidR="00A61599" w:rsidRPr="003C093F" w:rsidTr="00A61599">
        <w:trPr>
          <w:trHeight w:val="288"/>
          <w:jc w:val="center"/>
        </w:trPr>
        <w:tc>
          <w:tcPr>
            <w:tcW w:w="1013" w:type="dxa"/>
            <w:shd w:val="clear" w:color="auto" w:fill="FFFFFF"/>
            <w:noWrap/>
            <w:vAlign w:val="bottom"/>
          </w:tcPr>
          <w:p w:rsidR="00A61599" w:rsidRPr="00A61599" w:rsidRDefault="00A61599" w:rsidP="00CB4988">
            <w:pPr>
              <w:jc w:val="center"/>
              <w:rPr>
                <w:bCs/>
                <w:i/>
                <w:color w:val="000000"/>
                <w:sz w:val="20"/>
                <w:szCs w:val="20"/>
                <w:lang w:eastAsia="tr-TR"/>
              </w:rPr>
            </w:pPr>
            <w:r w:rsidRPr="00A61599">
              <w:rPr>
                <w:bCs/>
                <w:i/>
                <w:color w:val="000000"/>
                <w:sz w:val="20"/>
                <w:szCs w:val="20"/>
                <w:lang w:eastAsia="tr-TR"/>
              </w:rPr>
              <w:t>GL</w:t>
            </w:r>
            <w:r w:rsidRPr="00E21CBC">
              <w:rPr>
                <w:bCs/>
                <w:color w:val="000000"/>
                <w:sz w:val="20"/>
                <w:szCs w:val="20"/>
                <w:lang w:eastAsia="tr-TR"/>
              </w:rPr>
              <w:t>4</w:t>
            </w:r>
          </w:p>
        </w:tc>
        <w:tc>
          <w:tcPr>
            <w:tcW w:w="951" w:type="dxa"/>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-2.961</w:t>
            </w:r>
          </w:p>
        </w:tc>
        <w:tc>
          <w:tcPr>
            <w:tcW w:w="1575" w:type="dxa"/>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-3.197</w:t>
            </w:r>
          </w:p>
        </w:tc>
        <w:tc>
          <w:tcPr>
            <w:tcW w:w="1039" w:type="dxa"/>
            <w:shd w:val="clear" w:color="auto" w:fill="FFFFFF"/>
            <w:vAlign w:val="center"/>
          </w:tcPr>
          <w:p w:rsidR="00A61599" w:rsidRPr="003C093F" w:rsidRDefault="00A61599" w:rsidP="00CB4988">
            <w:pPr>
              <w:jc w:val="center"/>
              <w:rPr>
                <w:sz w:val="20"/>
                <w:szCs w:val="20"/>
                <w:lang w:eastAsia="tr-TR"/>
              </w:rPr>
            </w:pPr>
            <w:r w:rsidRPr="003C093F">
              <w:rPr>
                <w:bCs/>
                <w:sz w:val="20"/>
                <w:szCs w:val="20"/>
                <w:lang w:eastAsia="tr-TR"/>
              </w:rPr>
              <w:t>∆GL4</w:t>
            </w:r>
          </w:p>
        </w:tc>
        <w:tc>
          <w:tcPr>
            <w:tcW w:w="952" w:type="dxa"/>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-6.196</w:t>
            </w:r>
            <w:r w:rsidRPr="00A61599">
              <w:rPr>
                <w:sz w:val="20"/>
                <w:szCs w:val="20"/>
                <w:vertAlign w:val="superscript"/>
                <w:lang w:eastAsia="tr-TR"/>
              </w:rPr>
              <w:t>***</w:t>
            </w:r>
          </w:p>
        </w:tc>
        <w:tc>
          <w:tcPr>
            <w:tcW w:w="1575" w:type="dxa"/>
            <w:shd w:val="clear" w:color="auto" w:fill="FFFFFF"/>
            <w:vAlign w:val="center"/>
          </w:tcPr>
          <w:p w:rsidR="00A61599" w:rsidRPr="003C093F" w:rsidRDefault="00A61599" w:rsidP="00CB4988">
            <w:pPr>
              <w:jc w:val="center"/>
              <w:rPr>
                <w:sz w:val="20"/>
                <w:szCs w:val="20"/>
                <w:lang w:eastAsia="tr-TR"/>
              </w:rPr>
            </w:pPr>
            <w:r w:rsidRPr="003C093F">
              <w:rPr>
                <w:sz w:val="20"/>
                <w:szCs w:val="20"/>
                <w:lang w:eastAsia="tr-TR"/>
              </w:rPr>
              <w:t>-6.327</w:t>
            </w:r>
            <w:r w:rsidRPr="00A61599">
              <w:rPr>
                <w:sz w:val="20"/>
                <w:szCs w:val="20"/>
                <w:vertAlign w:val="superscript"/>
                <w:lang w:eastAsia="tr-TR"/>
              </w:rPr>
              <w:t>***</w:t>
            </w:r>
          </w:p>
        </w:tc>
      </w:tr>
    </w:tbl>
    <w:p w:rsidR="00A61599" w:rsidRDefault="00A61599" w:rsidP="00A61599">
      <w:pPr>
        <w:shd w:val="clear" w:color="auto" w:fill="FFFFFF"/>
        <w:jc w:val="both"/>
        <w:rPr>
          <w:sz w:val="20"/>
          <w:szCs w:val="20"/>
        </w:rPr>
      </w:pPr>
      <w:r w:rsidRPr="00850B83">
        <w:rPr>
          <w:b/>
          <w:sz w:val="20"/>
          <w:szCs w:val="20"/>
        </w:rPr>
        <w:t xml:space="preserve">Table </w:t>
      </w:r>
      <w:r>
        <w:rPr>
          <w:b/>
          <w:sz w:val="20"/>
          <w:szCs w:val="20"/>
        </w:rPr>
        <w:t>3.4</w:t>
      </w:r>
      <w:r w:rsidRPr="00073E09">
        <w:rPr>
          <w:sz w:val="20"/>
          <w:szCs w:val="20"/>
        </w:rPr>
        <w:t xml:space="preserve"> </w:t>
      </w:r>
      <w:r w:rsidRPr="00A61599">
        <w:rPr>
          <w:sz w:val="20"/>
          <w:szCs w:val="20"/>
        </w:rPr>
        <w:t>Breakpoint Unit Root Test Results</w:t>
      </w:r>
      <w:r w:rsidRPr="00073E09">
        <w:rPr>
          <w:sz w:val="20"/>
          <w:szCs w:val="20"/>
        </w:rPr>
        <w:t>.</w:t>
      </w:r>
    </w:p>
    <w:p w:rsidR="00A61599" w:rsidRPr="00073E09" w:rsidRDefault="00A61599" w:rsidP="00A61599">
      <w:pPr>
        <w:shd w:val="clear" w:color="auto" w:fill="FFFFFF"/>
        <w:tabs>
          <w:tab w:val="left" w:pos="3817"/>
        </w:tabs>
        <w:jc w:val="both"/>
        <w:rPr>
          <w:sz w:val="20"/>
          <w:szCs w:val="20"/>
        </w:rPr>
      </w:pPr>
      <w:r w:rsidRPr="00850B83">
        <w:rPr>
          <w:i/>
          <w:sz w:val="20"/>
          <w:szCs w:val="20"/>
        </w:rPr>
        <w:t>Notes</w:t>
      </w:r>
      <w:r w:rsidRPr="00850B83">
        <w:rPr>
          <w:sz w:val="20"/>
          <w:szCs w:val="20"/>
        </w:rPr>
        <w:t xml:space="preserve">: </w:t>
      </w:r>
      <w:r w:rsidRPr="00B2768E">
        <w:rPr>
          <w:sz w:val="20"/>
          <w:szCs w:val="20"/>
          <w:vertAlign w:val="superscript"/>
        </w:rPr>
        <w:t>*</w:t>
      </w:r>
      <w:r w:rsidRPr="00B2768E">
        <w:rPr>
          <w:sz w:val="20"/>
          <w:szCs w:val="20"/>
        </w:rPr>
        <w:t xml:space="preserve">, </w:t>
      </w:r>
      <w:r w:rsidRPr="00B2768E">
        <w:rPr>
          <w:sz w:val="20"/>
          <w:szCs w:val="20"/>
          <w:vertAlign w:val="superscript"/>
        </w:rPr>
        <w:t>**</w:t>
      </w:r>
      <w:r w:rsidRPr="00B2768E">
        <w:rPr>
          <w:sz w:val="20"/>
          <w:szCs w:val="20"/>
        </w:rPr>
        <w:t xml:space="preserve">, </w:t>
      </w:r>
      <w:r w:rsidRPr="00B2768E">
        <w:rPr>
          <w:sz w:val="20"/>
          <w:szCs w:val="20"/>
          <w:vertAlign w:val="superscript"/>
        </w:rPr>
        <w:t>***</w:t>
      </w:r>
      <w:r w:rsidRPr="00B2768E">
        <w:rPr>
          <w:sz w:val="20"/>
          <w:szCs w:val="20"/>
        </w:rPr>
        <w:t xml:space="preserve"> </w:t>
      </w:r>
      <w:r w:rsidRPr="00A61599">
        <w:rPr>
          <w:sz w:val="20"/>
          <w:szCs w:val="20"/>
        </w:rPr>
        <w:t>show significance level at 10%, 5% and 1%, respectively. The null hypothesis is unit root.</w:t>
      </w:r>
      <w:r w:rsidRPr="008F2162">
        <w:rPr>
          <w:sz w:val="20"/>
          <w:szCs w:val="20"/>
        </w:rPr>
        <w:t xml:space="preserve"> </w:t>
      </w:r>
    </w:p>
    <w:p w:rsidR="00A61599" w:rsidRDefault="00A61599" w:rsidP="008F2162">
      <w:pPr>
        <w:jc w:val="both"/>
      </w:pPr>
    </w:p>
    <w:p w:rsidR="00AE3A03" w:rsidRDefault="00AE3A03" w:rsidP="00AE3A03">
      <w:pPr>
        <w:jc w:val="both"/>
      </w:pPr>
      <w:r>
        <w:t>According to Table 3.3, Ng-Peron test shows that all four global liquidity variables are I(1). Table 3.4 also shows that global liquidity indicators are stationary in first differences according to breakpoint unit root test.</w:t>
      </w:r>
    </w:p>
    <w:p w:rsidR="00AE3A03" w:rsidRDefault="00AE3A03" w:rsidP="00AE3A03">
      <w:pPr>
        <w:jc w:val="both"/>
      </w:pPr>
    </w:p>
    <w:p w:rsidR="00AE3A03" w:rsidRPr="00AE3A03" w:rsidRDefault="00AE3A03" w:rsidP="00AE3A03">
      <w:pPr>
        <w:jc w:val="both"/>
        <w:rPr>
          <w:b/>
        </w:rPr>
      </w:pPr>
      <w:r w:rsidRPr="00AE3A03">
        <w:rPr>
          <w:b/>
        </w:rPr>
        <w:t xml:space="preserve">3.3. Co-Integration </w:t>
      </w:r>
    </w:p>
    <w:p w:rsidR="00AE3A03" w:rsidRDefault="00AE3A03" w:rsidP="00AE3A03">
      <w:pPr>
        <w:jc w:val="both"/>
      </w:pPr>
    </w:p>
    <w:p w:rsidR="00A61599" w:rsidRDefault="00AE3A03" w:rsidP="00AE3A03">
      <w:pPr>
        <w:jc w:val="both"/>
      </w:pPr>
      <w:r>
        <w:t>After we find that all variables are I(1), we investigate co-integration relationship between the variables by employing Durbin-Hausman test which take into consideration cross sectional dependence. The results of the Durbin-Hausman test are given in Table 3.5.</w:t>
      </w:r>
    </w:p>
    <w:p w:rsidR="00AE3A03" w:rsidRDefault="00AE3A03" w:rsidP="00AE3A03">
      <w:pPr>
        <w:jc w:val="both"/>
      </w:pPr>
    </w:p>
    <w:tbl>
      <w:tblPr>
        <w:tblW w:w="4240" w:type="dxa"/>
        <w:jc w:val="center"/>
        <w:tblBorders>
          <w:top w:val="double" w:sz="4" w:space="0" w:color="auto"/>
          <w:bottom w:val="double" w:sz="4" w:space="0" w:color="auto"/>
        </w:tblBorders>
        <w:tblCellMar>
          <w:left w:w="70" w:type="dxa"/>
          <w:right w:w="70" w:type="dxa"/>
        </w:tblCellMar>
        <w:tblLook w:val="04A0"/>
      </w:tblPr>
      <w:tblGrid>
        <w:gridCol w:w="1910"/>
        <w:gridCol w:w="2330"/>
      </w:tblGrid>
      <w:tr w:rsidR="009F5620" w:rsidRPr="00495DBD" w:rsidTr="009C63AC">
        <w:trPr>
          <w:trHeight w:val="312"/>
          <w:jc w:val="center"/>
        </w:trPr>
        <w:tc>
          <w:tcPr>
            <w:tcW w:w="4240" w:type="dxa"/>
            <w:gridSpan w:val="2"/>
            <w:tcBorders>
              <w:bottom w:val="single" w:sz="4" w:space="0" w:color="auto"/>
            </w:tcBorders>
            <w:noWrap/>
            <w:vAlign w:val="bottom"/>
            <w:hideMark/>
          </w:tcPr>
          <w:p w:rsidR="009F5620" w:rsidRPr="00495DBD" w:rsidRDefault="009F5620" w:rsidP="00CB4988">
            <w:pPr>
              <w:jc w:val="center"/>
              <w:rPr>
                <w:b/>
                <w:color w:val="000000"/>
                <w:sz w:val="20"/>
                <w:szCs w:val="20"/>
                <w:lang w:eastAsia="tr-TR"/>
              </w:rPr>
            </w:pPr>
            <w:r w:rsidRPr="00495DBD">
              <w:rPr>
                <w:b/>
                <w:color w:val="000000"/>
                <w:sz w:val="20"/>
                <w:szCs w:val="20"/>
                <w:lang w:eastAsia="tr-TR"/>
              </w:rPr>
              <w:t>Westerlund (2008) Durbin-h Test</w:t>
            </w:r>
          </w:p>
        </w:tc>
      </w:tr>
      <w:tr w:rsidR="009F5620" w:rsidRPr="00495DBD" w:rsidTr="009C63AC">
        <w:trPr>
          <w:trHeight w:val="312"/>
          <w:jc w:val="center"/>
        </w:trPr>
        <w:tc>
          <w:tcPr>
            <w:tcW w:w="1910" w:type="dxa"/>
            <w:tcBorders>
              <w:top w:val="single" w:sz="4" w:space="0" w:color="auto"/>
              <w:bottom w:val="nil"/>
            </w:tcBorders>
            <w:noWrap/>
            <w:vAlign w:val="bottom"/>
          </w:tcPr>
          <w:p w:rsidR="009F5620" w:rsidRPr="00495DBD" w:rsidRDefault="009F5620" w:rsidP="00CB4988">
            <w:pPr>
              <w:jc w:val="center"/>
              <w:rPr>
                <w:b/>
                <w:bCs/>
                <w:color w:val="000000"/>
                <w:sz w:val="20"/>
                <w:szCs w:val="20"/>
                <w:lang w:eastAsia="tr-TR"/>
              </w:rPr>
            </w:pPr>
          </w:p>
        </w:tc>
        <w:tc>
          <w:tcPr>
            <w:tcW w:w="2330" w:type="dxa"/>
            <w:tcBorders>
              <w:top w:val="single" w:sz="4" w:space="0" w:color="auto"/>
              <w:bottom w:val="nil"/>
            </w:tcBorders>
            <w:vAlign w:val="bottom"/>
          </w:tcPr>
          <w:p w:rsidR="009F5620" w:rsidRPr="00495DBD" w:rsidRDefault="009F5620" w:rsidP="00CB4988">
            <w:pPr>
              <w:jc w:val="center"/>
              <w:rPr>
                <w:color w:val="000000"/>
                <w:sz w:val="20"/>
                <w:szCs w:val="20"/>
                <w:lang w:eastAsia="tr-TR"/>
              </w:rPr>
            </w:pPr>
            <w:r w:rsidRPr="00495DBD">
              <w:rPr>
                <w:bCs/>
                <w:color w:val="000000"/>
                <w:sz w:val="20"/>
                <w:szCs w:val="20"/>
                <w:lang w:eastAsia="tr-TR"/>
              </w:rPr>
              <w:t>Value</w:t>
            </w:r>
          </w:p>
        </w:tc>
      </w:tr>
      <w:tr w:rsidR="009F5620" w:rsidRPr="00495DBD" w:rsidTr="009C63AC">
        <w:trPr>
          <w:trHeight w:val="312"/>
          <w:jc w:val="center"/>
        </w:trPr>
        <w:tc>
          <w:tcPr>
            <w:tcW w:w="1910" w:type="dxa"/>
            <w:tcBorders>
              <w:top w:val="nil"/>
            </w:tcBorders>
            <w:noWrap/>
            <w:vAlign w:val="bottom"/>
          </w:tcPr>
          <w:p w:rsidR="009F5620" w:rsidRPr="009C63AC" w:rsidRDefault="009F5620" w:rsidP="00CB4988">
            <w:pPr>
              <w:jc w:val="center"/>
              <w:rPr>
                <w:bCs/>
                <w:i/>
                <w:color w:val="000000"/>
                <w:sz w:val="20"/>
                <w:szCs w:val="20"/>
                <w:lang w:eastAsia="tr-TR"/>
              </w:rPr>
            </w:pPr>
            <w:r w:rsidRPr="009C63AC">
              <w:rPr>
                <w:bCs/>
                <w:i/>
                <w:color w:val="000000"/>
                <w:sz w:val="20"/>
                <w:szCs w:val="20"/>
                <w:lang w:eastAsia="tr-TR"/>
              </w:rPr>
              <w:t>DHg</w:t>
            </w:r>
          </w:p>
        </w:tc>
        <w:tc>
          <w:tcPr>
            <w:tcW w:w="2330" w:type="dxa"/>
            <w:tcBorders>
              <w:top w:val="nil"/>
            </w:tcBorders>
            <w:vAlign w:val="bottom"/>
          </w:tcPr>
          <w:p w:rsidR="009F5620" w:rsidRPr="00495DBD" w:rsidRDefault="009F5620" w:rsidP="00CB4988">
            <w:pPr>
              <w:jc w:val="center"/>
              <w:rPr>
                <w:color w:val="000000"/>
                <w:sz w:val="20"/>
                <w:szCs w:val="20"/>
                <w:lang w:eastAsia="tr-TR"/>
              </w:rPr>
            </w:pPr>
            <w:r w:rsidRPr="00495DBD">
              <w:rPr>
                <w:color w:val="000000"/>
                <w:sz w:val="20"/>
                <w:szCs w:val="20"/>
                <w:lang w:eastAsia="tr-TR"/>
              </w:rPr>
              <w:t>-1.047</w:t>
            </w:r>
          </w:p>
        </w:tc>
      </w:tr>
      <w:tr w:rsidR="009F5620" w:rsidRPr="00495DBD" w:rsidTr="009C63AC">
        <w:trPr>
          <w:trHeight w:val="312"/>
          <w:jc w:val="center"/>
        </w:trPr>
        <w:tc>
          <w:tcPr>
            <w:tcW w:w="1910" w:type="dxa"/>
            <w:noWrap/>
            <w:vAlign w:val="bottom"/>
          </w:tcPr>
          <w:p w:rsidR="009F5620" w:rsidRPr="009C63AC" w:rsidRDefault="009F5620" w:rsidP="00CB4988">
            <w:pPr>
              <w:jc w:val="center"/>
              <w:rPr>
                <w:bCs/>
                <w:i/>
                <w:color w:val="000000"/>
                <w:sz w:val="20"/>
                <w:szCs w:val="20"/>
                <w:lang w:eastAsia="tr-TR"/>
              </w:rPr>
            </w:pPr>
            <w:r w:rsidRPr="009C63AC">
              <w:rPr>
                <w:bCs/>
                <w:i/>
                <w:color w:val="000000"/>
                <w:sz w:val="20"/>
                <w:szCs w:val="20"/>
                <w:lang w:eastAsia="tr-TR"/>
              </w:rPr>
              <w:t>DHp</w:t>
            </w:r>
          </w:p>
        </w:tc>
        <w:tc>
          <w:tcPr>
            <w:tcW w:w="2330" w:type="dxa"/>
            <w:vAlign w:val="bottom"/>
          </w:tcPr>
          <w:p w:rsidR="009F5620" w:rsidRPr="00495DBD" w:rsidRDefault="009F5620" w:rsidP="00CB4988">
            <w:pPr>
              <w:jc w:val="center"/>
              <w:rPr>
                <w:color w:val="000000"/>
                <w:sz w:val="20"/>
                <w:szCs w:val="20"/>
                <w:lang w:eastAsia="tr-TR"/>
              </w:rPr>
            </w:pPr>
            <w:r w:rsidRPr="00495DBD">
              <w:rPr>
                <w:color w:val="000000"/>
                <w:sz w:val="20"/>
                <w:szCs w:val="20"/>
                <w:lang w:eastAsia="tr-TR"/>
              </w:rPr>
              <w:t>-0.953</w:t>
            </w:r>
          </w:p>
        </w:tc>
      </w:tr>
    </w:tbl>
    <w:p w:rsidR="009F5620" w:rsidRDefault="009F5620" w:rsidP="009F5620">
      <w:pPr>
        <w:shd w:val="clear" w:color="auto" w:fill="FFFFFF"/>
        <w:jc w:val="both"/>
        <w:rPr>
          <w:sz w:val="20"/>
          <w:szCs w:val="20"/>
        </w:rPr>
      </w:pPr>
      <w:r w:rsidRPr="00850B83">
        <w:rPr>
          <w:b/>
          <w:sz w:val="20"/>
          <w:szCs w:val="20"/>
        </w:rPr>
        <w:t xml:space="preserve">Table </w:t>
      </w:r>
      <w:r>
        <w:rPr>
          <w:b/>
          <w:sz w:val="20"/>
          <w:szCs w:val="20"/>
        </w:rPr>
        <w:t>3.</w:t>
      </w:r>
      <w:r w:rsidR="00C5435E">
        <w:rPr>
          <w:b/>
          <w:sz w:val="20"/>
          <w:szCs w:val="20"/>
        </w:rPr>
        <w:t>5</w:t>
      </w:r>
      <w:r w:rsidRPr="00073E09">
        <w:rPr>
          <w:sz w:val="20"/>
          <w:szCs w:val="20"/>
        </w:rPr>
        <w:t xml:space="preserve"> </w:t>
      </w:r>
      <w:r w:rsidRPr="009F5620">
        <w:rPr>
          <w:sz w:val="20"/>
          <w:szCs w:val="20"/>
        </w:rPr>
        <w:t>Westerlund Durbin-Hausman Test Results</w:t>
      </w:r>
      <w:r w:rsidRPr="00073E09">
        <w:rPr>
          <w:sz w:val="20"/>
          <w:szCs w:val="20"/>
        </w:rPr>
        <w:t>.</w:t>
      </w:r>
    </w:p>
    <w:p w:rsidR="009F5620" w:rsidRDefault="009F5620" w:rsidP="009F5620">
      <w:pPr>
        <w:shd w:val="clear" w:color="auto" w:fill="FFFFFF"/>
        <w:tabs>
          <w:tab w:val="left" w:pos="3817"/>
        </w:tabs>
        <w:jc w:val="both"/>
        <w:rPr>
          <w:sz w:val="20"/>
          <w:szCs w:val="20"/>
        </w:rPr>
      </w:pPr>
      <w:r w:rsidRPr="00850B83">
        <w:rPr>
          <w:i/>
          <w:sz w:val="20"/>
          <w:szCs w:val="20"/>
        </w:rPr>
        <w:t>Notes</w:t>
      </w:r>
      <w:r w:rsidRPr="00850B83">
        <w:rPr>
          <w:sz w:val="20"/>
          <w:szCs w:val="20"/>
        </w:rPr>
        <w:t xml:space="preserve">: </w:t>
      </w:r>
      <w:r w:rsidRPr="009F5620">
        <w:rPr>
          <w:sz w:val="20"/>
          <w:szCs w:val="20"/>
        </w:rPr>
        <w:t>The null hypothesis is no cointegration</w:t>
      </w:r>
      <w:r>
        <w:rPr>
          <w:sz w:val="20"/>
          <w:szCs w:val="20"/>
        </w:rPr>
        <w:t>.</w:t>
      </w:r>
    </w:p>
    <w:p w:rsidR="009F5620" w:rsidRPr="00073E09" w:rsidRDefault="009F5620" w:rsidP="009F5620">
      <w:pPr>
        <w:shd w:val="clear" w:color="auto" w:fill="FFFFFF"/>
        <w:tabs>
          <w:tab w:val="left" w:pos="3817"/>
        </w:tabs>
        <w:jc w:val="both"/>
        <w:rPr>
          <w:sz w:val="20"/>
          <w:szCs w:val="20"/>
        </w:rPr>
      </w:pPr>
    </w:p>
    <w:p w:rsidR="009C63AC" w:rsidRDefault="009C63AC" w:rsidP="009C63AC">
      <w:pPr>
        <w:jc w:val="both"/>
      </w:pPr>
      <w:r>
        <w:t>Both the (</w:t>
      </w:r>
      <w:r w:rsidRPr="0096777A">
        <w:rPr>
          <w:i/>
        </w:rPr>
        <w:t>DHg</w:t>
      </w:r>
      <w:r>
        <w:t>) and (</w:t>
      </w:r>
      <w:r w:rsidRPr="0096777A">
        <w:rPr>
          <w:i/>
        </w:rPr>
        <w:t>DHp</w:t>
      </w:r>
      <w:r>
        <w:t>) tests can not reject the null hypothesis of no-cointegration. Therefore, we conclude that there is no co-integration relationship between the variables.</w:t>
      </w:r>
    </w:p>
    <w:p w:rsidR="0096777A" w:rsidRDefault="0096777A" w:rsidP="009C63AC">
      <w:pPr>
        <w:jc w:val="both"/>
      </w:pPr>
    </w:p>
    <w:p w:rsidR="009C63AC" w:rsidRPr="0096777A" w:rsidRDefault="009C63AC" w:rsidP="009C63AC">
      <w:pPr>
        <w:jc w:val="both"/>
        <w:rPr>
          <w:b/>
        </w:rPr>
      </w:pPr>
      <w:r w:rsidRPr="0096777A">
        <w:rPr>
          <w:b/>
        </w:rPr>
        <w:t>3.4.</w:t>
      </w:r>
      <w:r w:rsidR="0096777A" w:rsidRPr="0096777A">
        <w:rPr>
          <w:b/>
        </w:rPr>
        <w:t xml:space="preserve"> PVAR Model</w:t>
      </w:r>
    </w:p>
    <w:p w:rsidR="0096777A" w:rsidRDefault="0096777A" w:rsidP="009C63AC">
      <w:pPr>
        <w:jc w:val="both"/>
      </w:pPr>
    </w:p>
    <w:p w:rsidR="009C63AC" w:rsidRDefault="009C63AC" w:rsidP="009C63AC">
      <w:pPr>
        <w:jc w:val="both"/>
      </w:pPr>
      <w:r>
        <w:t xml:space="preserve">In order to analyze the short run effects of global liquidity on the major macroeconomic variables, we run four models using different measures of global </w:t>
      </w:r>
      <w:r w:rsidR="00C5435E">
        <w:t>liquidity</w:t>
      </w:r>
      <w:r>
        <w:t>. The first model employs the monetary aggregate constructed as a measure of global liquidity. The second and third models use international bank claims and the sum of bank loans to non-residents and international debt securities, respectively, as global liquidity measures. Finally, the fourth model uses global liquidity variable based</w:t>
      </w:r>
      <w:r w:rsidR="00C5435E">
        <w:t xml:space="preserve"> on central bank monetary base.</w:t>
      </w:r>
    </w:p>
    <w:p w:rsidR="00C5435E" w:rsidRDefault="00C5435E" w:rsidP="009C63AC">
      <w:pPr>
        <w:jc w:val="both"/>
      </w:pPr>
    </w:p>
    <w:p w:rsidR="009C63AC" w:rsidRDefault="009C63AC" w:rsidP="009C63AC">
      <w:pPr>
        <w:jc w:val="both"/>
      </w:pPr>
      <w:r>
        <w:t xml:space="preserve">Figure </w:t>
      </w:r>
      <w:r w:rsidR="00C5435E">
        <w:t>3.</w:t>
      </w:r>
      <w:r>
        <w:t>1 exhibits impulse response functions derived from the estimated panel VAR models. Impulse response from the first model that employs monetary aggregate as a proxy of global liquidity shows that a shock to global liquidity lowers government bond interest rate in the short run but has no significant effect on output, inflation and real exchange rate. Results from the second model imply that global liquidity has a slight positive impact on output and inflation. In addition, global liquidity leads to the appreciation of real exchange rate and has a mixed effect on interest rate in the short term. Third model that uses the sum of bank loans to non-residents and international debt securities as a proxy for global liquidity demonstrates that a shock to global liquidity has a significant positive effect on output while the impact on other variables is insignificant. Finally, according to the results from the fourth model that uses monetary base as a proxy of global liquidity, a surge in global liquidity lowers government bond yields and has no significant impact on output, inflation and real exchange rate.</w:t>
      </w:r>
    </w:p>
    <w:p w:rsidR="009C63AC" w:rsidRDefault="009C63AC" w:rsidP="009C63AC">
      <w:pPr>
        <w:jc w:val="both"/>
      </w:pPr>
    </w:p>
    <w:p w:rsidR="00C5435E" w:rsidRPr="004D5E2D" w:rsidRDefault="00C5435E" w:rsidP="00C5435E">
      <w:pPr>
        <w:pStyle w:val="Balk"/>
        <w:spacing w:before="0" w:line="240" w:lineRule="auto"/>
        <w:ind w:left="0" w:firstLine="0"/>
        <w:rPr>
          <w:rFonts w:ascii="Times New Roman" w:hAnsi="Times New Roman"/>
          <w:sz w:val="20"/>
        </w:rPr>
      </w:pPr>
      <w:r w:rsidRPr="004D5E2D">
        <w:rPr>
          <w:rFonts w:ascii="Times New Roman" w:hAnsi="Times New Roman"/>
          <w:sz w:val="20"/>
        </w:rPr>
        <w:t xml:space="preserve">Figure </w:t>
      </w:r>
      <w:r>
        <w:rPr>
          <w:rFonts w:ascii="Times New Roman" w:hAnsi="Times New Roman"/>
          <w:sz w:val="20"/>
        </w:rPr>
        <w:t>3</w:t>
      </w:r>
      <w:r w:rsidRPr="004D5E2D">
        <w:rPr>
          <w:rFonts w:ascii="Times New Roman" w:hAnsi="Times New Roman"/>
          <w:sz w:val="20"/>
        </w:rPr>
        <w:t>.1</w:t>
      </w:r>
      <w:r w:rsidRPr="004D5E2D">
        <w:rPr>
          <w:rFonts w:ascii="Times New Roman" w:hAnsi="Times New Roman"/>
          <w:b w:val="0"/>
          <w:bCs/>
          <w:sz w:val="20"/>
        </w:rPr>
        <w:t xml:space="preserve"> </w:t>
      </w:r>
      <w:r w:rsidRPr="00C5435E">
        <w:rPr>
          <w:rFonts w:ascii="Times New Roman" w:hAnsi="Times New Roman"/>
          <w:b w:val="0"/>
          <w:bCs/>
          <w:sz w:val="20"/>
        </w:rPr>
        <w:t>Impulse-responses to a Global Liquidity Shock</w:t>
      </w:r>
      <w:r>
        <w:rPr>
          <w:rFonts w:ascii="Times New Roman" w:hAnsi="Times New Roman"/>
          <w:b w:val="0"/>
          <w:bCs/>
          <w:sz w:val="20"/>
        </w:rPr>
        <w:t>.</w:t>
      </w:r>
      <w:r w:rsidRPr="004D5E2D">
        <w:rPr>
          <w:rFonts w:ascii="Times New Roman" w:hAnsi="Times New Roman"/>
          <w:sz w:val="20"/>
        </w:rPr>
        <w:t xml:space="preserve"> </w:t>
      </w:r>
    </w:p>
    <w:p w:rsidR="00C5435E" w:rsidRPr="00C230DE" w:rsidRDefault="00C5435E" w:rsidP="00C5435E">
      <w:pPr>
        <w:jc w:val="center"/>
        <w:rPr>
          <w:b/>
          <w:sz w:val="21"/>
          <w:szCs w:val="21"/>
        </w:rPr>
      </w:pPr>
      <w:r w:rsidRPr="00C230DE">
        <w:rPr>
          <w:b/>
          <w:noProof/>
          <w:sz w:val="21"/>
          <w:szCs w:val="21"/>
          <w:lang w:val="tr-TR" w:eastAsia="tr-TR"/>
        </w:rPr>
        <w:drawing>
          <wp:inline distT="0" distB="0" distL="0" distR="0">
            <wp:extent cx="2846717" cy="100929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5762" cy="1012497"/>
                    </a:xfrm>
                    <a:prstGeom prst="rect">
                      <a:avLst/>
                    </a:prstGeom>
                    <a:noFill/>
                    <a:ln>
                      <a:noFill/>
                    </a:ln>
                  </pic:spPr>
                </pic:pic>
              </a:graphicData>
            </a:graphic>
          </wp:inline>
        </w:drawing>
      </w:r>
      <w:r w:rsidRPr="00C230DE">
        <w:rPr>
          <w:b/>
          <w:noProof/>
          <w:sz w:val="21"/>
          <w:szCs w:val="21"/>
          <w:lang w:val="tr-TR" w:eastAsia="tr-TR"/>
        </w:rPr>
        <w:drawing>
          <wp:inline distT="0" distB="0" distL="0" distR="0">
            <wp:extent cx="2846717" cy="1009290"/>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9243" cy="1013731"/>
                    </a:xfrm>
                    <a:prstGeom prst="rect">
                      <a:avLst/>
                    </a:prstGeom>
                    <a:noFill/>
                    <a:ln>
                      <a:noFill/>
                    </a:ln>
                  </pic:spPr>
                </pic:pic>
              </a:graphicData>
            </a:graphic>
          </wp:inline>
        </w:drawing>
      </w:r>
    </w:p>
    <w:p w:rsidR="00C5435E" w:rsidRPr="00C230DE" w:rsidRDefault="00C5435E" w:rsidP="00C5435E">
      <w:pPr>
        <w:jc w:val="center"/>
        <w:rPr>
          <w:sz w:val="21"/>
          <w:szCs w:val="21"/>
        </w:rPr>
      </w:pPr>
      <w:r w:rsidRPr="00C230DE">
        <w:rPr>
          <w:noProof/>
          <w:sz w:val="21"/>
          <w:szCs w:val="21"/>
          <w:lang w:val="tr-TR" w:eastAsia="tr-TR"/>
        </w:rPr>
        <w:drawing>
          <wp:inline distT="0" distB="0" distL="0" distR="0">
            <wp:extent cx="2840330" cy="930676"/>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4413" cy="932014"/>
                    </a:xfrm>
                    <a:prstGeom prst="rect">
                      <a:avLst/>
                    </a:prstGeom>
                    <a:noFill/>
                    <a:ln>
                      <a:noFill/>
                    </a:ln>
                  </pic:spPr>
                </pic:pic>
              </a:graphicData>
            </a:graphic>
          </wp:inline>
        </w:drawing>
      </w:r>
      <w:r w:rsidRPr="00C230DE">
        <w:rPr>
          <w:noProof/>
          <w:sz w:val="21"/>
          <w:szCs w:val="21"/>
          <w:lang w:val="tr-TR" w:eastAsia="tr-TR"/>
        </w:rPr>
        <w:drawing>
          <wp:inline distT="0" distB="0" distL="0" distR="0">
            <wp:extent cx="2863970" cy="929381"/>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0757" cy="931583"/>
                    </a:xfrm>
                    <a:prstGeom prst="rect">
                      <a:avLst/>
                    </a:prstGeom>
                    <a:noFill/>
                    <a:ln>
                      <a:noFill/>
                    </a:ln>
                  </pic:spPr>
                </pic:pic>
              </a:graphicData>
            </a:graphic>
          </wp:inline>
        </w:drawing>
      </w:r>
    </w:p>
    <w:p w:rsidR="00C5435E" w:rsidRPr="00C230DE" w:rsidRDefault="00C5435E" w:rsidP="00C5435E">
      <w:pPr>
        <w:jc w:val="center"/>
        <w:rPr>
          <w:sz w:val="21"/>
          <w:szCs w:val="21"/>
        </w:rPr>
      </w:pPr>
      <w:r w:rsidRPr="00C230DE">
        <w:rPr>
          <w:noProof/>
          <w:sz w:val="21"/>
          <w:szCs w:val="21"/>
          <w:lang w:val="tr-TR" w:eastAsia="tr-TR"/>
        </w:rPr>
        <w:drawing>
          <wp:inline distT="0" distB="0" distL="0" distR="0">
            <wp:extent cx="2838090" cy="956242"/>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0367" cy="960378"/>
                    </a:xfrm>
                    <a:prstGeom prst="rect">
                      <a:avLst/>
                    </a:prstGeom>
                    <a:noFill/>
                    <a:ln>
                      <a:noFill/>
                    </a:ln>
                  </pic:spPr>
                </pic:pic>
              </a:graphicData>
            </a:graphic>
          </wp:inline>
        </w:drawing>
      </w:r>
      <w:r w:rsidRPr="00C230DE">
        <w:rPr>
          <w:noProof/>
          <w:sz w:val="21"/>
          <w:szCs w:val="21"/>
          <w:lang w:val="tr-TR" w:eastAsia="tr-TR"/>
        </w:rPr>
        <w:drawing>
          <wp:inline distT="0" distB="0" distL="0" distR="0">
            <wp:extent cx="2846717" cy="95623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0855" cy="957627"/>
                    </a:xfrm>
                    <a:prstGeom prst="rect">
                      <a:avLst/>
                    </a:prstGeom>
                    <a:noFill/>
                    <a:ln>
                      <a:noFill/>
                    </a:ln>
                  </pic:spPr>
                </pic:pic>
              </a:graphicData>
            </a:graphic>
          </wp:inline>
        </w:drawing>
      </w:r>
    </w:p>
    <w:p w:rsidR="00C5435E" w:rsidRPr="00C230DE" w:rsidRDefault="00C5435E" w:rsidP="00C5435E">
      <w:pPr>
        <w:jc w:val="center"/>
        <w:rPr>
          <w:b/>
          <w:sz w:val="21"/>
          <w:szCs w:val="21"/>
        </w:rPr>
      </w:pPr>
      <w:r w:rsidRPr="00C230DE">
        <w:rPr>
          <w:noProof/>
          <w:sz w:val="21"/>
          <w:szCs w:val="21"/>
          <w:lang w:val="tr-TR" w:eastAsia="tr-TR"/>
        </w:rPr>
        <w:drawing>
          <wp:inline distT="0" distB="0" distL="0" distR="0">
            <wp:extent cx="2887834" cy="966158"/>
            <wp:effectExtent l="0" t="0" r="825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8729" cy="969803"/>
                    </a:xfrm>
                    <a:prstGeom prst="rect">
                      <a:avLst/>
                    </a:prstGeom>
                    <a:noFill/>
                    <a:ln>
                      <a:noFill/>
                    </a:ln>
                  </pic:spPr>
                </pic:pic>
              </a:graphicData>
            </a:graphic>
          </wp:inline>
        </w:drawing>
      </w:r>
      <w:r w:rsidRPr="00C230DE">
        <w:rPr>
          <w:noProof/>
          <w:sz w:val="21"/>
          <w:szCs w:val="21"/>
          <w:lang w:val="tr-TR" w:eastAsia="tr-TR"/>
        </w:rPr>
        <w:drawing>
          <wp:inline distT="0" distB="0" distL="0" distR="0">
            <wp:extent cx="2769079" cy="966158"/>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74963" cy="968211"/>
                    </a:xfrm>
                    <a:prstGeom prst="rect">
                      <a:avLst/>
                    </a:prstGeom>
                    <a:noFill/>
                    <a:ln>
                      <a:noFill/>
                    </a:ln>
                  </pic:spPr>
                </pic:pic>
              </a:graphicData>
            </a:graphic>
          </wp:inline>
        </w:drawing>
      </w:r>
    </w:p>
    <w:p w:rsidR="00C5435E" w:rsidRDefault="00C5435E" w:rsidP="009C63AC">
      <w:pPr>
        <w:jc w:val="both"/>
      </w:pPr>
    </w:p>
    <w:p w:rsidR="00C5435E" w:rsidRDefault="00C5435E" w:rsidP="009C63AC">
      <w:pPr>
        <w:jc w:val="both"/>
      </w:pPr>
    </w:p>
    <w:p w:rsidR="00C5435E" w:rsidRDefault="00C5435E" w:rsidP="009C63AC">
      <w:pPr>
        <w:jc w:val="both"/>
      </w:pPr>
      <w:r w:rsidRPr="00C5435E">
        <w:t xml:space="preserve">To assess the importance of changes in one variable in explaining changes in other variables, we perform a variance decomposition analysis. Table </w:t>
      </w:r>
      <w:r>
        <w:t>3.</w:t>
      </w:r>
      <w:r w:rsidRPr="00C5435E">
        <w:t>6 below reports the results of the variance decomposition analysis. These results show that except for the third model, global liquidity explains only a small percentage of the variation in GDP. Similarly, percentage of the variation in inflation and real exchange rate explained by global liquidity is also low. On the other hand, percentage of the variation in government bond yield explained by global liquidity is relatively higher. We see that as much as 10 percent of the variation in interest rates can be explained by global liquidity.</w:t>
      </w:r>
    </w:p>
    <w:p w:rsidR="00C5435E" w:rsidRDefault="00C5435E" w:rsidP="009C63AC">
      <w:pPr>
        <w:jc w:val="both"/>
      </w:pPr>
    </w:p>
    <w:tbl>
      <w:tblPr>
        <w:tblW w:w="6320" w:type="dxa"/>
        <w:jc w:val="center"/>
        <w:tblBorders>
          <w:top w:val="double" w:sz="4" w:space="0" w:color="auto"/>
          <w:bottom w:val="double" w:sz="4" w:space="0" w:color="auto"/>
        </w:tblBorders>
        <w:tblCellMar>
          <w:left w:w="70" w:type="dxa"/>
          <w:right w:w="70" w:type="dxa"/>
        </w:tblCellMar>
        <w:tblLook w:val="04A0"/>
      </w:tblPr>
      <w:tblGrid>
        <w:gridCol w:w="1120"/>
        <w:gridCol w:w="1300"/>
        <w:gridCol w:w="1300"/>
        <w:gridCol w:w="1300"/>
        <w:gridCol w:w="1300"/>
      </w:tblGrid>
      <w:tr w:rsidR="00C5435E" w:rsidRPr="00EE61E2" w:rsidTr="00C5435E">
        <w:trPr>
          <w:trHeight w:val="375"/>
          <w:jc w:val="center"/>
        </w:trPr>
        <w:tc>
          <w:tcPr>
            <w:tcW w:w="1120" w:type="dxa"/>
            <w:tcBorders>
              <w:bottom w:val="single" w:sz="4" w:space="0" w:color="auto"/>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 </w:t>
            </w:r>
          </w:p>
        </w:tc>
        <w:tc>
          <w:tcPr>
            <w:tcW w:w="1300" w:type="dxa"/>
            <w:tcBorders>
              <w:bottom w:val="single" w:sz="4" w:space="0" w:color="auto"/>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w:t>
            </w:r>
            <w:r w:rsidRPr="00E21CBC">
              <w:rPr>
                <w:i/>
                <w:color w:val="000000"/>
                <w:sz w:val="20"/>
                <w:szCs w:val="20"/>
                <w:lang w:eastAsia="tr-TR"/>
              </w:rPr>
              <w:t>GL</w:t>
            </w:r>
            <w:r w:rsidRPr="00E21CBC">
              <w:rPr>
                <w:color w:val="000000"/>
                <w:sz w:val="20"/>
                <w:szCs w:val="20"/>
                <w:lang w:eastAsia="tr-TR"/>
              </w:rPr>
              <w:t>1</w:t>
            </w:r>
          </w:p>
        </w:tc>
        <w:tc>
          <w:tcPr>
            <w:tcW w:w="1300" w:type="dxa"/>
            <w:tcBorders>
              <w:bottom w:val="single" w:sz="4" w:space="0" w:color="auto"/>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w:t>
            </w:r>
            <w:r w:rsidRPr="00E21CBC">
              <w:rPr>
                <w:i/>
                <w:color w:val="000000"/>
                <w:sz w:val="20"/>
                <w:szCs w:val="20"/>
                <w:lang w:eastAsia="tr-TR"/>
              </w:rPr>
              <w:t>GL</w:t>
            </w:r>
            <w:r w:rsidRPr="00E21CBC">
              <w:rPr>
                <w:color w:val="000000"/>
                <w:sz w:val="20"/>
                <w:szCs w:val="20"/>
                <w:lang w:eastAsia="tr-TR"/>
              </w:rPr>
              <w:t>2</w:t>
            </w:r>
          </w:p>
        </w:tc>
        <w:tc>
          <w:tcPr>
            <w:tcW w:w="1300" w:type="dxa"/>
            <w:tcBorders>
              <w:bottom w:val="single" w:sz="4" w:space="0" w:color="auto"/>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w:t>
            </w:r>
            <w:r w:rsidRPr="00E21CBC">
              <w:rPr>
                <w:i/>
                <w:color w:val="000000"/>
                <w:sz w:val="20"/>
                <w:szCs w:val="20"/>
                <w:lang w:eastAsia="tr-TR"/>
              </w:rPr>
              <w:t>GL</w:t>
            </w:r>
            <w:r w:rsidRPr="00E21CBC">
              <w:rPr>
                <w:color w:val="000000"/>
                <w:sz w:val="20"/>
                <w:szCs w:val="20"/>
                <w:lang w:eastAsia="tr-TR"/>
              </w:rPr>
              <w:t>3</w:t>
            </w:r>
          </w:p>
        </w:tc>
        <w:tc>
          <w:tcPr>
            <w:tcW w:w="1300" w:type="dxa"/>
            <w:tcBorders>
              <w:bottom w:val="single" w:sz="4" w:space="0" w:color="auto"/>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w:t>
            </w:r>
            <w:r w:rsidRPr="00E21CBC">
              <w:rPr>
                <w:i/>
                <w:color w:val="000000"/>
                <w:sz w:val="20"/>
                <w:szCs w:val="20"/>
                <w:lang w:eastAsia="tr-TR"/>
              </w:rPr>
              <w:t>GL</w:t>
            </w:r>
            <w:r w:rsidRPr="00E21CBC">
              <w:rPr>
                <w:color w:val="000000"/>
                <w:sz w:val="20"/>
                <w:szCs w:val="20"/>
                <w:lang w:eastAsia="tr-TR"/>
              </w:rPr>
              <w:t>4</w:t>
            </w:r>
          </w:p>
        </w:tc>
      </w:tr>
      <w:tr w:rsidR="00C5435E" w:rsidRPr="00EE61E2" w:rsidTr="00C5435E">
        <w:trPr>
          <w:trHeight w:val="420"/>
          <w:jc w:val="center"/>
        </w:trPr>
        <w:tc>
          <w:tcPr>
            <w:tcW w:w="1120" w:type="dxa"/>
            <w:tcBorders>
              <w:top w:val="single" w:sz="4" w:space="0" w:color="auto"/>
              <w:bottom w:val="nil"/>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w:t>
            </w:r>
            <w:r w:rsidRPr="00C5435E">
              <w:rPr>
                <w:i/>
                <w:color w:val="000000"/>
                <w:sz w:val="20"/>
                <w:szCs w:val="20"/>
                <w:lang w:eastAsia="tr-TR"/>
              </w:rPr>
              <w:t>GDP</w:t>
            </w:r>
          </w:p>
        </w:tc>
        <w:tc>
          <w:tcPr>
            <w:tcW w:w="1300" w:type="dxa"/>
            <w:tcBorders>
              <w:top w:val="single" w:sz="4" w:space="0" w:color="auto"/>
              <w:bottom w:val="nil"/>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1.2</w:t>
            </w:r>
          </w:p>
        </w:tc>
        <w:tc>
          <w:tcPr>
            <w:tcW w:w="1300" w:type="dxa"/>
            <w:tcBorders>
              <w:top w:val="single" w:sz="4" w:space="0" w:color="auto"/>
              <w:bottom w:val="nil"/>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1.4</w:t>
            </w:r>
          </w:p>
        </w:tc>
        <w:tc>
          <w:tcPr>
            <w:tcW w:w="1300" w:type="dxa"/>
            <w:tcBorders>
              <w:top w:val="single" w:sz="4" w:space="0" w:color="auto"/>
              <w:bottom w:val="nil"/>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17.6</w:t>
            </w:r>
          </w:p>
        </w:tc>
        <w:tc>
          <w:tcPr>
            <w:tcW w:w="1300" w:type="dxa"/>
            <w:tcBorders>
              <w:top w:val="single" w:sz="4" w:space="0" w:color="auto"/>
              <w:bottom w:val="nil"/>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1.0</w:t>
            </w:r>
          </w:p>
        </w:tc>
      </w:tr>
      <w:tr w:rsidR="00C5435E" w:rsidRPr="00EE61E2" w:rsidTr="00C5435E">
        <w:trPr>
          <w:trHeight w:val="420"/>
          <w:jc w:val="center"/>
        </w:trPr>
        <w:tc>
          <w:tcPr>
            <w:tcW w:w="1120" w:type="dxa"/>
            <w:tcBorders>
              <w:top w:val="nil"/>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w:t>
            </w:r>
            <w:r w:rsidRPr="00C5435E">
              <w:rPr>
                <w:i/>
                <w:color w:val="000000"/>
                <w:sz w:val="20"/>
                <w:szCs w:val="20"/>
                <w:lang w:eastAsia="tr-TR"/>
              </w:rPr>
              <w:t>CPI</w:t>
            </w:r>
          </w:p>
        </w:tc>
        <w:tc>
          <w:tcPr>
            <w:tcW w:w="1300" w:type="dxa"/>
            <w:tcBorders>
              <w:top w:val="nil"/>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1.2</w:t>
            </w:r>
          </w:p>
        </w:tc>
        <w:tc>
          <w:tcPr>
            <w:tcW w:w="1300" w:type="dxa"/>
            <w:tcBorders>
              <w:top w:val="nil"/>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4.1</w:t>
            </w:r>
          </w:p>
        </w:tc>
        <w:tc>
          <w:tcPr>
            <w:tcW w:w="1300" w:type="dxa"/>
            <w:tcBorders>
              <w:top w:val="nil"/>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3.6</w:t>
            </w:r>
          </w:p>
        </w:tc>
        <w:tc>
          <w:tcPr>
            <w:tcW w:w="1300" w:type="dxa"/>
            <w:tcBorders>
              <w:top w:val="nil"/>
            </w:tcBorders>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0.6</w:t>
            </w:r>
          </w:p>
        </w:tc>
      </w:tr>
      <w:tr w:rsidR="00C5435E" w:rsidRPr="00EE61E2" w:rsidTr="00C5435E">
        <w:trPr>
          <w:trHeight w:val="420"/>
          <w:jc w:val="center"/>
        </w:trPr>
        <w:tc>
          <w:tcPr>
            <w:tcW w:w="1120" w:type="dxa"/>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w:t>
            </w:r>
            <w:r w:rsidRPr="00C5435E">
              <w:rPr>
                <w:i/>
                <w:color w:val="000000"/>
                <w:sz w:val="20"/>
                <w:szCs w:val="20"/>
                <w:lang w:eastAsia="tr-TR"/>
              </w:rPr>
              <w:t>IR</w:t>
            </w:r>
          </w:p>
        </w:tc>
        <w:tc>
          <w:tcPr>
            <w:tcW w:w="1300" w:type="dxa"/>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7</w:t>
            </w:r>
          </w:p>
        </w:tc>
        <w:tc>
          <w:tcPr>
            <w:tcW w:w="1300" w:type="dxa"/>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6.3</w:t>
            </w:r>
          </w:p>
        </w:tc>
        <w:tc>
          <w:tcPr>
            <w:tcW w:w="1300" w:type="dxa"/>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1.8</w:t>
            </w:r>
          </w:p>
        </w:tc>
        <w:tc>
          <w:tcPr>
            <w:tcW w:w="1300" w:type="dxa"/>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9.8</w:t>
            </w:r>
          </w:p>
        </w:tc>
      </w:tr>
      <w:tr w:rsidR="00C5435E" w:rsidRPr="00EE61E2" w:rsidTr="00C5435E">
        <w:trPr>
          <w:trHeight w:val="420"/>
          <w:jc w:val="center"/>
        </w:trPr>
        <w:tc>
          <w:tcPr>
            <w:tcW w:w="1120" w:type="dxa"/>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w:t>
            </w:r>
            <w:r w:rsidRPr="00C5435E">
              <w:rPr>
                <w:i/>
                <w:color w:val="000000"/>
                <w:sz w:val="20"/>
                <w:szCs w:val="20"/>
                <w:lang w:eastAsia="tr-TR"/>
              </w:rPr>
              <w:t>RER</w:t>
            </w:r>
          </w:p>
        </w:tc>
        <w:tc>
          <w:tcPr>
            <w:tcW w:w="1300" w:type="dxa"/>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0.6</w:t>
            </w:r>
          </w:p>
        </w:tc>
        <w:tc>
          <w:tcPr>
            <w:tcW w:w="1300" w:type="dxa"/>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2.2</w:t>
            </w:r>
          </w:p>
        </w:tc>
        <w:tc>
          <w:tcPr>
            <w:tcW w:w="1300" w:type="dxa"/>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0.3</w:t>
            </w:r>
          </w:p>
        </w:tc>
        <w:tc>
          <w:tcPr>
            <w:tcW w:w="1300" w:type="dxa"/>
            <w:shd w:val="clear" w:color="auto" w:fill="auto"/>
            <w:noWrap/>
            <w:vAlign w:val="center"/>
            <w:hideMark/>
          </w:tcPr>
          <w:p w:rsidR="00C5435E" w:rsidRPr="00EE61E2" w:rsidRDefault="00C5435E" w:rsidP="00CB4988">
            <w:pPr>
              <w:jc w:val="center"/>
              <w:rPr>
                <w:color w:val="000000"/>
                <w:sz w:val="20"/>
                <w:szCs w:val="20"/>
                <w:lang w:eastAsia="tr-TR"/>
              </w:rPr>
            </w:pPr>
            <w:r w:rsidRPr="00EE61E2">
              <w:rPr>
                <w:color w:val="000000"/>
                <w:sz w:val="20"/>
                <w:szCs w:val="20"/>
                <w:lang w:eastAsia="tr-TR"/>
              </w:rPr>
              <w:t>0.1</w:t>
            </w:r>
          </w:p>
        </w:tc>
      </w:tr>
    </w:tbl>
    <w:p w:rsidR="00C5435E" w:rsidRDefault="00C5435E" w:rsidP="00C5435E">
      <w:pPr>
        <w:shd w:val="clear" w:color="auto" w:fill="FFFFFF"/>
        <w:jc w:val="both"/>
        <w:rPr>
          <w:sz w:val="20"/>
          <w:szCs w:val="20"/>
        </w:rPr>
      </w:pPr>
      <w:r w:rsidRPr="00850B83">
        <w:rPr>
          <w:b/>
          <w:sz w:val="20"/>
          <w:szCs w:val="20"/>
        </w:rPr>
        <w:t xml:space="preserve">Table </w:t>
      </w:r>
      <w:r>
        <w:rPr>
          <w:b/>
          <w:sz w:val="20"/>
          <w:szCs w:val="20"/>
        </w:rPr>
        <w:t>3.6</w:t>
      </w:r>
      <w:r w:rsidRPr="00073E09">
        <w:rPr>
          <w:sz w:val="20"/>
          <w:szCs w:val="20"/>
        </w:rPr>
        <w:t xml:space="preserve"> </w:t>
      </w:r>
      <w:r w:rsidRPr="00C5435E">
        <w:rPr>
          <w:sz w:val="20"/>
          <w:szCs w:val="20"/>
        </w:rPr>
        <w:t xml:space="preserve">Variance </w:t>
      </w:r>
      <w:r>
        <w:rPr>
          <w:sz w:val="20"/>
          <w:szCs w:val="20"/>
        </w:rPr>
        <w:t>D</w:t>
      </w:r>
      <w:r w:rsidRPr="00C5435E">
        <w:rPr>
          <w:sz w:val="20"/>
          <w:szCs w:val="20"/>
        </w:rPr>
        <w:t>ecompositions</w:t>
      </w:r>
      <w:r w:rsidRPr="00073E09">
        <w:rPr>
          <w:sz w:val="20"/>
          <w:szCs w:val="20"/>
        </w:rPr>
        <w:t>.</w:t>
      </w:r>
    </w:p>
    <w:p w:rsidR="00C5435E" w:rsidRDefault="00C5435E" w:rsidP="00C5435E">
      <w:pPr>
        <w:shd w:val="clear" w:color="auto" w:fill="FFFFFF"/>
        <w:tabs>
          <w:tab w:val="left" w:pos="3817"/>
        </w:tabs>
        <w:jc w:val="both"/>
        <w:rPr>
          <w:sz w:val="20"/>
          <w:szCs w:val="20"/>
        </w:rPr>
      </w:pPr>
      <w:r w:rsidRPr="00850B83">
        <w:rPr>
          <w:i/>
          <w:sz w:val="20"/>
          <w:szCs w:val="20"/>
        </w:rPr>
        <w:t>Notes</w:t>
      </w:r>
      <w:r w:rsidRPr="00850B83">
        <w:rPr>
          <w:sz w:val="20"/>
          <w:szCs w:val="20"/>
        </w:rPr>
        <w:t xml:space="preserve">: </w:t>
      </w:r>
      <w:r>
        <w:rPr>
          <w:sz w:val="20"/>
          <w:szCs w:val="20"/>
        </w:rPr>
        <w:t>P</w:t>
      </w:r>
      <w:r w:rsidRPr="00C5435E">
        <w:rPr>
          <w:sz w:val="20"/>
          <w:szCs w:val="20"/>
        </w:rPr>
        <w:t>ercentage of variation of the row variable explained by the column variable, in percent, 4 quarters ahead</w:t>
      </w:r>
      <w:r>
        <w:rPr>
          <w:sz w:val="20"/>
          <w:szCs w:val="20"/>
        </w:rPr>
        <w:t>.</w:t>
      </w:r>
    </w:p>
    <w:p w:rsidR="00C5435E" w:rsidRDefault="00C5435E" w:rsidP="009C63AC">
      <w:pPr>
        <w:jc w:val="both"/>
      </w:pPr>
    </w:p>
    <w:p w:rsidR="00C53B76" w:rsidRDefault="00C53B76" w:rsidP="009C63AC">
      <w:pPr>
        <w:jc w:val="both"/>
      </w:pPr>
      <w:r w:rsidRPr="00C53B76">
        <w:t>Our major findings are robust to the alternative specifications of the panel VAR model. These include the ordering of the variables and the number of lags (2 to 4 lags are estimated). As another test of robustness, we also substitute central bank policy interest rate for government bond yield. Results are similar and can be provided upon request.</w:t>
      </w:r>
      <w:r w:rsidR="004624E7">
        <w:t xml:space="preserve"> </w:t>
      </w:r>
    </w:p>
    <w:p w:rsidR="00C53B76" w:rsidRDefault="00C53B76" w:rsidP="009C63AC">
      <w:pPr>
        <w:jc w:val="both"/>
      </w:pPr>
    </w:p>
    <w:p w:rsidR="00C53B76" w:rsidRDefault="00C53B76" w:rsidP="00C53B76">
      <w:pPr>
        <w:jc w:val="both"/>
        <w:rPr>
          <w:b/>
          <w:bCs/>
          <w:color w:val="000000"/>
          <w:lang w:val="en-GB"/>
        </w:rPr>
      </w:pPr>
      <w:r>
        <w:rPr>
          <w:b/>
          <w:bCs/>
          <w:color w:val="000000"/>
          <w:lang w:val="en-GB"/>
        </w:rPr>
        <w:t>4.</w:t>
      </w:r>
      <w:r w:rsidR="004624E7">
        <w:rPr>
          <w:b/>
          <w:bCs/>
          <w:color w:val="000000"/>
          <w:lang w:val="en-GB"/>
        </w:rPr>
        <w:t xml:space="preserve"> </w:t>
      </w:r>
      <w:r w:rsidRPr="00C53B76">
        <w:rPr>
          <w:b/>
          <w:bCs/>
          <w:color w:val="000000"/>
          <w:lang w:val="en-GB"/>
        </w:rPr>
        <w:t>CONCLUSION</w:t>
      </w:r>
    </w:p>
    <w:p w:rsidR="00C53B76" w:rsidRDefault="00C53B76" w:rsidP="009C63AC">
      <w:pPr>
        <w:jc w:val="both"/>
      </w:pPr>
    </w:p>
    <w:p w:rsidR="00C53B76" w:rsidRDefault="00C53B76" w:rsidP="00C53B76">
      <w:pPr>
        <w:jc w:val="both"/>
      </w:pPr>
      <w:r>
        <w:t>This paper aims to analyze the effects of global liquidity shock on main macroeconomic variables in G-7 countries. To that end, we first investigate the properties of our data and find out that there is a cross sectional dependence among the series. Therefore, we employ second generation unit root and cointegration tests that show the variables are non-stationary and no long run relationship exists among the variables. Then, we analyze the short run effects of global liquidity on main macroeconomic variables of G-7 countries by employing four different panel VAR models that use four different measures of global liquidity. Impulse response analysis results imply that global liquidity expansion lowers government bond yield and has limited impact on output, inflation and real exchange rate in the short run. According to variance decomposition analysis, global liquidity explains the highest percentage of the variation for government bond interest rate among our variables.</w:t>
      </w:r>
    </w:p>
    <w:p w:rsidR="00C53B76" w:rsidRDefault="00C53B76" w:rsidP="00C53B76">
      <w:pPr>
        <w:jc w:val="both"/>
      </w:pPr>
    </w:p>
    <w:p w:rsidR="00C53B76" w:rsidRDefault="00C53B76" w:rsidP="00C53B76">
      <w:pPr>
        <w:jc w:val="both"/>
      </w:pPr>
      <w:r>
        <w:t>Our study contributes to the existing literature from several aspects. Firstly, we enlarge the set of global liquidity measures and this allows us to compare the results of the models using different measures of global liquidity. Secondly, to the best of our knowledge, this is the first empirical study that uses panel VAR model to analyze the macroeconomic effects of global liquidity on G-7 countries. Thirdly, differently from the other studies in the literature, we employ the most recent panel data techniques and tests for cross sectional dependence, unit root and cointegration. Second generation unit root and cointegration tests are used that take cross sectional dependence into account. Fourthly, our study investigates both short and long run impact of global liquidity on major economic variables. Finally, our study also provides valuable policy implications for policymakers. Our findings imply that global liquidity expansion lowers interest rates but has limited effect on output and inflation. Therefore, existing expansionary policies of advanced country central banks to support economic activity and inflation must be taken with caution.</w:t>
      </w:r>
    </w:p>
    <w:p w:rsidR="00C53B76" w:rsidRDefault="00C53B76" w:rsidP="00C53B76">
      <w:pPr>
        <w:jc w:val="both"/>
      </w:pPr>
    </w:p>
    <w:p w:rsidR="00C53B76" w:rsidRDefault="00C53B76" w:rsidP="00C53B76">
      <w:pPr>
        <w:jc w:val="both"/>
      </w:pPr>
      <w:r>
        <w:t>This paper suggests that there is still room and need to study the effects of global liquidity on macroeconomic variables. There are still many questions that can not be answered by the existing literature. In this manner, further studies might aim to analyze the impact of global liquidity on emerging market economies and some other empirical methods might be employed.</w:t>
      </w:r>
    </w:p>
    <w:p w:rsidR="00C53B76" w:rsidRDefault="00C53B76" w:rsidP="00C53B76">
      <w:pPr>
        <w:jc w:val="both"/>
      </w:pPr>
    </w:p>
    <w:p w:rsidR="005E19CF" w:rsidRPr="004624E7" w:rsidRDefault="005E19CF">
      <w:pPr>
        <w:jc w:val="both"/>
        <w:rPr>
          <w:b/>
          <w:bCs/>
        </w:rPr>
      </w:pPr>
      <w:r w:rsidRPr="004624E7">
        <w:rPr>
          <w:b/>
          <w:bCs/>
        </w:rPr>
        <w:t>REFERENCES</w:t>
      </w:r>
    </w:p>
    <w:p w:rsidR="005E19CF" w:rsidRPr="004624E7" w:rsidRDefault="005E19CF">
      <w:pPr>
        <w:ind w:left="540" w:hanging="540"/>
        <w:jc w:val="both"/>
      </w:pPr>
    </w:p>
    <w:p w:rsidR="00CB4988" w:rsidRPr="004624E7" w:rsidRDefault="00575049" w:rsidP="00CB4988">
      <w:pPr>
        <w:ind w:left="540" w:hanging="540"/>
        <w:jc w:val="both"/>
        <w:rPr>
          <w:lang w:eastAsia="ko-KR"/>
        </w:rPr>
      </w:pPr>
      <w:r>
        <w:rPr>
          <w:lang w:eastAsia="ko-KR"/>
        </w:rPr>
        <w:t>Abrigo, M.</w:t>
      </w:r>
      <w:r w:rsidR="00CB4988" w:rsidRPr="004624E7">
        <w:rPr>
          <w:lang w:eastAsia="ko-KR"/>
        </w:rPr>
        <w:t xml:space="preserve">R. and I. Love, (2015). Estimation of panel vector autoregression in Stata: A package of programs. </w:t>
      </w:r>
      <w:r w:rsidR="004624E7" w:rsidRPr="004624E7">
        <w:t xml:space="preserve">In </w:t>
      </w:r>
      <w:r w:rsidR="00CB4988" w:rsidRPr="004624E7">
        <w:rPr>
          <w:i/>
          <w:lang w:eastAsia="ko-KR"/>
        </w:rPr>
        <w:t>Panel Data Conference</w:t>
      </w:r>
      <w:r w:rsidR="00CB4988" w:rsidRPr="004624E7">
        <w:rPr>
          <w:lang w:eastAsia="ko-KR"/>
        </w:rPr>
        <w:t>.</w:t>
      </w:r>
      <w:r w:rsidR="004624E7" w:rsidRPr="004624E7">
        <w:rPr>
          <w:lang w:eastAsia="ko-KR"/>
        </w:rPr>
        <w:t xml:space="preserve"> </w:t>
      </w:r>
      <w:hyperlink w:history="1">
        <w:r w:rsidR="004624E7" w:rsidRPr="004624E7">
          <w:rPr>
            <w:rStyle w:val="Kpr"/>
            <w:lang w:eastAsia="ko-KR"/>
          </w:rPr>
          <w:t>http://paneldataconference2015.ceu. hu/Program/Michael-Abrigo.pdf</w:t>
        </w:r>
      </w:hyperlink>
      <w:r w:rsidR="004624E7" w:rsidRPr="004624E7">
        <w:rPr>
          <w:lang w:eastAsia="ko-KR"/>
        </w:rPr>
        <w:t>.</w:t>
      </w:r>
    </w:p>
    <w:p w:rsidR="00CB4988" w:rsidRPr="004624E7" w:rsidRDefault="00CB4988" w:rsidP="00CB4988">
      <w:pPr>
        <w:ind w:left="540" w:hanging="540"/>
        <w:jc w:val="both"/>
        <w:rPr>
          <w:lang w:eastAsia="ko-KR"/>
        </w:rPr>
      </w:pPr>
    </w:p>
    <w:p w:rsidR="00CB4988" w:rsidRPr="004624E7" w:rsidRDefault="00CB4988" w:rsidP="00CB4988">
      <w:pPr>
        <w:ind w:left="540" w:hanging="540"/>
        <w:jc w:val="both"/>
        <w:rPr>
          <w:lang w:eastAsia="ko-KR"/>
        </w:rPr>
      </w:pPr>
      <w:r w:rsidRPr="004624E7">
        <w:rPr>
          <w:lang w:eastAsia="ko-KR"/>
        </w:rPr>
        <w:t xml:space="preserve">Arellano, M. and O. Bover (1995). Another look at the instrumental variable estimation of error-components models. </w:t>
      </w:r>
      <w:r w:rsidRPr="004624E7">
        <w:rPr>
          <w:i/>
          <w:lang w:eastAsia="ko-KR"/>
        </w:rPr>
        <w:t>Journal of Econometrics</w:t>
      </w:r>
      <w:r w:rsidRPr="004624E7">
        <w:rPr>
          <w:lang w:eastAsia="ko-KR"/>
        </w:rPr>
        <w:t>, 68</w:t>
      </w:r>
      <w:r w:rsidR="004624E7">
        <w:rPr>
          <w:lang w:eastAsia="ko-KR"/>
        </w:rPr>
        <w:t xml:space="preserve"> </w:t>
      </w:r>
      <w:r w:rsidRPr="004624E7">
        <w:rPr>
          <w:lang w:eastAsia="ko-KR"/>
        </w:rPr>
        <w:t>(1), 29-51.</w:t>
      </w:r>
    </w:p>
    <w:p w:rsidR="004624E7" w:rsidRPr="004624E7" w:rsidRDefault="004624E7"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Baks, K. and C. Kramer (1999). Global Liquidity and Asset Prices: Measurement, Implications, and Spillovers. </w:t>
      </w:r>
      <w:r w:rsidRPr="004624E7">
        <w:rPr>
          <w:i/>
          <w:lang w:eastAsia="ko-KR"/>
        </w:rPr>
        <w:t>IMF Working Paper</w:t>
      </w:r>
      <w:r w:rsidRPr="004624E7">
        <w:rPr>
          <w:lang w:eastAsia="ko-KR"/>
        </w:rPr>
        <w:t>, No. 99/168.</w:t>
      </w:r>
    </w:p>
    <w:p w:rsidR="004624E7" w:rsidRPr="004624E7" w:rsidRDefault="004624E7"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Beckmann, J., </w:t>
      </w:r>
      <w:r w:rsidR="004624E7" w:rsidRPr="004624E7">
        <w:rPr>
          <w:lang w:eastAsia="ko-KR"/>
        </w:rPr>
        <w:t xml:space="preserve">A. </w:t>
      </w:r>
      <w:r w:rsidR="004624E7">
        <w:rPr>
          <w:lang w:eastAsia="ko-KR"/>
        </w:rPr>
        <w:t>Belke</w:t>
      </w:r>
      <w:r w:rsidRPr="004624E7">
        <w:rPr>
          <w:lang w:eastAsia="ko-KR"/>
        </w:rPr>
        <w:t xml:space="preserve"> and</w:t>
      </w:r>
      <w:r w:rsidR="004624E7">
        <w:rPr>
          <w:lang w:eastAsia="ko-KR"/>
        </w:rPr>
        <w:t xml:space="preserve"> </w:t>
      </w:r>
      <w:r w:rsidRPr="004624E7">
        <w:rPr>
          <w:lang w:eastAsia="ko-KR"/>
        </w:rPr>
        <w:t xml:space="preserve">R. Czudaj (2014). Does global liquidity drive commodity prices? </w:t>
      </w:r>
      <w:r w:rsidRPr="004624E7">
        <w:rPr>
          <w:i/>
          <w:lang w:eastAsia="ko-KR"/>
        </w:rPr>
        <w:t>Journal of Banking &amp; Finance</w:t>
      </w:r>
      <w:r w:rsidRPr="004624E7">
        <w:rPr>
          <w:lang w:eastAsia="ko-KR"/>
        </w:rPr>
        <w:t>, 48, 224–234.</w:t>
      </w:r>
    </w:p>
    <w:p w:rsidR="004624E7" w:rsidRPr="004624E7" w:rsidRDefault="004624E7"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Belke, A., </w:t>
      </w:r>
      <w:r w:rsidR="00575049" w:rsidRPr="004624E7">
        <w:rPr>
          <w:lang w:eastAsia="ko-KR"/>
        </w:rPr>
        <w:t xml:space="preserve">I.G. </w:t>
      </w:r>
      <w:r w:rsidR="00575049">
        <w:rPr>
          <w:lang w:eastAsia="ko-KR"/>
        </w:rPr>
        <w:t>Bordon</w:t>
      </w:r>
      <w:r w:rsidRPr="004624E7">
        <w:rPr>
          <w:lang w:eastAsia="ko-KR"/>
        </w:rPr>
        <w:t xml:space="preserve"> and T.W. Hendricks (2010</w:t>
      </w:r>
      <w:r w:rsidR="00954094">
        <w:rPr>
          <w:lang w:eastAsia="ko-KR"/>
        </w:rPr>
        <w:t>a</w:t>
      </w:r>
      <w:r w:rsidRPr="004624E7">
        <w:rPr>
          <w:lang w:eastAsia="ko-KR"/>
        </w:rPr>
        <w:t xml:space="preserve">). Global liquidity and commodity prices–a cointegrated VAR approach for OECD countries. </w:t>
      </w:r>
      <w:r w:rsidRPr="00575049">
        <w:rPr>
          <w:i/>
          <w:lang w:eastAsia="ko-KR"/>
        </w:rPr>
        <w:t>Applied Financial Economics</w:t>
      </w:r>
      <w:r w:rsidRPr="004624E7">
        <w:rPr>
          <w:lang w:eastAsia="ko-KR"/>
        </w:rPr>
        <w:t>, 20</w:t>
      </w:r>
      <w:r w:rsidR="00575049">
        <w:rPr>
          <w:lang w:eastAsia="ko-KR"/>
        </w:rPr>
        <w:t xml:space="preserve"> (3)</w:t>
      </w:r>
      <w:r w:rsidRPr="004624E7">
        <w:rPr>
          <w:lang w:eastAsia="ko-KR"/>
        </w:rPr>
        <w:t>, 227-242.</w:t>
      </w:r>
    </w:p>
    <w:p w:rsidR="00575049" w:rsidRPr="004624E7" w:rsidRDefault="00575049"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Belke, A., </w:t>
      </w:r>
      <w:r w:rsidR="00575049" w:rsidRPr="004624E7">
        <w:rPr>
          <w:lang w:eastAsia="ko-KR"/>
        </w:rPr>
        <w:t xml:space="preserve">W. </w:t>
      </w:r>
      <w:r w:rsidRPr="004624E7">
        <w:rPr>
          <w:lang w:eastAsia="ko-KR"/>
        </w:rPr>
        <w:t>Orth and R. Setzer (2010</w:t>
      </w:r>
      <w:r w:rsidR="00954094">
        <w:rPr>
          <w:lang w:eastAsia="ko-KR"/>
        </w:rPr>
        <w:t>b</w:t>
      </w:r>
      <w:r w:rsidRPr="004624E7">
        <w:rPr>
          <w:lang w:eastAsia="ko-KR"/>
        </w:rPr>
        <w:t xml:space="preserve">). Liquidity and the dynamic pattern of asset price adjustment: A global view. </w:t>
      </w:r>
      <w:r w:rsidRPr="00575049">
        <w:rPr>
          <w:i/>
          <w:lang w:eastAsia="ko-KR"/>
        </w:rPr>
        <w:t>Journal of Banking &amp; Finance</w:t>
      </w:r>
      <w:r w:rsidRPr="004624E7">
        <w:rPr>
          <w:lang w:eastAsia="ko-KR"/>
        </w:rPr>
        <w:t>, 34</w:t>
      </w:r>
      <w:r w:rsidR="00575049">
        <w:rPr>
          <w:lang w:eastAsia="ko-KR"/>
        </w:rPr>
        <w:t xml:space="preserve"> </w:t>
      </w:r>
      <w:r w:rsidRPr="004624E7">
        <w:rPr>
          <w:lang w:eastAsia="ko-KR"/>
        </w:rPr>
        <w:t>(8), 1933-1945.</w:t>
      </w:r>
    </w:p>
    <w:p w:rsidR="00575049" w:rsidRPr="004624E7" w:rsidRDefault="00575049"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Bracke, T. and M. Fidora (2012). The macro-financial factors behind the crisis: Global liquidity glut or global savings glut? </w:t>
      </w:r>
      <w:r w:rsidRPr="00575049">
        <w:rPr>
          <w:i/>
          <w:lang w:eastAsia="ko-KR"/>
        </w:rPr>
        <w:t>The North American Journal of Economics and Finance</w:t>
      </w:r>
      <w:r w:rsidRPr="004624E7">
        <w:rPr>
          <w:lang w:eastAsia="ko-KR"/>
        </w:rPr>
        <w:t>, 23</w:t>
      </w:r>
      <w:r w:rsidR="00575049">
        <w:rPr>
          <w:lang w:eastAsia="ko-KR"/>
        </w:rPr>
        <w:t xml:space="preserve"> (2)</w:t>
      </w:r>
      <w:r w:rsidRPr="004624E7">
        <w:rPr>
          <w:lang w:eastAsia="ko-KR"/>
        </w:rPr>
        <w:t>, 185–202.</w:t>
      </w:r>
    </w:p>
    <w:p w:rsidR="00575049" w:rsidRPr="004624E7" w:rsidRDefault="00575049"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Brana, S., </w:t>
      </w:r>
      <w:r w:rsidR="00575049" w:rsidRPr="004624E7">
        <w:rPr>
          <w:lang w:eastAsia="ko-KR"/>
        </w:rPr>
        <w:t xml:space="preserve">M. </w:t>
      </w:r>
      <w:r w:rsidRPr="004624E7">
        <w:rPr>
          <w:lang w:eastAsia="ko-KR"/>
        </w:rPr>
        <w:t xml:space="preserve">Djigbenou and S. Prat (2012). Global excess liquidity and asset prices in emerging countries: A PVAR approach. </w:t>
      </w:r>
      <w:r w:rsidRPr="00575049">
        <w:rPr>
          <w:i/>
          <w:lang w:eastAsia="ko-KR"/>
        </w:rPr>
        <w:t>Emerging Markets Review</w:t>
      </w:r>
      <w:r w:rsidRPr="004624E7">
        <w:rPr>
          <w:lang w:eastAsia="ko-KR"/>
        </w:rPr>
        <w:t>, 13, 256–267.</w:t>
      </w:r>
    </w:p>
    <w:p w:rsidR="00575049" w:rsidRPr="004624E7" w:rsidRDefault="00575049"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Brana, S. and S. Prat (2016). The effects of global excess liquidity on emerging stock market returns: Evidence from a panel threshold model. </w:t>
      </w:r>
      <w:r w:rsidRPr="00575049">
        <w:rPr>
          <w:i/>
          <w:lang w:eastAsia="ko-KR"/>
        </w:rPr>
        <w:t>Economic Modelling</w:t>
      </w:r>
      <w:r w:rsidRPr="004624E7">
        <w:rPr>
          <w:lang w:eastAsia="ko-KR"/>
        </w:rPr>
        <w:t>, 52, 26-34.</w:t>
      </w:r>
    </w:p>
    <w:p w:rsidR="00575049" w:rsidRPr="004624E7" w:rsidRDefault="00575049"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Breitung, J. and </w:t>
      </w:r>
      <w:r w:rsidR="00575049" w:rsidRPr="004624E7">
        <w:rPr>
          <w:lang w:eastAsia="ko-KR"/>
        </w:rPr>
        <w:t xml:space="preserve">S. </w:t>
      </w:r>
      <w:r w:rsidRPr="004624E7">
        <w:rPr>
          <w:lang w:eastAsia="ko-KR"/>
        </w:rPr>
        <w:t xml:space="preserve">Das (2005). Panel unit root tests under cross‐sectional dependence. </w:t>
      </w:r>
      <w:r w:rsidRPr="00575049">
        <w:rPr>
          <w:i/>
          <w:lang w:eastAsia="ko-KR"/>
        </w:rPr>
        <w:t>Statistica Neerlandica</w:t>
      </w:r>
      <w:r w:rsidRPr="004624E7">
        <w:rPr>
          <w:lang w:eastAsia="ko-KR"/>
        </w:rPr>
        <w:t>, 59</w:t>
      </w:r>
      <w:r w:rsidR="00575049">
        <w:rPr>
          <w:lang w:eastAsia="ko-KR"/>
        </w:rPr>
        <w:t xml:space="preserve"> </w:t>
      </w:r>
      <w:r w:rsidRPr="004624E7">
        <w:rPr>
          <w:lang w:eastAsia="ko-KR"/>
        </w:rPr>
        <w:t>(4), 414-433.</w:t>
      </w:r>
    </w:p>
    <w:p w:rsidR="00575049" w:rsidRPr="004624E7" w:rsidRDefault="00575049"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BIS (2013). Global Liquidity:</w:t>
      </w:r>
      <w:r w:rsidR="004624E7">
        <w:rPr>
          <w:lang w:eastAsia="ko-KR"/>
        </w:rPr>
        <w:t xml:space="preserve"> </w:t>
      </w:r>
      <w:r w:rsidRPr="004624E7">
        <w:rPr>
          <w:lang w:eastAsia="ko-KR"/>
        </w:rPr>
        <w:t xml:space="preserve">Selected Indicators. October, 2013. </w:t>
      </w:r>
    </w:p>
    <w:p w:rsidR="00575049" w:rsidRPr="004624E7" w:rsidRDefault="00575049"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Borio, C. (2008)</w:t>
      </w:r>
      <w:r w:rsidR="00575049">
        <w:rPr>
          <w:lang w:eastAsia="ko-KR"/>
        </w:rPr>
        <w:t>. The Financial turmoil of 2007</w:t>
      </w:r>
      <w:r w:rsidRPr="004624E7">
        <w:rPr>
          <w:lang w:eastAsia="ko-KR"/>
        </w:rPr>
        <w:t xml:space="preserve">?: A preliminary assessment and some policy considerations. </w:t>
      </w:r>
      <w:r w:rsidRPr="00575049">
        <w:rPr>
          <w:i/>
          <w:lang w:eastAsia="ko-KR"/>
        </w:rPr>
        <w:t>BIS Working Paper</w:t>
      </w:r>
      <w:r w:rsidRPr="004624E7">
        <w:rPr>
          <w:lang w:eastAsia="ko-KR"/>
        </w:rPr>
        <w:t>, No 251.</w:t>
      </w:r>
    </w:p>
    <w:p w:rsidR="00575049" w:rsidRPr="004624E7" w:rsidRDefault="00575049" w:rsidP="00CB4988">
      <w:pPr>
        <w:ind w:left="540" w:hanging="540"/>
        <w:jc w:val="both"/>
        <w:rPr>
          <w:lang w:eastAsia="ko-KR"/>
        </w:rPr>
      </w:pPr>
    </w:p>
    <w:p w:rsidR="00CB4988" w:rsidRDefault="00575049" w:rsidP="00CB4988">
      <w:pPr>
        <w:ind w:left="540" w:hanging="540"/>
        <w:jc w:val="both"/>
        <w:rPr>
          <w:lang w:eastAsia="ko-KR"/>
        </w:rPr>
      </w:pPr>
      <w:r>
        <w:rPr>
          <w:lang w:eastAsia="ko-KR"/>
        </w:rPr>
        <w:t>Breusch, T.</w:t>
      </w:r>
      <w:r w:rsidR="00CB4988" w:rsidRPr="004624E7">
        <w:rPr>
          <w:lang w:eastAsia="ko-KR"/>
        </w:rPr>
        <w:t xml:space="preserve">S. and </w:t>
      </w:r>
      <w:r>
        <w:rPr>
          <w:lang w:eastAsia="ko-KR"/>
        </w:rPr>
        <w:t>A.</w:t>
      </w:r>
      <w:r w:rsidRPr="004624E7">
        <w:rPr>
          <w:lang w:eastAsia="ko-KR"/>
        </w:rPr>
        <w:t xml:space="preserve">R. </w:t>
      </w:r>
      <w:r>
        <w:rPr>
          <w:lang w:eastAsia="ko-KR"/>
        </w:rPr>
        <w:t>Pagan</w:t>
      </w:r>
      <w:r w:rsidR="00CB4988" w:rsidRPr="004624E7">
        <w:rPr>
          <w:lang w:eastAsia="ko-KR"/>
        </w:rPr>
        <w:t xml:space="preserve"> (1980). The Lagrange multiplier test and its applications to model specification in econometrics. </w:t>
      </w:r>
      <w:r w:rsidR="00CB4988" w:rsidRPr="00575049">
        <w:rPr>
          <w:i/>
          <w:lang w:eastAsia="ko-KR"/>
        </w:rPr>
        <w:t>The Review of Economic Studies</w:t>
      </w:r>
      <w:r w:rsidR="00CB4988" w:rsidRPr="004624E7">
        <w:rPr>
          <w:lang w:eastAsia="ko-KR"/>
        </w:rPr>
        <w:t>, 47</w:t>
      </w:r>
      <w:r>
        <w:rPr>
          <w:lang w:eastAsia="ko-KR"/>
        </w:rPr>
        <w:t xml:space="preserve"> </w:t>
      </w:r>
      <w:r w:rsidR="00CB4988" w:rsidRPr="004624E7">
        <w:rPr>
          <w:lang w:eastAsia="ko-KR"/>
        </w:rPr>
        <w:t>(1), 239-253.</w:t>
      </w:r>
    </w:p>
    <w:p w:rsidR="00575049" w:rsidRPr="004624E7" w:rsidRDefault="00575049"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Bruno, V. and </w:t>
      </w:r>
      <w:r w:rsidR="00575049">
        <w:rPr>
          <w:lang w:eastAsia="ko-KR"/>
        </w:rPr>
        <w:t>H.</w:t>
      </w:r>
      <w:r w:rsidR="00575049" w:rsidRPr="004624E7">
        <w:rPr>
          <w:lang w:eastAsia="ko-KR"/>
        </w:rPr>
        <w:t xml:space="preserve">S. </w:t>
      </w:r>
      <w:r w:rsidRPr="004624E7">
        <w:rPr>
          <w:lang w:eastAsia="ko-KR"/>
        </w:rPr>
        <w:t>Shin, (2015). Capital flows and the risk-taking channel of monetary policy. Journal of Monetary Economics, 71, 119-132.</w:t>
      </w:r>
    </w:p>
    <w:p w:rsidR="00575049" w:rsidRPr="004624E7" w:rsidRDefault="00575049" w:rsidP="00CB4988">
      <w:pPr>
        <w:ind w:left="540" w:hanging="540"/>
        <w:jc w:val="both"/>
        <w:rPr>
          <w:lang w:eastAsia="ko-KR"/>
        </w:rPr>
      </w:pPr>
    </w:p>
    <w:p w:rsidR="00CB4988" w:rsidRPr="004624E7" w:rsidRDefault="00CB4988" w:rsidP="00CB4988">
      <w:pPr>
        <w:ind w:left="540" w:hanging="540"/>
        <w:jc w:val="both"/>
        <w:rPr>
          <w:lang w:eastAsia="ko-KR"/>
        </w:rPr>
      </w:pPr>
      <w:r w:rsidRPr="004624E7">
        <w:rPr>
          <w:lang w:eastAsia="ko-KR"/>
        </w:rPr>
        <w:t xml:space="preserve">CGFS (2011). Global liquidity - concepts, measurement and policy implications. </w:t>
      </w:r>
      <w:r w:rsidRPr="00575049">
        <w:rPr>
          <w:i/>
          <w:lang w:eastAsia="ko-KR"/>
        </w:rPr>
        <w:t>CGFS Paper</w:t>
      </w:r>
      <w:r w:rsidRPr="004624E7">
        <w:rPr>
          <w:lang w:eastAsia="ko-KR"/>
        </w:rPr>
        <w:t>, 45.</w:t>
      </w:r>
    </w:p>
    <w:p w:rsidR="00CB4988" w:rsidRDefault="00CB4988" w:rsidP="00CB4988">
      <w:pPr>
        <w:ind w:left="540" w:hanging="540"/>
        <w:jc w:val="both"/>
        <w:rPr>
          <w:lang w:eastAsia="ko-KR"/>
        </w:rPr>
      </w:pPr>
      <w:r w:rsidRPr="004624E7">
        <w:rPr>
          <w:lang w:eastAsia="ko-KR"/>
        </w:rPr>
        <w:t xml:space="preserve">Chung, H., </w:t>
      </w:r>
      <w:r w:rsidR="004C7CD0" w:rsidRPr="004624E7">
        <w:rPr>
          <w:lang w:eastAsia="ko-KR"/>
        </w:rPr>
        <w:t>J.</w:t>
      </w:r>
      <w:r w:rsidR="004C7CD0">
        <w:rPr>
          <w:lang w:eastAsia="ko-KR"/>
        </w:rPr>
        <w:t>P.</w:t>
      </w:r>
      <w:r w:rsidR="004C7CD0" w:rsidRPr="004624E7">
        <w:rPr>
          <w:lang w:eastAsia="ko-KR"/>
        </w:rPr>
        <w:t xml:space="preserve"> </w:t>
      </w:r>
      <w:r w:rsidRPr="004624E7">
        <w:rPr>
          <w:lang w:eastAsia="ko-KR"/>
        </w:rPr>
        <w:t xml:space="preserve">Laforte, </w:t>
      </w:r>
      <w:r w:rsidR="004C7CD0" w:rsidRPr="004624E7">
        <w:rPr>
          <w:lang w:eastAsia="ko-KR"/>
        </w:rPr>
        <w:t xml:space="preserve">D. </w:t>
      </w:r>
      <w:r w:rsidRPr="004624E7">
        <w:rPr>
          <w:lang w:eastAsia="ko-KR"/>
        </w:rPr>
        <w:t>Reifschneider and J.C. Williams (2012). Have we underestimated the likelihood and sever</w:t>
      </w:r>
      <w:r w:rsidR="004C7CD0">
        <w:rPr>
          <w:lang w:eastAsia="ko-KR"/>
        </w:rPr>
        <w:t>ity of zero lower bound events?</w:t>
      </w:r>
      <w:r w:rsidRPr="004624E7">
        <w:rPr>
          <w:lang w:eastAsia="ko-KR"/>
        </w:rPr>
        <w:t xml:space="preserve"> </w:t>
      </w:r>
      <w:r w:rsidRPr="004C7CD0">
        <w:rPr>
          <w:i/>
          <w:lang w:eastAsia="ko-KR"/>
        </w:rPr>
        <w:t>Journal of Money, Credit and Banking</w:t>
      </w:r>
      <w:r w:rsidRPr="004624E7">
        <w:rPr>
          <w:lang w:eastAsia="ko-KR"/>
        </w:rPr>
        <w:t>, 44</w:t>
      </w:r>
      <w:r w:rsidR="004C7CD0">
        <w:rPr>
          <w:lang w:eastAsia="ko-KR"/>
        </w:rPr>
        <w:t xml:space="preserve"> (</w:t>
      </w:r>
      <w:r w:rsidRPr="004624E7">
        <w:rPr>
          <w:lang w:eastAsia="ko-KR"/>
        </w:rPr>
        <w:t>1), 47-82.</w:t>
      </w:r>
    </w:p>
    <w:p w:rsidR="004C7CD0" w:rsidRPr="004624E7" w:rsidRDefault="004C7CD0"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D’Agostino, A. and P. Surico (2009). Does global liquidity help to forecast U.S. inflation?</w:t>
      </w:r>
      <w:r w:rsidR="004C7CD0">
        <w:rPr>
          <w:lang w:eastAsia="ko-KR"/>
        </w:rPr>
        <w:t xml:space="preserve"> </w:t>
      </w:r>
      <w:r w:rsidRPr="004C7CD0">
        <w:rPr>
          <w:i/>
          <w:lang w:eastAsia="ko-KR"/>
        </w:rPr>
        <w:t>Journal of Money, Credit and Banking</w:t>
      </w:r>
      <w:r w:rsidRPr="004624E7">
        <w:rPr>
          <w:lang w:eastAsia="ko-KR"/>
        </w:rPr>
        <w:t>, 41</w:t>
      </w:r>
      <w:r w:rsidR="004C7CD0">
        <w:rPr>
          <w:lang w:eastAsia="ko-KR"/>
        </w:rPr>
        <w:t xml:space="preserve"> </w:t>
      </w:r>
      <w:r w:rsidRPr="004624E7">
        <w:rPr>
          <w:lang w:eastAsia="ko-KR"/>
        </w:rPr>
        <w:t>(2-3): 479-489.</w:t>
      </w:r>
    </w:p>
    <w:p w:rsidR="004C7CD0" w:rsidRPr="004624E7" w:rsidRDefault="004C7CD0"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Eickmeier, S., </w:t>
      </w:r>
      <w:r w:rsidR="004C7CD0" w:rsidRPr="004624E7">
        <w:rPr>
          <w:lang w:eastAsia="ko-KR"/>
        </w:rPr>
        <w:t xml:space="preserve">L. </w:t>
      </w:r>
      <w:r w:rsidR="004C7CD0">
        <w:rPr>
          <w:lang w:eastAsia="ko-KR"/>
        </w:rPr>
        <w:t>Gambacorta</w:t>
      </w:r>
      <w:r w:rsidRPr="004624E7">
        <w:rPr>
          <w:lang w:eastAsia="ko-KR"/>
        </w:rPr>
        <w:t xml:space="preserve"> and B. Hofmann, (2014). Understanding global liquidity. </w:t>
      </w:r>
      <w:r w:rsidRPr="004C7CD0">
        <w:rPr>
          <w:i/>
          <w:lang w:eastAsia="ko-KR"/>
        </w:rPr>
        <w:t>European Economic Review</w:t>
      </w:r>
      <w:r w:rsidRPr="004624E7">
        <w:rPr>
          <w:lang w:eastAsia="ko-KR"/>
        </w:rPr>
        <w:t xml:space="preserve">, 68, 1–18. </w:t>
      </w:r>
    </w:p>
    <w:p w:rsidR="004C7CD0" w:rsidRPr="004624E7" w:rsidRDefault="004C7CD0"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Fratzscher, M., </w:t>
      </w:r>
      <w:r w:rsidR="004C7CD0" w:rsidRPr="004624E7">
        <w:rPr>
          <w:lang w:eastAsia="ko-KR"/>
        </w:rPr>
        <w:t xml:space="preserve">M. </w:t>
      </w:r>
      <w:r w:rsidRPr="004624E7">
        <w:rPr>
          <w:lang w:eastAsia="ko-KR"/>
        </w:rPr>
        <w:t xml:space="preserve">Lo Duca and </w:t>
      </w:r>
      <w:r w:rsidR="004C7CD0" w:rsidRPr="004624E7">
        <w:rPr>
          <w:lang w:eastAsia="ko-KR"/>
        </w:rPr>
        <w:t>R.</w:t>
      </w:r>
      <w:r w:rsidR="004C7CD0">
        <w:rPr>
          <w:lang w:eastAsia="ko-KR"/>
        </w:rPr>
        <w:t xml:space="preserve"> </w:t>
      </w:r>
      <w:r w:rsidRPr="004624E7">
        <w:rPr>
          <w:lang w:eastAsia="ko-KR"/>
        </w:rPr>
        <w:t xml:space="preserve">Straub (2017). On the International Spillovers of US Quantitative Easing. </w:t>
      </w:r>
      <w:r w:rsidR="004C7CD0">
        <w:rPr>
          <w:lang w:eastAsia="ko-KR"/>
        </w:rPr>
        <w:t>The Economic Journal</w:t>
      </w:r>
      <w:r w:rsidRPr="004624E7">
        <w:rPr>
          <w:lang w:eastAsia="ko-KR"/>
        </w:rPr>
        <w:t>, doi:10.1111/ecoj.12435.</w:t>
      </w:r>
    </w:p>
    <w:p w:rsidR="004C7CD0" w:rsidRPr="004624E7" w:rsidRDefault="004C7CD0"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Gagnon, J., </w:t>
      </w:r>
      <w:r w:rsidR="004C7CD0">
        <w:rPr>
          <w:lang w:eastAsia="ko-KR"/>
        </w:rPr>
        <w:t xml:space="preserve">M. </w:t>
      </w:r>
      <w:r w:rsidRPr="004624E7">
        <w:rPr>
          <w:lang w:eastAsia="ko-KR"/>
        </w:rPr>
        <w:t xml:space="preserve">Raskin, </w:t>
      </w:r>
      <w:r w:rsidR="004C7CD0" w:rsidRPr="004624E7">
        <w:rPr>
          <w:lang w:eastAsia="ko-KR"/>
        </w:rPr>
        <w:t xml:space="preserve">J. </w:t>
      </w:r>
      <w:r w:rsidR="004C7CD0">
        <w:rPr>
          <w:lang w:eastAsia="ko-KR"/>
        </w:rPr>
        <w:t>Remache</w:t>
      </w:r>
      <w:r w:rsidRPr="004624E7">
        <w:rPr>
          <w:lang w:eastAsia="ko-KR"/>
        </w:rPr>
        <w:t xml:space="preserve"> and B. Sack (2011). The financial market effects of the Federal Reserve’s large-scale asset purchases. </w:t>
      </w:r>
      <w:r w:rsidRPr="004C7CD0">
        <w:rPr>
          <w:i/>
          <w:lang w:eastAsia="ko-KR"/>
        </w:rPr>
        <w:t>International Journal of Central Banking</w:t>
      </w:r>
      <w:r w:rsidRPr="004624E7">
        <w:rPr>
          <w:lang w:eastAsia="ko-KR"/>
        </w:rPr>
        <w:t>, 7</w:t>
      </w:r>
      <w:r w:rsidR="004C7CD0">
        <w:rPr>
          <w:lang w:eastAsia="ko-KR"/>
        </w:rPr>
        <w:t xml:space="preserve"> </w:t>
      </w:r>
      <w:r w:rsidRPr="004624E7">
        <w:rPr>
          <w:lang w:eastAsia="ko-KR"/>
        </w:rPr>
        <w:t>(1), 3-43.</w:t>
      </w:r>
    </w:p>
    <w:p w:rsidR="004C7CD0" w:rsidRPr="004624E7" w:rsidRDefault="004C7CD0"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Gambacorta, L., </w:t>
      </w:r>
      <w:r w:rsidR="004C7CD0" w:rsidRPr="004624E7">
        <w:rPr>
          <w:lang w:eastAsia="ko-KR"/>
        </w:rPr>
        <w:t xml:space="preserve">B. </w:t>
      </w:r>
      <w:r w:rsidR="004C7CD0">
        <w:rPr>
          <w:lang w:eastAsia="ko-KR"/>
        </w:rPr>
        <w:t>Hofmann</w:t>
      </w:r>
      <w:r w:rsidRPr="004624E7">
        <w:rPr>
          <w:lang w:eastAsia="ko-KR"/>
        </w:rPr>
        <w:t xml:space="preserve"> and G. Peersman (2014). The Effectiveness of Unconventional Monetary Policy at the Zero Lower Bound: A Cross-Country Analysis. </w:t>
      </w:r>
      <w:r w:rsidRPr="004C7CD0">
        <w:rPr>
          <w:i/>
          <w:lang w:eastAsia="ko-KR"/>
        </w:rPr>
        <w:t>Journal of Money, Credit and Banking</w:t>
      </w:r>
      <w:r w:rsidRPr="004624E7">
        <w:rPr>
          <w:lang w:eastAsia="ko-KR"/>
        </w:rPr>
        <w:t>, 46</w:t>
      </w:r>
      <w:r w:rsidR="004C7CD0">
        <w:rPr>
          <w:lang w:eastAsia="ko-KR"/>
        </w:rPr>
        <w:t xml:space="preserve"> </w:t>
      </w:r>
      <w:r w:rsidRPr="004624E7">
        <w:rPr>
          <w:lang w:eastAsia="ko-KR"/>
        </w:rPr>
        <w:t>(4), 615-642.</w:t>
      </w:r>
    </w:p>
    <w:p w:rsidR="004C7CD0" w:rsidRPr="004624E7" w:rsidRDefault="004C7CD0"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IMF (2010). Global liquidity expansion: effects on receiving economies and policy response options. </w:t>
      </w:r>
      <w:r w:rsidRPr="004C7CD0">
        <w:rPr>
          <w:i/>
          <w:lang w:eastAsia="ko-KR"/>
        </w:rPr>
        <w:t>Global Financial Stability Report</w:t>
      </w:r>
      <w:r w:rsidRPr="004624E7">
        <w:rPr>
          <w:lang w:eastAsia="ko-KR"/>
        </w:rPr>
        <w:t>, Chapter 4, April.</w:t>
      </w:r>
    </w:p>
    <w:p w:rsidR="004C7CD0" w:rsidRPr="004624E7" w:rsidRDefault="004C7CD0"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IMF (2013). Global Liquidity-Credit and Funding Indicators. </w:t>
      </w:r>
      <w:r w:rsidRPr="004C7CD0">
        <w:rPr>
          <w:i/>
          <w:lang w:eastAsia="ko-KR"/>
        </w:rPr>
        <w:t>IMF Policy Paper</w:t>
      </w:r>
      <w:r w:rsidRPr="004624E7">
        <w:rPr>
          <w:lang w:eastAsia="ko-KR"/>
        </w:rPr>
        <w:t>.</w:t>
      </w:r>
      <w:r w:rsidR="004624E7">
        <w:rPr>
          <w:lang w:eastAsia="ko-KR"/>
        </w:rPr>
        <w:t xml:space="preserve"> </w:t>
      </w:r>
    </w:p>
    <w:p w:rsidR="004C7CD0" w:rsidRPr="004624E7" w:rsidRDefault="004C7CD0"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Joyce, M., Lasaosa, A., Stevens, I. and M. Tong (2011). The Financial Market Impact of Quantitative Easing in the United Kingdom. </w:t>
      </w:r>
      <w:r w:rsidRPr="004B21DD">
        <w:rPr>
          <w:i/>
          <w:lang w:eastAsia="ko-KR"/>
        </w:rPr>
        <w:t>International Journal of Central Banking</w:t>
      </w:r>
      <w:r w:rsidRPr="004624E7">
        <w:rPr>
          <w:lang w:eastAsia="ko-KR"/>
        </w:rPr>
        <w:t>, 7</w:t>
      </w:r>
      <w:r w:rsidR="004B21DD">
        <w:rPr>
          <w:lang w:eastAsia="ko-KR"/>
        </w:rPr>
        <w:t xml:space="preserve"> (3)</w:t>
      </w:r>
      <w:r w:rsidRPr="004624E7">
        <w:rPr>
          <w:lang w:eastAsia="ko-KR"/>
        </w:rPr>
        <w:t xml:space="preserve">, 113-161. </w:t>
      </w:r>
    </w:p>
    <w:p w:rsidR="004C7CD0" w:rsidRPr="004624E7" w:rsidRDefault="004C7CD0"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Love, I. and L. Zicchino (2006). Financial development and dynamic investment behavior: Evidence from panel VAR. </w:t>
      </w:r>
      <w:r w:rsidRPr="004B21DD">
        <w:rPr>
          <w:i/>
          <w:lang w:eastAsia="ko-KR"/>
        </w:rPr>
        <w:t>The Quarterly Review of Economics and Finance</w:t>
      </w:r>
      <w:r w:rsidRPr="004624E7">
        <w:rPr>
          <w:lang w:eastAsia="ko-KR"/>
        </w:rPr>
        <w:t>, 46</w:t>
      </w:r>
      <w:r w:rsidR="004B21DD">
        <w:rPr>
          <w:lang w:eastAsia="ko-KR"/>
        </w:rPr>
        <w:t xml:space="preserve"> </w:t>
      </w:r>
      <w:r w:rsidRPr="004624E7">
        <w:rPr>
          <w:lang w:eastAsia="ko-KR"/>
        </w:rPr>
        <w:t>(2), 190-210.</w:t>
      </w:r>
    </w:p>
    <w:p w:rsidR="004B21DD" w:rsidRPr="004624E7" w:rsidRDefault="004B21DD" w:rsidP="00CB4988">
      <w:pPr>
        <w:ind w:left="540" w:hanging="540"/>
        <w:jc w:val="both"/>
        <w:rPr>
          <w:lang w:eastAsia="ko-KR"/>
        </w:rPr>
      </w:pPr>
    </w:p>
    <w:p w:rsidR="00CB4988" w:rsidRDefault="004B21DD" w:rsidP="00CB4988">
      <w:pPr>
        <w:ind w:left="540" w:hanging="540"/>
        <w:jc w:val="both"/>
        <w:rPr>
          <w:lang w:eastAsia="ko-KR"/>
        </w:rPr>
      </w:pPr>
      <w:r>
        <w:rPr>
          <w:lang w:eastAsia="ko-KR"/>
        </w:rPr>
        <w:t>Maddala, G.</w:t>
      </w:r>
      <w:r w:rsidR="00CB4988" w:rsidRPr="004624E7">
        <w:rPr>
          <w:lang w:eastAsia="ko-KR"/>
        </w:rPr>
        <w:t xml:space="preserve">S. and S. Wu (1999). A comparative study of unit root tests with panel data and a new simple test. </w:t>
      </w:r>
      <w:r w:rsidR="00CB4988" w:rsidRPr="004B21DD">
        <w:rPr>
          <w:i/>
          <w:lang w:eastAsia="ko-KR"/>
        </w:rPr>
        <w:t>Oxford Bulletin of Economics and Statistics</w:t>
      </w:r>
      <w:r w:rsidR="00CB4988" w:rsidRPr="004624E7">
        <w:rPr>
          <w:lang w:eastAsia="ko-KR"/>
        </w:rPr>
        <w:t>,</w:t>
      </w:r>
      <w:r>
        <w:rPr>
          <w:lang w:eastAsia="ko-KR"/>
        </w:rPr>
        <w:t xml:space="preserve"> </w:t>
      </w:r>
      <w:r w:rsidR="00CB4988" w:rsidRPr="004624E7">
        <w:rPr>
          <w:lang w:eastAsia="ko-KR"/>
        </w:rPr>
        <w:t>61</w:t>
      </w:r>
      <w:r>
        <w:rPr>
          <w:lang w:eastAsia="ko-KR"/>
        </w:rPr>
        <w:t xml:space="preserve"> </w:t>
      </w:r>
      <w:r w:rsidR="00CB4988" w:rsidRPr="004624E7">
        <w:rPr>
          <w:lang w:eastAsia="ko-KR"/>
        </w:rPr>
        <w:t>(1), 631-652.</w:t>
      </w:r>
    </w:p>
    <w:p w:rsidR="004B21DD" w:rsidRPr="004624E7" w:rsidRDefault="004B21DD" w:rsidP="00CB4988">
      <w:pPr>
        <w:ind w:left="540" w:hanging="540"/>
        <w:jc w:val="both"/>
        <w:rPr>
          <w:lang w:eastAsia="ko-KR"/>
        </w:rPr>
      </w:pPr>
    </w:p>
    <w:p w:rsidR="00CB4988" w:rsidRDefault="004B21DD" w:rsidP="00CB4988">
      <w:pPr>
        <w:ind w:left="540" w:hanging="540"/>
        <w:jc w:val="both"/>
        <w:rPr>
          <w:lang w:eastAsia="ko-KR"/>
        </w:rPr>
      </w:pPr>
      <w:r>
        <w:rPr>
          <w:lang w:eastAsia="ko-KR"/>
        </w:rPr>
        <w:t>Neely, C.</w:t>
      </w:r>
      <w:r w:rsidR="00CB4988" w:rsidRPr="004624E7">
        <w:rPr>
          <w:lang w:eastAsia="ko-KR"/>
        </w:rPr>
        <w:t xml:space="preserve">J. (2015). Unconventional monetary policy had large international effects. </w:t>
      </w:r>
      <w:r w:rsidR="00CB4988" w:rsidRPr="004B21DD">
        <w:rPr>
          <w:i/>
          <w:lang w:eastAsia="ko-KR"/>
        </w:rPr>
        <w:t>Journal of Banking &amp; Finance</w:t>
      </w:r>
      <w:r w:rsidR="00CB4988" w:rsidRPr="004624E7">
        <w:rPr>
          <w:lang w:eastAsia="ko-KR"/>
        </w:rPr>
        <w:t>, 52, 101-111.</w:t>
      </w:r>
    </w:p>
    <w:p w:rsidR="004B21DD" w:rsidRPr="004624E7" w:rsidRDefault="004B21DD"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Ng, S. and P. Perron (2001). Lag Length Selection and the Construction of Unit Root Tests with Good Size and Power. </w:t>
      </w:r>
      <w:r w:rsidRPr="004B21DD">
        <w:rPr>
          <w:i/>
          <w:lang w:eastAsia="ko-KR"/>
        </w:rPr>
        <w:t>Econometrica</w:t>
      </w:r>
      <w:r w:rsidRPr="004624E7">
        <w:rPr>
          <w:lang w:eastAsia="ko-KR"/>
        </w:rPr>
        <w:t>, 69,</w:t>
      </w:r>
      <w:r w:rsidR="004624E7">
        <w:rPr>
          <w:lang w:eastAsia="ko-KR"/>
        </w:rPr>
        <w:t xml:space="preserve"> </w:t>
      </w:r>
      <w:r w:rsidRPr="004624E7">
        <w:rPr>
          <w:lang w:eastAsia="ko-KR"/>
        </w:rPr>
        <w:t>1529–1554.</w:t>
      </w:r>
    </w:p>
    <w:p w:rsidR="004B21DD" w:rsidRPr="004624E7" w:rsidRDefault="004B21DD"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O'Connell, P.G. (1998). The overvaluation of purchasing power parity. </w:t>
      </w:r>
      <w:r w:rsidRPr="004B21DD">
        <w:rPr>
          <w:i/>
          <w:lang w:eastAsia="ko-KR"/>
        </w:rPr>
        <w:t>Journal of International Economics</w:t>
      </w:r>
      <w:r w:rsidRPr="004624E7">
        <w:rPr>
          <w:lang w:eastAsia="ko-KR"/>
        </w:rPr>
        <w:t>, 44</w:t>
      </w:r>
      <w:r w:rsidR="004B21DD">
        <w:rPr>
          <w:lang w:eastAsia="ko-KR"/>
        </w:rPr>
        <w:t xml:space="preserve"> </w:t>
      </w:r>
      <w:r w:rsidRPr="004624E7">
        <w:rPr>
          <w:lang w:eastAsia="ko-KR"/>
        </w:rPr>
        <w:t>(1), 1-19.</w:t>
      </w:r>
    </w:p>
    <w:p w:rsidR="004B21DD" w:rsidRPr="004624E7" w:rsidRDefault="004B21DD" w:rsidP="00CB4988">
      <w:pPr>
        <w:ind w:left="540" w:hanging="540"/>
        <w:jc w:val="both"/>
        <w:rPr>
          <w:lang w:eastAsia="ko-KR"/>
        </w:rPr>
      </w:pPr>
    </w:p>
    <w:p w:rsidR="00CB4988" w:rsidRDefault="00CB4988" w:rsidP="00BB3252">
      <w:pPr>
        <w:ind w:left="540" w:hanging="540"/>
        <w:jc w:val="both"/>
        <w:rPr>
          <w:lang w:eastAsia="ko-KR"/>
        </w:rPr>
      </w:pPr>
      <w:r w:rsidRPr="004624E7">
        <w:rPr>
          <w:lang w:eastAsia="ko-KR"/>
        </w:rPr>
        <w:t xml:space="preserve">Perron, P. (1989). The great crash, the oil price shock, and the unit root hypothesis. </w:t>
      </w:r>
      <w:r w:rsidRPr="004B21DD">
        <w:rPr>
          <w:i/>
          <w:lang w:eastAsia="ko-KR"/>
        </w:rPr>
        <w:t>Econometrica: Journal of the Econometric Society</w:t>
      </w:r>
      <w:r w:rsidRPr="004624E7">
        <w:rPr>
          <w:lang w:eastAsia="ko-KR"/>
        </w:rPr>
        <w:t>, 1361-1401.</w:t>
      </w:r>
      <w:bookmarkStart w:id="0" w:name="_GoBack"/>
      <w:bookmarkEnd w:id="0"/>
    </w:p>
    <w:p w:rsidR="004B21DD" w:rsidRPr="004624E7" w:rsidRDefault="004B21DD"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Pesaran, M.H. (2007). A simple panel unit root test in the presence of cross-section dependence. </w:t>
      </w:r>
      <w:r w:rsidRPr="004B21DD">
        <w:rPr>
          <w:i/>
          <w:lang w:eastAsia="ko-KR"/>
        </w:rPr>
        <w:t>Journal of Applied Econometrics</w:t>
      </w:r>
      <w:r w:rsidRPr="004624E7">
        <w:rPr>
          <w:lang w:eastAsia="ko-KR"/>
        </w:rPr>
        <w:t>, 22</w:t>
      </w:r>
      <w:r w:rsidR="004B21DD">
        <w:rPr>
          <w:lang w:eastAsia="ko-KR"/>
        </w:rPr>
        <w:t xml:space="preserve"> </w:t>
      </w:r>
      <w:r w:rsidRPr="004624E7">
        <w:rPr>
          <w:lang w:eastAsia="ko-KR"/>
        </w:rPr>
        <w:t>(2), 265-312.</w:t>
      </w:r>
    </w:p>
    <w:p w:rsidR="004B21DD" w:rsidRPr="004624E7" w:rsidRDefault="004B21DD"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Pesaran, M.H., </w:t>
      </w:r>
      <w:r w:rsidR="004B21DD" w:rsidRPr="004624E7">
        <w:rPr>
          <w:lang w:eastAsia="ko-KR"/>
        </w:rPr>
        <w:t xml:space="preserve">A. </w:t>
      </w:r>
      <w:r w:rsidRPr="004624E7">
        <w:rPr>
          <w:lang w:eastAsia="ko-KR"/>
        </w:rPr>
        <w:t xml:space="preserve">Ullah and T. Yamagata (2008). A bias adjusted LM test of error cross section independence. </w:t>
      </w:r>
      <w:r w:rsidRPr="004B21DD">
        <w:rPr>
          <w:i/>
          <w:lang w:eastAsia="ko-KR"/>
        </w:rPr>
        <w:t>The Econometrics Journal</w:t>
      </w:r>
      <w:r w:rsidRPr="004624E7">
        <w:rPr>
          <w:lang w:eastAsia="ko-KR"/>
        </w:rPr>
        <w:t>, 11</w:t>
      </w:r>
      <w:r w:rsidR="004B21DD">
        <w:rPr>
          <w:lang w:eastAsia="ko-KR"/>
        </w:rPr>
        <w:t xml:space="preserve"> </w:t>
      </w:r>
      <w:r w:rsidRPr="004624E7">
        <w:rPr>
          <w:lang w:eastAsia="ko-KR"/>
        </w:rPr>
        <w:t>(1), 105-127.</w:t>
      </w:r>
    </w:p>
    <w:p w:rsidR="004B21DD" w:rsidRPr="004624E7" w:rsidRDefault="004B21DD"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Ruffer, R. and L. Stracca (2006). What is global excess liquidity, and does it matter? </w:t>
      </w:r>
      <w:r w:rsidRPr="004B21DD">
        <w:rPr>
          <w:i/>
          <w:lang w:eastAsia="ko-KR"/>
        </w:rPr>
        <w:t>ECB Working Paper</w:t>
      </w:r>
      <w:r w:rsidRPr="004624E7">
        <w:rPr>
          <w:lang w:eastAsia="ko-KR"/>
        </w:rPr>
        <w:t>, 696.</w:t>
      </w:r>
    </w:p>
    <w:p w:rsidR="004B21DD" w:rsidRPr="004624E7" w:rsidRDefault="004B21DD"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Sousa, J. and A. Zaghini (2007). </w:t>
      </w:r>
      <w:r w:rsidR="004B21DD" w:rsidRPr="004B21DD">
        <w:rPr>
          <w:lang w:eastAsia="ko-KR"/>
        </w:rPr>
        <w:t xml:space="preserve">Global monetary policy shocks in the G5: A SVAR approach. </w:t>
      </w:r>
      <w:r w:rsidR="004B21DD" w:rsidRPr="004B21DD">
        <w:rPr>
          <w:i/>
          <w:lang w:eastAsia="ko-KR"/>
        </w:rPr>
        <w:t>Journal of International Financial Markets, Institutions and Money</w:t>
      </w:r>
      <w:r w:rsidR="004B21DD" w:rsidRPr="004B21DD">
        <w:rPr>
          <w:lang w:eastAsia="ko-KR"/>
        </w:rPr>
        <w:t>, 17</w:t>
      </w:r>
      <w:r w:rsidR="004B21DD">
        <w:rPr>
          <w:lang w:eastAsia="ko-KR"/>
        </w:rPr>
        <w:t xml:space="preserve"> </w:t>
      </w:r>
      <w:r w:rsidR="004B21DD" w:rsidRPr="004B21DD">
        <w:rPr>
          <w:lang w:eastAsia="ko-KR"/>
        </w:rPr>
        <w:t>(5), 403-419.</w:t>
      </w:r>
    </w:p>
    <w:p w:rsidR="004B21DD" w:rsidRPr="004624E7" w:rsidRDefault="004B21DD"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Sousa, J. and A. Zaghini (2008). Monetary policy shocks in the euro area and global liquidity spillovers. </w:t>
      </w:r>
      <w:r w:rsidRPr="004B21DD">
        <w:rPr>
          <w:i/>
          <w:lang w:eastAsia="ko-KR"/>
        </w:rPr>
        <w:t>International Journal of Finance and Economics</w:t>
      </w:r>
      <w:r w:rsidRPr="004624E7">
        <w:rPr>
          <w:lang w:eastAsia="ko-KR"/>
        </w:rPr>
        <w:t xml:space="preserve">, 13, 205-218. </w:t>
      </w:r>
    </w:p>
    <w:p w:rsidR="004B21DD" w:rsidRPr="004624E7" w:rsidRDefault="004B21DD" w:rsidP="00CB4988">
      <w:pPr>
        <w:ind w:left="540" w:hanging="540"/>
        <w:jc w:val="both"/>
        <w:rPr>
          <w:lang w:eastAsia="ko-KR"/>
        </w:rPr>
      </w:pPr>
    </w:p>
    <w:p w:rsidR="00CB4988" w:rsidRDefault="00CB4988" w:rsidP="00CB4988">
      <w:pPr>
        <w:ind w:left="540" w:hanging="540"/>
        <w:jc w:val="both"/>
        <w:rPr>
          <w:lang w:eastAsia="ko-KR"/>
        </w:rPr>
      </w:pPr>
      <w:r w:rsidRPr="004624E7">
        <w:rPr>
          <w:lang w:eastAsia="ko-KR"/>
        </w:rPr>
        <w:t xml:space="preserve">Shin, H.S. (2013). The second phase of global liquidity and its impact on emerging economies. </w:t>
      </w:r>
      <w:r w:rsidR="004B21DD" w:rsidRPr="004B21DD">
        <w:rPr>
          <w:lang w:eastAsia="ko-KR"/>
        </w:rPr>
        <w:t xml:space="preserve">In </w:t>
      </w:r>
      <w:r w:rsidR="004B21DD" w:rsidRPr="004B21DD">
        <w:rPr>
          <w:i/>
          <w:lang w:eastAsia="ko-KR"/>
        </w:rPr>
        <w:t>Volatile Capital Flows in Korea</w:t>
      </w:r>
      <w:r w:rsidR="004B21DD" w:rsidRPr="004B21DD">
        <w:rPr>
          <w:lang w:eastAsia="ko-KR"/>
        </w:rPr>
        <w:t xml:space="preserve"> (247-257). Palgrave Macmillan, New York.</w:t>
      </w:r>
    </w:p>
    <w:p w:rsidR="004B21DD" w:rsidRPr="004624E7" w:rsidRDefault="004B21DD" w:rsidP="00CB4988">
      <w:pPr>
        <w:ind w:left="540" w:hanging="540"/>
        <w:jc w:val="both"/>
        <w:rPr>
          <w:lang w:eastAsia="ko-KR"/>
        </w:rPr>
      </w:pPr>
    </w:p>
    <w:p w:rsidR="00CB4988" w:rsidRPr="004624E7" w:rsidRDefault="00CB4988" w:rsidP="00CB4988">
      <w:pPr>
        <w:ind w:left="540" w:hanging="540"/>
        <w:jc w:val="both"/>
        <w:rPr>
          <w:lang w:eastAsia="ko-KR"/>
        </w:rPr>
      </w:pPr>
      <w:r w:rsidRPr="004624E7">
        <w:rPr>
          <w:lang w:eastAsia="ko-KR"/>
        </w:rPr>
        <w:t xml:space="preserve">Westerlund, J. (2008). Panel cointegration tests of the Fisher effect. </w:t>
      </w:r>
      <w:r w:rsidRPr="00E965F2">
        <w:rPr>
          <w:i/>
          <w:lang w:eastAsia="ko-KR"/>
        </w:rPr>
        <w:t>Journal of Applied Econometrics</w:t>
      </w:r>
      <w:r w:rsidRPr="004624E7">
        <w:rPr>
          <w:lang w:eastAsia="ko-KR"/>
        </w:rPr>
        <w:t>, 23</w:t>
      </w:r>
      <w:r w:rsidR="00E965F2">
        <w:rPr>
          <w:lang w:eastAsia="ko-KR"/>
        </w:rPr>
        <w:t xml:space="preserve"> </w:t>
      </w:r>
      <w:r w:rsidRPr="004624E7">
        <w:rPr>
          <w:lang w:eastAsia="ko-KR"/>
        </w:rPr>
        <w:t>(2), 193-233.</w:t>
      </w:r>
    </w:p>
    <w:sectPr w:rsidR="00CB4988" w:rsidRPr="004624E7" w:rsidSect="00E6460F">
      <w:headerReference w:type="even" r:id="rId20"/>
      <w:headerReference w:type="default" r:id="rId21"/>
      <w:footerReference w:type="even" r:id="rId22"/>
      <w:footerReference w:type="default" r:id="rId23"/>
      <w:pgSz w:w="11906" w:h="16838"/>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F8B" w:rsidRDefault="004D5F8B">
      <w:r>
        <w:separator/>
      </w:r>
    </w:p>
  </w:endnote>
  <w:endnote w:type="continuationSeparator" w:id="0">
    <w:p w:rsidR="004D5F8B" w:rsidRDefault="004D5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legaGarmnd BT">
    <w:altName w:val="Times New Roman"/>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49" w:rsidRDefault="00FB5CF6">
    <w:pPr>
      <w:pStyle w:val="Altbilgi"/>
      <w:jc w:val="center"/>
    </w:pPr>
    <w:r>
      <w:fldChar w:fldCharType="begin"/>
    </w:r>
    <w:r w:rsidR="00462DB2">
      <w:instrText xml:space="preserve"> PAGE   \* MERGEFORMAT </w:instrText>
    </w:r>
    <w:r>
      <w:fldChar w:fldCharType="separate"/>
    </w:r>
    <w:r w:rsidR="005F3E14">
      <w:rPr>
        <w:noProof/>
      </w:rPr>
      <w:t>2</w:t>
    </w:r>
    <w:r>
      <w:rPr>
        <w:noProof/>
      </w:rPr>
      <w:fldChar w:fldCharType="end"/>
    </w:r>
  </w:p>
  <w:p w:rsidR="00575049" w:rsidRDefault="00575049">
    <w:pPr>
      <w:pStyle w:val="Altbilgi"/>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49" w:rsidRDefault="00FB5CF6">
    <w:pPr>
      <w:pStyle w:val="Altbilgi"/>
      <w:jc w:val="center"/>
    </w:pPr>
    <w:r>
      <w:fldChar w:fldCharType="begin"/>
    </w:r>
    <w:r w:rsidR="00462DB2">
      <w:instrText xml:space="preserve"> PAGE   \* MERGEFORMAT </w:instrText>
    </w:r>
    <w:r>
      <w:fldChar w:fldCharType="separate"/>
    </w:r>
    <w:r w:rsidR="004D5F8B">
      <w:rPr>
        <w:noProof/>
      </w:rPr>
      <w:t>1</w:t>
    </w:r>
    <w:r>
      <w:rPr>
        <w:noProof/>
      </w:rPr>
      <w:fldChar w:fldCharType="end"/>
    </w:r>
  </w:p>
  <w:p w:rsidR="00575049" w:rsidRDefault="00575049">
    <w:pPr>
      <w:pStyle w:val="Altbilgi"/>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F8B" w:rsidRDefault="004D5F8B">
      <w:r>
        <w:separator/>
      </w:r>
    </w:p>
  </w:footnote>
  <w:footnote w:type="continuationSeparator" w:id="0">
    <w:p w:rsidR="004D5F8B" w:rsidRDefault="004D5F8B">
      <w:r>
        <w:continuationSeparator/>
      </w:r>
    </w:p>
  </w:footnote>
  <w:footnote w:id="1">
    <w:p w:rsidR="00575049" w:rsidRPr="00F57118" w:rsidRDefault="00575049" w:rsidP="00564F54">
      <w:pPr>
        <w:tabs>
          <w:tab w:val="left" w:pos="720"/>
          <w:tab w:val="center" w:pos="4680"/>
          <w:tab w:val="right" w:pos="9360"/>
        </w:tabs>
        <w:jc w:val="both"/>
        <w:rPr>
          <w:sz w:val="20"/>
          <w:szCs w:val="20"/>
        </w:rPr>
      </w:pPr>
      <w:r w:rsidRPr="00A848AF">
        <w:rPr>
          <w:rStyle w:val="DipnotBavurusu"/>
        </w:rPr>
        <w:sym w:font="Symbol" w:char="F0D2"/>
      </w:r>
      <w:r>
        <w:t xml:space="preserve"> </w:t>
      </w:r>
      <w:r w:rsidRPr="00F57118">
        <w:rPr>
          <w:sz w:val="20"/>
          <w:szCs w:val="20"/>
        </w:rPr>
        <w:t>Mesut Turkay</w:t>
      </w:r>
      <w:r w:rsidRPr="00A848AF">
        <w:rPr>
          <w:sz w:val="20"/>
          <w:szCs w:val="20"/>
        </w:rPr>
        <w:t xml:space="preserve">, </w:t>
      </w:r>
      <w:r w:rsidRPr="00F57118">
        <w:rPr>
          <w:sz w:val="20"/>
          <w:szCs w:val="20"/>
        </w:rPr>
        <w:t>Undersecretariat of Treasury, Republic of Turkey, Ankara</w:t>
      </w:r>
      <w:r w:rsidRPr="00A848AF">
        <w:rPr>
          <w:sz w:val="20"/>
          <w:szCs w:val="20"/>
        </w:rPr>
        <w:t>, (email:</w:t>
      </w:r>
      <w:r w:rsidRPr="00F57118">
        <w:t xml:space="preserve"> </w:t>
      </w:r>
      <w:hyperlink r:id="rId1" w:history="1">
        <w:r w:rsidRPr="00B96EC5">
          <w:rPr>
            <w:rStyle w:val="Kpr"/>
            <w:sz w:val="20"/>
            <w:szCs w:val="20"/>
          </w:rPr>
          <w:t>mesut.turkay@hazine.gov.tr</w:t>
        </w:r>
      </w:hyperlink>
      <w:r w:rsidRPr="00A848AF">
        <w:rPr>
          <w:sz w:val="20"/>
          <w:szCs w:val="20"/>
        </w:rPr>
        <w:t>)</w:t>
      </w:r>
      <w:r w:rsidRPr="0048372B">
        <w:rPr>
          <w:sz w:val="20"/>
          <w:szCs w:val="20"/>
        </w:rPr>
        <w:t>.</w:t>
      </w:r>
      <w:r>
        <w:rPr>
          <w:sz w:val="20"/>
          <w:szCs w:val="20"/>
        </w:rPr>
        <w:t xml:space="preserve"> </w:t>
      </w:r>
    </w:p>
  </w:footnote>
  <w:footnote w:id="2">
    <w:p w:rsidR="00575049" w:rsidRPr="00BF520A" w:rsidRDefault="00575049" w:rsidP="00BF520A">
      <w:pPr>
        <w:pStyle w:val="DipnotMetni"/>
        <w:jc w:val="both"/>
        <w:rPr>
          <w:lang w:val="tr-TR"/>
        </w:rPr>
      </w:pPr>
      <w:r>
        <w:rPr>
          <w:rStyle w:val="DipnotBavurusu"/>
        </w:rPr>
        <w:footnoteRef/>
      </w:r>
      <w:r>
        <w:t xml:space="preserve"> </w:t>
      </w:r>
      <w:r w:rsidRPr="00BF520A">
        <w:t>Central bank policy interest rate is also used instead of government bond yield as a robustness test. In that case, policy interest rate comes before global liquidity since policy interest rate affects global liquidity in the same period, while global liquidity impacts the policy interest rate decision of central banks only with a lag. Therefore, global liquidity is assumed to be more endogenous compared to policy interest rate.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49" w:rsidRPr="00D31123" w:rsidRDefault="00575049">
    <w:pPr>
      <w:pStyle w:val="stbilgi"/>
      <w:rPr>
        <w:i/>
        <w:iCs/>
        <w:color w:val="0095CA"/>
        <w:sz w:val="22"/>
      </w:rPr>
    </w:pPr>
    <w:r w:rsidRPr="00F57118">
      <w:rPr>
        <w:iCs/>
        <w:color w:val="0095CA"/>
        <w:sz w:val="22"/>
      </w:rPr>
      <w:t>Turkay</w:t>
    </w:r>
    <w:r w:rsidRPr="00866F11">
      <w:rPr>
        <w:i/>
        <w:iCs/>
        <w:color w:val="0095CA"/>
        <w:sz w:val="22"/>
      </w:rPr>
      <w:t>-</w:t>
    </w:r>
    <w:r w:rsidRPr="00F57118">
      <w:rPr>
        <w:i/>
        <w:iCs/>
        <w:color w:val="0095CA"/>
        <w:sz w:val="22"/>
      </w:rPr>
      <w:t>Does International Liquidity Matter For G-7 Countries? A PVAR Approach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49" w:rsidRPr="00D31123" w:rsidRDefault="00575049">
    <w:pPr>
      <w:pStyle w:val="stbilgi"/>
      <w:jc w:val="right"/>
    </w:pPr>
    <w:r w:rsidRPr="00D31123">
      <w:rPr>
        <w:i/>
        <w:iCs/>
        <w:color w:val="0095CA"/>
        <w:sz w:val="22"/>
      </w:rPr>
      <w:t>International Econometric Review (IER)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F46"/>
    <w:multiLevelType w:val="multilevel"/>
    <w:tmpl w:val="2B188482"/>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2033"/>
        </w:tabs>
        <w:ind w:left="2033" w:hanging="600"/>
      </w:pPr>
      <w:rPr>
        <w:rFonts w:hint="default"/>
      </w:rPr>
    </w:lvl>
    <w:lvl w:ilvl="2">
      <w:start w:val="1"/>
      <w:numFmt w:val="decimal"/>
      <w:lvlText w:val="%1.%2.%3."/>
      <w:lvlJc w:val="left"/>
      <w:pPr>
        <w:tabs>
          <w:tab w:val="num" w:pos="3586"/>
        </w:tabs>
        <w:ind w:left="3586" w:hanging="720"/>
      </w:pPr>
      <w:rPr>
        <w:rFonts w:hint="default"/>
      </w:rPr>
    </w:lvl>
    <w:lvl w:ilvl="3">
      <w:start w:val="1"/>
      <w:numFmt w:val="decimal"/>
      <w:lvlText w:val="%1.%2.%3.%4."/>
      <w:lvlJc w:val="left"/>
      <w:pPr>
        <w:tabs>
          <w:tab w:val="num" w:pos="5019"/>
        </w:tabs>
        <w:ind w:left="5019" w:hanging="720"/>
      </w:pPr>
      <w:rPr>
        <w:rFonts w:hint="default"/>
      </w:rPr>
    </w:lvl>
    <w:lvl w:ilvl="4">
      <w:start w:val="1"/>
      <w:numFmt w:val="decimal"/>
      <w:lvlText w:val="%1.%2.%3.%4.%5."/>
      <w:lvlJc w:val="left"/>
      <w:pPr>
        <w:tabs>
          <w:tab w:val="num" w:pos="6812"/>
        </w:tabs>
        <w:ind w:left="6812" w:hanging="1080"/>
      </w:pPr>
      <w:rPr>
        <w:rFonts w:hint="default"/>
      </w:rPr>
    </w:lvl>
    <w:lvl w:ilvl="5">
      <w:start w:val="1"/>
      <w:numFmt w:val="decimal"/>
      <w:lvlText w:val="%1.%2.%3.%4.%5.%6."/>
      <w:lvlJc w:val="left"/>
      <w:pPr>
        <w:tabs>
          <w:tab w:val="num" w:pos="8245"/>
        </w:tabs>
        <w:ind w:left="8245" w:hanging="1080"/>
      </w:pPr>
      <w:rPr>
        <w:rFonts w:hint="default"/>
      </w:rPr>
    </w:lvl>
    <w:lvl w:ilvl="6">
      <w:start w:val="1"/>
      <w:numFmt w:val="decimal"/>
      <w:lvlText w:val="%1.%2.%3.%4.%5.%6.%7."/>
      <w:lvlJc w:val="left"/>
      <w:pPr>
        <w:tabs>
          <w:tab w:val="num" w:pos="10038"/>
        </w:tabs>
        <w:ind w:left="10038" w:hanging="1440"/>
      </w:pPr>
      <w:rPr>
        <w:rFonts w:hint="default"/>
      </w:rPr>
    </w:lvl>
    <w:lvl w:ilvl="7">
      <w:start w:val="1"/>
      <w:numFmt w:val="decimal"/>
      <w:lvlText w:val="%1.%2.%3.%4.%5.%6.%7.%8."/>
      <w:lvlJc w:val="left"/>
      <w:pPr>
        <w:tabs>
          <w:tab w:val="num" w:pos="11471"/>
        </w:tabs>
        <w:ind w:left="11471" w:hanging="1440"/>
      </w:pPr>
      <w:rPr>
        <w:rFonts w:hint="default"/>
      </w:rPr>
    </w:lvl>
    <w:lvl w:ilvl="8">
      <w:start w:val="1"/>
      <w:numFmt w:val="decimal"/>
      <w:lvlText w:val="%1.%2.%3.%4.%5.%6.%7.%8.%9."/>
      <w:lvlJc w:val="left"/>
      <w:pPr>
        <w:tabs>
          <w:tab w:val="num" w:pos="13264"/>
        </w:tabs>
        <w:ind w:left="13264" w:hanging="1800"/>
      </w:pPr>
      <w:rPr>
        <w:rFonts w:hint="default"/>
      </w:rPr>
    </w:lvl>
  </w:abstractNum>
  <w:abstractNum w:abstractNumId="1">
    <w:nsid w:val="04BD666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1E097357"/>
    <w:multiLevelType w:val="hybridMultilevel"/>
    <w:tmpl w:val="087847E8"/>
    <w:lvl w:ilvl="0" w:tplc="04090001">
      <w:start w:val="1"/>
      <w:numFmt w:val="bullet"/>
      <w:lvlText w:val=""/>
      <w:lvlJc w:val="left"/>
      <w:pPr>
        <w:tabs>
          <w:tab w:val="num" w:pos="720"/>
        </w:tabs>
        <w:ind w:left="720" w:hanging="360"/>
      </w:pPr>
      <w:rPr>
        <w:rFonts w:ascii="Symbol" w:hAnsi="Symbol" w:cs="Symbol" w:hint="default"/>
      </w:rPr>
    </w:lvl>
    <w:lvl w:ilvl="1" w:tplc="1E949502">
      <w:start w:val="1"/>
      <w:numFmt w:val="bullet"/>
      <w:lvlText w:val=""/>
      <w:lvlJc w:val="left"/>
      <w:pPr>
        <w:tabs>
          <w:tab w:val="num" w:pos="1440"/>
        </w:tabs>
        <w:ind w:left="1440" w:hanging="360"/>
      </w:pPr>
      <w:rPr>
        <w:rFonts w:ascii="Wingdings" w:hAnsi="Wingdings" w:cs="Wingdings"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36FC1197"/>
    <w:multiLevelType w:val="hybridMultilevel"/>
    <w:tmpl w:val="77AC81D8"/>
    <w:lvl w:ilvl="0" w:tplc="B5203324">
      <w:start w:val="759"/>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27B17CA"/>
    <w:multiLevelType w:val="hybridMultilevel"/>
    <w:tmpl w:val="4F6AEF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47B72F8"/>
    <w:multiLevelType w:val="hybridMultilevel"/>
    <w:tmpl w:val="7436D0F2"/>
    <w:lvl w:ilvl="0" w:tplc="B3AA0684">
      <w:start w:val="776"/>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6212FAB"/>
    <w:multiLevelType w:val="hybridMultilevel"/>
    <w:tmpl w:val="D84C7F5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nsid w:val="47C17BAB"/>
    <w:multiLevelType w:val="multilevel"/>
    <w:tmpl w:val="2C8C742E"/>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55084DF7"/>
    <w:multiLevelType w:val="multilevel"/>
    <w:tmpl w:val="6AC2ED8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82F447B"/>
    <w:multiLevelType w:val="multilevel"/>
    <w:tmpl w:val="EA5ED04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2F7693F"/>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3F5010E"/>
    <w:multiLevelType w:val="hybridMultilevel"/>
    <w:tmpl w:val="632037CE"/>
    <w:lvl w:ilvl="0" w:tplc="22A6A870">
      <w:start w:val="87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3"/>
  </w:num>
  <w:num w:numId="3">
    <w:abstractNumId w:val="11"/>
  </w:num>
  <w:num w:numId="4">
    <w:abstractNumId w:val="4"/>
  </w:num>
  <w:num w:numId="5">
    <w:abstractNumId w:val="6"/>
  </w:num>
  <w:num w:numId="6">
    <w:abstractNumId w:val="10"/>
  </w:num>
  <w:num w:numId="7">
    <w:abstractNumId w:val="1"/>
  </w:num>
  <w:num w:numId="8">
    <w:abstractNumId w:val="2"/>
  </w:num>
  <w:num w:numId="9">
    <w:abstractNumId w:val="9"/>
  </w:num>
  <w:num w:numId="10">
    <w:abstractNumId w:val="7"/>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evenAndOddHeaders/>
  <w:characterSpacingControl w:val="doNotCompress"/>
  <w:savePreviewPicture/>
  <w:hdrShapeDefaults>
    <o:shapedefaults v:ext="edit" spidmax="5122"/>
  </w:hdrShapeDefaults>
  <w:footnotePr>
    <w:footnote w:id="-1"/>
    <w:footnote w:id="0"/>
  </w:footnotePr>
  <w:endnotePr>
    <w:endnote w:id="-1"/>
    <w:endnote w:id="0"/>
  </w:endnotePr>
  <w:compat/>
  <w:rsids>
    <w:rsidRoot w:val="00C261DC"/>
    <w:rsid w:val="000073C8"/>
    <w:rsid w:val="000516BD"/>
    <w:rsid w:val="00073E09"/>
    <w:rsid w:val="00087BFB"/>
    <w:rsid w:val="00110C43"/>
    <w:rsid w:val="00111B0F"/>
    <w:rsid w:val="00113111"/>
    <w:rsid w:val="001167AB"/>
    <w:rsid w:val="001541A2"/>
    <w:rsid w:val="001622FF"/>
    <w:rsid w:val="001625EC"/>
    <w:rsid w:val="00192F70"/>
    <w:rsid w:val="001A4D75"/>
    <w:rsid w:val="001C325B"/>
    <w:rsid w:val="001C589C"/>
    <w:rsid w:val="001F1673"/>
    <w:rsid w:val="001F56DB"/>
    <w:rsid w:val="001F5A60"/>
    <w:rsid w:val="002204E2"/>
    <w:rsid w:val="0023455B"/>
    <w:rsid w:val="00234A3E"/>
    <w:rsid w:val="002524A5"/>
    <w:rsid w:val="00252CFA"/>
    <w:rsid w:val="0025469D"/>
    <w:rsid w:val="00271B19"/>
    <w:rsid w:val="002724D3"/>
    <w:rsid w:val="002B13F4"/>
    <w:rsid w:val="002D16E0"/>
    <w:rsid w:val="002D7A21"/>
    <w:rsid w:val="00346125"/>
    <w:rsid w:val="00347199"/>
    <w:rsid w:val="00356E19"/>
    <w:rsid w:val="003C4E23"/>
    <w:rsid w:val="003C7B03"/>
    <w:rsid w:val="003E3B0B"/>
    <w:rsid w:val="003E6606"/>
    <w:rsid w:val="00431E24"/>
    <w:rsid w:val="00461130"/>
    <w:rsid w:val="004624E7"/>
    <w:rsid w:val="00462DB2"/>
    <w:rsid w:val="00463616"/>
    <w:rsid w:val="00477B2C"/>
    <w:rsid w:val="0048372B"/>
    <w:rsid w:val="00497EFB"/>
    <w:rsid w:val="004B21DD"/>
    <w:rsid w:val="004C7CD0"/>
    <w:rsid w:val="004D5E2D"/>
    <w:rsid w:val="004D5F8B"/>
    <w:rsid w:val="0050515B"/>
    <w:rsid w:val="00542C92"/>
    <w:rsid w:val="00564F54"/>
    <w:rsid w:val="00566915"/>
    <w:rsid w:val="00575049"/>
    <w:rsid w:val="00593901"/>
    <w:rsid w:val="00595678"/>
    <w:rsid w:val="005A0F23"/>
    <w:rsid w:val="005A3A54"/>
    <w:rsid w:val="005A610F"/>
    <w:rsid w:val="005C1A5A"/>
    <w:rsid w:val="005E19CF"/>
    <w:rsid w:val="005F3E14"/>
    <w:rsid w:val="00616226"/>
    <w:rsid w:val="006533BB"/>
    <w:rsid w:val="00680005"/>
    <w:rsid w:val="006837A7"/>
    <w:rsid w:val="006D28C5"/>
    <w:rsid w:val="006D4677"/>
    <w:rsid w:val="006F4E20"/>
    <w:rsid w:val="00764FBC"/>
    <w:rsid w:val="0078525F"/>
    <w:rsid w:val="00792BE7"/>
    <w:rsid w:val="007939F9"/>
    <w:rsid w:val="007A292F"/>
    <w:rsid w:val="007B0F00"/>
    <w:rsid w:val="007D11AC"/>
    <w:rsid w:val="0081598F"/>
    <w:rsid w:val="00846692"/>
    <w:rsid w:val="00850B83"/>
    <w:rsid w:val="00851941"/>
    <w:rsid w:val="00851BEC"/>
    <w:rsid w:val="00862AE2"/>
    <w:rsid w:val="008824DB"/>
    <w:rsid w:val="008A0306"/>
    <w:rsid w:val="008A5C55"/>
    <w:rsid w:val="008A6BAB"/>
    <w:rsid w:val="008F2162"/>
    <w:rsid w:val="00902ACB"/>
    <w:rsid w:val="00912443"/>
    <w:rsid w:val="0092669E"/>
    <w:rsid w:val="0094529F"/>
    <w:rsid w:val="00947F27"/>
    <w:rsid w:val="00954094"/>
    <w:rsid w:val="00956627"/>
    <w:rsid w:val="009667B2"/>
    <w:rsid w:val="0096777A"/>
    <w:rsid w:val="0097070F"/>
    <w:rsid w:val="00987600"/>
    <w:rsid w:val="00992FA9"/>
    <w:rsid w:val="00997AD3"/>
    <w:rsid w:val="009C11AD"/>
    <w:rsid w:val="009C5E41"/>
    <w:rsid w:val="009C63AC"/>
    <w:rsid w:val="009D5DB7"/>
    <w:rsid w:val="009E45C6"/>
    <w:rsid w:val="009F5620"/>
    <w:rsid w:val="00A21EAD"/>
    <w:rsid w:val="00A26EAC"/>
    <w:rsid w:val="00A330BD"/>
    <w:rsid w:val="00A37775"/>
    <w:rsid w:val="00A40CDA"/>
    <w:rsid w:val="00A45B8A"/>
    <w:rsid w:val="00A61599"/>
    <w:rsid w:val="00A64020"/>
    <w:rsid w:val="00A67517"/>
    <w:rsid w:val="00A97653"/>
    <w:rsid w:val="00AC0956"/>
    <w:rsid w:val="00AC7942"/>
    <w:rsid w:val="00AE3A03"/>
    <w:rsid w:val="00AF65BE"/>
    <w:rsid w:val="00AF7B7A"/>
    <w:rsid w:val="00B0481E"/>
    <w:rsid w:val="00B14EA8"/>
    <w:rsid w:val="00B22D7C"/>
    <w:rsid w:val="00B26E86"/>
    <w:rsid w:val="00B2768E"/>
    <w:rsid w:val="00BB3252"/>
    <w:rsid w:val="00BD0DF1"/>
    <w:rsid w:val="00BF520A"/>
    <w:rsid w:val="00C04F58"/>
    <w:rsid w:val="00C261DC"/>
    <w:rsid w:val="00C426AF"/>
    <w:rsid w:val="00C53B76"/>
    <w:rsid w:val="00C5435E"/>
    <w:rsid w:val="00C728E7"/>
    <w:rsid w:val="00CB4988"/>
    <w:rsid w:val="00D04163"/>
    <w:rsid w:val="00D165E2"/>
    <w:rsid w:val="00D31123"/>
    <w:rsid w:val="00D31B25"/>
    <w:rsid w:val="00D43EA0"/>
    <w:rsid w:val="00D509C4"/>
    <w:rsid w:val="00DB1F72"/>
    <w:rsid w:val="00DB6F1B"/>
    <w:rsid w:val="00DF6B0C"/>
    <w:rsid w:val="00E20F32"/>
    <w:rsid w:val="00E21CBC"/>
    <w:rsid w:val="00E2752E"/>
    <w:rsid w:val="00E40A56"/>
    <w:rsid w:val="00E443D0"/>
    <w:rsid w:val="00E51B48"/>
    <w:rsid w:val="00E6460F"/>
    <w:rsid w:val="00E94AFB"/>
    <w:rsid w:val="00E965F2"/>
    <w:rsid w:val="00EA3015"/>
    <w:rsid w:val="00EC34F4"/>
    <w:rsid w:val="00EC38A3"/>
    <w:rsid w:val="00EC47F5"/>
    <w:rsid w:val="00ED0630"/>
    <w:rsid w:val="00ED2E6E"/>
    <w:rsid w:val="00F20F6B"/>
    <w:rsid w:val="00F36780"/>
    <w:rsid w:val="00F554B6"/>
    <w:rsid w:val="00F57118"/>
    <w:rsid w:val="00F97BA8"/>
    <w:rsid w:val="00FB2365"/>
    <w:rsid w:val="00FB432C"/>
    <w:rsid w:val="00FB475D"/>
    <w:rsid w:val="00FB5CF6"/>
    <w:rsid w:val="00FC284D"/>
    <w:rsid w:val="00FE1F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76"/>
    <w:rPr>
      <w:sz w:val="24"/>
      <w:szCs w:val="24"/>
      <w:lang w:val="en-US" w:eastAsia="en-US"/>
    </w:rPr>
  </w:style>
  <w:style w:type="paragraph" w:styleId="Balk1">
    <w:name w:val="heading 1"/>
    <w:basedOn w:val="Normal"/>
    <w:next w:val="Normal"/>
    <w:qFormat/>
    <w:rsid w:val="00E6460F"/>
    <w:pPr>
      <w:keepNext/>
      <w:jc w:val="center"/>
      <w:outlineLvl w:val="0"/>
    </w:pPr>
    <w:rPr>
      <w:b/>
      <w:bCs/>
      <w:lang w:val="en-GB"/>
    </w:rPr>
  </w:style>
  <w:style w:type="paragraph" w:styleId="Balk2">
    <w:name w:val="heading 2"/>
    <w:basedOn w:val="Normal"/>
    <w:next w:val="Normal"/>
    <w:qFormat/>
    <w:rsid w:val="00E6460F"/>
    <w:pPr>
      <w:keepNext/>
      <w:outlineLvl w:val="1"/>
    </w:pPr>
    <w:rPr>
      <w:b/>
      <w:bCs/>
      <w:lang w:val="en-GB"/>
    </w:rPr>
  </w:style>
  <w:style w:type="paragraph" w:styleId="Balk3">
    <w:name w:val="heading 3"/>
    <w:basedOn w:val="Normal"/>
    <w:next w:val="Normal"/>
    <w:qFormat/>
    <w:rsid w:val="00E6460F"/>
    <w:pPr>
      <w:keepNext/>
      <w:spacing w:before="240"/>
      <w:outlineLvl w:val="2"/>
    </w:pPr>
    <w:rPr>
      <w:rFonts w:cs="Arial"/>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E6460F"/>
    <w:rPr>
      <w:vertAlign w:val="superscript"/>
    </w:rPr>
  </w:style>
  <w:style w:type="character" w:styleId="Kpr">
    <w:name w:val="Hyperlink"/>
    <w:basedOn w:val="VarsaylanParagrafYazTipi"/>
    <w:rsid w:val="00E6460F"/>
    <w:rPr>
      <w:color w:val="0000FF"/>
      <w:u w:val="single"/>
    </w:rPr>
  </w:style>
  <w:style w:type="paragraph" w:styleId="DipnotMetni">
    <w:name w:val="footnote text"/>
    <w:basedOn w:val="Normal"/>
    <w:semiHidden/>
    <w:rsid w:val="00E6460F"/>
    <w:rPr>
      <w:sz w:val="20"/>
      <w:szCs w:val="20"/>
    </w:rPr>
  </w:style>
  <w:style w:type="character" w:styleId="SayfaNumaras">
    <w:name w:val="page number"/>
    <w:basedOn w:val="VarsaylanParagrafYazTipi"/>
    <w:rsid w:val="00E6460F"/>
  </w:style>
  <w:style w:type="paragraph" w:styleId="Altbilgi">
    <w:name w:val="footer"/>
    <w:basedOn w:val="Normal"/>
    <w:link w:val="AltbilgiChar"/>
    <w:uiPriority w:val="99"/>
    <w:rsid w:val="00E6460F"/>
    <w:pPr>
      <w:tabs>
        <w:tab w:val="center" w:pos="4536"/>
        <w:tab w:val="right" w:pos="9072"/>
      </w:tabs>
    </w:pPr>
  </w:style>
  <w:style w:type="paragraph" w:styleId="GvdeMetni">
    <w:name w:val="Body Text"/>
    <w:basedOn w:val="Normal"/>
    <w:rsid w:val="00E6460F"/>
    <w:pPr>
      <w:jc w:val="center"/>
    </w:pPr>
    <w:rPr>
      <w:b/>
      <w:sz w:val="28"/>
      <w:lang w:val="en-GB"/>
    </w:rPr>
  </w:style>
  <w:style w:type="paragraph" w:styleId="stbilgi">
    <w:name w:val="header"/>
    <w:basedOn w:val="Normal"/>
    <w:link w:val="stbilgiChar"/>
    <w:uiPriority w:val="99"/>
    <w:rsid w:val="00E6460F"/>
    <w:pPr>
      <w:tabs>
        <w:tab w:val="center" w:pos="4536"/>
        <w:tab w:val="right" w:pos="9072"/>
      </w:tabs>
    </w:pPr>
  </w:style>
  <w:style w:type="paragraph" w:styleId="GvdeMetniGirintisi">
    <w:name w:val="Body Text Indent"/>
    <w:basedOn w:val="Normal"/>
    <w:rsid w:val="00E6460F"/>
    <w:pPr>
      <w:ind w:left="540" w:hanging="540"/>
    </w:pPr>
    <w:rPr>
      <w:lang w:val="en-GB"/>
    </w:rPr>
  </w:style>
  <w:style w:type="character" w:styleId="zlenenKpr">
    <w:name w:val="FollowedHyperlink"/>
    <w:basedOn w:val="VarsaylanParagrafYazTipi"/>
    <w:rsid w:val="00E6460F"/>
    <w:rPr>
      <w:color w:val="800080"/>
      <w:u w:val="single"/>
    </w:rPr>
  </w:style>
  <w:style w:type="paragraph" w:styleId="Kaynaka">
    <w:name w:val="table of authorities"/>
    <w:basedOn w:val="Normal"/>
    <w:next w:val="Normal"/>
    <w:autoRedefine/>
    <w:semiHidden/>
    <w:rsid w:val="00BD0DF1"/>
    <w:pPr>
      <w:spacing w:beforeLines="120" w:afterLines="120"/>
      <w:ind w:left="540" w:hanging="540"/>
      <w:jc w:val="both"/>
    </w:pPr>
    <w:rPr>
      <w:rFonts w:eastAsia="Batang"/>
      <w:lang w:val="en-GB" w:eastAsia="ko-KR"/>
    </w:rPr>
  </w:style>
  <w:style w:type="paragraph" w:customStyle="1" w:styleId="Balk">
    <w:name w:val="Başlık"/>
    <w:basedOn w:val="Normal"/>
    <w:rsid w:val="00E6460F"/>
    <w:pPr>
      <w:spacing w:before="120" w:line="252" w:lineRule="auto"/>
      <w:ind w:left="993" w:hanging="993"/>
      <w:jc w:val="both"/>
    </w:pPr>
    <w:rPr>
      <w:rFonts w:ascii="ElegaGarmnd BT" w:hAnsi="ElegaGarmnd BT"/>
      <w:b/>
      <w:snapToGrid w:val="0"/>
      <w:sz w:val="23"/>
      <w:szCs w:val="20"/>
      <w:lang w:val="tr-TR" w:eastAsia="tr-TR"/>
    </w:rPr>
  </w:style>
  <w:style w:type="paragraph" w:styleId="GvdeMetni2">
    <w:name w:val="Body Text 2"/>
    <w:basedOn w:val="Normal"/>
    <w:rsid w:val="00E6460F"/>
    <w:pPr>
      <w:jc w:val="both"/>
    </w:pPr>
    <w:rPr>
      <w:lang w:val="fr-FR"/>
    </w:rPr>
  </w:style>
  <w:style w:type="character" w:customStyle="1" w:styleId="AltbilgiChar">
    <w:name w:val="Altbilgi Char"/>
    <w:basedOn w:val="VarsaylanParagrafYazTipi"/>
    <w:link w:val="Altbilgi"/>
    <w:uiPriority w:val="99"/>
    <w:rsid w:val="00FC284D"/>
    <w:rPr>
      <w:sz w:val="24"/>
      <w:szCs w:val="24"/>
      <w:lang w:val="en-US" w:eastAsia="en-US"/>
    </w:rPr>
  </w:style>
  <w:style w:type="character" w:customStyle="1" w:styleId="stbilgiChar">
    <w:name w:val="Üstbilgi Char"/>
    <w:basedOn w:val="VarsaylanParagrafYazTipi"/>
    <w:link w:val="stbilgi"/>
    <w:uiPriority w:val="99"/>
    <w:rsid w:val="00FC284D"/>
    <w:rPr>
      <w:sz w:val="24"/>
      <w:szCs w:val="24"/>
      <w:lang w:val="en-US" w:eastAsia="en-US"/>
    </w:rPr>
  </w:style>
  <w:style w:type="paragraph" w:customStyle="1" w:styleId="Style10">
    <w:name w:val="Style10"/>
    <w:basedOn w:val="Normal"/>
    <w:rsid w:val="006D28C5"/>
    <w:pPr>
      <w:widowControl w:val="0"/>
      <w:autoSpaceDE w:val="0"/>
      <w:autoSpaceDN w:val="0"/>
      <w:adjustRightInd w:val="0"/>
      <w:spacing w:line="433" w:lineRule="exact"/>
      <w:jc w:val="both"/>
    </w:pPr>
    <w:rPr>
      <w:lang w:val="en-GB" w:eastAsia="en-GB"/>
    </w:rPr>
  </w:style>
  <w:style w:type="paragraph" w:customStyle="1" w:styleId="Style11">
    <w:name w:val="Style11"/>
    <w:basedOn w:val="Normal"/>
    <w:rsid w:val="006D28C5"/>
    <w:pPr>
      <w:widowControl w:val="0"/>
      <w:autoSpaceDE w:val="0"/>
      <w:autoSpaceDN w:val="0"/>
      <w:adjustRightInd w:val="0"/>
      <w:spacing w:line="434" w:lineRule="exact"/>
      <w:ind w:firstLine="355"/>
      <w:jc w:val="both"/>
    </w:pPr>
    <w:rPr>
      <w:lang w:val="en-GB" w:eastAsia="en-GB"/>
    </w:rPr>
  </w:style>
  <w:style w:type="character" w:customStyle="1" w:styleId="FontStyle59">
    <w:name w:val="Font Style59"/>
    <w:basedOn w:val="VarsaylanParagrafYazTipi"/>
    <w:rsid w:val="006D28C5"/>
    <w:rPr>
      <w:rFonts w:ascii="Times New Roman" w:hAnsi="Times New Roman" w:cs="Times New Roman"/>
      <w:b/>
      <w:bCs/>
      <w:i/>
      <w:iCs/>
      <w:spacing w:val="10"/>
      <w:sz w:val="22"/>
      <w:szCs w:val="22"/>
    </w:rPr>
  </w:style>
  <w:style w:type="character" w:customStyle="1" w:styleId="FontStyle66">
    <w:name w:val="Font Style66"/>
    <w:basedOn w:val="VarsaylanParagrafYazTipi"/>
    <w:rsid w:val="006D28C5"/>
    <w:rPr>
      <w:rFonts w:ascii="Times New Roman" w:hAnsi="Times New Roman" w:cs="Times New Roman"/>
      <w:sz w:val="22"/>
      <w:szCs w:val="22"/>
    </w:rPr>
  </w:style>
  <w:style w:type="paragraph" w:styleId="BalonMetni">
    <w:name w:val="Balloon Text"/>
    <w:basedOn w:val="Normal"/>
    <w:link w:val="BalonMetniChar"/>
    <w:uiPriority w:val="99"/>
    <w:semiHidden/>
    <w:unhideWhenUsed/>
    <w:rsid w:val="000073C8"/>
    <w:rPr>
      <w:rFonts w:ascii="Tahoma" w:hAnsi="Tahoma" w:cs="Tahoma"/>
      <w:sz w:val="16"/>
      <w:szCs w:val="16"/>
    </w:rPr>
  </w:style>
  <w:style w:type="character" w:customStyle="1" w:styleId="BalonMetniChar">
    <w:name w:val="Balon Metni Char"/>
    <w:basedOn w:val="VarsaylanParagrafYazTipi"/>
    <w:link w:val="BalonMetni"/>
    <w:uiPriority w:val="99"/>
    <w:semiHidden/>
    <w:rsid w:val="000073C8"/>
    <w:rPr>
      <w:rFonts w:ascii="Tahoma" w:hAnsi="Tahoma" w:cs="Tahoma"/>
      <w:sz w:val="16"/>
      <w:szCs w:val="16"/>
      <w:lang w:val="en-US" w:eastAsia="en-US"/>
    </w:rPr>
  </w:style>
  <w:style w:type="table" w:styleId="TabloKlavuzu">
    <w:name w:val="Table Grid"/>
    <w:basedOn w:val="NormalTablo"/>
    <w:uiPriority w:val="39"/>
    <w:rsid w:val="00A615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esut.turkay@hazine.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359BB-BE83-4860-9A07-077182FF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5407</Words>
  <Characters>30824</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Prof</vt:lpstr>
    </vt:vector>
  </TitlesOfParts>
  <Company>efst</Company>
  <LinksUpToDate>false</LinksUpToDate>
  <CharactersWithSpaces>36159</CharactersWithSpaces>
  <SharedDoc>false</SharedDoc>
  <HLinks>
    <vt:vector size="30" baseType="variant">
      <vt:variant>
        <vt:i4>1376269</vt:i4>
      </vt:variant>
      <vt:variant>
        <vt:i4>15</vt:i4>
      </vt:variant>
      <vt:variant>
        <vt:i4>0</vt:i4>
      </vt:variant>
      <vt:variant>
        <vt:i4>5</vt:i4>
      </vt:variant>
      <vt:variant>
        <vt:lpwstr>http://www.stern.nyu.edu/fin/workpapers/papers99/wpa99061.pdf</vt:lpwstr>
      </vt:variant>
      <vt:variant>
        <vt:lpwstr/>
      </vt:variant>
      <vt:variant>
        <vt:i4>196702</vt:i4>
      </vt:variant>
      <vt:variant>
        <vt:i4>12</vt:i4>
      </vt:variant>
      <vt:variant>
        <vt:i4>0</vt:i4>
      </vt:variant>
      <vt:variant>
        <vt:i4>5</vt:i4>
      </vt:variant>
      <vt:variant>
        <vt:lpwstr>http://www.stat.berkeley.edu/~census/rothsag.pdf</vt:lpwstr>
      </vt:variant>
      <vt:variant>
        <vt:lpwstr/>
      </vt:variant>
      <vt:variant>
        <vt:i4>5767235</vt:i4>
      </vt:variant>
      <vt:variant>
        <vt:i4>9</vt:i4>
      </vt:variant>
      <vt:variant>
        <vt:i4>0</vt:i4>
      </vt:variant>
      <vt:variant>
        <vt:i4>5</vt:i4>
      </vt:variant>
      <vt:variant>
        <vt:lpwstr>http://cepa.newschool.edu/het/essays/sequence/seqhome.htm</vt:lpwstr>
      </vt:variant>
      <vt:variant>
        <vt:lpwstr/>
      </vt:variant>
      <vt:variant>
        <vt:i4>4456530</vt:i4>
      </vt:variant>
      <vt:variant>
        <vt:i4>6</vt:i4>
      </vt:variant>
      <vt:variant>
        <vt:i4>0</vt:i4>
      </vt:variant>
      <vt:variant>
        <vt:i4>5</vt:i4>
      </vt:variant>
      <vt:variant>
        <vt:lpwstr>http://arxiv.org/abs/0804.3173v6</vt:lpwstr>
      </vt:variant>
      <vt:variant>
        <vt:lpwstr/>
      </vt:variant>
      <vt:variant>
        <vt:i4>2555904</vt:i4>
      </vt:variant>
      <vt:variant>
        <vt:i4>0</vt:i4>
      </vt:variant>
      <vt:variant>
        <vt:i4>0</vt:i4>
      </vt:variant>
      <vt:variant>
        <vt:i4>5</vt:i4>
      </vt:variant>
      <vt:variant>
        <vt:lpwstr>mailto:mesut.turkay@hazine.gov.tr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djelatnik</dc:creator>
  <cp:lastModifiedBy>internet</cp:lastModifiedBy>
  <cp:revision>2</cp:revision>
  <cp:lastPrinted>2017-12-29T02:53:00Z</cp:lastPrinted>
  <dcterms:created xsi:type="dcterms:W3CDTF">2017-12-29T14:21:00Z</dcterms:created>
  <dcterms:modified xsi:type="dcterms:W3CDTF">2017-12-29T14:21:00Z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-1741428757</vt:i4>
  </property>
  <property fmtid="{D5CDD505-2E9C-101B-9397-08002B2CF9AE}" pid="3" name="_EmailSubject">
    <vt:lpwstr>ekte gönd.</vt:lpwstr>
  </property>
  <property fmtid="{D5CDD505-2E9C-101B-9397-08002B2CF9AE}" pid="4" name="_AuthorEmail">
    <vt:lpwstr>can.aktan@yasar.edu.tr</vt:lpwstr>
  </property>
  <property fmtid="{D5CDD505-2E9C-101B-9397-08002B2CF9AE}" pid="5" name="_AuthorEmailDisplayName">
    <vt:lpwstr>Coşkun Can Aktan</vt:lpwstr>
  </property>
  <property fmtid="{D5CDD505-2E9C-101B-9397-08002B2CF9AE}" pid="6" name="_PreviousAdHocReviewCycleID">
    <vt:i4>-2106148744</vt:i4>
  </property>
  <property fmtid="{D5CDD505-2E9C-101B-9397-08002B2CF9AE}" pid="7" name="_ReviewingToolsShownOnce">
    <vt:lpwstr/>
  </property>
</Properties>
</file>