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30" w:rsidRPr="00837F30" w:rsidRDefault="00837F30" w:rsidP="00837F30">
      <w:pPr>
        <w:rPr>
          <w:rFonts w:eastAsia="BatangChe" w:cs="Times New Roman"/>
          <w:b/>
        </w:rPr>
      </w:pPr>
      <w:r w:rsidRPr="00837F30">
        <w:rPr>
          <w:rFonts w:eastAsia="BatangChe" w:cs="Times New Roman"/>
          <w:b/>
        </w:rPr>
        <w:t>HİDROSALPİNKS TANISINDA ULTRASONOGRAFİ VE HİSTEROSALPİNGOGRAFİ YETERİNCE GÜVENİLİR Mİ?</w:t>
      </w:r>
    </w:p>
    <w:p w:rsidR="00837F30" w:rsidRPr="00837F30" w:rsidRDefault="00837F30" w:rsidP="00837F30">
      <w:pPr>
        <w:autoSpaceDE w:val="0"/>
        <w:autoSpaceDN w:val="0"/>
        <w:adjustRightInd w:val="0"/>
        <w:spacing w:after="0" w:line="240" w:lineRule="auto"/>
        <w:rPr>
          <w:rFonts w:eastAsia="BatangChe" w:cs="Times New Roman"/>
          <w:b/>
          <w:bCs/>
        </w:rPr>
      </w:pPr>
      <w:r w:rsidRPr="00837F30">
        <w:rPr>
          <w:rFonts w:eastAsia="BatangChe" w:cs="Times New Roman"/>
          <w:b/>
          <w:bCs/>
        </w:rPr>
        <w:t>ÖZET</w:t>
      </w:r>
    </w:p>
    <w:p w:rsidR="00837F30" w:rsidRPr="00837F30" w:rsidRDefault="00837F30" w:rsidP="00837F30">
      <w:pPr>
        <w:autoSpaceDE w:val="0"/>
        <w:autoSpaceDN w:val="0"/>
        <w:adjustRightInd w:val="0"/>
        <w:spacing w:after="0" w:line="240" w:lineRule="auto"/>
        <w:rPr>
          <w:rFonts w:eastAsia="BatangChe" w:cs="Times New Roman"/>
          <w:b/>
          <w:bCs/>
        </w:rPr>
      </w:pPr>
    </w:p>
    <w:p w:rsidR="00837F30" w:rsidRPr="00837F30" w:rsidRDefault="00837F30" w:rsidP="00837F30">
      <w:pPr>
        <w:rPr>
          <w:rFonts w:eastAsia="BatangChe" w:cs="Times New Roman"/>
        </w:rPr>
      </w:pPr>
      <w:r w:rsidRPr="00837F30">
        <w:rPr>
          <w:rFonts w:eastAsia="BatangChe" w:cs="Times New Roman"/>
          <w:b/>
        </w:rPr>
        <w:t xml:space="preserve">AMAÇ: </w:t>
      </w:r>
      <w:r w:rsidRPr="00837F30">
        <w:rPr>
          <w:rFonts w:eastAsia="BatangChe" w:cs="Times New Roman"/>
        </w:rPr>
        <w:t xml:space="preserve">İnfertil hastaların uterin boşluğu ve fallop tüplerini ilk basamak değerlendirme ultrasonografi (USG) ile olup bir sonraki aşamada diğer gelişmiş ve etkili yöntemler olmasına rağmen histerosalpingografi (HSG)ucuz, kolaylıkla erişilebilir ve yorumlanması kolay olduğundan yaygın olarak kullanılmaktadır. Çalışmamızda HSG ve USG sonucunda hidrosalpinks ön tanısı konulan hastaların laparoskopi ile korelasyonunu değerlendirerek HSG’nin ve USG’nin hidrosalpinks tanısı koymadaki değeri ve birbirlerine üstünlüğü olup </w:t>
      </w:r>
      <w:proofErr w:type="gramStart"/>
      <w:r w:rsidRPr="00837F30">
        <w:rPr>
          <w:rFonts w:eastAsia="BatangChe" w:cs="Times New Roman"/>
        </w:rPr>
        <w:t>olmadığını  göstermeyi</w:t>
      </w:r>
      <w:proofErr w:type="gramEnd"/>
      <w:r w:rsidRPr="00837F30">
        <w:rPr>
          <w:rFonts w:eastAsia="BatangChe" w:cs="Times New Roman"/>
        </w:rPr>
        <w:t xml:space="preserve"> amaçladık.</w:t>
      </w:r>
    </w:p>
    <w:p w:rsidR="00837F30" w:rsidRPr="00837F30" w:rsidRDefault="00837F30" w:rsidP="00837F30">
      <w:pPr>
        <w:autoSpaceDE w:val="0"/>
        <w:autoSpaceDN w:val="0"/>
        <w:adjustRightInd w:val="0"/>
        <w:spacing w:after="0"/>
        <w:rPr>
          <w:rFonts w:eastAsia="BatangChe" w:cs="Times New Roman"/>
        </w:rPr>
      </w:pPr>
      <w:proofErr w:type="gramStart"/>
      <w:r w:rsidRPr="00837F30">
        <w:rPr>
          <w:rFonts w:eastAsia="BatangChe" w:cs="Times New Roman"/>
          <w:b/>
        </w:rPr>
        <w:t>YÖNTEM:</w:t>
      </w:r>
      <w:r w:rsidRPr="00837F30">
        <w:rPr>
          <w:rFonts w:eastAsia="BatangChe" w:cs="Times New Roman"/>
        </w:rPr>
        <w:t>Çalışmaya</w:t>
      </w:r>
      <w:proofErr w:type="gramEnd"/>
      <w:r w:rsidRPr="00837F30">
        <w:rPr>
          <w:rFonts w:eastAsia="BatangChe" w:cs="Times New Roman"/>
        </w:rPr>
        <w:t xml:space="preserve"> 1 Ağustos 2015 ile 1 Nisan 2017 tarihleri arasında hastanemizin kadın doğum polikliniklerine infertilite nedeniyle ile başvuranHSG’de ya da USG’de hidrosalpinks saptanan 48 hasta dahil edildi. Tüm hastalar genel anestezi altında, laparoskopi ile opere edildi. Laparoskopide her iki tuba </w:t>
      </w:r>
      <w:proofErr w:type="gramStart"/>
      <w:r w:rsidRPr="00837F30">
        <w:rPr>
          <w:rFonts w:eastAsia="BatangChe" w:cs="Times New Roman"/>
        </w:rPr>
        <w:t>serbest  metilen</w:t>
      </w:r>
      <w:proofErr w:type="gramEnd"/>
      <w:r w:rsidRPr="00837F30">
        <w:rPr>
          <w:rFonts w:eastAsia="BatangChe" w:cs="Times New Roman"/>
        </w:rPr>
        <w:t xml:space="preserve"> mavisi geçişi değerlendirildi. HSG veya USG sonucu ile laparoskopi sonucunun korele olmaması HSG’nin ya da USG’nin yanlış teşhisi olarak değerlendirildi.  Laparoskopide patolojik bulguların olması halinde HSG ya da USG teşhisi doğru olarak kabul edildi.</w:t>
      </w:r>
    </w:p>
    <w:p w:rsidR="00837F30" w:rsidRPr="00837F30" w:rsidRDefault="00837F30" w:rsidP="00837F30">
      <w:pPr>
        <w:autoSpaceDE w:val="0"/>
        <w:autoSpaceDN w:val="0"/>
        <w:adjustRightInd w:val="0"/>
        <w:spacing w:after="0"/>
        <w:rPr>
          <w:rFonts w:eastAsia="BatangChe" w:cs="Times New Roman"/>
        </w:rPr>
      </w:pPr>
    </w:p>
    <w:p w:rsidR="00837F30" w:rsidRPr="00837F30" w:rsidRDefault="00837F30" w:rsidP="00837F30">
      <w:pPr>
        <w:rPr>
          <w:rFonts w:eastAsia="BatangChe" w:cs="Times New Roman"/>
        </w:rPr>
      </w:pPr>
      <w:r w:rsidRPr="00837F30">
        <w:rPr>
          <w:rFonts w:eastAsia="BatangChe" w:cs="Times New Roman"/>
          <w:b/>
        </w:rPr>
        <w:t>BULGULAR:</w:t>
      </w:r>
      <w:r w:rsidRPr="00837F30">
        <w:rPr>
          <w:rFonts w:eastAsia="BatangChe" w:cs="Times New Roman"/>
        </w:rPr>
        <w:t xml:space="preserve">48 hastanın 30’u primer infertil 18’i sekonder infertildi. 26 hastaya HSG ile hidrosalpinks düşünüldü. Laparoskopi sonrası 15’inde (%57,7) hidrosalpinks doğrulandı. 25 hastaya USG ile hidrosalpinks ön tanısıyla laparoskopi yapıldı. 17’sinde (%68)  hidrosalpinks doğrulandı. 3 hastada hem USG de hemde HSG de hidrosalpinks mevcuttu. Bu hastalarda USG bulgularının laparoskopi ile </w:t>
      </w:r>
      <w:proofErr w:type="gramStart"/>
      <w:r w:rsidRPr="00837F30">
        <w:rPr>
          <w:rFonts w:eastAsia="BatangChe" w:cs="Times New Roman"/>
        </w:rPr>
        <w:t>korelasyonu</w:t>
      </w:r>
      <w:proofErr w:type="gramEnd"/>
      <w:r w:rsidRPr="00837F30">
        <w:rPr>
          <w:rFonts w:eastAsia="BatangChe" w:cs="Times New Roman"/>
        </w:rPr>
        <w:t xml:space="preserve"> değerlendirildi. Hsg’nin teşhis doğruluğu (%57,7) USG’nin teşhis doğruluğu (%68) ile arasında istatistiksel bir fark saptanmadı. (P=0,638).  </w:t>
      </w:r>
    </w:p>
    <w:p w:rsidR="00837F30" w:rsidRPr="00837F30" w:rsidRDefault="00837F30" w:rsidP="00837F30">
      <w:pPr>
        <w:rPr>
          <w:rFonts w:eastAsia="BatangChe" w:cs="Times New Roman"/>
        </w:rPr>
      </w:pPr>
      <w:proofErr w:type="gramStart"/>
      <w:r w:rsidRPr="00837F30">
        <w:rPr>
          <w:rFonts w:eastAsia="BatangChe" w:cs="Times New Roman"/>
          <w:b/>
        </w:rPr>
        <w:t>SONUÇ:</w:t>
      </w:r>
      <w:r w:rsidRPr="00837F30">
        <w:rPr>
          <w:rFonts w:eastAsia="BatangChe" w:cs="Times New Roman"/>
        </w:rPr>
        <w:t>İnfertilitenin</w:t>
      </w:r>
      <w:proofErr w:type="gramEnd"/>
      <w:r w:rsidRPr="00837F30">
        <w:rPr>
          <w:rFonts w:eastAsia="BatangChe" w:cs="Times New Roman"/>
        </w:rPr>
        <w:t xml:space="preserve"> ilk basamak değerlendirmelerinden olan USG ve HSG ile ucuz ve kolay bir şekilde hidrosalpinks tanısı konulabilir. </w:t>
      </w:r>
      <w:bookmarkStart w:id="0" w:name="_GoBack"/>
      <w:bookmarkEnd w:id="0"/>
    </w:p>
    <w:p w:rsidR="00837F30" w:rsidRPr="00837F30" w:rsidRDefault="00837F30" w:rsidP="00837F30">
      <w:pPr>
        <w:autoSpaceDE w:val="0"/>
        <w:autoSpaceDN w:val="0"/>
        <w:adjustRightInd w:val="0"/>
        <w:spacing w:after="0"/>
        <w:rPr>
          <w:rFonts w:eastAsia="BatangChe" w:cs="Times New Roman"/>
          <w:b/>
          <w:bCs/>
        </w:rPr>
      </w:pPr>
    </w:p>
    <w:p w:rsidR="00837F30" w:rsidRPr="00837F30" w:rsidRDefault="00837F30" w:rsidP="00837F30">
      <w:pPr>
        <w:autoSpaceDE w:val="0"/>
        <w:autoSpaceDN w:val="0"/>
        <w:adjustRightInd w:val="0"/>
        <w:spacing w:after="0" w:line="240" w:lineRule="auto"/>
        <w:rPr>
          <w:rFonts w:eastAsia="BatangChe" w:cs="Times New Roman"/>
        </w:rPr>
      </w:pPr>
      <w:r w:rsidRPr="00837F30">
        <w:rPr>
          <w:rFonts w:eastAsia="BatangChe" w:cs="Times New Roman"/>
          <w:b/>
          <w:bCs/>
        </w:rPr>
        <w:t>Anahtar sözcükler:</w:t>
      </w:r>
      <w:r w:rsidRPr="00837F30">
        <w:rPr>
          <w:rFonts w:eastAsia="BatangChe" w:cs="Times New Roman"/>
        </w:rPr>
        <w:t xml:space="preserve"> Hidrosalpinks, İnfertilte, Laparoskopi</w:t>
      </w:r>
    </w:p>
    <w:p w:rsidR="00837F30" w:rsidRPr="00837F30" w:rsidRDefault="00837F30" w:rsidP="00837F30">
      <w:pPr>
        <w:autoSpaceDE w:val="0"/>
        <w:autoSpaceDN w:val="0"/>
        <w:adjustRightInd w:val="0"/>
        <w:spacing w:after="0" w:line="240" w:lineRule="auto"/>
        <w:rPr>
          <w:rFonts w:eastAsia="BatangChe" w:cs="Times New Roman"/>
        </w:rPr>
      </w:pPr>
    </w:p>
    <w:p w:rsidR="00837F30" w:rsidRPr="00837F30" w:rsidRDefault="00837F30" w:rsidP="00837F30">
      <w:pPr>
        <w:rPr>
          <w:rFonts w:eastAsia="BatangChe" w:cs="Times New Roman"/>
          <w:b/>
        </w:rPr>
      </w:pPr>
      <w:r w:rsidRPr="00837F30">
        <w:rPr>
          <w:rFonts w:eastAsia="BatangChe" w:cs="Times New Roman"/>
          <w:b/>
        </w:rPr>
        <w:t>ULTRASONOGRAPHY AND HYSTEROSALPHYNOGRAPHY RELIABLE IN THE DIAGNOSIS OF HYDROSALPİNX?</w:t>
      </w:r>
    </w:p>
    <w:p w:rsidR="00837F30" w:rsidRPr="00837F30" w:rsidRDefault="00837F30" w:rsidP="00837F30">
      <w:pPr>
        <w:rPr>
          <w:rFonts w:eastAsia="BatangChe" w:cs="Times New Roman"/>
          <w:b/>
        </w:rPr>
      </w:pPr>
      <w:r w:rsidRPr="00837F30">
        <w:rPr>
          <w:rFonts w:eastAsia="BatangChe" w:cs="Times New Roman"/>
          <w:b/>
        </w:rPr>
        <w:t>SUMMARY</w:t>
      </w:r>
    </w:p>
    <w:p w:rsidR="00837F30" w:rsidRPr="00837F30" w:rsidRDefault="00837F30" w:rsidP="00837F30">
      <w:pPr>
        <w:rPr>
          <w:rFonts w:eastAsia="BatangChe" w:cs="Times New Roman"/>
        </w:rPr>
      </w:pPr>
      <w:r w:rsidRPr="00837F30">
        <w:rPr>
          <w:rFonts w:eastAsia="BatangChe" w:cs="Times New Roman"/>
        </w:rPr>
        <w:t>OBJECTIVE: Although the first step evaluation of infertile patients with uterine cavity and fallopian tubes is ultrasonography (USG), hysterosalpingography (HSG) is widely used because it is cheap, easily accessible and easy to interpret, although other advanced and effective methods are available at the next stage. In our study, we aimed to evaluate the correlation of HSG and USG with laparoscopy of patients with hydrosalpinx presumptive diagnosis and to show whether HSG and USG are superior to each other in hyphrosalpinx diagnosis.</w:t>
      </w:r>
    </w:p>
    <w:p w:rsidR="00837F30" w:rsidRPr="00837F30" w:rsidRDefault="00837F30" w:rsidP="00837F30">
      <w:pPr>
        <w:rPr>
          <w:rFonts w:eastAsia="BatangChe" w:cs="Times New Roman"/>
        </w:rPr>
      </w:pPr>
      <w:r w:rsidRPr="00837F30">
        <w:rPr>
          <w:rFonts w:eastAsia="BatangChe" w:cs="Times New Roman"/>
        </w:rPr>
        <w:t xml:space="preserve">METHODS: Between August 1, 2015 and April 1, 2017, 48 patients who were admitted to our obstetric gynecology out patient clinic for infertility, or who underwent hydrosalpinx in USG were included in the study. All patients underwent laparoscopy under general anesthesia. Laparoscopy was used to evaluate the incidence of free methylene blue in both tuba. Correlation of HSG or USG </w:t>
      </w:r>
      <w:r w:rsidRPr="00837F30">
        <w:rPr>
          <w:rFonts w:eastAsia="BatangChe" w:cs="Times New Roman"/>
        </w:rPr>
        <w:lastRenderedPageBreak/>
        <w:t>result with laparoscopy result was assessed as false diagnosis of HSG or USG. In the case of pathological findings on laparoscopy, HSG or USG diagnosis was accepted correctly.</w:t>
      </w:r>
    </w:p>
    <w:p w:rsidR="00837F30" w:rsidRPr="00837F30" w:rsidRDefault="00837F30" w:rsidP="00837F30">
      <w:pPr>
        <w:rPr>
          <w:rFonts w:eastAsia="BatangChe" w:cs="Times New Roman"/>
        </w:rPr>
      </w:pPr>
      <w:r w:rsidRPr="00837F30">
        <w:rPr>
          <w:rFonts w:eastAsia="BatangChe" w:cs="Times New Roman"/>
        </w:rPr>
        <w:t>RESULTS: Of the 48 patients, 30 were primer infertile 18 were secondary to infertile. 26 patients were considered hydrosalpinx with HSG. Hydrosalpinx was confirmed in 15 (</w:t>
      </w:r>
      <w:proofErr w:type="gramStart"/>
      <w:r w:rsidRPr="00837F30">
        <w:rPr>
          <w:rFonts w:eastAsia="BatangChe" w:cs="Times New Roman"/>
        </w:rPr>
        <w:t>57.7</w:t>
      </w:r>
      <w:proofErr w:type="gramEnd"/>
      <w:r w:rsidRPr="00837F30">
        <w:rPr>
          <w:rFonts w:eastAsia="BatangChe" w:cs="Times New Roman"/>
        </w:rPr>
        <w:t>%) of the patients after laparoscopy. Twenty-five patients underwent laparoscopy with USG and hydrosalpinx anterior diagnosis. In 17 (68%) hydrosalpinx was confirmed. In 3 patients, both USG and HSG had hydrosalpinx. The correlation of USG findings with laparoscopy was evaluated in these patients. There was no statistically significant difference between the diagnostic accuracy of HSG (</w:t>
      </w:r>
      <w:proofErr w:type="gramStart"/>
      <w:r w:rsidRPr="00837F30">
        <w:rPr>
          <w:rFonts w:eastAsia="BatangChe" w:cs="Times New Roman"/>
        </w:rPr>
        <w:t>57.7</w:t>
      </w:r>
      <w:proofErr w:type="gramEnd"/>
      <w:r w:rsidRPr="00837F30">
        <w:rPr>
          <w:rFonts w:eastAsia="BatangChe" w:cs="Times New Roman"/>
        </w:rPr>
        <w:t>%) and the diagnostic accuracy of USG (68%). (P = 0.638).</w:t>
      </w:r>
    </w:p>
    <w:p w:rsidR="00837F30" w:rsidRPr="00837F30" w:rsidRDefault="00837F30" w:rsidP="00837F30">
      <w:pPr>
        <w:rPr>
          <w:rFonts w:eastAsia="BatangChe" w:cs="Times New Roman"/>
        </w:rPr>
      </w:pPr>
      <w:r w:rsidRPr="00837F30">
        <w:rPr>
          <w:rFonts w:eastAsia="BatangChe" w:cs="Times New Roman"/>
        </w:rPr>
        <w:t>CONCLUSION: USG and HSG, which are the first-line evaluations of infertility, can diagnose hydrosalpinx cheaply and easily.</w:t>
      </w:r>
    </w:p>
    <w:p w:rsidR="00837F30" w:rsidRPr="00837F30" w:rsidRDefault="00837F30" w:rsidP="00837F30">
      <w:pPr>
        <w:rPr>
          <w:rFonts w:eastAsia="BatangChe" w:cs="Times New Roman"/>
        </w:rPr>
      </w:pPr>
    </w:p>
    <w:p w:rsidR="00837F30" w:rsidRPr="00837F30" w:rsidRDefault="00837F30" w:rsidP="00837F30">
      <w:pPr>
        <w:rPr>
          <w:rFonts w:eastAsia="BatangChe" w:cs="Times New Roman"/>
        </w:rPr>
      </w:pPr>
      <w:r w:rsidRPr="00837F30">
        <w:rPr>
          <w:rFonts w:eastAsia="BatangChe" w:cs="Times New Roman"/>
        </w:rPr>
        <w:t>Keywords: Hydrosalpinx, Infertility, Laparoscopy</w:t>
      </w:r>
    </w:p>
    <w:p w:rsidR="00837F30" w:rsidRPr="00837F30" w:rsidRDefault="00837F30" w:rsidP="00837F30">
      <w:pPr>
        <w:rPr>
          <w:rFonts w:eastAsia="BatangChe" w:cs="Times New Roman"/>
        </w:rPr>
      </w:pPr>
    </w:p>
    <w:p w:rsidR="00837F30" w:rsidRPr="00837F30" w:rsidRDefault="00837F30" w:rsidP="00837F30">
      <w:pPr>
        <w:rPr>
          <w:rFonts w:eastAsia="BatangChe" w:cs="Times New Roman"/>
          <w:b/>
        </w:rPr>
      </w:pPr>
      <w:r w:rsidRPr="00837F30">
        <w:rPr>
          <w:rFonts w:eastAsia="BatangChe" w:cs="Times New Roman"/>
          <w:b/>
        </w:rPr>
        <w:t>GİRİŞ</w:t>
      </w:r>
    </w:p>
    <w:p w:rsidR="00837F30" w:rsidRPr="00837F30" w:rsidRDefault="00837F30" w:rsidP="00837F30">
      <w:pPr>
        <w:rPr>
          <w:rFonts w:eastAsia="BatangChe" w:cs="Times New Roman"/>
        </w:rPr>
      </w:pPr>
      <w:r w:rsidRPr="00837F30">
        <w:rPr>
          <w:rFonts w:eastAsia="BatangChe" w:cs="Times New Roman"/>
        </w:rPr>
        <w:t xml:space="preserve">İnfertil kadınlarda, son dönemlerde tubal faktör sıklığında artış izlenmektedir. Bu durum cinsel yolla bulaşan hastalıkların oranındaki artışa, güvenilir olmayan küretaja ve puerperal pelvik </w:t>
      </w:r>
      <w:proofErr w:type="gramStart"/>
      <w:r w:rsidRPr="00837F30">
        <w:rPr>
          <w:rFonts w:eastAsia="BatangChe" w:cs="Times New Roman"/>
        </w:rPr>
        <w:t>enfeksiyonlara</w:t>
      </w:r>
      <w:proofErr w:type="gramEnd"/>
      <w:r w:rsidRPr="00837F30">
        <w:rPr>
          <w:rFonts w:eastAsia="BatangChe" w:cs="Times New Roman"/>
        </w:rPr>
        <w:t xml:space="preserve"> bağlı komplikasyonlarla ilişkilendirilmiştir (1). Pelvik </w:t>
      </w:r>
      <w:proofErr w:type="gramStart"/>
      <w:r w:rsidRPr="00837F30">
        <w:rPr>
          <w:rFonts w:eastAsia="BatangChe" w:cs="Times New Roman"/>
        </w:rPr>
        <w:t>enfeksiyonlar</w:t>
      </w:r>
      <w:proofErr w:type="gramEnd"/>
      <w:r w:rsidRPr="00837F30">
        <w:rPr>
          <w:rFonts w:eastAsia="BatangChe" w:cs="Times New Roman"/>
        </w:rPr>
        <w:t xml:space="preserve"> ampullerdeki yapışıklıklara sıklıkla neden olur bunun sonucunda fallop tüplerinin tıkanmasına, içindeki sekresyonların birikmesine ve tüplerin dilate olmasına hidrosalpinks ile sonuçlanmasına neden olur(2).</w:t>
      </w:r>
    </w:p>
    <w:p w:rsidR="00837F30" w:rsidRPr="00837F30" w:rsidRDefault="00837F30" w:rsidP="00837F30">
      <w:pPr>
        <w:rPr>
          <w:rFonts w:eastAsia="BatangChe" w:cs="Times New Roman"/>
        </w:rPr>
      </w:pPr>
      <w:r w:rsidRPr="00837F30">
        <w:rPr>
          <w:rFonts w:eastAsia="BatangChe" w:cs="Times New Roman"/>
        </w:rPr>
        <w:t>Tüm kadınların% 15'inin üreme döneminin belirli bir zamanında</w:t>
      </w:r>
      <w:r>
        <w:rPr>
          <w:rFonts w:eastAsia="BatangChe" w:cs="Times New Roman"/>
        </w:rPr>
        <w:t xml:space="preserve"> </w:t>
      </w:r>
      <w:r w:rsidRPr="00837F30">
        <w:rPr>
          <w:rFonts w:eastAsia="BatangChe" w:cs="Times New Roman"/>
        </w:rPr>
        <w:t>primer veya sekonder infertilite yaşadığı gösterilmiştir. Fallop tüplerinde oluşan patolojik bir durum yaklaşık% 35-40 oranında infertiliteye neden olur (3).</w:t>
      </w:r>
      <w:r>
        <w:rPr>
          <w:rFonts w:eastAsia="BatangChe" w:cs="Times New Roman"/>
        </w:rPr>
        <w:t xml:space="preserve"> </w:t>
      </w:r>
      <w:r w:rsidRPr="00837F30">
        <w:rPr>
          <w:rFonts w:eastAsia="BatangChe" w:cs="Times New Roman"/>
        </w:rPr>
        <w:t>Patent fallop tüpleri, normal insan doğurganlığı için ön şarttır. Yumurtanın</w:t>
      </w:r>
      <w:r>
        <w:rPr>
          <w:rFonts w:eastAsia="BatangChe" w:cs="Times New Roman"/>
        </w:rPr>
        <w:t xml:space="preserve"> </w:t>
      </w:r>
      <w:r w:rsidRPr="00837F30">
        <w:rPr>
          <w:rFonts w:eastAsia="BatangChe" w:cs="Times New Roman"/>
        </w:rPr>
        <w:t>fimbrialar aracılığıyla alınması, yumurta, sperm ve embriyo taşımada kritik bir role sahiptirler. Fallop tüpleri ayrıca sperm kapasitasyonu ve yumurtanın fertilizasyonu için de gereklidir. Fallop tüpleri</w:t>
      </w:r>
      <w:r>
        <w:rPr>
          <w:rFonts w:eastAsia="BatangChe" w:cs="Times New Roman"/>
        </w:rPr>
        <w:t xml:space="preserve"> </w:t>
      </w:r>
      <w:proofErr w:type="gramStart"/>
      <w:r w:rsidRPr="00837F30">
        <w:rPr>
          <w:rFonts w:eastAsia="BatangChe" w:cs="Times New Roman"/>
        </w:rPr>
        <w:t>enfeksiyonlara</w:t>
      </w:r>
      <w:proofErr w:type="gramEnd"/>
      <w:r w:rsidRPr="00837F30">
        <w:rPr>
          <w:rFonts w:eastAsia="BatangChe" w:cs="Times New Roman"/>
        </w:rPr>
        <w:t xml:space="preserve"> ve cerrahi hasarlara karşı savunmasızdır böyle bir durumda hassas fimbriayı da ve son derece özelleşmiş endosalpinkside etkileyerek fonksiyonunu bozabilir. Fallop tüplerin açıklığı, uterus morfolojisi ve serviks</w:t>
      </w:r>
      <w:r>
        <w:rPr>
          <w:rFonts w:eastAsia="BatangChe" w:cs="Times New Roman"/>
        </w:rPr>
        <w:t xml:space="preserve">i </w:t>
      </w:r>
      <w:r w:rsidRPr="00837F30">
        <w:rPr>
          <w:rFonts w:eastAsia="BatangChe" w:cs="Times New Roman"/>
        </w:rPr>
        <w:t xml:space="preserve">diğer değerlendirme yöntemlerine kıyasla basit, güvenli ve ucuz en iyi değerlendirebilen yöntem HSG’dir. </w:t>
      </w:r>
      <w:proofErr w:type="gramStart"/>
      <w:r w:rsidRPr="00837F30">
        <w:rPr>
          <w:rFonts w:eastAsia="BatangChe" w:cs="Times New Roman"/>
        </w:rPr>
        <w:t>Hsg  tubal</w:t>
      </w:r>
      <w:proofErr w:type="gramEnd"/>
      <w:r w:rsidRPr="00837F30">
        <w:rPr>
          <w:rFonts w:eastAsia="BatangChe" w:cs="Times New Roman"/>
        </w:rPr>
        <w:t xml:space="preserve"> tıkanıklığı saptamada % 65 sensitivite ve % 83 özgüllüğe sahiptir(4).</w:t>
      </w:r>
    </w:p>
    <w:p w:rsidR="00837F30" w:rsidRPr="00837F30" w:rsidRDefault="00837F30" w:rsidP="00837F30">
      <w:pPr>
        <w:rPr>
          <w:rFonts w:eastAsia="BatangChe" w:cs="Times New Roman"/>
        </w:rPr>
      </w:pPr>
      <w:r w:rsidRPr="00837F30">
        <w:rPr>
          <w:rFonts w:eastAsia="BatangChe" w:cs="Times New Roman"/>
        </w:rPr>
        <w:t xml:space="preserve">Çalışmamızda HSG ve USG sonucunda hidrosalpinks ön tanısı konulan hastaların laparoskopi ile </w:t>
      </w:r>
      <w:proofErr w:type="gramStart"/>
      <w:r w:rsidRPr="00837F30">
        <w:rPr>
          <w:rFonts w:eastAsia="BatangChe" w:cs="Times New Roman"/>
        </w:rPr>
        <w:t>korelasyonunu</w:t>
      </w:r>
      <w:proofErr w:type="gramEnd"/>
      <w:r>
        <w:rPr>
          <w:rFonts w:eastAsia="BatangChe" w:cs="Times New Roman"/>
        </w:rPr>
        <w:t xml:space="preserve"> </w:t>
      </w:r>
      <w:r w:rsidRPr="00837F30">
        <w:rPr>
          <w:rFonts w:eastAsia="BatangChe" w:cs="Times New Roman"/>
        </w:rPr>
        <w:t>değerlendirerek HSG’nin ve USG’nin hidrosalpinks tanısı koymadaki değeri ve birbirlerine üstünlüğü olup olmadığını göstermeyi amaçladık.</w:t>
      </w:r>
    </w:p>
    <w:p w:rsidR="00837F30" w:rsidRPr="00837F30" w:rsidRDefault="00837F30" w:rsidP="00837F30">
      <w:pPr>
        <w:rPr>
          <w:rFonts w:eastAsia="BatangChe" w:cs="Times New Roman"/>
        </w:rPr>
      </w:pPr>
    </w:p>
    <w:p w:rsidR="00837F30" w:rsidRPr="00837F30" w:rsidRDefault="00837F30" w:rsidP="00837F30">
      <w:pPr>
        <w:rPr>
          <w:rFonts w:eastAsia="BatangChe" w:cs="Times New Roman"/>
        </w:rPr>
      </w:pPr>
      <w:r w:rsidRPr="00837F30">
        <w:rPr>
          <w:rFonts w:eastAsia="BatangChe" w:cs="Times New Roman"/>
        </w:rPr>
        <w:t>MATERYAL ve METOD</w:t>
      </w:r>
    </w:p>
    <w:p w:rsidR="00837F30" w:rsidRPr="00837F30" w:rsidRDefault="00837F30" w:rsidP="00837F30">
      <w:pPr>
        <w:rPr>
          <w:rFonts w:eastAsia="BatangChe" w:cs="Times New Roman"/>
        </w:rPr>
      </w:pPr>
      <w:r w:rsidRPr="00837F30">
        <w:rPr>
          <w:rFonts w:eastAsia="BatangChe" w:cs="Times New Roman"/>
        </w:rPr>
        <w:t xml:space="preserve">Çalışmaya 1 Ağustos 2015 ile 1 Nisan 2017 tarihleri arasında hastanemizin kadın doğum polikliniklerine infertilite nedeniyle ile başvuran HSG’de ya da USG’de hidrosalpinks saptanan 48 </w:t>
      </w:r>
      <w:r w:rsidRPr="00837F30">
        <w:rPr>
          <w:rFonts w:eastAsia="BatangChe" w:cs="Times New Roman"/>
        </w:rPr>
        <w:lastRenderedPageBreak/>
        <w:t xml:space="preserve">hasta </w:t>
      </w:r>
      <w:proofErr w:type="gramStart"/>
      <w:r w:rsidRPr="00837F30">
        <w:rPr>
          <w:rFonts w:eastAsia="BatangChe" w:cs="Times New Roman"/>
        </w:rPr>
        <w:t>dahil</w:t>
      </w:r>
      <w:proofErr w:type="gramEnd"/>
      <w:r w:rsidRPr="00837F30">
        <w:rPr>
          <w:rFonts w:eastAsia="BatangChe" w:cs="Times New Roman"/>
        </w:rPr>
        <w:t xml:space="preserve"> edildi. Tüm hastalar genel anestezi altında, laparoskopi ile opere edildi. Laparoskopide her iki tuba </w:t>
      </w:r>
      <w:proofErr w:type="gramStart"/>
      <w:r w:rsidRPr="00837F30">
        <w:rPr>
          <w:rFonts w:eastAsia="BatangChe" w:cs="Times New Roman"/>
        </w:rPr>
        <w:t>serbest  metilen</w:t>
      </w:r>
      <w:proofErr w:type="gramEnd"/>
      <w:r w:rsidRPr="00837F30">
        <w:rPr>
          <w:rFonts w:eastAsia="BatangChe" w:cs="Times New Roman"/>
        </w:rPr>
        <w:t xml:space="preserve"> mavisi geçişi değerlendirildi. HSG veya USG sonucu ile laparoskopi sonucunun korele olmaması HSG’nin ya da USG’nin yanlış teşhisi olarak değerlendirildi.  Laparoskopide patolojik bulguların olması halinde HSG ya da USG teşhisi doğru olarak kabul edildi.</w:t>
      </w:r>
      <w:r>
        <w:rPr>
          <w:rFonts w:eastAsia="BatangChe" w:cs="Times New Roman"/>
        </w:rPr>
        <w:t xml:space="preserve"> </w:t>
      </w:r>
      <w:r w:rsidRPr="00837F30">
        <w:rPr>
          <w:rFonts w:eastAsia="BatangChe" w:cs="Times New Roman"/>
        </w:rPr>
        <w:t>Bu çalışma hastanemizin</w:t>
      </w:r>
      <w:r>
        <w:rPr>
          <w:rFonts w:eastAsia="BatangChe" w:cs="Times New Roman"/>
        </w:rPr>
        <w:t xml:space="preserve"> </w:t>
      </w:r>
      <w:r w:rsidRPr="00837F30">
        <w:rPr>
          <w:rFonts w:eastAsia="BatangChe" w:cs="Times New Roman"/>
        </w:rPr>
        <w:t>05.05.2017 tarihli etik kurulunda 99 nolu kararı ile onaylandı.</w:t>
      </w:r>
    </w:p>
    <w:p w:rsidR="00837F30" w:rsidRPr="00837F30" w:rsidRDefault="00837F30" w:rsidP="00837F30">
      <w:pPr>
        <w:jc w:val="both"/>
        <w:rPr>
          <w:rStyle w:val="apple-style-span"/>
          <w:rFonts w:eastAsia="BatangChe" w:cs="Times New Roman"/>
          <w:iCs/>
          <w:color w:val="000000"/>
        </w:rPr>
      </w:pPr>
      <w:r w:rsidRPr="00837F30">
        <w:rPr>
          <w:rFonts w:eastAsia="BatangChe" w:cs="Times New Roman"/>
        </w:rPr>
        <w:t xml:space="preserve">Değişkenlerin analizinde </w:t>
      </w:r>
      <w:r w:rsidRPr="00837F30">
        <w:rPr>
          <w:rStyle w:val="apple-style-span"/>
          <w:rFonts w:eastAsia="BatangChe" w:cs="Times New Roman"/>
          <w:iCs/>
        </w:rPr>
        <w:t xml:space="preserve">SPSS </w:t>
      </w:r>
      <w:proofErr w:type="gramStart"/>
      <w:r w:rsidRPr="00837F30">
        <w:rPr>
          <w:rStyle w:val="apple-style-span"/>
          <w:rFonts w:eastAsia="BatangChe" w:cs="Times New Roman"/>
          <w:iCs/>
        </w:rPr>
        <w:t>24.0</w:t>
      </w:r>
      <w:proofErr w:type="gramEnd"/>
      <w:r w:rsidRPr="00837F30">
        <w:rPr>
          <w:rStyle w:val="apple-style-span"/>
          <w:rFonts w:eastAsia="BatangChe" w:cs="Times New Roman"/>
          <w:iCs/>
        </w:rPr>
        <w:t xml:space="preserve"> </w:t>
      </w:r>
      <w:r w:rsidRPr="00837F30">
        <w:rPr>
          <w:rFonts w:eastAsia="BatangChe" w:cs="Times New Roman"/>
        </w:rPr>
        <w:t xml:space="preserve">(IBM Corparation, Armonk, </w:t>
      </w:r>
      <w:r w:rsidRPr="00837F30">
        <w:rPr>
          <w:rStyle w:val="apple-style-span"/>
          <w:rFonts w:eastAsia="BatangChe" w:cs="Times New Roman"/>
          <w:iCs/>
        </w:rPr>
        <w:t>New York, United States)</w:t>
      </w:r>
      <w:r w:rsidRPr="00837F30">
        <w:rPr>
          <w:rFonts w:eastAsia="BatangChe" w:cs="Times New Roman"/>
        </w:rPr>
        <w:t xml:space="preserve"> programı kullanıldı.</w:t>
      </w:r>
      <w:r>
        <w:rPr>
          <w:rFonts w:eastAsia="BatangChe" w:cs="Times New Roman"/>
        </w:rPr>
        <w:t xml:space="preserve"> </w:t>
      </w:r>
      <w:r w:rsidRPr="00837F30">
        <w:rPr>
          <w:rStyle w:val="apple-style-span"/>
          <w:rFonts w:eastAsia="BatangChe" w:cs="Times New Roman"/>
          <w:iCs/>
          <w:color w:val="000000"/>
        </w:rPr>
        <w:t xml:space="preserve">Kategorik değişkenlerin birbiri ile karşılaştırılmasında Pearson Chi-Square ve Fisher Exact testleri Monte Carlo Simülasyon tekniği ile test </w:t>
      </w:r>
      <w:proofErr w:type="gramStart"/>
      <w:r w:rsidRPr="00837F30">
        <w:rPr>
          <w:rStyle w:val="apple-style-span"/>
          <w:rFonts w:eastAsia="BatangChe" w:cs="Times New Roman"/>
          <w:iCs/>
          <w:color w:val="000000"/>
        </w:rPr>
        <w:t>edildi.</w:t>
      </w:r>
      <w:r w:rsidRPr="00837F30">
        <w:rPr>
          <w:rStyle w:val="apple-style-span"/>
          <w:rFonts w:eastAsia="BatangChe" w:cs="Times New Roman"/>
          <w:iCs/>
        </w:rPr>
        <w:t>Nicel</w:t>
      </w:r>
      <w:proofErr w:type="gramEnd"/>
      <w:r w:rsidRPr="00837F30">
        <w:rPr>
          <w:rStyle w:val="apple-style-span"/>
          <w:rFonts w:eastAsia="BatangChe" w:cs="Times New Roman"/>
          <w:iCs/>
        </w:rPr>
        <w:t xml:space="preserve"> değişkenler tablolarda ortalama ± std.(standart sapma) ve medyan Range</w:t>
      </w:r>
      <w:r>
        <w:rPr>
          <w:rStyle w:val="apple-style-span"/>
          <w:rFonts w:eastAsia="BatangChe" w:cs="Times New Roman"/>
          <w:iCs/>
        </w:rPr>
        <w:t xml:space="preserve"> </w:t>
      </w:r>
      <w:r w:rsidRPr="00837F30">
        <w:rPr>
          <w:rStyle w:val="apple-style-span"/>
          <w:rFonts w:eastAsia="BatangChe" w:cs="Times New Roman"/>
          <w:iCs/>
        </w:rPr>
        <w:t>(Maximum-Minimum), Kategorik değişkenler ise n(%)  olarak gösterildi. Değişkenler %95 güven düzeyinde incelenmiş olup p değeri 0,05 ten küçük anlamlı kabul edildi.</w:t>
      </w: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BULGULAR</w:t>
      </w:r>
    </w:p>
    <w:p w:rsidR="00837F30" w:rsidRPr="00837F30" w:rsidRDefault="00837F30" w:rsidP="00837F30">
      <w:pPr>
        <w:autoSpaceDE w:val="0"/>
        <w:autoSpaceDN w:val="0"/>
        <w:adjustRightInd w:val="0"/>
        <w:spacing w:after="0"/>
        <w:rPr>
          <w:rFonts w:eastAsia="BatangChe" w:cs="Times New Roman"/>
        </w:rPr>
      </w:pPr>
      <w:r w:rsidRPr="00837F30">
        <w:rPr>
          <w:rFonts w:eastAsia="BatangChe" w:cs="Times New Roman"/>
        </w:rPr>
        <w:t>Hastaların demografik özellikleri T</w:t>
      </w:r>
      <w:r>
        <w:rPr>
          <w:rFonts w:eastAsia="BatangChe" w:cs="Times New Roman"/>
        </w:rPr>
        <w:t>ablo 1.’</w:t>
      </w:r>
      <w:r w:rsidRPr="00837F30">
        <w:rPr>
          <w:rFonts w:eastAsia="BatangChe" w:cs="Times New Roman"/>
        </w:rPr>
        <w:t xml:space="preserve">de gösterilmiştir. Hastaların yaş ortalaması </w:t>
      </w:r>
      <w:r w:rsidRPr="00837F30">
        <w:rPr>
          <w:rFonts w:eastAsia="BatangChe" w:cs="Times New Roman"/>
          <w:color w:val="000000"/>
          <w:lang w:eastAsia="tr-TR"/>
        </w:rPr>
        <w:t xml:space="preserve">33,46±6,75 </w:t>
      </w:r>
      <w:r w:rsidRPr="00837F30">
        <w:rPr>
          <w:rFonts w:eastAsia="BatangChe" w:cs="Times New Roman"/>
        </w:rPr>
        <w:t>olup 22 ile 43</w:t>
      </w:r>
      <w:r>
        <w:rPr>
          <w:rFonts w:eastAsia="BatangChe" w:cs="Times New Roman"/>
        </w:rPr>
        <w:t xml:space="preserve"> </w:t>
      </w:r>
      <w:r w:rsidRPr="00837F30">
        <w:rPr>
          <w:rFonts w:eastAsia="BatangChe" w:cs="Times New Roman"/>
        </w:rPr>
        <w:t>arasında değişmekteydi. 48 hastanın 30’u</w:t>
      </w:r>
      <w:r>
        <w:rPr>
          <w:rFonts w:eastAsia="BatangChe" w:cs="Times New Roman"/>
        </w:rPr>
        <w:t xml:space="preserve"> </w:t>
      </w:r>
      <w:r w:rsidRPr="00837F30">
        <w:rPr>
          <w:rFonts w:eastAsia="BatangChe" w:cs="Times New Roman"/>
        </w:rPr>
        <w:t xml:space="preserve">primer infertil 18’i sekonder infertil idi.26 hastaya HSG ile hidrosalpinks düşünüldü. Laparoskopi sonrası 15’inde (%57,7) hidrosalpinks doğrulandı. 25 hastaya USG ile hidrosalpinks ön tanısıyla laparoskopi yapıldı.17’sinde (%68)  hidrosalpinks doğrulandı. 3 hastada hem USG de hemde HSG de hidrosalpenks mevcuttu. Bu hastalarda USG bulgularının laparoskopi ile </w:t>
      </w:r>
      <w:proofErr w:type="gramStart"/>
      <w:r w:rsidRPr="00837F30">
        <w:rPr>
          <w:rFonts w:eastAsia="BatangChe" w:cs="Times New Roman"/>
        </w:rPr>
        <w:t>korelasyonu</w:t>
      </w:r>
      <w:proofErr w:type="gramEnd"/>
      <w:r w:rsidRPr="00837F30">
        <w:rPr>
          <w:rFonts w:eastAsia="BatangChe" w:cs="Times New Roman"/>
        </w:rPr>
        <w:t xml:space="preserve"> değerlendirildi. HSG’nin teşhis doğruluğu (%57,7) USG’nin teşhis doğruluğu (%68) ile arasında istatistiksel bir fark saptanmadı. (P=0,638). </w:t>
      </w:r>
    </w:p>
    <w:p w:rsidR="00837F30" w:rsidRPr="00837F30" w:rsidRDefault="00837F30" w:rsidP="00837F30">
      <w:pPr>
        <w:autoSpaceDE w:val="0"/>
        <w:autoSpaceDN w:val="0"/>
        <w:adjustRightInd w:val="0"/>
        <w:spacing w:after="0" w:line="240" w:lineRule="auto"/>
        <w:rPr>
          <w:rStyle w:val="apple-style-span"/>
          <w:rFonts w:eastAsia="BatangChe" w:cs="Times New Roman"/>
        </w:rPr>
      </w:pPr>
    </w:p>
    <w:tbl>
      <w:tblPr>
        <w:tblW w:w="6640" w:type="dxa"/>
        <w:tblInd w:w="55" w:type="dxa"/>
        <w:tblCellMar>
          <w:left w:w="70" w:type="dxa"/>
          <w:right w:w="70" w:type="dxa"/>
        </w:tblCellMar>
        <w:tblLook w:val="04A0"/>
      </w:tblPr>
      <w:tblGrid>
        <w:gridCol w:w="320"/>
        <w:gridCol w:w="2580"/>
        <w:gridCol w:w="1660"/>
        <w:gridCol w:w="240"/>
        <w:gridCol w:w="1840"/>
      </w:tblGrid>
      <w:tr w:rsidR="00837F30" w:rsidRPr="00837F30" w:rsidTr="00837F30">
        <w:trPr>
          <w:trHeight w:val="240"/>
        </w:trPr>
        <w:tc>
          <w:tcPr>
            <w:tcW w:w="32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r>
      <w:tr w:rsidR="00837F30" w:rsidRPr="00837F30" w:rsidTr="00837F30">
        <w:trPr>
          <w:trHeight w:val="240"/>
        </w:trPr>
        <w:tc>
          <w:tcPr>
            <w:tcW w:w="320" w:type="dxa"/>
            <w:tcBorders>
              <w:top w:val="single" w:sz="4" w:space="0" w:color="auto"/>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single" w:sz="4" w:space="0" w:color="auto"/>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660" w:type="dxa"/>
            <w:tcBorders>
              <w:top w:val="single" w:sz="4" w:space="0" w:color="auto"/>
              <w:left w:val="nil"/>
              <w:bottom w:val="single" w:sz="4" w:space="0" w:color="auto"/>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Mean±SD.</w:t>
            </w:r>
          </w:p>
        </w:tc>
        <w:tc>
          <w:tcPr>
            <w:tcW w:w="240" w:type="dxa"/>
            <w:tcBorders>
              <w:top w:val="single" w:sz="4" w:space="0" w:color="auto"/>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single" w:sz="4" w:space="0" w:color="auto"/>
              <w:left w:val="nil"/>
              <w:bottom w:val="single" w:sz="4" w:space="0" w:color="auto"/>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Median (Min.-Max.)</w:t>
            </w:r>
          </w:p>
        </w:tc>
      </w:tr>
      <w:tr w:rsidR="00837F30" w:rsidRPr="00837F30" w:rsidTr="00837F30">
        <w:trPr>
          <w:trHeight w:val="240"/>
        </w:trPr>
        <w:tc>
          <w:tcPr>
            <w:tcW w:w="2900" w:type="dxa"/>
            <w:gridSpan w:val="2"/>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Yaş</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33,46±6,75</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32 (22 - 43)</w:t>
            </w:r>
          </w:p>
        </w:tc>
      </w:tr>
      <w:tr w:rsidR="00837F30" w:rsidRPr="00837F30" w:rsidTr="00837F30">
        <w:trPr>
          <w:trHeight w:val="240"/>
        </w:trPr>
        <w:tc>
          <w:tcPr>
            <w:tcW w:w="2900" w:type="dxa"/>
            <w:gridSpan w:val="2"/>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Gravida</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0,88±1,35</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 (0 - 5)</w:t>
            </w:r>
          </w:p>
        </w:tc>
      </w:tr>
      <w:tr w:rsidR="00837F30" w:rsidRPr="00837F30" w:rsidTr="00837F30">
        <w:trPr>
          <w:trHeight w:val="240"/>
        </w:trPr>
        <w:tc>
          <w:tcPr>
            <w:tcW w:w="2900" w:type="dxa"/>
            <w:gridSpan w:val="2"/>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Parite</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0,31±0,72</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 (0 - 3)</w:t>
            </w:r>
          </w:p>
        </w:tc>
      </w:tr>
      <w:tr w:rsidR="00837F30" w:rsidRPr="00837F30" w:rsidTr="00837F30">
        <w:trPr>
          <w:trHeight w:val="240"/>
        </w:trPr>
        <w:tc>
          <w:tcPr>
            <w:tcW w:w="2900" w:type="dxa"/>
            <w:gridSpan w:val="2"/>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Yaşayan</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0,31±0,72</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 (0 - 3)</w:t>
            </w:r>
          </w:p>
        </w:tc>
      </w:tr>
      <w:tr w:rsidR="00837F30" w:rsidRPr="00837F30" w:rsidTr="00837F30">
        <w:trPr>
          <w:trHeight w:val="240"/>
        </w:trPr>
        <w:tc>
          <w:tcPr>
            <w:tcW w:w="2900" w:type="dxa"/>
            <w:gridSpan w:val="2"/>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Abortus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0,56±1,13</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0 (0 - 4)</w:t>
            </w:r>
          </w:p>
        </w:tc>
      </w:tr>
      <w:tr w:rsidR="00837F30" w:rsidRPr="00837F30" w:rsidTr="00837F30">
        <w:trPr>
          <w:trHeight w:val="240"/>
        </w:trPr>
        <w:tc>
          <w:tcPr>
            <w:tcW w:w="32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lang w:eastAsia="tr-TR"/>
              </w:rPr>
            </w:pPr>
            <w:r w:rsidRPr="00837F30">
              <w:rPr>
                <w:rFonts w:eastAsia="BatangChe" w:cs="Times New Roman"/>
                <w:lang w:eastAsia="tr-TR"/>
              </w:rPr>
              <w:t> </w:t>
            </w:r>
          </w:p>
        </w:tc>
        <w:tc>
          <w:tcPr>
            <w:tcW w:w="258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lang w:eastAsia="tr-TR"/>
              </w:rPr>
            </w:pPr>
            <w:r w:rsidRPr="00837F30">
              <w:rPr>
                <w:rFonts w:eastAsia="BatangChe" w:cs="Times New Roman"/>
                <w:lang w:eastAsia="tr-TR"/>
              </w:rPr>
              <w:t> </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b/>
                <w:bCs/>
                <w:lang w:eastAsia="tr-TR"/>
              </w:rPr>
            </w:pPr>
            <w:r w:rsidRPr="00837F30">
              <w:rPr>
                <w:rFonts w:eastAsia="BatangChe" w:cs="Times New Roman"/>
                <w:b/>
                <w:bCs/>
                <w:lang w:eastAsia="tr-TR"/>
              </w:rPr>
              <w:t> </w:t>
            </w:r>
          </w:p>
        </w:tc>
      </w:tr>
      <w:tr w:rsidR="00837F30" w:rsidRPr="00837F30" w:rsidTr="00837F30">
        <w:trPr>
          <w:trHeight w:val="240"/>
        </w:trPr>
        <w:tc>
          <w:tcPr>
            <w:tcW w:w="2900" w:type="dxa"/>
            <w:gridSpan w:val="2"/>
            <w:tcBorders>
              <w:top w:val="nil"/>
              <w:left w:val="nil"/>
              <w:bottom w:val="nil"/>
              <w:right w:val="nil"/>
            </w:tcBorders>
            <w:shd w:val="clear" w:color="000000" w:fill="FFFFFF"/>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660" w:type="dxa"/>
            <w:tcBorders>
              <w:top w:val="nil"/>
              <w:left w:val="nil"/>
              <w:bottom w:val="single" w:sz="4" w:space="0" w:color="auto"/>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b/>
                <w:bCs/>
                <w:color w:val="000000"/>
                <w:lang w:eastAsia="tr-TR"/>
              </w:rPr>
            </w:pPr>
            <w:proofErr w:type="gramStart"/>
            <w:r w:rsidRPr="00837F30">
              <w:rPr>
                <w:rFonts w:eastAsia="BatangChe" w:cs="Times New Roman"/>
                <w:b/>
                <w:bCs/>
                <w:color w:val="000000"/>
                <w:lang w:eastAsia="tr-TR"/>
              </w:rPr>
              <w:t>n</w:t>
            </w:r>
            <w:proofErr w:type="gramEnd"/>
          </w:p>
        </w:tc>
        <w:tc>
          <w:tcPr>
            <w:tcW w:w="240" w:type="dxa"/>
            <w:tcBorders>
              <w:top w:val="nil"/>
              <w:left w:val="nil"/>
              <w:bottom w:val="nil"/>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 </w:t>
            </w:r>
          </w:p>
        </w:tc>
        <w:tc>
          <w:tcPr>
            <w:tcW w:w="1840" w:type="dxa"/>
            <w:tcBorders>
              <w:top w:val="nil"/>
              <w:left w:val="nil"/>
              <w:bottom w:val="single" w:sz="4" w:space="0" w:color="auto"/>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w:t>
            </w:r>
          </w:p>
        </w:tc>
      </w:tr>
      <w:tr w:rsidR="00837F30" w:rsidRPr="00837F30" w:rsidTr="00837F30">
        <w:trPr>
          <w:trHeight w:val="240"/>
        </w:trPr>
        <w:tc>
          <w:tcPr>
            <w:tcW w:w="2900" w:type="dxa"/>
            <w:gridSpan w:val="2"/>
            <w:tcBorders>
              <w:top w:val="nil"/>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İnferitlite</w:t>
            </w:r>
          </w:p>
        </w:tc>
        <w:tc>
          <w:tcPr>
            <w:tcW w:w="1660" w:type="dxa"/>
            <w:tcBorders>
              <w:top w:val="nil"/>
              <w:left w:val="nil"/>
              <w:bottom w:val="nil"/>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 </w:t>
            </w:r>
          </w:p>
        </w:tc>
        <w:tc>
          <w:tcPr>
            <w:tcW w:w="240" w:type="dxa"/>
            <w:tcBorders>
              <w:top w:val="nil"/>
              <w:left w:val="nil"/>
              <w:bottom w:val="nil"/>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vAlign w:val="center"/>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 </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Primer</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30</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rPr>
                <w:rFonts w:eastAsia="BatangChe" w:cs="Times New Roman"/>
                <w:color w:val="000000"/>
                <w:lang w:eastAsia="tr-TR"/>
              </w:rPr>
            </w:pP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Sekonder</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18</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p>
        </w:tc>
      </w:tr>
      <w:tr w:rsidR="00837F30" w:rsidRPr="00837F30" w:rsidTr="00837F30">
        <w:trPr>
          <w:trHeight w:val="458"/>
        </w:trPr>
        <w:tc>
          <w:tcPr>
            <w:tcW w:w="2900" w:type="dxa"/>
            <w:gridSpan w:val="2"/>
            <w:tcBorders>
              <w:top w:val="nil"/>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HSG TEŞHİS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Yanlış</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11</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42,3%</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Doğru</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15</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57,7%</w:t>
            </w:r>
          </w:p>
        </w:tc>
      </w:tr>
      <w:tr w:rsidR="00837F30" w:rsidRPr="00837F30" w:rsidTr="00837F30">
        <w:trPr>
          <w:trHeight w:val="458"/>
        </w:trPr>
        <w:tc>
          <w:tcPr>
            <w:tcW w:w="2900" w:type="dxa"/>
            <w:gridSpan w:val="2"/>
            <w:tcBorders>
              <w:top w:val="nil"/>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USG TEŞHİS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r>
      <w:tr w:rsidR="00837F30" w:rsidRPr="00837F30" w:rsidTr="00837F30">
        <w:trPr>
          <w:trHeight w:val="154"/>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Yanlış</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8</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32,0%</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Doğru</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17</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68,0%</w:t>
            </w:r>
          </w:p>
        </w:tc>
      </w:tr>
      <w:tr w:rsidR="00837F30" w:rsidRPr="00837F30" w:rsidTr="00837F30">
        <w:trPr>
          <w:trHeight w:val="458"/>
        </w:trPr>
        <w:tc>
          <w:tcPr>
            <w:tcW w:w="2900" w:type="dxa"/>
            <w:gridSpan w:val="2"/>
            <w:tcBorders>
              <w:top w:val="nil"/>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lastRenderedPageBreak/>
              <w:t>LAPAROSKOPİK TANI</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r>
      <w:tr w:rsidR="00837F30" w:rsidRPr="00837F30" w:rsidTr="00837F30">
        <w:trPr>
          <w:trHeight w:val="289"/>
        </w:trPr>
        <w:tc>
          <w:tcPr>
            <w:tcW w:w="32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Normal</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8</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16,7%</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Bilateral Hidrosalpenks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20</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41,7%</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Sağ Hidrosalpenks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13</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27,1%</w:t>
            </w:r>
          </w:p>
        </w:tc>
      </w:tr>
      <w:tr w:rsidR="00837F30" w:rsidRPr="00837F30" w:rsidTr="00837F30">
        <w:trPr>
          <w:trHeight w:val="240"/>
        </w:trPr>
        <w:tc>
          <w:tcPr>
            <w:tcW w:w="32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258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Sol Hidrosalpenks</w:t>
            </w:r>
          </w:p>
        </w:tc>
        <w:tc>
          <w:tcPr>
            <w:tcW w:w="166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7</w:t>
            </w:r>
          </w:p>
        </w:tc>
        <w:tc>
          <w:tcPr>
            <w:tcW w:w="2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8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14,6%</w:t>
            </w:r>
          </w:p>
        </w:tc>
      </w:tr>
      <w:tr w:rsidR="00837F30" w:rsidRPr="00837F30" w:rsidTr="00837F30">
        <w:trPr>
          <w:trHeight w:val="240"/>
        </w:trPr>
        <w:tc>
          <w:tcPr>
            <w:tcW w:w="6640" w:type="dxa"/>
            <w:gridSpan w:val="5"/>
            <w:tcBorders>
              <w:top w:val="single" w:sz="4" w:space="0" w:color="auto"/>
              <w:left w:val="nil"/>
              <w:bottom w:val="nil"/>
              <w:right w:val="nil"/>
            </w:tcBorders>
            <w:shd w:val="clear" w:color="000000" w:fill="FFFFFF"/>
            <w:noWrap/>
            <w:vAlign w:val="center"/>
            <w:hideMark/>
          </w:tcPr>
          <w:p w:rsidR="00837F30" w:rsidRPr="00837F30" w:rsidRDefault="00837F30" w:rsidP="00837F30">
            <w:pPr>
              <w:spacing w:after="0" w:line="240" w:lineRule="auto"/>
              <w:rPr>
                <w:rFonts w:eastAsia="BatangChe" w:cs="Times New Roman"/>
                <w:i/>
                <w:iCs/>
                <w:color w:val="000000"/>
                <w:lang w:eastAsia="tr-TR"/>
              </w:rPr>
            </w:pPr>
            <w:r w:rsidRPr="00837F30">
              <w:rPr>
                <w:rFonts w:eastAsia="BatangChe" w:cs="Times New Roman"/>
                <w:i/>
                <w:iCs/>
                <w:color w:val="000000"/>
                <w:lang w:eastAsia="tr-TR"/>
              </w:rPr>
              <w:t>SD</w:t>
            </w:r>
            <w:proofErr w:type="gramStart"/>
            <w:r w:rsidRPr="00837F30">
              <w:rPr>
                <w:rFonts w:eastAsia="BatangChe" w:cs="Times New Roman"/>
                <w:i/>
                <w:iCs/>
                <w:color w:val="000000"/>
                <w:lang w:eastAsia="tr-TR"/>
              </w:rPr>
              <w:t>.:</w:t>
            </w:r>
            <w:proofErr w:type="gramEnd"/>
            <w:r w:rsidRPr="00837F30">
              <w:rPr>
                <w:rFonts w:eastAsia="BatangChe" w:cs="Times New Roman"/>
                <w:i/>
                <w:iCs/>
                <w:color w:val="000000"/>
                <w:lang w:eastAsia="tr-TR"/>
              </w:rPr>
              <w:t>Standard Deviation  -   Min.:Minimum  -  Max.:Maximum</w:t>
            </w:r>
          </w:p>
        </w:tc>
      </w:tr>
    </w:tbl>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 xml:space="preserve">Tablo 1: Demografik Sonuçlar </w:t>
      </w: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p>
    <w:tbl>
      <w:tblPr>
        <w:tblStyle w:val="TabloKlavuzu"/>
        <w:tblW w:w="0" w:type="auto"/>
        <w:tblLook w:val="04A0"/>
      </w:tblPr>
      <w:tblGrid>
        <w:gridCol w:w="3070"/>
        <w:gridCol w:w="3071"/>
        <w:gridCol w:w="3071"/>
      </w:tblGrid>
      <w:tr w:rsidR="00837F30" w:rsidRPr="00837F30" w:rsidTr="00837F30">
        <w:tc>
          <w:tcPr>
            <w:tcW w:w="3070" w:type="dxa"/>
          </w:tcPr>
          <w:p w:rsidR="00837F30" w:rsidRPr="00837F30" w:rsidRDefault="00837F30" w:rsidP="00837F30">
            <w:pPr>
              <w:rPr>
                <w:rStyle w:val="apple-style-span"/>
                <w:rFonts w:eastAsia="BatangChe" w:cs="Times New Roman"/>
                <w:iCs/>
              </w:rPr>
            </w:pPr>
          </w:p>
        </w:tc>
        <w:tc>
          <w:tcPr>
            <w:tcW w:w="3071"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N</w:t>
            </w:r>
          </w:p>
        </w:tc>
        <w:tc>
          <w:tcPr>
            <w:tcW w:w="3071" w:type="dxa"/>
          </w:tcPr>
          <w:p w:rsidR="00837F30" w:rsidRPr="00837F30" w:rsidRDefault="00837F30" w:rsidP="00837F30">
            <w:pPr>
              <w:jc w:val="center"/>
              <w:rPr>
                <w:rStyle w:val="apple-style-span"/>
                <w:rFonts w:eastAsia="BatangChe" w:cs="Times New Roman"/>
                <w:iCs/>
              </w:rPr>
            </w:pPr>
            <w:proofErr w:type="gramStart"/>
            <w:r w:rsidRPr="00837F30">
              <w:rPr>
                <w:rStyle w:val="apple-style-span"/>
                <w:rFonts w:eastAsia="BatangChe" w:cs="Times New Roman"/>
                <w:iCs/>
              </w:rPr>
              <w:t>yüzde</w:t>
            </w:r>
            <w:proofErr w:type="gramEnd"/>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HSG TEŞHİS</w:t>
            </w:r>
          </w:p>
        </w:tc>
        <w:tc>
          <w:tcPr>
            <w:tcW w:w="3071" w:type="dxa"/>
          </w:tcPr>
          <w:p w:rsidR="00837F30" w:rsidRPr="00837F30" w:rsidRDefault="00837F30" w:rsidP="00837F30">
            <w:pPr>
              <w:jc w:val="center"/>
              <w:rPr>
                <w:rStyle w:val="apple-style-span"/>
                <w:rFonts w:eastAsia="BatangChe" w:cs="Times New Roman"/>
                <w:iCs/>
              </w:rPr>
            </w:pPr>
          </w:p>
        </w:tc>
        <w:tc>
          <w:tcPr>
            <w:tcW w:w="3071" w:type="dxa"/>
          </w:tcPr>
          <w:p w:rsidR="00837F30" w:rsidRPr="00837F30" w:rsidRDefault="00837F30" w:rsidP="00837F30">
            <w:pPr>
              <w:jc w:val="center"/>
              <w:rPr>
                <w:rStyle w:val="apple-style-span"/>
                <w:rFonts w:eastAsia="BatangChe" w:cs="Times New Roman"/>
                <w:iCs/>
              </w:rPr>
            </w:pPr>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YANLIŞ</w:t>
            </w:r>
          </w:p>
        </w:tc>
        <w:tc>
          <w:tcPr>
            <w:tcW w:w="3071"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11</w:t>
            </w:r>
          </w:p>
        </w:tc>
        <w:tc>
          <w:tcPr>
            <w:tcW w:w="3071" w:type="dxa"/>
          </w:tcPr>
          <w:p w:rsidR="00837F30" w:rsidRPr="00837F30" w:rsidRDefault="00837F30" w:rsidP="00837F30">
            <w:pPr>
              <w:jc w:val="center"/>
              <w:rPr>
                <w:rStyle w:val="apple-style-span"/>
                <w:rFonts w:eastAsia="BatangChe" w:cs="Times New Roman"/>
                <w:iCs/>
              </w:rPr>
            </w:pPr>
            <w:r w:rsidRPr="00837F30">
              <w:rPr>
                <w:rFonts w:eastAsia="BatangChe" w:cs="Times New Roman"/>
                <w:color w:val="000000"/>
                <w:lang w:eastAsia="tr-TR"/>
              </w:rPr>
              <w:t>42,3%</w:t>
            </w:r>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DOĞRU</w:t>
            </w:r>
          </w:p>
        </w:tc>
        <w:tc>
          <w:tcPr>
            <w:tcW w:w="3071"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15</w:t>
            </w:r>
          </w:p>
        </w:tc>
        <w:tc>
          <w:tcPr>
            <w:tcW w:w="3071" w:type="dxa"/>
          </w:tcPr>
          <w:p w:rsidR="00837F30" w:rsidRPr="00837F30" w:rsidRDefault="00837F30" w:rsidP="00837F30">
            <w:pPr>
              <w:jc w:val="center"/>
              <w:rPr>
                <w:rStyle w:val="apple-style-span"/>
                <w:rFonts w:eastAsia="BatangChe" w:cs="Times New Roman"/>
                <w:iCs/>
              </w:rPr>
            </w:pPr>
            <w:r w:rsidRPr="00837F30">
              <w:rPr>
                <w:rFonts w:eastAsia="BatangChe" w:cs="Times New Roman"/>
                <w:color w:val="000000"/>
                <w:lang w:eastAsia="tr-TR"/>
              </w:rPr>
              <w:t>57,7%</w:t>
            </w:r>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USG TEŞHİS</w:t>
            </w:r>
          </w:p>
        </w:tc>
        <w:tc>
          <w:tcPr>
            <w:tcW w:w="3071" w:type="dxa"/>
          </w:tcPr>
          <w:p w:rsidR="00837F30" w:rsidRPr="00837F30" w:rsidRDefault="00837F30" w:rsidP="00837F30">
            <w:pPr>
              <w:jc w:val="center"/>
              <w:rPr>
                <w:rStyle w:val="apple-style-span"/>
                <w:rFonts w:eastAsia="BatangChe" w:cs="Times New Roman"/>
                <w:iCs/>
              </w:rPr>
            </w:pPr>
          </w:p>
        </w:tc>
        <w:tc>
          <w:tcPr>
            <w:tcW w:w="3071" w:type="dxa"/>
          </w:tcPr>
          <w:p w:rsidR="00837F30" w:rsidRPr="00837F30" w:rsidRDefault="00837F30" w:rsidP="00837F30">
            <w:pPr>
              <w:jc w:val="center"/>
              <w:rPr>
                <w:rStyle w:val="apple-style-span"/>
                <w:rFonts w:eastAsia="BatangChe" w:cs="Times New Roman"/>
                <w:iCs/>
              </w:rPr>
            </w:pPr>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YANLIŞ</w:t>
            </w:r>
          </w:p>
        </w:tc>
        <w:tc>
          <w:tcPr>
            <w:tcW w:w="3071"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8</w:t>
            </w:r>
          </w:p>
        </w:tc>
        <w:tc>
          <w:tcPr>
            <w:tcW w:w="3071" w:type="dxa"/>
          </w:tcPr>
          <w:p w:rsidR="00837F30" w:rsidRPr="00837F30" w:rsidRDefault="00837F30" w:rsidP="00837F30">
            <w:pPr>
              <w:jc w:val="center"/>
              <w:rPr>
                <w:rStyle w:val="apple-style-span"/>
                <w:rFonts w:eastAsia="BatangChe" w:cs="Times New Roman"/>
                <w:iCs/>
              </w:rPr>
            </w:pPr>
            <w:r w:rsidRPr="00837F30">
              <w:rPr>
                <w:rFonts w:eastAsia="BatangChe" w:cs="Times New Roman"/>
                <w:color w:val="000000"/>
                <w:lang w:eastAsia="tr-TR"/>
              </w:rPr>
              <w:t>32,0%</w:t>
            </w:r>
          </w:p>
        </w:tc>
      </w:tr>
      <w:tr w:rsidR="00837F30" w:rsidRPr="00837F30" w:rsidTr="00837F30">
        <w:tc>
          <w:tcPr>
            <w:tcW w:w="3070"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DOĞRU</w:t>
            </w:r>
          </w:p>
        </w:tc>
        <w:tc>
          <w:tcPr>
            <w:tcW w:w="3071" w:type="dxa"/>
          </w:tcPr>
          <w:p w:rsidR="00837F30" w:rsidRPr="00837F30" w:rsidRDefault="00837F30" w:rsidP="00837F30">
            <w:pPr>
              <w:jc w:val="center"/>
              <w:rPr>
                <w:rStyle w:val="apple-style-span"/>
                <w:rFonts w:eastAsia="BatangChe" w:cs="Times New Roman"/>
                <w:iCs/>
              </w:rPr>
            </w:pPr>
            <w:r w:rsidRPr="00837F30">
              <w:rPr>
                <w:rStyle w:val="apple-style-span"/>
                <w:rFonts w:eastAsia="BatangChe" w:cs="Times New Roman"/>
                <w:iCs/>
              </w:rPr>
              <w:t>17</w:t>
            </w:r>
          </w:p>
        </w:tc>
        <w:tc>
          <w:tcPr>
            <w:tcW w:w="3071" w:type="dxa"/>
          </w:tcPr>
          <w:p w:rsidR="00837F30" w:rsidRPr="00837F30" w:rsidRDefault="00837F30" w:rsidP="00837F30">
            <w:pPr>
              <w:jc w:val="center"/>
              <w:rPr>
                <w:rStyle w:val="apple-style-span"/>
                <w:rFonts w:eastAsia="BatangChe" w:cs="Times New Roman"/>
                <w:iCs/>
              </w:rPr>
            </w:pPr>
            <w:r w:rsidRPr="00837F30">
              <w:rPr>
                <w:rFonts w:eastAsia="BatangChe" w:cs="Times New Roman"/>
                <w:color w:val="000000"/>
                <w:lang w:eastAsia="tr-TR"/>
              </w:rPr>
              <w:t>68,0%</w:t>
            </w:r>
          </w:p>
        </w:tc>
      </w:tr>
    </w:tbl>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 xml:space="preserve">Tablo 2: HSG ve USG sonuçlarının laparoskopi ile </w:t>
      </w:r>
      <w:proofErr w:type="gramStart"/>
      <w:r w:rsidRPr="00837F30">
        <w:rPr>
          <w:rStyle w:val="apple-style-span"/>
          <w:rFonts w:eastAsia="BatangChe" w:cs="Times New Roman"/>
          <w:iCs/>
        </w:rPr>
        <w:t>korelasyonu</w:t>
      </w:r>
      <w:proofErr w:type="gramEnd"/>
    </w:p>
    <w:p w:rsidR="00837F30" w:rsidRPr="00837F30" w:rsidRDefault="00837F30" w:rsidP="00837F30">
      <w:pPr>
        <w:autoSpaceDE w:val="0"/>
        <w:autoSpaceDN w:val="0"/>
        <w:adjustRightInd w:val="0"/>
        <w:spacing w:after="0"/>
        <w:rPr>
          <w:rFonts w:eastAsia="BatangChe" w:cs="Times New Roman"/>
        </w:rPr>
      </w:pPr>
      <w:r w:rsidRPr="00837F30">
        <w:rPr>
          <w:rFonts w:eastAsia="BatangChe" w:cs="Times New Roman"/>
        </w:rPr>
        <w:t xml:space="preserve">     USG’de yanlış teşhis olarak değerlendirilen  %32 hastadan 5’indeUSG’de bilateral hidrosalpinks izlenmiş laparoskopide bilateral tubalar normal yani hidrosalpinks görülmedi. 3 hastada USG’de</w:t>
      </w:r>
      <w:r>
        <w:rPr>
          <w:rFonts w:eastAsia="BatangChe" w:cs="Times New Roman"/>
        </w:rPr>
        <w:t xml:space="preserve"> </w:t>
      </w:r>
      <w:r w:rsidRPr="00837F30">
        <w:rPr>
          <w:rFonts w:eastAsia="BatangChe" w:cs="Times New Roman"/>
        </w:rPr>
        <w:t>bilateral hidrosalpinks görülmüş laparoskopide 2 hastada sağda distal tubal tıkanıklık</w:t>
      </w:r>
      <w:r>
        <w:rPr>
          <w:rFonts w:eastAsia="BatangChe" w:cs="Times New Roman"/>
        </w:rPr>
        <w:t xml:space="preserve"> </w:t>
      </w:r>
      <w:r w:rsidRPr="00837F30">
        <w:rPr>
          <w:rFonts w:eastAsia="BatangChe" w:cs="Times New Roman"/>
        </w:rPr>
        <w:t>izlenmiştir. 1 hastada da sol tubada distal tıkanıklık izlenmiştir.</w:t>
      </w:r>
    </w:p>
    <w:p w:rsidR="00837F30" w:rsidRPr="00837F30" w:rsidRDefault="00837F30" w:rsidP="00837F30">
      <w:pPr>
        <w:autoSpaceDE w:val="0"/>
        <w:autoSpaceDN w:val="0"/>
        <w:adjustRightInd w:val="0"/>
        <w:spacing w:after="0"/>
        <w:rPr>
          <w:rFonts w:eastAsia="BatangChe" w:cs="Times New Roman"/>
        </w:rPr>
      </w:pPr>
      <w:r>
        <w:rPr>
          <w:rFonts w:eastAsia="BatangChe" w:cs="Times New Roman"/>
        </w:rPr>
        <w:t xml:space="preserve">     </w:t>
      </w:r>
      <w:r w:rsidRPr="00837F30">
        <w:rPr>
          <w:rFonts w:eastAsia="BatangChe" w:cs="Times New Roman"/>
        </w:rPr>
        <w:t xml:space="preserve">HSG’de yanlış teşhis olarak değerlendirilen  %42,3 </w:t>
      </w:r>
      <w:proofErr w:type="gramStart"/>
      <w:r w:rsidRPr="00837F30">
        <w:rPr>
          <w:rFonts w:eastAsia="BatangChe" w:cs="Times New Roman"/>
        </w:rPr>
        <w:t>hastadan  laparoskopide</w:t>
      </w:r>
      <w:proofErr w:type="gramEnd"/>
      <w:r w:rsidRPr="00837F30">
        <w:rPr>
          <w:rFonts w:eastAsia="BatangChe" w:cs="Times New Roman"/>
        </w:rPr>
        <w:t xml:space="preserve"> bilateral tubalar normal veya hidrosalpinks izlenmeden tek tubada</w:t>
      </w:r>
      <w:r>
        <w:rPr>
          <w:rFonts w:eastAsia="BatangChe" w:cs="Times New Roman"/>
        </w:rPr>
        <w:t xml:space="preserve"> </w:t>
      </w:r>
      <w:r w:rsidRPr="00837F30">
        <w:rPr>
          <w:rFonts w:eastAsia="BatangChe" w:cs="Times New Roman"/>
        </w:rPr>
        <w:t>distal tubal tıkanıklık izlendi.</w:t>
      </w:r>
    </w:p>
    <w:p w:rsidR="00837F30" w:rsidRPr="00837F30" w:rsidRDefault="00837F30" w:rsidP="00837F30">
      <w:pPr>
        <w:autoSpaceDE w:val="0"/>
        <w:autoSpaceDN w:val="0"/>
        <w:adjustRightInd w:val="0"/>
        <w:spacing w:after="0" w:line="240" w:lineRule="auto"/>
        <w:rPr>
          <w:rStyle w:val="apple-style-span"/>
          <w:rFonts w:eastAsia="BatangChe" w:cs="Times New Roman"/>
        </w:rPr>
      </w:pPr>
    </w:p>
    <w:tbl>
      <w:tblPr>
        <w:tblW w:w="6900" w:type="dxa"/>
        <w:tblInd w:w="55" w:type="dxa"/>
        <w:tblCellMar>
          <w:left w:w="70" w:type="dxa"/>
          <w:right w:w="70" w:type="dxa"/>
        </w:tblCellMar>
        <w:tblLook w:val="04A0"/>
      </w:tblPr>
      <w:tblGrid>
        <w:gridCol w:w="660"/>
        <w:gridCol w:w="1760"/>
        <w:gridCol w:w="1600"/>
        <w:gridCol w:w="340"/>
        <w:gridCol w:w="1600"/>
        <w:gridCol w:w="940"/>
      </w:tblGrid>
      <w:tr w:rsidR="00837F30" w:rsidRPr="00837F30" w:rsidTr="00837F30">
        <w:trPr>
          <w:trHeight w:val="240"/>
        </w:trPr>
        <w:tc>
          <w:tcPr>
            <w:tcW w:w="66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76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34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vAlign w:val="bottom"/>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r>
      <w:tr w:rsidR="00837F30" w:rsidRPr="00837F30" w:rsidTr="00837F30">
        <w:trPr>
          <w:trHeight w:val="240"/>
        </w:trPr>
        <w:tc>
          <w:tcPr>
            <w:tcW w:w="2420" w:type="dxa"/>
            <w:gridSpan w:val="2"/>
            <w:vMerge w:val="restart"/>
            <w:tcBorders>
              <w:top w:val="single" w:sz="4" w:space="0" w:color="auto"/>
              <w:left w:val="nil"/>
              <w:bottom w:val="single" w:sz="4" w:space="0" w:color="000000"/>
              <w:right w:val="nil"/>
            </w:tcBorders>
            <w:shd w:val="clear" w:color="000000" w:fill="FFFFFF"/>
            <w:vAlign w:val="bottom"/>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3540" w:type="dxa"/>
            <w:gridSpan w:val="3"/>
            <w:tcBorders>
              <w:top w:val="single" w:sz="4" w:space="0" w:color="auto"/>
              <w:left w:val="nil"/>
              <w:bottom w:val="single" w:sz="4" w:space="0" w:color="000000"/>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İnferitlite</w:t>
            </w:r>
          </w:p>
        </w:tc>
        <w:tc>
          <w:tcPr>
            <w:tcW w:w="940" w:type="dxa"/>
            <w:vMerge w:val="restart"/>
            <w:tcBorders>
              <w:top w:val="single" w:sz="4" w:space="0" w:color="auto"/>
              <w:left w:val="nil"/>
              <w:bottom w:val="single" w:sz="4" w:space="0" w:color="000000"/>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b/>
                <w:bCs/>
                <w:lang w:eastAsia="tr-TR"/>
              </w:rPr>
            </w:pPr>
            <w:r w:rsidRPr="00837F30">
              <w:rPr>
                <w:rFonts w:eastAsia="BatangChe" w:cs="Times New Roman"/>
                <w:b/>
                <w:bCs/>
                <w:lang w:eastAsia="tr-TR"/>
              </w:rPr>
              <w:t>P Value</w:t>
            </w:r>
          </w:p>
        </w:tc>
      </w:tr>
      <w:tr w:rsidR="00837F30" w:rsidRPr="00837F30" w:rsidTr="00837F30">
        <w:trPr>
          <w:trHeight w:val="240"/>
        </w:trPr>
        <w:tc>
          <w:tcPr>
            <w:tcW w:w="2420" w:type="dxa"/>
            <w:gridSpan w:val="2"/>
            <w:vMerge/>
            <w:tcBorders>
              <w:top w:val="single" w:sz="4" w:space="0" w:color="auto"/>
              <w:left w:val="nil"/>
              <w:bottom w:val="single" w:sz="4" w:space="0" w:color="000000"/>
              <w:right w:val="nil"/>
            </w:tcBorders>
            <w:vAlign w:val="center"/>
            <w:hideMark/>
          </w:tcPr>
          <w:p w:rsidR="00837F30" w:rsidRPr="00837F30" w:rsidRDefault="00837F30" w:rsidP="00837F30">
            <w:pPr>
              <w:spacing w:after="0" w:line="240" w:lineRule="auto"/>
              <w:rPr>
                <w:rFonts w:eastAsia="BatangChe" w:cs="Times New Roman"/>
                <w:color w:val="000000"/>
                <w:lang w:eastAsia="tr-TR"/>
              </w:rPr>
            </w:pPr>
          </w:p>
        </w:tc>
        <w:tc>
          <w:tcPr>
            <w:tcW w:w="1600" w:type="dxa"/>
            <w:tcBorders>
              <w:top w:val="nil"/>
              <w:left w:val="nil"/>
              <w:bottom w:val="single" w:sz="4" w:space="0" w:color="000000"/>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Primer</w:t>
            </w:r>
          </w:p>
        </w:tc>
        <w:tc>
          <w:tcPr>
            <w:tcW w:w="340" w:type="dxa"/>
            <w:tcBorders>
              <w:top w:val="nil"/>
              <w:left w:val="nil"/>
              <w:bottom w:val="nil"/>
              <w:right w:val="nil"/>
            </w:tcBorders>
            <w:shd w:val="clear" w:color="000000" w:fill="FFFFFF"/>
            <w:vAlign w:val="bottom"/>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 </w:t>
            </w:r>
          </w:p>
        </w:tc>
        <w:tc>
          <w:tcPr>
            <w:tcW w:w="1600" w:type="dxa"/>
            <w:tcBorders>
              <w:top w:val="nil"/>
              <w:left w:val="nil"/>
              <w:bottom w:val="single" w:sz="4" w:space="0" w:color="000000"/>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Sekonder</w:t>
            </w:r>
          </w:p>
        </w:tc>
        <w:tc>
          <w:tcPr>
            <w:tcW w:w="940" w:type="dxa"/>
            <w:vMerge/>
            <w:tcBorders>
              <w:top w:val="single" w:sz="4" w:space="0" w:color="auto"/>
              <w:left w:val="nil"/>
              <w:bottom w:val="single" w:sz="4" w:space="0" w:color="000000"/>
              <w:right w:val="nil"/>
            </w:tcBorders>
            <w:vAlign w:val="center"/>
            <w:hideMark/>
          </w:tcPr>
          <w:p w:rsidR="00837F30" w:rsidRPr="00837F30" w:rsidRDefault="00837F30" w:rsidP="00837F30">
            <w:pPr>
              <w:spacing w:after="0" w:line="240" w:lineRule="auto"/>
              <w:rPr>
                <w:rFonts w:eastAsia="BatangChe" w:cs="Times New Roman"/>
                <w:b/>
                <w:bCs/>
                <w:lang w:eastAsia="tr-TR"/>
              </w:rPr>
            </w:pPr>
          </w:p>
        </w:tc>
      </w:tr>
      <w:tr w:rsidR="00837F30" w:rsidRPr="00837F30" w:rsidTr="00837F30">
        <w:trPr>
          <w:trHeight w:val="240"/>
        </w:trPr>
        <w:tc>
          <w:tcPr>
            <w:tcW w:w="2420" w:type="dxa"/>
            <w:gridSpan w:val="2"/>
            <w:vMerge/>
            <w:tcBorders>
              <w:top w:val="single" w:sz="4" w:space="0" w:color="auto"/>
              <w:left w:val="nil"/>
              <w:bottom w:val="single" w:sz="4" w:space="0" w:color="000000"/>
              <w:right w:val="nil"/>
            </w:tcBorders>
            <w:vAlign w:val="center"/>
            <w:hideMark/>
          </w:tcPr>
          <w:p w:rsidR="00837F30" w:rsidRPr="00837F30" w:rsidRDefault="00837F30" w:rsidP="00837F30">
            <w:pPr>
              <w:spacing w:after="0" w:line="240" w:lineRule="auto"/>
              <w:rPr>
                <w:rFonts w:eastAsia="BatangChe" w:cs="Times New Roman"/>
                <w:color w:val="000000"/>
                <w:lang w:eastAsia="tr-TR"/>
              </w:rPr>
            </w:pPr>
          </w:p>
        </w:tc>
        <w:tc>
          <w:tcPr>
            <w:tcW w:w="1600" w:type="dxa"/>
            <w:tcBorders>
              <w:top w:val="nil"/>
              <w:left w:val="nil"/>
              <w:bottom w:val="single" w:sz="4" w:space="0" w:color="auto"/>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n(%)</w:t>
            </w:r>
          </w:p>
        </w:tc>
        <w:tc>
          <w:tcPr>
            <w:tcW w:w="340" w:type="dxa"/>
            <w:tcBorders>
              <w:top w:val="nil"/>
              <w:left w:val="nil"/>
              <w:bottom w:val="single" w:sz="4" w:space="0" w:color="auto"/>
              <w:right w:val="nil"/>
            </w:tcBorders>
            <w:shd w:val="clear" w:color="000000" w:fill="FFFFFF"/>
            <w:vAlign w:val="bottom"/>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 </w:t>
            </w:r>
          </w:p>
        </w:tc>
        <w:tc>
          <w:tcPr>
            <w:tcW w:w="1600" w:type="dxa"/>
            <w:tcBorders>
              <w:top w:val="nil"/>
              <w:left w:val="nil"/>
              <w:bottom w:val="single" w:sz="4" w:space="0" w:color="auto"/>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n(%)</w:t>
            </w:r>
          </w:p>
        </w:tc>
        <w:tc>
          <w:tcPr>
            <w:tcW w:w="940" w:type="dxa"/>
            <w:vMerge/>
            <w:tcBorders>
              <w:top w:val="single" w:sz="4" w:space="0" w:color="auto"/>
              <w:left w:val="nil"/>
              <w:bottom w:val="single" w:sz="4" w:space="0" w:color="000000"/>
              <w:right w:val="nil"/>
            </w:tcBorders>
            <w:vAlign w:val="center"/>
            <w:hideMark/>
          </w:tcPr>
          <w:p w:rsidR="00837F30" w:rsidRPr="00837F30" w:rsidRDefault="00837F30" w:rsidP="00837F30">
            <w:pPr>
              <w:spacing w:after="0" w:line="240" w:lineRule="auto"/>
              <w:rPr>
                <w:rFonts w:eastAsia="BatangChe" w:cs="Times New Roman"/>
                <w:b/>
                <w:bCs/>
                <w:lang w:eastAsia="tr-TR"/>
              </w:rPr>
            </w:pPr>
          </w:p>
        </w:tc>
      </w:tr>
      <w:tr w:rsidR="00837F30" w:rsidRPr="00837F30" w:rsidTr="00837F30">
        <w:trPr>
          <w:trHeight w:val="240"/>
        </w:trPr>
        <w:tc>
          <w:tcPr>
            <w:tcW w:w="2420" w:type="dxa"/>
            <w:gridSpan w:val="2"/>
            <w:tcBorders>
              <w:top w:val="single" w:sz="4" w:space="0" w:color="auto"/>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p>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HSG TEŞHİS</w:t>
            </w:r>
          </w:p>
        </w:tc>
        <w:tc>
          <w:tcPr>
            <w:tcW w:w="1600" w:type="dxa"/>
            <w:tcBorders>
              <w:top w:val="nil"/>
              <w:left w:val="nil"/>
              <w:bottom w:val="nil"/>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 </w:t>
            </w:r>
          </w:p>
        </w:tc>
        <w:tc>
          <w:tcPr>
            <w:tcW w:w="340" w:type="dxa"/>
            <w:tcBorders>
              <w:top w:val="nil"/>
              <w:left w:val="nil"/>
              <w:bottom w:val="nil"/>
              <w:right w:val="nil"/>
            </w:tcBorders>
            <w:shd w:val="clear" w:color="000000" w:fill="FFFFFF"/>
            <w:vAlign w:val="bottom"/>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 </w:t>
            </w:r>
          </w:p>
        </w:tc>
        <w:tc>
          <w:tcPr>
            <w:tcW w:w="1600" w:type="dxa"/>
            <w:tcBorders>
              <w:top w:val="nil"/>
              <w:left w:val="nil"/>
              <w:bottom w:val="nil"/>
              <w:right w:val="nil"/>
            </w:tcBorders>
            <w:shd w:val="clear" w:color="000000" w:fill="FFFFFF"/>
            <w:vAlign w:val="bottom"/>
            <w:hideMark/>
          </w:tcPr>
          <w:p w:rsidR="00837F30" w:rsidRPr="00837F30" w:rsidRDefault="00837F30" w:rsidP="00837F30">
            <w:pPr>
              <w:spacing w:after="0" w:line="240" w:lineRule="auto"/>
              <w:jc w:val="center"/>
              <w:rPr>
                <w:rFonts w:eastAsia="BatangChe" w:cs="Times New Roman"/>
                <w:b/>
                <w:bCs/>
                <w:color w:val="000000"/>
                <w:lang w:eastAsia="tr-TR"/>
              </w:rPr>
            </w:pPr>
            <w:r w:rsidRPr="00837F30">
              <w:rPr>
                <w:rFonts w:eastAsia="BatangChe" w:cs="Times New Roman"/>
                <w:b/>
                <w:bCs/>
                <w:color w:val="000000"/>
                <w:lang w:eastAsia="tr-TR"/>
              </w:rPr>
              <w:t> </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r>
      <w:tr w:rsidR="00837F30" w:rsidRPr="00837F30" w:rsidTr="00837F30">
        <w:trPr>
          <w:trHeight w:val="240"/>
        </w:trPr>
        <w:tc>
          <w:tcPr>
            <w:tcW w:w="6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7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Yanlış</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7 (35,0)</w:t>
            </w:r>
          </w:p>
        </w:tc>
        <w:tc>
          <w:tcPr>
            <w:tcW w:w="34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4 (66,7)</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0,348</w:t>
            </w:r>
          </w:p>
        </w:tc>
      </w:tr>
      <w:tr w:rsidR="00837F30" w:rsidRPr="00837F30" w:rsidTr="00837F30">
        <w:trPr>
          <w:trHeight w:val="240"/>
        </w:trPr>
        <w:tc>
          <w:tcPr>
            <w:tcW w:w="6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7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Doğru</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13 (65,0)</w:t>
            </w:r>
          </w:p>
        </w:tc>
        <w:tc>
          <w:tcPr>
            <w:tcW w:w="34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2 (33,3)</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r>
      <w:tr w:rsidR="00837F30" w:rsidRPr="00837F30" w:rsidTr="00837F30">
        <w:trPr>
          <w:trHeight w:val="240"/>
        </w:trPr>
        <w:tc>
          <w:tcPr>
            <w:tcW w:w="2420" w:type="dxa"/>
            <w:gridSpan w:val="2"/>
            <w:tcBorders>
              <w:top w:val="nil"/>
              <w:left w:val="nil"/>
              <w:bottom w:val="nil"/>
              <w:right w:val="nil"/>
            </w:tcBorders>
            <w:shd w:val="clear" w:color="000000" w:fill="FFFFFF"/>
            <w:vAlign w:val="center"/>
            <w:hideMark/>
          </w:tcPr>
          <w:p w:rsidR="00837F30" w:rsidRPr="00837F30" w:rsidRDefault="00837F30" w:rsidP="00837F30">
            <w:pPr>
              <w:spacing w:after="0" w:line="240" w:lineRule="auto"/>
              <w:rPr>
                <w:rFonts w:eastAsia="BatangChe" w:cs="Times New Roman"/>
                <w:b/>
                <w:bCs/>
                <w:color w:val="000000"/>
                <w:lang w:eastAsia="tr-TR"/>
              </w:rPr>
            </w:pPr>
            <w:r w:rsidRPr="00837F30">
              <w:rPr>
                <w:rFonts w:eastAsia="BatangChe" w:cs="Times New Roman"/>
                <w:b/>
                <w:bCs/>
                <w:color w:val="000000"/>
                <w:lang w:eastAsia="tr-TR"/>
              </w:rPr>
              <w:t>USG TEŞHİS</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34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r>
      <w:tr w:rsidR="00837F30" w:rsidRPr="00837F30" w:rsidTr="00837F30">
        <w:trPr>
          <w:trHeight w:val="240"/>
        </w:trPr>
        <w:tc>
          <w:tcPr>
            <w:tcW w:w="6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7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Yanlış</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5 (41,7)</w:t>
            </w:r>
          </w:p>
        </w:tc>
        <w:tc>
          <w:tcPr>
            <w:tcW w:w="34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3 (23,1)</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0,411</w:t>
            </w:r>
          </w:p>
        </w:tc>
      </w:tr>
      <w:tr w:rsidR="00837F30" w:rsidRPr="00837F30" w:rsidTr="00837F30">
        <w:trPr>
          <w:trHeight w:val="240"/>
        </w:trPr>
        <w:tc>
          <w:tcPr>
            <w:tcW w:w="6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 </w:t>
            </w:r>
          </w:p>
        </w:tc>
        <w:tc>
          <w:tcPr>
            <w:tcW w:w="1760" w:type="dxa"/>
            <w:tcBorders>
              <w:top w:val="nil"/>
              <w:left w:val="nil"/>
              <w:bottom w:val="nil"/>
              <w:right w:val="nil"/>
            </w:tcBorders>
            <w:shd w:val="clear" w:color="000000" w:fill="FFFFFF"/>
            <w:hideMark/>
          </w:tcPr>
          <w:p w:rsidR="00837F30" w:rsidRPr="00837F30" w:rsidRDefault="00837F30" w:rsidP="00837F30">
            <w:pPr>
              <w:spacing w:after="0" w:line="240" w:lineRule="auto"/>
              <w:rPr>
                <w:rFonts w:eastAsia="BatangChe" w:cs="Times New Roman"/>
                <w:color w:val="000000"/>
                <w:lang w:eastAsia="tr-TR"/>
              </w:rPr>
            </w:pPr>
            <w:r w:rsidRPr="00837F30">
              <w:rPr>
                <w:rFonts w:eastAsia="BatangChe" w:cs="Times New Roman"/>
                <w:color w:val="000000"/>
                <w:lang w:eastAsia="tr-TR"/>
              </w:rPr>
              <w:t>Doğru</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7 (58,3)</w:t>
            </w:r>
          </w:p>
        </w:tc>
        <w:tc>
          <w:tcPr>
            <w:tcW w:w="34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 </w:t>
            </w:r>
          </w:p>
        </w:tc>
        <w:tc>
          <w:tcPr>
            <w:tcW w:w="1600" w:type="dxa"/>
            <w:tcBorders>
              <w:top w:val="nil"/>
              <w:left w:val="nil"/>
              <w:bottom w:val="nil"/>
              <w:right w:val="nil"/>
            </w:tcBorders>
            <w:shd w:val="clear" w:color="000000" w:fill="FFFFFF"/>
            <w:noWrap/>
            <w:hideMark/>
          </w:tcPr>
          <w:p w:rsidR="00837F30" w:rsidRPr="00837F30" w:rsidRDefault="00837F30" w:rsidP="00837F30">
            <w:pPr>
              <w:spacing w:after="0" w:line="240" w:lineRule="auto"/>
              <w:jc w:val="center"/>
              <w:rPr>
                <w:rFonts w:eastAsia="BatangChe" w:cs="Times New Roman"/>
                <w:color w:val="000000"/>
                <w:lang w:eastAsia="tr-TR"/>
              </w:rPr>
            </w:pPr>
            <w:r w:rsidRPr="00837F30">
              <w:rPr>
                <w:rFonts w:eastAsia="BatangChe" w:cs="Times New Roman"/>
                <w:color w:val="000000"/>
                <w:lang w:eastAsia="tr-TR"/>
              </w:rPr>
              <w:t>10 (76,9)</w:t>
            </w:r>
          </w:p>
        </w:tc>
        <w:tc>
          <w:tcPr>
            <w:tcW w:w="940" w:type="dxa"/>
            <w:tcBorders>
              <w:top w:val="nil"/>
              <w:left w:val="nil"/>
              <w:bottom w:val="nil"/>
              <w:right w:val="nil"/>
            </w:tcBorders>
            <w:shd w:val="clear" w:color="000000" w:fill="FFFFFF"/>
            <w:noWrap/>
            <w:vAlign w:val="center"/>
            <w:hideMark/>
          </w:tcPr>
          <w:p w:rsidR="00837F30" w:rsidRPr="00837F30" w:rsidRDefault="00837F30" w:rsidP="00837F30">
            <w:pPr>
              <w:spacing w:after="0" w:line="240" w:lineRule="auto"/>
              <w:jc w:val="center"/>
              <w:rPr>
                <w:rFonts w:eastAsia="BatangChe" w:cs="Times New Roman"/>
                <w:lang w:eastAsia="tr-TR"/>
              </w:rPr>
            </w:pPr>
            <w:r w:rsidRPr="00837F30">
              <w:rPr>
                <w:rFonts w:eastAsia="BatangChe" w:cs="Times New Roman"/>
                <w:lang w:eastAsia="tr-TR"/>
              </w:rPr>
              <w:t> </w:t>
            </w:r>
          </w:p>
        </w:tc>
      </w:tr>
    </w:tbl>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Tablo 3: Tubal geçirgenliğin primer ve sekonder infertilite arasındaki ilişkisi</w:t>
      </w:r>
    </w:p>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HSG ile hidrosalpinks olarak değerlendirilen hastaların laparaskopi ile doğrulaması yapıldığında primer ve sekonder infertil arasında anlamlı farklılık saptanmamıştır. (p=0,348) TABLO 3’te gösterilen 13 (%65) primer infertil hastaya HSG ile konulan teşhis laparoskopide doğrulanmıştır. 2 (%33,3)sekonder infertil hastada HSG’de görülen hidrosalpinks laparoskopi de gösterilmiştir.</w:t>
      </w:r>
    </w:p>
    <w:p w:rsidR="00837F30" w:rsidRPr="00837F30" w:rsidRDefault="00837F30" w:rsidP="00837F30">
      <w:pPr>
        <w:rPr>
          <w:rStyle w:val="apple-style-span"/>
          <w:rFonts w:eastAsia="BatangChe" w:cs="Times New Roman"/>
          <w:iCs/>
        </w:rPr>
      </w:pPr>
      <w:r w:rsidRPr="00837F30">
        <w:rPr>
          <w:rStyle w:val="apple-style-span"/>
          <w:rFonts w:eastAsia="BatangChe" w:cs="Times New Roman"/>
          <w:iCs/>
        </w:rPr>
        <w:t xml:space="preserve">USG ile hidrosalpinks olarak değerlendirilen hastaların laparaskopi ile doğrulaması yapıldığında primer ve sekonder infertil arasında anlamlı farklılık saptanmamıştır. (p=0,411) 12 primer infertil </w:t>
      </w:r>
      <w:r w:rsidRPr="00837F30">
        <w:rPr>
          <w:rStyle w:val="apple-style-span"/>
          <w:rFonts w:eastAsia="BatangChe" w:cs="Times New Roman"/>
          <w:iCs/>
        </w:rPr>
        <w:lastRenderedPageBreak/>
        <w:t>hastanın 7’sinde (%58,3), 13 sekonder infertil hastanın 10’unda (%76,9) hidrosalpinks laparoskopi ile doğrulanmıştır. USG ile hidrosalpinks ön tanısı konulan 12 primer infertil hastasının 8’inde (%66,7) laparoskopide bilateral hidrosalpinks, 1’inde (%8,3) sağ hidrosalpinks, 3’ünde (%25) sol hidrosalpinks izlendi. 13 sekonder infertil hastasının 5’inde (%38,5) bilateral hidrosalpinks, 3’ünde (%23,1) sağ hidrosalpinks, 5’inde (%38,5) sol hidrosalpinks izlenmiştir.</w:t>
      </w: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iCs/>
        </w:rPr>
      </w:pPr>
    </w:p>
    <w:p w:rsidR="00837F30" w:rsidRPr="00837F30" w:rsidRDefault="00837F30" w:rsidP="00837F30">
      <w:pPr>
        <w:rPr>
          <w:rStyle w:val="apple-style-span"/>
          <w:rFonts w:eastAsia="BatangChe" w:cs="Times New Roman"/>
          <w:b/>
          <w:iCs/>
        </w:rPr>
      </w:pPr>
      <w:r w:rsidRPr="00837F30">
        <w:rPr>
          <w:rStyle w:val="apple-style-span"/>
          <w:rFonts w:eastAsia="BatangChe" w:cs="Times New Roman"/>
          <w:b/>
          <w:iCs/>
        </w:rPr>
        <w:t>TARTIŞMA</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İnfertil hastaların uterin boşluğu ve fallop tüplerini ilk basamak değerlendirme</w:t>
      </w:r>
      <w:r>
        <w:rPr>
          <w:rFonts w:eastAsia="BatangChe" w:cs="Times New Roman"/>
        </w:rPr>
        <w:t xml:space="preserve"> </w:t>
      </w:r>
      <w:proofErr w:type="gramStart"/>
      <w:r w:rsidRPr="00837F30">
        <w:rPr>
          <w:rFonts w:eastAsia="BatangChe" w:cs="Times New Roman"/>
        </w:rPr>
        <w:t>USG  ile</w:t>
      </w:r>
      <w:proofErr w:type="gramEnd"/>
      <w:r w:rsidRPr="00837F30">
        <w:rPr>
          <w:rFonts w:eastAsia="BatangChe" w:cs="Times New Roman"/>
        </w:rPr>
        <w:t xml:space="preserve"> olup bir sonraki aşamada diğer gelişmiş ve etkili yöntemler olmasına rağmen HSG ucuz, kolaylıkla erişilebilir ve yorumlanması kolay olduğundan yaygın olarak kullanılmaktadır. Uterin </w:t>
      </w:r>
      <w:proofErr w:type="gramStart"/>
      <w:r w:rsidRPr="00837F30">
        <w:rPr>
          <w:rFonts w:eastAsia="BatangChe" w:cs="Times New Roman"/>
        </w:rPr>
        <w:t>anomaliler</w:t>
      </w:r>
      <w:proofErr w:type="gramEnd"/>
      <w:r w:rsidRPr="00837F30">
        <w:rPr>
          <w:rFonts w:eastAsia="BatangChe" w:cs="Times New Roman"/>
        </w:rPr>
        <w:t xml:space="preserve"> ve kavitede bazı yer kaplayan lezyonları ve fallop tüplerinde ki anormallikleri daha düşük maliyetle ve invaziv olmayan şekilde ortaya koymaktadır. </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 xml:space="preserve">Hidrosalpinks, </w:t>
      </w:r>
      <w:proofErr w:type="gramStart"/>
      <w:r w:rsidRPr="00837F30">
        <w:rPr>
          <w:rFonts w:eastAsia="BatangChe" w:cs="Times New Roman"/>
        </w:rPr>
        <w:t>enfeksiyon</w:t>
      </w:r>
      <w:proofErr w:type="gramEnd"/>
      <w:r w:rsidRPr="00837F30">
        <w:rPr>
          <w:rFonts w:eastAsia="BatangChe" w:cs="Times New Roman"/>
        </w:rPr>
        <w:t xml:space="preserve"> ve inflamatuar süreç sonucunda daha çok izlenmektedir. Hidrosalpinksin de sağ tarafta daha yaygın olduğu önceki çalışmalarda gösterilmiştir.</w:t>
      </w:r>
      <w:r>
        <w:rPr>
          <w:rFonts w:eastAsia="BatangChe" w:cs="Times New Roman"/>
        </w:rPr>
        <w:t xml:space="preserve"> </w:t>
      </w:r>
      <w:r w:rsidRPr="00837F30">
        <w:rPr>
          <w:rFonts w:eastAsia="BatangChe" w:cs="Times New Roman"/>
        </w:rPr>
        <w:t xml:space="preserve">Hidrosalpinks insidansının % 7,2 ile 11 arasında değiştiği bildirilmiştir(5,6). Bununla birlikte, diğer araştırmacılar % 20 ve % </w:t>
      </w:r>
      <w:proofErr w:type="gramStart"/>
      <w:r w:rsidRPr="00837F30">
        <w:rPr>
          <w:rFonts w:eastAsia="BatangChe" w:cs="Times New Roman"/>
        </w:rPr>
        <w:t>33.1</w:t>
      </w:r>
      <w:proofErr w:type="gramEnd"/>
      <w:r w:rsidRPr="00837F30">
        <w:rPr>
          <w:rFonts w:eastAsia="BatangChe" w:cs="Times New Roman"/>
        </w:rPr>
        <w:t xml:space="preserve"> oranında daha fazla görülme sıklığı bildirmiştir(7,8).</w:t>
      </w:r>
      <w:r>
        <w:rPr>
          <w:rFonts w:eastAsia="BatangChe" w:cs="Times New Roman"/>
        </w:rPr>
        <w:t xml:space="preserve"> </w:t>
      </w:r>
      <w:r w:rsidRPr="00837F30">
        <w:rPr>
          <w:rFonts w:eastAsia="BatangChe" w:cs="Times New Roman"/>
        </w:rPr>
        <w:t xml:space="preserve">Bizim çalışmamızda </w:t>
      </w:r>
      <w:r w:rsidRPr="00837F30">
        <w:rPr>
          <w:rStyle w:val="apple-style-span"/>
          <w:rFonts w:eastAsia="BatangChe" w:cs="Times New Roman"/>
          <w:iCs/>
        </w:rPr>
        <w:t>13 (%27,1) hastada sağ hidrosalpinks, 7 (%14,6) hastada sol hidrosalpinks izlendi. Bu durum apendiksin sağ da olması ile ilişkilendirilmektedir.</w:t>
      </w:r>
      <w:r>
        <w:rPr>
          <w:rStyle w:val="apple-style-span"/>
          <w:rFonts w:eastAsia="BatangChe" w:cs="Times New Roman"/>
          <w:iCs/>
        </w:rPr>
        <w:t xml:space="preserve"> </w:t>
      </w:r>
      <w:r w:rsidRPr="00837F30">
        <w:rPr>
          <w:rFonts w:eastAsia="BatangChe" w:cs="Times New Roman"/>
        </w:rPr>
        <w:t>Çalışmamızın sonucunda da öncekiler gibi sağ hidrosalpinks daha fazla izlenmiştir.</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 xml:space="preserve">Hidrosalpinksten etkilenen infertil kadınlar, kronik subklinik </w:t>
      </w:r>
      <w:proofErr w:type="gramStart"/>
      <w:r w:rsidRPr="00837F30">
        <w:rPr>
          <w:rFonts w:eastAsia="BatangChe" w:cs="Times New Roman"/>
        </w:rPr>
        <w:t>enfeksiyonlar</w:t>
      </w:r>
      <w:proofErr w:type="gramEnd"/>
      <w:r w:rsidRPr="00837F30">
        <w:rPr>
          <w:rFonts w:eastAsia="BatangChe" w:cs="Times New Roman"/>
        </w:rPr>
        <w:t xml:space="preserve">, inflamasyon ve endometrit ile bağlantılı çeşitli nedenlerden dolayı IVF sonrası olumsuz sonuçlar için risk altındadır (9,10). Patofizyolojik açıklama, endometriyal kavite içine olası hidrosalpinks sıvı birikimi ile ilişkilendirilebilir; endometrial reseptivite ve embriyo gelişimi üzerinde direkt embriyotoksik etki, blastosistin mekanik yıkanması ile açıklanabilir(11,12). Dahası, randomize kontrollü çalışmaların verileri ile tartışmalara bir son verilmiş olsa da, hidrosalpinksin boyutuna ve lokalizasyonuna (bilateral </w:t>
      </w:r>
      <w:proofErr w:type="gramStart"/>
      <w:r w:rsidRPr="00837F30">
        <w:rPr>
          <w:rFonts w:eastAsia="BatangChe" w:cs="Times New Roman"/>
        </w:rPr>
        <w:t>veya  tek</w:t>
      </w:r>
      <w:proofErr w:type="gramEnd"/>
      <w:r w:rsidRPr="00837F30">
        <w:rPr>
          <w:rFonts w:eastAsia="BatangChe" w:cs="Times New Roman"/>
        </w:rPr>
        <w:t xml:space="preserve"> taraflı) göre hastalar değerlendirilmelidir.</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 xml:space="preserve">USG ile görülebilen hidrosalpinks, tubal faktörle ilişkili infertilite nedenleriyle karşılaştırıldığında en kötü prognozu olan faktör olduğu görülmüştür(13). Bu durum sonucunda yapılmış çalışmalarda </w:t>
      </w:r>
      <w:proofErr w:type="gramStart"/>
      <w:r w:rsidRPr="00837F30">
        <w:rPr>
          <w:rFonts w:eastAsia="BatangChe" w:cs="Times New Roman"/>
        </w:rPr>
        <w:t>ultrasonda</w:t>
      </w:r>
      <w:proofErr w:type="gramEnd"/>
      <w:r w:rsidRPr="00837F30">
        <w:rPr>
          <w:rFonts w:eastAsia="BatangChe" w:cs="Times New Roman"/>
        </w:rPr>
        <w:t xml:space="preserve"> görülebilecek kadar büyük hidrosalpinksi olanların salpenjektomiden en fazla fayda gören hasta grubu olduğu görülmüştür. Bizim çalışmamızda da25 hastaya USGile hidrosalpinks tanısı konuldu ve sonrasında yapılan laparoskopi ile 17’sinde (%68)  hidrosalpinks doğrulandı. Yapılan</w:t>
      </w:r>
      <w:r>
        <w:rPr>
          <w:rFonts w:eastAsia="BatangChe" w:cs="Times New Roman"/>
        </w:rPr>
        <w:t xml:space="preserve"> </w:t>
      </w:r>
      <w:r w:rsidRPr="00837F30">
        <w:rPr>
          <w:rFonts w:eastAsia="BatangChe" w:cs="Times New Roman"/>
        </w:rPr>
        <w:t xml:space="preserve">çalışmalar sonucunda USG’de izlenen büyük hidrosalpinksi olan vakalara ART öncesi salpenjektomi uygulanması önerilmiştir (14). Laparoskopik salpenjektomi IVF öncesi hidrosalpinksi olan hastalara önerilmekte, laparoskopik proksimal tubal oklüzyon gibi cerrahi girişimlerin sonuçları ile ilgili daha fazla çalışmaya ihtiyaç vardır. </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Berker ve ark</w:t>
      </w:r>
      <w:proofErr w:type="gramStart"/>
      <w:r w:rsidRPr="00837F30">
        <w:rPr>
          <w:rFonts w:eastAsia="BatangChe" w:cs="Times New Roman"/>
        </w:rPr>
        <w:t>.,</w:t>
      </w:r>
      <w:proofErr w:type="gramEnd"/>
      <w:r w:rsidRPr="00837F30">
        <w:rPr>
          <w:rFonts w:eastAsia="BatangChe" w:cs="Times New Roman"/>
        </w:rPr>
        <w:t xml:space="preserve"> HSG’nintubal açıklık üzerindeki tanısal doğruluğunu değerlendirmek ve laparoskopinin</w:t>
      </w:r>
      <w:r>
        <w:rPr>
          <w:rFonts w:eastAsia="BatangChe" w:cs="Times New Roman"/>
        </w:rPr>
        <w:t xml:space="preserve"> </w:t>
      </w:r>
      <w:r w:rsidRPr="00837F30">
        <w:rPr>
          <w:rFonts w:eastAsia="BatangChe" w:cs="Times New Roman"/>
        </w:rPr>
        <w:t xml:space="preserve">HSG bulgularına dayanan özgün yönetim stratejisini değiştirip değiştiremeyeceğini </w:t>
      </w:r>
      <w:r w:rsidRPr="00837F30">
        <w:rPr>
          <w:rFonts w:eastAsia="BatangChe" w:cs="Times New Roman"/>
        </w:rPr>
        <w:lastRenderedPageBreak/>
        <w:t>belirlemek için yaptıkları çalışmada tubal açıklık için HSG taramasının geçerliliği</w:t>
      </w:r>
      <w:r>
        <w:rPr>
          <w:rFonts w:eastAsia="BatangChe" w:cs="Times New Roman"/>
        </w:rPr>
        <w:t xml:space="preserve"> </w:t>
      </w:r>
      <w:r w:rsidRPr="00837F30">
        <w:rPr>
          <w:rFonts w:eastAsia="BatangChe" w:cs="Times New Roman"/>
        </w:rPr>
        <w:t>% 84,1 ,HSG‘nin pozitif ve negatif prediktif değerleri sırasıyla% 54.6 ve% 98.3 olarak görülmüş. Distal tubal oklüzyonlu hastalarda HSG’nin duyarlılığı proksimal tubal tıkanıklıklı hastalara göre daha yüksek izlenmiş. (sırasıyla</w:t>
      </w:r>
      <w:r>
        <w:rPr>
          <w:rFonts w:eastAsia="BatangChe" w:cs="Times New Roman"/>
        </w:rPr>
        <w:t xml:space="preserve"> </w:t>
      </w:r>
      <w:r w:rsidRPr="00837F30">
        <w:rPr>
          <w:rFonts w:eastAsia="BatangChe" w:cs="Times New Roman"/>
        </w:rPr>
        <w:t xml:space="preserve">% </w:t>
      </w:r>
      <w:proofErr w:type="gramStart"/>
      <w:r w:rsidRPr="00837F30">
        <w:rPr>
          <w:rFonts w:eastAsia="BatangChe" w:cs="Times New Roman"/>
        </w:rPr>
        <w:t>69.8</w:t>
      </w:r>
      <w:proofErr w:type="gramEnd"/>
      <w:r w:rsidRPr="00837F30">
        <w:rPr>
          <w:rFonts w:eastAsia="BatangChe" w:cs="Times New Roman"/>
        </w:rPr>
        <w:t xml:space="preserve"> [44/63] ve% 46.7 [28/60]; P = 0.011). Bilateral tubal açıklık, tek taraflı tubal oklüzyon ve bilateral tubal tıkanıklığı olan hastalarda yönetim planı değişikliği oranları sırasıyla% </w:t>
      </w:r>
      <w:proofErr w:type="gramStart"/>
      <w:r w:rsidRPr="00837F30">
        <w:rPr>
          <w:rFonts w:eastAsia="BatangChe" w:cs="Times New Roman"/>
        </w:rPr>
        <w:t>2.8</w:t>
      </w:r>
      <w:proofErr w:type="gramEnd"/>
      <w:r w:rsidRPr="00837F30">
        <w:rPr>
          <w:rFonts w:eastAsia="BatangChe" w:cs="Times New Roman"/>
        </w:rPr>
        <w:t>,</w:t>
      </w:r>
      <w:r>
        <w:rPr>
          <w:rFonts w:eastAsia="BatangChe" w:cs="Times New Roman"/>
        </w:rPr>
        <w:t xml:space="preserve"> </w:t>
      </w:r>
      <w:r w:rsidRPr="00837F30">
        <w:rPr>
          <w:rFonts w:eastAsia="BatangChe" w:cs="Times New Roman"/>
        </w:rPr>
        <w:t>% 12.2 ve</w:t>
      </w:r>
      <w:r>
        <w:rPr>
          <w:rFonts w:eastAsia="BatangChe" w:cs="Times New Roman"/>
        </w:rPr>
        <w:t xml:space="preserve"> </w:t>
      </w:r>
      <w:r w:rsidRPr="00837F30">
        <w:rPr>
          <w:rFonts w:eastAsia="BatangChe" w:cs="Times New Roman"/>
        </w:rPr>
        <w:t>% 32.4 olarak görülmüş(15). (P = 0.000).</w:t>
      </w:r>
      <w:r>
        <w:rPr>
          <w:rFonts w:eastAsia="BatangChe" w:cs="Times New Roman"/>
        </w:rPr>
        <w:t xml:space="preserve"> </w:t>
      </w:r>
      <w:r w:rsidRPr="00837F30">
        <w:rPr>
          <w:rFonts w:eastAsia="BatangChe" w:cs="Times New Roman"/>
        </w:rPr>
        <w:t>Bizim çalışmamızda da HSG’nin</w:t>
      </w:r>
      <w:r>
        <w:rPr>
          <w:rFonts w:eastAsia="BatangChe" w:cs="Times New Roman"/>
        </w:rPr>
        <w:t xml:space="preserve"> </w:t>
      </w:r>
      <w:r w:rsidRPr="00837F30">
        <w:rPr>
          <w:rFonts w:eastAsia="BatangChe" w:cs="Times New Roman"/>
        </w:rPr>
        <w:t>teşhis doğruluğu (%57,7) olarak değerlendirildi. Sonuç olarak hem tek taraflı tubal oklüzyon hem de HSG’de bilateral tubal tıkanıklığı olan hastalara, uygun yönetim stratejisini belirlemek için laparoskopi ile tekrar değerlendirilmelidir.</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Laparoskopik proksimal tubal oklüzyon (LPTO) ve laparoskopik salpenjektomi ile hidrosalpinksin çıkarılması gibi tüp ile uterin kavite arasındaki iletişimi bloke eden cerrahi müdahale, hidrosalpinks sıvısının sızmasını önler. IVF öncesi yapılan laparoskopik işlemlerin her ikisi de daha iyi sonuçlara yol açmaktadır (16, 17). Hidrosalpinks, IVF-embriyo transferinin sonucu üzerinde zararlı bir etkiye sahiptir (18, 19). Bugüne kadar, IVF-embriyo transferinden önce hidrosalpinks</w:t>
      </w:r>
      <w:r>
        <w:rPr>
          <w:rFonts w:eastAsia="BatangChe" w:cs="Times New Roman"/>
        </w:rPr>
        <w:t xml:space="preserve"> </w:t>
      </w:r>
      <w:r w:rsidRPr="00837F30">
        <w:rPr>
          <w:rFonts w:eastAsia="BatangChe" w:cs="Times New Roman"/>
        </w:rPr>
        <w:t>yönetimi için en iyi cerrahi yöntem konusunda bir fikir birliği yoktur. 2017de yapılan metaanalizde, laparoskopik salpenjektomi ile tedavi edilen hidrosalpinks hastalarında IVF sonuçlarının ya da cerrahi olmayan proksimal tubal tıkanıklıkların karşılaştırıldığı çalışmalar değerlendirildi. Cerrahi uygulanmayan grup ile karşılaştırıldığında, LPTO</w:t>
      </w:r>
      <w:r>
        <w:rPr>
          <w:rFonts w:eastAsia="BatangChe" w:cs="Times New Roman"/>
        </w:rPr>
        <w:t xml:space="preserve"> </w:t>
      </w:r>
      <w:r w:rsidRPr="00837F30">
        <w:rPr>
          <w:rFonts w:eastAsia="BatangChe" w:cs="Times New Roman"/>
        </w:rPr>
        <w:t>grubunda anlamlı olarak daha yüksek implantasyon oranı ve klinik gebelik oranı elde edildi ve laparoskopik salpenjektomi grubunda belirgin olarak daha yüksek klinik gebelik oranı ve devam eden gebelik oranı / canlı doğum oranı elde edildi. Ayrıca laparoskopik salpenjektomi ve LPTO grupları arasında implantasyon oranı, klinik gebelik oranı ve devam eden gebelik oranı / canlı doğum oranında anlamlı farklılık olmadığı izlendi. Ayrıca, laparoskopik cerrahi (salpenjektomi ve LPTO) ve Essure sonrası IVF'nin gebelik sonuçlarını karşılaştırdıklarında sonuçlar, Essure'nin klinik gebelik oranı, implantasyon oranı ve canlı doğum oranında anlamlı olarak daha düşük olduğunu gösterdi.</w:t>
      </w:r>
      <w:r>
        <w:rPr>
          <w:rFonts w:eastAsia="BatangChe" w:cs="Times New Roman"/>
        </w:rPr>
        <w:t xml:space="preserve"> H</w:t>
      </w:r>
      <w:r w:rsidRPr="00837F30">
        <w:rPr>
          <w:rFonts w:eastAsia="BatangChe" w:cs="Times New Roman"/>
        </w:rPr>
        <w:t xml:space="preserve">idrosalpinks sıvısının toksik ajanları bulunduğundan, sıvının varlığı oosit ve pelvik mikro-çevrenin kalitesi üzerinde dolaylı zararlı etkilere sahip olur ve böylece gebelik oranlarını azaltır. hidrosalpinks sıvısının salpenjektomi ile sızmasını ortadan kaldırmak, bu dolaylı zararı azaltabilir, ancak LPTO tarafından azaltılamaz. Bununla birlikte, iki tedavi arasındaki hamilelik sonuçlarında fark gösterilememiş. hidrosalpinks sıvısının uterus boşluğuna akışının embriyo implantasyon başarısızlığının ana nedeni olabileceği bu durumu desteklemektedir. Ek olarak, LPTO sırasında hidrosalpinks sıvısının drenajı sadece bazı çalışmalarda gerçekleştirilmiştir. </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Geçtiğimiz yıllarda, hidrosalpinksin (hem tek taraflı hem de çift taraflı) ART sonrası implantasyon ve gebelik oranı üzerine potansiyel zararlı etkileri hakkında birçok fikir öne sürülmüştür(20).</w:t>
      </w:r>
      <w:r>
        <w:rPr>
          <w:rFonts w:eastAsia="BatangChe" w:cs="Times New Roman"/>
        </w:rPr>
        <w:t xml:space="preserve"> </w:t>
      </w:r>
      <w:proofErr w:type="gramStart"/>
      <w:r>
        <w:rPr>
          <w:rFonts w:eastAsia="BatangChe" w:cs="Times New Roman"/>
        </w:rPr>
        <w:t>i</w:t>
      </w:r>
      <w:r w:rsidRPr="00837F30">
        <w:rPr>
          <w:rFonts w:eastAsia="BatangChe" w:cs="Times New Roman"/>
        </w:rPr>
        <w:t>ki</w:t>
      </w:r>
      <w:proofErr w:type="gramEnd"/>
      <w:r w:rsidRPr="00837F30">
        <w:rPr>
          <w:rFonts w:eastAsia="BatangChe" w:cs="Times New Roman"/>
        </w:rPr>
        <w:t xml:space="preserve"> meta-analiz, bu konuyu kesin bir şekilde netleştirmek amacıyla geliştirildi. İlki, 11 çalışmada 6,700 IVF siklusu analiz ederek, hidrosalpinkssiz tubal faktör infertilitesi olan hastalara kıyasla, hidrosalpinksli hastalarda gebelik oranının % 49'dan az ve düşük oranı 2-3 kat daha fazla olduğunu ortaya koymuştur [odds oranı (OR </w:t>
      </w:r>
      <w:proofErr w:type="gramStart"/>
      <w:r w:rsidRPr="00837F30">
        <w:rPr>
          <w:rFonts w:eastAsia="BatangChe" w:cs="Times New Roman"/>
        </w:rPr>
        <w:t>50.7</w:t>
      </w:r>
      <w:proofErr w:type="gramEnd"/>
      <w:r w:rsidRPr="00837F30">
        <w:rPr>
          <w:rFonts w:eastAsia="BatangChe" w:cs="Times New Roman"/>
        </w:rPr>
        <w:t>),% 95 güven aralığı (CI) 41.4 ila 62.2)(19).</w:t>
      </w:r>
      <w:r>
        <w:rPr>
          <w:rFonts w:eastAsia="BatangChe" w:cs="Times New Roman"/>
        </w:rPr>
        <w:t xml:space="preserve"> </w:t>
      </w:r>
      <w:r w:rsidRPr="00837F30">
        <w:rPr>
          <w:rFonts w:eastAsia="BatangChe" w:cs="Times New Roman"/>
        </w:rPr>
        <w:t>Diğer bir metaanalizde</w:t>
      </w:r>
      <w:r>
        <w:rPr>
          <w:rFonts w:eastAsia="BatangChe" w:cs="Times New Roman"/>
        </w:rPr>
        <w:t xml:space="preserve"> </w:t>
      </w:r>
      <w:r w:rsidRPr="00837F30">
        <w:rPr>
          <w:rFonts w:eastAsia="BatangChe" w:cs="Times New Roman"/>
        </w:rPr>
        <w:t>toplam 5.</w:t>
      </w:r>
      <w:proofErr w:type="gramStart"/>
      <w:r w:rsidRPr="00837F30">
        <w:rPr>
          <w:rFonts w:eastAsia="BatangChe" w:cs="Times New Roman"/>
        </w:rPr>
        <w:t>592  infertil</w:t>
      </w:r>
      <w:proofErr w:type="gramEnd"/>
      <w:r w:rsidRPr="00837F30">
        <w:rPr>
          <w:rFonts w:eastAsia="BatangChe" w:cs="Times New Roman"/>
        </w:rPr>
        <w:t xml:space="preserve"> kadın incelendiğinde, hidrosalpinks grubu ve non-hidrosalpinks grup için sırasıyla</w:t>
      </w:r>
      <w:r>
        <w:rPr>
          <w:rFonts w:eastAsia="BatangChe" w:cs="Times New Roman"/>
        </w:rPr>
        <w:t xml:space="preserve"> IVF</w:t>
      </w:r>
      <w:r w:rsidRPr="00837F30">
        <w:rPr>
          <w:rFonts w:eastAsia="BatangChe" w:cs="Times New Roman"/>
        </w:rPr>
        <w:t xml:space="preserve"> sonrası gebelik oranı doğum oranları % 13.4 ve % 23.4  bir izlenmiştir(OR 0.58,% 95 GA 0.49'dan 0.69'a) (21).</w:t>
      </w:r>
    </w:p>
    <w:p w:rsidR="00837F30" w:rsidRPr="00837F30" w:rsidRDefault="00837F30" w:rsidP="00837F30">
      <w:pPr>
        <w:rPr>
          <w:rFonts w:eastAsia="BatangChe" w:cs="Times New Roman"/>
        </w:rPr>
      </w:pPr>
      <w:r>
        <w:rPr>
          <w:rFonts w:eastAsia="BatangChe" w:cs="Times New Roman"/>
        </w:rPr>
        <w:t xml:space="preserve">    </w:t>
      </w:r>
      <w:r w:rsidRPr="00837F30">
        <w:rPr>
          <w:rFonts w:eastAsia="BatangChe" w:cs="Times New Roman"/>
        </w:rPr>
        <w:t xml:space="preserve">Elde edilen veriler sonucunda, </w:t>
      </w:r>
      <w:proofErr w:type="gramStart"/>
      <w:r w:rsidRPr="00837F30">
        <w:rPr>
          <w:rFonts w:eastAsia="BatangChe" w:cs="Times New Roman"/>
        </w:rPr>
        <w:t>araştırmacıları  ART'den</w:t>
      </w:r>
      <w:proofErr w:type="gramEnd"/>
      <w:r w:rsidRPr="00837F30">
        <w:rPr>
          <w:rFonts w:eastAsia="BatangChe" w:cs="Times New Roman"/>
        </w:rPr>
        <w:t xml:space="preserve"> önce hidrosalpinks izlenen hastalarda salpenjektomiye veya tubal oklüzyona yöneltti (22, 23, 24). </w:t>
      </w:r>
    </w:p>
    <w:p w:rsidR="00837F30" w:rsidRPr="00837F30" w:rsidRDefault="00837F30" w:rsidP="00837F30">
      <w:pPr>
        <w:rPr>
          <w:rFonts w:eastAsia="BatangChe" w:cs="Times New Roman"/>
        </w:rPr>
      </w:pPr>
      <w:r>
        <w:rPr>
          <w:rFonts w:eastAsia="BatangChe" w:cs="Times New Roman"/>
        </w:rPr>
        <w:lastRenderedPageBreak/>
        <w:t xml:space="preserve">    </w:t>
      </w:r>
      <w:r w:rsidRPr="00837F30">
        <w:rPr>
          <w:rFonts w:eastAsia="BatangChe" w:cs="Times New Roman"/>
        </w:rPr>
        <w:t>Salpenjektominin neden olduğu yumurtalık rezervinde olası hasarı ölçmeyi amaçlayan çalışmaların sonucunda çalışılan ve ameliyat edilmeyen alandan elde edilen veriler göz önüne alındığında, hemen hemen tüm çalışmalarda, ipsilateral yumurtalık ile sınırlı ovaryan stimülasyondan sonra geri kazanılan antral folikül sayısı ve oosit sayısında önemli bir azalma bildirilmiştir (</w:t>
      </w:r>
      <w:proofErr w:type="gramStart"/>
      <w:r w:rsidRPr="00837F30">
        <w:rPr>
          <w:rFonts w:eastAsia="BatangChe" w:cs="Times New Roman"/>
        </w:rPr>
        <w:t>25,26,27,28</w:t>
      </w:r>
      <w:proofErr w:type="gramEnd"/>
      <w:r w:rsidRPr="00837F30">
        <w:rPr>
          <w:rFonts w:eastAsia="BatangChe" w:cs="Times New Roman"/>
        </w:rPr>
        <w:t>).</w:t>
      </w:r>
      <w:r>
        <w:rPr>
          <w:rFonts w:eastAsia="BatangChe" w:cs="Times New Roman"/>
        </w:rPr>
        <w:t xml:space="preserve"> </w:t>
      </w:r>
      <w:r w:rsidRPr="00837F30">
        <w:rPr>
          <w:rFonts w:eastAsia="BatangChe" w:cs="Times New Roman"/>
        </w:rPr>
        <w:t>Bu bulgunun patofizyolojik açıklaması iki önemli fenomenle ilişkili olabilir: vasküler tedavinin (mezosalpinks damarları) cerrahi diseksiyonu ve monopolar veya bipolar cihazlar tarafından</w:t>
      </w:r>
      <w:r w:rsidR="00774873">
        <w:rPr>
          <w:rFonts w:eastAsia="BatangChe" w:cs="Times New Roman"/>
        </w:rPr>
        <w:t xml:space="preserve"> yayılan enerji (</w:t>
      </w:r>
      <w:proofErr w:type="gramStart"/>
      <w:r w:rsidR="00774873">
        <w:rPr>
          <w:rFonts w:eastAsia="BatangChe" w:cs="Times New Roman"/>
        </w:rPr>
        <w:t>26,27,29,30</w:t>
      </w:r>
      <w:proofErr w:type="gramEnd"/>
      <w:r w:rsidR="00774873">
        <w:rPr>
          <w:rFonts w:eastAsia="BatangChe" w:cs="Times New Roman"/>
        </w:rPr>
        <w:t>). A</w:t>
      </w:r>
      <w:r w:rsidRPr="00837F30">
        <w:rPr>
          <w:rFonts w:eastAsia="BatangChe" w:cs="Times New Roman"/>
        </w:rPr>
        <w:t xml:space="preserve">ntral folikül sayısının, bazal AMH, FSH ve kronolojik yaşla birlikte ideal olarak yorumlanması gereken bir yumurtalık rezervi taşıyıcısı olduğunu hatırlamak önemlidir (31,32). Hem antral folikül sayısının hem de FSH ve AMH düzeylerinin biyokimyasal analizinin </w:t>
      </w:r>
      <w:proofErr w:type="gramStart"/>
      <w:r w:rsidRPr="00837F30">
        <w:rPr>
          <w:rFonts w:eastAsia="BatangChe" w:cs="Times New Roman"/>
        </w:rPr>
        <w:t>kombinasyonuyla</w:t>
      </w:r>
      <w:proofErr w:type="gramEnd"/>
      <w:r w:rsidRPr="00837F30">
        <w:rPr>
          <w:rFonts w:eastAsia="BatangChe" w:cs="Times New Roman"/>
        </w:rPr>
        <w:t xml:space="preserve"> belirlenen over rezervi içindeki varyasyonları araştıran çalışmalar, kontrol edilenlere kıyasla tedavi edilen hastaların kohortunda anlamlı olmayan bir düşüş olduğunu düşündürmektedir. Bu bulgunun, tek taraflı salpenjektomiyi (hasarın meydana gelebileceği) dikkate almasının ön yargısından etkilenmesi olasıdır. Bilateral ve tek taraflı salpenjektominin over rezervi ve kontrol edilen stimülasyona olası yanıt üzerindeki etkilerini anlamak önemlidir.</w:t>
      </w:r>
      <w:r w:rsidR="00774873">
        <w:rPr>
          <w:rFonts w:eastAsia="BatangChe" w:cs="Times New Roman"/>
        </w:rPr>
        <w:t xml:space="preserve"> </w:t>
      </w:r>
      <w:r w:rsidRPr="00837F30">
        <w:rPr>
          <w:rFonts w:eastAsia="BatangChe" w:cs="Times New Roman"/>
        </w:rPr>
        <w:t>Sadece bir çalışmada (33)</w:t>
      </w:r>
      <w:r w:rsidR="00774873">
        <w:rPr>
          <w:rFonts w:eastAsia="BatangChe" w:cs="Times New Roman"/>
        </w:rPr>
        <w:t xml:space="preserve"> </w:t>
      </w:r>
      <w:r w:rsidRPr="00837F30">
        <w:rPr>
          <w:rFonts w:eastAsia="BatangChe" w:cs="Times New Roman"/>
        </w:rPr>
        <w:t>over stimülasyonundan sonra toplanan oosit sayısında bir fark bulunmasa bile AMH'de belirgin bir azalma ve bilateral salpenjektomi grubunda FSH serum değerlerinde bir artış izlenmiştir.</w:t>
      </w:r>
      <w:r w:rsidR="00774873">
        <w:rPr>
          <w:rFonts w:eastAsia="BatangChe" w:cs="Times New Roman"/>
        </w:rPr>
        <w:t xml:space="preserve"> </w:t>
      </w:r>
      <w:r w:rsidRPr="00837F30">
        <w:rPr>
          <w:rFonts w:eastAsia="BatangChe" w:cs="Times New Roman"/>
        </w:rPr>
        <w:t>Araştırmacılar anlamlı farklılıklar gözlemlemese de, bilateral salpenjektomi grubunda mutlak değer açısından daha kötü sonuçlar bildirilmiştir (34,33).</w:t>
      </w:r>
      <w:r w:rsidR="00774873">
        <w:rPr>
          <w:rFonts w:eastAsia="BatangChe" w:cs="Times New Roman"/>
        </w:rPr>
        <w:t xml:space="preserve"> </w:t>
      </w:r>
      <w:r w:rsidRPr="00837F30">
        <w:rPr>
          <w:rFonts w:eastAsia="BatangChe" w:cs="Times New Roman"/>
        </w:rPr>
        <w:t>Bu öneriler, belirgin hidrosalpinks tedavisinde kullanılabilmesine rağmen, cerrahi operasyonun yumurtalık rezervi üzerindeki potansiyel zararlı etkileri nedeniyle daha küçük, tek taraflı veya çift taraflı hidrosalpinkslerin ideal yönetimi konusunda tartışmalar halen devam etmektedir</w:t>
      </w:r>
    </w:p>
    <w:p w:rsidR="00837F30" w:rsidRPr="00837F30" w:rsidRDefault="00837F30" w:rsidP="00837F30">
      <w:pPr>
        <w:rPr>
          <w:rFonts w:eastAsia="BatangChe" w:cs="Times New Roman"/>
          <w:b/>
        </w:rPr>
      </w:pPr>
      <w:r w:rsidRPr="00837F30">
        <w:rPr>
          <w:rFonts w:eastAsia="BatangChe" w:cs="Times New Roman"/>
          <w:b/>
        </w:rPr>
        <w:t>SONUÇ</w:t>
      </w:r>
    </w:p>
    <w:p w:rsidR="00837F30" w:rsidRPr="00837F30" w:rsidRDefault="00774873" w:rsidP="00837F30">
      <w:pPr>
        <w:rPr>
          <w:rFonts w:eastAsia="BatangChe" w:cs="Times New Roman"/>
        </w:rPr>
      </w:pPr>
      <w:r>
        <w:rPr>
          <w:rFonts w:eastAsia="BatangChe" w:cs="Times New Roman"/>
        </w:rPr>
        <w:t xml:space="preserve">      </w:t>
      </w:r>
      <w:r w:rsidR="00837F30" w:rsidRPr="00837F30">
        <w:rPr>
          <w:rFonts w:eastAsia="BatangChe" w:cs="Times New Roman"/>
        </w:rPr>
        <w:t>İnfertilitenin ilk basamak değ</w:t>
      </w:r>
      <w:r>
        <w:rPr>
          <w:rFonts w:eastAsia="BatangChe" w:cs="Times New Roman"/>
        </w:rPr>
        <w:t>erlendirmelerinden olan USG</w:t>
      </w:r>
      <w:r w:rsidR="00837F30" w:rsidRPr="00837F30">
        <w:rPr>
          <w:rFonts w:eastAsia="BatangChe" w:cs="Times New Roman"/>
        </w:rPr>
        <w:t xml:space="preserve"> ve HSG ile ucuz ve kolay bir şekilde hidrosalpinks tanısı konulabilir. Çalışmamızda HSG’nin teşhis doğruluğu %57,7 olup</w:t>
      </w:r>
      <w:r>
        <w:rPr>
          <w:rFonts w:eastAsia="BatangChe" w:cs="Times New Roman"/>
        </w:rPr>
        <w:t xml:space="preserve"> </w:t>
      </w:r>
      <w:r w:rsidR="00837F30" w:rsidRPr="00837F30">
        <w:rPr>
          <w:rFonts w:eastAsia="BatangChe" w:cs="Times New Roman"/>
        </w:rPr>
        <w:t>USG’nin teşhis doğruluğu %68 olarak izlenmiştir.</w:t>
      </w:r>
      <w:r>
        <w:rPr>
          <w:rFonts w:eastAsia="BatangChe" w:cs="Times New Roman"/>
        </w:rPr>
        <w:t xml:space="preserve"> </w:t>
      </w:r>
      <w:r w:rsidR="00837F30" w:rsidRPr="00837F30">
        <w:rPr>
          <w:rFonts w:eastAsia="BatangChe" w:cs="Times New Roman"/>
        </w:rPr>
        <w:t xml:space="preserve">Salpenjektomi IVF öncesi hidrosalpinksi olan hastalara önerilmekte IVF tedavisine ve gebeliğin devamına olumlu katkısı olabilmektedir, hidrosalpinks sıvısının aspirasyonu, laparoskopik proksimal tubal oklüzyon veya salpingostomi gibi cerrahi girişimlerin sonuçları ile ilgili daha fazla çalışmaya ihtiyaç vardır. </w:t>
      </w:r>
    </w:p>
    <w:p w:rsidR="00837F30" w:rsidRPr="00837F30" w:rsidRDefault="00837F30" w:rsidP="00837F30">
      <w:pPr>
        <w:rPr>
          <w:rFonts w:eastAsia="BatangChe" w:cs="Times New Roman"/>
        </w:rPr>
      </w:pPr>
    </w:p>
    <w:p w:rsidR="00837F30" w:rsidRPr="00837F30" w:rsidRDefault="00837F30" w:rsidP="00837F30">
      <w:pPr>
        <w:rPr>
          <w:rFonts w:eastAsia="BatangChe" w:cs="Times New Roman"/>
        </w:rPr>
      </w:pPr>
    </w:p>
    <w:p w:rsidR="00837F30" w:rsidRPr="00837F30" w:rsidRDefault="00837F30" w:rsidP="00837F30">
      <w:pPr>
        <w:rPr>
          <w:rFonts w:eastAsia="BatangChe" w:cs="Times New Roman"/>
        </w:rPr>
      </w:pPr>
    </w:p>
    <w:p w:rsidR="00837F30" w:rsidRPr="00837F30" w:rsidRDefault="00837F30" w:rsidP="00837F30">
      <w:pPr>
        <w:rPr>
          <w:rFonts w:eastAsia="BatangChe" w:cs="Times New Roman"/>
        </w:rPr>
      </w:pPr>
      <w:r w:rsidRPr="00837F30">
        <w:rPr>
          <w:rFonts w:eastAsia="BatangChe" w:cs="Times New Roman"/>
        </w:rPr>
        <w:t>KAYNAKLAR</w:t>
      </w:r>
    </w:p>
    <w:p w:rsidR="00837F30" w:rsidRPr="00837F30" w:rsidRDefault="00837F30" w:rsidP="00837F30">
      <w:pPr>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1. </w:t>
      </w:r>
      <w:r w:rsidRPr="00837F30">
        <w:rPr>
          <w:rStyle w:val="element-citation"/>
          <w:rFonts w:eastAsia="BatangChe" w:cs="Times New Roman"/>
          <w:color w:val="000000"/>
          <w:shd w:val="clear" w:color="auto" w:fill="FFFFFF"/>
        </w:rPr>
        <w:t>Idrisa A. Infertility. In: Kwawukume EY, Emuveyan EE, editors. </w:t>
      </w:r>
      <w:r w:rsidRPr="00837F30">
        <w:rPr>
          <w:rStyle w:val="ref-journal"/>
          <w:rFonts w:eastAsia="BatangChe" w:cs="Times New Roman"/>
          <w:color w:val="000000"/>
          <w:shd w:val="clear" w:color="auto" w:fill="FFFFFF"/>
        </w:rPr>
        <w:t>Comprehensive Gynaecology in the Tropics.</w:t>
      </w:r>
      <w:r w:rsidRPr="00837F30">
        <w:rPr>
          <w:rStyle w:val="element-citation"/>
          <w:rFonts w:eastAsia="BatangChe" w:cs="Times New Roman"/>
          <w:color w:val="000000"/>
          <w:shd w:val="clear" w:color="auto" w:fill="FFFFFF"/>
        </w:rPr>
        <w:t> Accra Graphics Packaging; 2005. pp. 333–43.</w:t>
      </w:r>
    </w:p>
    <w:p w:rsidR="00837F30" w:rsidRPr="00837F30" w:rsidRDefault="00837F30" w:rsidP="00837F30">
      <w:pPr>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2. </w:t>
      </w:r>
      <w:r w:rsidRPr="00837F30">
        <w:rPr>
          <w:rStyle w:val="element-citation"/>
          <w:rFonts w:eastAsia="BatangChe" w:cs="Times New Roman"/>
          <w:color w:val="000000"/>
          <w:shd w:val="clear" w:color="auto" w:fill="FFFFFF"/>
        </w:rPr>
        <w:t xml:space="preserve">William LS, Laura GB, Jolinda M. Hysterosalpingography: A reemerging study. </w:t>
      </w:r>
      <w:r w:rsidRPr="00837F30">
        <w:rPr>
          <w:rStyle w:val="ref-journal"/>
          <w:rFonts w:eastAsia="BatangChe" w:cs="Times New Roman"/>
          <w:color w:val="000000"/>
          <w:shd w:val="clear" w:color="auto" w:fill="FFFFFF"/>
        </w:rPr>
        <w:t>Radiographics. </w:t>
      </w:r>
      <w:r w:rsidRPr="00837F30">
        <w:rPr>
          <w:rStyle w:val="element-citation"/>
          <w:rFonts w:eastAsia="BatangChe" w:cs="Times New Roman"/>
          <w:color w:val="000000"/>
          <w:shd w:val="clear" w:color="auto" w:fill="FFFFFF"/>
        </w:rPr>
        <w:t>2006;</w:t>
      </w:r>
      <w:proofErr w:type="gramStart"/>
      <w:r w:rsidRPr="00837F30">
        <w:rPr>
          <w:rStyle w:val="ref-vol"/>
          <w:rFonts w:eastAsia="BatangChe" w:cs="Times New Roman"/>
          <w:color w:val="000000"/>
          <w:shd w:val="clear" w:color="auto" w:fill="FFFFFF"/>
        </w:rPr>
        <w:t>26</w:t>
      </w:r>
      <w:r w:rsidRPr="00837F30">
        <w:rPr>
          <w:rStyle w:val="element-citation"/>
          <w:rFonts w:eastAsia="BatangChe" w:cs="Times New Roman"/>
          <w:color w:val="000000"/>
          <w:shd w:val="clear" w:color="auto" w:fill="FFFFFF"/>
        </w:rPr>
        <w:t>:419</w:t>
      </w:r>
      <w:proofErr w:type="gramEnd"/>
      <w:r w:rsidRPr="00837F30">
        <w:rPr>
          <w:rStyle w:val="element-citation"/>
          <w:rFonts w:eastAsia="BatangChe" w:cs="Times New Roman"/>
          <w:color w:val="000000"/>
          <w:shd w:val="clear" w:color="auto" w:fill="FFFFFF"/>
        </w:rPr>
        <w:t>–31.</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3. Reis MM, Soares SR, Cancado ML, Camargos AF. Hysterosalpingo-contrast Sonography (Hycosy) with SH U 454 (Echorist) for the assessment of tubal patency. Hum Reprod. 1998;</w:t>
      </w:r>
      <w:proofErr w:type="gramStart"/>
      <w:r w:rsidRPr="00837F30">
        <w:rPr>
          <w:rFonts w:eastAsia="BatangChe" w:cs="Times New Roman"/>
          <w:color w:val="000000"/>
          <w:lang w:eastAsia="tr-TR"/>
        </w:rPr>
        <w:t>13:3049</w:t>
      </w:r>
      <w:proofErr w:type="gramEnd"/>
      <w:r w:rsidRPr="00837F30">
        <w:rPr>
          <w:rFonts w:eastAsia="BatangChe" w:cs="Times New Roman"/>
          <w:color w:val="000000"/>
          <w:lang w:eastAsia="tr-TR"/>
        </w:rPr>
        <w:t>–52.</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4. Khalaf Y. ABC of subfertility tubal subfertility. BMJ. 2003;327:610–3</w:t>
      </w:r>
    </w:p>
    <w:p w:rsidR="00837F30" w:rsidRPr="00837F30" w:rsidRDefault="00837F30" w:rsidP="00837F30">
      <w:pPr>
        <w:shd w:val="clear" w:color="auto" w:fill="FFFFFF"/>
        <w:spacing w:after="166" w:line="240" w:lineRule="auto"/>
        <w:rPr>
          <w:rStyle w:val="nowrap"/>
          <w:rFonts w:eastAsia="BatangChe" w:cs="Times New Roman"/>
          <w:color w:val="000000"/>
          <w:shd w:val="clear" w:color="auto" w:fill="FFFFFF"/>
        </w:rPr>
      </w:pPr>
      <w:r w:rsidRPr="00837F30">
        <w:rPr>
          <w:rFonts w:eastAsia="BatangChe" w:cs="Times New Roman"/>
          <w:color w:val="000000"/>
          <w:shd w:val="clear" w:color="auto" w:fill="FFFFFF"/>
        </w:rPr>
        <w:lastRenderedPageBreak/>
        <w:t>5. </w:t>
      </w:r>
      <w:r w:rsidRPr="00837F30">
        <w:rPr>
          <w:rStyle w:val="element-citation"/>
          <w:rFonts w:eastAsia="BatangChe" w:cs="Times New Roman"/>
          <w:color w:val="000000"/>
          <w:shd w:val="clear" w:color="auto" w:fill="FFFFFF"/>
        </w:rPr>
        <w:t>Imo AO, Adeoye IS. Radiological assessment of the uterus and fallopian tubes in infertile women at Abakaliki, Nigeria. </w:t>
      </w:r>
      <w:r w:rsidRPr="00837F30">
        <w:rPr>
          <w:rStyle w:val="ref-journal"/>
          <w:rFonts w:eastAsia="BatangChe" w:cs="Times New Roman"/>
          <w:color w:val="000000"/>
          <w:shd w:val="clear" w:color="auto" w:fill="FFFFFF"/>
        </w:rPr>
        <w:t>Niger J Clin Pract. </w:t>
      </w:r>
      <w:r w:rsidRPr="00837F30">
        <w:rPr>
          <w:rStyle w:val="element-citation"/>
          <w:rFonts w:eastAsia="BatangChe" w:cs="Times New Roman"/>
          <w:color w:val="000000"/>
          <w:shd w:val="clear" w:color="auto" w:fill="FFFFFF"/>
        </w:rPr>
        <w:t>2008;</w:t>
      </w:r>
      <w:proofErr w:type="gramStart"/>
      <w:r w:rsidRPr="00837F30">
        <w:rPr>
          <w:rStyle w:val="ref-vol"/>
          <w:rFonts w:eastAsia="BatangChe" w:cs="Times New Roman"/>
          <w:color w:val="000000"/>
          <w:shd w:val="clear" w:color="auto" w:fill="FFFFFF"/>
        </w:rPr>
        <w:t>11</w:t>
      </w:r>
      <w:r w:rsidRPr="00837F30">
        <w:rPr>
          <w:rStyle w:val="element-citation"/>
          <w:rFonts w:eastAsia="BatangChe" w:cs="Times New Roman"/>
          <w:color w:val="000000"/>
          <w:shd w:val="clear" w:color="auto" w:fill="FFFFFF"/>
        </w:rPr>
        <w:t>:211</w:t>
      </w:r>
      <w:proofErr w:type="gramEnd"/>
      <w:r w:rsidRPr="00837F30">
        <w:rPr>
          <w:rStyle w:val="element-citation"/>
          <w:rFonts w:eastAsia="BatangChe" w:cs="Times New Roman"/>
          <w:color w:val="000000"/>
          <w:shd w:val="clear" w:color="auto" w:fill="FFFFFF"/>
        </w:rPr>
        <w:t>–51.</w:t>
      </w:r>
    </w:p>
    <w:p w:rsidR="00837F30" w:rsidRPr="00837F30"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6. </w:t>
      </w:r>
      <w:r w:rsidRPr="00837F30">
        <w:rPr>
          <w:rStyle w:val="element-citation"/>
          <w:rFonts w:eastAsia="BatangChe" w:cs="Times New Roman"/>
          <w:color w:val="000000"/>
          <w:shd w:val="clear" w:color="auto" w:fill="FFFFFF"/>
        </w:rPr>
        <w:t>Mgbor SO. Pattern of hysterosalphingographic findings in gynaecological patients in Enugu. </w:t>
      </w:r>
      <w:r w:rsidRPr="00837F30">
        <w:rPr>
          <w:rStyle w:val="ref-journal"/>
          <w:rFonts w:eastAsia="BatangChe" w:cs="Times New Roman"/>
          <w:color w:val="000000"/>
          <w:shd w:val="clear" w:color="auto" w:fill="FFFFFF"/>
        </w:rPr>
        <w:t>Niger Med J. </w:t>
      </w:r>
      <w:r w:rsidRPr="00837F30">
        <w:rPr>
          <w:rStyle w:val="element-citation"/>
          <w:rFonts w:eastAsia="BatangChe" w:cs="Times New Roman"/>
          <w:color w:val="000000"/>
          <w:shd w:val="clear" w:color="auto" w:fill="FFFFFF"/>
        </w:rPr>
        <w:t>2006;</w:t>
      </w:r>
      <w:proofErr w:type="gramStart"/>
      <w:r w:rsidRPr="00837F30">
        <w:rPr>
          <w:rStyle w:val="ref-vol"/>
          <w:rFonts w:eastAsia="BatangChe" w:cs="Times New Roman"/>
          <w:color w:val="000000"/>
          <w:shd w:val="clear" w:color="auto" w:fill="FFFFFF"/>
        </w:rPr>
        <w:t>47</w:t>
      </w:r>
      <w:r w:rsidRPr="00837F30">
        <w:rPr>
          <w:rStyle w:val="element-citation"/>
          <w:rFonts w:eastAsia="BatangChe" w:cs="Times New Roman"/>
          <w:color w:val="000000"/>
          <w:shd w:val="clear" w:color="auto" w:fill="FFFFFF"/>
        </w:rPr>
        <w:t>:14</w:t>
      </w:r>
      <w:proofErr w:type="gramEnd"/>
      <w:r w:rsidRPr="00837F30">
        <w:rPr>
          <w:rStyle w:val="element-citation"/>
          <w:rFonts w:eastAsia="BatangChe" w:cs="Times New Roman"/>
          <w:color w:val="000000"/>
          <w:shd w:val="clear" w:color="auto" w:fill="FFFFFF"/>
        </w:rPr>
        <w:t>–6.</w:t>
      </w:r>
    </w:p>
    <w:p w:rsidR="00837F30" w:rsidRPr="00837F30"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7. </w:t>
      </w:r>
      <w:r w:rsidRPr="00837F30">
        <w:rPr>
          <w:rStyle w:val="element-citation"/>
          <w:rFonts w:eastAsia="BatangChe" w:cs="Times New Roman"/>
          <w:color w:val="000000"/>
          <w:shd w:val="clear" w:color="auto" w:fill="FFFFFF"/>
        </w:rPr>
        <w:t>Okonofua FE. Infertility in Sub-Saharan Africa. In: Okonofua F, Odunsi K, editors. </w:t>
      </w:r>
      <w:r w:rsidRPr="00837F30">
        <w:rPr>
          <w:rStyle w:val="ref-journal"/>
          <w:rFonts w:eastAsia="BatangChe" w:cs="Times New Roman"/>
          <w:color w:val="000000"/>
          <w:shd w:val="clear" w:color="auto" w:fill="FFFFFF"/>
        </w:rPr>
        <w:t>Contemporary Obstetrics and Gynaecology for Developing Countries.</w:t>
      </w:r>
      <w:r w:rsidRPr="00837F30">
        <w:rPr>
          <w:rStyle w:val="element-citation"/>
          <w:rFonts w:eastAsia="BatangChe" w:cs="Times New Roman"/>
          <w:color w:val="000000"/>
          <w:shd w:val="clear" w:color="auto" w:fill="FFFFFF"/>
        </w:rPr>
        <w:t> Benin City, Nigeria: WHARC; 2003. pp. 128–56.</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 xml:space="preserve">8. Asaleye CM, Adetiloye VA, Oyinlola TO. Review of hysterosalphingographic reports </w:t>
      </w:r>
      <w:proofErr w:type="gramStart"/>
      <w:r w:rsidRPr="00837F30">
        <w:rPr>
          <w:rFonts w:eastAsia="BatangChe" w:cs="Times New Roman"/>
          <w:color w:val="000000"/>
          <w:lang w:eastAsia="tr-TR"/>
        </w:rPr>
        <w:t>done</w:t>
      </w:r>
      <w:proofErr w:type="gramEnd"/>
      <w:r w:rsidRPr="00837F30">
        <w:rPr>
          <w:rFonts w:eastAsia="BatangChe" w:cs="Times New Roman"/>
          <w:color w:val="000000"/>
          <w:lang w:eastAsia="tr-TR"/>
        </w:rPr>
        <w:t xml:space="preserve"> for infertility over a 10 year period. Niger J Health Sci. 2004;</w:t>
      </w:r>
      <w:proofErr w:type="gramStart"/>
      <w:r w:rsidRPr="00837F30">
        <w:rPr>
          <w:rFonts w:eastAsia="BatangChe" w:cs="Times New Roman"/>
          <w:color w:val="000000"/>
          <w:lang w:eastAsia="tr-TR"/>
        </w:rPr>
        <w:t>4:36</w:t>
      </w:r>
      <w:proofErr w:type="gramEnd"/>
      <w:r w:rsidRPr="00837F30">
        <w:rPr>
          <w:rFonts w:eastAsia="BatangChe" w:cs="Times New Roman"/>
          <w:color w:val="000000"/>
          <w:lang w:eastAsia="tr-TR"/>
        </w:rPr>
        <w:t>–9.</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9. </w:t>
      </w:r>
      <w:r w:rsidRPr="00837F30">
        <w:rPr>
          <w:rStyle w:val="element-citation"/>
          <w:rFonts w:eastAsia="BatangChe" w:cs="Times New Roman"/>
          <w:color w:val="000000"/>
          <w:shd w:val="clear" w:color="auto" w:fill="FFFFFF"/>
        </w:rPr>
        <w:t>Copperman AB, Wells V, Luna M, Kalir T, Sandler B, Mukherjee T. Presence of hydrosalpinx correlated to endometrial inflammatory response in vivo. </w:t>
      </w:r>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2006;</w:t>
      </w:r>
      <w:proofErr w:type="gramStart"/>
      <w:r w:rsidRPr="00837F30">
        <w:rPr>
          <w:rStyle w:val="ref-vol"/>
          <w:rFonts w:eastAsia="BatangChe" w:cs="Times New Roman"/>
          <w:color w:val="000000"/>
          <w:shd w:val="clear" w:color="auto" w:fill="FFFFFF"/>
        </w:rPr>
        <w:t>86</w:t>
      </w:r>
      <w:r w:rsidRPr="00837F30">
        <w:rPr>
          <w:rStyle w:val="element-citation"/>
          <w:rFonts w:eastAsia="BatangChe" w:cs="Times New Roman"/>
          <w:color w:val="000000"/>
          <w:shd w:val="clear" w:color="auto" w:fill="FFFFFF"/>
        </w:rPr>
        <w:t>:972</w:t>
      </w:r>
      <w:proofErr w:type="gramEnd"/>
      <w:r w:rsidRPr="00837F30">
        <w:rPr>
          <w:rStyle w:val="element-citation"/>
          <w:rFonts w:eastAsia="BatangChe" w:cs="Times New Roman"/>
          <w:color w:val="000000"/>
          <w:shd w:val="clear" w:color="auto" w:fill="FFFFFF"/>
        </w:rPr>
        <w:t xml:space="preserve">–6.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10. </w:t>
      </w:r>
      <w:r w:rsidRPr="00837F30">
        <w:rPr>
          <w:rStyle w:val="element-citation"/>
          <w:rFonts w:eastAsia="BatangChe" w:cs="Times New Roman"/>
          <w:color w:val="000000"/>
          <w:shd w:val="clear" w:color="auto" w:fill="FFFFFF"/>
        </w:rPr>
        <w:t>Franchi L, Patrelli TS, Berretta R, Rolla M, Gizzo S, Gramellini D, Bacchi Modena A, Nardelli GB. Role of D-dimer testing in severe pelvic inflammatory disease: a new usable marker to assess the need for fertility-impairing surgery? </w:t>
      </w:r>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2010;</w:t>
      </w:r>
      <w:proofErr w:type="gramStart"/>
      <w:r w:rsidRPr="00837F30">
        <w:rPr>
          <w:rStyle w:val="ref-vol"/>
          <w:rFonts w:eastAsia="BatangChe" w:cs="Times New Roman"/>
          <w:color w:val="000000"/>
          <w:shd w:val="clear" w:color="auto" w:fill="FFFFFF"/>
        </w:rPr>
        <w:t>94</w:t>
      </w:r>
      <w:r w:rsidRPr="00837F30">
        <w:rPr>
          <w:rStyle w:val="element-citation"/>
          <w:rFonts w:eastAsia="BatangChe" w:cs="Times New Roman"/>
          <w:color w:val="000000"/>
          <w:shd w:val="clear" w:color="auto" w:fill="FFFFFF"/>
        </w:rPr>
        <w:t>:2372</w:t>
      </w:r>
      <w:proofErr w:type="gramEnd"/>
      <w:r w:rsidRPr="00837F30">
        <w:rPr>
          <w:rStyle w:val="element-citation"/>
          <w:rFonts w:eastAsia="BatangChe" w:cs="Times New Roman"/>
          <w:color w:val="000000"/>
          <w:shd w:val="clear" w:color="auto" w:fill="FFFFFF"/>
        </w:rPr>
        <w:t xml:space="preserve">–5.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11. </w:t>
      </w:r>
      <w:r w:rsidRPr="00837F30">
        <w:rPr>
          <w:rStyle w:val="element-citation"/>
          <w:rFonts w:eastAsia="BatangChe" w:cs="Times New Roman"/>
          <w:color w:val="000000"/>
          <w:shd w:val="clear" w:color="auto" w:fill="FFFFFF"/>
        </w:rPr>
        <w:t>Lessey BA, Castelbaum AJ, Sawin SW, Sun J. Integrins as markers of uterine receptivity in women with primary unexplained infertility. </w:t>
      </w:r>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1995;</w:t>
      </w:r>
      <w:proofErr w:type="gramStart"/>
      <w:r w:rsidRPr="00837F30">
        <w:rPr>
          <w:rStyle w:val="ref-vol"/>
          <w:rFonts w:eastAsia="BatangChe" w:cs="Times New Roman"/>
          <w:color w:val="000000"/>
          <w:shd w:val="clear" w:color="auto" w:fill="FFFFFF"/>
        </w:rPr>
        <w:t>63</w:t>
      </w:r>
      <w:r w:rsidRPr="00837F30">
        <w:rPr>
          <w:rStyle w:val="element-citation"/>
          <w:rFonts w:eastAsia="BatangChe" w:cs="Times New Roman"/>
          <w:color w:val="000000"/>
          <w:shd w:val="clear" w:color="auto" w:fill="FFFFFF"/>
        </w:rPr>
        <w:t>:535</w:t>
      </w:r>
      <w:proofErr w:type="gramEnd"/>
      <w:r w:rsidRPr="00837F30">
        <w:rPr>
          <w:rStyle w:val="element-citation"/>
          <w:rFonts w:eastAsia="BatangChe" w:cs="Times New Roman"/>
          <w:color w:val="000000"/>
          <w:shd w:val="clear" w:color="auto" w:fill="FFFFFF"/>
        </w:rPr>
        <w:t xml:space="preserve">–42.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12. </w:t>
      </w:r>
      <w:r w:rsidRPr="00837F30">
        <w:rPr>
          <w:rStyle w:val="element-citation"/>
          <w:rFonts w:eastAsia="BatangChe" w:cs="Times New Roman"/>
          <w:color w:val="000000"/>
          <w:shd w:val="clear" w:color="auto" w:fill="FFFFFF"/>
        </w:rPr>
        <w:t>Koong MK, Jun JH, Song SJ, Lee HJ, Song IO, Kang IS. A second look at the embryotoxicity of hydrosalpingeal fluid: an in-vitro assessment in a murine model. </w:t>
      </w:r>
      <w:r w:rsidRPr="00837F30">
        <w:rPr>
          <w:rStyle w:val="ref-journal"/>
          <w:rFonts w:eastAsia="BatangChe" w:cs="Times New Roman"/>
          <w:color w:val="000000"/>
          <w:shd w:val="clear" w:color="auto" w:fill="FFFFFF"/>
        </w:rPr>
        <w:t>Hum Reprod. </w:t>
      </w:r>
      <w:r w:rsidRPr="00837F30">
        <w:rPr>
          <w:rStyle w:val="element-citation"/>
          <w:rFonts w:eastAsia="BatangChe" w:cs="Times New Roman"/>
          <w:color w:val="000000"/>
          <w:shd w:val="clear" w:color="auto" w:fill="FFFFFF"/>
        </w:rPr>
        <w:t>1998;</w:t>
      </w:r>
      <w:proofErr w:type="gramStart"/>
      <w:r w:rsidRPr="00837F30">
        <w:rPr>
          <w:rStyle w:val="ref-vol"/>
          <w:rFonts w:eastAsia="BatangChe" w:cs="Times New Roman"/>
          <w:color w:val="000000"/>
          <w:shd w:val="clear" w:color="auto" w:fill="FFFFFF"/>
        </w:rPr>
        <w:t>13</w:t>
      </w:r>
      <w:r w:rsidRPr="00837F30">
        <w:rPr>
          <w:rStyle w:val="element-citation"/>
          <w:rFonts w:eastAsia="BatangChe" w:cs="Times New Roman"/>
          <w:color w:val="000000"/>
          <w:shd w:val="clear" w:color="auto" w:fill="FFFFFF"/>
        </w:rPr>
        <w:t>:2852</w:t>
      </w:r>
      <w:proofErr w:type="gramEnd"/>
      <w:r w:rsidRPr="00837F30">
        <w:rPr>
          <w:rStyle w:val="element-citation"/>
          <w:rFonts w:eastAsia="BatangChe" w:cs="Times New Roman"/>
          <w:color w:val="000000"/>
          <w:shd w:val="clear" w:color="auto" w:fill="FFFFFF"/>
        </w:rPr>
        <w:t xml:space="preserve">–6. </w:t>
      </w:r>
    </w:p>
    <w:p w:rsidR="00837F30" w:rsidRPr="00837F30" w:rsidRDefault="00837F30" w:rsidP="00837F30">
      <w:pPr>
        <w:shd w:val="clear" w:color="auto" w:fill="FFFFFF"/>
        <w:spacing w:after="166" w:line="240" w:lineRule="auto"/>
        <w:rPr>
          <w:rFonts w:eastAsia="BatangChe" w:cs="Times New Roman"/>
        </w:rPr>
      </w:pPr>
      <w:r w:rsidRPr="00837F30">
        <w:rPr>
          <w:rFonts w:eastAsia="BatangChe" w:cs="Times New Roman"/>
        </w:rPr>
        <w:t>13. De Wit W, Gowrising CJ, Kuik DJ, et al. Only hydrosalpinges visible on ultrasound are associated with reduced implantation and pregnancy tares after in vitro fertilization. Hum. Reprod. 1998;</w:t>
      </w:r>
      <w:proofErr w:type="gramStart"/>
      <w:r w:rsidRPr="00837F30">
        <w:rPr>
          <w:rFonts w:eastAsia="BatangChe" w:cs="Times New Roman"/>
        </w:rPr>
        <w:t>13:1696</w:t>
      </w:r>
      <w:proofErr w:type="gramEnd"/>
      <w:r w:rsidRPr="00837F30">
        <w:rPr>
          <w:rFonts w:eastAsia="BatangChe" w:cs="Times New Roman"/>
        </w:rPr>
        <w:t xml:space="preserve">-1701. </w:t>
      </w:r>
    </w:p>
    <w:p w:rsidR="00837F30" w:rsidRPr="00837F30" w:rsidRDefault="00837F30" w:rsidP="00837F30">
      <w:pPr>
        <w:shd w:val="clear" w:color="auto" w:fill="FFFFFF"/>
        <w:spacing w:after="166" w:line="240" w:lineRule="auto"/>
        <w:rPr>
          <w:rFonts w:eastAsia="BatangChe" w:cs="Times New Roman"/>
        </w:rPr>
      </w:pPr>
      <w:r w:rsidRPr="00837F30">
        <w:rPr>
          <w:rFonts w:eastAsia="BatangChe" w:cs="Times New Roman"/>
        </w:rPr>
        <w:t>14. StrandellA, LinhardA, Waldensröm U, Thorburn J. Hydrosalpinx and IVF outcome: cumulative results after salpingectomy in a randomized controlled trial. Hum. Reprod 2001;16(11). 2403- 2410.</w:t>
      </w:r>
    </w:p>
    <w:p w:rsidR="00837F30" w:rsidRPr="00774873" w:rsidRDefault="00837F30" w:rsidP="00837F30">
      <w:pPr>
        <w:shd w:val="clear" w:color="auto" w:fill="FFFFFF"/>
        <w:spacing w:before="120" w:after="120" w:line="300" w:lineRule="atLeast"/>
        <w:outlineLvl w:val="0"/>
        <w:rPr>
          <w:rFonts w:eastAsia="BatangChe" w:cs="Times New Roman"/>
          <w:bCs/>
          <w:color w:val="000000"/>
          <w:kern w:val="36"/>
          <w:lang w:eastAsia="tr-TR"/>
        </w:rPr>
      </w:pPr>
      <w:r w:rsidRPr="00837F30">
        <w:rPr>
          <w:rFonts w:eastAsia="BatangChe" w:cs="Times New Roman"/>
          <w:bCs/>
          <w:color w:val="000000"/>
          <w:kern w:val="36"/>
          <w:lang w:eastAsia="tr-TR"/>
        </w:rPr>
        <w:t xml:space="preserve">15. </w:t>
      </w:r>
      <w:hyperlink r:id="rId4" w:history="1">
        <w:r w:rsidRPr="00837F30">
          <w:rPr>
            <w:rStyle w:val="highlight"/>
            <w:rFonts w:eastAsia="BatangChe" w:cs="Times New Roman"/>
            <w:shd w:val="clear" w:color="auto" w:fill="FFFFFF"/>
          </w:rPr>
          <w:t>Berker B</w:t>
        </w:r>
      </w:hyperlink>
      <w:r w:rsidRPr="00837F30">
        <w:rPr>
          <w:rFonts w:eastAsia="BatangChe" w:cs="Times New Roman"/>
          <w:shd w:val="clear" w:color="auto" w:fill="FFFFFF"/>
        </w:rPr>
        <w:t>, </w:t>
      </w:r>
      <w:hyperlink r:id="rId5" w:history="1">
        <w:r w:rsidRPr="00837F30">
          <w:rPr>
            <w:rStyle w:val="Kpr"/>
            <w:rFonts w:eastAsia="BatangChe" w:cs="Times New Roman"/>
            <w:color w:val="auto"/>
            <w:u w:val="none"/>
            <w:shd w:val="clear" w:color="auto" w:fill="FFFFFF"/>
          </w:rPr>
          <w:t>Şükür YE</w:t>
        </w:r>
      </w:hyperlink>
      <w:r w:rsidRPr="00837F30">
        <w:rPr>
          <w:rFonts w:eastAsia="BatangChe" w:cs="Times New Roman"/>
          <w:shd w:val="clear" w:color="auto" w:fill="FFFFFF"/>
        </w:rPr>
        <w:t>, </w:t>
      </w:r>
      <w:hyperlink r:id="rId6" w:history="1">
        <w:r w:rsidRPr="00837F30">
          <w:rPr>
            <w:rStyle w:val="Kpr"/>
            <w:rFonts w:eastAsia="BatangChe" w:cs="Times New Roman"/>
            <w:color w:val="auto"/>
            <w:u w:val="none"/>
            <w:shd w:val="clear" w:color="auto" w:fill="FFFFFF"/>
          </w:rPr>
          <w:t>Aytaç R</w:t>
        </w:r>
      </w:hyperlink>
      <w:r w:rsidRPr="00837F30">
        <w:rPr>
          <w:rFonts w:eastAsia="BatangChe" w:cs="Times New Roman"/>
          <w:shd w:val="clear" w:color="auto" w:fill="FFFFFF"/>
        </w:rPr>
        <w:t>, </w:t>
      </w:r>
      <w:hyperlink r:id="rId7" w:history="1">
        <w:r w:rsidRPr="00837F30">
          <w:rPr>
            <w:rStyle w:val="Kpr"/>
            <w:rFonts w:eastAsia="BatangChe" w:cs="Times New Roman"/>
            <w:color w:val="auto"/>
            <w:u w:val="none"/>
            <w:shd w:val="clear" w:color="auto" w:fill="FFFFFF"/>
          </w:rPr>
          <w:t>Atabekoğlu CS</w:t>
        </w:r>
      </w:hyperlink>
      <w:r w:rsidRPr="00837F30">
        <w:rPr>
          <w:rFonts w:eastAsia="BatangChe" w:cs="Times New Roman"/>
          <w:shd w:val="clear" w:color="auto" w:fill="FFFFFF"/>
        </w:rPr>
        <w:t>, </w:t>
      </w:r>
      <w:hyperlink r:id="rId8" w:history="1">
        <w:r w:rsidRPr="00837F30">
          <w:rPr>
            <w:rStyle w:val="Kpr"/>
            <w:rFonts w:eastAsia="BatangChe" w:cs="Times New Roman"/>
            <w:color w:val="auto"/>
            <w:u w:val="none"/>
            <w:shd w:val="clear" w:color="auto" w:fill="FFFFFF"/>
          </w:rPr>
          <w:t>Sönmezer M</w:t>
        </w:r>
      </w:hyperlink>
      <w:r w:rsidRPr="00837F30">
        <w:rPr>
          <w:rFonts w:eastAsia="BatangChe" w:cs="Times New Roman"/>
          <w:shd w:val="clear" w:color="auto" w:fill="FFFFFF"/>
        </w:rPr>
        <w:t>, </w:t>
      </w:r>
      <w:hyperlink r:id="rId9" w:history="1">
        <w:r w:rsidRPr="00837F30">
          <w:rPr>
            <w:rStyle w:val="Kpr"/>
            <w:rFonts w:eastAsia="BatangChe" w:cs="Times New Roman"/>
            <w:color w:val="auto"/>
            <w:u w:val="none"/>
            <w:shd w:val="clear" w:color="auto" w:fill="FFFFFF"/>
          </w:rPr>
          <w:t>Özmen B</w:t>
        </w:r>
      </w:hyperlink>
      <w:r w:rsidRPr="00837F30">
        <w:rPr>
          <w:rFonts w:eastAsia="BatangChe" w:cs="Times New Roman"/>
        </w:rPr>
        <w:t>. I</w:t>
      </w:r>
      <w:r w:rsidRPr="00837F30">
        <w:rPr>
          <w:rFonts w:eastAsia="BatangChe" w:cs="Times New Roman"/>
          <w:bCs/>
          <w:color w:val="000000"/>
          <w:kern w:val="36"/>
          <w:lang w:eastAsia="tr-TR"/>
        </w:rPr>
        <w:t>nfertility work-up: To what degree does laparoscopy change the management strategy based on hysterosalpingography findings?</w:t>
      </w:r>
      <w:r w:rsidR="00774873">
        <w:rPr>
          <w:rFonts w:eastAsia="BatangChe" w:cs="Times New Roman"/>
          <w:bCs/>
          <w:color w:val="000000"/>
          <w:kern w:val="36"/>
          <w:lang w:eastAsia="tr-TR"/>
        </w:rPr>
        <w:t xml:space="preserve">  </w:t>
      </w:r>
      <w:hyperlink r:id="rId10" w:tooltip="The journal of obstetrics and gynaecology research." w:history="1">
        <w:r w:rsidRPr="00837F30">
          <w:rPr>
            <w:rStyle w:val="Kpr"/>
            <w:rFonts w:eastAsia="BatangChe" w:cs="Times New Roman"/>
            <w:color w:val="auto"/>
            <w:u w:val="none"/>
            <w:shd w:val="clear" w:color="auto" w:fill="FFFFFF"/>
          </w:rPr>
          <w:t>J Obstet Gynaecol Res.</w:t>
        </w:r>
      </w:hyperlink>
      <w:r w:rsidRPr="00837F30">
        <w:rPr>
          <w:rFonts w:eastAsia="BatangChe" w:cs="Times New Roman"/>
          <w:shd w:val="clear" w:color="auto" w:fill="FFFFFF"/>
        </w:rPr>
        <w:t> 2015 Nov;41(11):1785-90.</w:t>
      </w:r>
    </w:p>
    <w:p w:rsidR="00837F30" w:rsidRPr="00837F30" w:rsidRDefault="00837F30" w:rsidP="00837F30">
      <w:pPr>
        <w:autoSpaceDE w:val="0"/>
        <w:autoSpaceDN w:val="0"/>
        <w:adjustRightInd w:val="0"/>
        <w:spacing w:after="0" w:line="240" w:lineRule="auto"/>
        <w:rPr>
          <w:rFonts w:eastAsia="BatangChe" w:cs="Times New Roman"/>
        </w:rPr>
      </w:pPr>
      <w:r w:rsidRPr="00837F30">
        <w:rPr>
          <w:rFonts w:eastAsia="BatangChe" w:cs="Times New Roman"/>
        </w:rPr>
        <w:t>16. Surrey ES, Schoolcraft WB. Laparoscopic management of hydrosalpinges before in vitro fertilization-embryo transfer: salpingectomy versus proximal tubal occlusion. Fertil Steril 2001;</w:t>
      </w:r>
      <w:proofErr w:type="gramStart"/>
      <w:r w:rsidRPr="00837F30">
        <w:rPr>
          <w:rFonts w:eastAsia="BatangChe" w:cs="Times New Roman"/>
        </w:rPr>
        <w:t>75:612</w:t>
      </w:r>
      <w:proofErr w:type="gramEnd"/>
      <w:r w:rsidRPr="00837F30">
        <w:rPr>
          <w:rFonts w:eastAsia="BatangChe" w:cs="Times New Roman"/>
        </w:rPr>
        <w:t>–7.</w:t>
      </w:r>
    </w:p>
    <w:p w:rsidR="00837F30" w:rsidRPr="00837F30" w:rsidRDefault="00837F30" w:rsidP="00837F30">
      <w:pPr>
        <w:autoSpaceDE w:val="0"/>
        <w:autoSpaceDN w:val="0"/>
        <w:adjustRightInd w:val="0"/>
        <w:spacing w:after="0" w:line="240" w:lineRule="auto"/>
        <w:rPr>
          <w:rFonts w:eastAsia="BatangChe" w:cs="Times New Roman"/>
        </w:rPr>
      </w:pPr>
    </w:p>
    <w:p w:rsidR="00837F30" w:rsidRPr="00837F30" w:rsidRDefault="00837F30" w:rsidP="00837F30">
      <w:pPr>
        <w:autoSpaceDE w:val="0"/>
        <w:autoSpaceDN w:val="0"/>
        <w:adjustRightInd w:val="0"/>
        <w:spacing w:after="0" w:line="240" w:lineRule="auto"/>
        <w:rPr>
          <w:rFonts w:eastAsia="BatangChe" w:cs="Times New Roman"/>
        </w:rPr>
      </w:pPr>
      <w:r w:rsidRPr="00837F30">
        <w:rPr>
          <w:rFonts w:eastAsia="BatangChe" w:cs="Times New Roman"/>
        </w:rPr>
        <w:t>17. Kontoravdis A, Makrakis E, Pantos K, Botsis D, Deligeoroglou E, Creatsas G. Proximal tubal occlusion and salpingectomy result in similar improvement in vitro fertilization outcome in patients with hydrosalpinx. Fertil Steril 2006;</w:t>
      </w:r>
      <w:proofErr w:type="gramStart"/>
      <w:r w:rsidRPr="00837F30">
        <w:rPr>
          <w:rFonts w:eastAsia="BatangChe" w:cs="Times New Roman"/>
        </w:rPr>
        <w:t>86:1642</w:t>
      </w:r>
      <w:proofErr w:type="gramEnd"/>
      <w:r w:rsidRPr="00837F30">
        <w:rPr>
          <w:rFonts w:eastAsia="BatangChe" w:cs="Times New Roman"/>
        </w:rPr>
        <w:t>–9.</w:t>
      </w:r>
    </w:p>
    <w:p w:rsidR="00837F30" w:rsidRPr="00837F30" w:rsidRDefault="00837F30" w:rsidP="00837F30">
      <w:pPr>
        <w:autoSpaceDE w:val="0"/>
        <w:autoSpaceDN w:val="0"/>
        <w:adjustRightInd w:val="0"/>
        <w:spacing w:after="0" w:line="240" w:lineRule="auto"/>
        <w:rPr>
          <w:rFonts w:eastAsia="BatangChe" w:cs="Times New Roman"/>
        </w:rPr>
      </w:pPr>
    </w:p>
    <w:p w:rsidR="00837F30" w:rsidRPr="00837F30" w:rsidRDefault="00837F30" w:rsidP="00837F30">
      <w:pPr>
        <w:autoSpaceDE w:val="0"/>
        <w:autoSpaceDN w:val="0"/>
        <w:adjustRightInd w:val="0"/>
        <w:spacing w:after="0" w:line="240" w:lineRule="auto"/>
        <w:rPr>
          <w:rFonts w:eastAsia="BatangChe" w:cs="Times New Roman"/>
        </w:rPr>
      </w:pPr>
      <w:r w:rsidRPr="00837F30">
        <w:rPr>
          <w:rFonts w:eastAsia="BatangChe" w:cs="Times New Roman"/>
        </w:rPr>
        <w:t>18. Camus E, Poncelet C, Goffinet F, Wainer B, Merlet F, Nisand I, et al. Pregnancyrates after in-vitro fertilization in cases of tubal infertility with andwithout hydrosalpinx: a meta-analysis of published comparative studies.</w:t>
      </w:r>
      <w:r w:rsidR="00774873">
        <w:rPr>
          <w:rFonts w:eastAsia="BatangChe" w:cs="Times New Roman"/>
        </w:rPr>
        <w:t xml:space="preserve"> </w:t>
      </w:r>
      <w:r w:rsidRPr="00837F30">
        <w:rPr>
          <w:rFonts w:eastAsia="BatangChe" w:cs="Times New Roman"/>
        </w:rPr>
        <w:t>Hum Reprod 1999;</w:t>
      </w:r>
      <w:proofErr w:type="gramStart"/>
      <w:r w:rsidRPr="00837F30">
        <w:rPr>
          <w:rFonts w:eastAsia="BatangChe" w:cs="Times New Roman"/>
        </w:rPr>
        <w:t>14:1243</w:t>
      </w:r>
      <w:proofErr w:type="gramEnd"/>
      <w:r w:rsidRPr="00837F30">
        <w:rPr>
          <w:rFonts w:eastAsia="BatangChe" w:cs="Times New Roman"/>
        </w:rPr>
        <w:t>–9.</w:t>
      </w:r>
    </w:p>
    <w:p w:rsidR="00837F30" w:rsidRPr="00837F30" w:rsidRDefault="00837F30" w:rsidP="00837F30">
      <w:pPr>
        <w:autoSpaceDE w:val="0"/>
        <w:autoSpaceDN w:val="0"/>
        <w:adjustRightInd w:val="0"/>
        <w:spacing w:after="0" w:line="240" w:lineRule="auto"/>
        <w:rPr>
          <w:rFonts w:eastAsia="BatangChe" w:cs="Times New Roman"/>
        </w:rPr>
      </w:pPr>
    </w:p>
    <w:p w:rsidR="00837F30" w:rsidRPr="00837F30" w:rsidRDefault="00837F30" w:rsidP="00837F30">
      <w:pPr>
        <w:autoSpaceDE w:val="0"/>
        <w:autoSpaceDN w:val="0"/>
        <w:adjustRightInd w:val="0"/>
        <w:spacing w:after="0" w:line="240" w:lineRule="auto"/>
        <w:rPr>
          <w:rFonts w:eastAsia="BatangChe" w:cs="Times New Roman"/>
        </w:rPr>
      </w:pPr>
      <w:r w:rsidRPr="00837F30">
        <w:rPr>
          <w:rFonts w:eastAsia="BatangChe" w:cs="Times New Roman"/>
        </w:rPr>
        <w:t>19. Zeyneloglu HB, Arici A, Olive DL. Adverse effects of hydrosalpinx on pregnancyrates after in vitro fertilization-embryo transfer. Fertil Steril 1998;</w:t>
      </w:r>
      <w:proofErr w:type="gramStart"/>
      <w:r w:rsidRPr="00837F30">
        <w:rPr>
          <w:rFonts w:eastAsia="BatangChe" w:cs="Times New Roman"/>
        </w:rPr>
        <w:t>70:492</w:t>
      </w:r>
      <w:proofErr w:type="gramEnd"/>
      <w:r w:rsidRPr="00837F30">
        <w:rPr>
          <w:rFonts w:eastAsia="BatangChe" w:cs="Times New Roman"/>
        </w:rPr>
        <w:t>–9.</w:t>
      </w:r>
    </w:p>
    <w:p w:rsidR="00837F30" w:rsidRPr="00837F30" w:rsidRDefault="00837F30" w:rsidP="00837F30">
      <w:pPr>
        <w:autoSpaceDE w:val="0"/>
        <w:autoSpaceDN w:val="0"/>
        <w:adjustRightInd w:val="0"/>
        <w:spacing w:after="0" w:line="240" w:lineRule="auto"/>
        <w:rPr>
          <w:rFonts w:eastAsia="BatangChe" w:cs="Times New Roman"/>
        </w:rPr>
      </w:pPr>
    </w:p>
    <w:p w:rsidR="00837F30" w:rsidRPr="00837F30" w:rsidRDefault="00837F30" w:rsidP="00837F30">
      <w:pPr>
        <w:shd w:val="clear" w:color="auto" w:fill="FFFFFF"/>
        <w:spacing w:after="166" w:line="240" w:lineRule="auto"/>
        <w:rPr>
          <w:rFonts w:eastAsia="BatangChe" w:cs="Times New Roman"/>
          <w:lang w:eastAsia="tr-TR"/>
        </w:rPr>
      </w:pPr>
      <w:r w:rsidRPr="00837F30">
        <w:rPr>
          <w:rFonts w:eastAsia="BatangChe" w:cs="Times New Roman"/>
          <w:lang w:eastAsia="tr-TR"/>
        </w:rPr>
        <w:t>20. Practice Committee of American Society for Reproductive Medicine in collaboration with Society of Reproductive Surgeons Salpingectomy for hydrosalpinx prior to in vitro fertilization. Fertil Steril. 2008;</w:t>
      </w:r>
      <w:proofErr w:type="gramStart"/>
      <w:r w:rsidRPr="00837F30">
        <w:rPr>
          <w:rFonts w:eastAsia="BatangChe" w:cs="Times New Roman"/>
          <w:lang w:eastAsia="tr-TR"/>
        </w:rPr>
        <w:t>90:66</w:t>
      </w:r>
      <w:proofErr w:type="gramEnd"/>
      <w:r w:rsidRPr="00837F30">
        <w:rPr>
          <w:rFonts w:eastAsia="BatangChe" w:cs="Times New Roman"/>
          <w:lang w:eastAsia="tr-TR"/>
        </w:rPr>
        <w:t>–8.</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lastRenderedPageBreak/>
        <w:t>21. Camus E, Poncelet C, Goffinet F, Wainer B, Merlet F, Nisand I, Philippe HJ. Pregnancy rates after in-vitro fertilization in cases of tubal infertility with and without hydrosalpinx: a meta-analysis of published comparative studies. Hum Reprod. 1999;</w:t>
      </w:r>
      <w:proofErr w:type="gramStart"/>
      <w:r w:rsidRPr="00837F30">
        <w:rPr>
          <w:rFonts w:eastAsia="BatangChe" w:cs="Times New Roman"/>
          <w:color w:val="000000"/>
          <w:lang w:eastAsia="tr-TR"/>
        </w:rPr>
        <w:t>14:1243</w:t>
      </w:r>
      <w:proofErr w:type="gramEnd"/>
      <w:r w:rsidRPr="00837F30">
        <w:rPr>
          <w:rFonts w:eastAsia="BatangChe" w:cs="Times New Roman"/>
          <w:color w:val="000000"/>
          <w:lang w:eastAsia="tr-TR"/>
        </w:rPr>
        <w:t xml:space="preserve">–9. </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22. National Collaborating Centre for Women's and Children's Health (UK) Fertility: Assessment and Treatment for People with Fertility Problems. London: Royal College of Obstetricians &amp; Gynaecologists (UK); 2013. </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23. Johnson N, van Voorst S, Sowter MC, Strandell A, Mol BW. Surgical treatment for tubal disease in women due to undergo in vitro fertilisation. Cochrane Database Syst Rev. 2010;1:CD002125. </w:t>
      </w:r>
    </w:p>
    <w:p w:rsidR="00774873"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lang w:eastAsia="tr-TR"/>
        </w:rPr>
        <w:t>24. Johnson N, van Voorst S, Sowter MC, Strandell A, Mol BW. Tubal surgery before IVF. Hum Reprod Update. 2011;</w:t>
      </w:r>
      <w:proofErr w:type="gramStart"/>
      <w:r w:rsidRPr="00837F30">
        <w:rPr>
          <w:rFonts w:eastAsia="BatangChe" w:cs="Times New Roman"/>
          <w:color w:val="000000"/>
          <w:lang w:eastAsia="tr-TR"/>
        </w:rPr>
        <w:t>17:3</w:t>
      </w:r>
      <w:proofErr w:type="gramEnd"/>
      <w:r w:rsidRPr="00837F30">
        <w:rPr>
          <w:rFonts w:eastAsia="BatangChe" w:cs="Times New Roman"/>
          <w:color w:val="000000"/>
          <w:lang w:eastAsia="tr-TR"/>
        </w:rPr>
        <w:t xml:space="preserve">. </w:t>
      </w:r>
    </w:p>
    <w:p w:rsidR="00837F30" w:rsidRPr="00837F30" w:rsidRDefault="00837F30" w:rsidP="00837F30">
      <w:pPr>
        <w:shd w:val="clear" w:color="auto" w:fill="FFFFFF"/>
        <w:spacing w:after="166" w:line="240" w:lineRule="auto"/>
        <w:rPr>
          <w:rStyle w:val="element-citation"/>
          <w:rFonts w:eastAsia="BatangChe" w:cs="Times New Roman"/>
          <w:color w:val="000000"/>
          <w:lang w:eastAsia="tr-TR"/>
        </w:rPr>
      </w:pPr>
      <w:r w:rsidRPr="00837F30">
        <w:rPr>
          <w:rFonts w:eastAsia="BatangChe" w:cs="Times New Roman"/>
          <w:color w:val="000000"/>
          <w:lang w:eastAsia="tr-TR"/>
        </w:rPr>
        <w:t>25</w:t>
      </w:r>
      <w:r w:rsidRPr="00837F30">
        <w:rPr>
          <w:rFonts w:eastAsia="BatangChe" w:cs="Times New Roman"/>
          <w:color w:val="000000"/>
          <w:shd w:val="clear" w:color="auto" w:fill="FFFFFF"/>
        </w:rPr>
        <w:t>. </w:t>
      </w:r>
      <w:r w:rsidRPr="00837F30">
        <w:rPr>
          <w:rStyle w:val="element-citation"/>
          <w:rFonts w:eastAsia="BatangChe" w:cs="Times New Roman"/>
          <w:color w:val="000000"/>
          <w:shd w:val="clear" w:color="auto" w:fill="FFFFFF"/>
        </w:rPr>
        <w:t>Lass A, Ellenbogen A, Croucher C, Trew G, Margara R, Becattini C, Winston RM. Effect of salpingectomy on ovarian response to superovulation in an in vitro fertilization-embryo transfer program. </w:t>
      </w:r>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1998;</w:t>
      </w:r>
      <w:proofErr w:type="gramStart"/>
      <w:r w:rsidRPr="00837F30">
        <w:rPr>
          <w:rStyle w:val="ref-vol"/>
          <w:rFonts w:eastAsia="BatangChe" w:cs="Times New Roman"/>
          <w:color w:val="000000"/>
          <w:shd w:val="clear" w:color="auto" w:fill="FFFFFF"/>
        </w:rPr>
        <w:t>70</w:t>
      </w:r>
      <w:r w:rsidRPr="00837F30">
        <w:rPr>
          <w:rStyle w:val="element-citation"/>
          <w:rFonts w:eastAsia="BatangChe" w:cs="Times New Roman"/>
          <w:color w:val="000000"/>
          <w:shd w:val="clear" w:color="auto" w:fill="FFFFFF"/>
        </w:rPr>
        <w:t>:1035</w:t>
      </w:r>
      <w:proofErr w:type="gramEnd"/>
      <w:r w:rsidRPr="00837F30">
        <w:rPr>
          <w:rStyle w:val="element-citation"/>
          <w:rFonts w:eastAsia="BatangChe" w:cs="Times New Roman"/>
          <w:color w:val="000000"/>
          <w:shd w:val="clear" w:color="auto" w:fill="FFFFFF"/>
        </w:rPr>
        <w:t xml:space="preserve">–8.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26. </w:t>
      </w:r>
      <w:r w:rsidRPr="00837F30">
        <w:rPr>
          <w:rStyle w:val="element-citation"/>
          <w:rFonts w:eastAsia="BatangChe" w:cs="Times New Roman"/>
          <w:color w:val="000000"/>
          <w:shd w:val="clear" w:color="auto" w:fill="FFFFFF"/>
        </w:rPr>
        <w:t>Chan CC, Ng EH, Li CF, Ho PC. Impaired ovarian blood flow and reduced antral follicle count following laparoscopic salpingectomy for ectopic pregnancy. </w:t>
      </w:r>
      <w:r w:rsidRPr="00837F30">
        <w:rPr>
          <w:rStyle w:val="ref-journal"/>
          <w:rFonts w:eastAsia="BatangChe" w:cs="Times New Roman"/>
          <w:color w:val="000000"/>
          <w:shd w:val="clear" w:color="auto" w:fill="FFFFFF"/>
        </w:rPr>
        <w:t>Hum Reprod. </w:t>
      </w:r>
      <w:r w:rsidRPr="00837F30">
        <w:rPr>
          <w:rStyle w:val="element-citation"/>
          <w:rFonts w:eastAsia="BatangChe" w:cs="Times New Roman"/>
          <w:color w:val="000000"/>
          <w:shd w:val="clear" w:color="auto" w:fill="FFFFFF"/>
        </w:rPr>
        <w:t>2003;</w:t>
      </w:r>
      <w:proofErr w:type="gramStart"/>
      <w:r w:rsidRPr="00837F30">
        <w:rPr>
          <w:rStyle w:val="ref-vol"/>
          <w:rFonts w:eastAsia="BatangChe" w:cs="Times New Roman"/>
          <w:color w:val="000000"/>
          <w:shd w:val="clear" w:color="auto" w:fill="FFFFFF"/>
        </w:rPr>
        <w:t>18</w:t>
      </w:r>
      <w:r w:rsidRPr="00837F30">
        <w:rPr>
          <w:rStyle w:val="element-citation"/>
          <w:rFonts w:eastAsia="BatangChe" w:cs="Times New Roman"/>
          <w:color w:val="000000"/>
          <w:shd w:val="clear" w:color="auto" w:fill="FFFFFF"/>
        </w:rPr>
        <w:t>:2175</w:t>
      </w:r>
      <w:proofErr w:type="gramEnd"/>
      <w:r w:rsidRPr="00837F30">
        <w:rPr>
          <w:rStyle w:val="element-citation"/>
          <w:rFonts w:eastAsia="BatangChe" w:cs="Times New Roman"/>
          <w:color w:val="000000"/>
          <w:shd w:val="clear" w:color="auto" w:fill="FFFFFF"/>
        </w:rPr>
        <w:t xml:space="preserve">–80. </w:t>
      </w:r>
    </w:p>
    <w:p w:rsidR="00837F30" w:rsidRPr="00837F30"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27. </w:t>
      </w:r>
      <w:r w:rsidRPr="00837F30">
        <w:rPr>
          <w:rStyle w:val="element-citation"/>
          <w:rFonts w:eastAsia="BatangChe" w:cs="Times New Roman"/>
          <w:color w:val="000000"/>
          <w:shd w:val="clear" w:color="auto" w:fill="FFFFFF"/>
        </w:rPr>
        <w:t>Orvieto R, Saar-Ryss B, Morgante G, Gemer O, Anteby EY, Meltcer S. Does salpingectomy affect the ipsilateral ovarian response to gonadotropin during in vitro fertilization-embryo transfer cycles? </w:t>
      </w:r>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2011;</w:t>
      </w:r>
      <w:proofErr w:type="gramStart"/>
      <w:r w:rsidRPr="00837F30">
        <w:rPr>
          <w:rStyle w:val="ref-vol"/>
          <w:rFonts w:eastAsia="BatangChe" w:cs="Times New Roman"/>
          <w:color w:val="000000"/>
          <w:shd w:val="clear" w:color="auto" w:fill="FFFFFF"/>
        </w:rPr>
        <w:t>95</w:t>
      </w:r>
      <w:r w:rsidRPr="00837F30">
        <w:rPr>
          <w:rStyle w:val="element-citation"/>
          <w:rFonts w:eastAsia="BatangChe" w:cs="Times New Roman"/>
          <w:color w:val="000000"/>
          <w:shd w:val="clear" w:color="auto" w:fill="FFFFFF"/>
        </w:rPr>
        <w:t>:1842</w:t>
      </w:r>
      <w:proofErr w:type="gramEnd"/>
      <w:r w:rsidRPr="00837F30">
        <w:rPr>
          <w:rStyle w:val="element-citation"/>
          <w:rFonts w:eastAsia="BatangChe" w:cs="Times New Roman"/>
          <w:color w:val="000000"/>
          <w:shd w:val="clear" w:color="auto" w:fill="FFFFFF"/>
        </w:rPr>
        <w:t>–4. doi: 10.1016/j.fertnstert.2010.11.061. </w:t>
      </w:r>
    </w:p>
    <w:p w:rsidR="00837F30" w:rsidRPr="00837F30"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28. </w:t>
      </w:r>
      <w:r w:rsidRPr="00837F30">
        <w:rPr>
          <w:rStyle w:val="element-citation"/>
          <w:rFonts w:eastAsia="BatangChe" w:cs="Times New Roman"/>
          <w:color w:val="000000"/>
          <w:shd w:val="clear" w:color="auto" w:fill="FFFFFF"/>
        </w:rPr>
        <w:t>Grynnerup AG, Lindhard A, Sørensen S. Anti-Müllerian hormone levels in salpingectomized compared with nonsalpingectomized women with tubal factor infertility and women with unexplained infertility. </w:t>
      </w:r>
      <w:r w:rsidRPr="00837F30">
        <w:rPr>
          <w:rStyle w:val="ref-journal"/>
          <w:rFonts w:eastAsia="BatangChe" w:cs="Times New Roman"/>
          <w:color w:val="000000"/>
          <w:shd w:val="clear" w:color="auto" w:fill="FFFFFF"/>
        </w:rPr>
        <w:t>Acta Obstet Gynecol Scand. </w:t>
      </w:r>
      <w:r w:rsidRPr="00837F30">
        <w:rPr>
          <w:rStyle w:val="element-citation"/>
          <w:rFonts w:eastAsia="BatangChe" w:cs="Times New Roman"/>
          <w:color w:val="000000"/>
          <w:shd w:val="clear" w:color="auto" w:fill="FFFFFF"/>
        </w:rPr>
        <w:t>2013;</w:t>
      </w:r>
      <w:proofErr w:type="gramStart"/>
      <w:r w:rsidRPr="00837F30">
        <w:rPr>
          <w:rStyle w:val="ref-vol"/>
          <w:rFonts w:eastAsia="BatangChe" w:cs="Times New Roman"/>
          <w:color w:val="000000"/>
          <w:shd w:val="clear" w:color="auto" w:fill="FFFFFF"/>
        </w:rPr>
        <w:t>92</w:t>
      </w:r>
      <w:r w:rsidRPr="00837F30">
        <w:rPr>
          <w:rStyle w:val="element-citation"/>
          <w:rFonts w:eastAsia="BatangChe" w:cs="Times New Roman"/>
          <w:color w:val="000000"/>
          <w:shd w:val="clear" w:color="auto" w:fill="FFFFFF"/>
        </w:rPr>
        <w:t>:1297</w:t>
      </w:r>
      <w:proofErr w:type="gramEnd"/>
      <w:r w:rsidRPr="00837F30">
        <w:rPr>
          <w:rStyle w:val="element-citation"/>
          <w:rFonts w:eastAsia="BatangChe" w:cs="Times New Roman"/>
          <w:color w:val="000000"/>
          <w:shd w:val="clear" w:color="auto" w:fill="FFFFFF"/>
        </w:rPr>
        <w:t xml:space="preserve">–303.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proofErr w:type="gramStart"/>
      <w:r w:rsidRPr="00837F30">
        <w:rPr>
          <w:rFonts w:eastAsia="BatangChe" w:cs="Times New Roman"/>
          <w:color w:val="000000"/>
          <w:shd w:val="clear" w:color="auto" w:fill="FFFFFF"/>
        </w:rPr>
        <w:t>29. </w:t>
      </w:r>
      <w:r w:rsidRPr="00837F30">
        <w:rPr>
          <w:rStyle w:val="element-citation"/>
          <w:rFonts w:eastAsia="BatangChe" w:cs="Times New Roman"/>
          <w:color w:val="000000"/>
          <w:shd w:val="clear" w:color="auto" w:fill="FFFFFF"/>
        </w:rPr>
        <w:t>Venturella R, Morelli M, Lico D, Di Cello A, Rocca M, Sacchinelli A, Mocciaro R, D’Alessandro P, Maiorana A, Gizzo S, Zullo F. Wide excision of soft tissues adjacent to the ovary and fallopian tube does not impair the ovarian reserve in women undergoing prophylactic bilateral salpingectomy: results from a randomized, controlled trial. </w:t>
      </w:r>
      <w:proofErr w:type="gramEnd"/>
      <w:r w:rsidRPr="00837F30">
        <w:rPr>
          <w:rStyle w:val="ref-journal"/>
          <w:rFonts w:eastAsia="BatangChe" w:cs="Times New Roman"/>
          <w:color w:val="000000"/>
          <w:shd w:val="clear" w:color="auto" w:fill="FFFFFF"/>
        </w:rPr>
        <w:t>Fertil Steril. </w:t>
      </w:r>
      <w:r w:rsidRPr="00837F30">
        <w:rPr>
          <w:rStyle w:val="element-citation"/>
          <w:rFonts w:eastAsia="BatangChe" w:cs="Times New Roman"/>
          <w:color w:val="000000"/>
          <w:shd w:val="clear" w:color="auto" w:fill="FFFFFF"/>
        </w:rPr>
        <w:t>2015;</w:t>
      </w:r>
      <w:r w:rsidRPr="00837F30">
        <w:rPr>
          <w:rStyle w:val="ref-vol"/>
          <w:rFonts w:eastAsia="BatangChe" w:cs="Times New Roman"/>
          <w:color w:val="000000"/>
          <w:shd w:val="clear" w:color="auto" w:fill="FFFFFF"/>
        </w:rPr>
        <w:t>104</w:t>
      </w:r>
      <w:r w:rsidRPr="00837F30">
        <w:rPr>
          <w:rStyle w:val="element-citation"/>
          <w:rFonts w:eastAsia="BatangChe" w:cs="Times New Roman"/>
          <w:color w:val="000000"/>
          <w:shd w:val="clear" w:color="auto" w:fill="FFFFFF"/>
        </w:rPr>
        <w:t xml:space="preserve">:1332–9. </w:t>
      </w:r>
    </w:p>
    <w:p w:rsidR="00837F30" w:rsidRPr="00837F30"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30. </w:t>
      </w:r>
      <w:r w:rsidRPr="00837F30">
        <w:rPr>
          <w:rStyle w:val="element-citation"/>
          <w:rFonts w:eastAsia="BatangChe" w:cs="Times New Roman"/>
          <w:color w:val="000000"/>
          <w:shd w:val="clear" w:color="auto" w:fill="FFFFFF"/>
        </w:rPr>
        <w:t>Litta P, Saccardi C, Gizzo S, Conte L, Ambrosi G, Sissi C, Palumbo M. Inflammatory cytokine expression following the use of bipolar electrocoagulation, ultracision harmonic scalpel and cold knife biopsy. </w:t>
      </w:r>
      <w:r w:rsidRPr="00837F30">
        <w:rPr>
          <w:rStyle w:val="ref-journal"/>
          <w:rFonts w:eastAsia="BatangChe" w:cs="Times New Roman"/>
          <w:color w:val="000000"/>
          <w:shd w:val="clear" w:color="auto" w:fill="FFFFFF"/>
        </w:rPr>
        <w:t>Mol Med Rep. </w:t>
      </w:r>
      <w:r w:rsidRPr="00837F30">
        <w:rPr>
          <w:rStyle w:val="element-citation"/>
          <w:rFonts w:eastAsia="BatangChe" w:cs="Times New Roman"/>
          <w:color w:val="000000"/>
          <w:shd w:val="clear" w:color="auto" w:fill="FFFFFF"/>
        </w:rPr>
        <w:t>2015;</w:t>
      </w:r>
      <w:proofErr w:type="gramStart"/>
      <w:r w:rsidRPr="00837F30">
        <w:rPr>
          <w:rStyle w:val="ref-vol"/>
          <w:rFonts w:eastAsia="BatangChe" w:cs="Times New Roman"/>
          <w:color w:val="000000"/>
          <w:shd w:val="clear" w:color="auto" w:fill="FFFFFF"/>
        </w:rPr>
        <w:t>12</w:t>
      </w:r>
      <w:r w:rsidRPr="00837F30">
        <w:rPr>
          <w:rStyle w:val="element-citation"/>
          <w:rFonts w:eastAsia="BatangChe" w:cs="Times New Roman"/>
          <w:color w:val="000000"/>
          <w:shd w:val="clear" w:color="auto" w:fill="FFFFFF"/>
        </w:rPr>
        <w:t>:2985</w:t>
      </w:r>
      <w:proofErr w:type="gramEnd"/>
      <w:r w:rsidRPr="00837F30">
        <w:rPr>
          <w:rStyle w:val="element-citation"/>
          <w:rFonts w:eastAsia="BatangChe" w:cs="Times New Roman"/>
          <w:color w:val="000000"/>
          <w:shd w:val="clear" w:color="auto" w:fill="FFFFFF"/>
        </w:rPr>
        <w:t>–90.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31. </w:t>
      </w:r>
      <w:r w:rsidRPr="00837F30">
        <w:rPr>
          <w:rStyle w:val="element-citation"/>
          <w:rFonts w:eastAsia="BatangChe" w:cs="Times New Roman"/>
          <w:color w:val="000000"/>
          <w:shd w:val="clear" w:color="auto" w:fill="FFFFFF"/>
        </w:rPr>
        <w:t>Gizzo S, Andrisani A, Esposito F, Oliva A, Zicchina C, Capuzzo D, Gangemi M, Nardelli GB. Ovarian reserve test: an impartial means to resolve the mismatch between chronological and biological age in the assessment of female reproductive chances. </w:t>
      </w:r>
      <w:r w:rsidRPr="00837F30">
        <w:rPr>
          <w:rStyle w:val="ref-journal"/>
          <w:rFonts w:eastAsia="BatangChe" w:cs="Times New Roman"/>
          <w:color w:val="000000"/>
          <w:shd w:val="clear" w:color="auto" w:fill="FFFFFF"/>
        </w:rPr>
        <w:t>Reprod Sci. </w:t>
      </w:r>
      <w:r w:rsidRPr="00837F30">
        <w:rPr>
          <w:rStyle w:val="element-citation"/>
          <w:rFonts w:eastAsia="BatangChe" w:cs="Times New Roman"/>
          <w:color w:val="000000"/>
          <w:shd w:val="clear" w:color="auto" w:fill="FFFFFF"/>
        </w:rPr>
        <w:t>2014;</w:t>
      </w:r>
      <w:proofErr w:type="gramStart"/>
      <w:r w:rsidRPr="00837F30">
        <w:rPr>
          <w:rStyle w:val="ref-vol"/>
          <w:rFonts w:eastAsia="BatangChe" w:cs="Times New Roman"/>
          <w:color w:val="000000"/>
          <w:shd w:val="clear" w:color="auto" w:fill="FFFFFF"/>
        </w:rPr>
        <w:t>21</w:t>
      </w:r>
      <w:r w:rsidRPr="00837F30">
        <w:rPr>
          <w:rStyle w:val="element-citation"/>
          <w:rFonts w:eastAsia="BatangChe" w:cs="Times New Roman"/>
          <w:color w:val="000000"/>
          <w:shd w:val="clear" w:color="auto" w:fill="FFFFFF"/>
        </w:rPr>
        <w:t>:632</w:t>
      </w:r>
      <w:proofErr w:type="gramEnd"/>
      <w:r w:rsidRPr="00837F30">
        <w:rPr>
          <w:rStyle w:val="element-citation"/>
          <w:rFonts w:eastAsia="BatangChe" w:cs="Times New Roman"/>
          <w:color w:val="000000"/>
          <w:shd w:val="clear" w:color="auto" w:fill="FFFFFF"/>
        </w:rPr>
        <w:t xml:space="preserve">–9.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proofErr w:type="gramStart"/>
      <w:r w:rsidRPr="00837F30">
        <w:rPr>
          <w:rFonts w:eastAsia="BatangChe" w:cs="Times New Roman"/>
          <w:color w:val="000000"/>
          <w:shd w:val="clear" w:color="auto" w:fill="FFFFFF"/>
        </w:rPr>
        <w:t>32. </w:t>
      </w:r>
      <w:r w:rsidRPr="00837F30">
        <w:rPr>
          <w:rStyle w:val="element-citation"/>
          <w:rFonts w:eastAsia="BatangChe" w:cs="Times New Roman"/>
          <w:color w:val="000000"/>
          <w:shd w:val="clear" w:color="auto" w:fill="FFFFFF"/>
        </w:rPr>
        <w:t>Gizzo S, Andrisani A, Noventa M, Quaranta M, Esposito F, Armanini D, Gangemi M, Nardelli GB, Litta P, D’Antona D, Ambrosini G. Menstrual cycle length: a surrogate measure of reproductive health capable of improving the accuracy of biochemical/sonographical ovarian reserve test in estimating the reproductive chances of women referred to ART. </w:t>
      </w:r>
      <w:proofErr w:type="gramEnd"/>
      <w:r w:rsidRPr="00837F30">
        <w:rPr>
          <w:rStyle w:val="ref-journal"/>
          <w:rFonts w:eastAsia="BatangChe" w:cs="Times New Roman"/>
          <w:color w:val="000000"/>
          <w:shd w:val="clear" w:color="auto" w:fill="FFFFFF"/>
        </w:rPr>
        <w:t>Reprod Biol Endocrinol. </w:t>
      </w:r>
      <w:r w:rsidRPr="00837F30">
        <w:rPr>
          <w:rStyle w:val="element-citation"/>
          <w:rFonts w:eastAsia="BatangChe" w:cs="Times New Roman"/>
          <w:color w:val="000000"/>
          <w:shd w:val="clear" w:color="auto" w:fill="FFFFFF"/>
        </w:rPr>
        <w:t>2015;</w:t>
      </w:r>
      <w:proofErr w:type="gramStart"/>
      <w:r w:rsidRPr="00837F30">
        <w:rPr>
          <w:rStyle w:val="ref-vol"/>
          <w:rFonts w:eastAsia="BatangChe" w:cs="Times New Roman"/>
          <w:color w:val="000000"/>
          <w:shd w:val="clear" w:color="auto" w:fill="FFFFFF"/>
        </w:rPr>
        <w:t>13</w:t>
      </w:r>
      <w:r w:rsidRPr="00837F30">
        <w:rPr>
          <w:rStyle w:val="element-citation"/>
          <w:rFonts w:eastAsia="BatangChe" w:cs="Times New Roman"/>
          <w:color w:val="000000"/>
          <w:shd w:val="clear" w:color="auto" w:fill="FFFFFF"/>
        </w:rPr>
        <w:t>:28</w:t>
      </w:r>
      <w:proofErr w:type="gramEnd"/>
      <w:r w:rsidRPr="00837F30">
        <w:rPr>
          <w:rStyle w:val="element-citation"/>
          <w:rFonts w:eastAsia="BatangChe" w:cs="Times New Roman"/>
          <w:color w:val="000000"/>
          <w:shd w:val="clear" w:color="auto" w:fill="FFFFFF"/>
        </w:rPr>
        <w:t xml:space="preserve">. </w:t>
      </w:r>
    </w:p>
    <w:p w:rsidR="00774873" w:rsidRDefault="00837F30" w:rsidP="00837F30">
      <w:pPr>
        <w:shd w:val="clear" w:color="auto" w:fill="FFFFFF"/>
        <w:spacing w:after="166" w:line="240" w:lineRule="auto"/>
        <w:rPr>
          <w:rStyle w:val="element-citation"/>
          <w:rFonts w:eastAsia="BatangChe" w:cs="Times New Roman"/>
          <w:color w:val="000000"/>
          <w:shd w:val="clear" w:color="auto" w:fill="FFFFFF"/>
        </w:rPr>
      </w:pPr>
      <w:r w:rsidRPr="00837F30">
        <w:rPr>
          <w:rFonts w:eastAsia="BatangChe" w:cs="Times New Roman"/>
          <w:color w:val="000000"/>
          <w:shd w:val="clear" w:color="auto" w:fill="FFFFFF"/>
        </w:rPr>
        <w:t>33. </w:t>
      </w:r>
      <w:r w:rsidRPr="00837F30">
        <w:rPr>
          <w:rStyle w:val="element-citation"/>
          <w:rFonts w:eastAsia="BatangChe" w:cs="Times New Roman"/>
          <w:color w:val="000000"/>
          <w:shd w:val="clear" w:color="auto" w:fill="FFFFFF"/>
        </w:rPr>
        <w:t>Ye XP, Yang YZ, Sun XX. A retrospective analysis of the effect of salpingectomy on serum anti-Müllerian hormone level and ovarian reserve. </w:t>
      </w:r>
      <w:r w:rsidRPr="00837F30">
        <w:rPr>
          <w:rStyle w:val="ref-journal"/>
          <w:rFonts w:eastAsia="BatangChe" w:cs="Times New Roman"/>
          <w:color w:val="000000"/>
          <w:shd w:val="clear" w:color="auto" w:fill="FFFFFF"/>
        </w:rPr>
        <w:t>Am J Obstet Gynecol. </w:t>
      </w:r>
      <w:r w:rsidRPr="00837F30">
        <w:rPr>
          <w:rStyle w:val="element-citation"/>
          <w:rFonts w:eastAsia="BatangChe" w:cs="Times New Roman"/>
          <w:color w:val="000000"/>
          <w:shd w:val="clear" w:color="auto" w:fill="FFFFFF"/>
        </w:rPr>
        <w:t>2015;</w:t>
      </w:r>
      <w:proofErr w:type="gramStart"/>
      <w:r w:rsidRPr="00837F30">
        <w:rPr>
          <w:rStyle w:val="ref-vol"/>
          <w:rFonts w:eastAsia="BatangChe" w:cs="Times New Roman"/>
          <w:color w:val="000000"/>
          <w:shd w:val="clear" w:color="auto" w:fill="FFFFFF"/>
        </w:rPr>
        <w:t>212</w:t>
      </w:r>
      <w:r w:rsidRPr="00837F30">
        <w:rPr>
          <w:rStyle w:val="element-citation"/>
          <w:rFonts w:eastAsia="BatangChe" w:cs="Times New Roman"/>
          <w:color w:val="000000"/>
          <w:shd w:val="clear" w:color="auto" w:fill="FFFFFF"/>
        </w:rPr>
        <w:t>:53</w:t>
      </w:r>
      <w:proofErr w:type="gramEnd"/>
      <w:r w:rsidRPr="00837F30">
        <w:rPr>
          <w:rStyle w:val="element-citation"/>
          <w:rFonts w:eastAsia="BatangChe" w:cs="Times New Roman"/>
          <w:color w:val="000000"/>
          <w:shd w:val="clear" w:color="auto" w:fill="FFFFFF"/>
        </w:rPr>
        <w:t xml:space="preserve">.e1–10. </w:t>
      </w:r>
    </w:p>
    <w:p w:rsidR="00837F30" w:rsidRPr="00837F30" w:rsidRDefault="00837F30" w:rsidP="00837F30">
      <w:pPr>
        <w:shd w:val="clear" w:color="auto" w:fill="FFFFFF"/>
        <w:spacing w:after="166" w:line="240" w:lineRule="auto"/>
        <w:rPr>
          <w:rFonts w:eastAsia="BatangChe" w:cs="Times New Roman"/>
          <w:color w:val="000000"/>
          <w:lang w:eastAsia="tr-TR"/>
        </w:rPr>
      </w:pPr>
      <w:r w:rsidRPr="00837F30">
        <w:rPr>
          <w:rFonts w:eastAsia="BatangChe" w:cs="Times New Roman"/>
          <w:color w:val="000000"/>
          <w:shd w:val="clear" w:color="auto" w:fill="FFFFFF"/>
        </w:rPr>
        <w:t>34. </w:t>
      </w:r>
      <w:r w:rsidRPr="00837F30">
        <w:rPr>
          <w:rStyle w:val="element-citation"/>
          <w:rFonts w:eastAsia="BatangChe" w:cs="Times New Roman"/>
          <w:color w:val="000000"/>
          <w:shd w:val="clear" w:color="auto" w:fill="FFFFFF"/>
        </w:rPr>
        <w:t>Ni L, Sadiq S, Mao Y, Cui Y, Wang W, Liu J. Influence of various tubal surgeries to serum antimullerian hormone level and outcome of the subsequent IVF-ET treatment. </w:t>
      </w:r>
      <w:r w:rsidRPr="00837F30">
        <w:rPr>
          <w:rStyle w:val="ref-journal"/>
          <w:rFonts w:eastAsia="BatangChe" w:cs="Times New Roman"/>
          <w:color w:val="000000"/>
          <w:shd w:val="clear" w:color="auto" w:fill="FFFFFF"/>
        </w:rPr>
        <w:t>Gynecol Endocrinol. </w:t>
      </w:r>
      <w:r w:rsidRPr="00837F30">
        <w:rPr>
          <w:rStyle w:val="element-citation"/>
          <w:rFonts w:eastAsia="BatangChe" w:cs="Times New Roman"/>
          <w:color w:val="000000"/>
          <w:shd w:val="clear" w:color="auto" w:fill="FFFFFF"/>
        </w:rPr>
        <w:t>2013;</w:t>
      </w:r>
      <w:proofErr w:type="gramStart"/>
      <w:r w:rsidRPr="00837F30">
        <w:rPr>
          <w:rStyle w:val="ref-vol"/>
          <w:rFonts w:eastAsia="BatangChe" w:cs="Times New Roman"/>
          <w:color w:val="000000"/>
          <w:shd w:val="clear" w:color="auto" w:fill="FFFFFF"/>
        </w:rPr>
        <w:t>29</w:t>
      </w:r>
      <w:r w:rsidRPr="00837F30">
        <w:rPr>
          <w:rStyle w:val="element-citation"/>
          <w:rFonts w:eastAsia="BatangChe" w:cs="Times New Roman"/>
          <w:color w:val="000000"/>
          <w:shd w:val="clear" w:color="auto" w:fill="FFFFFF"/>
        </w:rPr>
        <w:t>:345</w:t>
      </w:r>
      <w:proofErr w:type="gramEnd"/>
      <w:r w:rsidRPr="00837F30">
        <w:rPr>
          <w:rStyle w:val="element-citation"/>
          <w:rFonts w:eastAsia="BatangChe" w:cs="Times New Roman"/>
          <w:color w:val="000000"/>
          <w:shd w:val="clear" w:color="auto" w:fill="FFFFFF"/>
        </w:rPr>
        <w:t xml:space="preserve">–9. </w:t>
      </w:r>
    </w:p>
    <w:p w:rsidR="00837F30" w:rsidRPr="00837F30" w:rsidRDefault="00837F30" w:rsidP="00837F30">
      <w:pPr>
        <w:shd w:val="clear" w:color="auto" w:fill="FFFFFF"/>
        <w:spacing w:after="166" w:line="240" w:lineRule="auto"/>
        <w:rPr>
          <w:rFonts w:eastAsia="BatangChe" w:cs="Times New Roman"/>
          <w:color w:val="000000"/>
          <w:lang w:eastAsia="tr-TR"/>
        </w:rPr>
      </w:pPr>
    </w:p>
    <w:p w:rsidR="00837F30" w:rsidRPr="00837F30" w:rsidRDefault="00837F30" w:rsidP="00837F30">
      <w:pPr>
        <w:rPr>
          <w:rFonts w:eastAsia="BatangChe" w:cs="Times New Roman"/>
        </w:rPr>
      </w:pPr>
    </w:p>
    <w:p w:rsidR="005D0C83" w:rsidRPr="00837F30" w:rsidRDefault="005D0C83">
      <w:pPr>
        <w:rPr>
          <w:rFonts w:eastAsia="BatangChe" w:cs="Times New Roman"/>
        </w:rPr>
      </w:pPr>
    </w:p>
    <w:sectPr w:rsidR="005D0C83" w:rsidRPr="00837F30" w:rsidSect="00837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837F30"/>
    <w:rsid w:val="004029FA"/>
    <w:rsid w:val="005D0C83"/>
    <w:rsid w:val="00774873"/>
    <w:rsid w:val="00837F30"/>
    <w:rsid w:val="00CF24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837F30"/>
  </w:style>
  <w:style w:type="character" w:customStyle="1" w:styleId="element-citation">
    <w:name w:val="element-citation"/>
    <w:basedOn w:val="VarsaylanParagrafYazTipi"/>
    <w:rsid w:val="00837F30"/>
  </w:style>
  <w:style w:type="character" w:customStyle="1" w:styleId="ref-journal">
    <w:name w:val="ref-journal"/>
    <w:basedOn w:val="VarsaylanParagrafYazTipi"/>
    <w:rsid w:val="00837F30"/>
  </w:style>
  <w:style w:type="character" w:customStyle="1" w:styleId="ref-vol">
    <w:name w:val="ref-vol"/>
    <w:basedOn w:val="VarsaylanParagrafYazTipi"/>
    <w:rsid w:val="00837F30"/>
  </w:style>
  <w:style w:type="character" w:customStyle="1" w:styleId="nowrap">
    <w:name w:val="nowrap"/>
    <w:basedOn w:val="VarsaylanParagrafYazTipi"/>
    <w:rsid w:val="00837F30"/>
  </w:style>
  <w:style w:type="character" w:styleId="Kpr">
    <w:name w:val="Hyperlink"/>
    <w:basedOn w:val="VarsaylanParagrafYazTipi"/>
    <w:uiPriority w:val="99"/>
    <w:semiHidden/>
    <w:unhideWhenUsed/>
    <w:rsid w:val="00837F30"/>
    <w:rPr>
      <w:color w:val="0000FF"/>
      <w:u w:val="single"/>
    </w:rPr>
  </w:style>
  <w:style w:type="table" w:styleId="TabloKlavuzu">
    <w:name w:val="Table Grid"/>
    <w:basedOn w:val="NormalTablo"/>
    <w:uiPriority w:val="59"/>
    <w:rsid w:val="00837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VarsaylanParagrafYazTipi"/>
    <w:rsid w:val="00837F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C3%B6nmezer%20M%5BAuthor%5D&amp;cauthor=true&amp;cauthor_uid=26399775" TargetMode="External"/><Relationship Id="rId3" Type="http://schemas.openxmlformats.org/officeDocument/2006/relationships/webSettings" Target="webSettings.xml"/><Relationship Id="rId7" Type="http://schemas.openxmlformats.org/officeDocument/2006/relationships/hyperlink" Target="https://www.ncbi.nlm.nih.gov/pubmed/?term=Atabeko%C4%9Flu%20CS%5BAuthor%5D&amp;cauthor=true&amp;cauthor_uid=263997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term=Ayta%C3%A7%20R%5BAuthor%5D&amp;cauthor=true&amp;cauthor_uid=26399775" TargetMode="External"/><Relationship Id="rId11" Type="http://schemas.openxmlformats.org/officeDocument/2006/relationships/fontTable" Target="fontTable.xml"/><Relationship Id="rId5" Type="http://schemas.openxmlformats.org/officeDocument/2006/relationships/hyperlink" Target="https://www.ncbi.nlm.nih.gov/pubmed/?term=%C5%9E%C3%BCk%C3%BCr%20YE%5BAuthor%5D&amp;cauthor=true&amp;cauthor_uid=26399775" TargetMode="External"/><Relationship Id="rId10" Type="http://schemas.openxmlformats.org/officeDocument/2006/relationships/hyperlink" Target="https://www.ncbi.nlm.nih.gov/pubmed/26399775" TargetMode="External"/><Relationship Id="rId4" Type="http://schemas.openxmlformats.org/officeDocument/2006/relationships/hyperlink" Target="https://www.ncbi.nlm.nih.gov/pubmed/?term=Berker%20B%5BAuthor%5D&amp;cauthor=true&amp;cauthor_uid=26399775" TargetMode="External"/><Relationship Id="rId9" Type="http://schemas.openxmlformats.org/officeDocument/2006/relationships/hyperlink" Target="https://www.ncbi.nlm.nih.gov/pubmed/?term=%C3%96zmen%20B%5BAuthor%5D&amp;cauthor=true&amp;cauthor_uid=26399775" TargetMode="External"/></Relationships>
</file>

<file path=word/theme/theme1.xml><?xml version="1.0" encoding="utf-8"?>
<a:theme xmlns:a="http://schemas.openxmlformats.org/drawingml/2006/main" name="Ofis Teması">
  <a:themeElements>
    <a:clrScheme name="Canl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4081</Words>
  <Characters>23267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KADIN DOĞUM SERVİSİ</dc:creator>
  <cp:lastModifiedBy>KADIN DOĞUM SERVİSİ</cp:lastModifiedBy>
  <cp:revision>1</cp:revision>
  <dcterms:created xsi:type="dcterms:W3CDTF">2018-04-18T16:28:00Z</dcterms:created>
  <dcterms:modified xsi:type="dcterms:W3CDTF">2018-04-18T16:45:00Z</dcterms:modified>
</cp:coreProperties>
</file>