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70" w:type="dxa"/>
          <w:right w:w="70" w:type="dxa"/>
        </w:tblCellMar>
        <w:tblLook w:val="0000" w:firstRow="0" w:lastRow="0" w:firstColumn="0" w:lastColumn="0" w:noHBand="0" w:noVBand="0"/>
      </w:tblPr>
      <w:tblGrid>
        <w:gridCol w:w="4747"/>
        <w:gridCol w:w="4463"/>
      </w:tblGrid>
      <w:tr w:rsidR="00A63AF9" w:rsidRPr="001667A8" w14:paraId="434901E8" w14:textId="77777777" w:rsidTr="00BA3567">
        <w:trPr>
          <w:cantSplit/>
          <w:trHeight w:val="570"/>
          <w:jc w:val="center"/>
        </w:trPr>
        <w:tc>
          <w:tcPr>
            <w:tcW w:w="2577" w:type="pct"/>
            <w:tcBorders>
              <w:right w:val="single" w:sz="4" w:space="0" w:color="auto"/>
            </w:tcBorders>
            <w:shd w:val="clear" w:color="auto" w:fill="auto"/>
            <w:vAlign w:val="center"/>
          </w:tcPr>
          <w:p w14:paraId="2AE2EEFC" w14:textId="77777777" w:rsidR="00A63AF9"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2</w:t>
            </w:r>
            <w:r w:rsidRPr="00252DEF">
              <w:rPr>
                <w:rFonts w:ascii="Book Antiqua" w:hAnsi="Book Antiqua"/>
                <w:bCs/>
                <w:i/>
                <w:iCs/>
                <w:sz w:val="18"/>
                <w:szCs w:val="18"/>
                <w:vertAlign w:val="superscript"/>
                <w:lang w:val="en-GB"/>
              </w:rPr>
              <w:t>nd</w:t>
            </w:r>
            <w:r>
              <w:rPr>
                <w:rFonts w:ascii="Book Antiqua" w:hAnsi="Book Antiqua"/>
                <w:bCs/>
                <w:i/>
                <w:iCs/>
                <w:sz w:val="18"/>
                <w:szCs w:val="18"/>
                <w:lang w:val="en-GB"/>
              </w:rPr>
              <w:t xml:space="preserve"> International Vocational Science Symposium</w:t>
            </w:r>
            <w:proofErr w:type="gramStart"/>
            <w:r w:rsidR="00A63AF9" w:rsidRPr="008A3FAB">
              <w:rPr>
                <w:rFonts w:ascii="Book Antiqua" w:hAnsi="Book Antiqua"/>
                <w:bCs/>
                <w:i/>
                <w:iCs/>
                <w:sz w:val="18"/>
                <w:szCs w:val="18"/>
                <w:lang w:val="en-GB"/>
              </w:rPr>
              <w:t>.,</w:t>
            </w:r>
            <w:proofErr w:type="gramEnd"/>
            <w:r w:rsidR="00A63AF9" w:rsidRPr="008A3FAB">
              <w:rPr>
                <w:rFonts w:ascii="Book Antiqua" w:hAnsi="Book Antiqua"/>
                <w:bCs/>
                <w:i/>
                <w:iCs/>
                <w:sz w:val="18"/>
                <w:szCs w:val="18"/>
                <w:lang w:val="en-GB"/>
              </w:rPr>
              <w:t xml:space="preserve"> </w:t>
            </w:r>
            <w:r>
              <w:rPr>
                <w:rFonts w:ascii="Book Antiqua" w:hAnsi="Book Antiqua"/>
                <w:bCs/>
                <w:i/>
                <w:iCs/>
                <w:sz w:val="18"/>
                <w:szCs w:val="18"/>
                <w:lang w:val="en-GB"/>
              </w:rPr>
              <w:t>IVSS 2018</w:t>
            </w:r>
          </w:p>
          <w:p w14:paraId="5EF6FF4E" w14:textId="77777777" w:rsidR="00252DEF" w:rsidRPr="00E32553"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 xml:space="preserve">2. </w:t>
            </w:r>
            <w:r w:rsidRPr="00555316">
              <w:rPr>
                <w:rFonts w:ascii="Book Antiqua" w:hAnsi="Book Antiqua"/>
                <w:bCs/>
                <w:i/>
                <w:iCs/>
                <w:sz w:val="18"/>
                <w:szCs w:val="18"/>
                <w:lang w:val="tr-TR"/>
              </w:rPr>
              <w:t>Uluslararası Mesleki Bilimler Sempozyumu</w:t>
            </w:r>
            <w:r>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14:paraId="44AD314C" w14:textId="77777777" w:rsidR="00A63AF9" w:rsidRPr="00E32553" w:rsidRDefault="00BA3567" w:rsidP="00CD71F6">
            <w:pPr>
              <w:keepNext/>
              <w:jc w:val="center"/>
              <w:outlineLvl w:val="0"/>
              <w:rPr>
                <w:rFonts w:ascii="Book Antiqua" w:hAnsi="Book Antiqua"/>
                <w:bCs/>
                <w:iCs/>
                <w:lang w:val="en-GB"/>
              </w:rPr>
            </w:pPr>
            <w:r w:rsidRPr="00BA3567">
              <w:rPr>
                <w:rFonts w:ascii="Book Antiqua" w:hAnsi="Book Antiqua"/>
                <w:bCs/>
                <w:iCs/>
                <w:noProof/>
                <w:lang w:val="en-US"/>
              </w:rPr>
              <w:drawing>
                <wp:inline distT="0" distB="0" distL="0" distR="0" wp14:anchorId="627594D2" wp14:editId="53DB2989">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1667A8" w14:paraId="4E6A3385" w14:textId="77777777" w:rsidTr="00BA3567">
        <w:trPr>
          <w:cantSplit/>
          <w:trHeight w:val="541"/>
          <w:jc w:val="center"/>
        </w:trPr>
        <w:tc>
          <w:tcPr>
            <w:tcW w:w="2577" w:type="pct"/>
            <w:tcBorders>
              <w:right w:val="single" w:sz="4" w:space="0" w:color="auto"/>
            </w:tcBorders>
            <w:shd w:val="clear" w:color="auto" w:fill="auto"/>
            <w:vAlign w:val="center"/>
          </w:tcPr>
          <w:p w14:paraId="62DAFE31" w14:textId="77777777" w:rsidR="00A63AF9" w:rsidRPr="001667A8" w:rsidRDefault="00A63AF9" w:rsidP="00252DEF">
            <w:pPr>
              <w:spacing w:before="120" w:after="120"/>
              <w:jc w:val="center"/>
              <w:rPr>
                <w:rFonts w:ascii="Book Antiqua" w:hAnsi="Book Antiqua"/>
                <w:bCs/>
                <w:lang w:val="en-US"/>
              </w:rPr>
            </w:pPr>
            <w:r w:rsidRPr="001667A8">
              <w:rPr>
                <w:rFonts w:ascii="Book Antiqua" w:hAnsi="Book Antiqua"/>
                <w:sz w:val="20"/>
                <w:lang w:val="en-US"/>
              </w:rPr>
              <w:t>http://www.</w:t>
            </w:r>
            <w:r w:rsidR="00BA3567">
              <w:rPr>
                <w:rFonts w:ascii="Book Antiqua" w:hAnsi="Book Antiqua"/>
                <w:sz w:val="20"/>
                <w:lang w:val="en-US"/>
              </w:rPr>
              <w:t>meslekisempozyum.com</w:t>
            </w:r>
          </w:p>
        </w:tc>
        <w:tc>
          <w:tcPr>
            <w:tcW w:w="2423" w:type="pct"/>
            <w:tcBorders>
              <w:left w:val="single" w:sz="4" w:space="0" w:color="auto"/>
            </w:tcBorders>
            <w:shd w:val="clear" w:color="auto" w:fill="auto"/>
            <w:vAlign w:val="center"/>
          </w:tcPr>
          <w:p w14:paraId="065680A3" w14:textId="77777777" w:rsidR="00A63AF9" w:rsidRPr="00BA3567" w:rsidRDefault="00252DEF" w:rsidP="00CD71F6">
            <w:pPr>
              <w:ind w:left="72" w:right="-2"/>
              <w:jc w:val="center"/>
              <w:rPr>
                <w:rFonts w:ascii="Book Antiqua" w:hAnsi="Book Antiqua"/>
                <w:b/>
                <w:bCs/>
                <w:iCs/>
                <w:sz w:val="18"/>
                <w:lang w:val="en-GB"/>
              </w:rPr>
            </w:pPr>
            <w:r w:rsidRPr="00BA3567">
              <w:rPr>
                <w:rFonts w:ascii="Book Antiqua" w:hAnsi="Book Antiqua"/>
                <w:b/>
                <w:bCs/>
                <w:iCs/>
                <w:sz w:val="18"/>
                <w:lang w:val="en-GB"/>
              </w:rPr>
              <w:t>IVSS 2018</w:t>
            </w:r>
          </w:p>
          <w:p w14:paraId="3F9190BB" w14:textId="77777777" w:rsidR="00A63AF9" w:rsidRPr="00E32553" w:rsidRDefault="0042307A" w:rsidP="00252DEF">
            <w:pPr>
              <w:ind w:left="72" w:right="-2"/>
              <w:rPr>
                <w:rFonts w:ascii="Book Antiqua" w:hAnsi="Book Antiqua"/>
                <w:bCs/>
                <w:iCs/>
                <w:sz w:val="18"/>
                <w:lang w:val="en-GB"/>
              </w:rPr>
            </w:pPr>
            <w:hyperlink r:id="rId9" w:history="1">
              <w:r w:rsidR="00A63AF9" w:rsidRPr="00E32553">
                <w:rPr>
                  <w:rFonts w:ascii="Book Antiqua" w:hAnsi="Book Antiqua"/>
                  <w:bCs/>
                  <w:sz w:val="18"/>
                  <w:lang w:val="en-GB"/>
                </w:rPr>
                <w:t>©</w:t>
              </w:r>
            </w:hyperlink>
            <w:r w:rsidR="00A63AF9" w:rsidRPr="00E32553">
              <w:rPr>
                <w:rFonts w:ascii="Book Antiqua" w:hAnsi="Book Antiqua"/>
                <w:bCs/>
                <w:sz w:val="18"/>
                <w:lang w:val="en-GB"/>
              </w:rPr>
              <w:t xml:space="preserve"> </w:t>
            </w:r>
            <w:r w:rsidR="00252DEF" w:rsidRPr="00555316">
              <w:rPr>
                <w:rFonts w:ascii="Book Antiqua" w:hAnsi="Book Antiqua"/>
                <w:bCs/>
                <w:sz w:val="16"/>
                <w:szCs w:val="16"/>
                <w:lang w:val="tr-TR"/>
              </w:rPr>
              <w:t>Mesleki Bilimler Dergisi (MBD) &amp; Ankara Üniversitesi</w:t>
            </w:r>
          </w:p>
        </w:tc>
      </w:tr>
    </w:tbl>
    <w:bookmarkStart w:id="0" w:name="OLE_LINK13"/>
    <w:bookmarkStart w:id="1" w:name="OLE_LINK14"/>
    <w:p w14:paraId="5B474A22" w14:textId="77777777" w:rsidR="00A63AF9" w:rsidRPr="00E32553" w:rsidRDefault="00A63AF9" w:rsidP="00A63AF9">
      <w:pPr>
        <w:pStyle w:val="01received"/>
        <w:rPr>
          <w:rFonts w:ascii="Book Antiqua" w:hAnsi="Book Antiqua"/>
        </w:rPr>
      </w:pPr>
      <w:r w:rsidRPr="00E32553">
        <w:rPr>
          <w:rFonts w:ascii="Book Antiqua" w:hAnsi="Book Antiqua"/>
          <w:noProof/>
          <w:lang w:val="en-US" w:eastAsia="en-US"/>
        </w:rPr>
        <mc:AlternateContent>
          <mc:Choice Requires="wps">
            <w:drawing>
              <wp:anchor distT="4294967295" distB="4294967295" distL="114300" distR="114300" simplePos="0" relativeHeight="251659264" behindDoc="0" locked="0" layoutInCell="1" allowOverlap="1" wp14:anchorId="19D5402B" wp14:editId="250B6B78">
                <wp:simplePos x="0" y="0"/>
                <wp:positionH relativeFrom="column">
                  <wp:posOffset>-47738</wp:posOffset>
                </wp:positionH>
                <wp:positionV relativeFrom="paragraph">
                  <wp:posOffset>41150</wp:posOffset>
                </wp:positionV>
                <wp:extent cx="6092260" cy="0"/>
                <wp:effectExtent l="0" t="0" r="22860" b="19050"/>
                <wp:wrapNone/>
                <wp:docPr id="9"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0F4FC63" id="Line 12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mc:Fallback>
        </mc:AlternateContent>
      </w:r>
      <w:bookmarkStart w:id="2" w:name="_Hlk253260624"/>
      <w:bookmarkEnd w:id="0"/>
      <w:bookmarkEnd w:id="1"/>
      <w:r w:rsidRPr="00E32553">
        <w:rPr>
          <w:rFonts w:ascii="Book Antiqua" w:hAnsi="Book Antiqua"/>
        </w:rPr>
        <w:t xml:space="preserve">Received </w:t>
      </w:r>
      <w:bookmarkEnd w:id="2"/>
      <w:r w:rsidR="00E414D5">
        <w:rPr>
          <w:rFonts w:ascii="Book Antiqua" w:hAnsi="Book Antiqua"/>
        </w:rPr>
        <w:t>date</w:t>
      </w:r>
      <w:r w:rsidRPr="00E32553">
        <w:rPr>
          <w:rFonts w:ascii="Book Antiqua" w:hAnsi="Book Antiqua"/>
        </w:rPr>
        <w:t xml:space="preserve">; reviewed; accepted </w:t>
      </w:r>
      <w:r w:rsidR="00E414D5">
        <w:rPr>
          <w:rFonts w:ascii="Book Antiqua" w:hAnsi="Book Antiqua"/>
        </w:rPr>
        <w:t>date</w:t>
      </w:r>
    </w:p>
    <w:p w14:paraId="58F3EBDE" w14:textId="100A732C" w:rsidR="00FD1B99" w:rsidRPr="0042307A" w:rsidRDefault="0042307A"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8"/>
          <w:szCs w:val="28"/>
        </w:rPr>
      </w:pPr>
      <w:r w:rsidRPr="0042307A">
        <w:rPr>
          <w:rFonts w:ascii="Book Antiqua" w:hAnsi="Book Antiqua" w:cs="Times New Roman"/>
          <w:b/>
          <w:color w:val="000000"/>
          <w:sz w:val="28"/>
          <w:szCs w:val="28"/>
        </w:rPr>
        <w:t>Feminist Ele</w:t>
      </w:r>
      <w:r w:rsidRPr="0042307A">
        <w:rPr>
          <w:rFonts w:ascii="Times New Roman" w:hAnsi="Times New Roman" w:cs="Times New Roman"/>
          <w:b/>
          <w:color w:val="000000"/>
          <w:sz w:val="28"/>
          <w:szCs w:val="28"/>
        </w:rPr>
        <w:t>ştiri ve Nina Baym’ ın</w:t>
      </w:r>
      <w:r>
        <w:rPr>
          <w:rFonts w:ascii="Times New Roman" w:hAnsi="Times New Roman" w:cs="Times New Roman"/>
          <w:b/>
          <w:i/>
          <w:color w:val="000000"/>
          <w:sz w:val="28"/>
          <w:szCs w:val="28"/>
        </w:rPr>
        <w:t xml:space="preserve"> Delikadın ve Dilleri </w:t>
      </w:r>
      <w:r w:rsidRPr="0042307A">
        <w:rPr>
          <w:rFonts w:ascii="Times New Roman" w:hAnsi="Times New Roman" w:cs="Times New Roman"/>
          <w:b/>
          <w:color w:val="000000"/>
          <w:sz w:val="28"/>
          <w:szCs w:val="28"/>
        </w:rPr>
        <w:t xml:space="preserve">adlı eserinin </w:t>
      </w:r>
      <w:r>
        <w:rPr>
          <w:rFonts w:ascii="Times New Roman" w:hAnsi="Times New Roman" w:cs="Times New Roman"/>
          <w:b/>
          <w:color w:val="000000"/>
          <w:sz w:val="28"/>
          <w:szCs w:val="28"/>
        </w:rPr>
        <w:t>İncelenmesi</w:t>
      </w:r>
    </w:p>
    <w:p w14:paraId="20AC849C" w14:textId="77777777" w:rsidR="00387923" w:rsidRPr="00555316" w:rsidRDefault="00252DEF" w:rsidP="00387923">
      <w:pPr>
        <w:pStyle w:val="Authors"/>
        <w:spacing w:after="120"/>
        <w:jc w:val="both"/>
        <w:rPr>
          <w:rFonts w:ascii="Book Antiqua" w:hAnsi="Book Antiqua"/>
          <w:szCs w:val="22"/>
          <w:lang w:val="tr-TR"/>
        </w:rPr>
      </w:pPr>
      <w:r w:rsidRPr="00555316">
        <w:rPr>
          <w:rFonts w:ascii="Book Antiqua" w:hAnsi="Book Antiqua"/>
          <w:szCs w:val="22"/>
          <w:lang w:val="tr-TR"/>
        </w:rPr>
        <w:t xml:space="preserve">Yazar </w:t>
      </w:r>
      <w:r w:rsidR="00FD1B99">
        <w:rPr>
          <w:rFonts w:ascii="Book Antiqua" w:hAnsi="Book Antiqua"/>
          <w:szCs w:val="22"/>
          <w:lang w:val="tr-TR"/>
        </w:rPr>
        <w:t>Fikret G</w:t>
      </w:r>
      <w:r w:rsidR="00FD1B99">
        <w:rPr>
          <w:szCs w:val="22"/>
          <w:lang w:val="tr-TR"/>
        </w:rPr>
        <w:t>üven</w:t>
      </w:r>
      <w:r w:rsidR="00387923" w:rsidRPr="00555316">
        <w:rPr>
          <w:rFonts w:ascii="Book Antiqua" w:hAnsi="Book Antiqua"/>
          <w:szCs w:val="22"/>
          <w:lang w:val="tr-TR"/>
        </w:rPr>
        <w:t xml:space="preserve"> , </w:t>
      </w:r>
    </w:p>
    <w:p w14:paraId="156809CD" w14:textId="77777777" w:rsidR="00A63AF9" w:rsidRPr="00FD1B99" w:rsidRDefault="00A63AF9" w:rsidP="00A63AF9">
      <w:pPr>
        <w:pStyle w:val="04afiliacja"/>
        <w:spacing w:after="0" w:line="260" w:lineRule="atLeast"/>
        <w:rPr>
          <w:rFonts w:cs="Times New Roman"/>
          <w:lang w:val="tr-TR"/>
        </w:rPr>
      </w:pPr>
      <w:r w:rsidRPr="00555316">
        <w:rPr>
          <w:rFonts w:ascii="Book Antiqua" w:hAnsi="Book Antiqua"/>
          <w:vertAlign w:val="superscript"/>
          <w:lang w:val="tr-TR"/>
        </w:rPr>
        <w:t>1</w:t>
      </w:r>
      <w:r w:rsidRPr="00555316">
        <w:rPr>
          <w:rFonts w:ascii="Book Antiqua" w:hAnsi="Book Antiqua"/>
          <w:lang w:val="tr-TR"/>
        </w:rPr>
        <w:t xml:space="preserve"> </w:t>
      </w:r>
      <w:r w:rsidR="00FD1B99">
        <w:rPr>
          <w:rFonts w:ascii="Book Antiqua" w:hAnsi="Book Antiqua"/>
          <w:lang w:val="tr-TR"/>
        </w:rPr>
        <w:t xml:space="preserve">Erciyes Üniversitesi, </w:t>
      </w:r>
      <w:r w:rsidR="00FD1B99">
        <w:rPr>
          <w:rFonts w:cs="Times New Roman"/>
          <w:lang w:val="tr-TR"/>
        </w:rPr>
        <w:t>İngiliz Dili ve Edebiyatı Doktora Öğrencisi</w:t>
      </w:r>
    </w:p>
    <w:p w14:paraId="534CA8A1" w14:textId="77777777" w:rsidR="00387923" w:rsidRDefault="00252DEF" w:rsidP="00387923">
      <w:pPr>
        <w:pStyle w:val="04afiliacja"/>
        <w:spacing w:before="120" w:after="120" w:line="260" w:lineRule="atLeast"/>
        <w:contextualSpacing w:val="0"/>
        <w:rPr>
          <w:rFonts w:ascii="Book Antiqua" w:hAnsi="Book Antiqua"/>
          <w:color w:val="000000" w:themeColor="text1"/>
          <w:lang w:val="tr-TR"/>
        </w:rPr>
      </w:pPr>
      <w:r w:rsidRPr="00555316">
        <w:rPr>
          <w:rFonts w:ascii="Book Antiqua" w:hAnsi="Book Antiqua"/>
          <w:color w:val="000000" w:themeColor="text1"/>
          <w:lang w:val="tr-TR"/>
        </w:rPr>
        <w:t>Sorumlu Yazar</w:t>
      </w:r>
      <w:r w:rsidR="00FD1B99">
        <w:rPr>
          <w:rFonts w:ascii="Book Antiqua" w:hAnsi="Book Antiqua"/>
          <w:color w:val="000000" w:themeColor="text1"/>
          <w:lang w:val="tr-TR"/>
        </w:rPr>
        <w:t xml:space="preserve">: </w:t>
      </w:r>
      <w:hyperlink r:id="rId10" w:history="1">
        <w:r w:rsidR="00FD1B99" w:rsidRPr="00955280">
          <w:rPr>
            <w:rStyle w:val="Hyperlink"/>
            <w:rFonts w:ascii="Book Antiqua" w:hAnsi="Book Antiqua"/>
            <w:lang w:val="tr-TR"/>
          </w:rPr>
          <w:t>fikretguven@gmail.com</w:t>
        </w:r>
      </w:hyperlink>
      <w:r w:rsidR="00FD1B99">
        <w:rPr>
          <w:rFonts w:ascii="Book Antiqua" w:hAnsi="Book Antiqua"/>
          <w:color w:val="000000" w:themeColor="text1"/>
          <w:lang w:val="tr-TR"/>
        </w:rPr>
        <w:t xml:space="preserve"> (Fikret Güven</w:t>
      </w:r>
      <w:r w:rsidR="00A63AF9" w:rsidRPr="00555316">
        <w:rPr>
          <w:rFonts w:ascii="Book Antiqua" w:hAnsi="Book Antiqua"/>
          <w:color w:val="000000" w:themeColor="text1"/>
          <w:lang w:val="tr-TR"/>
        </w:rPr>
        <w:t>)</w:t>
      </w:r>
    </w:p>
    <w:p w14:paraId="3EEE1A4E" w14:textId="77777777" w:rsidR="00FD1B99" w:rsidRPr="00555316" w:rsidRDefault="00FD1B99" w:rsidP="00387923">
      <w:pPr>
        <w:pStyle w:val="04afiliacja"/>
        <w:spacing w:before="120" w:after="120" w:line="260" w:lineRule="atLeast"/>
        <w:contextualSpacing w:val="0"/>
        <w:rPr>
          <w:rFonts w:ascii="Book Antiqua" w:hAnsi="Book Antiqua"/>
          <w:color w:val="000000" w:themeColor="text1"/>
          <w:lang w:val="tr-TR"/>
        </w:rPr>
      </w:pPr>
    </w:p>
    <w:p w14:paraId="4F73F8CD" w14:textId="77777777" w:rsidR="00FD1B99" w:rsidRPr="00897A01" w:rsidRDefault="00252DEF" w:rsidP="00FD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Times New Roman"/>
          <w:color w:val="212121"/>
          <w:sz w:val="20"/>
          <w:szCs w:val="20"/>
          <w:lang w:val="tr-TR"/>
        </w:rPr>
      </w:pPr>
      <w:r w:rsidRPr="00555316">
        <w:rPr>
          <w:rFonts w:ascii="Book Antiqua" w:hAnsi="Book Antiqua"/>
          <w:b/>
          <w:sz w:val="20"/>
          <w:szCs w:val="20"/>
          <w:lang w:val="tr-TR"/>
        </w:rPr>
        <w:t>Özet</w:t>
      </w:r>
      <w:r w:rsidR="00387923" w:rsidRPr="00555316">
        <w:rPr>
          <w:rFonts w:ascii="Book Antiqua" w:hAnsi="Book Antiqua"/>
          <w:b/>
          <w:sz w:val="20"/>
          <w:szCs w:val="20"/>
          <w:lang w:val="tr-TR"/>
        </w:rPr>
        <w:t xml:space="preserve">: </w:t>
      </w:r>
      <w:r w:rsidR="00FD1B99" w:rsidRPr="00897A01">
        <w:rPr>
          <w:rFonts w:ascii="Book Antiqua" w:hAnsi="Book Antiqua" w:cs="Times New Roman"/>
          <w:color w:val="212121"/>
          <w:sz w:val="20"/>
          <w:szCs w:val="20"/>
          <w:lang w:val="tr-TR"/>
        </w:rPr>
        <w:t>Feminist ele</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tirinin amacı, kadınlara ili</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kin ataerkil varsayımlara itiraz etmek ve neyin feminen oldu</w:t>
      </w:r>
      <w:r w:rsidR="00FD1B99" w:rsidRPr="00897A01">
        <w:rPr>
          <w:rFonts w:ascii="Times New Roman" w:hAnsi="Times New Roman" w:cs="Times New Roman"/>
          <w:color w:val="212121"/>
          <w:sz w:val="20"/>
          <w:szCs w:val="20"/>
          <w:lang w:val="tr-TR"/>
        </w:rPr>
        <w:t>ğ</w:t>
      </w:r>
      <w:r w:rsidR="00FD1B99" w:rsidRPr="00897A01">
        <w:rPr>
          <w:rFonts w:ascii="Book Antiqua" w:hAnsi="Book Antiqua" w:cs="Times New Roman"/>
          <w:color w:val="212121"/>
          <w:sz w:val="20"/>
          <w:szCs w:val="20"/>
          <w:lang w:val="tr-TR"/>
        </w:rPr>
        <w:t>una erkekler tarafından karar verilmesine kar</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ı çıkmaktır. Ba</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langıç olarak, feminist edebi ele</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tiriler, kadının sosyal, ekonomik, politik ve psikolojik durumunu edebi metinler ve edebi kanon içinde tanımlayıp analiz etmeye çalı</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ır. Eril söylemin yorumlanmasına ek olarak, feminist ele</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tiri, erkek egemen doktrinlerde varolan dogmalara kar</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ı direnmeyi ve meydan okumayı amaçlar. Feminist ele</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tirinin, kadınlara yönelik ilgi anlamında edebiyat ve kültüre yönelik tutumları da içeren geni</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 xml:space="preserve"> bir anlam yelpazesine sahip oldu</w:t>
      </w:r>
      <w:r w:rsidR="00FD1B99" w:rsidRPr="00897A01">
        <w:rPr>
          <w:rFonts w:ascii="Times New Roman" w:hAnsi="Times New Roman" w:cs="Times New Roman"/>
          <w:color w:val="212121"/>
          <w:sz w:val="20"/>
          <w:szCs w:val="20"/>
          <w:lang w:val="tr-TR"/>
        </w:rPr>
        <w:t>ğ</w:t>
      </w:r>
      <w:r w:rsidR="00FD1B99" w:rsidRPr="00897A01">
        <w:rPr>
          <w:rFonts w:ascii="Book Antiqua" w:hAnsi="Book Antiqua" w:cs="Times New Roman"/>
          <w:color w:val="212121"/>
          <w:sz w:val="20"/>
          <w:szCs w:val="20"/>
          <w:lang w:val="tr-TR"/>
        </w:rPr>
        <w:t>u söylenebilir. Ayrıca,  feminist ele</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tiri, cinsiyetler arasında e</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itlik arayı</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ı ve kadınlı</w:t>
      </w:r>
      <w:r w:rsidR="00FD1B99" w:rsidRPr="00897A01">
        <w:rPr>
          <w:rFonts w:ascii="Times New Roman" w:hAnsi="Times New Roman" w:cs="Times New Roman"/>
          <w:color w:val="212121"/>
          <w:sz w:val="20"/>
          <w:szCs w:val="20"/>
          <w:lang w:val="tr-TR"/>
        </w:rPr>
        <w:t>ğ</w:t>
      </w:r>
      <w:r w:rsidR="00FD1B99" w:rsidRPr="00897A01">
        <w:rPr>
          <w:rFonts w:ascii="Book Antiqua" w:hAnsi="Book Antiqua" w:cs="Times New Roman"/>
          <w:color w:val="212121"/>
          <w:sz w:val="20"/>
          <w:szCs w:val="20"/>
          <w:lang w:val="tr-TR"/>
        </w:rPr>
        <w:t>ın ikincil ve hatta daha a</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a</w:t>
      </w:r>
      <w:r w:rsidR="00FD1B99" w:rsidRPr="00897A01">
        <w:rPr>
          <w:rFonts w:ascii="Times New Roman" w:hAnsi="Times New Roman" w:cs="Times New Roman"/>
          <w:color w:val="212121"/>
          <w:sz w:val="20"/>
          <w:szCs w:val="20"/>
          <w:lang w:val="tr-TR"/>
        </w:rPr>
        <w:t>ğ</w:t>
      </w:r>
      <w:r w:rsidR="00FD1B99" w:rsidRPr="00897A01">
        <w:rPr>
          <w:rFonts w:ascii="Book Antiqua" w:hAnsi="Book Antiqua" w:cs="Times New Roman"/>
          <w:color w:val="212121"/>
          <w:sz w:val="20"/>
          <w:szCs w:val="20"/>
          <w:lang w:val="tr-TR"/>
        </w:rPr>
        <w:t>ı bir pozisyon oldu</w:t>
      </w:r>
      <w:r w:rsidR="00FD1B99" w:rsidRPr="00897A01">
        <w:rPr>
          <w:rFonts w:ascii="Times New Roman" w:hAnsi="Times New Roman" w:cs="Times New Roman"/>
          <w:color w:val="212121"/>
          <w:sz w:val="20"/>
          <w:szCs w:val="20"/>
          <w:lang w:val="tr-TR"/>
        </w:rPr>
        <w:t>ğ</w:t>
      </w:r>
      <w:r w:rsidR="00FD1B99" w:rsidRPr="00897A01">
        <w:rPr>
          <w:rFonts w:ascii="Book Antiqua" w:hAnsi="Book Antiqua" w:cs="Times New Roman"/>
          <w:color w:val="212121"/>
          <w:sz w:val="20"/>
          <w:szCs w:val="20"/>
          <w:lang w:val="tr-TR"/>
        </w:rPr>
        <w:t>u iddiasına kar</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ı bir savunma olarak da  tanımlanabilir. Her ne kadar “feminizm” kelimesi ilk olarak Fransız filozof Charles Fourier tarafından 1890' da kullanılmı</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 xml:space="preserve"> olsada, kadınların ataerkilli</w:t>
      </w:r>
      <w:r w:rsidR="00FD1B99" w:rsidRPr="00897A01">
        <w:rPr>
          <w:rFonts w:ascii="Times New Roman" w:hAnsi="Times New Roman" w:cs="Times New Roman"/>
          <w:color w:val="212121"/>
          <w:sz w:val="20"/>
          <w:szCs w:val="20"/>
          <w:lang w:val="tr-TR"/>
        </w:rPr>
        <w:t>ğ</w:t>
      </w:r>
      <w:r w:rsidR="00FD1B99" w:rsidRPr="00897A01">
        <w:rPr>
          <w:rFonts w:ascii="Book Antiqua" w:hAnsi="Book Antiqua" w:cs="Times New Roman"/>
          <w:color w:val="212121"/>
          <w:sz w:val="20"/>
          <w:szCs w:val="20"/>
          <w:lang w:val="tr-TR"/>
        </w:rPr>
        <w:t>e ve din adamlarına kar</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ı  haklarını savunmaları daha öncelere dayanmaktadır. Eski ahitte ve dinsel söylemlerde sıklıkla kadınlar Havva olarak tasvir edilmi</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tir; Bu söylem orta Ça</w:t>
      </w:r>
      <w:r w:rsidR="00FD1B99" w:rsidRPr="00897A01">
        <w:rPr>
          <w:rFonts w:ascii="Times New Roman" w:hAnsi="Times New Roman" w:cs="Times New Roman"/>
          <w:color w:val="212121"/>
          <w:sz w:val="20"/>
          <w:szCs w:val="20"/>
          <w:lang w:val="tr-TR"/>
        </w:rPr>
        <w:t>ğ</w:t>
      </w:r>
      <w:r w:rsidR="00FD1B99" w:rsidRPr="00897A01">
        <w:rPr>
          <w:rFonts w:ascii="Book Antiqua" w:hAnsi="Book Antiqua" w:cs="Times New Roman"/>
          <w:color w:val="212121"/>
          <w:sz w:val="20"/>
          <w:szCs w:val="20"/>
          <w:lang w:val="tr-TR"/>
        </w:rPr>
        <w:t>'larda  yaygın bir durum halinin almı</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 xml:space="preserve"> ve bu durum kadınları tanrıdan uzakla</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tıran dolayısıyla insanlı</w:t>
      </w:r>
      <w:r w:rsidR="00FD1B99" w:rsidRPr="00897A01">
        <w:rPr>
          <w:rFonts w:ascii="Times New Roman" w:hAnsi="Times New Roman" w:cs="Times New Roman"/>
          <w:color w:val="212121"/>
          <w:sz w:val="20"/>
          <w:szCs w:val="20"/>
          <w:lang w:val="tr-TR"/>
        </w:rPr>
        <w:t>ğ</w:t>
      </w:r>
      <w:r w:rsidR="00FD1B99" w:rsidRPr="00897A01">
        <w:rPr>
          <w:rFonts w:ascii="Book Antiqua" w:hAnsi="Book Antiqua" w:cs="Times New Roman"/>
          <w:color w:val="212121"/>
          <w:sz w:val="20"/>
          <w:szCs w:val="20"/>
          <w:lang w:val="tr-TR"/>
        </w:rPr>
        <w:t>ın çökmesi için sürekli olarak  bir te</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ebbüste bulunan ba</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tan çıkarıcı bir varlık  olarak resmedilmesine neden olmu</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tur. Böylelikle, bu ara</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tırmada, kadına nefret söyleminin temellerine ve ilk dönemlerine bir yakla</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ım getirilirken, Feminist Ele</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tiri özetlenmi</w:t>
      </w:r>
      <w:r w:rsidR="00FD1B99" w:rsidRPr="00897A01">
        <w:rPr>
          <w:rFonts w:ascii="Times New Roman" w:hAnsi="Times New Roman" w:cs="Times New Roman"/>
          <w:color w:val="212121"/>
          <w:sz w:val="20"/>
          <w:szCs w:val="20"/>
          <w:lang w:val="tr-TR"/>
        </w:rPr>
        <w:t>ş</w:t>
      </w:r>
      <w:r w:rsidR="00FD1B99" w:rsidRPr="00897A01">
        <w:rPr>
          <w:rFonts w:ascii="Book Antiqua" w:hAnsi="Book Antiqua" w:cs="Times New Roman"/>
          <w:color w:val="212121"/>
          <w:sz w:val="20"/>
          <w:szCs w:val="20"/>
          <w:lang w:val="tr-TR"/>
        </w:rPr>
        <w:t xml:space="preserve"> ve nihayet Nina Baym'ın </w:t>
      </w:r>
      <w:r w:rsidR="00FD1B99" w:rsidRPr="00897A01">
        <w:rPr>
          <w:rFonts w:ascii="Book Antiqua" w:hAnsi="Book Antiqua" w:cs="Times New Roman"/>
          <w:i/>
          <w:color w:val="212121"/>
          <w:sz w:val="20"/>
          <w:szCs w:val="20"/>
          <w:lang w:val="tr-TR"/>
        </w:rPr>
        <w:t>Delikadın  ve Onun Dilleri</w:t>
      </w:r>
      <w:r w:rsidR="00FD1B99" w:rsidRPr="00897A01">
        <w:rPr>
          <w:rFonts w:ascii="Book Antiqua" w:hAnsi="Book Antiqua" w:cs="Times New Roman"/>
          <w:color w:val="212121"/>
          <w:sz w:val="20"/>
          <w:szCs w:val="20"/>
          <w:lang w:val="tr-TR"/>
        </w:rPr>
        <w:t xml:space="preserve"> adlı makalesi yorumlanmaktadır.</w:t>
      </w:r>
    </w:p>
    <w:p w14:paraId="2F1CC1D7" w14:textId="77777777" w:rsidR="004048A5" w:rsidRDefault="004048A5" w:rsidP="00387923">
      <w:pPr>
        <w:pStyle w:val="05abstract"/>
        <w:spacing w:line="260" w:lineRule="atLeast"/>
        <w:rPr>
          <w:rFonts w:ascii="Book Antiqua" w:hAnsi="Book Antiqua"/>
          <w:b/>
          <w:sz w:val="20"/>
          <w:szCs w:val="20"/>
          <w:lang w:val="tr-TR"/>
        </w:rPr>
      </w:pPr>
    </w:p>
    <w:p w14:paraId="7D45281F" w14:textId="77777777" w:rsidR="00FD1B99" w:rsidRPr="00FD1B99" w:rsidRDefault="00FD1B99" w:rsidP="00FD1B99">
      <w:pPr>
        <w:pStyle w:val="06keywords"/>
        <w:rPr>
          <w:rFonts w:ascii="Book Antiqua" w:hAnsi="Book Antiqua" w:cs="Arial"/>
          <w:sz w:val="20"/>
          <w:szCs w:val="20"/>
          <w:lang w:val="tr-TR"/>
        </w:rPr>
      </w:pPr>
      <w:r w:rsidRPr="00555316">
        <w:rPr>
          <w:rFonts w:ascii="Book Antiqua" w:hAnsi="Book Antiqua"/>
          <w:b/>
          <w:sz w:val="20"/>
          <w:szCs w:val="20"/>
          <w:lang w:val="tr-TR"/>
        </w:rPr>
        <w:t xml:space="preserve">Anahtar </w:t>
      </w:r>
      <w:r w:rsidRPr="00FD1B99">
        <w:rPr>
          <w:rFonts w:ascii="Book Antiqua" w:hAnsi="Book Antiqua"/>
          <w:b/>
          <w:sz w:val="20"/>
          <w:szCs w:val="20"/>
          <w:lang w:val="tr-TR"/>
        </w:rPr>
        <w:t>Kelimeler:</w:t>
      </w:r>
      <w:r w:rsidRPr="00FD1B99">
        <w:rPr>
          <w:rFonts w:ascii="Book Antiqua" w:hAnsi="Book Antiqua"/>
          <w:sz w:val="20"/>
          <w:szCs w:val="20"/>
          <w:lang w:val="tr-TR"/>
        </w:rPr>
        <w:t xml:space="preserve"> </w:t>
      </w:r>
      <w:r w:rsidRPr="00FD1B99">
        <w:rPr>
          <w:rFonts w:ascii="Book Antiqua" w:hAnsi="Book Antiqua"/>
          <w:color w:val="000000"/>
          <w:sz w:val="20"/>
          <w:szCs w:val="20"/>
        </w:rPr>
        <w:t>Feminizm, Ataerkillik, Kadın dü</w:t>
      </w:r>
      <w:r w:rsidRPr="00FD1B99">
        <w:rPr>
          <w:color w:val="000000"/>
          <w:sz w:val="20"/>
          <w:szCs w:val="20"/>
        </w:rPr>
        <w:t>ş</w:t>
      </w:r>
      <w:r w:rsidRPr="00FD1B99">
        <w:rPr>
          <w:rFonts w:ascii="Book Antiqua" w:hAnsi="Book Antiqua"/>
          <w:color w:val="000000"/>
          <w:sz w:val="20"/>
          <w:szCs w:val="20"/>
        </w:rPr>
        <w:t>manlı</w:t>
      </w:r>
      <w:r w:rsidRPr="00FD1B99">
        <w:rPr>
          <w:color w:val="000000"/>
          <w:sz w:val="20"/>
          <w:szCs w:val="20"/>
        </w:rPr>
        <w:t>ğ</w:t>
      </w:r>
      <w:r w:rsidRPr="00FD1B99">
        <w:rPr>
          <w:rFonts w:ascii="Book Antiqua" w:hAnsi="Book Antiqua"/>
          <w:color w:val="000000"/>
          <w:sz w:val="20"/>
          <w:szCs w:val="20"/>
        </w:rPr>
        <w:t>ı</w:t>
      </w:r>
    </w:p>
    <w:p w14:paraId="6121375A" w14:textId="77777777" w:rsidR="00252DEF" w:rsidRDefault="00252DEF" w:rsidP="00387923">
      <w:pPr>
        <w:pStyle w:val="06keywords"/>
        <w:rPr>
          <w:rFonts w:ascii="Book Antiqua" w:hAnsi="Book Antiqua"/>
          <w:sz w:val="20"/>
          <w:szCs w:val="20"/>
        </w:rPr>
      </w:pPr>
    </w:p>
    <w:p w14:paraId="52556EE8" w14:textId="77777777" w:rsidR="00FD1B99" w:rsidRPr="00897A01"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color w:val="000000"/>
        </w:rPr>
      </w:pPr>
    </w:p>
    <w:p w14:paraId="0287E3CF" w14:textId="323B30E0" w:rsidR="0042307A" w:rsidRPr="0042307A"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Times New Roman"/>
          <w:b/>
          <w:i/>
          <w:color w:val="000000"/>
          <w:sz w:val="28"/>
          <w:szCs w:val="28"/>
        </w:rPr>
      </w:pPr>
      <w:r w:rsidRPr="00897A01">
        <w:rPr>
          <w:rFonts w:ascii="Book Antiqua" w:hAnsi="Book Antiqua" w:cs="Times New Roman"/>
          <w:b/>
          <w:color w:val="000000"/>
          <w:sz w:val="28"/>
          <w:szCs w:val="28"/>
        </w:rPr>
        <w:t xml:space="preserve">Feminist Criticism and Analysis of Nina Baym’s </w:t>
      </w:r>
      <w:r w:rsidRPr="00897A01">
        <w:rPr>
          <w:rFonts w:ascii="Book Antiqua" w:hAnsi="Book Antiqua" w:cs="Times New Roman"/>
          <w:b/>
          <w:i/>
          <w:color w:val="000000"/>
          <w:sz w:val="28"/>
          <w:szCs w:val="28"/>
        </w:rPr>
        <w:t>The Madwoman and Her Languages</w:t>
      </w:r>
    </w:p>
    <w:p w14:paraId="560CDB94" w14:textId="77777777" w:rsidR="00FD1B99" w:rsidRPr="00FD1B99" w:rsidRDefault="00252DEF" w:rsidP="00FD1B99">
      <w:pPr>
        <w:jc w:val="both"/>
        <w:rPr>
          <w:rFonts w:ascii="Book Antiqua" w:hAnsi="Book Antiqua" w:cs="Times New Roman"/>
          <w:color w:val="000000"/>
          <w:sz w:val="20"/>
          <w:szCs w:val="20"/>
        </w:rPr>
      </w:pPr>
      <w:r w:rsidRPr="00683F80">
        <w:rPr>
          <w:rFonts w:ascii="Book Antiqua" w:hAnsi="Book Antiqua"/>
          <w:b/>
          <w:sz w:val="20"/>
          <w:szCs w:val="20"/>
        </w:rPr>
        <w:t xml:space="preserve">Abstract: </w:t>
      </w:r>
      <w:r w:rsidR="00FD1B99" w:rsidRPr="00FD1B99">
        <w:rPr>
          <w:rFonts w:ascii="Book Antiqua" w:hAnsi="Book Antiqua" w:cs="Times New Roman"/>
          <w:color w:val="000000"/>
          <w:sz w:val="20"/>
          <w:szCs w:val="20"/>
        </w:rPr>
        <w:t xml:space="preserve">The purpose of feminist criticism is to object patriarchal assumptions about women and to respond to the masculine determination of what is feminine. To begin with, feminist literary criticism tries to describe and analyze woman’ s social, economic, political and psychological condition within literary texts and literary canon.  In addition to interpreting masculine discourse, feminist criticism aims to resist and challenge the dogmas apparent in male dominant doctrines. It can be said that feminist criticism has a wide range of meaning including the attitudes to literature as well as culture in the sense of the interest in women. Feminist criticism can be identified as the quest for equality among sexes and an attack against the claim that womanhood is a secondary and even an inferior situation. Although the particular word ‘feminism’ was first used in 1890 by French philosopher </w:t>
      </w:r>
      <w:r w:rsidR="00FD1B99" w:rsidRPr="00FD1B99">
        <w:rPr>
          <w:rFonts w:ascii="Book Antiqua" w:hAnsi="Book Antiqua" w:cs="Times New Roman"/>
          <w:color w:val="000000"/>
          <w:sz w:val="20"/>
          <w:szCs w:val="20"/>
        </w:rPr>
        <w:lastRenderedPageBreak/>
        <w:t>Charles Fourier,  women’s resistance to patriarchy and clergy goes back to Middle Ages which often portrayed women as Eve, a seductress who caused the fall of humankind and denounced women for constantly attempting to distract men from the way of God. As such, in the present paper, I would like to bring an approach to the early roots of misogyny, a brief history Feminist Criticism and finally comment on Nina Baym’ s article The Madwoman and Her Languages.</w:t>
      </w:r>
    </w:p>
    <w:p w14:paraId="4650AAC3" w14:textId="77777777" w:rsidR="00252DEF" w:rsidRPr="00683F80" w:rsidRDefault="00252DEF" w:rsidP="00FD1B99">
      <w:pPr>
        <w:pStyle w:val="05abstract"/>
        <w:spacing w:line="260" w:lineRule="atLeast"/>
        <w:rPr>
          <w:rFonts w:ascii="Book Antiqua" w:hAnsi="Book Antiqua"/>
          <w:sz w:val="20"/>
          <w:szCs w:val="20"/>
        </w:rPr>
      </w:pPr>
      <w:r w:rsidRPr="00683F80">
        <w:rPr>
          <w:rFonts w:ascii="Book Antiqua" w:hAnsi="Book Antiqua"/>
          <w:b/>
          <w:sz w:val="20"/>
          <w:szCs w:val="20"/>
        </w:rPr>
        <w:t>Keywords:</w:t>
      </w:r>
      <w:r w:rsidRPr="00683F80">
        <w:rPr>
          <w:rFonts w:ascii="Book Antiqua" w:hAnsi="Book Antiqua"/>
          <w:sz w:val="20"/>
          <w:szCs w:val="20"/>
        </w:rPr>
        <w:t xml:space="preserve"> </w:t>
      </w:r>
      <w:r w:rsidR="00FD1B99" w:rsidRPr="00FD1B99">
        <w:rPr>
          <w:rFonts w:ascii="Book Antiqua" w:hAnsi="Book Antiqua"/>
          <w:i/>
          <w:color w:val="000000"/>
          <w:sz w:val="20"/>
          <w:szCs w:val="20"/>
        </w:rPr>
        <w:t xml:space="preserve">Feminism, Patriarchy, </w:t>
      </w:r>
      <w:proofErr w:type="gramStart"/>
      <w:r w:rsidR="00FD1B99" w:rsidRPr="00FD1B99">
        <w:rPr>
          <w:rFonts w:ascii="Book Antiqua" w:hAnsi="Book Antiqua"/>
          <w:i/>
          <w:color w:val="000000"/>
          <w:sz w:val="20"/>
          <w:szCs w:val="20"/>
        </w:rPr>
        <w:t>Misogyny</w:t>
      </w:r>
      <w:proofErr w:type="gramEnd"/>
      <w:r w:rsidR="00FD1B99" w:rsidRPr="00FD1B99">
        <w:rPr>
          <w:rFonts w:ascii="Book Antiqua" w:hAnsi="Book Antiqua"/>
          <w:i/>
          <w:color w:val="000000"/>
          <w:sz w:val="20"/>
          <w:szCs w:val="20"/>
        </w:rPr>
        <w:t>…</w:t>
      </w:r>
    </w:p>
    <w:p w14:paraId="1FB3C732" w14:textId="77777777" w:rsidR="00FD1B99"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b/>
          <w:sz w:val="20"/>
          <w:szCs w:val="20"/>
          <w:lang w:val="tr-TR"/>
        </w:rPr>
      </w:pPr>
    </w:p>
    <w:p w14:paraId="4EED8029" w14:textId="77777777" w:rsidR="00FD1B99" w:rsidRPr="00FD1B99"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b/>
          <w:color w:val="000000"/>
          <w:sz w:val="20"/>
          <w:szCs w:val="20"/>
        </w:rPr>
      </w:pPr>
      <w:r w:rsidRPr="00897A01">
        <w:rPr>
          <w:rFonts w:ascii="Book Antiqua" w:hAnsi="Book Antiqua" w:cs="Times New Roman"/>
          <w:b/>
          <w:color w:val="000000"/>
          <w:sz w:val="20"/>
          <w:szCs w:val="20"/>
        </w:rPr>
        <w:t xml:space="preserve">Early Roots of Feminism </w:t>
      </w:r>
    </w:p>
    <w:p w14:paraId="085A8B2D" w14:textId="77777777" w:rsidR="00FD1B99" w:rsidRPr="00897A01"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color w:val="000000"/>
          <w:sz w:val="20"/>
          <w:szCs w:val="20"/>
        </w:rPr>
      </w:pPr>
      <w:r w:rsidRPr="00897A01">
        <w:rPr>
          <w:rFonts w:ascii="Book Antiqua" w:hAnsi="Book Antiqua" w:cs="Times New Roman"/>
          <w:color w:val="000000"/>
          <w:sz w:val="20"/>
          <w:szCs w:val="20"/>
        </w:rPr>
        <w:tab/>
        <w:t>The feminist thought has its roots from very early times of history. Even though</w:t>
      </w:r>
      <w:r>
        <w:rPr>
          <w:rFonts w:ascii="Book Antiqua" w:hAnsi="Book Antiqua" w:cs="Times New Roman"/>
          <w:color w:val="000000"/>
          <w:sz w:val="20"/>
          <w:szCs w:val="20"/>
        </w:rPr>
        <w:t xml:space="preserve"> </w:t>
      </w:r>
      <w:r w:rsidRPr="00897A01">
        <w:rPr>
          <w:rFonts w:ascii="Book Antiqua" w:hAnsi="Book Antiqua" w:cs="Times New Roman"/>
          <w:color w:val="000000"/>
          <w:sz w:val="20"/>
          <w:szCs w:val="20"/>
        </w:rPr>
        <w:t>the word ‘feminism’ was first used in 1890 by French philosopher Charles Fourier,  women’s resistance to patriarchy and clergy goes back to Middle Ages. The clergy portrayed women as Eve, a seductress who caused the fall of humankind and denounced women for attempting to distract men from the way of God. The Church disseminated the misogynist notion that woman was inferior because God created Adam first and then woman from Adam’s ribs. Also, Lucifer deceived Eve first to taste the forbidden fruit, which started the chain of events that resulted human exile from the Garden of Eden. Upon God’s discovery of their disobedience, he cursed Eve by saying “I will greatly multiply thy sorrow and thy conception; in sorrow thou shalt bring forth children; and thy desire shall be to thy husband, and he shall rule over thee” (Holy Bible, 1988, Genesis, p. 3).</w:t>
      </w:r>
    </w:p>
    <w:p w14:paraId="1499EE81" w14:textId="77777777" w:rsidR="00FD1B99" w:rsidRPr="00897A01"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color w:val="000000"/>
          <w:sz w:val="20"/>
          <w:szCs w:val="20"/>
        </w:rPr>
      </w:pPr>
      <w:r w:rsidRPr="00897A01">
        <w:rPr>
          <w:rFonts w:ascii="Book Antiqua" w:hAnsi="Book Antiqua" w:cs="Times New Roman"/>
          <w:color w:val="000000"/>
          <w:sz w:val="20"/>
          <w:szCs w:val="20"/>
        </w:rPr>
        <w:tab/>
        <w:t>Church held all women responsible for the original sin and believed a woman continually attempted to seduce them through carnal desires, which eventually distracted a man from his striving to reach God. Consequently, they justified Eve as Adam’ s inferior and felt that women were weaker sex, less significant, intellectually and physically inferior, emotionally unstable, and morally weak. Thus, the medieval women were regarded as potential sinners who are liable to sin in nature because they were the descendants of Eve. Corinthians further reinforces the Church’s view by stating:</w:t>
      </w:r>
    </w:p>
    <w:p w14:paraId="705F8455" w14:textId="77777777" w:rsidR="00FD1B99" w:rsidRPr="00897A01"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jc w:val="both"/>
        <w:rPr>
          <w:rFonts w:ascii="Book Antiqua" w:hAnsi="Book Antiqua" w:cs="Times New Roman"/>
          <w:color w:val="000000"/>
          <w:sz w:val="20"/>
          <w:szCs w:val="20"/>
        </w:rPr>
      </w:pPr>
      <w:r w:rsidRPr="00897A01">
        <w:rPr>
          <w:rFonts w:ascii="Book Antiqua" w:hAnsi="Book Antiqua" w:cs="Times New Roman"/>
          <w:color w:val="000000"/>
          <w:sz w:val="20"/>
          <w:szCs w:val="20"/>
        </w:rPr>
        <w:t>He that is unmarried careth for the things that belong to the Lord, how he may please the Lord: But he that is married careth for the things that are of the world, how he may please his wife. [...] The unmarried woman careth for the things of the Lord, that she may be holy both in body and in-spirit: but she that is married careth for the things of the world, how she may please her husband. (Holy Bible, 1988, Cor, p. 7).</w:t>
      </w:r>
    </w:p>
    <w:p w14:paraId="1B6496EF" w14:textId="77777777" w:rsidR="00FD1B99" w:rsidRPr="00897A01"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color w:val="000000"/>
          <w:sz w:val="20"/>
          <w:szCs w:val="20"/>
        </w:rPr>
      </w:pPr>
    </w:p>
    <w:p w14:paraId="7CFF1195" w14:textId="77777777" w:rsidR="00FD1B99" w:rsidRPr="00897A01"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color w:val="000000"/>
          <w:sz w:val="20"/>
          <w:szCs w:val="20"/>
        </w:rPr>
      </w:pPr>
      <w:r w:rsidRPr="00897A01">
        <w:rPr>
          <w:rFonts w:ascii="Book Antiqua" w:hAnsi="Book Antiqua" w:cs="Times New Roman"/>
          <w:color w:val="000000"/>
          <w:sz w:val="20"/>
          <w:szCs w:val="20"/>
        </w:rPr>
        <w:tab/>
        <w:t>Another major perspective to see the woman as inferior stemmed from Aristotle’ s binarism. This claim established the notions that the woman is body and man is the soul. While women lacked all the privileged qualities, men were regarded as possessing the “higher elements and properties of form and activity”(Wilson, 1997: p. 56).  St. Jerome, emphasized-this notion as “as long as woman is birth and children, she is different from man as body is from soul!”.  Wilson further states:</w:t>
      </w:r>
    </w:p>
    <w:p w14:paraId="60527B43" w14:textId="77777777" w:rsidR="00FD1B99" w:rsidRPr="00897A01"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jc w:val="both"/>
        <w:rPr>
          <w:rFonts w:ascii="Book Antiqua" w:hAnsi="Book Antiqua" w:cs="Times New Roman"/>
          <w:color w:val="000000"/>
          <w:sz w:val="20"/>
          <w:szCs w:val="20"/>
        </w:rPr>
      </w:pPr>
      <w:r w:rsidRPr="00897A01">
        <w:rPr>
          <w:rFonts w:ascii="Book Antiqua" w:hAnsi="Book Antiqua" w:cs="Times New Roman"/>
          <w:color w:val="000000"/>
          <w:sz w:val="20"/>
          <w:szCs w:val="20"/>
        </w:rPr>
        <w:t>Aristotle appears to be a proponent of sex polarity, a theory that asserts the difference between men and women and the superiority of the male; on the basis of the works on logic Aristotle appears a proponent of sex neutrality, a theory that asserts that men and women do not differ significantly (Wilson, 1997: p. 57).</w:t>
      </w:r>
    </w:p>
    <w:p w14:paraId="574F962D" w14:textId="77777777" w:rsidR="00FD1B99"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color w:val="000000"/>
          <w:sz w:val="20"/>
          <w:szCs w:val="20"/>
        </w:rPr>
      </w:pPr>
      <w:r w:rsidRPr="00897A01">
        <w:rPr>
          <w:rFonts w:ascii="Book Antiqua" w:hAnsi="Book Antiqua" w:cs="Times New Roman"/>
          <w:color w:val="000000"/>
          <w:sz w:val="20"/>
          <w:szCs w:val="20"/>
        </w:rPr>
        <w:tab/>
        <w:t>The patriarchal structure of the feudal society, the Christian interpretations of Scriptures about male superiority over women and the prejudices stemming from Aristotelian binary opposition made women vulnerable, subservient and obedient. Both the clergy and the aristocracy, the most dominant male groups of medieval society, reinforced these misogynist notions and acted accordingly. As such, the need to study the woman in literature reinforced the need to study Feminist criticism, which became a literary movement in literature.</w:t>
      </w:r>
    </w:p>
    <w:p w14:paraId="23411836" w14:textId="77777777" w:rsidR="00FD1B99" w:rsidRPr="00897A01"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color w:val="000000"/>
          <w:sz w:val="20"/>
          <w:szCs w:val="20"/>
        </w:rPr>
      </w:pPr>
    </w:p>
    <w:p w14:paraId="134A9D9F" w14:textId="77777777" w:rsidR="00FD1B99" w:rsidRPr="00897A01"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color w:val="000000"/>
          <w:sz w:val="20"/>
          <w:szCs w:val="20"/>
        </w:rPr>
      </w:pPr>
    </w:p>
    <w:p w14:paraId="308D939C" w14:textId="77777777" w:rsidR="00FD1B99" w:rsidRPr="00FD1B99"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b/>
          <w:color w:val="000000"/>
          <w:sz w:val="20"/>
          <w:szCs w:val="20"/>
        </w:rPr>
      </w:pPr>
      <w:r w:rsidRPr="00897A01">
        <w:rPr>
          <w:rFonts w:ascii="Book Antiqua" w:hAnsi="Book Antiqua" w:cs="Times New Roman"/>
          <w:b/>
          <w:color w:val="000000"/>
          <w:sz w:val="20"/>
          <w:szCs w:val="20"/>
        </w:rPr>
        <w:tab/>
      </w:r>
      <w:r w:rsidRPr="00897A01">
        <w:rPr>
          <w:rFonts w:ascii="Book Antiqua" w:hAnsi="Book Antiqua" w:cs="Times New Roman"/>
          <w:b/>
          <w:color w:val="000000"/>
          <w:sz w:val="20"/>
          <w:szCs w:val="20"/>
        </w:rPr>
        <w:tab/>
      </w:r>
      <w:r w:rsidRPr="00897A01">
        <w:rPr>
          <w:rFonts w:ascii="Book Antiqua" w:hAnsi="Book Antiqua" w:cs="Times New Roman"/>
          <w:b/>
          <w:color w:val="000000"/>
          <w:sz w:val="20"/>
          <w:szCs w:val="20"/>
        </w:rPr>
        <w:tab/>
      </w:r>
      <w:r w:rsidRPr="00897A01">
        <w:rPr>
          <w:rFonts w:ascii="Book Antiqua" w:hAnsi="Book Antiqua" w:cs="Times New Roman"/>
          <w:b/>
          <w:color w:val="000000"/>
          <w:sz w:val="20"/>
          <w:szCs w:val="20"/>
        </w:rPr>
        <w:tab/>
      </w:r>
      <w:r w:rsidRPr="00897A01">
        <w:rPr>
          <w:rFonts w:ascii="Book Antiqua" w:hAnsi="Book Antiqua" w:cs="Times New Roman"/>
          <w:b/>
          <w:color w:val="000000"/>
          <w:sz w:val="20"/>
          <w:szCs w:val="20"/>
        </w:rPr>
        <w:tab/>
        <w:t xml:space="preserve">Modern Feminist Criticism </w:t>
      </w:r>
    </w:p>
    <w:p w14:paraId="4264A003" w14:textId="77777777" w:rsidR="00FD1B99" w:rsidRPr="00FD1B99"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color w:val="000000"/>
          <w:sz w:val="20"/>
          <w:szCs w:val="20"/>
        </w:rPr>
      </w:pPr>
      <w:r w:rsidRPr="00897A01">
        <w:rPr>
          <w:rFonts w:ascii="Book Antiqua" w:hAnsi="Book Antiqua" w:cs="Times New Roman"/>
          <w:color w:val="000000"/>
          <w:sz w:val="20"/>
          <w:szCs w:val="20"/>
        </w:rPr>
        <w:tab/>
        <w:t xml:space="preserve">Modern western feminism is divided into three waves. The first wave demanded to bring social, political and economic equality in the early 1900’s. The second wave, which started in 1960’s demanded legal and social equality for women. The third wave was perceived as reaction to the failures of earlier waves and began in 1990s. The First –wave feminism focused on the demand for equal contract, parenthood rights, marriage and property rights for women. The movement eventually focused on gaining political power and economic rights. Virginia Woolf was a leading figure in the first wave and in her major work </w:t>
      </w:r>
      <w:r w:rsidRPr="00897A01">
        <w:rPr>
          <w:rFonts w:ascii="Book Antiqua" w:hAnsi="Book Antiqua" w:cs="Times New Roman"/>
          <w:i/>
          <w:color w:val="000000"/>
          <w:sz w:val="20"/>
          <w:szCs w:val="20"/>
        </w:rPr>
        <w:t>A Room for One’s Own (1929)</w:t>
      </w:r>
      <w:r w:rsidRPr="00897A01">
        <w:rPr>
          <w:rFonts w:ascii="Book Antiqua" w:hAnsi="Book Antiqua" w:cs="Times New Roman"/>
          <w:color w:val="000000"/>
          <w:sz w:val="20"/>
          <w:szCs w:val="20"/>
        </w:rPr>
        <w:t>, Virginia Woolf states;</w:t>
      </w:r>
    </w:p>
    <w:p w14:paraId="295B72DA" w14:textId="77777777" w:rsidR="00FD1B99" w:rsidRPr="00FD1B99" w:rsidRDefault="00FD1B99" w:rsidP="00FD1B99">
      <w:pPr>
        <w:widowControl w:val="0"/>
        <w:autoSpaceDE w:val="0"/>
        <w:autoSpaceDN w:val="0"/>
        <w:adjustRightInd w:val="0"/>
        <w:ind w:left="1440"/>
        <w:jc w:val="both"/>
        <w:rPr>
          <w:rFonts w:ascii="Book Antiqua" w:hAnsi="Book Antiqua" w:cs="Times New Roman"/>
          <w:sz w:val="20"/>
          <w:szCs w:val="20"/>
        </w:rPr>
      </w:pPr>
      <w:r w:rsidRPr="00897A01">
        <w:rPr>
          <w:rFonts w:ascii="Book Antiqua" w:hAnsi="Book Antiqua" w:cs="Times New Roman"/>
          <w:sz w:val="20"/>
          <w:szCs w:val="20"/>
        </w:rPr>
        <w:t>For genius like Shakespeare's is not born among labouring, uneducated, servile people. It was not born in England among the Saxons and the Britons. It is not born today among the working classes. How, then, could it have been born among women whose work began, according to Professor Trevelyan, almost before they were out of the nursery, who were forced to it by their parents and held to it by all the power of law and custom? Yet genius of a sort must have existed among women as it must have existed among the working classes. (Woolf, 1929: p. 600)</w:t>
      </w:r>
    </w:p>
    <w:p w14:paraId="3451CDEB" w14:textId="77777777" w:rsidR="00FD1B99" w:rsidRPr="00FD1B99"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color w:val="000000"/>
          <w:sz w:val="20"/>
          <w:szCs w:val="20"/>
        </w:rPr>
      </w:pPr>
      <w:r w:rsidRPr="00897A01">
        <w:rPr>
          <w:rFonts w:ascii="Book Antiqua" w:hAnsi="Book Antiqua" w:cs="Times New Roman"/>
          <w:color w:val="000000"/>
          <w:sz w:val="20"/>
          <w:szCs w:val="20"/>
        </w:rPr>
        <w:tab/>
        <w:t xml:space="preserve">Woolf is essentially critical of material, and sexual disadvantages women are forced to overcome. She gives Shakespeare as an example and argues that if a woman had the same genius, she was very likely to be looked down upon and not be able to create those masterpieces Shakespeare did.  The first wave feminist movement challenged past conceptions of the feminine literary scholarship and questioned male-centric literature.  Elaine Showalter, another major critic during this era, divided women writers from the 1840s up to her time. </w:t>
      </w:r>
      <w:r w:rsidRPr="00897A01">
        <w:rPr>
          <w:rFonts w:ascii="Book Antiqua" w:hAnsi="Book Antiqua" w:cs="Times New Roman"/>
          <w:color w:val="1C1C1C"/>
          <w:sz w:val="20"/>
          <w:szCs w:val="20"/>
        </w:rPr>
        <w:t xml:space="preserve">In </w:t>
      </w:r>
      <w:r w:rsidRPr="00897A01">
        <w:rPr>
          <w:rFonts w:ascii="Book Antiqua" w:hAnsi="Book Antiqua" w:cs="Times New Roman"/>
          <w:i/>
          <w:iCs/>
          <w:color w:val="1C1C1C"/>
          <w:sz w:val="20"/>
          <w:szCs w:val="20"/>
        </w:rPr>
        <w:t>Toward a Feminist Poetics</w:t>
      </w:r>
      <w:r w:rsidRPr="00897A01">
        <w:rPr>
          <w:rFonts w:ascii="Book Antiqua" w:hAnsi="Book Antiqua" w:cs="Times New Roman"/>
          <w:color w:val="1C1C1C"/>
          <w:sz w:val="20"/>
          <w:szCs w:val="20"/>
        </w:rPr>
        <w:t xml:space="preserve"> Showalter traced women's literature history, and divided it into three: the first phase is feminine. In this phase “women wrote in an effort to equal the intellectual achievements of the male culture, and internalized its assumptions about female nature” (</w:t>
      </w:r>
      <w:r w:rsidRPr="00897A01">
        <w:rPr>
          <w:rFonts w:ascii="Book Antiqua" w:hAnsi="Book Antiqua" w:cs="Times New Roman"/>
          <w:iCs/>
          <w:color w:val="1C1C1C"/>
          <w:sz w:val="20"/>
          <w:szCs w:val="20"/>
        </w:rPr>
        <w:t xml:space="preserve">New, 1997: p. </w:t>
      </w:r>
      <w:r w:rsidRPr="00897A01">
        <w:rPr>
          <w:rFonts w:ascii="Book Antiqua" w:hAnsi="Book Antiqua" w:cs="Times New Roman"/>
          <w:color w:val="1C1C1C"/>
          <w:sz w:val="20"/>
          <w:szCs w:val="20"/>
        </w:rPr>
        <w:t>138). Thus, first phase displays an imitation of male writers, which is far from a unique voice. The second phase is Feminist phase. This phase was characterized by women’s writing that protested against male standards, and “advocated women’s rights, and also demanded autonomy”(New, 1997: p. 139). When compared to the first phase of feminine this phase proved to be more unique in style and its demands. The third phase is referred as female, which is of self-discovery. In this phase women writers were able to write in their own voice and they discovered their own voice in literary canon.  Showalter states, “women reject both imitation and protest and turn instead to female experience as the source of an autonomous art, extending the feminist analysis of culture to the forms and techniques of literature” (</w:t>
      </w:r>
      <w:r w:rsidRPr="00897A01">
        <w:rPr>
          <w:rFonts w:ascii="Book Antiqua" w:hAnsi="Book Antiqua" w:cs="Times New Roman"/>
          <w:iCs/>
          <w:color w:val="1C1C1C"/>
          <w:sz w:val="20"/>
          <w:szCs w:val="20"/>
        </w:rPr>
        <w:t>New</w:t>
      </w:r>
      <w:r w:rsidRPr="00897A01">
        <w:rPr>
          <w:rFonts w:ascii="Book Antiqua" w:hAnsi="Book Antiqua" w:cs="Times New Roman"/>
          <w:color w:val="1C1C1C"/>
          <w:sz w:val="20"/>
          <w:szCs w:val="20"/>
        </w:rPr>
        <w:t xml:space="preserve">, 1997: p. 140). Her influential study of </w:t>
      </w:r>
      <w:r w:rsidRPr="00897A01">
        <w:rPr>
          <w:rFonts w:ascii="Book Antiqua" w:hAnsi="Book Antiqua" w:cs="Times New Roman"/>
          <w:i/>
          <w:iCs/>
          <w:color w:val="1C1C1C"/>
          <w:sz w:val="20"/>
          <w:szCs w:val="20"/>
        </w:rPr>
        <w:t>Feminist Criticism in the Wilderness</w:t>
      </w:r>
      <w:r w:rsidRPr="00897A01">
        <w:rPr>
          <w:rFonts w:ascii="Book Antiqua" w:hAnsi="Book Antiqua" w:cs="Times New Roman"/>
          <w:color w:val="1C1C1C"/>
          <w:sz w:val="20"/>
          <w:szCs w:val="20"/>
        </w:rPr>
        <w:t xml:space="preserve">, she states, </w:t>
      </w:r>
    </w:p>
    <w:p w14:paraId="4155771B" w14:textId="77777777" w:rsidR="00FD1B99" w:rsidRPr="00FD1B99"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ascii="Book Antiqua" w:hAnsi="Book Antiqua" w:cs="Times New Roman"/>
          <w:color w:val="1C1C1C"/>
          <w:sz w:val="20"/>
          <w:szCs w:val="20"/>
        </w:rPr>
      </w:pPr>
      <w:r w:rsidRPr="00897A01">
        <w:rPr>
          <w:rFonts w:ascii="Book Antiqua" w:hAnsi="Book Antiqua" w:cs="Times New Roman"/>
          <w:color w:val="1C1C1C"/>
          <w:sz w:val="20"/>
          <w:szCs w:val="20"/>
        </w:rPr>
        <w:t>A cultural theory acknowledges that there are important differences between women as writers: class, race nationality, and history are literary determinants as significant as gender. Nonetheless, women’s culture forms a collective experience within the cultural whole, an experience that binds women writers to each other over time and space’ (</w:t>
      </w:r>
      <w:r w:rsidRPr="00897A01">
        <w:rPr>
          <w:rFonts w:ascii="Book Antiqua" w:hAnsi="Book Antiqua" w:cs="Times New Roman"/>
          <w:iCs/>
          <w:color w:val="1C1C1C"/>
          <w:sz w:val="20"/>
          <w:szCs w:val="20"/>
        </w:rPr>
        <w:t>New</w:t>
      </w:r>
      <w:r w:rsidRPr="00897A01">
        <w:rPr>
          <w:rFonts w:ascii="Book Antiqua" w:hAnsi="Book Antiqua" w:cs="Times New Roman"/>
          <w:color w:val="1C1C1C"/>
          <w:sz w:val="20"/>
          <w:szCs w:val="20"/>
        </w:rPr>
        <w:t>, 1997: p.  261).</w:t>
      </w:r>
      <w:r w:rsidRPr="00897A01">
        <w:rPr>
          <w:rFonts w:ascii="Book Antiqua" w:hAnsi="Book Antiqua" w:cs="Times New Roman"/>
          <w:color w:val="000000"/>
          <w:sz w:val="20"/>
          <w:szCs w:val="20"/>
        </w:rPr>
        <w:t xml:space="preserve"> </w:t>
      </w:r>
      <w:r w:rsidRPr="00897A01">
        <w:rPr>
          <w:rFonts w:ascii="Book Antiqua" w:hAnsi="Book Antiqua" w:cs="Times New Roman"/>
          <w:color w:val="000000"/>
          <w:sz w:val="20"/>
          <w:szCs w:val="20"/>
        </w:rPr>
        <w:tab/>
      </w:r>
      <w:r w:rsidRPr="00897A01">
        <w:rPr>
          <w:rFonts w:ascii="Book Antiqua" w:hAnsi="Book Antiqua" w:cs="Times New Roman"/>
          <w:color w:val="000000"/>
          <w:sz w:val="20"/>
          <w:szCs w:val="20"/>
        </w:rPr>
        <w:tab/>
      </w:r>
    </w:p>
    <w:p w14:paraId="06C70C45" w14:textId="77777777" w:rsidR="00FD1B99" w:rsidRPr="00897A01" w:rsidRDefault="00FD1B99" w:rsidP="00FD1B99">
      <w:pPr>
        <w:widowControl w:val="0"/>
        <w:autoSpaceDE w:val="0"/>
        <w:autoSpaceDN w:val="0"/>
        <w:adjustRightInd w:val="0"/>
        <w:spacing w:after="140"/>
        <w:ind w:firstLine="720"/>
        <w:jc w:val="both"/>
        <w:rPr>
          <w:rFonts w:ascii="Book Antiqua" w:hAnsi="Book Antiqua" w:cs="Times New Roman"/>
          <w:color w:val="1C1C1C"/>
          <w:sz w:val="20"/>
          <w:szCs w:val="20"/>
        </w:rPr>
      </w:pPr>
      <w:r w:rsidRPr="00897A01">
        <w:rPr>
          <w:rFonts w:ascii="Book Antiqua" w:hAnsi="Book Antiqua" w:cs="Times New Roman"/>
          <w:color w:val="000000"/>
          <w:sz w:val="20"/>
          <w:szCs w:val="20"/>
        </w:rPr>
        <w:t>As a continuation of First Wave Feminist Criticism, authors like Simone de Beauvoir marked the beginning of Second Wave Feminist Criticism. The second –wave largely concerned with issues of equality and saw women’s cultural and political inequalities as linked to each other and tried to push women towards understanding aspects of their personal lives. Beauvoir boldly claimed that</w:t>
      </w:r>
      <w:r w:rsidRPr="00897A01">
        <w:rPr>
          <w:rFonts w:ascii="Book Antiqua" w:hAnsi="Book Antiqua" w:cs="Times New Roman"/>
          <w:color w:val="1C1C1C"/>
          <w:sz w:val="20"/>
          <w:szCs w:val="20"/>
        </w:rPr>
        <w:t xml:space="preserve"> one is not born a woman, but made one.  In her book </w:t>
      </w:r>
      <w:r w:rsidRPr="00897A01">
        <w:rPr>
          <w:rFonts w:ascii="Book Antiqua" w:hAnsi="Book Antiqua" w:cs="Times New Roman"/>
          <w:i/>
          <w:iCs/>
          <w:color w:val="1C1C1C"/>
          <w:sz w:val="20"/>
          <w:szCs w:val="20"/>
        </w:rPr>
        <w:t xml:space="preserve">The Second Sex </w:t>
      </w:r>
      <w:r w:rsidRPr="00897A01">
        <w:rPr>
          <w:rFonts w:ascii="Book Antiqua" w:hAnsi="Book Antiqua" w:cs="Times New Roman"/>
          <w:color w:val="1C1C1C"/>
          <w:sz w:val="20"/>
          <w:szCs w:val="20"/>
        </w:rPr>
        <w:t xml:space="preserve">(1949), She states men has labeled women as the ‘Other’. Women who do not live up to expectations and norms of the dominant male society are looked down, degraded and labeled in society. Beauvoir asks; </w:t>
      </w:r>
    </w:p>
    <w:p w14:paraId="1D2E7528" w14:textId="77777777" w:rsidR="00FD1B99" w:rsidRPr="00897A01" w:rsidRDefault="00FD1B99" w:rsidP="00FD1B99">
      <w:pPr>
        <w:widowControl w:val="0"/>
        <w:autoSpaceDE w:val="0"/>
        <w:autoSpaceDN w:val="0"/>
        <w:adjustRightInd w:val="0"/>
        <w:spacing w:after="140"/>
        <w:ind w:left="720"/>
        <w:jc w:val="both"/>
        <w:rPr>
          <w:rFonts w:ascii="Book Antiqua" w:hAnsi="Book Antiqua" w:cs="Times New Roman"/>
          <w:color w:val="1C1C1C"/>
          <w:sz w:val="20"/>
          <w:szCs w:val="20"/>
        </w:rPr>
      </w:pPr>
      <w:r w:rsidRPr="00897A01">
        <w:rPr>
          <w:rFonts w:ascii="Book Antiqua" w:hAnsi="Book Antiqua" w:cs="Times New Roman"/>
          <w:color w:val="1C1C1C"/>
          <w:sz w:val="20"/>
          <w:szCs w:val="20"/>
        </w:rPr>
        <w:t xml:space="preserve">What is a woman?, The fact that I ask it is in itself significant. A man would never get the notion of writing a book on the peculiar situation of the human male. But if I wish to define myself, I must first of all say: ‘I am a woman’; on this truth must be based all further </w:t>
      </w:r>
      <w:r w:rsidRPr="00897A01">
        <w:rPr>
          <w:rFonts w:ascii="Book Antiqua" w:hAnsi="Book Antiqua" w:cs="Times New Roman"/>
          <w:color w:val="1C1C1C"/>
          <w:sz w:val="20"/>
          <w:szCs w:val="20"/>
        </w:rPr>
        <w:lastRenderedPageBreak/>
        <w:t xml:space="preserve">discussion. A man never begins by presenting himself as an individual of a certain sex; it goes without saying that he is a man.  It would be out of the question to reply: ‘And you think the contrary because you are a man,’ for it is understood that the fact of being a man is no peculiarity. As for man there is no need to define what is to be a man, there is no reason because they identified themselves as the superior part. Man represents both the positive and the neutral, which doesn’t need to be explain or define, and it is self-explanatory. Thus humanity is male and man defines woman not in relation to herself but as relative to him; she is not regarded as an autonomous being. Men are the default setting and women are considered a recessive gender. He is the Subject, he is the Absolute—she is the Other. (Beauvoir, 1949: p. 35) </w:t>
      </w:r>
    </w:p>
    <w:p w14:paraId="1A513AF4" w14:textId="77777777" w:rsidR="00FD1B99" w:rsidRPr="00897A01" w:rsidRDefault="00FD1B99" w:rsidP="00FD1B99">
      <w:pPr>
        <w:widowControl w:val="0"/>
        <w:autoSpaceDE w:val="0"/>
        <w:autoSpaceDN w:val="0"/>
        <w:adjustRightInd w:val="0"/>
        <w:spacing w:after="140"/>
        <w:ind w:firstLine="720"/>
        <w:jc w:val="both"/>
        <w:rPr>
          <w:rFonts w:ascii="Book Antiqua" w:hAnsi="Book Antiqua" w:cs="Times New Roman"/>
          <w:color w:val="000000"/>
          <w:sz w:val="20"/>
          <w:szCs w:val="20"/>
        </w:rPr>
      </w:pPr>
      <w:r w:rsidRPr="00897A01">
        <w:rPr>
          <w:rFonts w:ascii="Book Antiqua" w:hAnsi="Book Antiqua" w:cs="Times New Roman"/>
          <w:color w:val="1C1C1C"/>
          <w:sz w:val="20"/>
          <w:szCs w:val="20"/>
        </w:rPr>
        <w:t>Beauvoir</w:t>
      </w:r>
      <w:r w:rsidRPr="00897A01">
        <w:rPr>
          <w:rFonts w:ascii="Book Antiqua" w:hAnsi="Book Antiqua" w:cs="Times New Roman"/>
          <w:color w:val="000000"/>
          <w:sz w:val="20"/>
          <w:szCs w:val="20"/>
        </w:rPr>
        <w:t xml:space="preserve"> clearly states that a woman would be defined by her relationship and proximity to man. In addition, he automatically is the superior entity while woman is not regarded as an autonomous being. Woman is the recessive gender, brought down to an object and therefore ‘other’. The third wave of Feminist Criticism took the further step towards demanding equality in every aspect of life. They emphasized on ideals like abolishing role expectations, and stereotyping in all walks of life. The movement tried to challenge what it deemed the second wave’s definitions of femininity and was perceived as a response to second wave’s failures.  As women were expected to live up to standards set by dominant male, they refused all stereotypical portrayals and condescending language towards woman. The major proponents were Kristeva, Cixous and Irigaray. Those authors employed psychoanalytic approaches to their work in order to ‘get to the root of feminine anxieties’. Specifically, </w:t>
      </w:r>
      <w:r w:rsidRPr="00897A01">
        <w:rPr>
          <w:rFonts w:ascii="Book Antiqua" w:hAnsi="Book Antiqua" w:cs="Times New Roman"/>
          <w:color w:val="1C1C1C"/>
          <w:sz w:val="20"/>
          <w:szCs w:val="20"/>
        </w:rPr>
        <w:t>Irigaray major work T</w:t>
      </w:r>
      <w:r w:rsidRPr="00897A01">
        <w:rPr>
          <w:rFonts w:ascii="Book Antiqua" w:hAnsi="Book Antiqua" w:cs="Times New Roman"/>
          <w:i/>
          <w:color w:val="1C1C1C"/>
          <w:sz w:val="20"/>
          <w:szCs w:val="20"/>
        </w:rPr>
        <w:t xml:space="preserve">his Sex </w:t>
      </w:r>
      <w:r w:rsidRPr="00897A01">
        <w:rPr>
          <w:rFonts w:ascii="Book Antiqua" w:hAnsi="Book Antiqua" w:cs="Times New Roman"/>
          <w:color w:val="1C1C1C"/>
          <w:sz w:val="20"/>
          <w:szCs w:val="20"/>
        </w:rPr>
        <w:t>claimed that women are exchanged between men like a commodity. She argued  ‘our entire society is predicated on this exchange of women. Her exchange value is determined by society, while her use value is her natural qualities.’ Her real value was determined on her usability and her ‘self is divided between her use and exchange values, and she is only desired for the exchange value.’ Brought down to a level of being object of desire and admiration, this system created “three types of women: the mother, who is all use value; the virgin, who is all exchange value; and the prostitute, who embodies both use and exchange value”(Irigaray, 1977: p. 33).</w:t>
      </w:r>
    </w:p>
    <w:p w14:paraId="394F57B1" w14:textId="77777777" w:rsidR="00FD1B99" w:rsidRPr="00897A01" w:rsidRDefault="00FD1B99" w:rsidP="00FD1B99">
      <w:pPr>
        <w:widowControl w:val="0"/>
        <w:autoSpaceDE w:val="0"/>
        <w:autoSpaceDN w:val="0"/>
        <w:adjustRightInd w:val="0"/>
        <w:spacing w:after="140"/>
        <w:ind w:firstLine="720"/>
        <w:jc w:val="both"/>
        <w:rPr>
          <w:rFonts w:ascii="Book Antiqua" w:hAnsi="Book Antiqua" w:cs="Times New Roman"/>
          <w:color w:val="000000"/>
          <w:sz w:val="20"/>
          <w:szCs w:val="20"/>
        </w:rPr>
      </w:pPr>
      <w:r w:rsidRPr="00897A01">
        <w:rPr>
          <w:rFonts w:ascii="Book Antiqua" w:hAnsi="Book Antiqua" w:cs="Times New Roman"/>
          <w:color w:val="1C1C1C"/>
          <w:sz w:val="20"/>
          <w:szCs w:val="20"/>
        </w:rPr>
        <w:t xml:space="preserve">In her essay  “Women on the Market,” Irigaray further employs other Marxist theories to claim that ‘women are in demand due to their perceived shortage and as a result, males seek “to have them all”(Irigaray, 1977: p. 38). According to Irigaray the scarcity of woman has raised its value and demand by man has brought them down to passive or resilient objects.  She further states that perhaps, “the way women are used matter less than their number” (Irıgaray, 1977: p. 39). Thus, the real value actually lies within the number not availability. In a further analogy of women “on the market,” interpreted through Marxist terms, Irigaray points out that women, like commodities, are moved between men based on their exchange value rather than just their use value, and the desire will always be surplus – making women almost seem like capital in this case, to be accumulated.  As such, women are not individuals but as capital or commodity. Irigaray argues “as commodities, women are thus two things at once: utilitarian objects and bearers of value” (Irıgaray, 1977: p. 39).  Their value is not of use but they are actually only the carriers of those values. </w:t>
      </w:r>
      <w:r w:rsidRPr="00897A01">
        <w:rPr>
          <w:rFonts w:ascii="Book Antiqua" w:hAnsi="Book Antiqua" w:cs="Times New Roman"/>
          <w:color w:val="000000"/>
          <w:sz w:val="20"/>
          <w:szCs w:val="20"/>
        </w:rPr>
        <w:t xml:space="preserve"> As for the modern critical feminists Annette Kolodny states:</w:t>
      </w:r>
    </w:p>
    <w:p w14:paraId="33E3EBDB" w14:textId="77777777" w:rsidR="00FD1B99" w:rsidRPr="00897A01"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ascii="Book Antiqua" w:hAnsi="Book Antiqua" w:cs="Times New Roman"/>
          <w:color w:val="000000"/>
          <w:sz w:val="20"/>
          <w:szCs w:val="20"/>
        </w:rPr>
      </w:pPr>
      <w:r w:rsidRPr="00897A01">
        <w:rPr>
          <w:rFonts w:ascii="Book Antiqua" w:hAnsi="Book Antiqua" w:cs="Times New Roman"/>
          <w:color w:val="000000"/>
          <w:sz w:val="20"/>
          <w:szCs w:val="20"/>
        </w:rPr>
        <w:t>What unites and repeatedly invigorates feminist literary criticism is neither dogma nor method but an accurate and impassioned attentiveness to the ways in which primarily male structures of power are inscribed or encoded within our literary inheritance and the consequences of that encoding for women- as characters, as readers and as writers (Bressler, 1985: p. 168).</w:t>
      </w:r>
    </w:p>
    <w:p w14:paraId="49DC0022" w14:textId="77777777" w:rsidR="00FD1B99" w:rsidRPr="00897A01" w:rsidRDefault="00FD1B99" w:rsidP="00FD1B99">
      <w:pPr>
        <w:ind w:firstLine="720"/>
        <w:jc w:val="both"/>
        <w:rPr>
          <w:rFonts w:ascii="Book Antiqua" w:hAnsi="Book Antiqua" w:cs="Times New Roman"/>
          <w:color w:val="000000"/>
          <w:sz w:val="20"/>
          <w:szCs w:val="20"/>
        </w:rPr>
      </w:pPr>
      <w:r w:rsidRPr="00897A01">
        <w:rPr>
          <w:rFonts w:ascii="Book Antiqua" w:hAnsi="Book Antiqua" w:cs="Times New Roman"/>
          <w:color w:val="000000"/>
          <w:sz w:val="20"/>
          <w:szCs w:val="20"/>
        </w:rPr>
        <w:t xml:space="preserve">As an example of feminist criticism, I would like to analyze women stereotypes in </w:t>
      </w:r>
      <w:r w:rsidRPr="00897A01">
        <w:rPr>
          <w:rFonts w:ascii="Book Antiqua" w:hAnsi="Book Antiqua" w:cs="Times New Roman"/>
          <w:i/>
          <w:color w:val="000000"/>
          <w:sz w:val="20"/>
          <w:szCs w:val="20"/>
        </w:rPr>
        <w:t>The Madwoman and Her Languages</w:t>
      </w:r>
      <w:r w:rsidRPr="00897A01">
        <w:rPr>
          <w:rFonts w:ascii="Book Antiqua" w:hAnsi="Book Antiqua" w:cs="Times New Roman"/>
          <w:color w:val="000000"/>
          <w:sz w:val="20"/>
          <w:szCs w:val="20"/>
        </w:rPr>
        <w:t xml:space="preserve"> by Nina Baym to reveal their representations as serving the masculine superiority. </w:t>
      </w:r>
    </w:p>
    <w:p w14:paraId="17FDEE72" w14:textId="77777777" w:rsidR="00FD1B99" w:rsidRPr="00897A01"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color w:val="000000"/>
          <w:sz w:val="20"/>
          <w:szCs w:val="20"/>
        </w:rPr>
      </w:pPr>
    </w:p>
    <w:p w14:paraId="03B159F1" w14:textId="77777777" w:rsidR="00FD1B99" w:rsidRPr="00897A01"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b/>
          <w:color w:val="000000"/>
          <w:sz w:val="20"/>
          <w:szCs w:val="20"/>
        </w:rPr>
      </w:pPr>
    </w:p>
    <w:p w14:paraId="45D433D0" w14:textId="77777777" w:rsidR="00FD1B99" w:rsidRPr="00FD1B99"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b/>
          <w:color w:val="000000"/>
          <w:sz w:val="20"/>
          <w:szCs w:val="20"/>
        </w:rPr>
      </w:pPr>
      <w:r w:rsidRPr="00897A01">
        <w:rPr>
          <w:rFonts w:ascii="Book Antiqua" w:hAnsi="Book Antiqua" w:cs="Times New Roman"/>
          <w:b/>
          <w:color w:val="000000"/>
          <w:sz w:val="20"/>
          <w:szCs w:val="20"/>
        </w:rPr>
        <w:tab/>
        <w:t xml:space="preserve">Analysis of Nina Baym’ s </w:t>
      </w:r>
      <w:r w:rsidRPr="00897A01">
        <w:rPr>
          <w:rFonts w:ascii="Book Antiqua" w:hAnsi="Book Antiqua" w:cs="Times New Roman"/>
          <w:b/>
          <w:i/>
          <w:color w:val="000000"/>
          <w:sz w:val="20"/>
          <w:szCs w:val="20"/>
        </w:rPr>
        <w:t>The Madwoman and Her Languages</w:t>
      </w:r>
      <w:r w:rsidRPr="00897A01">
        <w:rPr>
          <w:rFonts w:ascii="Book Antiqua" w:hAnsi="Book Antiqua" w:cs="Times New Roman"/>
          <w:b/>
          <w:color w:val="000000"/>
          <w:sz w:val="20"/>
          <w:szCs w:val="20"/>
        </w:rPr>
        <w:t xml:space="preserve"> </w:t>
      </w:r>
    </w:p>
    <w:p w14:paraId="78D4946A" w14:textId="77777777" w:rsidR="00FD1B99" w:rsidRPr="00897A01"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color w:val="000000"/>
          <w:sz w:val="20"/>
          <w:szCs w:val="20"/>
        </w:rPr>
      </w:pPr>
      <w:r w:rsidRPr="00897A01">
        <w:rPr>
          <w:rFonts w:ascii="Book Antiqua" w:hAnsi="Book Antiqua" w:cs="Times New Roman"/>
          <w:color w:val="000000"/>
          <w:sz w:val="20"/>
          <w:szCs w:val="20"/>
        </w:rPr>
        <w:tab/>
        <w:t xml:space="preserve">In her essay, </w:t>
      </w:r>
      <w:r w:rsidRPr="00897A01">
        <w:rPr>
          <w:rFonts w:ascii="Book Antiqua" w:hAnsi="Book Antiqua" w:cs="Times New Roman"/>
          <w:i/>
          <w:color w:val="000000"/>
          <w:sz w:val="20"/>
          <w:szCs w:val="20"/>
        </w:rPr>
        <w:t xml:space="preserve">The Madwoman and Her Languages </w:t>
      </w:r>
      <w:r w:rsidRPr="00897A01">
        <w:rPr>
          <w:rFonts w:ascii="Book Antiqua" w:hAnsi="Book Antiqua" w:cs="Times New Roman"/>
          <w:color w:val="000000"/>
          <w:sz w:val="20"/>
          <w:szCs w:val="20"/>
        </w:rPr>
        <w:t xml:space="preserve">(1984), Baym criticizes current feminist theories on the basis that the current feminist literary theory has not transcended misogynistic Freudian principles of women's identity, personality, and psychological make-up. All those stated theories have not contributed to a systematic and factual understanding of feminist but have just strengthened masculine superiority. Because the base for critical approach has been taken from male theoreticians. Baym places special emphasis on a more diverse and inclusive readings of literature written by woman. A diverse and inclusive reading will enable a better understanding and interpretation of those masterpieces.  </w:t>
      </w:r>
    </w:p>
    <w:p w14:paraId="0E4EAF41" w14:textId="77777777" w:rsidR="00FD1B99" w:rsidRPr="00897A01"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color w:val="000000"/>
          <w:sz w:val="20"/>
          <w:szCs w:val="20"/>
        </w:rPr>
      </w:pPr>
      <w:r w:rsidRPr="00897A01">
        <w:rPr>
          <w:rFonts w:ascii="Book Antiqua" w:hAnsi="Book Antiqua" w:cs="Times New Roman"/>
          <w:color w:val="000000"/>
          <w:sz w:val="20"/>
          <w:szCs w:val="20"/>
        </w:rPr>
        <w:tab/>
        <w:t xml:space="preserve">The essay focuses on four recurrent themes in available feminist literary theory: the madwoman, female language, the father, and the mother. She discusses how each of these motifs has been treated by feminist critics and underlines how their treatments have served to uphold the ‘hegemonic mindset that recapitulates and hence capitulates to fear, dislike, and contempt of women.’ (Baym, 1984: p. 280) </w:t>
      </w:r>
    </w:p>
    <w:p w14:paraId="7BA6171E" w14:textId="77777777" w:rsidR="00FD1B99" w:rsidRPr="00897A01"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color w:val="000000"/>
          <w:sz w:val="20"/>
          <w:szCs w:val="20"/>
        </w:rPr>
      </w:pPr>
      <w:r w:rsidRPr="00897A01">
        <w:rPr>
          <w:rFonts w:ascii="Book Antiqua" w:hAnsi="Book Antiqua" w:cs="Times New Roman"/>
          <w:color w:val="000000"/>
          <w:sz w:val="20"/>
          <w:szCs w:val="20"/>
        </w:rPr>
        <w:tab/>
        <w:t>The Madwoman section discusses Gilbert and Gubar's study of 19th century women writers entitles ‘The Madwoman in the Attic’. She claims that: Gilbert and Gubar believe that these writers has to be free women to a certain extent, since being able to write in the 19</w:t>
      </w:r>
      <w:r w:rsidRPr="00897A01">
        <w:rPr>
          <w:rFonts w:ascii="Book Antiqua" w:hAnsi="Book Antiqua" w:cs="Times New Roman"/>
          <w:color w:val="000000"/>
          <w:sz w:val="20"/>
          <w:szCs w:val="20"/>
          <w:vertAlign w:val="superscript"/>
        </w:rPr>
        <w:t>th</w:t>
      </w:r>
      <w:r w:rsidRPr="00897A01">
        <w:rPr>
          <w:rFonts w:ascii="Book Antiqua" w:hAnsi="Book Antiqua" w:cs="Times New Roman"/>
          <w:color w:val="000000"/>
          <w:sz w:val="20"/>
          <w:szCs w:val="20"/>
        </w:rPr>
        <w:t xml:space="preserve"> century requires a certain amount freedom from the patriarchy.</w:t>
      </w:r>
    </w:p>
    <w:p w14:paraId="2DD1D72E" w14:textId="77777777" w:rsidR="00FD1B99" w:rsidRPr="00897A01"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color w:val="000000"/>
          <w:sz w:val="20"/>
          <w:szCs w:val="20"/>
        </w:rPr>
      </w:pPr>
      <w:r w:rsidRPr="00897A01">
        <w:rPr>
          <w:rFonts w:ascii="Book Antiqua" w:hAnsi="Book Antiqua" w:cs="Times New Roman"/>
          <w:color w:val="000000"/>
          <w:sz w:val="20"/>
          <w:szCs w:val="20"/>
        </w:rPr>
        <w:tab/>
        <w:t>Baym says that the mistake that their explanation of the madwoman Bertha of Jane Eyre is that they are consistent with Bronte's treatment of Bertha, which is that she, as the revolt against the patriarchy, becomes horrible and that this makes her death not only acceptable but necessary for Jane's liberation. Baym criticized Gilbert and Gubar due to the fact they forgot that Bertha was a woman as well.Another major issue is that Baym's essay is the fact that the Madwoman Bertha is called as ‘non-lingual’ and is unable to use language to be able to defend herself with. Yet, this idea has been the basis of feminist criticism all along as the language is discriminatory and condescending towards woman. In second section called A Female Language, Baym is critical of modern feminists theorists such as Cixous and Irigaray for the fact that they believed  in a specificity of female language based on a determined difference, which in itself is based on misogynistic Lacanian theories. As such they are far from establishing a common ground for interpretation. Those theories claim that female language is identified with ‘madness, anti-reason, primitive darkness, mystery’ (Baym, 1984: p. 283). Along with this theory, there is the trend displayed by Gilbert and Gubar in  ‘Sexual Linguistics’ to display ‘language as women's territory because of the linguistic as well as biological primacy of the mother.’ (Baym, 1984: p.284) Yet, Baym believes this only serves to enforce gender discrimination with misogynist results.</w:t>
      </w:r>
    </w:p>
    <w:p w14:paraId="6638CE29" w14:textId="77777777" w:rsidR="00FD1B99" w:rsidRPr="00897A01"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color w:val="000000"/>
          <w:sz w:val="20"/>
          <w:szCs w:val="20"/>
        </w:rPr>
      </w:pPr>
      <w:r w:rsidRPr="00897A01">
        <w:rPr>
          <w:rFonts w:ascii="Book Antiqua" w:hAnsi="Book Antiqua" w:cs="Times New Roman"/>
          <w:color w:val="000000"/>
          <w:sz w:val="20"/>
          <w:szCs w:val="20"/>
        </w:rPr>
        <w:tab/>
        <w:t xml:space="preserve">The Father section criticizes Freudian views of what forms ‘feminine personality based in his Oedipus complex theories.’ According to this theory every boy has a latent desire to kill his own father and marry his mother. She once more denounces the conclusions set by Freud which put women into an‘immature and incomplete identity’ for the fact that their relationships with their fathers, and that influences their ideas and writing. Baym mentions Chodorow' s reading of Freud on the issue of girls ‘not being able to separate from their mothers as an explanation for several readings by feminist writers that take this as an explanation for ‘less organized, more connected and fluid personalities.’ (p. 286) She describes Lacanian theories as being harsher than Freud's. In The Mother section, Baym presents how post-Freudian analyses by feminist theories have not been able to present an adequate solution to the misogyny of Freud's ideas about the mother and the Oedipus/castration complexes. Baym notes that discussions of ‘pre-Oedipal mother’ still minimize the role of mothers in a child's development because they still depend on the Freudian concept of rejection of the mother at some stage of a child's life. Baym gives examples of women who expressed hatred towards their own mothers in their writing, and questions why they believe and act on Freud's theories. Baym argues: </w:t>
      </w:r>
    </w:p>
    <w:p w14:paraId="2C49DB8E" w14:textId="77777777" w:rsidR="00FD1B99" w:rsidRPr="00897A01"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color w:val="000000"/>
          <w:sz w:val="20"/>
          <w:szCs w:val="20"/>
        </w:rPr>
      </w:pPr>
    </w:p>
    <w:p w14:paraId="28789634" w14:textId="77777777" w:rsidR="00FD1B99" w:rsidRPr="00897A01"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ascii="Book Antiqua" w:hAnsi="Book Antiqua" w:cs="Times New Roman"/>
          <w:color w:val="000000"/>
          <w:sz w:val="20"/>
          <w:szCs w:val="20"/>
        </w:rPr>
      </w:pPr>
      <w:r w:rsidRPr="00897A01">
        <w:rPr>
          <w:rFonts w:ascii="Book Antiqua" w:hAnsi="Book Antiqua" w:cs="Times New Roman"/>
          <w:color w:val="000000"/>
          <w:sz w:val="20"/>
          <w:szCs w:val="20"/>
        </w:rPr>
        <w:t xml:space="preserve">The Freudian and the feminist agendas may coincide because feminists do not like their mothers or because feminists prefer to endow women with a revolutionary power that we cannot have if we have been part of the system all along. To say this is not to blame the victim, but to question our ability to carry, after so many centuries of implication, any pure revitilizing force. Our powers are limited and our agendas for change will have to take internal limitation into account." (Baym, 1984: p. 289) </w:t>
      </w:r>
    </w:p>
    <w:p w14:paraId="35270489" w14:textId="77777777" w:rsidR="00FD1B99" w:rsidRPr="00897A01"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ascii="Book Antiqua" w:hAnsi="Book Antiqua" w:cs="Times New Roman"/>
          <w:color w:val="000000"/>
          <w:sz w:val="20"/>
          <w:szCs w:val="20"/>
        </w:rPr>
      </w:pPr>
    </w:p>
    <w:p w14:paraId="34E5C5BA" w14:textId="77777777" w:rsidR="00FD1B99" w:rsidRPr="00897A01"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color w:val="000000"/>
          <w:sz w:val="20"/>
          <w:szCs w:val="20"/>
        </w:rPr>
      </w:pPr>
      <w:r w:rsidRPr="00897A01">
        <w:rPr>
          <w:rFonts w:ascii="Book Antiqua" w:hAnsi="Book Antiqua" w:cs="Times New Roman"/>
          <w:color w:val="000000"/>
          <w:sz w:val="20"/>
          <w:szCs w:val="20"/>
        </w:rPr>
        <w:tab/>
        <w:t>As such the essay essentially criticizes modern theory for being too institutionalized, or as Baym says, taking a legalist attitude in literary analysis. They both think theory should be more inclusive of new ideas and wary of complicity of traditional patriarchal misogynistic perspectives and explanations.</w:t>
      </w:r>
      <w:r w:rsidRPr="00897A01">
        <w:rPr>
          <w:rFonts w:ascii="Book Antiqua" w:hAnsi="Book Antiqua" w:cs="Times New Roman"/>
          <w:color w:val="000000"/>
          <w:sz w:val="20"/>
          <w:szCs w:val="20"/>
        </w:rPr>
        <w:tab/>
      </w:r>
    </w:p>
    <w:p w14:paraId="11EDDCBD" w14:textId="77777777" w:rsidR="00FD1B99" w:rsidRPr="00897A01" w:rsidRDefault="00FD1B99" w:rsidP="00FD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imes New Roman"/>
          <w:color w:val="000000"/>
          <w:sz w:val="20"/>
          <w:szCs w:val="20"/>
        </w:rPr>
      </w:pPr>
      <w:bookmarkStart w:id="3" w:name="_GoBack"/>
      <w:bookmarkEnd w:id="3"/>
      <w:r w:rsidRPr="00897A01">
        <w:rPr>
          <w:rFonts w:ascii="Book Antiqua" w:hAnsi="Book Antiqua" w:cs="Times New Roman"/>
          <w:color w:val="000000"/>
          <w:sz w:val="20"/>
          <w:szCs w:val="20"/>
        </w:rPr>
        <w:tab/>
        <w:t xml:space="preserve">In conclusion, feminist criticism objected patriarchal assumptions on women and responded to the masculine determination of what is feminine. This particular criticism tried to analyze woman’ s social, economic, political and psychological condition within literary texts and literary canon. This literary movement resisted and challenged the dogmas of male dominant doctrines. The study adds to our understanding of the early roots of misogyny, a brief history Feminist Criticism and analyzed Nina Baym’ s article </w:t>
      </w:r>
      <w:r w:rsidRPr="00897A01">
        <w:rPr>
          <w:rFonts w:ascii="Book Antiqua" w:hAnsi="Book Antiqua" w:cs="Times New Roman"/>
          <w:i/>
          <w:color w:val="000000"/>
          <w:sz w:val="20"/>
          <w:szCs w:val="20"/>
        </w:rPr>
        <w:t>The Madwoman and Her Languages</w:t>
      </w:r>
      <w:r w:rsidRPr="00897A01">
        <w:rPr>
          <w:rFonts w:ascii="Book Antiqua" w:hAnsi="Book Antiqua" w:cs="Times New Roman"/>
          <w:color w:val="000000"/>
          <w:sz w:val="20"/>
          <w:szCs w:val="20"/>
        </w:rPr>
        <w:t xml:space="preserve">. </w:t>
      </w:r>
    </w:p>
    <w:p w14:paraId="6D39FCB3" w14:textId="77777777" w:rsidR="00FD1B99" w:rsidRPr="00897A01" w:rsidRDefault="00FD1B99" w:rsidP="00FD1B99">
      <w:pPr>
        <w:jc w:val="both"/>
        <w:rPr>
          <w:rFonts w:ascii="Book Antiqua" w:hAnsi="Book Antiqua" w:cs="Times New Roman"/>
          <w:b/>
          <w:color w:val="000000"/>
          <w:sz w:val="20"/>
          <w:szCs w:val="20"/>
        </w:rPr>
      </w:pPr>
      <w:r w:rsidRPr="00897A01">
        <w:rPr>
          <w:rFonts w:ascii="Book Antiqua" w:hAnsi="Book Antiqua" w:cs="Times New Roman"/>
          <w:b/>
          <w:color w:val="000000"/>
          <w:sz w:val="20"/>
          <w:szCs w:val="20"/>
        </w:rPr>
        <w:t>Works Cited</w:t>
      </w:r>
    </w:p>
    <w:p w14:paraId="64A04826" w14:textId="77777777" w:rsidR="00FD1B99" w:rsidRPr="00897A01" w:rsidRDefault="00FD1B99" w:rsidP="00FD1B99">
      <w:pPr>
        <w:jc w:val="both"/>
        <w:rPr>
          <w:rFonts w:ascii="Book Antiqua" w:hAnsi="Book Antiqua" w:cs="Times New Roman"/>
          <w:color w:val="000000"/>
          <w:sz w:val="20"/>
          <w:szCs w:val="20"/>
        </w:rPr>
      </w:pPr>
      <w:r w:rsidRPr="00897A01">
        <w:rPr>
          <w:rFonts w:ascii="Book Antiqua" w:hAnsi="Book Antiqua" w:cs="Times New Roman"/>
          <w:color w:val="000000"/>
          <w:sz w:val="20"/>
          <w:szCs w:val="20"/>
        </w:rPr>
        <w:t xml:space="preserve">1- Saxonhouse, A. (1985). </w:t>
      </w:r>
      <w:r w:rsidRPr="00897A01">
        <w:rPr>
          <w:rFonts w:ascii="Book Antiqua" w:hAnsi="Book Antiqua" w:cs="Times New Roman"/>
          <w:i/>
          <w:color w:val="000000"/>
          <w:sz w:val="20"/>
          <w:szCs w:val="20"/>
        </w:rPr>
        <w:t>The Concept of Woman: the Aristotelian Revolution</w:t>
      </w:r>
      <w:r w:rsidRPr="00897A01">
        <w:rPr>
          <w:rFonts w:ascii="Book Antiqua" w:hAnsi="Book Antiqua" w:cs="Times New Roman"/>
          <w:color w:val="000000"/>
          <w:sz w:val="20"/>
          <w:szCs w:val="20"/>
        </w:rPr>
        <w:t>, 750 BC – AD 1250. Montreal: Eden Press.</w:t>
      </w:r>
    </w:p>
    <w:p w14:paraId="73FCD403" w14:textId="77777777" w:rsidR="00FD1B99" w:rsidRPr="00897A01" w:rsidRDefault="00FD1B99" w:rsidP="00FD1B99">
      <w:pPr>
        <w:jc w:val="both"/>
        <w:rPr>
          <w:rFonts w:ascii="Book Antiqua" w:hAnsi="Book Antiqua" w:cs="Times New Roman"/>
          <w:sz w:val="20"/>
          <w:szCs w:val="20"/>
        </w:rPr>
      </w:pPr>
      <w:r w:rsidRPr="00897A01">
        <w:rPr>
          <w:rFonts w:ascii="Book Antiqua" w:hAnsi="Book Antiqua" w:cs="Times New Roman"/>
          <w:color w:val="000000"/>
          <w:sz w:val="20"/>
          <w:szCs w:val="20"/>
        </w:rPr>
        <w:t>2-</w:t>
      </w:r>
      <w:r w:rsidRPr="00897A01">
        <w:rPr>
          <w:rFonts w:ascii="Book Antiqua" w:hAnsi="Book Antiqua" w:cs="Times New Roman"/>
          <w:sz w:val="20"/>
          <w:szCs w:val="20"/>
        </w:rPr>
        <w:t xml:space="preserve"> Holy Bible (1988</w:t>
      </w:r>
      <w:r w:rsidRPr="00897A01">
        <w:rPr>
          <w:rFonts w:ascii="Book Antiqua" w:hAnsi="Book Antiqua" w:cs="Times New Roman"/>
          <w:i/>
          <w:sz w:val="20"/>
          <w:szCs w:val="20"/>
        </w:rPr>
        <w:t>)</w:t>
      </w:r>
      <w:r w:rsidRPr="00897A01">
        <w:rPr>
          <w:rFonts w:ascii="Book Antiqua" w:hAnsi="Book Antiqua" w:cs="Times New Roman"/>
          <w:sz w:val="20"/>
          <w:szCs w:val="20"/>
        </w:rPr>
        <w:t>.</w:t>
      </w:r>
      <w:r w:rsidRPr="00897A01">
        <w:rPr>
          <w:rFonts w:ascii="Book Antiqua" w:hAnsi="Book Antiqua" w:cs="Times New Roman"/>
          <w:i/>
          <w:sz w:val="20"/>
          <w:szCs w:val="20"/>
        </w:rPr>
        <w:t xml:space="preserve"> Ryrie Study Bible</w:t>
      </w:r>
      <w:r w:rsidRPr="00897A01">
        <w:rPr>
          <w:rFonts w:ascii="Book Antiqua" w:hAnsi="Book Antiqua" w:cs="Times New Roman"/>
          <w:sz w:val="20"/>
          <w:szCs w:val="20"/>
        </w:rPr>
        <w:t>: New American Standard, Chicago, ILL, The Moody Bible Institute.</w:t>
      </w:r>
    </w:p>
    <w:p w14:paraId="455E5ABF" w14:textId="77777777" w:rsidR="00FD1B99" w:rsidRPr="00897A01" w:rsidRDefault="00FD1B99" w:rsidP="00FD1B99">
      <w:pPr>
        <w:jc w:val="both"/>
        <w:rPr>
          <w:rFonts w:ascii="Book Antiqua" w:hAnsi="Book Antiqua" w:cs="Times New Roman"/>
          <w:color w:val="000000"/>
          <w:sz w:val="20"/>
          <w:szCs w:val="20"/>
        </w:rPr>
      </w:pPr>
      <w:r w:rsidRPr="00897A01">
        <w:rPr>
          <w:rFonts w:ascii="Book Antiqua" w:hAnsi="Book Antiqua" w:cs="Times New Roman"/>
          <w:color w:val="000000"/>
          <w:sz w:val="20"/>
          <w:szCs w:val="20"/>
        </w:rPr>
        <w:t>3- Woolf, V. (2014).</w:t>
      </w:r>
      <w:r w:rsidRPr="00897A01">
        <w:rPr>
          <w:rFonts w:ascii="Book Antiqua" w:hAnsi="Book Antiqua" w:cs="Times New Roman"/>
          <w:i/>
          <w:color w:val="000000"/>
          <w:sz w:val="20"/>
          <w:szCs w:val="20"/>
        </w:rPr>
        <w:t xml:space="preserve"> A room for One’s Own</w:t>
      </w:r>
      <w:r w:rsidRPr="00897A01">
        <w:rPr>
          <w:rFonts w:ascii="Book Antiqua" w:hAnsi="Book Antiqua" w:cs="Times New Roman"/>
          <w:color w:val="000000"/>
          <w:sz w:val="20"/>
          <w:szCs w:val="20"/>
        </w:rPr>
        <w:t>, New York: Penguin Classics.</w:t>
      </w:r>
    </w:p>
    <w:p w14:paraId="4FCC1B57" w14:textId="77777777" w:rsidR="00FD1B99" w:rsidRPr="00897A01" w:rsidRDefault="00FD1B99" w:rsidP="00FD1B99">
      <w:pPr>
        <w:jc w:val="both"/>
        <w:rPr>
          <w:rFonts w:ascii="Book Antiqua" w:hAnsi="Book Antiqua" w:cs="Times New Roman"/>
          <w:color w:val="000000"/>
          <w:sz w:val="20"/>
          <w:szCs w:val="20"/>
        </w:rPr>
      </w:pPr>
      <w:r w:rsidRPr="00897A01">
        <w:rPr>
          <w:rFonts w:ascii="Book Antiqua" w:hAnsi="Book Antiqua" w:cs="Times New Roman"/>
          <w:color w:val="000000"/>
          <w:sz w:val="20"/>
          <w:szCs w:val="20"/>
        </w:rPr>
        <w:t xml:space="preserve">4- Sandra Gilber and Susan Gubar.(2002). </w:t>
      </w:r>
      <w:r w:rsidRPr="00897A01">
        <w:rPr>
          <w:rFonts w:ascii="Book Antiqua" w:hAnsi="Book Antiqua" w:cs="Times New Roman"/>
          <w:i/>
          <w:color w:val="000000"/>
          <w:sz w:val="20"/>
          <w:szCs w:val="20"/>
        </w:rPr>
        <w:t>The Madwoman in the Attic: the Woman Writer and the Nineteenth-Century Literary Imagination</w:t>
      </w:r>
      <w:r w:rsidRPr="00897A01">
        <w:rPr>
          <w:rFonts w:ascii="Book Antiqua" w:hAnsi="Book Antiqua" w:cs="Times New Roman"/>
          <w:color w:val="000000"/>
          <w:sz w:val="20"/>
          <w:szCs w:val="20"/>
        </w:rPr>
        <w:t xml:space="preserve">. New York: Penguin Classics.  </w:t>
      </w:r>
    </w:p>
    <w:p w14:paraId="6441BD28" w14:textId="77777777" w:rsidR="00FD1B99" w:rsidRPr="00897A01" w:rsidRDefault="00FD1B99" w:rsidP="00FD1B99">
      <w:pPr>
        <w:jc w:val="both"/>
        <w:rPr>
          <w:rFonts w:ascii="Book Antiqua" w:hAnsi="Book Antiqua" w:cs="Times New Roman"/>
          <w:color w:val="000000"/>
          <w:sz w:val="20"/>
          <w:szCs w:val="20"/>
        </w:rPr>
      </w:pPr>
      <w:r w:rsidRPr="00897A01">
        <w:rPr>
          <w:rFonts w:ascii="Book Antiqua" w:hAnsi="Book Antiqua" w:cs="Times New Roman"/>
          <w:color w:val="000000"/>
          <w:sz w:val="20"/>
          <w:szCs w:val="20"/>
        </w:rPr>
        <w:t xml:space="preserve">5- Toril Moi. (1975).  </w:t>
      </w:r>
      <w:r w:rsidRPr="00897A01">
        <w:rPr>
          <w:rFonts w:ascii="Book Antiqua" w:hAnsi="Book Antiqua" w:cs="Times New Roman"/>
          <w:i/>
          <w:color w:val="000000"/>
          <w:sz w:val="20"/>
          <w:szCs w:val="20"/>
        </w:rPr>
        <w:t>Sexual/ Textual Poltics</w:t>
      </w:r>
      <w:r w:rsidRPr="00897A01">
        <w:rPr>
          <w:rFonts w:ascii="Book Antiqua" w:hAnsi="Book Antiqua" w:cs="Times New Roman"/>
          <w:color w:val="000000"/>
          <w:sz w:val="20"/>
          <w:szCs w:val="20"/>
        </w:rPr>
        <w:t xml:space="preserve">: Feminist Literary Theory.  London:  Cambridge Press. </w:t>
      </w:r>
    </w:p>
    <w:p w14:paraId="49029E98" w14:textId="77777777" w:rsidR="00FD1B99" w:rsidRPr="00897A01" w:rsidRDefault="00FD1B99" w:rsidP="00FD1B99">
      <w:pPr>
        <w:jc w:val="both"/>
        <w:rPr>
          <w:rFonts w:ascii="Book Antiqua" w:hAnsi="Book Antiqua" w:cs="Times New Roman"/>
          <w:color w:val="000000"/>
          <w:sz w:val="20"/>
          <w:szCs w:val="20"/>
        </w:rPr>
      </w:pPr>
      <w:r w:rsidRPr="00897A01">
        <w:rPr>
          <w:rFonts w:ascii="Book Antiqua" w:hAnsi="Book Antiqua" w:cs="Times New Roman"/>
          <w:color w:val="000000"/>
          <w:sz w:val="20"/>
          <w:szCs w:val="20"/>
        </w:rPr>
        <w:t xml:space="preserve">6-Annette Kolodny.(1992).  </w:t>
      </w:r>
      <w:r w:rsidRPr="00897A01">
        <w:rPr>
          <w:rFonts w:ascii="Book Antiqua" w:hAnsi="Book Antiqua" w:cs="Times New Roman"/>
          <w:i/>
          <w:color w:val="000000"/>
          <w:sz w:val="20"/>
          <w:szCs w:val="20"/>
        </w:rPr>
        <w:t xml:space="preserve">Dancing through the Minefield: Some </w:t>
      </w:r>
      <w:r w:rsidRPr="00897A01">
        <w:rPr>
          <w:rFonts w:ascii="Book Antiqua" w:hAnsi="Book Antiqua" w:cs="Times New Roman"/>
          <w:i/>
          <w:color w:val="1C1C1C"/>
          <w:sz w:val="20"/>
          <w:szCs w:val="20"/>
        </w:rPr>
        <w:t>Observations on the Theory, Practice, and Politics of a Feminist Literary Criticism</w:t>
      </w:r>
      <w:r w:rsidRPr="00897A01">
        <w:rPr>
          <w:rFonts w:ascii="Book Antiqua" w:hAnsi="Book Antiqua" w:cs="Times New Roman"/>
          <w:color w:val="1C1C1C"/>
          <w:sz w:val="20"/>
          <w:szCs w:val="20"/>
        </w:rPr>
        <w:t xml:space="preserve">. New York: Columbia Press. </w:t>
      </w:r>
    </w:p>
    <w:p w14:paraId="048AF8C0" w14:textId="77777777" w:rsidR="001667A8" w:rsidRPr="00555316" w:rsidRDefault="001667A8" w:rsidP="00FD1B99">
      <w:pPr>
        <w:spacing w:after="0" w:line="276" w:lineRule="auto"/>
        <w:ind w:firstLine="284"/>
        <w:jc w:val="both"/>
        <w:rPr>
          <w:rFonts w:ascii="Book Antiqua" w:eastAsia="AdvGulliv-R" w:hAnsi="Book Antiqua" w:cs="Arial"/>
          <w:color w:val="000000"/>
          <w:sz w:val="18"/>
          <w:szCs w:val="18"/>
          <w:lang w:val="tr-TR"/>
        </w:rPr>
      </w:pPr>
    </w:p>
    <w:sectPr w:rsidR="001667A8" w:rsidRPr="00555316" w:rsidSect="001667A8">
      <w:headerReference w:type="defaul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92033" w14:textId="77777777" w:rsidR="00043A89" w:rsidRDefault="00043A89" w:rsidP="00200B39">
      <w:pPr>
        <w:spacing w:after="0" w:line="240" w:lineRule="auto"/>
      </w:pPr>
      <w:r>
        <w:separator/>
      </w:r>
    </w:p>
  </w:endnote>
  <w:endnote w:type="continuationSeparator" w:id="0">
    <w:p w14:paraId="61C699EB" w14:textId="77777777" w:rsidR="00043A89" w:rsidRDefault="00043A89" w:rsidP="0020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vGulliv-R">
    <w:altName w:val="Yu Gothic UI"/>
    <w:panose1 w:val="00000000000000000000"/>
    <w:charset w:val="80"/>
    <w:family w:val="auto"/>
    <w:notTrueType/>
    <w:pitch w:val="default"/>
    <w:sig w:usb0="00000005" w:usb1="08070000" w:usb2="00000010" w:usb3="00000000" w:csb0="00020010" w:csb1="00000000"/>
  </w:font>
  <w:font w:name="Palatino Linotype">
    <w:panose1 w:val="02040502050505030304"/>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16AC2" w14:textId="77777777" w:rsidR="001667A8" w:rsidRDefault="001667A8">
    <w:pPr>
      <w:pStyle w:val="Footer"/>
    </w:pPr>
    <w:r>
      <w:rPr>
        <w:rFonts w:ascii="Book Antiqua" w:hAnsi="Book Antiqua"/>
        <w:sz w:val="18"/>
        <w:szCs w:val="18"/>
      </w:rPr>
      <w:t>DOI: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696C3" w14:textId="77777777" w:rsidR="00043A89" w:rsidRDefault="00043A89" w:rsidP="00200B39">
      <w:pPr>
        <w:spacing w:after="0" w:line="240" w:lineRule="auto"/>
      </w:pPr>
      <w:r>
        <w:separator/>
      </w:r>
    </w:p>
  </w:footnote>
  <w:footnote w:type="continuationSeparator" w:id="0">
    <w:p w14:paraId="0E535E54" w14:textId="77777777" w:rsidR="00043A89" w:rsidRDefault="00043A89" w:rsidP="00200B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36E4B" w14:textId="77777777" w:rsidR="001667A8" w:rsidRPr="00F82DE2" w:rsidRDefault="001667A8" w:rsidP="001667A8">
    <w:pPr>
      <w:pStyle w:val="Header"/>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42307A">
      <w:rPr>
        <w:rFonts w:ascii="Palatino Linotype" w:hAnsi="Palatino Linotype"/>
        <w:noProof/>
        <w:sz w:val="18"/>
        <w:szCs w:val="18"/>
        <w:lang w:val="en-US"/>
      </w:rPr>
      <w:t>6</w:t>
    </w:r>
    <w:r w:rsidRPr="00F82DE2">
      <w:rPr>
        <w:rFonts w:ascii="Palatino Linotype" w:hAnsi="Palatino Linotype"/>
        <w:sz w:val="18"/>
        <w:szCs w:val="18"/>
      </w:rPr>
      <w:fldChar w:fldCharType="end"/>
    </w:r>
    <w:r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42307A">
      <w:rPr>
        <w:rFonts w:ascii="Palatino Linotype" w:hAnsi="Palatino Linotype"/>
        <w:noProof/>
        <w:sz w:val="18"/>
        <w:szCs w:val="18"/>
        <w:lang w:val="en-US"/>
      </w:rPr>
      <w:t>6</w:t>
    </w:r>
    <w:r w:rsidRPr="00F82DE2">
      <w:rPr>
        <w:rFonts w:ascii="Palatino Linotype" w:hAnsi="Palatino Linotype"/>
        <w:sz w:val="18"/>
        <w:szCs w:val="18"/>
      </w:rPr>
      <w:fldChar w:fldCharType="end"/>
    </w:r>
    <w:r w:rsidRPr="00F82DE2">
      <w:rPr>
        <w:rFonts w:ascii="Palatino Linotype" w:hAnsi="Palatino Linotype"/>
        <w:sz w:val="18"/>
        <w:szCs w:val="18"/>
        <w:lang w:val="en-US"/>
      </w:rPr>
      <w:tab/>
    </w:r>
    <w:r w:rsidR="00481C86">
      <w:rPr>
        <w:rFonts w:ascii="Book Antiqua" w:hAnsi="Book Antiqua"/>
        <w:sz w:val="18"/>
        <w:szCs w:val="18"/>
        <w:lang w:val="en-US"/>
      </w:rPr>
      <w:t xml:space="preserve">International Vocational Science </w:t>
    </w:r>
    <w:proofErr w:type="gramStart"/>
    <w:r w:rsidR="00481C86">
      <w:rPr>
        <w:rFonts w:ascii="Book Antiqua" w:hAnsi="Book Antiqua"/>
        <w:sz w:val="18"/>
        <w:szCs w:val="18"/>
        <w:lang w:val="en-US"/>
      </w:rPr>
      <w:t>Symposium</w:t>
    </w:r>
    <w:r w:rsidRPr="00F82DE2">
      <w:rPr>
        <w:rFonts w:ascii="Book Antiqua" w:hAnsi="Book Antiqua"/>
        <w:sz w:val="18"/>
        <w:szCs w:val="18"/>
        <w:lang w:val="en-US"/>
      </w:rPr>
      <w:t xml:space="preserve"> </w:t>
    </w:r>
    <w:r w:rsidR="00481C86">
      <w:rPr>
        <w:rFonts w:ascii="Book Antiqua" w:hAnsi="Book Antiqua"/>
        <w:sz w:val="18"/>
        <w:szCs w:val="18"/>
        <w:lang w:val="en-US"/>
      </w:rPr>
      <w:t>,</w:t>
    </w:r>
    <w:proofErr w:type="gramEnd"/>
    <w:r w:rsidR="00481C86">
      <w:rPr>
        <w:rFonts w:ascii="Book Antiqua" w:hAnsi="Book Antiqua"/>
        <w:sz w:val="18"/>
        <w:szCs w:val="18"/>
        <w:lang w:val="en-US"/>
      </w:rPr>
      <w:t xml:space="preserve"> IVSS 2018</w:t>
    </w:r>
  </w:p>
  <w:p w14:paraId="492B0A9D" w14:textId="77777777" w:rsidR="003E49F0" w:rsidRPr="001667A8" w:rsidRDefault="003E49F0" w:rsidP="001667A8">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296615"/>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32"/>
    <w:rsid w:val="00005DEC"/>
    <w:rsid w:val="00013223"/>
    <w:rsid w:val="00013FE4"/>
    <w:rsid w:val="00014B11"/>
    <w:rsid w:val="00026689"/>
    <w:rsid w:val="00030ED5"/>
    <w:rsid w:val="000355F1"/>
    <w:rsid w:val="0004317F"/>
    <w:rsid w:val="00043A89"/>
    <w:rsid w:val="00044ED9"/>
    <w:rsid w:val="0004797B"/>
    <w:rsid w:val="00053818"/>
    <w:rsid w:val="0006412B"/>
    <w:rsid w:val="000953CC"/>
    <w:rsid w:val="000C7943"/>
    <w:rsid w:val="000D7906"/>
    <w:rsid w:val="00102AC1"/>
    <w:rsid w:val="00110C32"/>
    <w:rsid w:val="00114989"/>
    <w:rsid w:val="001410AC"/>
    <w:rsid w:val="001448BB"/>
    <w:rsid w:val="001469B9"/>
    <w:rsid w:val="001667A8"/>
    <w:rsid w:val="00171C95"/>
    <w:rsid w:val="00193D08"/>
    <w:rsid w:val="001C2094"/>
    <w:rsid w:val="001D40AE"/>
    <w:rsid w:val="001E73E6"/>
    <w:rsid w:val="00200B39"/>
    <w:rsid w:val="00220247"/>
    <w:rsid w:val="00223BE5"/>
    <w:rsid w:val="00230488"/>
    <w:rsid w:val="00236141"/>
    <w:rsid w:val="00241CD3"/>
    <w:rsid w:val="0024531E"/>
    <w:rsid w:val="00252DEF"/>
    <w:rsid w:val="00265546"/>
    <w:rsid w:val="00277C5A"/>
    <w:rsid w:val="00282284"/>
    <w:rsid w:val="002A76A7"/>
    <w:rsid w:val="002D2E71"/>
    <w:rsid w:val="002E20F5"/>
    <w:rsid w:val="002E4F31"/>
    <w:rsid w:val="002F23AA"/>
    <w:rsid w:val="00300F86"/>
    <w:rsid w:val="00306C68"/>
    <w:rsid w:val="00317D95"/>
    <w:rsid w:val="0032331B"/>
    <w:rsid w:val="0034288F"/>
    <w:rsid w:val="00353BCE"/>
    <w:rsid w:val="003566AD"/>
    <w:rsid w:val="0036201A"/>
    <w:rsid w:val="003733C1"/>
    <w:rsid w:val="00387923"/>
    <w:rsid w:val="0039386F"/>
    <w:rsid w:val="003E49F0"/>
    <w:rsid w:val="00400B26"/>
    <w:rsid w:val="004048A5"/>
    <w:rsid w:val="0042046E"/>
    <w:rsid w:val="0042307A"/>
    <w:rsid w:val="00435ECB"/>
    <w:rsid w:val="00436286"/>
    <w:rsid w:val="0043752F"/>
    <w:rsid w:val="0044584B"/>
    <w:rsid w:val="0046648C"/>
    <w:rsid w:val="004664E8"/>
    <w:rsid w:val="00467500"/>
    <w:rsid w:val="00470821"/>
    <w:rsid w:val="00481C86"/>
    <w:rsid w:val="004824C8"/>
    <w:rsid w:val="004832E4"/>
    <w:rsid w:val="00485620"/>
    <w:rsid w:val="004A0269"/>
    <w:rsid w:val="00501039"/>
    <w:rsid w:val="0050176E"/>
    <w:rsid w:val="00521410"/>
    <w:rsid w:val="00522E79"/>
    <w:rsid w:val="00526031"/>
    <w:rsid w:val="00541093"/>
    <w:rsid w:val="005447FB"/>
    <w:rsid w:val="00552BBC"/>
    <w:rsid w:val="00555316"/>
    <w:rsid w:val="005627EF"/>
    <w:rsid w:val="0056348B"/>
    <w:rsid w:val="00572BAE"/>
    <w:rsid w:val="00582529"/>
    <w:rsid w:val="0059476A"/>
    <w:rsid w:val="005A3C61"/>
    <w:rsid w:val="005A4366"/>
    <w:rsid w:val="005C105A"/>
    <w:rsid w:val="005D11E5"/>
    <w:rsid w:val="005D3335"/>
    <w:rsid w:val="005D5F46"/>
    <w:rsid w:val="005F0F2D"/>
    <w:rsid w:val="005F1C4F"/>
    <w:rsid w:val="005F2F67"/>
    <w:rsid w:val="00601E30"/>
    <w:rsid w:val="006218CE"/>
    <w:rsid w:val="0062720E"/>
    <w:rsid w:val="006302AA"/>
    <w:rsid w:val="00635F04"/>
    <w:rsid w:val="006440DB"/>
    <w:rsid w:val="0065314B"/>
    <w:rsid w:val="00682894"/>
    <w:rsid w:val="006B20BC"/>
    <w:rsid w:val="006B34CB"/>
    <w:rsid w:val="006B4D5A"/>
    <w:rsid w:val="006C316D"/>
    <w:rsid w:val="006C45E1"/>
    <w:rsid w:val="006E6C0C"/>
    <w:rsid w:val="006F39FE"/>
    <w:rsid w:val="006F3D77"/>
    <w:rsid w:val="0070713E"/>
    <w:rsid w:val="007130CF"/>
    <w:rsid w:val="0072251B"/>
    <w:rsid w:val="00745BF6"/>
    <w:rsid w:val="00755C5D"/>
    <w:rsid w:val="00790653"/>
    <w:rsid w:val="007A5446"/>
    <w:rsid w:val="007A719D"/>
    <w:rsid w:val="007D17B9"/>
    <w:rsid w:val="007D2E6B"/>
    <w:rsid w:val="007E636A"/>
    <w:rsid w:val="0080047A"/>
    <w:rsid w:val="00807963"/>
    <w:rsid w:val="00836F76"/>
    <w:rsid w:val="00847F7B"/>
    <w:rsid w:val="0086743E"/>
    <w:rsid w:val="00875F3E"/>
    <w:rsid w:val="00880CE3"/>
    <w:rsid w:val="00887247"/>
    <w:rsid w:val="008A7352"/>
    <w:rsid w:val="008B1E0B"/>
    <w:rsid w:val="008B5157"/>
    <w:rsid w:val="008B7B21"/>
    <w:rsid w:val="008C67B9"/>
    <w:rsid w:val="008C707C"/>
    <w:rsid w:val="008D578D"/>
    <w:rsid w:val="008D7B81"/>
    <w:rsid w:val="008E0FA2"/>
    <w:rsid w:val="008E1BF8"/>
    <w:rsid w:val="008E7D11"/>
    <w:rsid w:val="008E7E0A"/>
    <w:rsid w:val="0092778B"/>
    <w:rsid w:val="00935BB3"/>
    <w:rsid w:val="00957C7F"/>
    <w:rsid w:val="00957E9E"/>
    <w:rsid w:val="00965D33"/>
    <w:rsid w:val="00976B4E"/>
    <w:rsid w:val="009B410B"/>
    <w:rsid w:val="009C3483"/>
    <w:rsid w:val="009E02E6"/>
    <w:rsid w:val="009F4CE7"/>
    <w:rsid w:val="00A104F7"/>
    <w:rsid w:val="00A33FF6"/>
    <w:rsid w:val="00A63AF9"/>
    <w:rsid w:val="00A71E8B"/>
    <w:rsid w:val="00A725E7"/>
    <w:rsid w:val="00A8739C"/>
    <w:rsid w:val="00A905F6"/>
    <w:rsid w:val="00A92045"/>
    <w:rsid w:val="00AA4F32"/>
    <w:rsid w:val="00AB34E5"/>
    <w:rsid w:val="00AC30CB"/>
    <w:rsid w:val="00AC5626"/>
    <w:rsid w:val="00AE4CE5"/>
    <w:rsid w:val="00AE6890"/>
    <w:rsid w:val="00B00BAE"/>
    <w:rsid w:val="00B21914"/>
    <w:rsid w:val="00B35318"/>
    <w:rsid w:val="00B40605"/>
    <w:rsid w:val="00B4151A"/>
    <w:rsid w:val="00B53AB7"/>
    <w:rsid w:val="00B605D6"/>
    <w:rsid w:val="00B75408"/>
    <w:rsid w:val="00B80273"/>
    <w:rsid w:val="00B92FAD"/>
    <w:rsid w:val="00BA3567"/>
    <w:rsid w:val="00BB47B2"/>
    <w:rsid w:val="00BB57D5"/>
    <w:rsid w:val="00BC52EA"/>
    <w:rsid w:val="00BD3CAC"/>
    <w:rsid w:val="00BE29AC"/>
    <w:rsid w:val="00BE5815"/>
    <w:rsid w:val="00BF145C"/>
    <w:rsid w:val="00C013CA"/>
    <w:rsid w:val="00C01CE3"/>
    <w:rsid w:val="00C026BB"/>
    <w:rsid w:val="00C11790"/>
    <w:rsid w:val="00C55423"/>
    <w:rsid w:val="00C75525"/>
    <w:rsid w:val="00C863C6"/>
    <w:rsid w:val="00C91D77"/>
    <w:rsid w:val="00CA2117"/>
    <w:rsid w:val="00CB5904"/>
    <w:rsid w:val="00CC5192"/>
    <w:rsid w:val="00CC6828"/>
    <w:rsid w:val="00CC7D9E"/>
    <w:rsid w:val="00CE3FC1"/>
    <w:rsid w:val="00CF3039"/>
    <w:rsid w:val="00CF30CD"/>
    <w:rsid w:val="00D00506"/>
    <w:rsid w:val="00D00D0E"/>
    <w:rsid w:val="00D214DA"/>
    <w:rsid w:val="00D23CF4"/>
    <w:rsid w:val="00D35269"/>
    <w:rsid w:val="00D37E34"/>
    <w:rsid w:val="00D810F8"/>
    <w:rsid w:val="00DA28DC"/>
    <w:rsid w:val="00DA4CE4"/>
    <w:rsid w:val="00DB042C"/>
    <w:rsid w:val="00DB261C"/>
    <w:rsid w:val="00DD67BF"/>
    <w:rsid w:val="00DD6DB0"/>
    <w:rsid w:val="00DE5DB6"/>
    <w:rsid w:val="00E036F7"/>
    <w:rsid w:val="00E2159E"/>
    <w:rsid w:val="00E21B77"/>
    <w:rsid w:val="00E414D5"/>
    <w:rsid w:val="00E51228"/>
    <w:rsid w:val="00E535E6"/>
    <w:rsid w:val="00E55A13"/>
    <w:rsid w:val="00E70A8F"/>
    <w:rsid w:val="00E84C0D"/>
    <w:rsid w:val="00E86186"/>
    <w:rsid w:val="00E94B1C"/>
    <w:rsid w:val="00EB424A"/>
    <w:rsid w:val="00EB5344"/>
    <w:rsid w:val="00EC1D3A"/>
    <w:rsid w:val="00EF2873"/>
    <w:rsid w:val="00F01FFF"/>
    <w:rsid w:val="00F16289"/>
    <w:rsid w:val="00F30325"/>
    <w:rsid w:val="00F31F77"/>
    <w:rsid w:val="00F40F3B"/>
    <w:rsid w:val="00F61F8B"/>
    <w:rsid w:val="00F6320E"/>
    <w:rsid w:val="00F7026F"/>
    <w:rsid w:val="00F927BD"/>
    <w:rsid w:val="00F9570D"/>
    <w:rsid w:val="00FB3275"/>
    <w:rsid w:val="00FC2052"/>
    <w:rsid w:val="00FD0B31"/>
    <w:rsid w:val="00FD1B99"/>
    <w:rsid w:val="00FD3D7C"/>
    <w:rsid w:val="00FF4E3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6A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Heading2">
    <w:name w:val="heading 2"/>
    <w:basedOn w:val="Normal"/>
    <w:next w:val="Normal"/>
    <w:link w:val="Heading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Heading4">
    <w:name w:val="heading 4"/>
    <w:basedOn w:val="Normal"/>
    <w:next w:val="Normal"/>
    <w:link w:val="Heading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E32"/>
    <w:rPr>
      <w:color w:val="0000FF" w:themeColor="hyperlink"/>
      <w:u w:val="single"/>
    </w:rPr>
  </w:style>
  <w:style w:type="paragraph" w:styleId="ListParagraph">
    <w:name w:val="List Paragraph"/>
    <w:basedOn w:val="Normal"/>
    <w:uiPriority w:val="34"/>
    <w:qFormat/>
    <w:rsid w:val="00200B39"/>
    <w:pPr>
      <w:ind w:left="720"/>
      <w:contextualSpacing/>
    </w:pPr>
  </w:style>
  <w:style w:type="paragraph" w:styleId="BalloonText">
    <w:name w:val="Balloon Text"/>
    <w:basedOn w:val="Normal"/>
    <w:link w:val="BalloonTextChar"/>
    <w:uiPriority w:val="99"/>
    <w:semiHidden/>
    <w:unhideWhenUsed/>
    <w:rsid w:val="00200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B39"/>
    <w:rPr>
      <w:rFonts w:ascii="Tahoma" w:hAnsi="Tahoma" w:cs="Tahoma"/>
      <w:sz w:val="16"/>
      <w:szCs w:val="16"/>
      <w:lang w:val="nb-NO"/>
    </w:rPr>
  </w:style>
  <w:style w:type="paragraph" w:styleId="Header">
    <w:name w:val="header"/>
    <w:basedOn w:val="Normal"/>
    <w:link w:val="HeaderChar"/>
    <w:uiPriority w:val="99"/>
    <w:unhideWhenUsed/>
    <w:rsid w:val="00200B39"/>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200B39"/>
    <w:rPr>
      <w:rFonts w:asciiTheme="minorHAnsi" w:hAnsiTheme="minorHAnsi"/>
      <w:sz w:val="22"/>
      <w:lang w:val="nb-NO"/>
    </w:rPr>
  </w:style>
  <w:style w:type="paragraph" w:styleId="Footer">
    <w:name w:val="footer"/>
    <w:basedOn w:val="Normal"/>
    <w:link w:val="FooterChar"/>
    <w:uiPriority w:val="99"/>
    <w:unhideWhenUsed/>
    <w:rsid w:val="00200B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Heading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Heading4Char">
    <w:name w:val="Heading 4 Char"/>
    <w:basedOn w:val="DefaultParagraphFont"/>
    <w:link w:val="Heading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eGrid">
    <w:name w:val="Table Grid"/>
    <w:basedOn w:val="TableNormal"/>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Preformatted">
    <w:name w:val="HTML Preformatted"/>
    <w:basedOn w:val="Normal"/>
    <w:link w:val="HTMLPreformatted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DefaultParagraphFont"/>
    <w:rsid w:val="00005DEC"/>
  </w:style>
  <w:style w:type="character" w:customStyle="1" w:styleId="Heading2Char">
    <w:name w:val="Heading 2 Char"/>
    <w:basedOn w:val="DefaultParagraphFont"/>
    <w:link w:val="Heading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DefaultParagraphFont"/>
    <w:rsid w:val="005A4366"/>
  </w:style>
  <w:style w:type="character" w:customStyle="1" w:styleId="size-xl">
    <w:name w:val="size-xl"/>
    <w:basedOn w:val="DefaultParagraphFont"/>
    <w:rsid w:val="005A43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Heading2">
    <w:name w:val="heading 2"/>
    <w:basedOn w:val="Normal"/>
    <w:next w:val="Normal"/>
    <w:link w:val="Heading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Heading4">
    <w:name w:val="heading 4"/>
    <w:basedOn w:val="Normal"/>
    <w:next w:val="Normal"/>
    <w:link w:val="Heading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E32"/>
    <w:rPr>
      <w:color w:val="0000FF" w:themeColor="hyperlink"/>
      <w:u w:val="single"/>
    </w:rPr>
  </w:style>
  <w:style w:type="paragraph" w:styleId="ListParagraph">
    <w:name w:val="List Paragraph"/>
    <w:basedOn w:val="Normal"/>
    <w:uiPriority w:val="34"/>
    <w:qFormat/>
    <w:rsid w:val="00200B39"/>
    <w:pPr>
      <w:ind w:left="720"/>
      <w:contextualSpacing/>
    </w:pPr>
  </w:style>
  <w:style w:type="paragraph" w:styleId="BalloonText">
    <w:name w:val="Balloon Text"/>
    <w:basedOn w:val="Normal"/>
    <w:link w:val="BalloonTextChar"/>
    <w:uiPriority w:val="99"/>
    <w:semiHidden/>
    <w:unhideWhenUsed/>
    <w:rsid w:val="00200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B39"/>
    <w:rPr>
      <w:rFonts w:ascii="Tahoma" w:hAnsi="Tahoma" w:cs="Tahoma"/>
      <w:sz w:val="16"/>
      <w:szCs w:val="16"/>
      <w:lang w:val="nb-NO"/>
    </w:rPr>
  </w:style>
  <w:style w:type="paragraph" w:styleId="Header">
    <w:name w:val="header"/>
    <w:basedOn w:val="Normal"/>
    <w:link w:val="HeaderChar"/>
    <w:uiPriority w:val="99"/>
    <w:unhideWhenUsed/>
    <w:rsid w:val="00200B39"/>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200B39"/>
    <w:rPr>
      <w:rFonts w:asciiTheme="minorHAnsi" w:hAnsiTheme="minorHAnsi"/>
      <w:sz w:val="22"/>
      <w:lang w:val="nb-NO"/>
    </w:rPr>
  </w:style>
  <w:style w:type="paragraph" w:styleId="Footer">
    <w:name w:val="footer"/>
    <w:basedOn w:val="Normal"/>
    <w:link w:val="FooterChar"/>
    <w:uiPriority w:val="99"/>
    <w:unhideWhenUsed/>
    <w:rsid w:val="00200B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Heading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Heading4Char">
    <w:name w:val="Heading 4 Char"/>
    <w:basedOn w:val="DefaultParagraphFont"/>
    <w:link w:val="Heading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eGrid">
    <w:name w:val="Table Grid"/>
    <w:basedOn w:val="TableNormal"/>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Preformatted">
    <w:name w:val="HTML Preformatted"/>
    <w:basedOn w:val="Normal"/>
    <w:link w:val="HTMLPreformatted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DefaultParagraphFont"/>
    <w:rsid w:val="00005DEC"/>
  </w:style>
  <w:style w:type="character" w:customStyle="1" w:styleId="Heading2Char">
    <w:name w:val="Heading 2 Char"/>
    <w:basedOn w:val="DefaultParagraphFont"/>
    <w:link w:val="Heading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DefaultParagraphFont"/>
    <w:rsid w:val="005A4366"/>
  </w:style>
  <w:style w:type="character" w:customStyle="1" w:styleId="size-xl">
    <w:name w:val="size-xl"/>
    <w:basedOn w:val="DefaultParagraphFont"/>
    <w:rsid w:val="005A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inproc.pwr.wroc.pl/journal/" TargetMode="External"/><Relationship Id="rId10" Type="http://schemas.openxmlformats.org/officeDocument/2006/relationships/hyperlink" Target="mailto:fikretguven@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3308</Words>
  <Characters>18856</Characters>
  <Application>Microsoft Macintosh Word</Application>
  <DocSecurity>0</DocSecurity>
  <Lines>157</Lines>
  <Paragraphs>44</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fikret güven</cp:lastModifiedBy>
  <cp:revision>2</cp:revision>
  <cp:lastPrinted>2018-01-15T10:21:00Z</cp:lastPrinted>
  <dcterms:created xsi:type="dcterms:W3CDTF">2018-06-29T12:32:00Z</dcterms:created>
  <dcterms:modified xsi:type="dcterms:W3CDTF">2018-06-29T12:32:00Z</dcterms:modified>
</cp:coreProperties>
</file>