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72EB9" w14:textId="77777777" w:rsidR="009670C5" w:rsidRPr="00B14A52" w:rsidRDefault="009670C5" w:rsidP="00B14A52">
      <w:pPr>
        <w:pStyle w:val="A9"/>
        <w:spacing w:line="240" w:lineRule="auto"/>
        <w:rPr>
          <w:rFonts w:ascii="Calibri" w:hAnsi="Calibri" w:cs="Times New Roman"/>
          <w:b/>
          <w:bCs/>
          <w:sz w:val="22"/>
          <w:szCs w:val="22"/>
        </w:rPr>
      </w:pPr>
      <w:bookmarkStart w:id="0" w:name="_GoBack"/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Comparision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of Risk Of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Malignancy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Indices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and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Assesment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of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Different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Neoplasias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in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the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Adnexa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( </w:t>
      </w:r>
      <w:bookmarkEnd w:id="0"/>
      <w:r w:rsidRPr="00B14A52">
        <w:rPr>
          <w:rStyle w:val="Gl"/>
          <w:rFonts w:ascii="Calibri" w:hAnsi="Calibri" w:cs="Times New Roman"/>
          <w:sz w:val="22"/>
          <w:szCs w:val="22"/>
        </w:rPr>
        <w:t xml:space="preserve">ADNEX) Model as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preoperative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malignancy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evaluation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methods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for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adnexal</w:t>
      </w:r>
      <w:proofErr w:type="spellEnd"/>
      <w:r w:rsidRPr="00B14A52">
        <w:rPr>
          <w:rStyle w:val="Gl"/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Style w:val="Gl"/>
          <w:rFonts w:ascii="Calibri" w:hAnsi="Calibri" w:cs="Times New Roman"/>
          <w:sz w:val="22"/>
          <w:szCs w:val="22"/>
        </w:rPr>
        <w:t>masses</w:t>
      </w:r>
      <w:proofErr w:type="spellEnd"/>
      <w:r w:rsidRPr="00B14A52">
        <w:rPr>
          <w:rFonts w:ascii="Calibri" w:hAnsi="Calibri" w:cs="Times New Roman"/>
          <w:b/>
          <w:bCs/>
          <w:color w:val="212121"/>
          <w:sz w:val="22"/>
          <w:szCs w:val="22"/>
        </w:rPr>
        <w:t> </w:t>
      </w:r>
    </w:p>
    <w:p w14:paraId="7F1818B7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Fonts w:ascii="Calibri" w:hAnsi="Calibri"/>
          <w:b/>
          <w:bCs/>
          <w:color w:val="212121"/>
          <w:sz w:val="22"/>
          <w:szCs w:val="22"/>
        </w:rPr>
      </w:pPr>
      <w:proofErr w:type="spellStart"/>
      <w:r w:rsidRPr="00B14A52">
        <w:rPr>
          <w:rFonts w:ascii="Calibri" w:hAnsi="Calibri"/>
          <w:b/>
          <w:bCs/>
          <w:color w:val="212121"/>
          <w:sz w:val="22"/>
          <w:szCs w:val="22"/>
        </w:rPr>
        <w:t>Aim</w:t>
      </w:r>
      <w:proofErr w:type="spellEnd"/>
    </w:p>
    <w:p w14:paraId="5A791672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Fonts w:ascii="Calibri" w:hAnsi="Calibri"/>
          <w:color w:val="212121"/>
          <w:sz w:val="22"/>
          <w:szCs w:val="22"/>
        </w:rPr>
      </w:pPr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Preoperative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evaluation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of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adnexial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masses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is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crucial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decision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processes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of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preoperative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preparation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.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It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is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also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directly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related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to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prognosis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.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In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this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study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we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aimed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to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evaluate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the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performances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versions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of Risk of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Malignancy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Index (RMI)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Assesment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Different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Neoplasias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in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the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Adnexa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(ADNEX) model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diagnosis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malignancy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>.</w:t>
      </w:r>
    </w:p>
    <w:p w14:paraId="725EF7E4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Fonts w:ascii="Calibri" w:hAnsi="Calibri"/>
          <w:b/>
          <w:bCs/>
          <w:color w:val="212121"/>
          <w:sz w:val="22"/>
          <w:szCs w:val="22"/>
        </w:rPr>
      </w:pPr>
      <w:proofErr w:type="spellStart"/>
      <w:r w:rsidRPr="00B14A52">
        <w:rPr>
          <w:rFonts w:ascii="Calibri" w:hAnsi="Calibri"/>
          <w:b/>
          <w:bCs/>
          <w:color w:val="212121"/>
          <w:sz w:val="22"/>
          <w:szCs w:val="22"/>
        </w:rPr>
        <w:t>Matherials</w:t>
      </w:r>
      <w:proofErr w:type="spellEnd"/>
      <w:r w:rsidRPr="00B14A52">
        <w:rPr>
          <w:rFonts w:ascii="Calibri" w:hAnsi="Calibri"/>
          <w:b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/>
          <w:bCs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b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/>
          <w:bCs/>
          <w:color w:val="212121"/>
          <w:sz w:val="22"/>
          <w:szCs w:val="22"/>
        </w:rPr>
        <w:t>Method</w:t>
      </w:r>
      <w:proofErr w:type="spellEnd"/>
    </w:p>
    <w:p w14:paraId="4058D5EC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Style w:val="apple-converted-space"/>
          <w:rFonts w:ascii="Calibri" w:hAnsi="Calibri"/>
          <w:color w:val="212121"/>
          <w:sz w:val="22"/>
          <w:szCs w:val="22"/>
        </w:rPr>
      </w:pP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retrospectively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evaluated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patients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who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applied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with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adnexial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mass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to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our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tertiary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gynecolocial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center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between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1st of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September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, 2014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30th of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July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, 2016. </w:t>
      </w:r>
    </w:p>
    <w:p w14:paraId="2B138E62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Style w:val="apple-converted-space"/>
          <w:rFonts w:ascii="Calibri" w:hAnsi="Calibri"/>
          <w:color w:val="212121"/>
          <w:sz w:val="22"/>
          <w:szCs w:val="22"/>
        </w:rPr>
      </w:pPr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Of 206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patients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, 15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excluded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due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to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missing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CA 125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ultrasonograpic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measurement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recurrent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ovarian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cancer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diagnoses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.</w:t>
      </w:r>
    </w:p>
    <w:p w14:paraId="284A22AA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Style w:val="apple-converted-space"/>
          <w:rFonts w:ascii="Calibri" w:hAnsi="Calibri"/>
          <w:color w:val="212121"/>
          <w:sz w:val="22"/>
          <w:szCs w:val="22"/>
        </w:rPr>
      </w:pPr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191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patients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included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into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the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study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.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Demographic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,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ultrasonographic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data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CA-125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values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all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recorded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RMI I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to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IV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scores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malignancy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risk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percents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ADNEX model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calculated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. </w:t>
      </w:r>
      <w:r w:rsidRPr="00B14A52">
        <w:rPr>
          <w:rFonts w:ascii="Calibri" w:hAnsi="Calibri"/>
          <w:color w:val="212121"/>
          <w:sz w:val="22"/>
          <w:szCs w:val="22"/>
        </w:rPr>
        <w:t xml:space="preserve">Three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cut-off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values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malignancy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probabilites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(5%, 10%,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15%)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applied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ADNEX model.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Results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compared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to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postoperative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pathological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>diagnoses</w:t>
      </w:r>
      <w:proofErr w:type="spellEnd"/>
      <w:r w:rsidRPr="00B14A52">
        <w:rPr>
          <w:rStyle w:val="apple-converted-space"/>
          <w:rFonts w:ascii="Calibri" w:hAnsi="Calibri"/>
          <w:color w:val="212121"/>
          <w:sz w:val="22"/>
          <w:szCs w:val="22"/>
        </w:rPr>
        <w:t xml:space="preserve">. </w:t>
      </w:r>
    </w:p>
    <w:p w14:paraId="3F209E29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Fonts w:ascii="Calibri" w:hAnsi="Calibri"/>
          <w:b/>
          <w:bCs/>
          <w:color w:val="212121"/>
          <w:sz w:val="22"/>
          <w:szCs w:val="22"/>
        </w:rPr>
      </w:pPr>
      <w:r w:rsidRPr="00B14A52">
        <w:rPr>
          <w:rFonts w:ascii="Calibri" w:hAnsi="Calibri"/>
          <w:b/>
          <w:bCs/>
          <w:color w:val="212121"/>
          <w:sz w:val="22"/>
          <w:szCs w:val="22"/>
        </w:rPr>
        <w:t>FINDINGS</w:t>
      </w:r>
      <w:r w:rsidRPr="00B14A52">
        <w:rPr>
          <w:rFonts w:ascii="Calibri" w:hAnsi="Calibri"/>
          <w:color w:val="212121"/>
          <w:sz w:val="22"/>
          <w:szCs w:val="22"/>
        </w:rPr>
        <w:t xml:space="preserve">.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Sensitivity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(SEN),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specifity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(SPE),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positive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predictive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value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(PPV),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negative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predictive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value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(NPV)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66%, 88.4%, 68.6%,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87.1%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RMI I, 75.5%, 78.3%, 57.1%,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89.3%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RMI II, 66%, 88.4%, 68.6%,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87.1%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RMI III,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67.9%, 90.6%, 73.5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88%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RMI IV.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ADNEX model, SEN, SPE, PPV,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NPV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values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were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98.1%, 46.4%, 41.3%,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98.5%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cut-off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value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of 5%, 94.3%, 63%, 49,5%,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96.7%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cut-off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value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of 10%,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94.3%, 72.5%, 56.8%,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97.1%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cut-off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color w:val="212121"/>
          <w:sz w:val="22"/>
          <w:szCs w:val="22"/>
        </w:rPr>
        <w:t>value</w:t>
      </w:r>
      <w:proofErr w:type="spellEnd"/>
      <w:r w:rsidRPr="00B14A52">
        <w:rPr>
          <w:rFonts w:ascii="Calibri" w:hAnsi="Calibri"/>
          <w:color w:val="212121"/>
          <w:sz w:val="22"/>
          <w:szCs w:val="22"/>
        </w:rPr>
        <w:t xml:space="preserve"> of 15%.</w:t>
      </w:r>
      <w:r w:rsidRPr="00B14A52">
        <w:rPr>
          <w:rFonts w:ascii="Calibri" w:hAnsi="Calibri"/>
          <w:color w:val="212121"/>
          <w:sz w:val="22"/>
          <w:szCs w:val="22"/>
        </w:rPr>
        <w:br/>
      </w:r>
    </w:p>
    <w:p w14:paraId="616072E5" w14:textId="77777777" w:rsidR="009670C5" w:rsidRPr="00B14A52" w:rsidRDefault="009670C5" w:rsidP="009670C5">
      <w:pPr>
        <w:pStyle w:val="xmsonormal"/>
        <w:shd w:val="clear" w:color="auto" w:fill="FFFFFF"/>
        <w:spacing w:after="0" w:afterAutospacing="0" w:line="338" w:lineRule="atLeast"/>
        <w:rPr>
          <w:rFonts w:ascii="Calibri" w:hAnsi="Calibri"/>
          <w:color w:val="212121"/>
          <w:sz w:val="22"/>
          <w:szCs w:val="22"/>
        </w:rPr>
      </w:pPr>
      <w:r w:rsidRPr="00B14A52">
        <w:rPr>
          <w:rFonts w:ascii="Calibri" w:hAnsi="Calibri"/>
          <w:b/>
          <w:bCs/>
          <w:color w:val="212121"/>
          <w:sz w:val="22"/>
          <w:szCs w:val="22"/>
        </w:rPr>
        <w:t xml:space="preserve">CONCLUSION.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Results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versions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RMI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were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similar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to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those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in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the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literature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in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terms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specifity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, but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lower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in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terms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sensitivity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.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Sensitivity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and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specifity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values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for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ADNEX model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were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similar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to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those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the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literature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>.</w:t>
      </w:r>
      <w:r w:rsidRPr="00B14A52">
        <w:rPr>
          <w:rFonts w:ascii="Calibri" w:hAnsi="Calibri"/>
          <w:b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Although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sensitivity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ADNEX model</w:t>
      </w:r>
      <w:r w:rsidRPr="00B14A52">
        <w:rPr>
          <w:rFonts w:ascii="Calibri" w:hAnsi="Calibri"/>
          <w:b/>
          <w:bCs/>
          <w:color w:val="212121"/>
          <w:sz w:val="22"/>
          <w:szCs w:val="22"/>
        </w:rPr>
        <w:t> 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were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higher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than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those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versions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of RMI,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specifity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values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were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/>
          <w:bCs/>
          <w:color w:val="212121"/>
          <w:sz w:val="22"/>
          <w:szCs w:val="22"/>
        </w:rPr>
        <w:t>lower</w:t>
      </w:r>
      <w:proofErr w:type="spellEnd"/>
      <w:r w:rsidRPr="00B14A52">
        <w:rPr>
          <w:rFonts w:ascii="Calibri" w:hAnsi="Calibri"/>
          <w:bCs/>
          <w:color w:val="212121"/>
          <w:sz w:val="22"/>
          <w:szCs w:val="22"/>
        </w:rPr>
        <w:t xml:space="preserve">.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Future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prospective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studies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could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be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performed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to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evaluate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diagnostic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perfomances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those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indices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and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to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develop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newer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indices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terms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better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SEN </w:t>
      </w:r>
      <w:proofErr w:type="spellStart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>and</w:t>
      </w:r>
      <w:proofErr w:type="spellEnd"/>
      <w:r w:rsidRPr="00B14A5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SPE.</w:t>
      </w:r>
      <w:r w:rsidRPr="00B14A52">
        <w:rPr>
          <w:rFonts w:ascii="Calibri" w:hAnsi="Calibri"/>
          <w:color w:val="212121"/>
          <w:sz w:val="22"/>
          <w:szCs w:val="22"/>
        </w:rPr>
        <w:t> </w:t>
      </w:r>
    </w:p>
    <w:p w14:paraId="33229DD2" w14:textId="0F372CA1" w:rsidR="00C13C5B" w:rsidRPr="00B14A52" w:rsidRDefault="009670C5" w:rsidP="006A0A9F">
      <w:pPr>
        <w:pStyle w:val="A9"/>
        <w:spacing w:line="480" w:lineRule="auto"/>
        <w:rPr>
          <w:rFonts w:ascii="Calibri" w:hAnsi="Calibri" w:cs="Times New Roman"/>
          <w:b/>
          <w:bCs/>
          <w:sz w:val="22"/>
          <w:szCs w:val="22"/>
        </w:rPr>
      </w:pPr>
      <w:proofErr w:type="spellStart"/>
      <w:r w:rsidRPr="00B14A52">
        <w:rPr>
          <w:rFonts w:ascii="Calibri" w:hAnsi="Calibri" w:cs="Times New Roman"/>
          <w:b/>
          <w:sz w:val="22"/>
          <w:szCs w:val="22"/>
        </w:rPr>
        <w:t>Keywords</w:t>
      </w:r>
      <w:proofErr w:type="spellEnd"/>
      <w:r w:rsidRPr="00B14A52">
        <w:rPr>
          <w:rFonts w:ascii="Calibri" w:hAnsi="Calibri" w:cs="Times New Roman"/>
          <w:b/>
          <w:sz w:val="22"/>
          <w:szCs w:val="22"/>
        </w:rPr>
        <w:t>:</w:t>
      </w:r>
      <w:r w:rsidRPr="00B14A52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 w:cs="Times New Roman"/>
          <w:sz w:val="22"/>
          <w:szCs w:val="22"/>
        </w:rPr>
        <w:t>Adnexal</w:t>
      </w:r>
      <w:proofErr w:type="spellEnd"/>
      <w:r w:rsidRPr="00B14A52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Pr="00B14A52">
        <w:rPr>
          <w:rFonts w:ascii="Calibri" w:hAnsi="Calibri" w:cs="Times New Roman"/>
          <w:sz w:val="22"/>
          <w:szCs w:val="22"/>
        </w:rPr>
        <w:t>mass</w:t>
      </w:r>
      <w:proofErr w:type="spellEnd"/>
      <w:r w:rsidRPr="00B14A52">
        <w:rPr>
          <w:rFonts w:ascii="Calibri" w:hAnsi="Calibri" w:cs="Times New Roman"/>
          <w:sz w:val="22"/>
          <w:szCs w:val="22"/>
        </w:rPr>
        <w:t>; RMI;ADNEX.</w:t>
      </w:r>
    </w:p>
    <w:sectPr w:rsidR="00C13C5B" w:rsidRPr="00B14A52" w:rsidSect="005338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C5"/>
    <w:rsid w:val="0002228C"/>
    <w:rsid w:val="00082BB1"/>
    <w:rsid w:val="00113C11"/>
    <w:rsid w:val="00174371"/>
    <w:rsid w:val="001C0C40"/>
    <w:rsid w:val="001C0EAE"/>
    <w:rsid w:val="001E0675"/>
    <w:rsid w:val="001E56D4"/>
    <w:rsid w:val="00237821"/>
    <w:rsid w:val="0033720D"/>
    <w:rsid w:val="004F5107"/>
    <w:rsid w:val="00533891"/>
    <w:rsid w:val="005C4732"/>
    <w:rsid w:val="005D2874"/>
    <w:rsid w:val="005E34AA"/>
    <w:rsid w:val="006A0A9F"/>
    <w:rsid w:val="006D1A98"/>
    <w:rsid w:val="007675C3"/>
    <w:rsid w:val="007A27B0"/>
    <w:rsid w:val="008173A2"/>
    <w:rsid w:val="00822687"/>
    <w:rsid w:val="009670C5"/>
    <w:rsid w:val="00A41260"/>
    <w:rsid w:val="00A76BB4"/>
    <w:rsid w:val="00AC4F5D"/>
    <w:rsid w:val="00B14A52"/>
    <w:rsid w:val="00CE0294"/>
    <w:rsid w:val="00CF57FD"/>
    <w:rsid w:val="00D23B27"/>
    <w:rsid w:val="00E02F43"/>
    <w:rsid w:val="00E749E9"/>
    <w:rsid w:val="00FF168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69D4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9670C5"/>
    <w:rPr>
      <w:b/>
      <w:bCs/>
    </w:rPr>
  </w:style>
  <w:style w:type="character" w:customStyle="1" w:styleId="apple-converted-space">
    <w:name w:val="apple-converted-space"/>
    <w:basedOn w:val="VarsaylanParagrafYazTipi"/>
    <w:rsid w:val="009670C5"/>
  </w:style>
  <w:style w:type="paragraph" w:customStyle="1" w:styleId="A9">
    <w:name w:val="A9"/>
    <w:basedOn w:val="Normal"/>
    <w:uiPriority w:val="99"/>
    <w:rsid w:val="009670C5"/>
    <w:pPr>
      <w:spacing w:before="120" w:after="120" w:line="360" w:lineRule="auto"/>
      <w:jc w:val="both"/>
    </w:pPr>
    <w:rPr>
      <w:rFonts w:ascii="Times New Roman" w:eastAsia="Calibri" w:hAnsi="Times New Roman" w:cs="Calibri"/>
    </w:rPr>
  </w:style>
  <w:style w:type="paragraph" w:customStyle="1" w:styleId="xmsonormal">
    <w:name w:val="x_msonormal"/>
    <w:basedOn w:val="Normal"/>
    <w:rsid w:val="009670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Macintosh Word</Application>
  <DocSecurity>0</DocSecurity>
  <Lines>15</Lines>
  <Paragraphs>4</Paragraphs>
  <ScaleCrop>false</ScaleCrop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2018-07-18T22:06:00Z</dcterms:created>
  <dcterms:modified xsi:type="dcterms:W3CDTF">2018-07-19T00:25:00Z</dcterms:modified>
</cp:coreProperties>
</file>