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39F" w:rsidRDefault="001C239F" w:rsidP="006D31B1">
      <w:pPr>
        <w:rPr>
          <w:rFonts w:ascii="Cambria" w:hAnsi="Cambria"/>
          <w:sz w:val="32"/>
          <w:szCs w:val="32"/>
        </w:rPr>
      </w:pPr>
    </w:p>
    <w:p w:rsidR="00401649" w:rsidRPr="00BF6F37" w:rsidRDefault="00401649" w:rsidP="001C239F">
      <w:pPr>
        <w:spacing w:after="200"/>
        <w:rPr>
          <w:rFonts w:ascii="Cambria" w:hAnsi="Cambria"/>
          <w:sz w:val="32"/>
          <w:szCs w:val="32"/>
        </w:rPr>
      </w:pPr>
      <w:r w:rsidRPr="00BF6F37">
        <w:rPr>
          <w:rFonts w:ascii="Cambria" w:hAnsi="Cambria"/>
          <w:sz w:val="32"/>
          <w:szCs w:val="32"/>
        </w:rPr>
        <w:t>Eğitime Yapılan Yatırımlar ve PISA 2015 Sonuçları: Karşılaştırmalı Bir İnceleme</w:t>
      </w:r>
    </w:p>
    <w:p w:rsidR="00401649" w:rsidRPr="00BF6F37" w:rsidRDefault="00401649" w:rsidP="001C239F">
      <w:pPr>
        <w:spacing w:after="200"/>
        <w:rPr>
          <w:rFonts w:ascii="Cambria" w:hAnsi="Cambria"/>
          <w:sz w:val="32"/>
          <w:szCs w:val="32"/>
        </w:rPr>
      </w:pPr>
      <w:r w:rsidRPr="00BF6F37">
        <w:rPr>
          <w:rFonts w:ascii="Cambria" w:hAnsi="Cambria"/>
          <w:sz w:val="32"/>
          <w:szCs w:val="32"/>
        </w:rPr>
        <w:t xml:space="preserve">Resources Invested in Education and PISA 2015 Results: A Comparative Study </w:t>
      </w:r>
    </w:p>
    <w:p w:rsidR="00547695" w:rsidRDefault="00547695" w:rsidP="00547695">
      <w:pPr>
        <w:rPr>
          <w:rFonts w:ascii="Cambria" w:hAnsi="Cambria"/>
          <w:b/>
          <w:sz w:val="20"/>
          <w:szCs w:val="20"/>
        </w:rPr>
      </w:pPr>
      <w:r w:rsidRPr="00401649">
        <w:rPr>
          <w:rFonts w:ascii="Cambria" w:hAnsi="Cambria"/>
          <w:b/>
          <w:sz w:val="20"/>
          <w:szCs w:val="20"/>
        </w:rPr>
        <w:t xml:space="preserve">Ayhan </w:t>
      </w:r>
      <w:r w:rsidR="001C239F" w:rsidRPr="00401649">
        <w:rPr>
          <w:rFonts w:ascii="Cambria" w:hAnsi="Cambria"/>
          <w:b/>
          <w:sz w:val="20"/>
          <w:szCs w:val="20"/>
        </w:rPr>
        <w:t>Aydın</w:t>
      </w:r>
      <w:r>
        <w:rPr>
          <w:rFonts w:ascii="Cambria" w:hAnsi="Cambria"/>
          <w:b/>
          <w:sz w:val="20"/>
          <w:szCs w:val="20"/>
        </w:rPr>
        <w:t>,</w:t>
      </w:r>
      <w:r w:rsidRPr="00401649">
        <w:rPr>
          <w:rFonts w:ascii="Cambria" w:hAnsi="Cambria"/>
          <w:i/>
          <w:sz w:val="20"/>
          <w:szCs w:val="20"/>
        </w:rPr>
        <w:t xml:space="preserve"> Eskişehir Osmangazi Üniversitesi, Eğitim Fakültesi, </w:t>
      </w:r>
      <w:hyperlink r:id="rId8" w:history="1">
        <w:r w:rsidRPr="00401649">
          <w:rPr>
            <w:rStyle w:val="Hyperlink"/>
            <w:rFonts w:ascii="Cambria" w:hAnsi="Cambria"/>
            <w:i/>
            <w:sz w:val="20"/>
            <w:szCs w:val="20"/>
          </w:rPr>
          <w:t>aaydin@ogu.edu.tr</w:t>
        </w:r>
      </w:hyperlink>
    </w:p>
    <w:p w:rsidR="00547695" w:rsidRDefault="00547695" w:rsidP="00547695">
      <w:pPr>
        <w:rPr>
          <w:rFonts w:ascii="Cambria" w:hAnsi="Cambria"/>
          <w:b/>
          <w:sz w:val="20"/>
          <w:szCs w:val="20"/>
        </w:rPr>
      </w:pPr>
      <w:r>
        <w:rPr>
          <w:rFonts w:ascii="Cambria" w:hAnsi="Cambria"/>
          <w:b/>
          <w:sz w:val="20"/>
          <w:szCs w:val="20"/>
        </w:rPr>
        <w:t xml:space="preserve">Abdullah </w:t>
      </w:r>
      <w:r w:rsidR="001C239F">
        <w:rPr>
          <w:rFonts w:ascii="Cambria" w:hAnsi="Cambria"/>
          <w:b/>
          <w:sz w:val="20"/>
          <w:szCs w:val="20"/>
        </w:rPr>
        <w:t>Selvitopu</w:t>
      </w:r>
      <w:r>
        <w:rPr>
          <w:rFonts w:ascii="Cambria" w:hAnsi="Cambria"/>
          <w:b/>
          <w:sz w:val="20"/>
          <w:szCs w:val="20"/>
        </w:rPr>
        <w:t xml:space="preserve">, </w:t>
      </w:r>
      <w:r>
        <w:rPr>
          <w:rFonts w:ascii="Cambria" w:hAnsi="Cambria"/>
          <w:i/>
          <w:sz w:val="20"/>
          <w:szCs w:val="20"/>
        </w:rPr>
        <w:t>Karamanoğlu Mehmetbey Üniversitesi, Eğitim Fakültesi</w:t>
      </w:r>
      <w:r w:rsidRPr="00401649">
        <w:rPr>
          <w:rFonts w:ascii="Cambria" w:hAnsi="Cambria"/>
          <w:i/>
          <w:sz w:val="20"/>
          <w:szCs w:val="20"/>
        </w:rPr>
        <w:t xml:space="preserve">, </w:t>
      </w:r>
      <w:hyperlink r:id="rId9" w:history="1">
        <w:r w:rsidRPr="00401649">
          <w:rPr>
            <w:rStyle w:val="Hyperlink"/>
            <w:rFonts w:ascii="Cambria" w:hAnsi="Cambria"/>
            <w:i/>
            <w:sz w:val="20"/>
            <w:szCs w:val="20"/>
          </w:rPr>
          <w:t>a_selvi20@hotmail.com</w:t>
        </w:r>
      </w:hyperlink>
    </w:p>
    <w:p w:rsidR="00547695" w:rsidRPr="00401649" w:rsidRDefault="00547695" w:rsidP="00547695">
      <w:pPr>
        <w:rPr>
          <w:rFonts w:ascii="Cambria" w:hAnsi="Cambria"/>
          <w:b/>
          <w:sz w:val="20"/>
          <w:szCs w:val="20"/>
        </w:rPr>
      </w:pPr>
      <w:r>
        <w:rPr>
          <w:rFonts w:ascii="Cambria" w:hAnsi="Cambria"/>
          <w:b/>
          <w:sz w:val="20"/>
          <w:szCs w:val="20"/>
        </w:rPr>
        <w:t xml:space="preserve">Metin </w:t>
      </w:r>
      <w:r w:rsidR="001C239F">
        <w:rPr>
          <w:rFonts w:ascii="Cambria" w:hAnsi="Cambria"/>
          <w:b/>
          <w:sz w:val="20"/>
          <w:szCs w:val="20"/>
        </w:rPr>
        <w:t>Kaya</w:t>
      </w:r>
      <w:r>
        <w:rPr>
          <w:rFonts w:ascii="Cambria" w:hAnsi="Cambria"/>
          <w:b/>
          <w:sz w:val="20"/>
          <w:szCs w:val="20"/>
        </w:rPr>
        <w:t xml:space="preserve">, </w:t>
      </w:r>
      <w:r>
        <w:rPr>
          <w:rFonts w:ascii="Cambria" w:hAnsi="Cambria"/>
          <w:i/>
          <w:sz w:val="20"/>
          <w:szCs w:val="20"/>
        </w:rPr>
        <w:t>Bayburt Üniversitesi</w:t>
      </w:r>
      <w:r w:rsidRPr="00401649">
        <w:rPr>
          <w:rFonts w:ascii="Cambria" w:hAnsi="Cambria"/>
          <w:i/>
          <w:sz w:val="20"/>
          <w:szCs w:val="20"/>
        </w:rPr>
        <w:t>,</w:t>
      </w:r>
      <w:r>
        <w:rPr>
          <w:rFonts w:ascii="Cambria" w:hAnsi="Cambria"/>
          <w:i/>
          <w:sz w:val="20"/>
          <w:szCs w:val="20"/>
        </w:rPr>
        <w:t xml:space="preserve"> Eğitim Fakültesi,</w:t>
      </w:r>
      <w:r w:rsidRPr="00401649">
        <w:rPr>
          <w:rFonts w:ascii="Cambria" w:hAnsi="Cambria"/>
          <w:i/>
          <w:sz w:val="20"/>
          <w:szCs w:val="20"/>
        </w:rPr>
        <w:t xml:space="preserve"> </w:t>
      </w:r>
      <w:hyperlink r:id="rId10" w:history="1">
        <w:r w:rsidRPr="00401649">
          <w:rPr>
            <w:rStyle w:val="Hyperlink"/>
            <w:rFonts w:ascii="Cambria" w:hAnsi="Cambria"/>
            <w:i/>
            <w:sz w:val="20"/>
            <w:szCs w:val="20"/>
          </w:rPr>
          <w:t>metinkaya439@gmail.com</w:t>
        </w:r>
      </w:hyperlink>
      <w:r>
        <w:rPr>
          <w:rFonts w:ascii="Cambria" w:hAnsi="Cambria"/>
          <w:b/>
          <w:sz w:val="20"/>
          <w:szCs w:val="20"/>
        </w:rPr>
        <w:tab/>
      </w:r>
    </w:p>
    <w:p w:rsidR="000F5FB8" w:rsidRPr="00BF6F37" w:rsidRDefault="000F5FB8" w:rsidP="000F5FB8">
      <w:pPr>
        <w:rPr>
          <w:rFonts w:ascii="Cambria" w:hAnsi="Cambria"/>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BF6F37" w:rsidTr="005070B9">
        <w:trPr>
          <w:trHeight w:val="2494"/>
          <w:jc w:val="center"/>
        </w:trPr>
        <w:tc>
          <w:tcPr>
            <w:tcW w:w="9214" w:type="dxa"/>
            <w:tcBorders>
              <w:bottom w:val="single" w:sz="2" w:space="0" w:color="auto"/>
            </w:tcBorders>
          </w:tcPr>
          <w:p w:rsidR="005070B9" w:rsidRPr="00BF6F37" w:rsidRDefault="005070B9" w:rsidP="005070B9">
            <w:pPr>
              <w:jc w:val="both"/>
              <w:rPr>
                <w:rFonts w:ascii="Cambria" w:hAnsi="Cambria"/>
                <w:sz w:val="20"/>
                <w:szCs w:val="20"/>
              </w:rPr>
            </w:pPr>
            <w:r w:rsidRPr="00BF6F37">
              <w:rPr>
                <w:rFonts w:ascii="Cambria" w:hAnsi="Cambria"/>
                <w:b/>
                <w:sz w:val="20"/>
                <w:szCs w:val="20"/>
              </w:rPr>
              <w:t>Öz</w:t>
            </w:r>
            <w:r w:rsidR="00FD0DDB" w:rsidRPr="00BF6F37">
              <w:rPr>
                <w:rFonts w:ascii="Cambria" w:hAnsi="Cambria"/>
                <w:b/>
                <w:sz w:val="20"/>
                <w:szCs w:val="20"/>
              </w:rPr>
              <w:t>.</w:t>
            </w:r>
            <w:r w:rsidR="00547695">
              <w:rPr>
                <w:rFonts w:ascii="Cambria" w:hAnsi="Cambria"/>
                <w:b/>
                <w:sz w:val="20"/>
                <w:szCs w:val="20"/>
              </w:rPr>
              <w:t xml:space="preserve"> </w:t>
            </w:r>
            <w:r w:rsidR="00401649" w:rsidRPr="00BF6F37">
              <w:rPr>
                <w:rFonts w:ascii="Cambria" w:hAnsi="Cambria"/>
                <w:sz w:val="20"/>
                <w:szCs w:val="20"/>
              </w:rPr>
              <w:t xml:space="preserve">Bu çalışmanın amacı, </w:t>
            </w:r>
            <w:r w:rsidR="00014EA5" w:rsidRPr="00BF6F37">
              <w:rPr>
                <w:rFonts w:ascii="Cambria" w:hAnsi="Cambria" w:cs="Arial"/>
                <w:color w:val="222222"/>
                <w:sz w:val="20"/>
                <w:szCs w:val="20"/>
                <w:shd w:val="clear" w:color="auto" w:fill="FFFFFF"/>
              </w:rPr>
              <w:t>Uluslararası Öğrenci Değerlendirme Programı (</w:t>
            </w:r>
            <w:r w:rsidR="00401649" w:rsidRPr="00BF6F37">
              <w:rPr>
                <w:rFonts w:ascii="Cambria" w:hAnsi="Cambria"/>
                <w:sz w:val="20"/>
                <w:szCs w:val="20"/>
              </w:rPr>
              <w:t>PISA</w:t>
            </w:r>
            <w:r w:rsidR="00014EA5" w:rsidRPr="00BF6F37">
              <w:rPr>
                <w:rFonts w:ascii="Cambria" w:hAnsi="Cambria"/>
                <w:sz w:val="20"/>
                <w:szCs w:val="20"/>
              </w:rPr>
              <w:t>)</w:t>
            </w:r>
            <w:r w:rsidR="00401649" w:rsidRPr="00BF6F37">
              <w:rPr>
                <w:rFonts w:ascii="Cambria" w:hAnsi="Cambria"/>
                <w:sz w:val="20"/>
                <w:szCs w:val="20"/>
              </w:rPr>
              <w:t xml:space="preserve"> 2015 programında en başarılı olan ülkeler ile Türkiye’nin sonuçlarını eğitim yatırımlarının dağılımı bağlamında karşılaştırmalı olarak incelemektir. Bu amaç doğrultusunda çeşitli karşılaştırmalar yapabilmek için en başarılı 10 ülke, </w:t>
            </w:r>
            <w:r w:rsidR="00014EA5" w:rsidRPr="00BF6F37">
              <w:rPr>
                <w:rFonts w:ascii="Cambria" w:hAnsi="Cambria" w:cs="Arial"/>
                <w:color w:val="222222"/>
                <w:sz w:val="20"/>
                <w:szCs w:val="20"/>
                <w:shd w:val="clear" w:color="auto" w:fill="FFFFFF"/>
              </w:rPr>
              <w:t>Ekonomik Kalkınma ve İşbirliği Örgütü</w:t>
            </w:r>
            <w:r w:rsidR="00014EA5" w:rsidRPr="00BF6F37">
              <w:rPr>
                <w:rFonts w:ascii="Cambria" w:hAnsi="Cambria"/>
                <w:sz w:val="20"/>
                <w:szCs w:val="20"/>
              </w:rPr>
              <w:t xml:space="preserve"> (</w:t>
            </w:r>
            <w:r w:rsidR="00401649" w:rsidRPr="00BF6F37">
              <w:rPr>
                <w:rFonts w:ascii="Cambria" w:hAnsi="Cambria"/>
                <w:sz w:val="20"/>
                <w:szCs w:val="20"/>
              </w:rPr>
              <w:t>OECD</w:t>
            </w:r>
            <w:r w:rsidR="00014EA5" w:rsidRPr="00BF6F37">
              <w:rPr>
                <w:rFonts w:ascii="Cambria" w:hAnsi="Cambria"/>
                <w:sz w:val="20"/>
                <w:szCs w:val="20"/>
              </w:rPr>
              <w:t>)</w:t>
            </w:r>
            <w:r w:rsidR="00401649" w:rsidRPr="00BF6F37">
              <w:rPr>
                <w:rFonts w:ascii="Cambria" w:hAnsi="Cambria"/>
                <w:sz w:val="20"/>
                <w:szCs w:val="20"/>
              </w:rPr>
              <w:t xml:space="preserve"> ortalaması ve Türkiye’nin sonuçları incelenmiştir. Çalışma, </w:t>
            </w:r>
            <w:proofErr w:type="gramStart"/>
            <w:r w:rsidR="00401649" w:rsidRPr="00BF6F37">
              <w:rPr>
                <w:rFonts w:ascii="Cambria" w:hAnsi="Cambria"/>
                <w:sz w:val="20"/>
                <w:szCs w:val="20"/>
              </w:rPr>
              <w:t>literatür</w:t>
            </w:r>
            <w:proofErr w:type="gramEnd"/>
            <w:r w:rsidR="00401649" w:rsidRPr="00BF6F37">
              <w:rPr>
                <w:rFonts w:ascii="Cambria" w:hAnsi="Cambria"/>
                <w:sz w:val="20"/>
                <w:szCs w:val="20"/>
              </w:rPr>
              <w:t xml:space="preserve"> inceleme çalışması</w:t>
            </w:r>
            <w:r w:rsidR="008E262A">
              <w:rPr>
                <w:rFonts w:ascii="Cambria" w:hAnsi="Cambria"/>
                <w:sz w:val="20"/>
                <w:szCs w:val="20"/>
              </w:rPr>
              <w:t xml:space="preserve">dır. </w:t>
            </w:r>
            <w:r w:rsidR="00401649" w:rsidRPr="00BF6F37">
              <w:rPr>
                <w:rFonts w:ascii="Cambria" w:hAnsi="Cambria"/>
                <w:sz w:val="20"/>
                <w:szCs w:val="20"/>
              </w:rPr>
              <w:t xml:space="preserve">Veri inceleme yöntemi olarak doküman analizi tekniğinden yararlanılmıştır. Yapılan incelemeler sonucunda, PISA başarısında gayri safi yurt içi </w:t>
            </w:r>
            <w:proofErr w:type="gramStart"/>
            <w:r w:rsidR="00401649" w:rsidRPr="00BF6F37">
              <w:rPr>
                <w:rFonts w:ascii="Cambria" w:hAnsi="Cambria"/>
                <w:sz w:val="20"/>
                <w:szCs w:val="20"/>
              </w:rPr>
              <w:t>hasıla</w:t>
            </w:r>
            <w:proofErr w:type="gramEnd"/>
            <w:r w:rsidR="00401649" w:rsidRPr="00BF6F37">
              <w:rPr>
                <w:rFonts w:ascii="Cambria" w:hAnsi="Cambria"/>
                <w:sz w:val="20"/>
                <w:szCs w:val="20"/>
              </w:rPr>
              <w:t xml:space="preserve"> ile 6-15 yaş grubu toplam eğitim harcamaları miktarı</w:t>
            </w:r>
            <w:r w:rsidR="008E262A">
              <w:rPr>
                <w:rFonts w:ascii="Cambria" w:hAnsi="Cambria"/>
                <w:sz w:val="20"/>
                <w:szCs w:val="20"/>
              </w:rPr>
              <w:t xml:space="preserve"> oranlarının önemli </w:t>
            </w:r>
            <w:r w:rsidR="0093100C">
              <w:rPr>
                <w:rFonts w:ascii="Cambria" w:hAnsi="Cambria"/>
                <w:sz w:val="20"/>
                <w:szCs w:val="20"/>
              </w:rPr>
              <w:t xml:space="preserve">göstergeler </w:t>
            </w:r>
            <w:r w:rsidR="008E262A">
              <w:rPr>
                <w:rFonts w:ascii="Cambria" w:hAnsi="Cambria"/>
                <w:sz w:val="20"/>
                <w:szCs w:val="20"/>
              </w:rPr>
              <w:t>olduğu söylenebilir.</w:t>
            </w:r>
            <w:r w:rsidR="00401649" w:rsidRPr="00BF6F37">
              <w:rPr>
                <w:rFonts w:ascii="Cambria" w:hAnsi="Cambria"/>
                <w:sz w:val="20"/>
                <w:szCs w:val="20"/>
              </w:rPr>
              <w:t xml:space="preserve"> Diğer yandan çoğu başarılı ülkede öğretim materyali yeterli düzeyde iken, Türkiye’de özellikle </w:t>
            </w:r>
            <w:r w:rsidR="008E262A" w:rsidRPr="00BF6F37">
              <w:rPr>
                <w:rFonts w:ascii="Cambria" w:hAnsi="Cambria"/>
                <w:sz w:val="20"/>
                <w:szCs w:val="20"/>
              </w:rPr>
              <w:t>Sosyo Ekonomik Düzey</w:t>
            </w:r>
            <w:r w:rsidR="0093100C">
              <w:rPr>
                <w:rFonts w:ascii="Cambria" w:hAnsi="Cambria"/>
                <w:sz w:val="20"/>
                <w:szCs w:val="20"/>
              </w:rPr>
              <w:t>i</w:t>
            </w:r>
            <w:r w:rsidR="008E262A">
              <w:rPr>
                <w:rFonts w:ascii="Cambria" w:hAnsi="Cambria"/>
                <w:sz w:val="20"/>
                <w:szCs w:val="20"/>
              </w:rPr>
              <w:t>(</w:t>
            </w:r>
            <w:r w:rsidR="00401649" w:rsidRPr="00BF6F37">
              <w:rPr>
                <w:rFonts w:ascii="Cambria" w:hAnsi="Cambria"/>
                <w:sz w:val="20"/>
                <w:szCs w:val="20"/>
              </w:rPr>
              <w:t>SED</w:t>
            </w:r>
            <w:r w:rsidR="008E262A">
              <w:rPr>
                <w:rFonts w:ascii="Cambria" w:hAnsi="Cambria"/>
                <w:sz w:val="20"/>
                <w:szCs w:val="20"/>
              </w:rPr>
              <w:t>)</w:t>
            </w:r>
            <w:r w:rsidR="00401649" w:rsidRPr="00BF6F37">
              <w:rPr>
                <w:rFonts w:ascii="Cambria" w:hAnsi="Cambria"/>
                <w:sz w:val="20"/>
                <w:szCs w:val="20"/>
              </w:rPr>
              <w:t xml:space="preserve"> düşük okullarda yetersizdir. Öğrenci ve öğretmen oranlarına ilişkin genel, ülkeler arası ve OECD ortalaması, Türkiye ile karşılaştırıldığında dikkat çekici düzeyde bir farklılaşma bulunmamaktadır. Türkiye’de </w:t>
            </w:r>
            <w:r w:rsidR="00014EA5" w:rsidRPr="00BF6F37">
              <w:rPr>
                <w:rFonts w:ascii="Cambria" w:hAnsi="Cambria"/>
                <w:sz w:val="20"/>
                <w:szCs w:val="20"/>
              </w:rPr>
              <w:t>(</w:t>
            </w:r>
            <w:r w:rsidR="00401649" w:rsidRPr="00BF6F37">
              <w:rPr>
                <w:rFonts w:ascii="Cambria" w:hAnsi="Cambria"/>
                <w:sz w:val="20"/>
                <w:szCs w:val="20"/>
              </w:rPr>
              <w:t>SED</w:t>
            </w:r>
            <w:r w:rsidR="00014EA5" w:rsidRPr="00BF6F37">
              <w:rPr>
                <w:rFonts w:ascii="Cambria" w:hAnsi="Cambria"/>
                <w:sz w:val="20"/>
                <w:szCs w:val="20"/>
              </w:rPr>
              <w:t>)</w:t>
            </w:r>
            <w:proofErr w:type="gramStart"/>
            <w:r w:rsidR="00401649" w:rsidRPr="00BF6F37">
              <w:rPr>
                <w:rFonts w:ascii="Cambria" w:hAnsi="Cambria"/>
                <w:sz w:val="20"/>
                <w:szCs w:val="20"/>
              </w:rPr>
              <w:t>profili</w:t>
            </w:r>
            <w:proofErr w:type="gramEnd"/>
            <w:r w:rsidR="00401649" w:rsidRPr="00BF6F37">
              <w:rPr>
                <w:rFonts w:ascii="Cambria" w:hAnsi="Cambria"/>
                <w:sz w:val="20"/>
                <w:szCs w:val="20"/>
              </w:rPr>
              <w:t xml:space="preserve"> düşük okullarda çalışan öğretmenlerin mesleki gelişim programlarına katılım oranları oldukça düşük düzeydedir. Ayrıca yıllık toplam ve 6-15 yaş genel toplam ders saatlerinin en başarılı ülkelere göre oldukça yüksek olmasına rağmen öğrenci performansının istenen düzeyde olmaması, derslerdeki nitelik sorunlarını gündeme getirmektedir. Buna ek olarak, Türkiye’nin okul öncesi eğitime katılım oranının diğer ülkelere göre oldukça düşük düzeyde olduğu belirlenmiştir. Sonuç olarak, eğitimin en temel eğitsel amaçlarından olan etkin düşünme, algılama, iletişim kurma ve problem çözme yeteneği gelişmiş bireyler yetiştirmek için eğitim politikalarının sosyal adalet kavramı çerçevesinde yeniden gözden geçirilmesi önerilebilir.</w:t>
            </w:r>
          </w:p>
          <w:p w:rsidR="005070B9" w:rsidRPr="00BF6F37" w:rsidRDefault="005070B9" w:rsidP="005070B9">
            <w:pPr>
              <w:jc w:val="both"/>
              <w:rPr>
                <w:rFonts w:ascii="Cambria" w:hAnsi="Cambria"/>
                <w:b/>
                <w:sz w:val="20"/>
                <w:szCs w:val="20"/>
              </w:rPr>
            </w:pPr>
          </w:p>
          <w:p w:rsidR="000F5FB8" w:rsidRDefault="00FD0DDB" w:rsidP="00401649">
            <w:pPr>
              <w:jc w:val="both"/>
              <w:rPr>
                <w:rFonts w:ascii="Cambria" w:hAnsi="Cambria"/>
                <w:sz w:val="20"/>
                <w:szCs w:val="20"/>
              </w:rPr>
            </w:pPr>
            <w:r w:rsidRPr="00BF6F37">
              <w:rPr>
                <w:rFonts w:ascii="Cambria" w:hAnsi="Cambria"/>
                <w:b/>
                <w:sz w:val="20"/>
                <w:szCs w:val="20"/>
              </w:rPr>
              <w:t>Anahtar Sözcük</w:t>
            </w:r>
            <w:r w:rsidR="005070B9" w:rsidRPr="00BF6F37">
              <w:rPr>
                <w:rFonts w:ascii="Cambria" w:hAnsi="Cambria"/>
                <w:b/>
                <w:sz w:val="20"/>
                <w:szCs w:val="20"/>
              </w:rPr>
              <w:t>ler:</w:t>
            </w:r>
            <w:r w:rsidR="00547695">
              <w:rPr>
                <w:rFonts w:ascii="Cambria" w:hAnsi="Cambria"/>
                <w:b/>
                <w:sz w:val="20"/>
                <w:szCs w:val="20"/>
              </w:rPr>
              <w:t xml:space="preserve"> </w:t>
            </w:r>
            <w:r w:rsidR="00401649" w:rsidRPr="00BF6F37">
              <w:rPr>
                <w:rFonts w:ascii="Cambria" w:hAnsi="Cambria"/>
                <w:sz w:val="20"/>
                <w:szCs w:val="20"/>
              </w:rPr>
              <w:t>PISA 2015, Eğitim Yatırım</w:t>
            </w:r>
            <w:r w:rsidR="001C239F">
              <w:rPr>
                <w:rFonts w:ascii="Cambria" w:hAnsi="Cambria"/>
                <w:sz w:val="20"/>
                <w:szCs w:val="20"/>
              </w:rPr>
              <w:t>ları, Sosyo Ekonomik Düzey</w:t>
            </w:r>
            <w:r w:rsidR="00401649" w:rsidRPr="00BF6F37">
              <w:rPr>
                <w:rFonts w:ascii="Cambria" w:hAnsi="Cambria"/>
                <w:sz w:val="20"/>
                <w:szCs w:val="20"/>
              </w:rPr>
              <w:t>, Türkiy</w:t>
            </w:r>
            <w:r w:rsidR="001C239F">
              <w:rPr>
                <w:rFonts w:ascii="Cambria" w:hAnsi="Cambria"/>
                <w:sz w:val="20"/>
                <w:szCs w:val="20"/>
              </w:rPr>
              <w:t>e</w:t>
            </w:r>
          </w:p>
          <w:p w:rsidR="001C239F" w:rsidRPr="00BF6F37" w:rsidRDefault="001C239F" w:rsidP="00401649">
            <w:pPr>
              <w:jc w:val="both"/>
              <w:rPr>
                <w:rFonts w:ascii="Cambria" w:hAnsi="Cambria"/>
                <w:sz w:val="20"/>
                <w:szCs w:val="20"/>
              </w:rPr>
            </w:pPr>
          </w:p>
        </w:tc>
      </w:tr>
      <w:tr w:rsidR="000F5FB8" w:rsidRPr="00BF6F37" w:rsidTr="005070B9">
        <w:trPr>
          <w:trHeight w:val="2287"/>
          <w:jc w:val="center"/>
        </w:trPr>
        <w:tc>
          <w:tcPr>
            <w:tcW w:w="9214" w:type="dxa"/>
            <w:tcBorders>
              <w:top w:val="single" w:sz="2" w:space="0" w:color="auto"/>
            </w:tcBorders>
          </w:tcPr>
          <w:p w:rsidR="000F5FB8" w:rsidRPr="00BF6F37" w:rsidRDefault="000F5FB8" w:rsidP="00263D52">
            <w:pPr>
              <w:jc w:val="both"/>
              <w:rPr>
                <w:rFonts w:ascii="Cambria" w:hAnsi="Cambria"/>
                <w:b/>
                <w:sz w:val="20"/>
                <w:szCs w:val="20"/>
              </w:rPr>
            </w:pPr>
          </w:p>
          <w:p w:rsidR="005070B9" w:rsidRPr="00BF6F37" w:rsidRDefault="00FD0DDB" w:rsidP="005070B9">
            <w:pPr>
              <w:jc w:val="both"/>
              <w:rPr>
                <w:rFonts w:ascii="Cambria" w:hAnsi="Cambria"/>
                <w:sz w:val="20"/>
                <w:szCs w:val="20"/>
                <w:lang w:val="en-US"/>
              </w:rPr>
            </w:pPr>
            <w:r w:rsidRPr="00BF6F37">
              <w:rPr>
                <w:rFonts w:ascii="Cambria" w:hAnsi="Cambria"/>
                <w:b/>
                <w:sz w:val="20"/>
                <w:szCs w:val="20"/>
              </w:rPr>
              <w:t>Abstract.</w:t>
            </w:r>
            <w:r w:rsidR="00547695">
              <w:rPr>
                <w:rFonts w:ascii="Cambria" w:hAnsi="Cambria"/>
                <w:b/>
                <w:sz w:val="20"/>
                <w:szCs w:val="20"/>
              </w:rPr>
              <w:t xml:space="preserve"> </w:t>
            </w:r>
            <w:r w:rsidR="00401649" w:rsidRPr="00BF6F37">
              <w:rPr>
                <w:rFonts w:ascii="Cambria" w:hAnsi="Cambria"/>
                <w:sz w:val="20"/>
                <w:szCs w:val="20"/>
                <w:lang w:val="en-US"/>
              </w:rPr>
              <w:t>The purpose of this comparative study is to examine the</w:t>
            </w:r>
            <w:r w:rsidR="00547695">
              <w:rPr>
                <w:rFonts w:ascii="Cambria" w:hAnsi="Cambria"/>
                <w:sz w:val="20"/>
                <w:szCs w:val="20"/>
                <w:lang w:val="en-US"/>
              </w:rPr>
              <w:t xml:space="preserve"> </w:t>
            </w:r>
            <w:r w:rsidR="00014EA5" w:rsidRPr="00BF6F37">
              <w:rPr>
                <w:rFonts w:ascii="Cambria" w:hAnsi="Cambria" w:cs="Arial"/>
                <w:color w:val="222222"/>
                <w:sz w:val="20"/>
                <w:szCs w:val="20"/>
                <w:shd w:val="clear" w:color="auto" w:fill="FFFFFF"/>
              </w:rPr>
              <w:t>Programme for International Student Assessment</w:t>
            </w:r>
            <w:r w:rsidR="00401649" w:rsidRPr="00BF6F37">
              <w:rPr>
                <w:rFonts w:ascii="Cambria" w:hAnsi="Cambria"/>
                <w:sz w:val="20"/>
                <w:szCs w:val="20"/>
                <w:lang w:val="en-US"/>
              </w:rPr>
              <w:t xml:space="preserve"> PISA 2015 results of the ten best performing countries and Turkey in the context of resources invested in education. For that purpose, to make some comparisons, PISA results of best performing countries, Turkey and OECD average were examined. </w:t>
            </w:r>
            <w:r w:rsidR="008E262A">
              <w:rPr>
                <w:rFonts w:ascii="Cambria" w:hAnsi="Cambria"/>
                <w:sz w:val="20"/>
                <w:szCs w:val="20"/>
                <w:lang w:val="en-US"/>
              </w:rPr>
              <w:t>In t</w:t>
            </w:r>
            <w:r w:rsidR="00401649" w:rsidRPr="00BF6F37">
              <w:rPr>
                <w:rFonts w:ascii="Cambria" w:hAnsi="Cambria"/>
                <w:sz w:val="20"/>
                <w:szCs w:val="20"/>
                <w:lang w:val="en-US"/>
              </w:rPr>
              <w:t xml:space="preserve">his </w:t>
            </w:r>
            <w:r w:rsidR="008E262A">
              <w:rPr>
                <w:rFonts w:ascii="Cambria" w:hAnsi="Cambria"/>
                <w:sz w:val="20"/>
                <w:szCs w:val="20"/>
                <w:lang w:val="en-US"/>
              </w:rPr>
              <w:t>literature review study.  d</w:t>
            </w:r>
            <w:r w:rsidR="00401649" w:rsidRPr="00BF6F37">
              <w:rPr>
                <w:rFonts w:ascii="Cambria" w:hAnsi="Cambria"/>
                <w:sz w:val="20"/>
                <w:szCs w:val="20"/>
                <w:lang w:val="en-US"/>
              </w:rPr>
              <w:t xml:space="preserve">ocument analysis technique was used to analyze the data. Results show that </w:t>
            </w:r>
            <w:r w:rsidR="008E262A">
              <w:rPr>
                <w:rFonts w:ascii="Cambria" w:hAnsi="Cambria"/>
                <w:sz w:val="20"/>
                <w:szCs w:val="20"/>
                <w:lang w:val="en-US"/>
              </w:rPr>
              <w:t xml:space="preserve">per </w:t>
            </w:r>
            <w:r w:rsidR="00401649" w:rsidRPr="00BF6F37">
              <w:rPr>
                <w:rFonts w:ascii="Cambria" w:hAnsi="Cambria"/>
                <w:sz w:val="20"/>
                <w:szCs w:val="20"/>
                <w:lang w:val="en-US"/>
              </w:rPr>
              <w:t xml:space="preserve">capita </w:t>
            </w:r>
            <w:r w:rsidR="00014EA5" w:rsidRPr="00BF6F37">
              <w:rPr>
                <w:rFonts w:ascii="Cambria" w:hAnsi="Cambria"/>
                <w:sz w:val="20"/>
                <w:szCs w:val="20"/>
                <w:lang w:val="en-US"/>
              </w:rPr>
              <w:t>Gross Domestic Product</w:t>
            </w:r>
            <w:r w:rsidR="00472265" w:rsidRPr="00BF6F37">
              <w:rPr>
                <w:rFonts w:ascii="Cambria" w:hAnsi="Cambria"/>
                <w:sz w:val="20"/>
                <w:szCs w:val="20"/>
                <w:lang w:val="en-US"/>
              </w:rPr>
              <w:t>ion</w:t>
            </w:r>
            <w:r w:rsidR="00014EA5" w:rsidRPr="00BF6F37">
              <w:rPr>
                <w:rFonts w:ascii="Cambria" w:hAnsi="Cambria"/>
                <w:sz w:val="20"/>
                <w:szCs w:val="20"/>
                <w:lang w:val="en-US"/>
              </w:rPr>
              <w:t xml:space="preserve"> (</w:t>
            </w:r>
            <w:r w:rsidR="00401649" w:rsidRPr="00BF6F37">
              <w:rPr>
                <w:rFonts w:ascii="Cambria" w:hAnsi="Cambria"/>
                <w:sz w:val="20"/>
                <w:szCs w:val="20"/>
                <w:lang w:val="en-US"/>
              </w:rPr>
              <w:t>GDP</w:t>
            </w:r>
            <w:r w:rsidR="00014EA5" w:rsidRPr="00BF6F37">
              <w:rPr>
                <w:rFonts w:ascii="Cambria" w:hAnsi="Cambria"/>
                <w:sz w:val="20"/>
                <w:szCs w:val="20"/>
                <w:lang w:val="en-US"/>
              </w:rPr>
              <w:t>)</w:t>
            </w:r>
            <w:r w:rsidR="00401649" w:rsidRPr="00BF6F37">
              <w:rPr>
                <w:rFonts w:ascii="Cambria" w:hAnsi="Cambria"/>
                <w:sz w:val="20"/>
                <w:szCs w:val="20"/>
                <w:lang w:val="en-US"/>
              </w:rPr>
              <w:t xml:space="preserve"> and total educational expenditure </w:t>
            </w:r>
            <w:r w:rsidR="008E262A">
              <w:rPr>
                <w:rFonts w:ascii="Cambria" w:hAnsi="Cambria"/>
                <w:sz w:val="20"/>
                <w:szCs w:val="20"/>
                <w:lang w:val="en-US"/>
              </w:rPr>
              <w:t xml:space="preserve">ratios of 6-15 age group are important indicators. </w:t>
            </w:r>
            <w:r w:rsidR="00401649" w:rsidRPr="00BF6F37">
              <w:rPr>
                <w:rFonts w:ascii="Cambria" w:hAnsi="Cambria"/>
                <w:sz w:val="20"/>
                <w:szCs w:val="20"/>
                <w:lang w:val="en-US"/>
              </w:rPr>
              <w:t xml:space="preserve">While material resources in most countries are enough for training activities, this is not the case for Turkey especially in low </w:t>
            </w:r>
            <w:r w:rsidR="00014EA5" w:rsidRPr="00BF6F37">
              <w:rPr>
                <w:rFonts w:ascii="Cambria" w:hAnsi="Cambria"/>
                <w:sz w:val="20"/>
                <w:szCs w:val="20"/>
                <w:lang w:val="en-US"/>
              </w:rPr>
              <w:t>Socio Economic Status (</w:t>
            </w:r>
            <w:r w:rsidR="00401649" w:rsidRPr="00BF6F37">
              <w:rPr>
                <w:rFonts w:ascii="Cambria" w:hAnsi="Cambria"/>
                <w:sz w:val="20"/>
                <w:szCs w:val="20"/>
                <w:lang w:val="en-US"/>
              </w:rPr>
              <w:t>SES</w:t>
            </w:r>
            <w:r w:rsidR="00014EA5" w:rsidRPr="00BF6F37">
              <w:rPr>
                <w:rFonts w:ascii="Cambria" w:hAnsi="Cambria"/>
                <w:sz w:val="20"/>
                <w:szCs w:val="20"/>
                <w:lang w:val="en-US"/>
              </w:rPr>
              <w:t>)</w:t>
            </w:r>
            <w:r w:rsidR="00401649" w:rsidRPr="00BF6F37">
              <w:rPr>
                <w:rFonts w:ascii="Cambria" w:hAnsi="Cambria"/>
                <w:sz w:val="20"/>
                <w:szCs w:val="20"/>
                <w:lang w:val="en-US"/>
              </w:rPr>
              <w:t xml:space="preserve"> profile schools. There is no significant difference with teacher-student ratio between best performers, OECD average and Turkey. Another point is that teachers who work in low SES profile schools in Turkey rarely participate</w:t>
            </w:r>
            <w:r w:rsidR="003B1577" w:rsidRPr="00BF6F37">
              <w:rPr>
                <w:rFonts w:ascii="Cambria" w:hAnsi="Cambria"/>
                <w:sz w:val="20"/>
                <w:szCs w:val="20"/>
                <w:lang w:val="en-US"/>
              </w:rPr>
              <w:t>s</w:t>
            </w:r>
            <w:r w:rsidR="00401649" w:rsidRPr="00BF6F37">
              <w:rPr>
                <w:rFonts w:ascii="Cambria" w:hAnsi="Cambria"/>
                <w:sz w:val="20"/>
                <w:szCs w:val="20"/>
                <w:lang w:val="en-US"/>
              </w:rPr>
              <w:t xml:space="preserve"> professional development activities. Total teaching time for 6-15 age group</w:t>
            </w:r>
            <w:r w:rsidR="003B1577" w:rsidRPr="00BF6F37">
              <w:rPr>
                <w:rFonts w:ascii="Cambria" w:hAnsi="Cambria"/>
                <w:sz w:val="20"/>
                <w:szCs w:val="20"/>
                <w:lang w:val="en-US"/>
              </w:rPr>
              <w:t>s</w:t>
            </w:r>
            <w:r w:rsidR="00401649" w:rsidRPr="00BF6F37">
              <w:rPr>
                <w:rFonts w:ascii="Cambria" w:hAnsi="Cambria"/>
                <w:sz w:val="20"/>
                <w:szCs w:val="20"/>
                <w:lang w:val="en-US"/>
              </w:rPr>
              <w:t xml:space="preserve"> is very high in Turkey compared with best performing countries, so this finding brings forward quality issues in teaching time. In addition, attendance rate at pre-primary school is really low in Turkey. To sum up, it is suggested to review educational policies in the social justice context to grow individuals who have effective thinking abilities, better communication and problem solving skills.    </w:t>
            </w:r>
          </w:p>
          <w:p w:rsidR="005070B9" w:rsidRPr="00BF6F37" w:rsidRDefault="005070B9" w:rsidP="005070B9">
            <w:pPr>
              <w:tabs>
                <w:tab w:val="left" w:pos="3227"/>
              </w:tabs>
              <w:rPr>
                <w:rFonts w:ascii="Cambria" w:hAnsi="Cambria"/>
                <w:b/>
                <w:sz w:val="20"/>
                <w:szCs w:val="20"/>
              </w:rPr>
            </w:pPr>
          </w:p>
          <w:p w:rsidR="000F5FB8" w:rsidRPr="00BF6F37" w:rsidRDefault="005070B9" w:rsidP="005070B9">
            <w:pPr>
              <w:tabs>
                <w:tab w:val="left" w:pos="3227"/>
              </w:tabs>
              <w:rPr>
                <w:rFonts w:ascii="Cambria" w:hAnsi="Cambria"/>
                <w:sz w:val="20"/>
                <w:szCs w:val="20"/>
              </w:rPr>
            </w:pPr>
            <w:r w:rsidRPr="00BF6F37">
              <w:rPr>
                <w:rFonts w:ascii="Cambria" w:hAnsi="Cambria"/>
                <w:b/>
                <w:sz w:val="20"/>
                <w:szCs w:val="20"/>
              </w:rPr>
              <w:t>Keywords:</w:t>
            </w:r>
            <w:r w:rsidR="00547695">
              <w:rPr>
                <w:rFonts w:ascii="Cambria" w:hAnsi="Cambria"/>
                <w:b/>
                <w:sz w:val="20"/>
                <w:szCs w:val="20"/>
              </w:rPr>
              <w:t xml:space="preserve"> </w:t>
            </w:r>
            <w:r w:rsidR="00401649" w:rsidRPr="00BF6F37">
              <w:rPr>
                <w:rFonts w:ascii="Cambria" w:hAnsi="Cambria"/>
                <w:sz w:val="20"/>
                <w:szCs w:val="20"/>
              </w:rPr>
              <w:t>PISA 2015, Educ</w:t>
            </w:r>
            <w:r w:rsidR="001C239F">
              <w:rPr>
                <w:rFonts w:ascii="Cambria" w:hAnsi="Cambria"/>
                <w:sz w:val="20"/>
                <w:szCs w:val="20"/>
              </w:rPr>
              <w:t>ational Investments, Socio Economic S</w:t>
            </w:r>
            <w:r w:rsidR="0093100C">
              <w:rPr>
                <w:rFonts w:ascii="Cambria" w:hAnsi="Cambria"/>
                <w:sz w:val="20"/>
                <w:szCs w:val="20"/>
              </w:rPr>
              <w:t>tatus</w:t>
            </w:r>
            <w:r w:rsidR="001C239F">
              <w:rPr>
                <w:rFonts w:ascii="Cambria" w:hAnsi="Cambria"/>
                <w:sz w:val="20"/>
                <w:szCs w:val="20"/>
              </w:rPr>
              <w:t>, Turkey</w:t>
            </w:r>
          </w:p>
        </w:tc>
      </w:tr>
    </w:tbl>
    <w:p w:rsidR="00B40F84" w:rsidRPr="00BF6F37" w:rsidRDefault="00B40F84" w:rsidP="00D9144B">
      <w:pPr>
        <w:pStyle w:val="Default"/>
        <w:rPr>
          <w:rFonts w:ascii="Cambria" w:hAnsi="Cambria" w:cs="Times New Roman"/>
          <w:b/>
          <w:bCs/>
          <w:sz w:val="20"/>
          <w:szCs w:val="20"/>
        </w:rPr>
      </w:pPr>
    </w:p>
    <w:p w:rsidR="00BB3A59" w:rsidRPr="00BF6F37" w:rsidRDefault="00BB3A59" w:rsidP="00D9144B">
      <w:pPr>
        <w:pStyle w:val="Default"/>
        <w:rPr>
          <w:rFonts w:ascii="Cambria" w:hAnsi="Cambria" w:cs="Times New Roman"/>
          <w:b/>
          <w:bCs/>
          <w:sz w:val="20"/>
          <w:szCs w:val="20"/>
        </w:rPr>
      </w:pPr>
    </w:p>
    <w:p w:rsidR="005070B9" w:rsidRPr="00C84CED" w:rsidRDefault="008C2B1B" w:rsidP="00C82220">
      <w:pPr>
        <w:jc w:val="center"/>
        <w:rPr>
          <w:rFonts w:ascii="Cambria" w:eastAsiaTheme="majorEastAsia" w:hAnsi="Cambria"/>
          <w:b/>
          <w:sz w:val="22"/>
          <w:szCs w:val="22"/>
        </w:rPr>
      </w:pPr>
      <w:r w:rsidRPr="00BF6F37">
        <w:rPr>
          <w:rFonts w:ascii="Cambria" w:hAnsi="Cambria"/>
          <w:b/>
        </w:rPr>
        <w:br w:type="page"/>
      </w:r>
      <w:r w:rsidR="005070B9" w:rsidRPr="00C84CED">
        <w:rPr>
          <w:rFonts w:ascii="Cambria" w:hAnsi="Cambria"/>
          <w:b/>
          <w:sz w:val="22"/>
          <w:szCs w:val="22"/>
        </w:rPr>
        <w:lastRenderedPageBreak/>
        <w:t>SUMMARY</w:t>
      </w:r>
    </w:p>
    <w:p w:rsidR="00472265" w:rsidRPr="00C84CED" w:rsidRDefault="005070B9" w:rsidP="00472265">
      <w:pPr>
        <w:spacing w:before="100" w:beforeAutospacing="1" w:after="100" w:afterAutospacing="1"/>
        <w:jc w:val="both"/>
        <w:rPr>
          <w:rFonts w:ascii="Cambria" w:hAnsi="Cambria"/>
          <w:b/>
          <w:sz w:val="22"/>
          <w:szCs w:val="22"/>
          <w:lang w:val="en-US"/>
        </w:rPr>
      </w:pPr>
      <w:r w:rsidRPr="00C84CED">
        <w:rPr>
          <w:rFonts w:ascii="Cambria" w:hAnsi="Cambria"/>
          <w:b/>
          <w:sz w:val="22"/>
          <w:szCs w:val="22"/>
          <w:lang w:val="en-US"/>
        </w:rPr>
        <w:t>Introduction</w:t>
      </w:r>
    </w:p>
    <w:p w:rsidR="00A071BD" w:rsidRPr="00C84CED" w:rsidRDefault="00A071BD" w:rsidP="00472265">
      <w:pPr>
        <w:spacing w:before="100" w:beforeAutospacing="1" w:after="100" w:afterAutospacing="1"/>
        <w:ind w:firstLine="708"/>
        <w:jc w:val="both"/>
        <w:rPr>
          <w:rFonts w:ascii="Cambria" w:hAnsi="Cambria"/>
          <w:b/>
          <w:sz w:val="22"/>
          <w:szCs w:val="22"/>
          <w:lang w:val="en-US"/>
        </w:rPr>
      </w:pPr>
      <w:r w:rsidRPr="00C84CED">
        <w:rPr>
          <w:rFonts w:ascii="Cambria" w:hAnsi="Cambria"/>
          <w:color w:val="231F20"/>
          <w:sz w:val="22"/>
          <w:szCs w:val="22"/>
          <w:lang w:val="en-US"/>
        </w:rPr>
        <w:t>The purpose of this comparative study is to examine the PISA 2015 results of the ten best performing countries and Turkey in the context of resources invested in education. For that purpose, to make some comparisons, PISA results of best performing countries, Turkey and OECD average were examined.</w:t>
      </w:r>
      <w:r w:rsidR="00547695" w:rsidRPr="00C84CED">
        <w:rPr>
          <w:rFonts w:ascii="Cambria" w:hAnsi="Cambria"/>
          <w:color w:val="231F20"/>
          <w:sz w:val="22"/>
          <w:szCs w:val="22"/>
          <w:lang w:val="en-US"/>
        </w:rPr>
        <w:t xml:space="preserve"> </w:t>
      </w:r>
      <w:r w:rsidR="00C82220" w:rsidRPr="00C84CED">
        <w:rPr>
          <w:rFonts w:ascii="Cambria" w:hAnsi="Cambria"/>
          <w:color w:val="231F20"/>
          <w:sz w:val="22"/>
          <w:szCs w:val="22"/>
          <w:lang w:val="en-US"/>
        </w:rPr>
        <w:t>Alt</w:t>
      </w:r>
      <w:r w:rsidRPr="00C84CED">
        <w:rPr>
          <w:rFonts w:ascii="Cambria" w:hAnsi="Cambria"/>
          <w:color w:val="231F20"/>
          <w:sz w:val="22"/>
          <w:szCs w:val="22"/>
          <w:lang w:val="en-US"/>
        </w:rPr>
        <w:t>hough</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some</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validi</w:t>
      </w:r>
      <w:r w:rsidR="00C82220" w:rsidRPr="00C84CED">
        <w:rPr>
          <w:rFonts w:ascii="Cambria" w:hAnsi="Cambria"/>
          <w:color w:val="231F20"/>
          <w:sz w:val="22"/>
          <w:szCs w:val="22"/>
          <w:lang w:val="en-US"/>
        </w:rPr>
        <w:t>ty and reliability issues are in question</w:t>
      </w:r>
      <w:r w:rsidR="00547695" w:rsidRPr="00C84CED">
        <w:rPr>
          <w:rFonts w:ascii="Cambria" w:hAnsi="Cambria"/>
          <w:color w:val="231F20"/>
          <w:sz w:val="22"/>
          <w:szCs w:val="22"/>
          <w:lang w:val="en-US"/>
        </w:rPr>
        <w:t xml:space="preserve"> </w:t>
      </w:r>
      <w:r w:rsidR="00C82220" w:rsidRPr="00C84CED">
        <w:rPr>
          <w:rFonts w:ascii="Cambria" w:hAnsi="Cambria"/>
          <w:color w:val="231F20"/>
          <w:sz w:val="22"/>
          <w:szCs w:val="22"/>
          <w:lang w:val="en-US"/>
        </w:rPr>
        <w:t xml:space="preserve">about international exams, they are considered as important indicators </w:t>
      </w:r>
      <w:r w:rsidRPr="00C84CED">
        <w:rPr>
          <w:rFonts w:ascii="Cambria" w:hAnsi="Cambria"/>
          <w:color w:val="231F20"/>
          <w:sz w:val="22"/>
          <w:szCs w:val="22"/>
          <w:lang w:val="en-US"/>
        </w:rPr>
        <w:t>o</w:t>
      </w:r>
      <w:r w:rsidR="00C82220" w:rsidRPr="00C84CED">
        <w:rPr>
          <w:rFonts w:ascii="Cambria" w:hAnsi="Cambria"/>
          <w:color w:val="231F20"/>
          <w:sz w:val="22"/>
          <w:szCs w:val="22"/>
          <w:lang w:val="en-US"/>
        </w:rPr>
        <w:t xml:space="preserve">f educational performance of national education </w:t>
      </w:r>
      <w:r w:rsidRPr="00C84CED">
        <w:rPr>
          <w:rFonts w:ascii="Cambria" w:hAnsi="Cambria"/>
          <w:color w:val="231F20"/>
          <w:sz w:val="22"/>
          <w:szCs w:val="22"/>
          <w:lang w:val="en-US"/>
        </w:rPr>
        <w:t>systems in inte</w:t>
      </w:r>
      <w:r w:rsidR="00C82220" w:rsidRPr="00C84CED">
        <w:rPr>
          <w:rFonts w:ascii="Cambria" w:hAnsi="Cambria"/>
          <w:color w:val="231F20"/>
          <w:sz w:val="22"/>
          <w:szCs w:val="22"/>
          <w:lang w:val="en-US"/>
        </w:rPr>
        <w:t xml:space="preserve">rnational context. It is known that the most </w:t>
      </w:r>
      <w:r w:rsidR="00014EA5" w:rsidRPr="00C84CED">
        <w:rPr>
          <w:rFonts w:ascii="Cambria" w:hAnsi="Cambria"/>
          <w:color w:val="231F20"/>
          <w:sz w:val="22"/>
          <w:szCs w:val="22"/>
          <w:lang w:val="en-US"/>
        </w:rPr>
        <w:t>imp</w:t>
      </w:r>
      <w:r w:rsidRPr="00C84CED">
        <w:rPr>
          <w:rFonts w:ascii="Cambria" w:hAnsi="Cambria"/>
          <w:color w:val="231F20"/>
          <w:sz w:val="22"/>
          <w:szCs w:val="22"/>
          <w:lang w:val="en-US"/>
        </w:rPr>
        <w:t>o</w:t>
      </w:r>
      <w:r w:rsidR="00014EA5" w:rsidRPr="00C84CED">
        <w:rPr>
          <w:rFonts w:ascii="Cambria" w:hAnsi="Cambria"/>
          <w:color w:val="231F20"/>
          <w:sz w:val="22"/>
          <w:szCs w:val="22"/>
          <w:lang w:val="en-US"/>
        </w:rPr>
        <w:t>r</w:t>
      </w:r>
      <w:r w:rsidRPr="00C84CED">
        <w:rPr>
          <w:rFonts w:ascii="Cambria" w:hAnsi="Cambria"/>
          <w:color w:val="231F20"/>
          <w:sz w:val="22"/>
          <w:szCs w:val="22"/>
          <w:lang w:val="en-US"/>
        </w:rPr>
        <w:t>tant function</w:t>
      </w:r>
      <w:r w:rsidR="00014EA5" w:rsidRPr="00C84CED">
        <w:rPr>
          <w:rFonts w:ascii="Cambria" w:hAnsi="Cambria"/>
          <w:color w:val="231F20"/>
          <w:sz w:val="22"/>
          <w:szCs w:val="22"/>
          <w:lang w:val="en-US"/>
        </w:rPr>
        <w:t xml:space="preserve"> of PISA is to have a potential </w:t>
      </w:r>
      <w:r w:rsidRPr="00C84CED">
        <w:rPr>
          <w:rFonts w:ascii="Cambria" w:hAnsi="Cambria"/>
          <w:color w:val="231F20"/>
          <w:sz w:val="22"/>
          <w:szCs w:val="22"/>
          <w:lang w:val="en-US"/>
        </w:rPr>
        <w:t>to deter</w:t>
      </w:r>
      <w:r w:rsidR="00C82220" w:rsidRPr="00C84CED">
        <w:rPr>
          <w:rFonts w:ascii="Cambria" w:hAnsi="Cambria"/>
          <w:color w:val="231F20"/>
          <w:sz w:val="22"/>
          <w:szCs w:val="22"/>
          <w:lang w:val="en-US"/>
        </w:rPr>
        <w:t xml:space="preserve">mine student competences in and </w:t>
      </w:r>
      <w:r w:rsidRPr="00C84CED">
        <w:rPr>
          <w:rFonts w:ascii="Cambria" w:hAnsi="Cambria"/>
          <w:color w:val="231F20"/>
          <w:sz w:val="22"/>
          <w:szCs w:val="22"/>
          <w:lang w:val="en-US"/>
        </w:rPr>
        <w:t xml:space="preserve">out of school </w:t>
      </w:r>
      <w:r w:rsidR="00C82220" w:rsidRPr="00C84CED">
        <w:rPr>
          <w:rFonts w:ascii="Cambria" w:hAnsi="Cambria"/>
          <w:color w:val="231F20"/>
          <w:sz w:val="22"/>
          <w:szCs w:val="22"/>
          <w:lang w:val="en-US"/>
        </w:rPr>
        <w:t xml:space="preserve">and also give an idea about the </w:t>
      </w:r>
      <w:r w:rsidRPr="00C84CED">
        <w:rPr>
          <w:rFonts w:ascii="Cambria" w:hAnsi="Cambria"/>
          <w:color w:val="231F20"/>
          <w:sz w:val="22"/>
          <w:szCs w:val="22"/>
          <w:lang w:val="en-US"/>
        </w:rPr>
        <w:t xml:space="preserve">adaptation </w:t>
      </w:r>
      <w:r w:rsidR="00014EA5" w:rsidRPr="00C84CED">
        <w:rPr>
          <w:rFonts w:ascii="Cambria" w:hAnsi="Cambria"/>
          <w:color w:val="231F20"/>
          <w:sz w:val="22"/>
          <w:szCs w:val="22"/>
          <w:lang w:val="en-US"/>
        </w:rPr>
        <w:t>process of tho</w:t>
      </w:r>
      <w:r w:rsidR="00C82220" w:rsidRPr="00C84CED">
        <w:rPr>
          <w:rFonts w:ascii="Cambria" w:hAnsi="Cambria"/>
          <w:color w:val="231F20"/>
          <w:sz w:val="22"/>
          <w:szCs w:val="22"/>
          <w:lang w:val="en-US"/>
        </w:rPr>
        <w:t xml:space="preserve">se competences to </w:t>
      </w:r>
      <w:r w:rsidRPr="00C84CED">
        <w:rPr>
          <w:rFonts w:ascii="Cambria" w:hAnsi="Cambria"/>
          <w:color w:val="231F20"/>
          <w:sz w:val="22"/>
          <w:szCs w:val="22"/>
          <w:lang w:val="en-US"/>
        </w:rPr>
        <w:t>real life. In sum</w:t>
      </w:r>
      <w:r w:rsidR="00C82220" w:rsidRPr="00C84CED">
        <w:rPr>
          <w:rFonts w:ascii="Cambria" w:hAnsi="Cambria"/>
          <w:color w:val="231F20"/>
          <w:sz w:val="22"/>
          <w:szCs w:val="22"/>
          <w:lang w:val="en-US"/>
        </w:rPr>
        <w:t xml:space="preserve">, PISA focuses on what students </w:t>
      </w:r>
      <w:r w:rsidRPr="00C84CED">
        <w:rPr>
          <w:rFonts w:ascii="Cambria" w:hAnsi="Cambria"/>
          <w:color w:val="231F20"/>
          <w:sz w:val="22"/>
          <w:szCs w:val="22"/>
          <w:lang w:val="en-US"/>
        </w:rPr>
        <w:t>can do wit</w:t>
      </w:r>
      <w:r w:rsidR="00C82220" w:rsidRPr="00C84CED">
        <w:rPr>
          <w:rFonts w:ascii="Cambria" w:hAnsi="Cambria"/>
          <w:color w:val="231F20"/>
          <w:sz w:val="22"/>
          <w:szCs w:val="22"/>
          <w:lang w:val="en-US"/>
        </w:rPr>
        <w:t xml:space="preserve">h the knowledge acquired rather </w:t>
      </w:r>
      <w:r w:rsidRPr="00C84CED">
        <w:rPr>
          <w:rFonts w:ascii="Cambria" w:hAnsi="Cambria"/>
          <w:color w:val="231F20"/>
          <w:sz w:val="22"/>
          <w:szCs w:val="22"/>
          <w:lang w:val="en-US"/>
        </w:rPr>
        <w:t>than what the</w:t>
      </w:r>
      <w:r w:rsidR="00C82220" w:rsidRPr="00C84CED">
        <w:rPr>
          <w:rFonts w:ascii="Cambria" w:hAnsi="Cambria"/>
          <w:color w:val="231F20"/>
          <w:sz w:val="22"/>
          <w:szCs w:val="22"/>
          <w:lang w:val="en-US"/>
        </w:rPr>
        <w:t xml:space="preserve">y have learned. For the purpose </w:t>
      </w:r>
      <w:r w:rsidRPr="00C84CED">
        <w:rPr>
          <w:rFonts w:ascii="Cambria" w:hAnsi="Cambria"/>
          <w:color w:val="231F20"/>
          <w:sz w:val="22"/>
          <w:szCs w:val="22"/>
          <w:lang w:val="en-US"/>
        </w:rPr>
        <w:t>of that study, to make comparisons, the PI</w:t>
      </w:r>
      <w:r w:rsidR="00C82220" w:rsidRPr="00C84CED">
        <w:rPr>
          <w:rFonts w:ascii="Cambria" w:hAnsi="Cambria"/>
          <w:color w:val="231F20"/>
          <w:sz w:val="22"/>
          <w:szCs w:val="22"/>
          <w:lang w:val="en-US"/>
        </w:rPr>
        <w:t>SA 2015</w:t>
      </w:r>
      <w:r w:rsidRPr="00C84CED">
        <w:rPr>
          <w:rFonts w:ascii="Cambria" w:hAnsi="Cambria"/>
          <w:color w:val="231F20"/>
          <w:sz w:val="22"/>
          <w:szCs w:val="22"/>
          <w:lang w:val="en-US"/>
        </w:rPr>
        <w:t xml:space="preserve"> results of</w:t>
      </w:r>
      <w:r w:rsidR="00C82220" w:rsidRPr="00C84CED">
        <w:rPr>
          <w:rFonts w:ascii="Cambria" w:hAnsi="Cambria"/>
          <w:color w:val="231F20"/>
          <w:sz w:val="22"/>
          <w:szCs w:val="22"/>
          <w:lang w:val="en-US"/>
        </w:rPr>
        <w:t xml:space="preserve"> ten best performers</w:t>
      </w:r>
      <w:r w:rsidRPr="00C84CED">
        <w:rPr>
          <w:rFonts w:ascii="Cambria" w:hAnsi="Cambria"/>
          <w:color w:val="231F20"/>
          <w:sz w:val="22"/>
          <w:szCs w:val="22"/>
          <w:lang w:val="en-US"/>
        </w:rPr>
        <w:t xml:space="preserve">, OECD average and </w:t>
      </w:r>
      <w:r w:rsidR="00C82220" w:rsidRPr="00C84CED">
        <w:rPr>
          <w:rFonts w:ascii="Cambria" w:hAnsi="Cambria"/>
          <w:color w:val="231F20"/>
          <w:sz w:val="22"/>
          <w:szCs w:val="22"/>
          <w:lang w:val="en-US"/>
        </w:rPr>
        <w:t xml:space="preserve">Turkey were evaluated. </w:t>
      </w:r>
      <w:r w:rsidRPr="00C84CED">
        <w:rPr>
          <w:rFonts w:ascii="Cambria" w:hAnsi="Cambria"/>
          <w:color w:val="231F20"/>
          <w:sz w:val="22"/>
          <w:szCs w:val="22"/>
          <w:lang w:val="en-US"/>
        </w:rPr>
        <w:t>Autonomous r</w:t>
      </w:r>
      <w:r w:rsidR="00C82220" w:rsidRPr="00C84CED">
        <w:rPr>
          <w:rFonts w:ascii="Cambria" w:hAnsi="Cambria"/>
          <w:color w:val="231F20"/>
          <w:sz w:val="22"/>
          <w:szCs w:val="22"/>
          <w:lang w:val="en-US"/>
        </w:rPr>
        <w:t xml:space="preserve">egions in China such as Taipei </w:t>
      </w:r>
      <w:r w:rsidRPr="00C84CED">
        <w:rPr>
          <w:rFonts w:ascii="Cambria" w:hAnsi="Cambria"/>
          <w:color w:val="231F20"/>
          <w:sz w:val="22"/>
          <w:szCs w:val="22"/>
          <w:lang w:val="en-US"/>
        </w:rPr>
        <w:t>and Hong Ko</w:t>
      </w:r>
      <w:r w:rsidR="00C82220" w:rsidRPr="00C84CED">
        <w:rPr>
          <w:rFonts w:ascii="Cambria" w:hAnsi="Cambria"/>
          <w:color w:val="231F20"/>
          <w:sz w:val="22"/>
          <w:szCs w:val="22"/>
          <w:lang w:val="en-US"/>
        </w:rPr>
        <w:t xml:space="preserve">ng were considered as a country </w:t>
      </w:r>
      <w:r w:rsidRPr="00C84CED">
        <w:rPr>
          <w:rFonts w:ascii="Cambria" w:hAnsi="Cambria"/>
          <w:color w:val="231F20"/>
          <w:sz w:val="22"/>
          <w:szCs w:val="22"/>
          <w:lang w:val="en-US"/>
        </w:rPr>
        <w:t xml:space="preserve">in the </w:t>
      </w:r>
      <w:r w:rsidR="00C82220" w:rsidRPr="00C84CED">
        <w:rPr>
          <w:rFonts w:ascii="Cambria" w:hAnsi="Cambria"/>
          <w:color w:val="231F20"/>
          <w:sz w:val="22"/>
          <w:szCs w:val="22"/>
          <w:lang w:val="en-US"/>
        </w:rPr>
        <w:t xml:space="preserve">comparison </w:t>
      </w:r>
      <w:r w:rsidRPr="00C84CED">
        <w:rPr>
          <w:rFonts w:ascii="Cambria" w:hAnsi="Cambria"/>
          <w:color w:val="231F20"/>
          <w:sz w:val="22"/>
          <w:szCs w:val="22"/>
          <w:lang w:val="en-US"/>
        </w:rPr>
        <w:t>proces</w:t>
      </w:r>
      <w:r w:rsidR="00C82220" w:rsidRPr="00C84CED">
        <w:rPr>
          <w:rFonts w:ascii="Cambria" w:hAnsi="Cambria"/>
          <w:color w:val="231F20"/>
          <w:sz w:val="22"/>
          <w:szCs w:val="22"/>
          <w:lang w:val="en-US"/>
        </w:rPr>
        <w:t xml:space="preserve">s. Investments in </w:t>
      </w:r>
      <w:r w:rsidRPr="00C84CED">
        <w:rPr>
          <w:rFonts w:ascii="Cambria" w:hAnsi="Cambria"/>
          <w:color w:val="231F20"/>
          <w:sz w:val="22"/>
          <w:szCs w:val="22"/>
          <w:lang w:val="en-US"/>
        </w:rPr>
        <w:t xml:space="preserve">education were divided into </w:t>
      </w:r>
      <w:r w:rsidR="00C82220" w:rsidRPr="00C84CED">
        <w:rPr>
          <w:rFonts w:ascii="Cambria" w:hAnsi="Cambria"/>
          <w:color w:val="231F20"/>
          <w:sz w:val="22"/>
          <w:szCs w:val="22"/>
          <w:lang w:val="en-US"/>
        </w:rPr>
        <w:t xml:space="preserve">four categories as done by OECD. </w:t>
      </w:r>
      <w:r w:rsidRPr="00C84CED">
        <w:rPr>
          <w:rFonts w:ascii="Cambria" w:hAnsi="Cambria"/>
          <w:color w:val="231F20"/>
          <w:sz w:val="22"/>
          <w:szCs w:val="22"/>
          <w:lang w:val="en-US"/>
        </w:rPr>
        <w:t>These categories are f</w:t>
      </w:r>
      <w:r w:rsidR="00C82220" w:rsidRPr="00C84CED">
        <w:rPr>
          <w:rFonts w:ascii="Cambria" w:hAnsi="Cambria"/>
          <w:color w:val="231F20"/>
          <w:sz w:val="22"/>
          <w:szCs w:val="22"/>
          <w:lang w:val="en-US"/>
        </w:rPr>
        <w:t>i</w:t>
      </w:r>
      <w:r w:rsidRPr="00C84CED">
        <w:rPr>
          <w:rFonts w:ascii="Cambria" w:hAnsi="Cambria"/>
          <w:color w:val="231F20"/>
          <w:sz w:val="22"/>
          <w:szCs w:val="22"/>
          <w:lang w:val="en-US"/>
        </w:rPr>
        <w:t>nancial resources</w:t>
      </w:r>
      <w:r w:rsidR="00C82220" w:rsidRPr="00C84CED">
        <w:rPr>
          <w:rFonts w:ascii="Cambria" w:hAnsi="Cambria"/>
          <w:color w:val="231F20"/>
          <w:sz w:val="22"/>
          <w:szCs w:val="22"/>
          <w:lang w:val="en-US"/>
        </w:rPr>
        <w:t>,</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human resou</w:t>
      </w:r>
      <w:r w:rsidR="00014EA5" w:rsidRPr="00C84CED">
        <w:rPr>
          <w:rFonts w:ascii="Cambria" w:hAnsi="Cambria"/>
          <w:color w:val="231F20"/>
          <w:sz w:val="22"/>
          <w:szCs w:val="22"/>
          <w:lang w:val="en-US"/>
        </w:rPr>
        <w:t xml:space="preserve">rces, school resources and time </w:t>
      </w:r>
      <w:r w:rsidRPr="00C84CED">
        <w:rPr>
          <w:rFonts w:ascii="Cambria" w:hAnsi="Cambria"/>
          <w:color w:val="231F20"/>
          <w:sz w:val="22"/>
          <w:szCs w:val="22"/>
          <w:lang w:val="en-US"/>
        </w:rPr>
        <w:t>resources for traini</w:t>
      </w:r>
      <w:r w:rsidR="00014EA5" w:rsidRPr="00C84CED">
        <w:rPr>
          <w:rFonts w:ascii="Cambria" w:hAnsi="Cambria"/>
          <w:color w:val="231F20"/>
          <w:sz w:val="22"/>
          <w:szCs w:val="22"/>
          <w:lang w:val="en-US"/>
        </w:rPr>
        <w:t>n</w:t>
      </w:r>
      <w:r w:rsidRPr="00C84CED">
        <w:rPr>
          <w:rFonts w:ascii="Cambria" w:hAnsi="Cambria"/>
          <w:color w:val="231F20"/>
          <w:sz w:val="22"/>
          <w:szCs w:val="22"/>
          <w:lang w:val="en-US"/>
        </w:rPr>
        <w:t>g activities.</w:t>
      </w:r>
    </w:p>
    <w:p w:rsidR="005070B9" w:rsidRPr="00C84CED" w:rsidRDefault="005070B9" w:rsidP="000F6587">
      <w:pPr>
        <w:tabs>
          <w:tab w:val="left" w:pos="9072"/>
        </w:tabs>
        <w:spacing w:before="100" w:beforeAutospacing="1" w:after="100" w:afterAutospacing="1"/>
        <w:jc w:val="both"/>
        <w:rPr>
          <w:rFonts w:ascii="Cambria" w:hAnsi="Cambria"/>
          <w:b/>
          <w:color w:val="000000"/>
          <w:sz w:val="22"/>
          <w:szCs w:val="22"/>
          <w:lang w:val="en-US"/>
        </w:rPr>
      </w:pPr>
      <w:r w:rsidRPr="00C84CED">
        <w:rPr>
          <w:rFonts w:ascii="Cambria" w:hAnsi="Cambria"/>
          <w:b/>
          <w:color w:val="000000"/>
          <w:sz w:val="22"/>
          <w:szCs w:val="22"/>
          <w:lang w:val="en-US"/>
        </w:rPr>
        <w:t>Method</w:t>
      </w:r>
    </w:p>
    <w:p w:rsidR="00C82220" w:rsidRPr="00C84CED" w:rsidRDefault="00C82220" w:rsidP="00A41B9B">
      <w:pPr>
        <w:tabs>
          <w:tab w:val="left" w:pos="9072"/>
        </w:tabs>
        <w:spacing w:before="100" w:beforeAutospacing="1" w:after="100" w:afterAutospacing="1"/>
        <w:ind w:firstLine="567"/>
        <w:jc w:val="both"/>
        <w:rPr>
          <w:rFonts w:ascii="Cambria" w:hAnsi="Cambria"/>
          <w:sz w:val="22"/>
          <w:szCs w:val="22"/>
          <w:lang w:val="en-US"/>
        </w:rPr>
      </w:pPr>
      <w:r w:rsidRPr="00C84CED">
        <w:rPr>
          <w:rFonts w:ascii="Cambria" w:hAnsi="Cambria"/>
          <w:sz w:val="22"/>
          <w:szCs w:val="22"/>
          <w:lang w:val="en-US"/>
        </w:rPr>
        <w:t xml:space="preserve">This study was designed as a literature review study.  Document analysis technique was used to analyze the data. </w:t>
      </w:r>
      <w:r w:rsidRPr="00C84CED">
        <w:rPr>
          <w:rFonts w:ascii="Cambria" w:hAnsi="Cambria"/>
          <w:color w:val="231F20"/>
          <w:sz w:val="22"/>
          <w:szCs w:val="22"/>
          <w:lang w:val="en-US"/>
        </w:rPr>
        <w:t>Data were obtained from OECD statistics. Science was the core subject in PISA 2015</w:t>
      </w:r>
      <w:r w:rsidR="00A41B9B" w:rsidRPr="00C84CED">
        <w:rPr>
          <w:rFonts w:ascii="Cambria" w:hAnsi="Cambria"/>
          <w:color w:val="231F20"/>
          <w:sz w:val="22"/>
          <w:szCs w:val="22"/>
          <w:lang w:val="en-US"/>
        </w:rPr>
        <w:t>,</w:t>
      </w:r>
      <w:r w:rsidR="00014EA5" w:rsidRPr="00C84CED">
        <w:rPr>
          <w:rFonts w:ascii="Cambria" w:hAnsi="Cambria"/>
          <w:color w:val="231F20"/>
          <w:sz w:val="22"/>
          <w:szCs w:val="22"/>
          <w:lang w:val="en-US"/>
        </w:rPr>
        <w:t xml:space="preserve"> so the interpre</w:t>
      </w:r>
      <w:r w:rsidRPr="00C84CED">
        <w:rPr>
          <w:rFonts w:ascii="Cambria" w:hAnsi="Cambria"/>
          <w:color w:val="231F20"/>
          <w:sz w:val="22"/>
          <w:szCs w:val="22"/>
          <w:lang w:val="en-US"/>
        </w:rPr>
        <w:t>t</w:t>
      </w:r>
      <w:r w:rsidR="00014EA5" w:rsidRPr="00C84CED">
        <w:rPr>
          <w:rFonts w:ascii="Cambria" w:hAnsi="Cambria"/>
          <w:color w:val="231F20"/>
          <w:sz w:val="22"/>
          <w:szCs w:val="22"/>
          <w:lang w:val="en-US"/>
        </w:rPr>
        <w:t>at</w:t>
      </w:r>
      <w:r w:rsidRPr="00C84CED">
        <w:rPr>
          <w:rFonts w:ascii="Cambria" w:hAnsi="Cambria"/>
          <w:color w:val="231F20"/>
          <w:sz w:val="22"/>
          <w:szCs w:val="22"/>
          <w:lang w:val="en-US"/>
        </w:rPr>
        <w:t>ions about success and</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failure</w:t>
      </w:r>
      <w:r w:rsidR="00A41B9B" w:rsidRPr="00C84CED">
        <w:rPr>
          <w:rFonts w:ascii="Cambria" w:hAnsi="Cambria"/>
          <w:color w:val="231F20"/>
          <w:sz w:val="22"/>
          <w:szCs w:val="22"/>
          <w:lang w:val="en-US"/>
        </w:rPr>
        <w:t xml:space="preserve"> were made by taking science</w:t>
      </w:r>
      <w:r w:rsidRPr="00C84CED">
        <w:rPr>
          <w:rFonts w:ascii="Cambria" w:hAnsi="Cambria"/>
          <w:color w:val="231F20"/>
          <w:sz w:val="22"/>
          <w:szCs w:val="22"/>
          <w:lang w:val="en-US"/>
        </w:rPr>
        <w:br/>
        <w:t>performa</w:t>
      </w:r>
      <w:r w:rsidR="00014EA5" w:rsidRPr="00C84CED">
        <w:rPr>
          <w:rFonts w:ascii="Cambria" w:hAnsi="Cambria"/>
          <w:color w:val="231F20"/>
          <w:sz w:val="22"/>
          <w:szCs w:val="22"/>
          <w:lang w:val="en-US"/>
        </w:rPr>
        <w:t>n</w:t>
      </w:r>
      <w:r w:rsidRPr="00C84CED">
        <w:rPr>
          <w:rFonts w:ascii="Cambria" w:hAnsi="Cambria"/>
          <w:color w:val="231F20"/>
          <w:sz w:val="22"/>
          <w:szCs w:val="22"/>
          <w:lang w:val="en-US"/>
        </w:rPr>
        <w:t>ce into account. After reviewing</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the statistics, the study was made up of four</w:t>
      </w:r>
      <w:r w:rsidRPr="00C84CED">
        <w:rPr>
          <w:rFonts w:ascii="Cambria" w:hAnsi="Cambria"/>
          <w:color w:val="231F20"/>
          <w:sz w:val="22"/>
          <w:szCs w:val="22"/>
          <w:lang w:val="en-US"/>
        </w:rPr>
        <w:br/>
        <w:t>dimensions and each dimension with its sub</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dimensions w</w:t>
      </w:r>
      <w:r w:rsidR="00547695" w:rsidRPr="00C84CED">
        <w:rPr>
          <w:rFonts w:ascii="Cambria" w:hAnsi="Cambria"/>
          <w:color w:val="231F20"/>
          <w:sz w:val="22"/>
          <w:szCs w:val="22"/>
          <w:lang w:val="en-US"/>
        </w:rPr>
        <w:t>as presented in tables. Minus (-</w:t>
      </w:r>
      <w:r w:rsidRPr="00C84CED">
        <w:rPr>
          <w:rFonts w:ascii="Cambria" w:hAnsi="Cambria"/>
          <w:color w:val="231F20"/>
          <w:sz w:val="22"/>
          <w:szCs w:val="22"/>
          <w:lang w:val="en-US"/>
        </w:rPr>
        <w:t>)</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means “no da</w:t>
      </w:r>
      <w:r w:rsidR="00A41B9B" w:rsidRPr="00C84CED">
        <w:rPr>
          <w:rFonts w:ascii="Cambria" w:hAnsi="Cambria"/>
          <w:color w:val="231F20"/>
          <w:sz w:val="22"/>
          <w:szCs w:val="22"/>
          <w:lang w:val="en-US"/>
        </w:rPr>
        <w:t>ta available” for that country</w:t>
      </w:r>
      <w:r w:rsidRPr="00C84CED">
        <w:rPr>
          <w:rFonts w:ascii="Cambria" w:hAnsi="Cambria"/>
          <w:color w:val="231F20"/>
          <w:sz w:val="22"/>
          <w:szCs w:val="22"/>
          <w:lang w:val="en-US"/>
        </w:rPr>
        <w:t>.</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In data analysis process, statistical data were</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compared and interpreted.</w:t>
      </w:r>
    </w:p>
    <w:p w:rsidR="005070B9" w:rsidRPr="00C84CED" w:rsidRDefault="005070B9" w:rsidP="000F6587">
      <w:pPr>
        <w:tabs>
          <w:tab w:val="left" w:pos="9072"/>
        </w:tabs>
        <w:spacing w:before="100" w:beforeAutospacing="1" w:after="100" w:afterAutospacing="1"/>
        <w:jc w:val="both"/>
        <w:rPr>
          <w:rFonts w:ascii="Cambria" w:hAnsi="Cambria"/>
          <w:b/>
          <w:color w:val="000000"/>
          <w:sz w:val="22"/>
          <w:szCs w:val="22"/>
          <w:lang w:val="en-US"/>
        </w:rPr>
      </w:pPr>
      <w:r w:rsidRPr="00C84CED">
        <w:rPr>
          <w:rFonts w:ascii="Cambria" w:hAnsi="Cambria"/>
          <w:b/>
          <w:color w:val="000000"/>
          <w:sz w:val="22"/>
          <w:szCs w:val="22"/>
          <w:lang w:val="en-US"/>
        </w:rPr>
        <w:t>Results</w:t>
      </w:r>
    </w:p>
    <w:p w:rsidR="00A41B9B" w:rsidRPr="00C84CED" w:rsidRDefault="008E262A" w:rsidP="00A41B9B">
      <w:pPr>
        <w:tabs>
          <w:tab w:val="left" w:pos="9072"/>
        </w:tabs>
        <w:spacing w:before="100" w:beforeAutospacing="1" w:after="100" w:afterAutospacing="1"/>
        <w:ind w:firstLine="567"/>
        <w:jc w:val="both"/>
        <w:rPr>
          <w:rFonts w:ascii="Cambria" w:hAnsi="Cambria"/>
          <w:sz w:val="22"/>
          <w:szCs w:val="22"/>
          <w:lang w:val="en-US"/>
        </w:rPr>
      </w:pPr>
      <w:r w:rsidRPr="00C84CED">
        <w:rPr>
          <w:rFonts w:ascii="Cambria" w:hAnsi="Cambria"/>
          <w:sz w:val="22"/>
          <w:szCs w:val="22"/>
          <w:lang w:val="en-US"/>
        </w:rPr>
        <w:t>Results show that per capita Gross Domestic Production (GDP) and total educational expenditure ratios of 6-15 age group are important indicators.</w:t>
      </w:r>
      <w:r w:rsidR="00547695" w:rsidRPr="00C84CED">
        <w:rPr>
          <w:rFonts w:ascii="Cambria" w:hAnsi="Cambria"/>
          <w:sz w:val="22"/>
          <w:szCs w:val="22"/>
          <w:lang w:val="en-US"/>
        </w:rPr>
        <w:t xml:space="preserve"> </w:t>
      </w:r>
      <w:r w:rsidR="00A41B9B" w:rsidRPr="00C84CED">
        <w:rPr>
          <w:rFonts w:ascii="Cambria" w:hAnsi="Cambria"/>
          <w:sz w:val="22"/>
          <w:szCs w:val="22"/>
          <w:lang w:val="en-US"/>
        </w:rPr>
        <w:t>While material resources in most countries are enough for training activities, this is not the case for Turkey especially in low SES profile schools. There is no significant difference with teacher-student ratio between best performers, OECD average and Turkey. Another point is that teachers who work in low SES profile scho</w:t>
      </w:r>
      <w:r w:rsidR="00014EA5" w:rsidRPr="00C84CED">
        <w:rPr>
          <w:rFonts w:ascii="Cambria" w:hAnsi="Cambria"/>
          <w:sz w:val="22"/>
          <w:szCs w:val="22"/>
          <w:lang w:val="en-US"/>
        </w:rPr>
        <w:t>ols in Turkey rarely participates</w:t>
      </w:r>
      <w:r w:rsidR="00A41B9B" w:rsidRPr="00C84CED">
        <w:rPr>
          <w:rFonts w:ascii="Cambria" w:hAnsi="Cambria"/>
          <w:sz w:val="22"/>
          <w:szCs w:val="22"/>
          <w:lang w:val="en-US"/>
        </w:rPr>
        <w:t xml:space="preserve"> professional development activities. Total teaching time for 6-15 age group</w:t>
      </w:r>
      <w:r w:rsidR="00014EA5" w:rsidRPr="00C84CED">
        <w:rPr>
          <w:rFonts w:ascii="Cambria" w:hAnsi="Cambria"/>
          <w:sz w:val="22"/>
          <w:szCs w:val="22"/>
          <w:lang w:val="en-US"/>
        </w:rPr>
        <w:t>s</w:t>
      </w:r>
      <w:r w:rsidR="00A41B9B" w:rsidRPr="00C84CED">
        <w:rPr>
          <w:rFonts w:ascii="Cambria" w:hAnsi="Cambria"/>
          <w:sz w:val="22"/>
          <w:szCs w:val="22"/>
          <w:lang w:val="en-US"/>
        </w:rPr>
        <w:t xml:space="preserve"> is very high in Turkey compared with best performing countries, so this finding brings forward quality issues in teaching time. In addition, attendance rate at pre-primary school is really low in Turkey. </w:t>
      </w:r>
    </w:p>
    <w:p w:rsidR="00A41B9B" w:rsidRPr="00C84CED" w:rsidRDefault="00FD0DDB" w:rsidP="00A41B9B">
      <w:pPr>
        <w:tabs>
          <w:tab w:val="left" w:pos="9072"/>
        </w:tabs>
        <w:spacing w:before="100" w:beforeAutospacing="1" w:after="100" w:afterAutospacing="1"/>
        <w:jc w:val="both"/>
        <w:rPr>
          <w:rFonts w:ascii="Cambria" w:hAnsi="Cambria"/>
          <w:b/>
          <w:bCs/>
          <w:sz w:val="22"/>
          <w:szCs w:val="22"/>
          <w:lang w:val="en-US"/>
        </w:rPr>
      </w:pPr>
      <w:r w:rsidRPr="00C84CED">
        <w:rPr>
          <w:rFonts w:ascii="Cambria" w:hAnsi="Cambria"/>
          <w:b/>
          <w:bCs/>
          <w:sz w:val="22"/>
          <w:szCs w:val="22"/>
          <w:lang w:val="en-US"/>
        </w:rPr>
        <w:t xml:space="preserve">Discussion </w:t>
      </w:r>
      <w:r w:rsidR="005070B9" w:rsidRPr="00C84CED">
        <w:rPr>
          <w:rFonts w:ascii="Cambria" w:hAnsi="Cambria"/>
          <w:b/>
          <w:bCs/>
          <w:sz w:val="22"/>
          <w:szCs w:val="22"/>
          <w:lang w:val="en-US"/>
        </w:rPr>
        <w:t xml:space="preserve">and </w:t>
      </w:r>
      <w:r w:rsidRPr="00C84CED">
        <w:rPr>
          <w:rFonts w:ascii="Cambria" w:hAnsi="Cambria"/>
          <w:b/>
          <w:bCs/>
          <w:sz w:val="22"/>
          <w:szCs w:val="22"/>
          <w:lang w:val="en-US"/>
        </w:rPr>
        <w:t>Conclusion</w:t>
      </w:r>
    </w:p>
    <w:p w:rsidR="009105E4" w:rsidRDefault="00A41B9B" w:rsidP="00C84CED">
      <w:pPr>
        <w:tabs>
          <w:tab w:val="left" w:pos="9072"/>
        </w:tabs>
        <w:spacing w:before="100" w:beforeAutospacing="1" w:after="100" w:afterAutospacing="1"/>
        <w:ind w:firstLine="567"/>
        <w:jc w:val="both"/>
        <w:rPr>
          <w:rFonts w:ascii="Cambria" w:hAnsi="Cambria"/>
          <w:sz w:val="22"/>
          <w:szCs w:val="22"/>
          <w:lang w:val="en-US"/>
        </w:rPr>
      </w:pPr>
      <w:r w:rsidRPr="00C84CED">
        <w:rPr>
          <w:rFonts w:ascii="Cambria" w:hAnsi="Cambria"/>
          <w:color w:val="231F20"/>
          <w:sz w:val="22"/>
          <w:szCs w:val="22"/>
          <w:lang w:val="en-US"/>
        </w:rPr>
        <w:t>The f</w:t>
      </w:r>
      <w:r w:rsidR="00014EA5" w:rsidRPr="00C84CED">
        <w:rPr>
          <w:rFonts w:ascii="Cambria" w:hAnsi="Cambria"/>
          <w:color w:val="231F20"/>
          <w:sz w:val="22"/>
          <w:szCs w:val="22"/>
          <w:lang w:val="en-US"/>
        </w:rPr>
        <w:t>i</w:t>
      </w:r>
      <w:r w:rsidRPr="00C84CED">
        <w:rPr>
          <w:rFonts w:ascii="Cambria" w:hAnsi="Cambria"/>
          <w:color w:val="231F20"/>
          <w:sz w:val="22"/>
          <w:szCs w:val="22"/>
          <w:lang w:val="en-US"/>
        </w:rPr>
        <w:t>rst dimension of investments in</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education is f</w:t>
      </w:r>
      <w:r w:rsidR="00014EA5" w:rsidRPr="00C84CED">
        <w:rPr>
          <w:rFonts w:ascii="Cambria" w:hAnsi="Cambria"/>
          <w:color w:val="231F20"/>
          <w:sz w:val="22"/>
          <w:szCs w:val="22"/>
          <w:lang w:val="en-US"/>
        </w:rPr>
        <w:t>i</w:t>
      </w:r>
      <w:r w:rsidRPr="00C84CED">
        <w:rPr>
          <w:rFonts w:ascii="Cambria" w:hAnsi="Cambria"/>
          <w:color w:val="231F20"/>
          <w:sz w:val="22"/>
          <w:szCs w:val="22"/>
          <w:lang w:val="en-US"/>
        </w:rPr>
        <w:t>nancial resources. In this</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dimension, we dealt with the total expenditure</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per student aged from 6-15 by considering the GDP values of each country. The analysis showed that</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 xml:space="preserve">total </w:t>
      </w:r>
      <w:r w:rsidR="00547695" w:rsidRPr="00C84CED">
        <w:rPr>
          <w:rFonts w:ascii="Cambria" w:hAnsi="Cambria"/>
          <w:color w:val="231F20"/>
          <w:sz w:val="22"/>
          <w:szCs w:val="22"/>
          <w:lang w:val="en-US"/>
        </w:rPr>
        <w:t xml:space="preserve">expenditure </w:t>
      </w:r>
      <w:r w:rsidRPr="00C84CED">
        <w:rPr>
          <w:rFonts w:ascii="Cambria" w:hAnsi="Cambria"/>
          <w:color w:val="231F20"/>
          <w:sz w:val="22"/>
          <w:szCs w:val="22"/>
          <w:lang w:val="en-US"/>
        </w:rPr>
        <w:t>per student,</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with GDP values, varies country</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by count</w:t>
      </w:r>
      <w:r w:rsidR="00806B01" w:rsidRPr="00C84CED">
        <w:rPr>
          <w:rFonts w:ascii="Cambria" w:hAnsi="Cambria"/>
          <w:color w:val="231F20"/>
          <w:sz w:val="22"/>
          <w:szCs w:val="22"/>
          <w:lang w:val="en-US"/>
        </w:rPr>
        <w:t>ry but there is also a finding</w:t>
      </w:r>
      <w:r w:rsidRPr="00C84CED">
        <w:rPr>
          <w:rFonts w:ascii="Cambria" w:hAnsi="Cambria"/>
          <w:color w:val="231F20"/>
          <w:sz w:val="22"/>
          <w:szCs w:val="22"/>
          <w:lang w:val="en-US"/>
        </w:rPr>
        <w:t xml:space="preserve"> that countries which have higher GDP, tend to spend more money on </w:t>
      </w:r>
      <w:r w:rsidR="003F1165" w:rsidRPr="00C84CED">
        <w:rPr>
          <w:rFonts w:ascii="Cambria" w:hAnsi="Cambria"/>
          <w:color w:val="231F20"/>
          <w:sz w:val="22"/>
          <w:szCs w:val="22"/>
          <w:lang w:val="en-US"/>
        </w:rPr>
        <w:t>education.</w:t>
      </w:r>
      <w:r w:rsidR="00547695" w:rsidRPr="00C84CED">
        <w:rPr>
          <w:rFonts w:ascii="Cambria" w:hAnsi="Cambria"/>
          <w:color w:val="231F20"/>
          <w:sz w:val="22"/>
          <w:szCs w:val="22"/>
          <w:lang w:val="en-US"/>
        </w:rPr>
        <w:t xml:space="preserve"> </w:t>
      </w:r>
      <w:r w:rsidRPr="00C84CED">
        <w:rPr>
          <w:rFonts w:ascii="Cambria" w:hAnsi="Cambria"/>
          <w:color w:val="231F20"/>
          <w:sz w:val="22"/>
          <w:szCs w:val="22"/>
          <w:lang w:val="en-US"/>
        </w:rPr>
        <w:t xml:space="preserve">This may be </w:t>
      </w:r>
      <w:r w:rsidR="00806B01" w:rsidRPr="00C84CED">
        <w:rPr>
          <w:rFonts w:ascii="Cambria" w:hAnsi="Cambria"/>
          <w:color w:val="231F20"/>
          <w:sz w:val="22"/>
          <w:szCs w:val="22"/>
          <w:lang w:val="en-US"/>
        </w:rPr>
        <w:t>advanta</w:t>
      </w:r>
      <w:r w:rsidRPr="00C84CED">
        <w:rPr>
          <w:rFonts w:ascii="Cambria" w:hAnsi="Cambria"/>
          <w:color w:val="231F20"/>
          <w:sz w:val="22"/>
          <w:szCs w:val="22"/>
          <w:lang w:val="en-US"/>
        </w:rPr>
        <w:t>g</w:t>
      </w:r>
      <w:r w:rsidR="00806B01" w:rsidRPr="00C84CED">
        <w:rPr>
          <w:rFonts w:ascii="Cambria" w:hAnsi="Cambria"/>
          <w:color w:val="231F20"/>
          <w:sz w:val="22"/>
          <w:szCs w:val="22"/>
          <w:lang w:val="en-US"/>
        </w:rPr>
        <w:t>e</w:t>
      </w:r>
      <w:r w:rsidRPr="00C84CED">
        <w:rPr>
          <w:rFonts w:ascii="Cambria" w:hAnsi="Cambria"/>
          <w:color w:val="231F20"/>
          <w:sz w:val="22"/>
          <w:szCs w:val="22"/>
          <w:lang w:val="en-US"/>
        </w:rPr>
        <w:t>ous but</w:t>
      </w:r>
      <w:r w:rsidR="00CC7BAB" w:rsidRPr="00C84CED">
        <w:rPr>
          <w:rFonts w:ascii="Cambria" w:hAnsi="Cambria"/>
          <w:color w:val="231F20"/>
          <w:sz w:val="22"/>
          <w:szCs w:val="22"/>
          <w:lang w:val="en-US"/>
        </w:rPr>
        <w:t xml:space="preserve"> spending more is not the best solution for better performance.</w:t>
      </w:r>
      <w:r w:rsidR="003F1165" w:rsidRPr="00C84CED">
        <w:rPr>
          <w:rFonts w:ascii="Cambria" w:hAnsi="Cambria"/>
          <w:color w:val="231F20"/>
          <w:sz w:val="22"/>
          <w:szCs w:val="22"/>
          <w:lang w:val="en-US"/>
        </w:rPr>
        <w:t xml:space="preserve"> In the </w:t>
      </w:r>
      <w:r w:rsidR="00CC7BAB" w:rsidRPr="00C84CED">
        <w:rPr>
          <w:rFonts w:ascii="Cambria" w:hAnsi="Cambria"/>
          <w:color w:val="231F20"/>
          <w:sz w:val="22"/>
          <w:szCs w:val="22"/>
          <w:lang w:val="en-US"/>
        </w:rPr>
        <w:t>second dimension of</w:t>
      </w:r>
      <w:r w:rsidR="00547695" w:rsidRPr="00C84CED">
        <w:rPr>
          <w:rFonts w:ascii="Cambria" w:hAnsi="Cambria"/>
          <w:color w:val="231F20"/>
          <w:sz w:val="22"/>
          <w:szCs w:val="22"/>
          <w:lang w:val="en-US"/>
        </w:rPr>
        <w:t xml:space="preserve"> </w:t>
      </w:r>
      <w:r w:rsidR="00CC7BAB" w:rsidRPr="00C84CED">
        <w:rPr>
          <w:rFonts w:ascii="Cambria" w:hAnsi="Cambria"/>
          <w:color w:val="231F20"/>
          <w:sz w:val="22"/>
          <w:szCs w:val="22"/>
          <w:lang w:val="en-US"/>
        </w:rPr>
        <w:t>investments in education, the relationship</w:t>
      </w:r>
      <w:r w:rsidR="00547695" w:rsidRPr="00C84CED">
        <w:rPr>
          <w:rFonts w:ascii="Cambria" w:hAnsi="Cambria"/>
          <w:color w:val="231F20"/>
          <w:sz w:val="22"/>
          <w:szCs w:val="22"/>
          <w:lang w:val="en-US"/>
        </w:rPr>
        <w:t xml:space="preserve"> </w:t>
      </w:r>
      <w:r w:rsidR="00CC7BAB" w:rsidRPr="00C84CED">
        <w:rPr>
          <w:rFonts w:ascii="Cambria" w:hAnsi="Cambria"/>
          <w:color w:val="231F20"/>
          <w:sz w:val="22"/>
          <w:szCs w:val="22"/>
          <w:lang w:val="en-US"/>
        </w:rPr>
        <w:t xml:space="preserve">between educational materials, computer </w:t>
      </w:r>
      <w:r w:rsidR="00806B01" w:rsidRPr="00C84CED">
        <w:rPr>
          <w:rFonts w:ascii="Cambria" w:hAnsi="Cambria"/>
          <w:color w:val="231F20"/>
          <w:sz w:val="22"/>
          <w:szCs w:val="22"/>
          <w:lang w:val="en-US"/>
        </w:rPr>
        <w:t>accessibility a</w:t>
      </w:r>
      <w:r w:rsidR="00CC7BAB" w:rsidRPr="00C84CED">
        <w:rPr>
          <w:rFonts w:ascii="Cambria" w:hAnsi="Cambria"/>
          <w:color w:val="231F20"/>
          <w:sz w:val="22"/>
          <w:szCs w:val="22"/>
          <w:lang w:val="en-US"/>
        </w:rPr>
        <w:t>nd science performance was examined with SES profiles of schools</w:t>
      </w:r>
      <w:r w:rsidR="003F1165" w:rsidRPr="00C84CED">
        <w:rPr>
          <w:rFonts w:ascii="Cambria" w:hAnsi="Cambria"/>
          <w:color w:val="231F20"/>
          <w:sz w:val="22"/>
          <w:szCs w:val="22"/>
          <w:lang w:val="en-US"/>
        </w:rPr>
        <w:t xml:space="preserve">. As a </w:t>
      </w:r>
      <w:r w:rsidR="00CC7BAB" w:rsidRPr="00C84CED">
        <w:rPr>
          <w:rFonts w:ascii="Cambria" w:hAnsi="Cambria"/>
          <w:color w:val="231F20"/>
          <w:sz w:val="22"/>
          <w:szCs w:val="22"/>
          <w:lang w:val="en-US"/>
        </w:rPr>
        <w:t xml:space="preserve">result, school principals </w:t>
      </w:r>
      <w:r w:rsidR="00CC7BAB" w:rsidRPr="00C84CED">
        <w:rPr>
          <w:rFonts w:ascii="Cambria" w:hAnsi="Cambria"/>
          <w:sz w:val="22"/>
          <w:szCs w:val="22"/>
          <w:lang w:val="en-US"/>
        </w:rPr>
        <w:t xml:space="preserve">in most countries </w:t>
      </w:r>
      <w:r w:rsidR="00CC7BAB" w:rsidRPr="00C84CED">
        <w:rPr>
          <w:rFonts w:ascii="Cambria" w:hAnsi="Cambria"/>
          <w:color w:val="231F20"/>
          <w:sz w:val="22"/>
          <w:szCs w:val="22"/>
          <w:lang w:val="en-US"/>
        </w:rPr>
        <w:t xml:space="preserve">reported </w:t>
      </w:r>
      <w:r w:rsidR="00CC7BAB" w:rsidRPr="00C84CED">
        <w:rPr>
          <w:rFonts w:ascii="Cambria" w:hAnsi="Cambria"/>
          <w:sz w:val="22"/>
          <w:szCs w:val="22"/>
          <w:lang w:val="en-US"/>
        </w:rPr>
        <w:t>material resources as e</w:t>
      </w:r>
      <w:r w:rsidR="003F1165" w:rsidRPr="00C84CED">
        <w:rPr>
          <w:rFonts w:ascii="Cambria" w:hAnsi="Cambria"/>
          <w:sz w:val="22"/>
          <w:szCs w:val="22"/>
          <w:lang w:val="en-US"/>
        </w:rPr>
        <w:t xml:space="preserve">nough for training </w:t>
      </w:r>
      <w:r w:rsidR="00CC7BAB" w:rsidRPr="00C84CED">
        <w:rPr>
          <w:rFonts w:ascii="Cambria" w:hAnsi="Cambria"/>
          <w:sz w:val="22"/>
          <w:szCs w:val="22"/>
          <w:lang w:val="en-US"/>
        </w:rPr>
        <w:t>activities, but this is not the case for Turkey especially in low SES profile schools.</w:t>
      </w:r>
      <w:r w:rsidR="003F1165" w:rsidRPr="00C84CED">
        <w:rPr>
          <w:rFonts w:ascii="Cambria" w:hAnsi="Cambria"/>
          <w:sz w:val="22"/>
          <w:szCs w:val="22"/>
          <w:lang w:val="en-US"/>
        </w:rPr>
        <w:t xml:space="preserve"> In Turkey low </w:t>
      </w:r>
      <w:r w:rsidR="00CC7BAB" w:rsidRPr="00C84CED">
        <w:rPr>
          <w:rFonts w:ascii="Cambria" w:hAnsi="Cambria"/>
          <w:sz w:val="22"/>
          <w:szCs w:val="22"/>
          <w:lang w:val="en-US"/>
        </w:rPr>
        <w:t xml:space="preserve">SES profile schools face a lack of educational materials. This case is </w:t>
      </w:r>
      <w:r w:rsidR="00CC7BAB" w:rsidRPr="00C84CED">
        <w:rPr>
          <w:rFonts w:ascii="Cambria" w:hAnsi="Cambria"/>
          <w:sz w:val="22"/>
          <w:szCs w:val="22"/>
          <w:lang w:val="en-US"/>
        </w:rPr>
        <w:lastRenderedPageBreak/>
        <w:t xml:space="preserve">the same for computer accessibility.  </w:t>
      </w:r>
      <w:r w:rsidRPr="00C84CED">
        <w:rPr>
          <w:rFonts w:ascii="Cambria" w:hAnsi="Cambria"/>
          <w:color w:val="231F20"/>
          <w:sz w:val="22"/>
          <w:szCs w:val="22"/>
          <w:lang w:val="en-US"/>
        </w:rPr>
        <w:t xml:space="preserve">Human resources dimension is about </w:t>
      </w:r>
      <w:r w:rsidR="003F1165" w:rsidRPr="00C84CED">
        <w:rPr>
          <w:rFonts w:ascii="Cambria" w:hAnsi="Cambria"/>
          <w:color w:val="231F20"/>
          <w:sz w:val="22"/>
          <w:szCs w:val="22"/>
          <w:lang w:val="en-US"/>
        </w:rPr>
        <w:t>school size,</w:t>
      </w:r>
      <w:r w:rsidR="00806B01" w:rsidRPr="00C84CED">
        <w:rPr>
          <w:rFonts w:ascii="Cambria" w:hAnsi="Cambria"/>
          <w:color w:val="231F20"/>
          <w:sz w:val="22"/>
          <w:szCs w:val="22"/>
          <w:lang w:val="en-US"/>
        </w:rPr>
        <w:t xml:space="preserve"> teacher-</w:t>
      </w:r>
      <w:r w:rsidRPr="00C84CED">
        <w:rPr>
          <w:rFonts w:ascii="Cambria" w:hAnsi="Cambria"/>
          <w:color w:val="231F20"/>
          <w:sz w:val="22"/>
          <w:szCs w:val="22"/>
          <w:lang w:val="en-US"/>
        </w:rPr>
        <w:t xml:space="preserve">student ratio and </w:t>
      </w:r>
      <w:r w:rsidR="003F1165" w:rsidRPr="00C84CED">
        <w:rPr>
          <w:rFonts w:ascii="Cambria" w:hAnsi="Cambria"/>
          <w:color w:val="231F20"/>
          <w:sz w:val="22"/>
          <w:szCs w:val="22"/>
          <w:lang w:val="en-US"/>
        </w:rPr>
        <w:t xml:space="preserve">in service training participation rate </w:t>
      </w:r>
      <w:r w:rsidRPr="00C84CED">
        <w:rPr>
          <w:rFonts w:ascii="Cambria" w:hAnsi="Cambria"/>
          <w:color w:val="231F20"/>
          <w:sz w:val="22"/>
          <w:szCs w:val="22"/>
          <w:lang w:val="en-US"/>
        </w:rPr>
        <w:t>of teachers</w:t>
      </w:r>
      <w:r w:rsidR="005B6465" w:rsidRPr="00C84CED">
        <w:rPr>
          <w:rFonts w:ascii="Cambria" w:hAnsi="Cambria"/>
          <w:color w:val="231F20"/>
          <w:sz w:val="22"/>
          <w:szCs w:val="22"/>
          <w:lang w:val="en-US"/>
        </w:rPr>
        <w:t xml:space="preserve">. According to the indicators, school sizes in Turkey are lower in high SES profile </w:t>
      </w:r>
      <w:r w:rsidR="00806B01" w:rsidRPr="00C84CED">
        <w:rPr>
          <w:rFonts w:ascii="Cambria" w:hAnsi="Cambria"/>
          <w:color w:val="231F20"/>
          <w:sz w:val="22"/>
          <w:szCs w:val="22"/>
          <w:lang w:val="en-US"/>
        </w:rPr>
        <w:t>schools</w:t>
      </w:r>
      <w:r w:rsidR="005B6465" w:rsidRPr="00C84CED">
        <w:rPr>
          <w:rFonts w:ascii="Cambria" w:hAnsi="Cambria"/>
          <w:color w:val="231F20"/>
          <w:sz w:val="22"/>
          <w:szCs w:val="22"/>
          <w:lang w:val="en-US"/>
        </w:rPr>
        <w:t xml:space="preserve"> on the other hand low SES profile schools have more students than others. Most countries in our sample have fewer students in low profile schools. </w:t>
      </w:r>
      <w:r w:rsidR="005B6465" w:rsidRPr="00C84CED">
        <w:rPr>
          <w:rFonts w:ascii="Cambria" w:hAnsi="Cambria"/>
          <w:sz w:val="22"/>
          <w:szCs w:val="22"/>
          <w:lang w:val="en-US"/>
        </w:rPr>
        <w:t>T</w:t>
      </w:r>
      <w:r w:rsidR="003F1165" w:rsidRPr="00C84CED">
        <w:rPr>
          <w:rFonts w:ascii="Cambria" w:hAnsi="Cambria"/>
          <w:sz w:val="22"/>
          <w:szCs w:val="22"/>
          <w:lang w:val="en-US"/>
        </w:rPr>
        <w:t>here is no significant difference with teacher-student ratio between best performers, OECD average and Turkey. Another point is that teachers who work in low SES profile schools in Turkey rarely participate</w:t>
      </w:r>
      <w:r w:rsidR="00806B01" w:rsidRPr="00C84CED">
        <w:rPr>
          <w:rFonts w:ascii="Cambria" w:hAnsi="Cambria"/>
          <w:sz w:val="22"/>
          <w:szCs w:val="22"/>
          <w:lang w:val="en-US"/>
        </w:rPr>
        <w:t>s</w:t>
      </w:r>
      <w:r w:rsidR="003F1165" w:rsidRPr="00C84CED">
        <w:rPr>
          <w:rFonts w:ascii="Cambria" w:hAnsi="Cambria"/>
          <w:sz w:val="22"/>
          <w:szCs w:val="22"/>
          <w:lang w:val="en-US"/>
        </w:rPr>
        <w:t xml:space="preserve"> professional development activities.</w:t>
      </w:r>
      <w:r w:rsidR="005B6465" w:rsidRPr="00C84CED">
        <w:rPr>
          <w:rFonts w:ascii="Cambria" w:hAnsi="Cambria"/>
          <w:sz w:val="22"/>
          <w:szCs w:val="22"/>
          <w:lang w:val="en-US"/>
        </w:rPr>
        <w:t xml:space="preserve"> So the school sizes and participation</w:t>
      </w:r>
      <w:r w:rsidR="009105E4" w:rsidRPr="00C84CED">
        <w:rPr>
          <w:rFonts w:ascii="Cambria" w:hAnsi="Cambria"/>
          <w:sz w:val="22"/>
          <w:szCs w:val="22"/>
          <w:lang w:val="en-US"/>
        </w:rPr>
        <w:t xml:space="preserve"> rates of in service training show an inequality in terms of school SES profiles.</w:t>
      </w:r>
      <w:r w:rsidR="00547695" w:rsidRPr="00C84CED">
        <w:rPr>
          <w:rFonts w:ascii="Cambria" w:hAnsi="Cambria"/>
          <w:sz w:val="22"/>
          <w:szCs w:val="22"/>
          <w:lang w:val="en-US"/>
        </w:rPr>
        <w:t xml:space="preserve"> </w:t>
      </w:r>
      <w:r w:rsidR="009105E4" w:rsidRPr="00C84CED">
        <w:rPr>
          <w:rFonts w:ascii="Cambria" w:hAnsi="Cambria"/>
          <w:sz w:val="22"/>
          <w:szCs w:val="22"/>
          <w:lang w:val="en-US"/>
        </w:rPr>
        <w:t>As for the time resources for training activities, total teaching time and attendance rate at pre-primary school are important indicators.</w:t>
      </w:r>
      <w:r w:rsidR="00547695" w:rsidRPr="00C84CED">
        <w:rPr>
          <w:rFonts w:ascii="Cambria" w:hAnsi="Cambria"/>
          <w:sz w:val="22"/>
          <w:szCs w:val="22"/>
          <w:lang w:val="en-US"/>
        </w:rPr>
        <w:t xml:space="preserve"> </w:t>
      </w:r>
      <w:r w:rsidR="009105E4" w:rsidRPr="00C84CED">
        <w:rPr>
          <w:rFonts w:ascii="Cambria" w:hAnsi="Cambria"/>
          <w:sz w:val="22"/>
          <w:szCs w:val="22"/>
          <w:lang w:val="en-US"/>
        </w:rPr>
        <w:t>Total teaching time for 6-15 age group is very high in Turkey compared with best performing countries, so this finding brings forward quality issues in teaching time. In addition, attendance rate at pre-primary school is really low in Turkey. To sum up, it is suggested to review educational policies in the social justice context to grow individuals who have effective thinking abilities, better communication</w:t>
      </w:r>
      <w:r w:rsidR="00C84CED">
        <w:rPr>
          <w:rFonts w:ascii="Cambria" w:hAnsi="Cambria"/>
          <w:sz w:val="22"/>
          <w:szCs w:val="22"/>
          <w:lang w:val="en-US"/>
        </w:rPr>
        <w:t xml:space="preserve"> and problem solving skills.</w:t>
      </w: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Default="00C84CED" w:rsidP="00C84CED">
      <w:pPr>
        <w:tabs>
          <w:tab w:val="left" w:pos="9072"/>
        </w:tabs>
        <w:spacing w:before="100" w:beforeAutospacing="1" w:after="100" w:afterAutospacing="1"/>
        <w:ind w:firstLine="567"/>
        <w:jc w:val="both"/>
        <w:rPr>
          <w:rFonts w:ascii="Cambria" w:hAnsi="Cambria"/>
          <w:sz w:val="22"/>
          <w:szCs w:val="22"/>
          <w:lang w:val="en-US"/>
        </w:rPr>
      </w:pPr>
    </w:p>
    <w:p w:rsidR="00C84CED" w:rsidRPr="00C84CED" w:rsidRDefault="00C84CED" w:rsidP="00C84CED">
      <w:pPr>
        <w:tabs>
          <w:tab w:val="left" w:pos="9072"/>
        </w:tabs>
        <w:spacing w:before="100" w:beforeAutospacing="1" w:after="100" w:afterAutospacing="1"/>
        <w:ind w:firstLine="567"/>
        <w:jc w:val="both"/>
        <w:rPr>
          <w:rFonts w:ascii="Cambria" w:hAnsi="Cambria"/>
          <w:color w:val="231F20"/>
          <w:sz w:val="22"/>
          <w:szCs w:val="22"/>
          <w:lang w:val="en-US"/>
        </w:rPr>
      </w:pPr>
    </w:p>
    <w:p w:rsidR="00401649" w:rsidRPr="00C84CED" w:rsidRDefault="000F6587" w:rsidP="009105E4">
      <w:pPr>
        <w:tabs>
          <w:tab w:val="left" w:pos="9072"/>
        </w:tabs>
        <w:spacing w:before="100" w:beforeAutospacing="1" w:after="100" w:afterAutospacing="1"/>
        <w:rPr>
          <w:rFonts w:ascii="Cambria" w:hAnsi="Cambria"/>
          <w:color w:val="231F20"/>
          <w:sz w:val="22"/>
          <w:szCs w:val="22"/>
        </w:rPr>
      </w:pPr>
      <w:r w:rsidRPr="00C84CED">
        <w:rPr>
          <w:rFonts w:ascii="Cambria" w:hAnsi="Cambria"/>
          <w:b/>
          <w:sz w:val="22"/>
          <w:szCs w:val="22"/>
        </w:rPr>
        <w:t>GİRİŞ</w:t>
      </w:r>
    </w:p>
    <w:p w:rsidR="00401649" w:rsidRPr="00C84CED" w:rsidRDefault="00401649" w:rsidP="00401649">
      <w:pPr>
        <w:ind w:firstLine="567"/>
        <w:jc w:val="both"/>
        <w:rPr>
          <w:rFonts w:ascii="Cambria" w:hAnsi="Cambria"/>
          <w:color w:val="000000" w:themeColor="text1"/>
          <w:sz w:val="22"/>
          <w:szCs w:val="22"/>
        </w:rPr>
      </w:pPr>
      <w:proofErr w:type="gramStart"/>
      <w:r w:rsidRPr="00C84CED">
        <w:rPr>
          <w:rFonts w:ascii="Cambria" w:hAnsi="Cambria"/>
          <w:color w:val="000000" w:themeColor="text1"/>
          <w:sz w:val="22"/>
          <w:szCs w:val="22"/>
        </w:rPr>
        <w:lastRenderedPageBreak/>
        <w:t>Uluslararası alanda yapılan makro ölçekli karşılaştırmalı sınavlar, 1960’lı yıllarda Uluslararası Eğitim Başarılarını Değerlendirme Kuruluşu (International Association for the Evaluation of Educational Achievement) IEA tarafından gündeme getirilmiş ve 1995 yılında</w:t>
      </w:r>
      <w:r w:rsidR="00B72F48">
        <w:rPr>
          <w:rFonts w:ascii="Cambria" w:hAnsi="Cambria"/>
          <w:color w:val="000000" w:themeColor="text1"/>
          <w:sz w:val="22"/>
          <w:szCs w:val="22"/>
        </w:rPr>
        <w:t xml:space="preserve"> </w:t>
      </w:r>
      <w:r w:rsidR="00316772" w:rsidRPr="00C84CED">
        <w:rPr>
          <w:rFonts w:ascii="Cambria" w:hAnsi="Cambria"/>
          <w:bCs/>
          <w:color w:val="000000"/>
          <w:sz w:val="22"/>
          <w:szCs w:val="22"/>
          <w:shd w:val="clear" w:color="auto" w:fill="FFFFFF"/>
        </w:rPr>
        <w:t>Uluslararası Matematik ve Fen Eğilimleri Araştırması</w:t>
      </w:r>
      <w:r w:rsidR="00B72F48">
        <w:rPr>
          <w:rFonts w:ascii="Cambria" w:hAnsi="Cambria"/>
          <w:bCs/>
          <w:color w:val="000000"/>
          <w:sz w:val="22"/>
          <w:szCs w:val="22"/>
          <w:shd w:val="clear" w:color="auto" w:fill="FFFFFF"/>
        </w:rPr>
        <w:t xml:space="preserve"> </w:t>
      </w:r>
      <w:r w:rsidR="00C54355" w:rsidRPr="00C84CED">
        <w:rPr>
          <w:rFonts w:ascii="Cambria" w:hAnsi="Cambria"/>
          <w:sz w:val="22"/>
          <w:szCs w:val="22"/>
        </w:rPr>
        <w:t>“</w:t>
      </w:r>
      <w:r w:rsidR="008E262A" w:rsidRPr="00C84CED">
        <w:rPr>
          <w:rFonts w:ascii="Cambria" w:hAnsi="Cambria"/>
          <w:sz w:val="22"/>
          <w:szCs w:val="22"/>
        </w:rPr>
        <w:t>Trends in International Mathematics and Science Study</w:t>
      </w:r>
      <w:r w:rsidR="00C54355" w:rsidRPr="00C84CED">
        <w:rPr>
          <w:rFonts w:ascii="Cambria" w:hAnsi="Cambria"/>
          <w:sz w:val="22"/>
          <w:szCs w:val="22"/>
        </w:rPr>
        <w:t>”</w:t>
      </w:r>
      <w:r w:rsidR="00547695" w:rsidRPr="00C84CED">
        <w:rPr>
          <w:rFonts w:ascii="Cambria" w:hAnsi="Cambria"/>
          <w:sz w:val="22"/>
          <w:szCs w:val="22"/>
        </w:rPr>
        <w:t xml:space="preserve"> </w:t>
      </w:r>
      <w:r w:rsidR="00316772" w:rsidRPr="00C84CED">
        <w:rPr>
          <w:rFonts w:ascii="Cambria" w:hAnsi="Cambria"/>
          <w:color w:val="000000" w:themeColor="text1"/>
          <w:sz w:val="22"/>
          <w:szCs w:val="22"/>
        </w:rPr>
        <w:t>(</w:t>
      </w:r>
      <w:r w:rsidR="008E262A" w:rsidRPr="00C84CED">
        <w:rPr>
          <w:rFonts w:ascii="Cambria" w:hAnsi="Cambria"/>
          <w:color w:val="000000" w:themeColor="text1"/>
          <w:sz w:val="22"/>
          <w:szCs w:val="22"/>
        </w:rPr>
        <w:t>TIMS</w:t>
      </w:r>
      <w:r w:rsidRPr="00C84CED">
        <w:rPr>
          <w:rFonts w:ascii="Cambria" w:hAnsi="Cambria"/>
          <w:color w:val="000000" w:themeColor="text1"/>
          <w:sz w:val="22"/>
          <w:szCs w:val="22"/>
        </w:rPr>
        <w:t>S</w:t>
      </w:r>
      <w:r w:rsidR="00316772" w:rsidRPr="00C84CED">
        <w:rPr>
          <w:rFonts w:ascii="Cambria" w:hAnsi="Cambria"/>
          <w:color w:val="000000" w:themeColor="text1"/>
          <w:sz w:val="22"/>
          <w:szCs w:val="22"/>
        </w:rPr>
        <w:t>)</w:t>
      </w:r>
      <w:r w:rsidRPr="00C84CED">
        <w:rPr>
          <w:rFonts w:ascii="Cambria" w:hAnsi="Cambria"/>
          <w:color w:val="000000" w:themeColor="text1"/>
          <w:sz w:val="22"/>
          <w:szCs w:val="22"/>
        </w:rPr>
        <w:t xml:space="preserve"> 2000 yılında ise </w:t>
      </w:r>
      <w:r w:rsidR="00316772" w:rsidRPr="00C84CED">
        <w:rPr>
          <w:rFonts w:ascii="Cambria" w:hAnsi="Cambria" w:cs="Arial"/>
          <w:color w:val="222222"/>
          <w:sz w:val="22"/>
          <w:szCs w:val="22"/>
          <w:shd w:val="clear" w:color="auto" w:fill="FFFFFF"/>
        </w:rPr>
        <w:t>Uluslararası Öğrenci Değerlendirme Programı (</w:t>
      </w:r>
      <w:r w:rsidRPr="00C84CED">
        <w:rPr>
          <w:rFonts w:ascii="Cambria" w:hAnsi="Cambria"/>
          <w:color w:val="000000" w:themeColor="text1"/>
          <w:sz w:val="22"/>
          <w:szCs w:val="22"/>
        </w:rPr>
        <w:t>PISA</w:t>
      </w:r>
      <w:r w:rsidR="00316772" w:rsidRPr="00C84CED">
        <w:rPr>
          <w:rFonts w:ascii="Cambria" w:hAnsi="Cambria"/>
          <w:color w:val="000000" w:themeColor="text1"/>
          <w:sz w:val="22"/>
          <w:szCs w:val="22"/>
        </w:rPr>
        <w:t>)</w:t>
      </w:r>
      <w:r w:rsidRPr="00C84CED">
        <w:rPr>
          <w:rFonts w:ascii="Cambria" w:hAnsi="Cambria"/>
          <w:color w:val="000000" w:themeColor="text1"/>
          <w:sz w:val="22"/>
          <w:szCs w:val="22"/>
        </w:rPr>
        <w:t xml:space="preserve"> sınavları başlatılmıştır (Klieme, 2016). </w:t>
      </w:r>
      <w:proofErr w:type="gramEnd"/>
      <w:r w:rsidRPr="00C84CED">
        <w:rPr>
          <w:rFonts w:ascii="Cambria" w:hAnsi="Cambria"/>
          <w:color w:val="000000" w:themeColor="text1"/>
          <w:sz w:val="22"/>
          <w:szCs w:val="22"/>
        </w:rPr>
        <w:t xml:space="preserve">Söz konusu sınavlarda başta ülke ekonomilerinin potansiyeline ilişkin </w:t>
      </w:r>
      <w:proofErr w:type="gramStart"/>
      <w:r w:rsidRPr="00C84CED">
        <w:rPr>
          <w:rFonts w:ascii="Cambria" w:hAnsi="Cambria"/>
          <w:color w:val="000000" w:themeColor="text1"/>
          <w:sz w:val="22"/>
          <w:szCs w:val="22"/>
        </w:rPr>
        <w:t>projeksiyonlar</w:t>
      </w:r>
      <w:proofErr w:type="gramEnd"/>
      <w:r w:rsidRPr="00C84CED">
        <w:rPr>
          <w:rFonts w:ascii="Cambria" w:hAnsi="Cambria"/>
          <w:color w:val="000000" w:themeColor="text1"/>
          <w:sz w:val="22"/>
          <w:szCs w:val="22"/>
        </w:rPr>
        <w:t xml:space="preserve"> üretebilme (Sjøberg, 2015) olmak üzere öğrencilerin akademik başarılarını ölçme, öğrenilen bilgileri gerçek hayata uyarlayabilme ve bu bilgileri okul içi ve dışında kullanabilme yeterliklerini belirlemek amaçlanmaktadır (OECD, 2016). Bu çalışmanın odağında olan PISA sınavı, on beş yaş grubu öğrencilerin okulda edindikleri bilgi ve becerileri günlük hayatta kullanabilme yeterliklerini ölçmeye yönelik bir tarama araştırması olarak tanımlanmaktadır. Bu sınavla birlikte Ekonomik İşbirliği ve Kalkınma Örgütü (OECD), farklı ülkelerdeki öğrencilerin, okuma, fen bilimleri, matematik ve problem çözme alanlarındaki yeterliklerinin ölçülmesini ve uluslararası alanda karşılaştırılmasını amaçlamaktadır. Sınavın en önemli işlevlerinden biri,  öğrencilerin düşüncelerini analiz edebilme, akıl yürütme ve okulda öğrendikleri kavramları kullanarak etkin bir iletişim kurma becerilerine sahip olup olmadıklarını ölçmeyi ve bunlara ilişkin politika belirlemeye yönelik düzenli göstergeler üretilmesini sağlamaktır. Ayrıca öğrencilere, velilere ve okul yönetimine uygulanan anketlerle de başarının ya da başarısızlığın altında yatan nedenler analiz edilebilmektedir (OECD, 2012a). Bu amaçlarla yürütüldüğü belirtilen PISA programına ilişkin son yıllarda alan yazında ciddi eleştirel söylemler üretilmiştir. Söz konusu söylemlerde, ülke kültürlerini dikkate alan adil ve nesnel bir test sisteminin geliştirilemeyeceği, sınav puanları ile bütçe ve fiziki alt yapı gibi eğitim kaynakları arasında ilişki olmadığı, verilere ilişkin geçerlik ve güvenirlik problemlerinin bulunduğu vurgulanmaktadır (</w:t>
      </w:r>
      <w:r w:rsidR="00316772" w:rsidRPr="00C84CED">
        <w:rPr>
          <w:rFonts w:ascii="Cambria" w:hAnsi="Cambria"/>
          <w:color w:val="000000" w:themeColor="text1"/>
          <w:sz w:val="22"/>
          <w:szCs w:val="22"/>
        </w:rPr>
        <w:t xml:space="preserve">Dancis, 2014; Hopfenbeck ve diğ, 2017; Leung, 2014; </w:t>
      </w:r>
      <w:r w:rsidRPr="00C84CED">
        <w:rPr>
          <w:rFonts w:ascii="Cambria" w:hAnsi="Cambria"/>
          <w:color w:val="000000" w:themeColor="text1"/>
          <w:sz w:val="22"/>
          <w:szCs w:val="22"/>
        </w:rPr>
        <w:t>Pons, 2017; S</w:t>
      </w:r>
      <w:r w:rsidR="00316772" w:rsidRPr="00C84CED">
        <w:rPr>
          <w:rFonts w:ascii="Cambria" w:hAnsi="Cambria"/>
          <w:color w:val="000000" w:themeColor="text1"/>
          <w:sz w:val="22"/>
          <w:szCs w:val="22"/>
        </w:rPr>
        <w:t>jøberg, 2015</w:t>
      </w:r>
      <w:r w:rsidRPr="00C84CED">
        <w:rPr>
          <w:rFonts w:ascii="Cambria" w:hAnsi="Cambria"/>
          <w:color w:val="000000" w:themeColor="text1"/>
          <w:sz w:val="22"/>
          <w:szCs w:val="22"/>
        </w:rPr>
        <w:t xml:space="preserve">). Diğer yandan söz konusu eleştirilerin yanı sıra PISA verilerinin ulusal ve uluslararası düzeyde önemli bilgiler ürettiği konusunda genel bir uzlaşı olduğu da açıktır (Ercikan, Roth &amp; Asil, 2015; </w:t>
      </w:r>
      <w:r w:rsidR="00316772" w:rsidRPr="00C84CED">
        <w:rPr>
          <w:rFonts w:ascii="Cambria" w:hAnsi="Cambria"/>
          <w:color w:val="000000" w:themeColor="text1"/>
          <w:sz w:val="22"/>
          <w:szCs w:val="22"/>
        </w:rPr>
        <w:t xml:space="preserve">McGraw, 2008; </w:t>
      </w:r>
      <w:r w:rsidRPr="00C84CED">
        <w:rPr>
          <w:rFonts w:ascii="Cambria" w:hAnsi="Cambria"/>
          <w:color w:val="000000" w:themeColor="text1"/>
          <w:sz w:val="22"/>
          <w:szCs w:val="22"/>
        </w:rPr>
        <w:t xml:space="preserve">Nieman &amp; Martens, 2017).  Bu bağlamda her ne kadar nesnellik, güvenirlik ve geçerlik konularında eleştirilse de uluslararası ölçekli sınavların ülkelerin eğitim çıktılarının ve dolayısıyla genel olarak eğitim sistemlerinin performanslarının belirlenmesi sürecinde önemli bir işlev gördükleri söylenebilir. </w:t>
      </w:r>
    </w:p>
    <w:p w:rsidR="00316772" w:rsidRPr="00C84CED" w:rsidRDefault="00401649" w:rsidP="00401649">
      <w:pPr>
        <w:ind w:firstLine="567"/>
        <w:jc w:val="both"/>
        <w:rPr>
          <w:rFonts w:ascii="Cambria" w:hAnsi="Cambria"/>
          <w:color w:val="000000" w:themeColor="text1"/>
          <w:sz w:val="22"/>
          <w:szCs w:val="22"/>
        </w:rPr>
      </w:pPr>
      <w:r w:rsidRPr="00C84CED">
        <w:rPr>
          <w:rFonts w:ascii="Cambria" w:hAnsi="Cambria"/>
          <w:color w:val="000000" w:themeColor="text1"/>
          <w:sz w:val="22"/>
          <w:szCs w:val="22"/>
        </w:rPr>
        <w:t xml:space="preserve">2000 yılından itibaren üçer yıllık dönemlerde uygulanan PISA sınavı, ülkelerin eğitim sistemleri ve genel ekonomik görünümlerine ilişkin çok boyutlu ve boylamsal veriler içermesi açısından önemlidir. Bu yüzden özellikle son yıllarda ülkelerin eğitim gündemlerinde önemli bir yer tutmakta ve çoğu eğitim politikasının pratiğe dönüştürülmesi sürecinde referans özelliği taşımaktadır. </w:t>
      </w:r>
    </w:p>
    <w:p w:rsidR="00316772" w:rsidRPr="00C84CED" w:rsidRDefault="00316772" w:rsidP="00401649">
      <w:pPr>
        <w:ind w:firstLine="567"/>
        <w:jc w:val="both"/>
        <w:rPr>
          <w:rFonts w:ascii="Cambria" w:hAnsi="Cambria"/>
          <w:color w:val="000000" w:themeColor="text1"/>
          <w:sz w:val="22"/>
          <w:szCs w:val="22"/>
        </w:rPr>
      </w:pPr>
    </w:p>
    <w:p w:rsidR="00401649" w:rsidRPr="00C84CED" w:rsidRDefault="00401649" w:rsidP="00401649">
      <w:pPr>
        <w:ind w:firstLine="567"/>
        <w:jc w:val="both"/>
        <w:rPr>
          <w:rFonts w:ascii="Cambria" w:hAnsi="Cambria"/>
          <w:color w:val="000000" w:themeColor="text1"/>
          <w:sz w:val="22"/>
          <w:szCs w:val="22"/>
        </w:rPr>
      </w:pPr>
      <w:proofErr w:type="gramStart"/>
      <w:r w:rsidRPr="00C84CED">
        <w:rPr>
          <w:rFonts w:ascii="Cambria" w:hAnsi="Cambria"/>
          <w:color w:val="000000" w:themeColor="text1"/>
          <w:sz w:val="22"/>
          <w:szCs w:val="22"/>
        </w:rPr>
        <w:t>Söz konusu sınav sonuçları, eğitim politikacılarının yanı sıra birçok araştırmacı (</w:t>
      </w:r>
      <w:r w:rsidR="00316772" w:rsidRPr="00C84CED">
        <w:rPr>
          <w:rFonts w:ascii="Cambria" w:hAnsi="Cambria"/>
          <w:color w:val="000000" w:themeColor="text1"/>
          <w:sz w:val="22"/>
          <w:szCs w:val="22"/>
        </w:rPr>
        <w:t xml:space="preserve">Aydın, Sarıer ve Uysal, 2012; Białecki, Jakubowski, &amp; Wiśniewski, 2017;  Carnoy, Khavenson, &amp; Ivanova, 2015; </w:t>
      </w:r>
      <w:r w:rsidRPr="00C84CED">
        <w:rPr>
          <w:rFonts w:ascii="Cambria" w:hAnsi="Cambria"/>
          <w:color w:val="000000" w:themeColor="text1"/>
          <w:sz w:val="22"/>
          <w:szCs w:val="22"/>
        </w:rPr>
        <w:t xml:space="preserve">Schleicher, 2017; </w:t>
      </w:r>
      <w:r w:rsidR="00316772" w:rsidRPr="00C84CED">
        <w:rPr>
          <w:rFonts w:ascii="Cambria" w:hAnsi="Cambria"/>
          <w:color w:val="000000" w:themeColor="text1"/>
          <w:sz w:val="22"/>
          <w:szCs w:val="22"/>
        </w:rPr>
        <w:t xml:space="preserve">Gee &amp; Wong, 2012; Grek, 2009; </w:t>
      </w:r>
      <w:r w:rsidRPr="00C84CED">
        <w:rPr>
          <w:rFonts w:ascii="Cambria" w:hAnsi="Cambria"/>
          <w:color w:val="000000" w:themeColor="text1"/>
          <w:sz w:val="22"/>
          <w:szCs w:val="22"/>
        </w:rPr>
        <w:t xml:space="preserve">Hofman, Hofman, &amp; Gray, 2010; </w:t>
      </w:r>
      <w:r w:rsidR="00316772" w:rsidRPr="00C84CED">
        <w:rPr>
          <w:rFonts w:ascii="Cambria" w:hAnsi="Cambria"/>
          <w:color w:val="000000" w:themeColor="text1"/>
          <w:sz w:val="22"/>
          <w:szCs w:val="22"/>
        </w:rPr>
        <w:t>Ho, 2010; Jehangir, Glas, &amp; van den Berg, 2015; Tasaki, 2017</w:t>
      </w:r>
      <w:r w:rsidRPr="00C84CED">
        <w:rPr>
          <w:rFonts w:ascii="Cambria" w:hAnsi="Cambria"/>
          <w:color w:val="000000" w:themeColor="text1"/>
          <w:sz w:val="22"/>
          <w:szCs w:val="22"/>
        </w:rPr>
        <w:t>) tarafından da farklı konu, yöntem ve boyut bağlamında incelenmiş ve incelenmektedir. Bu çalışmalarda, PISA sonuçlarının ülke eğitim politikalarına etkileri (Białecki ve diğ, 2017; Michel, 2017</w:t>
      </w:r>
      <w:r w:rsidR="00316772" w:rsidRPr="00C84CED">
        <w:rPr>
          <w:rFonts w:ascii="Cambria" w:hAnsi="Cambria"/>
          <w:color w:val="000000" w:themeColor="text1"/>
          <w:sz w:val="22"/>
          <w:szCs w:val="22"/>
        </w:rPr>
        <w:t>; Tasaki, 2017</w:t>
      </w:r>
      <w:r w:rsidRPr="00C84CED">
        <w:rPr>
          <w:rFonts w:ascii="Cambria" w:hAnsi="Cambria"/>
          <w:color w:val="000000" w:themeColor="text1"/>
          <w:sz w:val="22"/>
          <w:szCs w:val="22"/>
        </w:rPr>
        <w:t>),  PISA başarısında etkili olan sosyo ekonomik ve sosyo kültürel değişkenler (</w:t>
      </w:r>
      <w:r w:rsidR="00316772" w:rsidRPr="00C84CED">
        <w:rPr>
          <w:rFonts w:ascii="Cambria" w:hAnsi="Cambria"/>
          <w:color w:val="000000" w:themeColor="text1"/>
          <w:sz w:val="22"/>
          <w:szCs w:val="22"/>
        </w:rPr>
        <w:t xml:space="preserve">Aydın, Sarıer ve Uysal, 2012; </w:t>
      </w:r>
      <w:r w:rsidRPr="00C84CED">
        <w:rPr>
          <w:rFonts w:ascii="Cambria" w:hAnsi="Cambria"/>
          <w:color w:val="000000" w:themeColor="text1"/>
          <w:sz w:val="22"/>
          <w:szCs w:val="22"/>
        </w:rPr>
        <w:t>Jehan</w:t>
      </w:r>
      <w:r w:rsidR="00316772" w:rsidRPr="00C84CED">
        <w:rPr>
          <w:rFonts w:ascii="Cambria" w:hAnsi="Cambria"/>
          <w:color w:val="000000" w:themeColor="text1"/>
          <w:sz w:val="22"/>
          <w:szCs w:val="22"/>
        </w:rPr>
        <w:t>gir, Glas, &amp; van den Berg, 2015</w:t>
      </w:r>
      <w:r w:rsidRPr="00C84CED">
        <w:rPr>
          <w:rFonts w:ascii="Cambria" w:hAnsi="Cambria"/>
          <w:color w:val="000000" w:themeColor="text1"/>
          <w:sz w:val="22"/>
          <w:szCs w:val="22"/>
        </w:rPr>
        <w:t xml:space="preserve">), ülkelerin insan kaynakları (Sabadie &amp; Johansen, 2010), kalite, kaynakların dağıtımı ve sosyal adalet (Ho, 2010) gibi kavramlar irdelenmektedir. </w:t>
      </w:r>
      <w:proofErr w:type="gramEnd"/>
    </w:p>
    <w:p w:rsidR="00401649" w:rsidRPr="00C84CED" w:rsidRDefault="00401649" w:rsidP="00401649">
      <w:pPr>
        <w:ind w:firstLine="567"/>
        <w:jc w:val="both"/>
        <w:rPr>
          <w:rFonts w:ascii="Cambria" w:hAnsi="Cambria"/>
          <w:color w:val="000000" w:themeColor="text1"/>
          <w:sz w:val="22"/>
          <w:szCs w:val="22"/>
        </w:rPr>
      </w:pPr>
      <w:r w:rsidRPr="00C84CED">
        <w:rPr>
          <w:rFonts w:ascii="Cambria" w:hAnsi="Cambria"/>
          <w:color w:val="000000" w:themeColor="text1"/>
          <w:sz w:val="22"/>
          <w:szCs w:val="22"/>
        </w:rPr>
        <w:t xml:space="preserve">Eğitime yapılan yatırımlar uzun vadeli süreçlerde somut dönütler sağlayabilir. Uzun vadede yapılan eğitim yatırımlarına ilişkin kısa ve orta vade ön değerlendirmeler yapmak sürecin eksikliklerini gidermek açısından önemlidir. Bu çerçevede PISA sınavlarının sunduğu somut verilerde eğitime yapılan yatırımların kısa ve orta vade eğilimlerine ilişkin önemli göstergeler bulunmaktadır. Söz konusu göstergelerin belirli aralıklarla ele alınması, sürecin daha sağlıklı bir düzlemde ilerlemesini sağladığı söylenebilir. Bu çalışmada uzun vadede yapılan eğitim yatırımlarının ön değerlendirmesi bağlamında bazı göstergeler karşılaştırmalı olarak ele alınmış ve iyileştirmeye açık alanlara ilişkin öneriler sunulmuştur. Diğer yandan uluslararası ölçekte yapılan bir sınavın sonuçlarının irdelenmesi, kaynak dağıtımının şeffaflık, hesap verebilirlik ve </w:t>
      </w:r>
      <w:r w:rsidRPr="00C84CED">
        <w:rPr>
          <w:rFonts w:ascii="Cambria" w:hAnsi="Cambria"/>
          <w:color w:val="000000" w:themeColor="text1"/>
          <w:sz w:val="22"/>
          <w:szCs w:val="22"/>
        </w:rPr>
        <w:lastRenderedPageBreak/>
        <w:t xml:space="preserve">saydamlık gibi kalite yönetim ilkeleri açısından değerlendirilebilmesi ve eğitime yapılan yatırımların verimlilik ve etkililiğine ilişkin bulgular sunması açısından önemlidir.  </w:t>
      </w:r>
    </w:p>
    <w:p w:rsidR="009105E4" w:rsidRPr="00C84CED" w:rsidRDefault="00401649" w:rsidP="009105E4">
      <w:pPr>
        <w:ind w:firstLine="567"/>
        <w:jc w:val="both"/>
        <w:rPr>
          <w:rFonts w:ascii="Cambria" w:hAnsi="Cambria"/>
          <w:color w:val="000000" w:themeColor="text1"/>
          <w:sz w:val="22"/>
          <w:szCs w:val="22"/>
        </w:rPr>
      </w:pPr>
      <w:r w:rsidRPr="00C84CED">
        <w:rPr>
          <w:rFonts w:ascii="Cambria" w:hAnsi="Cambria"/>
          <w:color w:val="000000" w:themeColor="text1"/>
          <w:sz w:val="22"/>
          <w:szCs w:val="22"/>
        </w:rPr>
        <w:t xml:space="preserve">Bu çalışmada eğitime yapılan yatırımlar çeşitli değişkenlere göre karşılaştırmalı olarak ele alınmakta ve PISA 2015 sonuçlarıyla eğitim yatırımları arasındaki ilişkiye odaklanılmaktadır. </w:t>
      </w:r>
      <w:r w:rsidR="00BF6F37" w:rsidRPr="00C84CED">
        <w:rPr>
          <w:rFonts w:ascii="Cambria" w:hAnsi="Cambria"/>
          <w:color w:val="000000" w:themeColor="text1"/>
          <w:sz w:val="22"/>
          <w:szCs w:val="22"/>
        </w:rPr>
        <w:t>Çalışma kapsamında e</w:t>
      </w:r>
      <w:r w:rsidRPr="00C84CED">
        <w:rPr>
          <w:rFonts w:ascii="Cambria" w:hAnsi="Cambria"/>
          <w:color w:val="000000" w:themeColor="text1"/>
          <w:sz w:val="22"/>
          <w:szCs w:val="22"/>
        </w:rPr>
        <w:t>ğitim yatırımları; a) finansal kaynaklar, b) okul kaynakları c) insan kaynakları ve d) öğretime ayrılan zaman kaynakları olmak üzere 4 temel boyutta ele alınmıştır. Söz konusu boyutlar, OECD (2016) raporunun eğitim yatırımları bölümünden uyarlanmıştır.</w:t>
      </w:r>
      <w:r w:rsidR="009105E4" w:rsidRPr="00C84CED">
        <w:rPr>
          <w:rFonts w:ascii="Cambria" w:hAnsi="Cambria"/>
          <w:color w:val="000000" w:themeColor="text1"/>
          <w:sz w:val="22"/>
          <w:szCs w:val="22"/>
        </w:rPr>
        <w:tab/>
      </w:r>
      <w:r w:rsidR="009A3074" w:rsidRPr="00C84CED">
        <w:rPr>
          <w:rFonts w:ascii="Cambria" w:hAnsi="Cambria"/>
          <w:color w:val="000000" w:themeColor="text1"/>
          <w:sz w:val="22"/>
          <w:szCs w:val="22"/>
        </w:rPr>
        <w:t>Genel olarak incelendiğinde PISA sınavlarındaki öğrenci performansı ile ülkelerin eğitime yaptıkları yatırımlar arasında doğrusal bir ilişki olduğu söylenebilir (OECD, 2016). Bu çerçevede en başarılı ülkelerin PISA puanları ile Türkiye’nin performansının karşılaştırılması söz konusu ilişkiyle ilgili önemli bilgiler sunabilir. Karşılaştırmalarda öğrenci performansını önemli düzeyde etkileyen finansal, okul, insan ve öğretime ayrılan zaman kaynaklarına ilişkin göstergeler kullanılmaktadır. Bu yüzden karşılaştırmalar, eğitime yapılan yatırımların öğrenci performansına ne düzeyde yansıdığı konusunda fikir vermesi açısından önemlidir.</w:t>
      </w:r>
    </w:p>
    <w:p w:rsidR="009105E4" w:rsidRPr="00C84CED" w:rsidRDefault="00401649" w:rsidP="009105E4">
      <w:pPr>
        <w:ind w:firstLine="567"/>
        <w:jc w:val="both"/>
        <w:rPr>
          <w:rFonts w:ascii="Cambria" w:hAnsi="Cambria"/>
          <w:sz w:val="22"/>
          <w:szCs w:val="22"/>
        </w:rPr>
      </w:pPr>
      <w:r w:rsidRPr="00C84CED">
        <w:rPr>
          <w:rFonts w:ascii="Cambria" w:hAnsi="Cambria"/>
          <w:color w:val="000000" w:themeColor="text1"/>
          <w:sz w:val="22"/>
          <w:szCs w:val="22"/>
        </w:rPr>
        <w:t xml:space="preserve">Karşılaştırmalarda </w:t>
      </w:r>
      <w:r w:rsidRPr="00C84CED">
        <w:rPr>
          <w:rFonts w:ascii="Cambria" w:hAnsi="Cambria"/>
          <w:sz w:val="22"/>
          <w:szCs w:val="22"/>
        </w:rPr>
        <w:t xml:space="preserve">temel boyutların alt boyutları da incelenmiştir. </w:t>
      </w:r>
      <w:proofErr w:type="gramStart"/>
      <w:r w:rsidRPr="00C84CED">
        <w:rPr>
          <w:rFonts w:ascii="Cambria" w:hAnsi="Cambria"/>
          <w:sz w:val="22"/>
          <w:szCs w:val="22"/>
        </w:rPr>
        <w:t xml:space="preserve">Bu çerçevede finansal kaynaklar boyutunda, öğrenci başına yapılan yıllık ve toplam harcamalar, okul kaynakları boyutunda öğretim materyallerinin durumu, bilgisayar sayısı ve okul büyüklüğü, insan kaynakları boyutunda öğretmen maaşları, öğrenci-öğretmen oranları ve öğretmenlerin mesleki gelişimleri, öğretime ayrılan zaman kaynakları boyutunda ise ders saatleri ve okul öncesi eğitime katılım oranları incelenmiştir. </w:t>
      </w:r>
      <w:proofErr w:type="gramEnd"/>
      <w:r w:rsidRPr="00C84CED">
        <w:rPr>
          <w:rFonts w:ascii="Cambria" w:hAnsi="Cambria"/>
          <w:sz w:val="22"/>
          <w:szCs w:val="22"/>
        </w:rPr>
        <w:t>En başarılı on ülke, OECD ortalaması ve Türkiye’nin puanları karşılaştırılırken eğitime yapılan yatırımların ana ve alt boyutları ile öğrenci performansı arasındaki ilişkiye odaklanılmıştır.</w:t>
      </w:r>
      <w:r w:rsidR="0093100C" w:rsidRPr="00C84CED">
        <w:rPr>
          <w:rFonts w:ascii="Cambria" w:hAnsi="Cambria"/>
          <w:sz w:val="22"/>
          <w:szCs w:val="22"/>
        </w:rPr>
        <w:t xml:space="preserve"> Bunun yanı sıra OECD (2016) raporunda bulunan verilerden yola çıkarak Türkiye’nin sınav performansına ilişkin yapılan değerlendirmelerin bilimsel bir zemine oturtulması ve diğer başarılı ülkelerle yapılan karşılaştırmalar sonucunda Türkiye’nin eğitim açısından bulunduğu noktanın daha iyi tespit edilmesi sağlanmıştır. Örneğin, </w:t>
      </w:r>
      <w:r w:rsidR="009A3074" w:rsidRPr="00C84CED">
        <w:rPr>
          <w:rFonts w:ascii="Cambria" w:hAnsi="Cambria"/>
          <w:sz w:val="22"/>
          <w:szCs w:val="22"/>
        </w:rPr>
        <w:t xml:space="preserve">öğretmen maaşlarıyla ilgili yapılan değerlendirmelerde Türkiye’nin öğretmen maaşı açısından çok yetersiz olduğuna vurgu yapılmaktadır. Ancak ülkeler arası karşılaştırmalarda satın alma gücü </w:t>
      </w:r>
      <w:proofErr w:type="gramStart"/>
      <w:r w:rsidR="009A3074" w:rsidRPr="00C84CED">
        <w:rPr>
          <w:rFonts w:ascii="Cambria" w:hAnsi="Cambria"/>
          <w:sz w:val="22"/>
          <w:szCs w:val="22"/>
        </w:rPr>
        <w:t>paritesi</w:t>
      </w:r>
      <w:proofErr w:type="gramEnd"/>
      <w:r w:rsidR="009A3074" w:rsidRPr="00C84CED">
        <w:rPr>
          <w:rFonts w:ascii="Cambria" w:hAnsi="Cambria"/>
          <w:sz w:val="22"/>
          <w:szCs w:val="22"/>
        </w:rPr>
        <w:t xml:space="preserve"> de dikkate alınarak yapılan hesaplamalarda Türkiye’de öğretmen maaşlarının çok düşük düzeyde olduğu söylenemez. Çalışma, eğitim alanındaki bu tür söylemlere yönelik karşılaştırmalar sunduğu ve durumun daha gerçekçi değerlendirilmesini sağladığı için önemlidir. </w:t>
      </w:r>
    </w:p>
    <w:p w:rsidR="009105E4" w:rsidRPr="00C84CED" w:rsidRDefault="000F6587" w:rsidP="00C84CED">
      <w:pPr>
        <w:spacing w:before="240" w:after="240"/>
        <w:ind w:firstLine="567"/>
        <w:jc w:val="center"/>
        <w:rPr>
          <w:rFonts w:ascii="Cambria" w:hAnsi="Cambria" w:cstheme="minorHAnsi"/>
          <w:b/>
          <w:sz w:val="22"/>
          <w:szCs w:val="22"/>
        </w:rPr>
      </w:pPr>
      <w:r w:rsidRPr="00C84CED">
        <w:rPr>
          <w:rFonts w:ascii="Cambria" w:hAnsi="Cambria" w:cstheme="minorHAnsi"/>
          <w:b/>
          <w:sz w:val="22"/>
          <w:szCs w:val="22"/>
        </w:rPr>
        <w:t>YÖNTEM</w:t>
      </w:r>
    </w:p>
    <w:p w:rsidR="00BF6F37" w:rsidRPr="00C84CED" w:rsidRDefault="00BF6F37" w:rsidP="00C84CED">
      <w:pPr>
        <w:spacing w:after="100" w:afterAutospacing="1"/>
        <w:ind w:firstLine="567"/>
        <w:jc w:val="both"/>
        <w:rPr>
          <w:rFonts w:ascii="Cambria" w:hAnsi="Cambria" w:cstheme="minorHAnsi"/>
          <w:b/>
          <w:sz w:val="22"/>
          <w:szCs w:val="22"/>
        </w:rPr>
      </w:pPr>
      <w:r w:rsidRPr="00C84CED">
        <w:rPr>
          <w:rFonts w:ascii="Cambria" w:hAnsi="Cambria" w:cstheme="minorHAnsi"/>
          <w:b/>
          <w:sz w:val="22"/>
          <w:szCs w:val="22"/>
        </w:rPr>
        <w:t>Araştırmanın Deseni</w:t>
      </w:r>
    </w:p>
    <w:p w:rsidR="00BF6F37" w:rsidRPr="00C84CED" w:rsidRDefault="00263D52" w:rsidP="000D2E07">
      <w:pPr>
        <w:ind w:firstLine="567"/>
        <w:jc w:val="both"/>
        <w:rPr>
          <w:rFonts w:ascii="Cambria" w:hAnsi="Cambria"/>
          <w:sz w:val="22"/>
          <w:szCs w:val="22"/>
        </w:rPr>
      </w:pPr>
      <w:r w:rsidRPr="00C84CED">
        <w:rPr>
          <w:rFonts w:ascii="Cambria" w:hAnsi="Cambria" w:cstheme="minorHAnsi"/>
          <w:sz w:val="22"/>
          <w:szCs w:val="22"/>
        </w:rPr>
        <w:t xml:space="preserve">Çalışma, </w:t>
      </w:r>
      <w:r w:rsidR="00B8588D" w:rsidRPr="00C84CED">
        <w:rPr>
          <w:rFonts w:ascii="Cambria" w:hAnsi="Cambria" w:cstheme="minorHAnsi"/>
          <w:sz w:val="22"/>
          <w:szCs w:val="22"/>
        </w:rPr>
        <w:t xml:space="preserve">nitel araştırma yöntemiyle </w:t>
      </w:r>
      <w:r w:rsidRPr="00C84CED">
        <w:rPr>
          <w:rFonts w:ascii="Cambria" w:hAnsi="Cambria" w:cstheme="minorHAnsi"/>
          <w:sz w:val="22"/>
          <w:szCs w:val="22"/>
        </w:rPr>
        <w:t>tasarlanmış</w:t>
      </w:r>
      <w:r w:rsidR="00B8588D" w:rsidRPr="00C84CED">
        <w:rPr>
          <w:rFonts w:ascii="Cambria" w:hAnsi="Cambria" w:cstheme="minorHAnsi"/>
          <w:sz w:val="22"/>
          <w:szCs w:val="22"/>
        </w:rPr>
        <w:t xml:space="preserve">tır. </w:t>
      </w:r>
      <w:r w:rsidR="00B8588D" w:rsidRPr="00C84CED">
        <w:rPr>
          <w:rFonts w:ascii="Cambria" w:hAnsi="Cambria"/>
          <w:sz w:val="22"/>
          <w:szCs w:val="22"/>
        </w:rPr>
        <w:t>Nitel araştırmalarda araştırılan durumun doğal ortamında gerçekçi bir şekilde ortaya konulması amaçlanır ve bu süreçte gözlem, görüşme, doküman analizi gibi veri toplama yöntemleri kullanılabilir (Yıldırım ve Şimşek, 2013).</w:t>
      </w:r>
    </w:p>
    <w:p w:rsidR="00BF6F37" w:rsidRPr="00C84CED" w:rsidRDefault="00BF6F37" w:rsidP="00C84CED">
      <w:pPr>
        <w:spacing w:before="120" w:after="120"/>
        <w:ind w:firstLine="567"/>
        <w:jc w:val="both"/>
        <w:rPr>
          <w:rFonts w:ascii="Cambria" w:hAnsi="Cambria"/>
          <w:b/>
          <w:sz w:val="22"/>
          <w:szCs w:val="22"/>
        </w:rPr>
      </w:pPr>
      <w:r w:rsidRPr="00C84CED">
        <w:rPr>
          <w:rFonts w:ascii="Cambria" w:hAnsi="Cambria"/>
          <w:b/>
          <w:sz w:val="22"/>
          <w:szCs w:val="22"/>
        </w:rPr>
        <w:t>Çalışma Grubu</w:t>
      </w:r>
    </w:p>
    <w:p w:rsidR="00BF6F37" w:rsidRDefault="00BF6F37" w:rsidP="000D2E07">
      <w:pPr>
        <w:ind w:firstLine="567"/>
        <w:jc w:val="both"/>
        <w:rPr>
          <w:rFonts w:ascii="Cambria" w:hAnsi="Cambria"/>
          <w:color w:val="000000" w:themeColor="text1"/>
          <w:sz w:val="22"/>
          <w:szCs w:val="22"/>
        </w:rPr>
      </w:pPr>
      <w:r w:rsidRPr="00C84CED">
        <w:rPr>
          <w:rFonts w:ascii="Cambria" w:hAnsi="Cambria"/>
          <w:color w:val="000000" w:themeColor="text1"/>
          <w:sz w:val="22"/>
          <w:szCs w:val="22"/>
        </w:rPr>
        <w:t xml:space="preserve">Çalışmanın amacı doğrultusunda eğitime yapılan yatırımlar boyutunda çeşitli karşılaştırmalar yapabilmek için PISA 2015 sınavı fen performansında en başarılı olan 10 ülke, OECD ortalaması ve Türkiye’nin sonuçları değerlendirilmiştir. Çalışma grubunu ilişkin bilgiler Tablo 1’de sunulmuştur. </w:t>
      </w:r>
    </w:p>
    <w:p w:rsidR="003014FB" w:rsidRDefault="003014FB" w:rsidP="000D2E07">
      <w:pPr>
        <w:ind w:firstLine="567"/>
        <w:jc w:val="both"/>
        <w:rPr>
          <w:rFonts w:ascii="Cambria" w:hAnsi="Cambria"/>
          <w:color w:val="000000" w:themeColor="text1"/>
          <w:sz w:val="22"/>
          <w:szCs w:val="22"/>
        </w:rPr>
      </w:pPr>
    </w:p>
    <w:p w:rsidR="003014FB" w:rsidRDefault="003014FB" w:rsidP="000D2E07">
      <w:pPr>
        <w:ind w:firstLine="567"/>
        <w:jc w:val="both"/>
        <w:rPr>
          <w:rFonts w:ascii="Cambria" w:hAnsi="Cambria"/>
          <w:color w:val="000000" w:themeColor="text1"/>
          <w:sz w:val="22"/>
          <w:szCs w:val="22"/>
        </w:rPr>
      </w:pPr>
    </w:p>
    <w:p w:rsidR="003014FB" w:rsidRDefault="003014FB" w:rsidP="000D2E07">
      <w:pPr>
        <w:ind w:firstLine="567"/>
        <w:jc w:val="both"/>
        <w:rPr>
          <w:rFonts w:ascii="Cambria" w:hAnsi="Cambria"/>
          <w:color w:val="000000" w:themeColor="text1"/>
          <w:sz w:val="22"/>
          <w:szCs w:val="22"/>
        </w:rPr>
      </w:pPr>
    </w:p>
    <w:p w:rsidR="003014FB" w:rsidRDefault="003014FB" w:rsidP="000D2E07">
      <w:pPr>
        <w:ind w:firstLine="567"/>
        <w:jc w:val="both"/>
        <w:rPr>
          <w:rFonts w:ascii="Cambria" w:hAnsi="Cambria"/>
          <w:color w:val="000000" w:themeColor="text1"/>
          <w:sz w:val="22"/>
          <w:szCs w:val="22"/>
        </w:rPr>
      </w:pPr>
    </w:p>
    <w:p w:rsidR="003014FB" w:rsidRDefault="003014FB" w:rsidP="000D2E07">
      <w:pPr>
        <w:ind w:firstLine="567"/>
        <w:jc w:val="both"/>
        <w:rPr>
          <w:rFonts w:ascii="Cambria" w:hAnsi="Cambria"/>
          <w:color w:val="000000" w:themeColor="text1"/>
          <w:sz w:val="22"/>
          <w:szCs w:val="22"/>
        </w:rPr>
      </w:pPr>
    </w:p>
    <w:p w:rsidR="003014FB" w:rsidRDefault="003014FB" w:rsidP="000D2E07">
      <w:pPr>
        <w:ind w:firstLine="567"/>
        <w:jc w:val="both"/>
        <w:rPr>
          <w:rFonts w:ascii="Cambria" w:hAnsi="Cambria"/>
          <w:color w:val="000000" w:themeColor="text1"/>
          <w:sz w:val="22"/>
          <w:szCs w:val="22"/>
        </w:rPr>
      </w:pPr>
    </w:p>
    <w:p w:rsidR="003014FB" w:rsidRDefault="003014FB" w:rsidP="000D2E07">
      <w:pPr>
        <w:ind w:firstLine="567"/>
        <w:jc w:val="both"/>
        <w:rPr>
          <w:rFonts w:ascii="Cambria" w:hAnsi="Cambria"/>
          <w:color w:val="000000" w:themeColor="text1"/>
          <w:sz w:val="22"/>
          <w:szCs w:val="22"/>
        </w:rPr>
      </w:pPr>
    </w:p>
    <w:p w:rsidR="003014FB" w:rsidRDefault="003014FB" w:rsidP="000D2E07">
      <w:pPr>
        <w:ind w:firstLine="567"/>
        <w:jc w:val="both"/>
        <w:rPr>
          <w:rFonts w:ascii="Cambria" w:hAnsi="Cambria"/>
          <w:color w:val="000000" w:themeColor="text1"/>
          <w:sz w:val="22"/>
          <w:szCs w:val="22"/>
        </w:rPr>
      </w:pPr>
    </w:p>
    <w:p w:rsidR="003014FB" w:rsidRPr="00C84CED" w:rsidRDefault="003014FB" w:rsidP="000D2E07">
      <w:pPr>
        <w:ind w:firstLine="567"/>
        <w:jc w:val="both"/>
        <w:rPr>
          <w:rFonts w:ascii="Cambria" w:hAnsi="Cambria"/>
          <w:sz w:val="22"/>
          <w:szCs w:val="22"/>
        </w:rPr>
      </w:pPr>
    </w:p>
    <w:p w:rsidR="00BF6F37" w:rsidRPr="00BF6F37" w:rsidRDefault="00BF6F37" w:rsidP="000D2E07">
      <w:pPr>
        <w:ind w:firstLine="567"/>
        <w:jc w:val="both"/>
        <w:rPr>
          <w:rFonts w:ascii="Cambria" w:hAnsi="Cambria"/>
        </w:rPr>
      </w:pPr>
    </w:p>
    <w:tbl>
      <w:tblPr>
        <w:tblW w:w="7001" w:type="dxa"/>
        <w:tblInd w:w="55" w:type="dxa"/>
        <w:tblCellMar>
          <w:left w:w="70" w:type="dxa"/>
          <w:right w:w="70" w:type="dxa"/>
        </w:tblCellMar>
        <w:tblLook w:val="04A0" w:firstRow="1" w:lastRow="0" w:firstColumn="1" w:lastColumn="0" w:noHBand="0" w:noVBand="1"/>
      </w:tblPr>
      <w:tblGrid>
        <w:gridCol w:w="2793"/>
        <w:gridCol w:w="854"/>
        <w:gridCol w:w="1030"/>
        <w:gridCol w:w="332"/>
        <w:gridCol w:w="332"/>
        <w:gridCol w:w="332"/>
        <w:gridCol w:w="332"/>
        <w:gridCol w:w="332"/>
        <w:gridCol w:w="332"/>
        <w:gridCol w:w="332"/>
      </w:tblGrid>
      <w:tr w:rsidR="00BF6F37" w:rsidRPr="00BF6F37" w:rsidTr="00BF6F37">
        <w:trPr>
          <w:trHeight w:val="318"/>
        </w:trPr>
        <w:tc>
          <w:tcPr>
            <w:tcW w:w="0" w:type="auto"/>
            <w:gridSpan w:val="9"/>
            <w:tcBorders>
              <w:top w:val="nil"/>
              <w:left w:val="nil"/>
              <w:bottom w:val="single" w:sz="4" w:space="0" w:color="auto"/>
              <w:right w:val="nil"/>
            </w:tcBorders>
            <w:shd w:val="clear" w:color="auto" w:fill="auto"/>
            <w:noWrap/>
            <w:vAlign w:val="center"/>
            <w:hideMark/>
          </w:tcPr>
          <w:p w:rsidR="00BF6F37" w:rsidRPr="00BF6F37" w:rsidRDefault="00BF6F37" w:rsidP="00BF6F37">
            <w:pPr>
              <w:rPr>
                <w:rFonts w:ascii="Cambria" w:hAnsi="Cambria"/>
                <w:color w:val="000000"/>
                <w:sz w:val="20"/>
                <w:szCs w:val="20"/>
              </w:rPr>
            </w:pPr>
            <w:r w:rsidRPr="00BF6F37">
              <w:rPr>
                <w:rFonts w:ascii="Cambria" w:hAnsi="Cambria"/>
                <w:b/>
                <w:color w:val="000000"/>
                <w:sz w:val="20"/>
                <w:szCs w:val="20"/>
              </w:rPr>
              <w:lastRenderedPageBreak/>
              <w:t>Tablo 1.</w:t>
            </w:r>
            <w:r w:rsidRPr="00BF6F37">
              <w:rPr>
                <w:rFonts w:ascii="Cambria" w:hAnsi="Cambria"/>
                <w:i/>
                <w:color w:val="000000"/>
                <w:sz w:val="20"/>
                <w:szCs w:val="20"/>
              </w:rPr>
              <w:t xml:space="preserve"> Çalışma grubunun özellikleri</w:t>
            </w:r>
          </w:p>
        </w:tc>
        <w:tc>
          <w:tcPr>
            <w:tcW w:w="0" w:type="auto"/>
            <w:tcBorders>
              <w:top w:val="nil"/>
              <w:left w:val="nil"/>
              <w:bottom w:val="single" w:sz="4"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 </w:t>
            </w:r>
          </w:p>
        </w:tc>
      </w:tr>
      <w:tr w:rsidR="00BF6F37" w:rsidRPr="00BF6F37" w:rsidTr="00BF6F37">
        <w:trPr>
          <w:trHeight w:val="524"/>
        </w:trPr>
        <w:tc>
          <w:tcPr>
            <w:tcW w:w="0" w:type="auto"/>
            <w:tcBorders>
              <w:top w:val="single" w:sz="4" w:space="0" w:color="auto"/>
              <w:left w:val="nil"/>
              <w:bottom w:val="single" w:sz="4" w:space="0" w:color="auto"/>
              <w:right w:val="nil"/>
            </w:tcBorders>
            <w:shd w:val="clear" w:color="auto" w:fill="auto"/>
            <w:noWrap/>
            <w:hideMark/>
          </w:tcPr>
          <w:p w:rsidR="00BF6F37" w:rsidRPr="00BF6F37" w:rsidRDefault="00BF6F37" w:rsidP="008E262A">
            <w:pPr>
              <w:rPr>
                <w:rFonts w:ascii="Cambria" w:hAnsi="Cambria"/>
                <w:color w:val="000000"/>
                <w:sz w:val="20"/>
                <w:szCs w:val="20"/>
              </w:rPr>
            </w:pPr>
          </w:p>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Ülke</w:t>
            </w:r>
          </w:p>
        </w:tc>
        <w:tc>
          <w:tcPr>
            <w:tcW w:w="0" w:type="auto"/>
            <w:tcBorders>
              <w:top w:val="single" w:sz="4" w:space="0" w:color="auto"/>
              <w:left w:val="nil"/>
              <w:bottom w:val="single" w:sz="4"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Sıra</w:t>
            </w:r>
          </w:p>
        </w:tc>
        <w:tc>
          <w:tcPr>
            <w:tcW w:w="0" w:type="auto"/>
            <w:tcBorders>
              <w:top w:val="single" w:sz="4" w:space="0" w:color="auto"/>
              <w:left w:val="nil"/>
              <w:bottom w:val="single" w:sz="4"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 xml:space="preserve">Puan </w:t>
            </w:r>
          </w:p>
        </w:tc>
        <w:tc>
          <w:tcPr>
            <w:tcW w:w="0" w:type="auto"/>
            <w:tcBorders>
              <w:top w:val="single" w:sz="4" w:space="0" w:color="auto"/>
              <w:left w:val="nil"/>
              <w:bottom w:val="single" w:sz="4" w:space="0" w:color="auto"/>
              <w:right w:val="nil"/>
            </w:tcBorders>
            <w:shd w:val="clear" w:color="auto" w:fill="auto"/>
            <w:noWrap/>
            <w:hideMark/>
          </w:tcPr>
          <w:p w:rsidR="00BF6F37" w:rsidRPr="00BF6F37" w:rsidRDefault="00BF6F37" w:rsidP="008E262A">
            <w:pPr>
              <w:jc w:val="right"/>
              <w:rPr>
                <w:rFonts w:ascii="Cambria" w:hAnsi="Cambria"/>
                <w:color w:val="000000"/>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rsidR="00BF6F37" w:rsidRPr="00BF6F37" w:rsidRDefault="00BF6F37" w:rsidP="008E262A">
            <w:pPr>
              <w:jc w:val="right"/>
              <w:rPr>
                <w:rFonts w:ascii="Cambria" w:hAnsi="Cambria"/>
                <w:color w:val="000000"/>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rsidR="00BF6F37" w:rsidRPr="00BF6F37" w:rsidRDefault="00BF6F37" w:rsidP="008E262A">
            <w:pPr>
              <w:jc w:val="right"/>
              <w:rPr>
                <w:rFonts w:ascii="Cambria" w:hAnsi="Cambria"/>
                <w:color w:val="000000"/>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rsidR="00BF6F37" w:rsidRPr="00BF6F37" w:rsidRDefault="00BF6F37" w:rsidP="008E262A">
            <w:pPr>
              <w:jc w:val="right"/>
              <w:rPr>
                <w:rFonts w:ascii="Cambria" w:hAnsi="Cambria"/>
                <w:color w:val="000000"/>
                <w:sz w:val="20"/>
                <w:szCs w:val="20"/>
              </w:rPr>
            </w:pPr>
          </w:p>
        </w:tc>
        <w:tc>
          <w:tcPr>
            <w:tcW w:w="0" w:type="auto"/>
            <w:tcBorders>
              <w:top w:val="single" w:sz="4" w:space="0" w:color="auto"/>
              <w:left w:val="nil"/>
              <w:bottom w:val="single" w:sz="4" w:space="0" w:color="auto"/>
              <w:right w:val="nil"/>
            </w:tcBorders>
            <w:shd w:val="clear" w:color="auto" w:fill="auto"/>
            <w:textDirection w:val="btLr"/>
            <w:vAlign w:val="center"/>
            <w:hideMark/>
          </w:tcPr>
          <w:p w:rsidR="00BF6F37" w:rsidRPr="00BF6F37" w:rsidRDefault="00BF6F37" w:rsidP="008E262A">
            <w:pPr>
              <w:rPr>
                <w:rFonts w:ascii="Cambria" w:hAnsi="Cambria"/>
                <w:color w:val="000000"/>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rsidR="00BF6F37" w:rsidRPr="00BF6F37" w:rsidRDefault="00BF6F37" w:rsidP="008E262A">
            <w:pPr>
              <w:jc w:val="right"/>
              <w:rPr>
                <w:rFonts w:ascii="Cambria" w:hAnsi="Cambria"/>
                <w:color w:val="000000"/>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02"/>
        </w:trPr>
        <w:tc>
          <w:tcPr>
            <w:tcW w:w="0" w:type="auto"/>
            <w:tcBorders>
              <w:top w:val="single" w:sz="4" w:space="0" w:color="auto"/>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Singapur</w:t>
            </w:r>
          </w:p>
        </w:tc>
        <w:tc>
          <w:tcPr>
            <w:tcW w:w="0" w:type="auto"/>
            <w:tcBorders>
              <w:top w:val="single" w:sz="4" w:space="0" w:color="auto"/>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1</w:t>
            </w:r>
          </w:p>
        </w:tc>
        <w:tc>
          <w:tcPr>
            <w:tcW w:w="0" w:type="auto"/>
            <w:tcBorders>
              <w:top w:val="single" w:sz="4" w:space="0" w:color="auto"/>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556</w:t>
            </w:r>
          </w:p>
        </w:tc>
        <w:tc>
          <w:tcPr>
            <w:tcW w:w="0" w:type="auto"/>
            <w:tcBorders>
              <w:top w:val="single" w:sz="4" w:space="0" w:color="auto"/>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single" w:sz="4" w:space="0" w:color="auto"/>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single" w:sz="4" w:space="0" w:color="auto"/>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single" w:sz="4" w:space="0" w:color="auto"/>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single" w:sz="4" w:space="0" w:color="auto"/>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p>
        </w:tc>
        <w:tc>
          <w:tcPr>
            <w:tcW w:w="0" w:type="auto"/>
            <w:tcBorders>
              <w:top w:val="single" w:sz="4" w:space="0" w:color="auto"/>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single" w:sz="4" w:space="0" w:color="auto"/>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02"/>
        </w:trPr>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Japonya</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2</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538</w:t>
            </w: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02"/>
        </w:trPr>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Estonya</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3</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534</w:t>
            </w: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02"/>
        </w:trPr>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Taipei (Çin)</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4</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532</w:t>
            </w: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02"/>
        </w:trPr>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Finlandiya</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531</w:t>
            </w: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p>
        </w:tc>
        <w:tc>
          <w:tcPr>
            <w:tcW w:w="0" w:type="auto"/>
            <w:tcBorders>
              <w:top w:val="nil"/>
              <w:left w:val="nil"/>
              <w:bottom w:val="nil"/>
              <w:right w:val="nil"/>
            </w:tcBorders>
            <w:shd w:val="clear" w:color="auto" w:fill="auto"/>
            <w:noWrap/>
            <w:vAlign w:val="bottom"/>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bottom"/>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02"/>
        </w:trPr>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Makao (Çin)</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6</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529</w:t>
            </w: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02"/>
        </w:trPr>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Kanada</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7</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528</w:t>
            </w: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02"/>
        </w:trPr>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Vietnam</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8</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525</w:t>
            </w: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02"/>
        </w:trPr>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Hong Kong (Çin)</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9</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523</w:t>
            </w: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02"/>
        </w:trPr>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B-S-J-G (Çin)</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10</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518</w:t>
            </w: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02"/>
        </w:trPr>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Türkiye</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54</w:t>
            </w: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425</w:t>
            </w: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c>
          <w:tcPr>
            <w:tcW w:w="0" w:type="auto"/>
            <w:tcBorders>
              <w:top w:val="nil"/>
              <w:left w:val="nil"/>
              <w:bottom w:val="nil"/>
              <w:right w:val="nil"/>
            </w:tcBorders>
            <w:shd w:val="clear" w:color="auto" w:fill="auto"/>
            <w:noWrap/>
            <w:vAlign w:val="center"/>
            <w:hideMark/>
          </w:tcPr>
          <w:p w:rsidR="00BF6F37" w:rsidRPr="00BF6F37" w:rsidRDefault="00BF6F37" w:rsidP="008E262A">
            <w:pPr>
              <w:jc w:val="right"/>
              <w:rPr>
                <w:rFonts w:ascii="Cambria" w:hAnsi="Cambria"/>
                <w:color w:val="000000"/>
                <w:sz w:val="20"/>
                <w:szCs w:val="20"/>
              </w:rPr>
            </w:pPr>
          </w:p>
        </w:tc>
      </w:tr>
      <w:tr w:rsidR="00BF6F37" w:rsidRPr="00BF6F37" w:rsidTr="00BF6F37">
        <w:trPr>
          <w:trHeight w:val="318"/>
        </w:trPr>
        <w:tc>
          <w:tcPr>
            <w:tcW w:w="0" w:type="auto"/>
            <w:tcBorders>
              <w:top w:val="nil"/>
              <w:left w:val="nil"/>
              <w:bottom w:val="single" w:sz="8"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OECD</w:t>
            </w:r>
          </w:p>
        </w:tc>
        <w:tc>
          <w:tcPr>
            <w:tcW w:w="0" w:type="auto"/>
            <w:tcBorders>
              <w:top w:val="nil"/>
              <w:left w:val="nil"/>
              <w:bottom w:val="single" w:sz="8"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 </w:t>
            </w:r>
          </w:p>
        </w:tc>
        <w:tc>
          <w:tcPr>
            <w:tcW w:w="0" w:type="auto"/>
            <w:tcBorders>
              <w:top w:val="nil"/>
              <w:left w:val="nil"/>
              <w:bottom w:val="single" w:sz="8"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493</w:t>
            </w:r>
          </w:p>
        </w:tc>
        <w:tc>
          <w:tcPr>
            <w:tcW w:w="0" w:type="auto"/>
            <w:tcBorders>
              <w:top w:val="nil"/>
              <w:left w:val="nil"/>
              <w:bottom w:val="single" w:sz="8"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 </w:t>
            </w:r>
          </w:p>
        </w:tc>
        <w:tc>
          <w:tcPr>
            <w:tcW w:w="0" w:type="auto"/>
            <w:tcBorders>
              <w:top w:val="nil"/>
              <w:left w:val="nil"/>
              <w:bottom w:val="single" w:sz="8"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 </w:t>
            </w:r>
          </w:p>
        </w:tc>
        <w:tc>
          <w:tcPr>
            <w:tcW w:w="0" w:type="auto"/>
            <w:tcBorders>
              <w:top w:val="nil"/>
              <w:left w:val="nil"/>
              <w:bottom w:val="single" w:sz="8"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 </w:t>
            </w:r>
          </w:p>
        </w:tc>
        <w:tc>
          <w:tcPr>
            <w:tcW w:w="0" w:type="auto"/>
            <w:tcBorders>
              <w:top w:val="nil"/>
              <w:left w:val="nil"/>
              <w:bottom w:val="single" w:sz="8"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 </w:t>
            </w:r>
          </w:p>
        </w:tc>
        <w:tc>
          <w:tcPr>
            <w:tcW w:w="0" w:type="auto"/>
            <w:tcBorders>
              <w:top w:val="nil"/>
              <w:left w:val="nil"/>
              <w:bottom w:val="single" w:sz="8"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 </w:t>
            </w:r>
          </w:p>
        </w:tc>
        <w:tc>
          <w:tcPr>
            <w:tcW w:w="0" w:type="auto"/>
            <w:tcBorders>
              <w:top w:val="nil"/>
              <w:left w:val="nil"/>
              <w:bottom w:val="single" w:sz="8"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 </w:t>
            </w:r>
          </w:p>
        </w:tc>
        <w:tc>
          <w:tcPr>
            <w:tcW w:w="0" w:type="auto"/>
            <w:tcBorders>
              <w:top w:val="nil"/>
              <w:left w:val="nil"/>
              <w:bottom w:val="single" w:sz="8" w:space="0" w:color="auto"/>
              <w:right w:val="nil"/>
            </w:tcBorders>
            <w:shd w:val="clear" w:color="auto" w:fill="auto"/>
            <w:noWrap/>
            <w:vAlign w:val="center"/>
            <w:hideMark/>
          </w:tcPr>
          <w:p w:rsidR="00BF6F37" w:rsidRPr="00BF6F37" w:rsidRDefault="00BF6F37" w:rsidP="008E262A">
            <w:pPr>
              <w:rPr>
                <w:rFonts w:ascii="Cambria" w:hAnsi="Cambria"/>
                <w:color w:val="000000"/>
                <w:sz w:val="20"/>
                <w:szCs w:val="20"/>
              </w:rPr>
            </w:pPr>
            <w:r w:rsidRPr="00BF6F37">
              <w:rPr>
                <w:rFonts w:ascii="Cambria" w:hAnsi="Cambria"/>
                <w:color w:val="000000"/>
                <w:sz w:val="20"/>
                <w:szCs w:val="20"/>
              </w:rPr>
              <w:t> </w:t>
            </w:r>
          </w:p>
        </w:tc>
      </w:tr>
    </w:tbl>
    <w:p w:rsidR="009A3074" w:rsidRPr="00C84CED" w:rsidRDefault="009A3074" w:rsidP="000D2E07">
      <w:pPr>
        <w:ind w:firstLine="567"/>
        <w:jc w:val="both"/>
        <w:rPr>
          <w:rFonts w:ascii="Cambria" w:hAnsi="Cambria"/>
          <w:sz w:val="22"/>
          <w:szCs w:val="22"/>
        </w:rPr>
      </w:pPr>
      <w:r w:rsidRPr="00C84CED">
        <w:rPr>
          <w:rFonts w:ascii="Cambria" w:hAnsi="Cambria"/>
          <w:sz w:val="22"/>
          <w:szCs w:val="22"/>
        </w:rPr>
        <w:t>Çalışma grubu ülkelerinin çoğunlukla gelişmiş ülkelerden oluştuğu söylenebilir. Söz konusu ülkelerden Vietnam gelişmekte olan bir ülke olarak PISA 2015 sınavında önemli bir başarı elde etmiştir. Çin bölgesel olarak değerlendirildiğinde Taipei</w:t>
      </w:r>
      <w:r w:rsidR="00D23E56" w:rsidRPr="00C84CED">
        <w:rPr>
          <w:rFonts w:ascii="Cambria" w:hAnsi="Cambria"/>
          <w:sz w:val="22"/>
          <w:szCs w:val="22"/>
        </w:rPr>
        <w:t>, Hong Kong ve B-S-J-G sosyo ekonomik düzey olarak diğer bölgelere göre daha iyi bir düzeydedir (Developin</w:t>
      </w:r>
      <w:r w:rsidR="00FA43C2" w:rsidRPr="00C84CED">
        <w:rPr>
          <w:rFonts w:ascii="Cambria" w:hAnsi="Cambria"/>
          <w:sz w:val="22"/>
          <w:szCs w:val="22"/>
        </w:rPr>
        <w:t>g</w:t>
      </w:r>
      <w:r w:rsidR="00D23E56" w:rsidRPr="00C84CED">
        <w:rPr>
          <w:rFonts w:ascii="Cambria" w:hAnsi="Cambria"/>
          <w:sz w:val="22"/>
          <w:szCs w:val="22"/>
        </w:rPr>
        <w:t xml:space="preserve"> Countries, 2018).</w:t>
      </w:r>
    </w:p>
    <w:p w:rsidR="00BF6F37" w:rsidRPr="00C84CED" w:rsidRDefault="00BF6F37" w:rsidP="00C84CED">
      <w:pPr>
        <w:spacing w:before="120" w:after="120"/>
        <w:ind w:firstLine="567"/>
        <w:jc w:val="both"/>
        <w:rPr>
          <w:rFonts w:ascii="Cambria" w:hAnsi="Cambria"/>
          <w:b/>
          <w:sz w:val="22"/>
          <w:szCs w:val="22"/>
        </w:rPr>
      </w:pPr>
      <w:r w:rsidRPr="00C84CED">
        <w:rPr>
          <w:rFonts w:ascii="Cambria" w:hAnsi="Cambria"/>
          <w:b/>
          <w:sz w:val="22"/>
          <w:szCs w:val="22"/>
        </w:rPr>
        <w:t>Veri Toplama Araçları</w:t>
      </w:r>
    </w:p>
    <w:p w:rsidR="00BF6F37" w:rsidRPr="00C84CED" w:rsidRDefault="00BF6F37" w:rsidP="00BF6F37">
      <w:pPr>
        <w:ind w:firstLine="567"/>
        <w:jc w:val="both"/>
        <w:rPr>
          <w:rFonts w:ascii="Cambria" w:hAnsi="Cambria" w:cstheme="minorHAnsi"/>
          <w:sz w:val="22"/>
          <w:szCs w:val="22"/>
        </w:rPr>
      </w:pPr>
      <w:r w:rsidRPr="00C84CED">
        <w:rPr>
          <w:rFonts w:ascii="Cambria" w:hAnsi="Cambria" w:cstheme="minorHAnsi"/>
          <w:sz w:val="22"/>
          <w:szCs w:val="22"/>
        </w:rPr>
        <w:t>Veriler, PISA 2015 sınavına ilişkin sonuçların yayınlandığı OECD (2016a; 2016b; 2015 ) raporlarından elde edilmiştir. Söz konusu raporlarda PISA performanslarının yanı sıra karşılaştırma yapabilmek için G</w:t>
      </w:r>
      <w:r w:rsidR="00C54355" w:rsidRPr="00C84CED">
        <w:rPr>
          <w:rFonts w:ascii="Cambria" w:hAnsi="Cambria" w:cstheme="minorHAnsi"/>
          <w:sz w:val="22"/>
          <w:szCs w:val="22"/>
        </w:rPr>
        <w:t xml:space="preserve">ayri </w:t>
      </w:r>
      <w:r w:rsidRPr="00C84CED">
        <w:rPr>
          <w:rFonts w:ascii="Cambria" w:hAnsi="Cambria" w:cstheme="minorHAnsi"/>
          <w:sz w:val="22"/>
          <w:szCs w:val="22"/>
        </w:rPr>
        <w:t>S</w:t>
      </w:r>
      <w:r w:rsidR="00C54355" w:rsidRPr="00C84CED">
        <w:rPr>
          <w:rFonts w:ascii="Cambria" w:hAnsi="Cambria" w:cstheme="minorHAnsi"/>
          <w:sz w:val="22"/>
          <w:szCs w:val="22"/>
        </w:rPr>
        <w:t xml:space="preserve">afi </w:t>
      </w:r>
      <w:r w:rsidRPr="00C84CED">
        <w:rPr>
          <w:rFonts w:ascii="Cambria" w:hAnsi="Cambria" w:cstheme="minorHAnsi"/>
          <w:sz w:val="22"/>
          <w:szCs w:val="22"/>
        </w:rPr>
        <w:t>M</w:t>
      </w:r>
      <w:r w:rsidR="00C54355" w:rsidRPr="00C84CED">
        <w:rPr>
          <w:rFonts w:ascii="Cambria" w:hAnsi="Cambria" w:cstheme="minorHAnsi"/>
          <w:sz w:val="22"/>
          <w:szCs w:val="22"/>
        </w:rPr>
        <w:t xml:space="preserve">illi </w:t>
      </w:r>
      <w:proofErr w:type="gramStart"/>
      <w:r w:rsidRPr="00C84CED">
        <w:rPr>
          <w:rFonts w:ascii="Cambria" w:hAnsi="Cambria" w:cstheme="minorHAnsi"/>
          <w:sz w:val="22"/>
          <w:szCs w:val="22"/>
        </w:rPr>
        <w:t>H</w:t>
      </w:r>
      <w:r w:rsidR="00C54355" w:rsidRPr="00C84CED">
        <w:rPr>
          <w:rFonts w:ascii="Cambria" w:hAnsi="Cambria" w:cstheme="minorHAnsi"/>
          <w:sz w:val="22"/>
          <w:szCs w:val="22"/>
        </w:rPr>
        <w:t>asıla</w:t>
      </w:r>
      <w:proofErr w:type="gramEnd"/>
      <w:r w:rsidR="00C54355" w:rsidRPr="00C84CED">
        <w:rPr>
          <w:rFonts w:ascii="Cambria" w:hAnsi="Cambria" w:cstheme="minorHAnsi"/>
          <w:sz w:val="22"/>
          <w:szCs w:val="22"/>
        </w:rPr>
        <w:t xml:space="preserve"> (GSMH)</w:t>
      </w:r>
      <w:r w:rsidRPr="00C84CED">
        <w:rPr>
          <w:rFonts w:ascii="Cambria" w:hAnsi="Cambria" w:cstheme="minorHAnsi"/>
          <w:sz w:val="22"/>
          <w:szCs w:val="22"/>
        </w:rPr>
        <w:t>, kişi başı GSMH ve yıllık toplam öğretim saati gibi verilere ulaşılmıştır. Diğer yandan yaşlara göre yıllık öğretim saati gibi bazı değişkenlere ilişkin ortalamalar araştırmacılar tarafından hesaplanmıştır. PISA sınavlarında okuma becerileri, matematik okuryazarlığı ve fen okuryazarlığı olmak üzere üç temel alana odaklanılmaktadır. Söz konusu alanlar her PISA döneminde değişmektedir.  Fen okuryazarlığı, PISA 2015 sınavının tem</w:t>
      </w:r>
      <w:r w:rsidR="00C54355" w:rsidRPr="00C84CED">
        <w:rPr>
          <w:rFonts w:ascii="Cambria" w:hAnsi="Cambria" w:cstheme="minorHAnsi"/>
          <w:sz w:val="22"/>
          <w:szCs w:val="22"/>
        </w:rPr>
        <w:t>el alanı olarak belirlenmiştir.</w:t>
      </w:r>
      <w:r w:rsidRPr="00C84CED">
        <w:rPr>
          <w:rFonts w:ascii="Cambria" w:hAnsi="Cambria" w:cstheme="minorHAnsi"/>
          <w:sz w:val="22"/>
          <w:szCs w:val="22"/>
        </w:rPr>
        <w:t xml:space="preserve"> PISA 2015 sınavında temel alan fen bilimleri olduğu için yapılan analizlerde başarı ya da başarısızlık durumuna ilişkin yorumlar, ülkelerin fen performansı dikkate alınarak yapılmıştır. </w:t>
      </w:r>
    </w:p>
    <w:p w:rsidR="00BF6F37" w:rsidRPr="00C84CED" w:rsidRDefault="00BF6F37" w:rsidP="00C84CED">
      <w:pPr>
        <w:spacing w:before="120" w:after="120"/>
        <w:ind w:firstLine="567"/>
        <w:jc w:val="both"/>
        <w:rPr>
          <w:rFonts w:ascii="Cambria" w:hAnsi="Cambria" w:cstheme="minorHAnsi"/>
          <w:b/>
          <w:sz w:val="22"/>
          <w:szCs w:val="22"/>
        </w:rPr>
      </w:pPr>
      <w:r w:rsidRPr="00C84CED">
        <w:rPr>
          <w:rFonts w:ascii="Cambria" w:hAnsi="Cambria" w:cstheme="minorHAnsi"/>
          <w:b/>
          <w:sz w:val="22"/>
          <w:szCs w:val="22"/>
        </w:rPr>
        <w:t>Verilerin Analizi</w:t>
      </w:r>
    </w:p>
    <w:p w:rsidR="00263D52" w:rsidRPr="00C84CED" w:rsidRDefault="00B8588D" w:rsidP="00BF6F37">
      <w:pPr>
        <w:ind w:firstLine="567"/>
        <w:jc w:val="both"/>
        <w:rPr>
          <w:rFonts w:ascii="Cambria" w:hAnsi="Cambria" w:cstheme="minorHAnsi"/>
          <w:sz w:val="22"/>
          <w:szCs w:val="22"/>
        </w:rPr>
      </w:pPr>
      <w:r w:rsidRPr="00C84CED">
        <w:rPr>
          <w:rFonts w:ascii="Cambria" w:hAnsi="Cambria" w:cstheme="minorHAnsi"/>
          <w:sz w:val="22"/>
          <w:szCs w:val="22"/>
        </w:rPr>
        <w:t>V</w:t>
      </w:r>
      <w:r w:rsidR="00263D52" w:rsidRPr="00C84CED">
        <w:rPr>
          <w:rFonts w:ascii="Cambria" w:hAnsi="Cambria" w:cstheme="minorHAnsi"/>
          <w:sz w:val="22"/>
          <w:szCs w:val="22"/>
        </w:rPr>
        <w:t xml:space="preserve">eriler, doküman analizi tekniğiyle incelenmiştir. </w:t>
      </w:r>
      <w:r w:rsidRPr="00C84CED">
        <w:rPr>
          <w:rFonts w:ascii="Cambria" w:hAnsi="Cambria" w:cstheme="minorHAnsi"/>
          <w:sz w:val="22"/>
          <w:szCs w:val="22"/>
        </w:rPr>
        <w:t>Doküman analizi</w:t>
      </w:r>
      <w:r w:rsidR="000D2E07" w:rsidRPr="00C84CED">
        <w:rPr>
          <w:rFonts w:ascii="Cambria" w:hAnsi="Cambria" w:cstheme="minorHAnsi"/>
          <w:sz w:val="22"/>
          <w:szCs w:val="22"/>
        </w:rPr>
        <w:t xml:space="preserve">, yazılı veya elektronik ortamdaki belgelerin incelenmesi ve değerlendirilmesi için yürütülen sistematik bir </w:t>
      </w:r>
      <w:proofErr w:type="gramStart"/>
      <w:r w:rsidR="000D2E07" w:rsidRPr="00C84CED">
        <w:rPr>
          <w:rFonts w:ascii="Cambria" w:hAnsi="Cambria" w:cstheme="minorHAnsi"/>
          <w:sz w:val="22"/>
          <w:szCs w:val="22"/>
        </w:rPr>
        <w:t>prosedürdür</w:t>
      </w:r>
      <w:proofErr w:type="gramEnd"/>
      <w:r w:rsidR="000D2E07" w:rsidRPr="00C84CED">
        <w:rPr>
          <w:rFonts w:ascii="Cambria" w:hAnsi="Cambria" w:cstheme="minorHAnsi"/>
          <w:sz w:val="22"/>
          <w:szCs w:val="22"/>
        </w:rPr>
        <w:t>. Doküman analizi, nitel araştırmalardaki diğer analiz yöntemleri gibi veriyi yorumlama ve araştırma problemine yönelik veriden anlam çıkarabilme süreçlerini kapsamaktadır (</w:t>
      </w:r>
      <w:r w:rsidR="000D2E07" w:rsidRPr="00C84CED">
        <w:rPr>
          <w:rFonts w:ascii="Cambria" w:hAnsi="Cambria"/>
          <w:sz w:val="22"/>
          <w:szCs w:val="22"/>
        </w:rPr>
        <w:t>Corbin &amp; Strauss, 2008</w:t>
      </w:r>
      <w:r w:rsidRPr="00C84CED">
        <w:rPr>
          <w:rFonts w:ascii="Cambria" w:hAnsi="Cambria"/>
          <w:sz w:val="22"/>
          <w:szCs w:val="22"/>
        </w:rPr>
        <w:t>).</w:t>
      </w:r>
      <w:r w:rsidR="000D2E07" w:rsidRPr="00C84CED">
        <w:rPr>
          <w:rFonts w:ascii="Cambria" w:hAnsi="Cambria"/>
          <w:sz w:val="22"/>
          <w:szCs w:val="22"/>
        </w:rPr>
        <w:t xml:space="preserve"> Bu çalışma kapsamında PISA </w:t>
      </w:r>
      <w:r w:rsidR="002528D1" w:rsidRPr="00C84CED">
        <w:rPr>
          <w:rFonts w:ascii="Cambria" w:hAnsi="Cambria"/>
          <w:sz w:val="22"/>
          <w:szCs w:val="22"/>
        </w:rPr>
        <w:t xml:space="preserve">2015 verileri doküman analizi tekniğiyle incelenmiş ve örneklem grubu içinde çeşitli karşılaştırmalar yapılarak </w:t>
      </w:r>
      <w:r w:rsidR="002528D1" w:rsidRPr="00C84CED">
        <w:rPr>
          <w:rFonts w:ascii="Cambria" w:hAnsi="Cambria"/>
          <w:color w:val="000000" w:themeColor="text1"/>
          <w:sz w:val="22"/>
          <w:szCs w:val="22"/>
        </w:rPr>
        <w:t xml:space="preserve">eğitime yapılan yatırımların öğrenci performansına ne düzeyde yansıdığı ya da eğitime yapılan yatırımların öğrenci başarısında ne düzeyde önemli olduğu konusunda çeşitli çıkarımlarda bulunulmuştur. </w:t>
      </w:r>
      <w:r w:rsidR="00263D52" w:rsidRPr="00C84CED">
        <w:rPr>
          <w:rFonts w:ascii="Cambria" w:hAnsi="Cambria" w:cstheme="minorHAnsi"/>
          <w:sz w:val="22"/>
          <w:szCs w:val="22"/>
        </w:rPr>
        <w:t>Çalışma, OECD raporu çerçevesinde dört boyutta ele alınmış ve her bir boyut alt boyutlarına ilişkin verilerle sunulmuştur. İlgili boyuta ilişkin verisi olmayan ülkeler, eksi (-) işareti ile gösterilmiştir. Karşılaştırma sürecinde:</w:t>
      </w:r>
    </w:p>
    <w:p w:rsidR="00BF6F37" w:rsidRPr="00C84CED" w:rsidRDefault="00BF6F37" w:rsidP="00BF6F37">
      <w:pPr>
        <w:pStyle w:val="Heading2"/>
        <w:numPr>
          <w:ilvl w:val="0"/>
          <w:numId w:val="1"/>
        </w:numPr>
        <w:spacing w:before="100" w:beforeAutospacing="1" w:after="100" w:afterAutospacing="1"/>
        <w:ind w:left="993" w:hanging="426"/>
        <w:jc w:val="both"/>
        <w:rPr>
          <w:rFonts w:ascii="Cambria" w:eastAsia="Times New Roman" w:hAnsi="Cambria" w:cstheme="minorHAnsi"/>
          <w:color w:val="auto"/>
          <w:sz w:val="22"/>
          <w:szCs w:val="22"/>
        </w:rPr>
      </w:pPr>
      <w:r w:rsidRPr="00C84CED">
        <w:rPr>
          <w:rFonts w:ascii="Cambria" w:eastAsia="Times New Roman" w:hAnsi="Cambria" w:cstheme="minorHAnsi"/>
          <w:color w:val="auto"/>
          <w:sz w:val="22"/>
          <w:szCs w:val="22"/>
        </w:rPr>
        <w:lastRenderedPageBreak/>
        <w:t xml:space="preserve">PISA 2015 sınavında en başarılı olan ülkeler, OECD ortalaması ve Türkiye’nin performansı gayri safi millî hasıla (GSMH) ve sosyo ekonomik </w:t>
      </w:r>
      <w:proofErr w:type="gramStart"/>
      <w:r w:rsidRPr="00C84CED">
        <w:rPr>
          <w:rFonts w:ascii="Cambria" w:eastAsia="Times New Roman" w:hAnsi="Cambria" w:cstheme="minorHAnsi"/>
          <w:color w:val="auto"/>
          <w:sz w:val="22"/>
          <w:szCs w:val="22"/>
        </w:rPr>
        <w:t>profil</w:t>
      </w:r>
      <w:proofErr w:type="gramEnd"/>
      <w:r w:rsidRPr="00C84CED">
        <w:rPr>
          <w:rFonts w:ascii="Cambria" w:eastAsia="Times New Roman" w:hAnsi="Cambria" w:cstheme="minorHAnsi"/>
          <w:color w:val="auto"/>
          <w:sz w:val="22"/>
          <w:szCs w:val="22"/>
        </w:rPr>
        <w:t xml:space="preserve"> gibi çeşitli değişkenler bağlamında irdelenmiştir. Sosyo ekonomik </w:t>
      </w:r>
      <w:proofErr w:type="gramStart"/>
      <w:r w:rsidRPr="00C84CED">
        <w:rPr>
          <w:rFonts w:ascii="Cambria" w:eastAsia="Times New Roman" w:hAnsi="Cambria" w:cstheme="minorHAnsi"/>
          <w:color w:val="auto"/>
          <w:sz w:val="22"/>
          <w:szCs w:val="22"/>
        </w:rPr>
        <w:t>profil</w:t>
      </w:r>
      <w:proofErr w:type="gramEnd"/>
      <w:r w:rsidRPr="00C84CED">
        <w:rPr>
          <w:rFonts w:ascii="Cambria" w:eastAsia="Times New Roman" w:hAnsi="Cambria" w:cstheme="minorHAnsi"/>
          <w:color w:val="auto"/>
          <w:sz w:val="22"/>
          <w:szCs w:val="22"/>
        </w:rPr>
        <w:t>, OECD tarafından PISA ekonomik, sosyal ve kültürel düzey indeksine dayalı olarak belirlenmiş profildir.</w:t>
      </w:r>
    </w:p>
    <w:p w:rsidR="00BF6F37" w:rsidRPr="00C84CED" w:rsidRDefault="00BF6F37" w:rsidP="00D23E56">
      <w:pPr>
        <w:pStyle w:val="Heading2"/>
        <w:numPr>
          <w:ilvl w:val="0"/>
          <w:numId w:val="1"/>
        </w:numPr>
        <w:spacing w:before="100" w:beforeAutospacing="1" w:after="100" w:afterAutospacing="1"/>
        <w:ind w:left="993" w:hanging="426"/>
        <w:jc w:val="both"/>
        <w:rPr>
          <w:rFonts w:ascii="Cambria" w:eastAsia="Times New Roman" w:hAnsi="Cambria" w:cstheme="minorHAnsi"/>
          <w:color w:val="auto"/>
          <w:sz w:val="22"/>
          <w:szCs w:val="22"/>
        </w:rPr>
      </w:pPr>
      <w:r w:rsidRPr="00C84CED">
        <w:rPr>
          <w:rFonts w:ascii="Cambria" w:eastAsia="Times New Roman" w:hAnsi="Cambria" w:cstheme="minorHAnsi"/>
          <w:color w:val="auto"/>
          <w:sz w:val="22"/>
          <w:szCs w:val="22"/>
        </w:rPr>
        <w:t>Karşılaştırmalarda; PISA verilerinde sunulan başarı ortalamaları, sosyo ekonomik düzeyler, PISA indeks ortalamaları, ortalama oran, oran ve yüzdelik ortalamalar kullanılmıştır.</w:t>
      </w:r>
    </w:p>
    <w:p w:rsidR="000F6587" w:rsidRPr="00C84CED" w:rsidRDefault="000F6587" w:rsidP="00263D52">
      <w:pPr>
        <w:pStyle w:val="Heading2"/>
        <w:spacing w:before="100" w:beforeAutospacing="1" w:after="100" w:afterAutospacing="1"/>
        <w:jc w:val="both"/>
        <w:rPr>
          <w:rFonts w:ascii="Cambria" w:eastAsia="Times New Roman" w:hAnsi="Cambria" w:cstheme="minorHAnsi"/>
          <w:color w:val="auto"/>
          <w:sz w:val="22"/>
          <w:szCs w:val="22"/>
        </w:rPr>
      </w:pPr>
      <w:r w:rsidRPr="00C84CED">
        <w:rPr>
          <w:rFonts w:ascii="Cambria" w:hAnsi="Cambria" w:cstheme="minorHAnsi"/>
          <w:b/>
          <w:color w:val="auto"/>
          <w:sz w:val="22"/>
          <w:szCs w:val="22"/>
        </w:rPr>
        <w:t>BULGULAR</w:t>
      </w:r>
    </w:p>
    <w:p w:rsidR="003014FB" w:rsidRPr="00C84CED" w:rsidRDefault="00263D52" w:rsidP="003014FB">
      <w:pPr>
        <w:ind w:firstLine="567"/>
        <w:jc w:val="both"/>
        <w:rPr>
          <w:rFonts w:ascii="Cambria" w:hAnsi="Cambria"/>
          <w:color w:val="000000" w:themeColor="text1"/>
          <w:sz w:val="22"/>
          <w:szCs w:val="22"/>
        </w:rPr>
      </w:pPr>
      <w:r w:rsidRPr="00C84CED">
        <w:rPr>
          <w:rFonts w:ascii="Cambria" w:hAnsi="Cambria"/>
          <w:color w:val="000000" w:themeColor="text1"/>
          <w:sz w:val="22"/>
          <w:szCs w:val="22"/>
        </w:rPr>
        <w:t>Eğitime yapılan yatırımların finansal kaynaklar boyutunda, eğitim kademelerine göre öğrenci başına yapılan yıllık ve toplam harcama miktarları ile ülkelerin gay</w:t>
      </w:r>
      <w:r w:rsidR="00BF6F37" w:rsidRPr="00C84CED">
        <w:rPr>
          <w:rFonts w:ascii="Cambria" w:hAnsi="Cambria"/>
          <w:color w:val="000000" w:themeColor="text1"/>
          <w:sz w:val="22"/>
          <w:szCs w:val="22"/>
        </w:rPr>
        <w:t>ri safi milli hasılaları Tablo 2</w:t>
      </w:r>
      <w:r w:rsidRPr="00C84CED">
        <w:rPr>
          <w:rFonts w:ascii="Cambria" w:hAnsi="Cambria"/>
          <w:color w:val="000000" w:themeColor="text1"/>
          <w:sz w:val="22"/>
          <w:szCs w:val="22"/>
        </w:rPr>
        <w:t>’de sunulmuştur.</w:t>
      </w:r>
      <w:bookmarkStart w:id="0" w:name="_Toc388486316"/>
      <w:bookmarkStart w:id="1" w:name="_Toc390525153"/>
      <w:bookmarkStart w:id="2" w:name="_Toc390643943"/>
    </w:p>
    <w:p w:rsidR="00F727DF" w:rsidRPr="00BF6F37" w:rsidRDefault="00F727DF" w:rsidP="00F727DF">
      <w:pPr>
        <w:ind w:firstLine="567"/>
        <w:jc w:val="both"/>
        <w:rPr>
          <w:rFonts w:ascii="Cambria" w:hAnsi="Cambria"/>
          <w:color w:val="000000" w:themeColor="text1"/>
        </w:rPr>
      </w:pPr>
    </w:p>
    <w:tbl>
      <w:tblPr>
        <w:tblW w:w="9244" w:type="dxa"/>
        <w:tblInd w:w="55" w:type="dxa"/>
        <w:tblCellMar>
          <w:left w:w="70" w:type="dxa"/>
          <w:right w:w="70" w:type="dxa"/>
        </w:tblCellMar>
        <w:tblLook w:val="04A0" w:firstRow="1" w:lastRow="0" w:firstColumn="1" w:lastColumn="0" w:noHBand="0" w:noVBand="1"/>
      </w:tblPr>
      <w:tblGrid>
        <w:gridCol w:w="1825"/>
        <w:gridCol w:w="476"/>
        <w:gridCol w:w="865"/>
        <w:gridCol w:w="908"/>
        <w:gridCol w:w="942"/>
        <w:gridCol w:w="942"/>
        <w:gridCol w:w="942"/>
        <w:gridCol w:w="367"/>
        <w:gridCol w:w="1031"/>
        <w:gridCol w:w="1000"/>
      </w:tblGrid>
      <w:tr w:rsidR="00263D52" w:rsidRPr="00BF6F37" w:rsidTr="00263D52">
        <w:trPr>
          <w:trHeight w:val="315"/>
        </w:trPr>
        <w:tc>
          <w:tcPr>
            <w:tcW w:w="8244" w:type="dxa"/>
            <w:gridSpan w:val="9"/>
            <w:tcBorders>
              <w:top w:val="nil"/>
              <w:left w:val="nil"/>
              <w:bottom w:val="single" w:sz="4" w:space="0" w:color="auto"/>
              <w:right w:val="nil"/>
            </w:tcBorders>
            <w:shd w:val="clear" w:color="auto" w:fill="auto"/>
            <w:noWrap/>
            <w:vAlign w:val="center"/>
            <w:hideMark/>
          </w:tcPr>
          <w:p w:rsidR="00263D52" w:rsidRPr="00BF6F37" w:rsidRDefault="00BF6F37" w:rsidP="00C84CED">
            <w:pPr>
              <w:spacing w:after="120"/>
              <w:rPr>
                <w:rFonts w:ascii="Cambria" w:hAnsi="Cambria"/>
                <w:color w:val="000000"/>
                <w:sz w:val="20"/>
                <w:szCs w:val="20"/>
              </w:rPr>
            </w:pPr>
            <w:r w:rsidRPr="00BF6F37">
              <w:rPr>
                <w:rFonts w:ascii="Cambria" w:hAnsi="Cambria"/>
                <w:b/>
                <w:color w:val="000000"/>
                <w:sz w:val="20"/>
                <w:szCs w:val="20"/>
              </w:rPr>
              <w:t>Tablo 2</w:t>
            </w:r>
            <w:r w:rsidR="00263D52" w:rsidRPr="00BF6F37">
              <w:rPr>
                <w:rFonts w:ascii="Cambria" w:hAnsi="Cambria"/>
                <w:b/>
                <w:color w:val="000000"/>
                <w:sz w:val="20"/>
                <w:szCs w:val="20"/>
              </w:rPr>
              <w:t>.</w:t>
            </w:r>
            <w:r w:rsidR="00263D52" w:rsidRPr="00BF6F37">
              <w:rPr>
                <w:rFonts w:ascii="Cambria" w:hAnsi="Cambria"/>
                <w:i/>
                <w:color w:val="000000"/>
                <w:sz w:val="20"/>
                <w:szCs w:val="20"/>
              </w:rPr>
              <w:t xml:space="preserve"> Finansal harcamalar</w:t>
            </w:r>
          </w:p>
        </w:tc>
        <w:tc>
          <w:tcPr>
            <w:tcW w:w="1000" w:type="dxa"/>
            <w:tcBorders>
              <w:top w:val="nil"/>
              <w:left w:val="nil"/>
              <w:bottom w:val="single" w:sz="4"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w:t>
            </w:r>
          </w:p>
        </w:tc>
      </w:tr>
      <w:tr w:rsidR="00263D52" w:rsidRPr="00BF6F37" w:rsidTr="00263D52">
        <w:trPr>
          <w:trHeight w:val="315"/>
        </w:trPr>
        <w:tc>
          <w:tcPr>
            <w:tcW w:w="1825" w:type="dxa"/>
            <w:tcBorders>
              <w:top w:val="single" w:sz="4" w:space="0" w:color="auto"/>
              <w:left w:val="nil"/>
              <w:bottom w:val="single" w:sz="4" w:space="0" w:color="auto"/>
              <w:right w:val="nil"/>
            </w:tcBorders>
            <w:shd w:val="clear" w:color="auto" w:fill="auto"/>
            <w:vAlign w:val="center"/>
            <w:hideMark/>
          </w:tcPr>
          <w:p w:rsidR="00263D52" w:rsidRPr="00BF6F37" w:rsidRDefault="00263D52" w:rsidP="00263D52">
            <w:pPr>
              <w:rPr>
                <w:rFonts w:ascii="Cambria" w:hAnsi="Cambria"/>
                <w:color w:val="000000"/>
                <w:sz w:val="20"/>
                <w:szCs w:val="20"/>
              </w:rPr>
            </w:pPr>
          </w:p>
        </w:tc>
        <w:tc>
          <w:tcPr>
            <w:tcW w:w="463" w:type="dxa"/>
            <w:tcBorders>
              <w:top w:val="single" w:sz="4" w:space="0" w:color="auto"/>
              <w:left w:val="nil"/>
              <w:bottom w:val="single" w:sz="4" w:space="0" w:color="auto"/>
              <w:right w:val="nil"/>
            </w:tcBorders>
            <w:shd w:val="clear" w:color="auto" w:fill="auto"/>
            <w:noWrap/>
            <w:vAlign w:val="center"/>
          </w:tcPr>
          <w:p w:rsidR="00263D52" w:rsidRPr="00BF6F37" w:rsidRDefault="00263D52" w:rsidP="00263D52">
            <w:pPr>
              <w:rPr>
                <w:rFonts w:ascii="Cambria" w:hAnsi="Cambria"/>
                <w:color w:val="000000"/>
                <w:sz w:val="20"/>
                <w:szCs w:val="20"/>
              </w:rPr>
            </w:pPr>
          </w:p>
        </w:tc>
        <w:tc>
          <w:tcPr>
            <w:tcW w:w="865" w:type="dxa"/>
            <w:tcBorders>
              <w:top w:val="single" w:sz="4" w:space="0" w:color="auto"/>
              <w:left w:val="nil"/>
              <w:bottom w:val="single" w:sz="4" w:space="0" w:color="auto"/>
              <w:right w:val="nil"/>
            </w:tcBorders>
            <w:shd w:val="clear" w:color="auto" w:fill="auto"/>
            <w:vAlign w:val="center"/>
          </w:tcPr>
          <w:p w:rsidR="00263D52" w:rsidRPr="00BF6F37" w:rsidRDefault="00263D52" w:rsidP="00263D52">
            <w:pPr>
              <w:rPr>
                <w:rFonts w:ascii="Cambria" w:hAnsi="Cambria"/>
                <w:color w:val="000000"/>
                <w:sz w:val="20"/>
                <w:szCs w:val="20"/>
              </w:rPr>
            </w:pPr>
          </w:p>
        </w:tc>
        <w:tc>
          <w:tcPr>
            <w:tcW w:w="3693" w:type="dxa"/>
            <w:gridSpan w:val="4"/>
            <w:tcBorders>
              <w:top w:val="single" w:sz="4" w:space="0" w:color="auto"/>
              <w:left w:val="nil"/>
              <w:bottom w:val="single" w:sz="4" w:space="0" w:color="auto"/>
              <w:right w:val="nil"/>
            </w:tcBorders>
            <w:shd w:val="clear" w:color="auto" w:fill="auto"/>
            <w:vAlign w:val="center"/>
            <w:hideMark/>
          </w:tcPr>
          <w:p w:rsidR="00263D52" w:rsidRPr="00BF6F37" w:rsidRDefault="00263D52" w:rsidP="00263D52">
            <w:pPr>
              <w:jc w:val="center"/>
              <w:rPr>
                <w:rFonts w:ascii="Cambria" w:hAnsi="Cambria"/>
                <w:b/>
                <w:color w:val="000000"/>
                <w:sz w:val="20"/>
                <w:szCs w:val="20"/>
              </w:rPr>
            </w:pPr>
            <w:r w:rsidRPr="00BF6F37">
              <w:rPr>
                <w:rFonts w:ascii="Cambria" w:hAnsi="Cambria"/>
                <w:b/>
                <w:color w:val="000000"/>
                <w:sz w:val="20"/>
                <w:szCs w:val="20"/>
              </w:rPr>
              <w:t xml:space="preserve">        Yıllık harcama miktarı*</w:t>
            </w:r>
          </w:p>
        </w:tc>
        <w:tc>
          <w:tcPr>
            <w:tcW w:w="367" w:type="dxa"/>
            <w:tcBorders>
              <w:top w:val="single" w:sz="4" w:space="0" w:color="auto"/>
              <w:left w:val="nil"/>
              <w:bottom w:val="single" w:sz="4" w:space="0" w:color="auto"/>
              <w:right w:val="nil"/>
            </w:tcBorders>
            <w:shd w:val="clear" w:color="auto" w:fill="auto"/>
            <w:noWrap/>
            <w:vAlign w:val="center"/>
            <w:hideMark/>
          </w:tcPr>
          <w:p w:rsidR="00263D52" w:rsidRPr="00BF6F37" w:rsidRDefault="00263D52" w:rsidP="00263D52">
            <w:pPr>
              <w:rPr>
                <w:rFonts w:ascii="Cambria" w:hAnsi="Cambria"/>
                <w:b/>
                <w:color w:val="000000"/>
                <w:sz w:val="20"/>
                <w:szCs w:val="20"/>
              </w:rPr>
            </w:pPr>
            <w:r w:rsidRPr="00BF6F37">
              <w:rPr>
                <w:rFonts w:ascii="Cambria" w:hAnsi="Cambria"/>
                <w:b/>
                <w:color w:val="000000"/>
                <w:sz w:val="20"/>
                <w:szCs w:val="20"/>
              </w:rPr>
              <w:t> </w:t>
            </w:r>
          </w:p>
        </w:tc>
        <w:tc>
          <w:tcPr>
            <w:tcW w:w="2031" w:type="dxa"/>
            <w:gridSpan w:val="2"/>
            <w:tcBorders>
              <w:top w:val="single" w:sz="4" w:space="0" w:color="auto"/>
              <w:left w:val="nil"/>
              <w:bottom w:val="single" w:sz="4" w:space="0" w:color="auto"/>
              <w:right w:val="nil"/>
            </w:tcBorders>
            <w:shd w:val="clear" w:color="auto" w:fill="auto"/>
            <w:noWrap/>
            <w:vAlign w:val="center"/>
            <w:hideMark/>
          </w:tcPr>
          <w:p w:rsidR="00263D52" w:rsidRPr="00BF6F37" w:rsidRDefault="00263D52" w:rsidP="00263D52">
            <w:pPr>
              <w:rPr>
                <w:rFonts w:ascii="Cambria" w:hAnsi="Cambria"/>
                <w:b/>
                <w:color w:val="000000"/>
                <w:sz w:val="20"/>
                <w:szCs w:val="20"/>
              </w:rPr>
            </w:pPr>
            <w:r w:rsidRPr="00BF6F37">
              <w:rPr>
                <w:rFonts w:ascii="Cambria" w:hAnsi="Cambria"/>
                <w:b/>
                <w:color w:val="000000"/>
                <w:sz w:val="20"/>
                <w:szCs w:val="20"/>
              </w:rPr>
              <w:t xml:space="preserve"> Kişi başı GSMH* </w:t>
            </w:r>
          </w:p>
        </w:tc>
      </w:tr>
      <w:tr w:rsidR="00263D52" w:rsidRPr="00BF6F37" w:rsidTr="00263D52">
        <w:trPr>
          <w:trHeight w:val="520"/>
        </w:trPr>
        <w:tc>
          <w:tcPr>
            <w:tcW w:w="1825" w:type="dxa"/>
            <w:tcBorders>
              <w:top w:val="single" w:sz="4" w:space="0" w:color="auto"/>
              <w:left w:val="nil"/>
              <w:bottom w:val="single" w:sz="4" w:space="0" w:color="auto"/>
              <w:right w:val="nil"/>
            </w:tcBorders>
            <w:shd w:val="clear" w:color="auto" w:fill="auto"/>
            <w:noWrap/>
            <w:hideMark/>
          </w:tcPr>
          <w:p w:rsidR="00263D52" w:rsidRPr="00BF6F37" w:rsidRDefault="00263D52" w:rsidP="00263D52">
            <w:pPr>
              <w:rPr>
                <w:rFonts w:ascii="Cambria" w:hAnsi="Cambria"/>
                <w:color w:val="000000"/>
                <w:sz w:val="20"/>
                <w:szCs w:val="20"/>
              </w:rPr>
            </w:pPr>
          </w:p>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Ülke</w:t>
            </w:r>
          </w:p>
        </w:tc>
        <w:tc>
          <w:tcPr>
            <w:tcW w:w="463" w:type="dxa"/>
            <w:tcBorders>
              <w:top w:val="single" w:sz="4" w:space="0" w:color="auto"/>
              <w:left w:val="nil"/>
              <w:bottom w:val="single" w:sz="4"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Sıra</w:t>
            </w:r>
          </w:p>
        </w:tc>
        <w:tc>
          <w:tcPr>
            <w:tcW w:w="865" w:type="dxa"/>
            <w:tcBorders>
              <w:top w:val="single" w:sz="4" w:space="0" w:color="auto"/>
              <w:left w:val="nil"/>
              <w:bottom w:val="single" w:sz="4"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Puan </w:t>
            </w:r>
          </w:p>
        </w:tc>
        <w:tc>
          <w:tcPr>
            <w:tcW w:w="867" w:type="dxa"/>
            <w:tcBorders>
              <w:top w:val="single" w:sz="4" w:space="0" w:color="auto"/>
              <w:left w:val="nil"/>
              <w:bottom w:val="single" w:sz="4" w:space="0" w:color="auto"/>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6-15 yaş Toplam Harcama</w:t>
            </w:r>
          </w:p>
        </w:tc>
        <w:tc>
          <w:tcPr>
            <w:tcW w:w="942" w:type="dxa"/>
            <w:tcBorders>
              <w:top w:val="single" w:sz="4" w:space="0" w:color="auto"/>
              <w:left w:val="nil"/>
              <w:bottom w:val="single" w:sz="4" w:space="0" w:color="auto"/>
              <w:right w:val="nil"/>
            </w:tcBorders>
            <w:shd w:val="clear" w:color="auto" w:fill="auto"/>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İlkokul</w:t>
            </w:r>
          </w:p>
        </w:tc>
        <w:tc>
          <w:tcPr>
            <w:tcW w:w="942" w:type="dxa"/>
            <w:tcBorders>
              <w:top w:val="single" w:sz="4" w:space="0" w:color="auto"/>
              <w:left w:val="nil"/>
              <w:bottom w:val="single" w:sz="4" w:space="0" w:color="auto"/>
              <w:right w:val="nil"/>
            </w:tcBorders>
            <w:shd w:val="clear" w:color="auto" w:fill="auto"/>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Ortaokul</w:t>
            </w:r>
          </w:p>
        </w:tc>
        <w:tc>
          <w:tcPr>
            <w:tcW w:w="942" w:type="dxa"/>
            <w:tcBorders>
              <w:top w:val="single" w:sz="4" w:space="0" w:color="auto"/>
              <w:left w:val="nil"/>
              <w:bottom w:val="single" w:sz="4" w:space="0" w:color="auto"/>
              <w:right w:val="nil"/>
            </w:tcBorders>
            <w:shd w:val="clear" w:color="auto" w:fill="auto"/>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 xml:space="preserve">Lise </w:t>
            </w:r>
          </w:p>
        </w:tc>
        <w:tc>
          <w:tcPr>
            <w:tcW w:w="367" w:type="dxa"/>
            <w:tcBorders>
              <w:top w:val="single" w:sz="4" w:space="0" w:color="auto"/>
              <w:left w:val="nil"/>
              <w:bottom w:val="single" w:sz="4" w:space="0" w:color="auto"/>
              <w:right w:val="nil"/>
            </w:tcBorders>
            <w:shd w:val="clear" w:color="auto" w:fill="auto"/>
            <w:textDirection w:val="btLr"/>
            <w:vAlign w:val="center"/>
            <w:hideMark/>
          </w:tcPr>
          <w:p w:rsidR="00263D52" w:rsidRPr="00BF6F37" w:rsidRDefault="00263D52" w:rsidP="00263D52">
            <w:pPr>
              <w:rPr>
                <w:rFonts w:ascii="Cambria" w:hAnsi="Cambria"/>
                <w:color w:val="000000"/>
                <w:sz w:val="20"/>
                <w:szCs w:val="20"/>
              </w:rPr>
            </w:pPr>
          </w:p>
        </w:tc>
        <w:tc>
          <w:tcPr>
            <w:tcW w:w="1031" w:type="dxa"/>
            <w:tcBorders>
              <w:top w:val="single" w:sz="4" w:space="0" w:color="auto"/>
              <w:left w:val="nil"/>
              <w:bottom w:val="single" w:sz="4" w:space="0" w:color="auto"/>
              <w:right w:val="nil"/>
            </w:tcBorders>
            <w:shd w:val="clear" w:color="auto" w:fill="auto"/>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2013</w:t>
            </w:r>
          </w:p>
        </w:tc>
        <w:tc>
          <w:tcPr>
            <w:tcW w:w="1000" w:type="dxa"/>
            <w:tcBorders>
              <w:top w:val="single" w:sz="4" w:space="0" w:color="auto"/>
              <w:left w:val="nil"/>
              <w:bottom w:val="single" w:sz="4" w:space="0" w:color="auto"/>
              <w:right w:val="nil"/>
            </w:tcBorders>
            <w:shd w:val="clear" w:color="auto" w:fill="auto"/>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2014</w:t>
            </w:r>
          </w:p>
        </w:tc>
      </w:tr>
      <w:tr w:rsidR="00263D52" w:rsidRPr="00BF6F37" w:rsidTr="00263D52">
        <w:trPr>
          <w:trHeight w:val="300"/>
        </w:trPr>
        <w:tc>
          <w:tcPr>
            <w:tcW w:w="1825" w:type="dxa"/>
            <w:tcBorders>
              <w:top w:val="single" w:sz="4" w:space="0" w:color="auto"/>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Singapur</w:t>
            </w:r>
          </w:p>
        </w:tc>
        <w:tc>
          <w:tcPr>
            <w:tcW w:w="463" w:type="dxa"/>
            <w:tcBorders>
              <w:top w:val="single" w:sz="4" w:space="0" w:color="auto"/>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1</w:t>
            </w:r>
          </w:p>
        </w:tc>
        <w:tc>
          <w:tcPr>
            <w:tcW w:w="865" w:type="dxa"/>
            <w:tcBorders>
              <w:top w:val="single" w:sz="4" w:space="0" w:color="auto"/>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556</w:t>
            </w:r>
          </w:p>
        </w:tc>
        <w:tc>
          <w:tcPr>
            <w:tcW w:w="867" w:type="dxa"/>
            <w:tcBorders>
              <w:top w:val="single" w:sz="4" w:space="0" w:color="auto"/>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130.611</w:t>
            </w:r>
          </w:p>
        </w:tc>
        <w:tc>
          <w:tcPr>
            <w:tcW w:w="942" w:type="dxa"/>
            <w:tcBorders>
              <w:top w:val="single" w:sz="4" w:space="0" w:color="auto"/>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11.644</w:t>
            </w:r>
          </w:p>
        </w:tc>
        <w:tc>
          <w:tcPr>
            <w:tcW w:w="942" w:type="dxa"/>
            <w:tcBorders>
              <w:top w:val="single" w:sz="4" w:space="0" w:color="auto"/>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single" w:sz="4" w:space="0" w:color="auto"/>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367" w:type="dxa"/>
            <w:tcBorders>
              <w:top w:val="single" w:sz="4" w:space="0" w:color="auto"/>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p>
        </w:tc>
        <w:tc>
          <w:tcPr>
            <w:tcW w:w="1031" w:type="dxa"/>
            <w:tcBorders>
              <w:top w:val="single" w:sz="4" w:space="0" w:color="auto"/>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79.996</w:t>
            </w:r>
          </w:p>
        </w:tc>
        <w:tc>
          <w:tcPr>
            <w:tcW w:w="1000" w:type="dxa"/>
            <w:tcBorders>
              <w:top w:val="single" w:sz="4" w:space="0" w:color="auto"/>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82.515</w:t>
            </w:r>
          </w:p>
        </w:tc>
      </w:tr>
      <w:tr w:rsidR="00263D52" w:rsidRPr="00BF6F37" w:rsidTr="00263D52">
        <w:trPr>
          <w:trHeight w:val="300"/>
        </w:trPr>
        <w:tc>
          <w:tcPr>
            <w:tcW w:w="182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Japonya</w:t>
            </w:r>
          </w:p>
        </w:tc>
        <w:tc>
          <w:tcPr>
            <w:tcW w:w="463"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2</w:t>
            </w:r>
          </w:p>
        </w:tc>
        <w:tc>
          <w:tcPr>
            <w:tcW w:w="86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538</w:t>
            </w:r>
          </w:p>
        </w:tc>
        <w:tc>
          <w:tcPr>
            <w:tcW w:w="867"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93.200</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8.748</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10.084</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10.459</w:t>
            </w:r>
          </w:p>
        </w:tc>
        <w:tc>
          <w:tcPr>
            <w:tcW w:w="367"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p>
        </w:tc>
        <w:tc>
          <w:tcPr>
            <w:tcW w:w="1031"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36.353</w:t>
            </w:r>
          </w:p>
        </w:tc>
        <w:tc>
          <w:tcPr>
            <w:tcW w:w="1000"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36.619</w:t>
            </w:r>
          </w:p>
        </w:tc>
      </w:tr>
      <w:tr w:rsidR="00263D52" w:rsidRPr="00BF6F37" w:rsidTr="00263D52">
        <w:trPr>
          <w:trHeight w:val="300"/>
        </w:trPr>
        <w:tc>
          <w:tcPr>
            <w:tcW w:w="182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Estonya</w:t>
            </w:r>
          </w:p>
        </w:tc>
        <w:tc>
          <w:tcPr>
            <w:tcW w:w="463"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3</w:t>
            </w:r>
          </w:p>
        </w:tc>
        <w:tc>
          <w:tcPr>
            <w:tcW w:w="86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534</w:t>
            </w:r>
          </w:p>
        </w:tc>
        <w:tc>
          <w:tcPr>
            <w:tcW w:w="867"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63.858</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7.138</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7.009</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5.909</w:t>
            </w:r>
          </w:p>
        </w:tc>
        <w:tc>
          <w:tcPr>
            <w:tcW w:w="367"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p>
        </w:tc>
        <w:tc>
          <w:tcPr>
            <w:tcW w:w="1031"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27.090</w:t>
            </w:r>
          </w:p>
        </w:tc>
        <w:tc>
          <w:tcPr>
            <w:tcW w:w="1000"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28.140</w:t>
            </w:r>
          </w:p>
        </w:tc>
      </w:tr>
      <w:tr w:rsidR="00263D52" w:rsidRPr="00BF6F37" w:rsidTr="00263D52">
        <w:trPr>
          <w:trHeight w:val="300"/>
        </w:trPr>
        <w:tc>
          <w:tcPr>
            <w:tcW w:w="182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Taipei (Çin)</w:t>
            </w:r>
          </w:p>
        </w:tc>
        <w:tc>
          <w:tcPr>
            <w:tcW w:w="463"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4</w:t>
            </w:r>
          </w:p>
        </w:tc>
        <w:tc>
          <w:tcPr>
            <w:tcW w:w="86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532</w:t>
            </w:r>
          </w:p>
        </w:tc>
        <w:tc>
          <w:tcPr>
            <w:tcW w:w="867"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46.009</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4.652</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4.140</w:t>
            </w:r>
          </w:p>
        </w:tc>
        <w:tc>
          <w:tcPr>
            <w:tcW w:w="367"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p>
        </w:tc>
        <w:tc>
          <w:tcPr>
            <w:tcW w:w="1031"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21.916</w:t>
            </w:r>
          </w:p>
        </w:tc>
        <w:tc>
          <w:tcPr>
            <w:tcW w:w="1000"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22.648</w:t>
            </w:r>
          </w:p>
        </w:tc>
      </w:tr>
      <w:tr w:rsidR="00263D52" w:rsidRPr="00BF6F37" w:rsidTr="00263D52">
        <w:trPr>
          <w:trHeight w:val="300"/>
        </w:trPr>
        <w:tc>
          <w:tcPr>
            <w:tcW w:w="182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Finlandiya</w:t>
            </w:r>
          </w:p>
        </w:tc>
        <w:tc>
          <w:tcPr>
            <w:tcW w:w="463"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w:t>
            </w:r>
          </w:p>
        </w:tc>
        <w:tc>
          <w:tcPr>
            <w:tcW w:w="86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531</w:t>
            </w:r>
          </w:p>
        </w:tc>
        <w:tc>
          <w:tcPr>
            <w:tcW w:w="867"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101.527</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8.519</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13.312</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8.786</w:t>
            </w:r>
          </w:p>
        </w:tc>
        <w:tc>
          <w:tcPr>
            <w:tcW w:w="367"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p>
        </w:tc>
        <w:tc>
          <w:tcPr>
            <w:tcW w:w="1031" w:type="dxa"/>
            <w:tcBorders>
              <w:top w:val="nil"/>
              <w:left w:val="nil"/>
              <w:bottom w:val="nil"/>
              <w:right w:val="nil"/>
            </w:tcBorders>
            <w:shd w:val="clear" w:color="auto" w:fill="auto"/>
            <w:noWrap/>
            <w:vAlign w:val="bottom"/>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41.044</w:t>
            </w:r>
          </w:p>
        </w:tc>
        <w:tc>
          <w:tcPr>
            <w:tcW w:w="1000" w:type="dxa"/>
            <w:tcBorders>
              <w:top w:val="nil"/>
              <w:left w:val="nil"/>
              <w:bottom w:val="nil"/>
              <w:right w:val="nil"/>
            </w:tcBorders>
            <w:shd w:val="clear" w:color="auto" w:fill="auto"/>
            <w:noWrap/>
            <w:vAlign w:val="bottom"/>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40.676</w:t>
            </w:r>
          </w:p>
        </w:tc>
      </w:tr>
      <w:tr w:rsidR="00263D52" w:rsidRPr="00BF6F37" w:rsidTr="00263D52">
        <w:trPr>
          <w:trHeight w:val="300"/>
        </w:trPr>
        <w:tc>
          <w:tcPr>
            <w:tcW w:w="182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Makao (Çin)</w:t>
            </w:r>
          </w:p>
        </w:tc>
        <w:tc>
          <w:tcPr>
            <w:tcW w:w="463"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6</w:t>
            </w:r>
          </w:p>
        </w:tc>
        <w:tc>
          <w:tcPr>
            <w:tcW w:w="86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529</w:t>
            </w:r>
          </w:p>
        </w:tc>
        <w:tc>
          <w:tcPr>
            <w:tcW w:w="867"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367"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p>
        </w:tc>
        <w:tc>
          <w:tcPr>
            <w:tcW w:w="1031"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132.007</w:t>
            </w:r>
          </w:p>
        </w:tc>
        <w:tc>
          <w:tcPr>
            <w:tcW w:w="1000"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127.051</w:t>
            </w:r>
          </w:p>
        </w:tc>
      </w:tr>
      <w:tr w:rsidR="00263D52" w:rsidRPr="00BF6F37" w:rsidTr="00263D52">
        <w:trPr>
          <w:trHeight w:val="300"/>
        </w:trPr>
        <w:tc>
          <w:tcPr>
            <w:tcW w:w="182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Kanada</w:t>
            </w:r>
          </w:p>
        </w:tc>
        <w:tc>
          <w:tcPr>
            <w:tcW w:w="463"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7</w:t>
            </w:r>
          </w:p>
        </w:tc>
        <w:tc>
          <w:tcPr>
            <w:tcW w:w="86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528</w:t>
            </w:r>
          </w:p>
        </w:tc>
        <w:tc>
          <w:tcPr>
            <w:tcW w:w="867"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94.254</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9.130</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12.086</w:t>
            </w:r>
          </w:p>
        </w:tc>
        <w:tc>
          <w:tcPr>
            <w:tcW w:w="367"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p>
        </w:tc>
        <w:tc>
          <w:tcPr>
            <w:tcW w:w="1031"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42.460</w:t>
            </w:r>
          </w:p>
        </w:tc>
        <w:tc>
          <w:tcPr>
            <w:tcW w:w="1000"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45.066</w:t>
            </w:r>
          </w:p>
        </w:tc>
      </w:tr>
      <w:tr w:rsidR="00263D52" w:rsidRPr="00BF6F37" w:rsidTr="00263D52">
        <w:trPr>
          <w:trHeight w:val="300"/>
        </w:trPr>
        <w:tc>
          <w:tcPr>
            <w:tcW w:w="182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Vietnam</w:t>
            </w:r>
          </w:p>
        </w:tc>
        <w:tc>
          <w:tcPr>
            <w:tcW w:w="463"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8</w:t>
            </w:r>
          </w:p>
        </w:tc>
        <w:tc>
          <w:tcPr>
            <w:tcW w:w="86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525</w:t>
            </w:r>
          </w:p>
        </w:tc>
        <w:tc>
          <w:tcPr>
            <w:tcW w:w="867"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367"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p>
        </w:tc>
        <w:tc>
          <w:tcPr>
            <w:tcW w:w="1031"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5.291</w:t>
            </w:r>
          </w:p>
        </w:tc>
        <w:tc>
          <w:tcPr>
            <w:tcW w:w="1000"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5.629</w:t>
            </w:r>
          </w:p>
        </w:tc>
      </w:tr>
      <w:tr w:rsidR="00263D52" w:rsidRPr="00BF6F37" w:rsidTr="00263D52">
        <w:trPr>
          <w:trHeight w:val="300"/>
        </w:trPr>
        <w:tc>
          <w:tcPr>
            <w:tcW w:w="182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Hong Kong (Çin)</w:t>
            </w:r>
          </w:p>
        </w:tc>
        <w:tc>
          <w:tcPr>
            <w:tcW w:w="463"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9</w:t>
            </w:r>
          </w:p>
        </w:tc>
        <w:tc>
          <w:tcPr>
            <w:tcW w:w="86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523</w:t>
            </w:r>
          </w:p>
        </w:tc>
        <w:tc>
          <w:tcPr>
            <w:tcW w:w="867"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367"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p>
        </w:tc>
        <w:tc>
          <w:tcPr>
            <w:tcW w:w="1031"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53.149</w:t>
            </w:r>
          </w:p>
        </w:tc>
        <w:tc>
          <w:tcPr>
            <w:tcW w:w="1000"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55.195</w:t>
            </w:r>
          </w:p>
        </w:tc>
      </w:tr>
      <w:tr w:rsidR="00263D52" w:rsidRPr="00BF6F37" w:rsidTr="00263D52">
        <w:trPr>
          <w:trHeight w:val="300"/>
        </w:trPr>
        <w:tc>
          <w:tcPr>
            <w:tcW w:w="182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B-S-J-G (Çin)</w:t>
            </w:r>
          </w:p>
        </w:tc>
        <w:tc>
          <w:tcPr>
            <w:tcW w:w="463"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10</w:t>
            </w:r>
          </w:p>
        </w:tc>
        <w:tc>
          <w:tcPr>
            <w:tcW w:w="86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518</w:t>
            </w:r>
          </w:p>
        </w:tc>
        <w:tc>
          <w:tcPr>
            <w:tcW w:w="867"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367"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p>
        </w:tc>
        <w:tc>
          <w:tcPr>
            <w:tcW w:w="1031"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c>
          <w:tcPr>
            <w:tcW w:w="1000"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w:t>
            </w:r>
          </w:p>
        </w:tc>
      </w:tr>
      <w:tr w:rsidR="00263D52" w:rsidRPr="00BF6F37" w:rsidTr="00263D52">
        <w:trPr>
          <w:trHeight w:val="300"/>
        </w:trPr>
        <w:tc>
          <w:tcPr>
            <w:tcW w:w="182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Türkiye</w:t>
            </w:r>
          </w:p>
        </w:tc>
        <w:tc>
          <w:tcPr>
            <w:tcW w:w="463"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54</w:t>
            </w:r>
          </w:p>
        </w:tc>
        <w:tc>
          <w:tcPr>
            <w:tcW w:w="865"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425</w:t>
            </w:r>
          </w:p>
        </w:tc>
        <w:tc>
          <w:tcPr>
            <w:tcW w:w="867"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32.752</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2.894</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3.337</w:t>
            </w:r>
          </w:p>
        </w:tc>
        <w:tc>
          <w:tcPr>
            <w:tcW w:w="942"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3.914</w:t>
            </w:r>
          </w:p>
        </w:tc>
        <w:tc>
          <w:tcPr>
            <w:tcW w:w="367" w:type="dxa"/>
            <w:tcBorders>
              <w:top w:val="nil"/>
              <w:left w:val="nil"/>
              <w:bottom w:val="nil"/>
              <w:right w:val="nil"/>
            </w:tcBorders>
            <w:shd w:val="clear" w:color="auto" w:fill="auto"/>
            <w:noWrap/>
            <w:vAlign w:val="center"/>
            <w:hideMark/>
          </w:tcPr>
          <w:p w:rsidR="00263D52" w:rsidRPr="00BF6F37" w:rsidRDefault="00263D52" w:rsidP="00263D52">
            <w:pPr>
              <w:rPr>
                <w:rFonts w:ascii="Cambria" w:hAnsi="Cambria"/>
                <w:color w:val="000000"/>
                <w:sz w:val="20"/>
                <w:szCs w:val="20"/>
              </w:rPr>
            </w:pPr>
          </w:p>
        </w:tc>
        <w:tc>
          <w:tcPr>
            <w:tcW w:w="1031"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19.193</w:t>
            </w:r>
          </w:p>
        </w:tc>
        <w:tc>
          <w:tcPr>
            <w:tcW w:w="1000" w:type="dxa"/>
            <w:tcBorders>
              <w:top w:val="nil"/>
              <w:left w:val="nil"/>
              <w:bottom w:val="nil"/>
              <w:right w:val="nil"/>
            </w:tcBorders>
            <w:shd w:val="clear" w:color="auto" w:fill="auto"/>
            <w:noWrap/>
            <w:vAlign w:val="center"/>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19.788</w:t>
            </w:r>
          </w:p>
        </w:tc>
      </w:tr>
      <w:tr w:rsidR="00263D52" w:rsidRPr="00BF6F37" w:rsidTr="00263D52">
        <w:trPr>
          <w:trHeight w:val="315"/>
        </w:trPr>
        <w:tc>
          <w:tcPr>
            <w:tcW w:w="1825" w:type="dxa"/>
            <w:tcBorders>
              <w:top w:val="nil"/>
              <w:left w:val="nil"/>
              <w:bottom w:val="single" w:sz="8"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OECD</w:t>
            </w:r>
          </w:p>
        </w:tc>
        <w:tc>
          <w:tcPr>
            <w:tcW w:w="463" w:type="dxa"/>
            <w:tcBorders>
              <w:top w:val="nil"/>
              <w:left w:val="nil"/>
              <w:bottom w:val="single" w:sz="8"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w:t>
            </w:r>
          </w:p>
        </w:tc>
        <w:tc>
          <w:tcPr>
            <w:tcW w:w="865" w:type="dxa"/>
            <w:tcBorders>
              <w:top w:val="nil"/>
              <w:left w:val="nil"/>
              <w:bottom w:val="single" w:sz="8"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493</w:t>
            </w:r>
          </w:p>
        </w:tc>
        <w:tc>
          <w:tcPr>
            <w:tcW w:w="867" w:type="dxa"/>
            <w:tcBorders>
              <w:top w:val="nil"/>
              <w:left w:val="nil"/>
              <w:bottom w:val="single" w:sz="8"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w:t>
            </w:r>
          </w:p>
        </w:tc>
        <w:tc>
          <w:tcPr>
            <w:tcW w:w="942" w:type="dxa"/>
            <w:tcBorders>
              <w:top w:val="nil"/>
              <w:left w:val="nil"/>
              <w:bottom w:val="single" w:sz="8"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w:t>
            </w:r>
          </w:p>
        </w:tc>
        <w:tc>
          <w:tcPr>
            <w:tcW w:w="942" w:type="dxa"/>
            <w:tcBorders>
              <w:top w:val="nil"/>
              <w:left w:val="nil"/>
              <w:bottom w:val="single" w:sz="8"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w:t>
            </w:r>
          </w:p>
        </w:tc>
        <w:tc>
          <w:tcPr>
            <w:tcW w:w="942" w:type="dxa"/>
            <w:tcBorders>
              <w:top w:val="nil"/>
              <w:left w:val="nil"/>
              <w:bottom w:val="single" w:sz="8"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w:t>
            </w:r>
          </w:p>
        </w:tc>
        <w:tc>
          <w:tcPr>
            <w:tcW w:w="367" w:type="dxa"/>
            <w:tcBorders>
              <w:top w:val="nil"/>
              <w:left w:val="nil"/>
              <w:bottom w:val="single" w:sz="8"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w:t>
            </w:r>
          </w:p>
        </w:tc>
        <w:tc>
          <w:tcPr>
            <w:tcW w:w="1031" w:type="dxa"/>
            <w:tcBorders>
              <w:top w:val="nil"/>
              <w:left w:val="nil"/>
              <w:bottom w:val="single" w:sz="8"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w:t>
            </w:r>
          </w:p>
        </w:tc>
        <w:tc>
          <w:tcPr>
            <w:tcW w:w="1000" w:type="dxa"/>
            <w:tcBorders>
              <w:top w:val="nil"/>
              <w:left w:val="nil"/>
              <w:bottom w:val="single" w:sz="8" w:space="0" w:color="auto"/>
              <w:right w:val="nil"/>
            </w:tcBorders>
            <w:shd w:val="clear" w:color="auto" w:fill="auto"/>
            <w:noWrap/>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w:t>
            </w:r>
          </w:p>
        </w:tc>
      </w:tr>
      <w:tr w:rsidR="00263D52" w:rsidRPr="00BF6F37" w:rsidTr="00263D52">
        <w:trPr>
          <w:trHeight w:val="672"/>
        </w:trPr>
        <w:tc>
          <w:tcPr>
            <w:tcW w:w="9244" w:type="dxa"/>
            <w:gridSpan w:val="10"/>
            <w:tcBorders>
              <w:top w:val="single" w:sz="8" w:space="0" w:color="auto"/>
              <w:left w:val="nil"/>
              <w:bottom w:val="nil"/>
              <w:right w:val="nil"/>
            </w:tcBorders>
            <w:shd w:val="clear" w:color="auto" w:fill="auto"/>
            <w:vAlign w:val="center"/>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*Amerikan doları</w:t>
            </w:r>
            <w:r w:rsidRPr="00BF6F37">
              <w:rPr>
                <w:rFonts w:ascii="Cambria" w:hAnsi="Cambria"/>
                <w:color w:val="000000"/>
                <w:sz w:val="20"/>
                <w:szCs w:val="20"/>
              </w:rPr>
              <w:br/>
            </w:r>
            <w:r w:rsidRPr="00BF6F37">
              <w:rPr>
                <w:rFonts w:ascii="Cambria" w:hAnsi="Cambria"/>
                <w:i/>
                <w:color w:val="000000"/>
                <w:sz w:val="20"/>
                <w:szCs w:val="20"/>
              </w:rPr>
              <w:t>Kaynak:</w:t>
            </w:r>
            <w:hyperlink r:id="rId11" w:history="1">
              <w:r w:rsidRPr="00BF6F37">
                <w:rPr>
                  <w:rStyle w:val="Hyperlink"/>
                  <w:rFonts w:ascii="Cambria" w:hAnsi="Cambria"/>
                  <w:sz w:val="20"/>
                  <w:szCs w:val="20"/>
                </w:rPr>
                <w:t>http://gpseducation.oecd.org/IndicatorExplorer?query</w:t>
              </w:r>
            </w:hyperlink>
            <w:r w:rsidRPr="00BF6F37">
              <w:rPr>
                <w:rFonts w:ascii="Cambria" w:hAnsi="Cambria"/>
                <w:color w:val="000000"/>
                <w:sz w:val="20"/>
                <w:szCs w:val="20"/>
              </w:rPr>
              <w:t xml:space="preserve">   (Tablo: II.6.58 ve Tablo: II.6.54)</w:t>
            </w:r>
          </w:p>
        </w:tc>
      </w:tr>
    </w:tbl>
    <w:p w:rsidR="00263D52" w:rsidRPr="00BF6F37" w:rsidRDefault="00BF6F37" w:rsidP="00D23E56">
      <w:pPr>
        <w:pStyle w:val="Heading4"/>
        <w:spacing w:before="120" w:after="120"/>
        <w:ind w:firstLine="567"/>
        <w:contextualSpacing/>
        <w:jc w:val="both"/>
        <w:rPr>
          <w:rFonts w:ascii="Cambria" w:hAnsi="Cambria" w:cs="Times New Roman"/>
          <w:i w:val="0"/>
          <w:color w:val="auto"/>
        </w:rPr>
      </w:pPr>
      <w:r w:rsidRPr="00BF6F37">
        <w:rPr>
          <w:rFonts w:ascii="Cambria" w:hAnsi="Cambria" w:cs="Times New Roman"/>
          <w:i w:val="0"/>
          <w:color w:val="auto"/>
        </w:rPr>
        <w:lastRenderedPageBreak/>
        <w:t>Tablo 2</w:t>
      </w:r>
      <w:r w:rsidR="00263D52" w:rsidRPr="00BF6F37">
        <w:rPr>
          <w:rFonts w:ascii="Cambria" w:hAnsi="Cambria" w:cs="Times New Roman"/>
          <w:i w:val="0"/>
          <w:color w:val="auto"/>
        </w:rPr>
        <w:t xml:space="preserve">’de görüldüğü gibi PISA 2015 sınavında en başarılı 10 ülke ve Türkiye’nin 6-15 yaş grubu öğrenci başına yıllık ve toplam harcamalarında önemli farklılıklar bulunmaktadır. Bu veriler ışığında, belli bir miktarda yapılan harcamanın başarıyı getirme ihtimalinin yüksek olduğu ancak daha yüksek miktardaki finansal harcamanın başarı için kesin çözüm olmadığı söylenebilir. Örneğin, Taipei’nin iki katından fazla harcama yapan Finlandiya, fen performansı bağlamında bu ülkenin gerisinde kalmıştır.  Aynı şekilde, Japonya ve Estonya’ya göre daha fazla finansal harcama yapmasına rağmen Finlandiya’nın fen performansı, bu ülkelere göre daha düşüktür. Diğer yandan gayri safi yurt içi hasılası 50 bin doların altında bulunan ülkelerin yaptıkları finansal harcamalar, daha yüksek performans olarak geri dönerken, GSMH’si 50 bin dolar üzerinde olan ülkelerin daha yüksek miktarda yaptıkları harcamalar performansı bir üst seviyeye taşımamaktadır. Bu noktada uç değerlere yakınlaştıkça finansal harcama ile performans arasındaki ilişkinin zayıfladığı ve öğrenci performansını etkileyen diğer değişkenlerin gündeme geldiği söylenebilir (OECD, 2016). </w:t>
      </w:r>
    </w:p>
    <w:p w:rsidR="00BF6F37" w:rsidRDefault="00263D52" w:rsidP="00D23E56">
      <w:pPr>
        <w:pStyle w:val="Heading4"/>
        <w:spacing w:before="120" w:after="120"/>
        <w:ind w:firstLine="567"/>
        <w:contextualSpacing/>
        <w:jc w:val="both"/>
        <w:rPr>
          <w:rFonts w:ascii="Cambria" w:hAnsi="Cambria" w:cs="Times New Roman"/>
          <w:i w:val="0"/>
          <w:color w:val="auto"/>
        </w:rPr>
      </w:pPr>
      <w:r w:rsidRPr="00BF6F37">
        <w:rPr>
          <w:rFonts w:ascii="Cambria" w:hAnsi="Cambria" w:cs="Times New Roman"/>
          <w:i w:val="0"/>
          <w:color w:val="auto"/>
        </w:rPr>
        <w:t>Okul kaynaklarında, okulların yardımcı kitap, kütüphane, B</w:t>
      </w:r>
      <w:r w:rsidR="00597E29">
        <w:rPr>
          <w:rFonts w:ascii="Cambria" w:hAnsi="Cambria" w:cs="Times New Roman"/>
          <w:i w:val="0"/>
          <w:color w:val="auto"/>
        </w:rPr>
        <w:t xml:space="preserve">ilişim </w:t>
      </w:r>
      <w:r w:rsidRPr="00BF6F37">
        <w:rPr>
          <w:rFonts w:ascii="Cambria" w:hAnsi="Cambria" w:cs="Times New Roman"/>
          <w:i w:val="0"/>
          <w:color w:val="auto"/>
        </w:rPr>
        <w:t>T</w:t>
      </w:r>
      <w:r w:rsidR="00597E29">
        <w:rPr>
          <w:rFonts w:ascii="Cambria" w:hAnsi="Cambria" w:cs="Times New Roman"/>
          <w:i w:val="0"/>
          <w:color w:val="auto"/>
        </w:rPr>
        <w:t>eknolojileri (BT) sınıfı ve laboratu</w:t>
      </w:r>
      <w:r w:rsidRPr="00BF6F37">
        <w:rPr>
          <w:rFonts w:ascii="Cambria" w:hAnsi="Cambria" w:cs="Times New Roman"/>
          <w:i w:val="0"/>
          <w:color w:val="auto"/>
        </w:rPr>
        <w:t>ar gibi öğretim materyallerinin yeterlik durumuna ilişk</w:t>
      </w:r>
      <w:r w:rsidR="00BF6F37">
        <w:rPr>
          <w:rFonts w:ascii="Cambria" w:hAnsi="Cambria" w:cs="Times New Roman"/>
          <w:i w:val="0"/>
          <w:color w:val="auto"/>
        </w:rPr>
        <w:t>in bilgiler Tablo 3’t</w:t>
      </w:r>
      <w:r w:rsidRPr="00BF6F37">
        <w:rPr>
          <w:rFonts w:ascii="Cambria" w:hAnsi="Cambria" w:cs="Times New Roman"/>
          <w:i w:val="0"/>
          <w:color w:val="auto"/>
        </w:rPr>
        <w:t>e sunulmuştur. Söz konusu bilgiler, PISA 2015 programı kapsamında örnekleme alınan okulların okul müdürlerinden toplanmıştır.</w:t>
      </w:r>
    </w:p>
    <w:tbl>
      <w:tblPr>
        <w:tblW w:w="9518" w:type="dxa"/>
        <w:tblInd w:w="55" w:type="dxa"/>
        <w:tblCellMar>
          <w:left w:w="70" w:type="dxa"/>
          <w:right w:w="70" w:type="dxa"/>
        </w:tblCellMar>
        <w:tblLook w:val="04A0" w:firstRow="1" w:lastRow="0" w:firstColumn="1" w:lastColumn="0" w:noHBand="0" w:noVBand="1"/>
      </w:tblPr>
      <w:tblGrid>
        <w:gridCol w:w="2850"/>
        <w:gridCol w:w="567"/>
        <w:gridCol w:w="993"/>
        <w:gridCol w:w="850"/>
        <w:gridCol w:w="709"/>
        <w:gridCol w:w="142"/>
        <w:gridCol w:w="838"/>
        <w:gridCol w:w="928"/>
        <w:gridCol w:w="802"/>
        <w:gridCol w:w="839"/>
      </w:tblGrid>
      <w:tr w:rsidR="00263D52" w:rsidRPr="00BF6F37" w:rsidTr="003014FB">
        <w:trPr>
          <w:trHeight w:val="255"/>
        </w:trPr>
        <w:tc>
          <w:tcPr>
            <w:tcW w:w="9518" w:type="dxa"/>
            <w:gridSpan w:val="10"/>
            <w:tcBorders>
              <w:top w:val="nil"/>
              <w:left w:val="nil"/>
              <w:bottom w:val="single" w:sz="4" w:space="0" w:color="auto"/>
              <w:right w:val="nil"/>
            </w:tcBorders>
            <w:shd w:val="clear" w:color="auto" w:fill="auto"/>
            <w:noWrap/>
            <w:hideMark/>
          </w:tcPr>
          <w:bookmarkEnd w:id="0"/>
          <w:bookmarkEnd w:id="1"/>
          <w:bookmarkEnd w:id="2"/>
          <w:p w:rsidR="00263D52" w:rsidRPr="00BF6F37" w:rsidRDefault="00BF6F37" w:rsidP="00C84CED">
            <w:pPr>
              <w:spacing w:after="120"/>
              <w:rPr>
                <w:rFonts w:ascii="Cambria" w:hAnsi="Cambria"/>
                <w:color w:val="000000"/>
                <w:sz w:val="20"/>
                <w:szCs w:val="20"/>
              </w:rPr>
            </w:pPr>
            <w:r>
              <w:rPr>
                <w:rFonts w:ascii="Cambria" w:hAnsi="Cambria"/>
                <w:b/>
                <w:color w:val="000000"/>
                <w:sz w:val="20"/>
                <w:szCs w:val="20"/>
              </w:rPr>
              <w:t>Tablo 3</w:t>
            </w:r>
            <w:r w:rsidR="00263D52" w:rsidRPr="00BF6F37">
              <w:rPr>
                <w:rFonts w:ascii="Cambria" w:hAnsi="Cambria"/>
                <w:b/>
                <w:color w:val="000000"/>
                <w:sz w:val="20"/>
                <w:szCs w:val="20"/>
              </w:rPr>
              <w:t>.</w:t>
            </w:r>
            <w:r w:rsidR="00263D52" w:rsidRPr="00BF6F37">
              <w:rPr>
                <w:rFonts w:ascii="Cambria" w:hAnsi="Cambria"/>
                <w:i/>
                <w:color w:val="000000"/>
                <w:sz w:val="20"/>
                <w:szCs w:val="20"/>
              </w:rPr>
              <w:t xml:space="preserve"> Öğretim materyallerinin okulların sosyo ekonomik düzeylerine göre durumu</w:t>
            </w:r>
          </w:p>
        </w:tc>
      </w:tr>
      <w:tr w:rsidR="00263D52" w:rsidRPr="00BF6F37" w:rsidTr="003014FB">
        <w:trPr>
          <w:trHeight w:val="255"/>
        </w:trPr>
        <w:tc>
          <w:tcPr>
            <w:tcW w:w="2850" w:type="dxa"/>
            <w:tcBorders>
              <w:top w:val="single" w:sz="4" w:space="0" w:color="auto"/>
              <w:left w:val="nil"/>
              <w:bottom w:val="single" w:sz="4" w:space="0" w:color="auto"/>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Ülke</w:t>
            </w:r>
          </w:p>
        </w:tc>
        <w:tc>
          <w:tcPr>
            <w:tcW w:w="1560" w:type="dxa"/>
            <w:gridSpan w:val="2"/>
            <w:tcBorders>
              <w:top w:val="single" w:sz="4" w:space="0" w:color="auto"/>
              <w:left w:val="nil"/>
              <w:bottom w:val="single" w:sz="4" w:space="0" w:color="auto"/>
              <w:right w:val="nil"/>
            </w:tcBorders>
            <w:shd w:val="clear" w:color="auto" w:fill="auto"/>
            <w:noWrap/>
            <w:hideMark/>
          </w:tcPr>
          <w:p w:rsidR="00263D52" w:rsidRPr="00BF6F37" w:rsidRDefault="00263D52" w:rsidP="00263D52">
            <w:pPr>
              <w:rPr>
                <w:rFonts w:ascii="Cambria" w:hAnsi="Cambria"/>
                <w:color w:val="000000"/>
                <w:sz w:val="20"/>
                <w:szCs w:val="20"/>
              </w:rPr>
            </w:pPr>
            <w:proofErr w:type="gramStart"/>
            <w:r w:rsidRPr="00BF6F37">
              <w:rPr>
                <w:rFonts w:ascii="Cambria" w:hAnsi="Cambria"/>
                <w:color w:val="000000"/>
                <w:sz w:val="20"/>
                <w:szCs w:val="20"/>
              </w:rPr>
              <w:t>Yeterli   Kısmen</w:t>
            </w:r>
            <w:proofErr w:type="gramEnd"/>
          </w:p>
        </w:tc>
        <w:tc>
          <w:tcPr>
            <w:tcW w:w="1701" w:type="dxa"/>
            <w:gridSpan w:val="3"/>
            <w:tcBorders>
              <w:top w:val="single" w:sz="4" w:space="0" w:color="auto"/>
              <w:left w:val="nil"/>
              <w:bottom w:val="single" w:sz="4" w:space="0" w:color="auto"/>
              <w:right w:val="nil"/>
            </w:tcBorders>
            <w:shd w:val="clear" w:color="auto" w:fill="auto"/>
            <w:noWrap/>
            <w:hideMark/>
          </w:tcPr>
          <w:p w:rsidR="00263D52" w:rsidRPr="00BF6F37" w:rsidRDefault="00263D52" w:rsidP="00263D52">
            <w:pPr>
              <w:rPr>
                <w:rFonts w:ascii="Cambria" w:hAnsi="Cambria"/>
                <w:color w:val="000000"/>
                <w:sz w:val="20"/>
                <w:szCs w:val="20"/>
              </w:rPr>
            </w:pPr>
            <w:proofErr w:type="gramStart"/>
            <w:r w:rsidRPr="00BF6F37">
              <w:rPr>
                <w:rFonts w:ascii="Cambria" w:hAnsi="Cambria"/>
                <w:color w:val="000000"/>
                <w:sz w:val="20"/>
                <w:szCs w:val="20"/>
              </w:rPr>
              <w:t>Biraz     Yetersiz</w:t>
            </w:r>
            <w:proofErr w:type="gramEnd"/>
          </w:p>
        </w:tc>
        <w:tc>
          <w:tcPr>
            <w:tcW w:w="1766" w:type="dxa"/>
            <w:gridSpan w:val="2"/>
            <w:tcBorders>
              <w:top w:val="single" w:sz="4" w:space="0" w:color="auto"/>
              <w:left w:val="nil"/>
              <w:bottom w:val="single" w:sz="4" w:space="0" w:color="auto"/>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SED</w:t>
            </w:r>
            <w:r w:rsidR="00597E29">
              <w:rPr>
                <w:rFonts w:ascii="Cambria" w:hAnsi="Cambria"/>
                <w:color w:val="000000"/>
                <w:sz w:val="20"/>
                <w:szCs w:val="20"/>
              </w:rPr>
              <w:t>**</w:t>
            </w:r>
            <w:proofErr w:type="gramStart"/>
            <w:r w:rsidRPr="00BF6F37">
              <w:rPr>
                <w:rFonts w:ascii="Cambria" w:hAnsi="Cambria"/>
                <w:color w:val="000000"/>
                <w:sz w:val="20"/>
                <w:szCs w:val="20"/>
              </w:rPr>
              <w:t>1         SED</w:t>
            </w:r>
            <w:proofErr w:type="gramEnd"/>
            <w:r w:rsidRPr="00BF6F37">
              <w:rPr>
                <w:rFonts w:ascii="Cambria" w:hAnsi="Cambria"/>
                <w:color w:val="000000"/>
                <w:sz w:val="20"/>
                <w:szCs w:val="20"/>
              </w:rPr>
              <w:t xml:space="preserve"> 2</w:t>
            </w:r>
          </w:p>
        </w:tc>
        <w:tc>
          <w:tcPr>
            <w:tcW w:w="1641" w:type="dxa"/>
            <w:gridSpan w:val="2"/>
            <w:tcBorders>
              <w:top w:val="single" w:sz="4" w:space="0" w:color="auto"/>
              <w:left w:val="nil"/>
              <w:bottom w:val="single" w:sz="4" w:space="0" w:color="auto"/>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SED </w:t>
            </w:r>
            <w:proofErr w:type="gramStart"/>
            <w:r w:rsidRPr="00BF6F37">
              <w:rPr>
                <w:rFonts w:ascii="Cambria" w:hAnsi="Cambria"/>
                <w:color w:val="000000"/>
                <w:sz w:val="20"/>
                <w:szCs w:val="20"/>
              </w:rPr>
              <w:t>3     SED</w:t>
            </w:r>
            <w:proofErr w:type="gramEnd"/>
            <w:r w:rsidRPr="00BF6F37">
              <w:rPr>
                <w:rFonts w:ascii="Cambria" w:hAnsi="Cambria"/>
                <w:color w:val="000000"/>
                <w:sz w:val="20"/>
                <w:szCs w:val="20"/>
              </w:rPr>
              <w:t xml:space="preserve"> 4</w:t>
            </w:r>
          </w:p>
        </w:tc>
      </w:tr>
      <w:tr w:rsidR="00263D52" w:rsidRPr="00BF6F37" w:rsidTr="003014FB">
        <w:trPr>
          <w:trHeight w:val="596"/>
        </w:trPr>
        <w:tc>
          <w:tcPr>
            <w:tcW w:w="2850" w:type="dxa"/>
            <w:tcBorders>
              <w:top w:val="single" w:sz="4" w:space="0" w:color="auto"/>
              <w:left w:val="nil"/>
              <w:bottom w:val="single" w:sz="4" w:space="0" w:color="auto"/>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w:t>
            </w:r>
          </w:p>
        </w:tc>
        <w:tc>
          <w:tcPr>
            <w:tcW w:w="567" w:type="dxa"/>
            <w:tcBorders>
              <w:top w:val="single" w:sz="4" w:space="0" w:color="auto"/>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w:t>
            </w:r>
          </w:p>
        </w:tc>
        <w:tc>
          <w:tcPr>
            <w:tcW w:w="993" w:type="dxa"/>
            <w:tcBorders>
              <w:top w:val="single" w:sz="4" w:space="0" w:color="auto"/>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w:t>
            </w:r>
          </w:p>
        </w:tc>
        <w:tc>
          <w:tcPr>
            <w:tcW w:w="850" w:type="dxa"/>
            <w:tcBorders>
              <w:top w:val="single" w:sz="4" w:space="0" w:color="auto"/>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w:t>
            </w:r>
          </w:p>
        </w:tc>
        <w:tc>
          <w:tcPr>
            <w:tcW w:w="709" w:type="dxa"/>
            <w:tcBorders>
              <w:top w:val="single" w:sz="4" w:space="0" w:color="auto"/>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w:t>
            </w:r>
          </w:p>
        </w:tc>
        <w:tc>
          <w:tcPr>
            <w:tcW w:w="980" w:type="dxa"/>
            <w:gridSpan w:val="2"/>
            <w:tcBorders>
              <w:top w:val="single" w:sz="4" w:space="0" w:color="auto"/>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Ort. İndeks*</w:t>
            </w:r>
          </w:p>
        </w:tc>
        <w:tc>
          <w:tcPr>
            <w:tcW w:w="928" w:type="dxa"/>
            <w:tcBorders>
              <w:top w:val="single" w:sz="4" w:space="0" w:color="auto"/>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Ort. İndeks*</w:t>
            </w:r>
          </w:p>
        </w:tc>
        <w:tc>
          <w:tcPr>
            <w:tcW w:w="802" w:type="dxa"/>
            <w:tcBorders>
              <w:top w:val="single" w:sz="4" w:space="0" w:color="auto"/>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Ort. İndeks*</w:t>
            </w:r>
          </w:p>
        </w:tc>
        <w:tc>
          <w:tcPr>
            <w:tcW w:w="839" w:type="dxa"/>
            <w:tcBorders>
              <w:top w:val="single" w:sz="4" w:space="0" w:color="auto"/>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Ort. İndeks*</w:t>
            </w:r>
          </w:p>
        </w:tc>
      </w:tr>
      <w:tr w:rsidR="00263D52" w:rsidRPr="00BF6F37" w:rsidTr="003014FB">
        <w:trPr>
          <w:trHeight w:val="255"/>
        </w:trPr>
        <w:tc>
          <w:tcPr>
            <w:tcW w:w="2850" w:type="dxa"/>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Singapur</w:t>
            </w:r>
          </w:p>
        </w:tc>
        <w:tc>
          <w:tcPr>
            <w:tcW w:w="567"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85.4</w:t>
            </w:r>
          </w:p>
        </w:tc>
        <w:tc>
          <w:tcPr>
            <w:tcW w:w="993"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14.6</w:t>
            </w:r>
          </w:p>
        </w:tc>
        <w:tc>
          <w:tcPr>
            <w:tcW w:w="850"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w:t>
            </w:r>
          </w:p>
        </w:tc>
        <w:tc>
          <w:tcPr>
            <w:tcW w:w="70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w:t>
            </w:r>
          </w:p>
        </w:tc>
        <w:tc>
          <w:tcPr>
            <w:tcW w:w="980" w:type="dxa"/>
            <w:gridSpan w:val="2"/>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-0.62</w:t>
            </w:r>
          </w:p>
        </w:tc>
        <w:tc>
          <w:tcPr>
            <w:tcW w:w="928"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-0.66</w:t>
            </w:r>
          </w:p>
        </w:tc>
        <w:tc>
          <w:tcPr>
            <w:tcW w:w="802" w:type="dxa"/>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-0.81</w:t>
            </w:r>
          </w:p>
        </w:tc>
        <w:tc>
          <w:tcPr>
            <w:tcW w:w="83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-0.85</w:t>
            </w:r>
          </w:p>
        </w:tc>
      </w:tr>
      <w:tr w:rsidR="00263D52" w:rsidRPr="00BF6F37" w:rsidTr="003014FB">
        <w:trPr>
          <w:trHeight w:val="255"/>
        </w:trPr>
        <w:tc>
          <w:tcPr>
            <w:tcW w:w="2850" w:type="dxa"/>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Japonya</w:t>
            </w:r>
          </w:p>
        </w:tc>
        <w:tc>
          <w:tcPr>
            <w:tcW w:w="567"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5.7</w:t>
            </w:r>
          </w:p>
        </w:tc>
        <w:tc>
          <w:tcPr>
            <w:tcW w:w="993"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29</w:t>
            </w:r>
          </w:p>
        </w:tc>
        <w:tc>
          <w:tcPr>
            <w:tcW w:w="850"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50.4</w:t>
            </w:r>
          </w:p>
        </w:tc>
        <w:tc>
          <w:tcPr>
            <w:tcW w:w="70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14.9</w:t>
            </w:r>
          </w:p>
        </w:tc>
        <w:tc>
          <w:tcPr>
            <w:tcW w:w="980" w:type="dxa"/>
            <w:gridSpan w:val="2"/>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0.98</w:t>
            </w:r>
          </w:p>
        </w:tc>
        <w:tc>
          <w:tcPr>
            <w:tcW w:w="928"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0.86</w:t>
            </w:r>
          </w:p>
        </w:tc>
        <w:tc>
          <w:tcPr>
            <w:tcW w:w="802" w:type="dxa"/>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0.69</w:t>
            </w:r>
          </w:p>
        </w:tc>
        <w:tc>
          <w:tcPr>
            <w:tcW w:w="83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0.36</w:t>
            </w:r>
          </w:p>
        </w:tc>
      </w:tr>
      <w:tr w:rsidR="00263D52" w:rsidRPr="00BF6F37" w:rsidTr="003014FB">
        <w:trPr>
          <w:trHeight w:val="255"/>
        </w:trPr>
        <w:tc>
          <w:tcPr>
            <w:tcW w:w="2850" w:type="dxa"/>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Estonya</w:t>
            </w:r>
          </w:p>
        </w:tc>
        <w:tc>
          <w:tcPr>
            <w:tcW w:w="567"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16.6</w:t>
            </w:r>
          </w:p>
        </w:tc>
        <w:tc>
          <w:tcPr>
            <w:tcW w:w="993"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34.9</w:t>
            </w:r>
          </w:p>
        </w:tc>
        <w:tc>
          <w:tcPr>
            <w:tcW w:w="850"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41.8</w:t>
            </w:r>
          </w:p>
        </w:tc>
        <w:tc>
          <w:tcPr>
            <w:tcW w:w="70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6.6</w:t>
            </w:r>
          </w:p>
        </w:tc>
        <w:tc>
          <w:tcPr>
            <w:tcW w:w="980" w:type="dxa"/>
            <w:gridSpan w:val="2"/>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-0.03</w:t>
            </w:r>
          </w:p>
        </w:tc>
        <w:tc>
          <w:tcPr>
            <w:tcW w:w="928"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-0.07</w:t>
            </w:r>
          </w:p>
        </w:tc>
        <w:tc>
          <w:tcPr>
            <w:tcW w:w="802" w:type="dxa"/>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0.09</w:t>
            </w:r>
          </w:p>
        </w:tc>
        <w:tc>
          <w:tcPr>
            <w:tcW w:w="83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0.22</w:t>
            </w:r>
          </w:p>
        </w:tc>
      </w:tr>
      <w:tr w:rsidR="00263D52" w:rsidRPr="00BF6F37" w:rsidTr="003014FB">
        <w:trPr>
          <w:trHeight w:val="255"/>
        </w:trPr>
        <w:tc>
          <w:tcPr>
            <w:tcW w:w="2850" w:type="dxa"/>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Taipei - Çin</w:t>
            </w:r>
          </w:p>
        </w:tc>
        <w:tc>
          <w:tcPr>
            <w:tcW w:w="567"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37.8</w:t>
            </w:r>
          </w:p>
        </w:tc>
        <w:tc>
          <w:tcPr>
            <w:tcW w:w="993"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47.6</w:t>
            </w:r>
          </w:p>
        </w:tc>
        <w:tc>
          <w:tcPr>
            <w:tcW w:w="850"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13.9</w:t>
            </w:r>
          </w:p>
        </w:tc>
        <w:tc>
          <w:tcPr>
            <w:tcW w:w="70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0.7</w:t>
            </w:r>
          </w:p>
        </w:tc>
        <w:tc>
          <w:tcPr>
            <w:tcW w:w="980" w:type="dxa"/>
            <w:gridSpan w:val="2"/>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-0.03</w:t>
            </w:r>
          </w:p>
        </w:tc>
        <w:tc>
          <w:tcPr>
            <w:tcW w:w="928"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0.09</w:t>
            </w:r>
          </w:p>
        </w:tc>
        <w:tc>
          <w:tcPr>
            <w:tcW w:w="802" w:type="dxa"/>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-0.07</w:t>
            </w:r>
          </w:p>
        </w:tc>
        <w:tc>
          <w:tcPr>
            <w:tcW w:w="83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-0.03</w:t>
            </w:r>
          </w:p>
        </w:tc>
      </w:tr>
      <w:tr w:rsidR="00263D52" w:rsidRPr="00BF6F37" w:rsidTr="003014FB">
        <w:trPr>
          <w:trHeight w:val="255"/>
        </w:trPr>
        <w:tc>
          <w:tcPr>
            <w:tcW w:w="2850" w:type="dxa"/>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Finlandiya</w:t>
            </w:r>
          </w:p>
        </w:tc>
        <w:tc>
          <w:tcPr>
            <w:tcW w:w="567"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18.5</w:t>
            </w:r>
          </w:p>
        </w:tc>
        <w:tc>
          <w:tcPr>
            <w:tcW w:w="993"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40.3</w:t>
            </w:r>
          </w:p>
        </w:tc>
        <w:tc>
          <w:tcPr>
            <w:tcW w:w="850"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38.7</w:t>
            </w:r>
          </w:p>
        </w:tc>
        <w:tc>
          <w:tcPr>
            <w:tcW w:w="70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2.5</w:t>
            </w:r>
          </w:p>
        </w:tc>
        <w:tc>
          <w:tcPr>
            <w:tcW w:w="980" w:type="dxa"/>
            <w:gridSpan w:val="2"/>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0.09</w:t>
            </w:r>
          </w:p>
        </w:tc>
        <w:tc>
          <w:tcPr>
            <w:tcW w:w="928"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0.14</w:t>
            </w:r>
          </w:p>
        </w:tc>
        <w:tc>
          <w:tcPr>
            <w:tcW w:w="802" w:type="dxa"/>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0.11</w:t>
            </w:r>
          </w:p>
        </w:tc>
        <w:tc>
          <w:tcPr>
            <w:tcW w:w="83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0.03</w:t>
            </w:r>
          </w:p>
        </w:tc>
      </w:tr>
      <w:tr w:rsidR="00263D52" w:rsidRPr="00BF6F37" w:rsidTr="003014FB">
        <w:trPr>
          <w:trHeight w:val="255"/>
        </w:trPr>
        <w:tc>
          <w:tcPr>
            <w:tcW w:w="2850" w:type="dxa"/>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Makao (Çin)</w:t>
            </w:r>
          </w:p>
        </w:tc>
        <w:tc>
          <w:tcPr>
            <w:tcW w:w="567"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42.4</w:t>
            </w:r>
          </w:p>
        </w:tc>
        <w:tc>
          <w:tcPr>
            <w:tcW w:w="993"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29.8</w:t>
            </w:r>
          </w:p>
        </w:tc>
        <w:tc>
          <w:tcPr>
            <w:tcW w:w="850"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19.9</w:t>
            </w:r>
          </w:p>
        </w:tc>
        <w:tc>
          <w:tcPr>
            <w:tcW w:w="70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7.9</w:t>
            </w:r>
          </w:p>
        </w:tc>
        <w:tc>
          <w:tcPr>
            <w:tcW w:w="980" w:type="dxa"/>
            <w:gridSpan w:val="2"/>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1.11</w:t>
            </w:r>
          </w:p>
        </w:tc>
        <w:tc>
          <w:tcPr>
            <w:tcW w:w="928"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0.31</w:t>
            </w:r>
          </w:p>
        </w:tc>
        <w:tc>
          <w:tcPr>
            <w:tcW w:w="802" w:type="dxa"/>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-0.11</w:t>
            </w:r>
          </w:p>
        </w:tc>
        <w:tc>
          <w:tcPr>
            <w:tcW w:w="83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-0.52</w:t>
            </w:r>
          </w:p>
        </w:tc>
      </w:tr>
      <w:tr w:rsidR="00263D52" w:rsidRPr="00BF6F37" w:rsidTr="003014FB">
        <w:trPr>
          <w:trHeight w:val="255"/>
        </w:trPr>
        <w:tc>
          <w:tcPr>
            <w:tcW w:w="2850" w:type="dxa"/>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Kanada</w:t>
            </w:r>
          </w:p>
        </w:tc>
        <w:tc>
          <w:tcPr>
            <w:tcW w:w="567"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44.5</w:t>
            </w:r>
          </w:p>
        </w:tc>
        <w:tc>
          <w:tcPr>
            <w:tcW w:w="993"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39</w:t>
            </w:r>
          </w:p>
        </w:tc>
        <w:tc>
          <w:tcPr>
            <w:tcW w:w="850"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14.8</w:t>
            </w:r>
          </w:p>
        </w:tc>
        <w:tc>
          <w:tcPr>
            <w:tcW w:w="70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1.8</w:t>
            </w:r>
          </w:p>
        </w:tc>
        <w:tc>
          <w:tcPr>
            <w:tcW w:w="980" w:type="dxa"/>
            <w:gridSpan w:val="2"/>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-0.46</w:t>
            </w:r>
          </w:p>
        </w:tc>
        <w:tc>
          <w:tcPr>
            <w:tcW w:w="928"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-0.47</w:t>
            </w:r>
          </w:p>
        </w:tc>
        <w:tc>
          <w:tcPr>
            <w:tcW w:w="802" w:type="dxa"/>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-0.33</w:t>
            </w:r>
          </w:p>
        </w:tc>
        <w:tc>
          <w:tcPr>
            <w:tcW w:w="83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-0.61</w:t>
            </w:r>
          </w:p>
        </w:tc>
      </w:tr>
      <w:tr w:rsidR="00263D52" w:rsidRPr="00BF6F37" w:rsidTr="003014FB">
        <w:trPr>
          <w:trHeight w:val="255"/>
        </w:trPr>
        <w:tc>
          <w:tcPr>
            <w:tcW w:w="2850" w:type="dxa"/>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Vietnam</w:t>
            </w:r>
          </w:p>
        </w:tc>
        <w:tc>
          <w:tcPr>
            <w:tcW w:w="567"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28.6</w:t>
            </w:r>
          </w:p>
        </w:tc>
        <w:tc>
          <w:tcPr>
            <w:tcW w:w="993"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24.7</w:t>
            </w:r>
          </w:p>
        </w:tc>
        <w:tc>
          <w:tcPr>
            <w:tcW w:w="850"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34.5</w:t>
            </w:r>
          </w:p>
        </w:tc>
        <w:tc>
          <w:tcPr>
            <w:tcW w:w="70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12.3</w:t>
            </w:r>
          </w:p>
        </w:tc>
        <w:tc>
          <w:tcPr>
            <w:tcW w:w="980" w:type="dxa"/>
            <w:gridSpan w:val="2"/>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0.37</w:t>
            </w:r>
          </w:p>
        </w:tc>
        <w:tc>
          <w:tcPr>
            <w:tcW w:w="928"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0.45</w:t>
            </w:r>
          </w:p>
        </w:tc>
        <w:tc>
          <w:tcPr>
            <w:tcW w:w="802" w:type="dxa"/>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0.61</w:t>
            </w:r>
          </w:p>
        </w:tc>
        <w:tc>
          <w:tcPr>
            <w:tcW w:w="83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0.12</w:t>
            </w:r>
          </w:p>
        </w:tc>
      </w:tr>
      <w:tr w:rsidR="00263D52" w:rsidRPr="00BF6F37" w:rsidTr="003014FB">
        <w:trPr>
          <w:trHeight w:val="255"/>
        </w:trPr>
        <w:tc>
          <w:tcPr>
            <w:tcW w:w="2850" w:type="dxa"/>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Hong Kong (Çin)</w:t>
            </w:r>
          </w:p>
        </w:tc>
        <w:tc>
          <w:tcPr>
            <w:tcW w:w="567"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40.1</w:t>
            </w:r>
          </w:p>
        </w:tc>
        <w:tc>
          <w:tcPr>
            <w:tcW w:w="993"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45.1</w:t>
            </w:r>
          </w:p>
        </w:tc>
        <w:tc>
          <w:tcPr>
            <w:tcW w:w="850"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14.1</w:t>
            </w:r>
          </w:p>
        </w:tc>
        <w:tc>
          <w:tcPr>
            <w:tcW w:w="70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0.7</w:t>
            </w:r>
          </w:p>
        </w:tc>
        <w:tc>
          <w:tcPr>
            <w:tcW w:w="980" w:type="dxa"/>
            <w:gridSpan w:val="2"/>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-0.15</w:t>
            </w:r>
          </w:p>
        </w:tc>
        <w:tc>
          <w:tcPr>
            <w:tcW w:w="928"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-0.41</w:t>
            </w:r>
          </w:p>
        </w:tc>
        <w:tc>
          <w:tcPr>
            <w:tcW w:w="802" w:type="dxa"/>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-0.23</w:t>
            </w:r>
          </w:p>
        </w:tc>
        <w:tc>
          <w:tcPr>
            <w:tcW w:w="83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-0.19</w:t>
            </w:r>
          </w:p>
        </w:tc>
      </w:tr>
      <w:tr w:rsidR="00263D52" w:rsidRPr="00BF6F37" w:rsidTr="003014FB">
        <w:trPr>
          <w:trHeight w:val="255"/>
        </w:trPr>
        <w:tc>
          <w:tcPr>
            <w:tcW w:w="2850" w:type="dxa"/>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 B-S-J-G (Çin)</w:t>
            </w:r>
          </w:p>
        </w:tc>
        <w:tc>
          <w:tcPr>
            <w:tcW w:w="567"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27.8</w:t>
            </w:r>
          </w:p>
        </w:tc>
        <w:tc>
          <w:tcPr>
            <w:tcW w:w="993"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27.3</w:t>
            </w:r>
          </w:p>
        </w:tc>
        <w:tc>
          <w:tcPr>
            <w:tcW w:w="850"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26.9</w:t>
            </w:r>
          </w:p>
        </w:tc>
        <w:tc>
          <w:tcPr>
            <w:tcW w:w="70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17.9</w:t>
            </w:r>
          </w:p>
        </w:tc>
        <w:tc>
          <w:tcPr>
            <w:tcW w:w="980" w:type="dxa"/>
            <w:gridSpan w:val="2"/>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0.64</w:t>
            </w:r>
          </w:p>
        </w:tc>
        <w:tc>
          <w:tcPr>
            <w:tcW w:w="928"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0.50</w:t>
            </w:r>
          </w:p>
        </w:tc>
        <w:tc>
          <w:tcPr>
            <w:tcW w:w="802" w:type="dxa"/>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-0.03</w:t>
            </w:r>
          </w:p>
        </w:tc>
        <w:tc>
          <w:tcPr>
            <w:tcW w:w="83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-0.08</w:t>
            </w:r>
          </w:p>
        </w:tc>
      </w:tr>
      <w:tr w:rsidR="00263D52" w:rsidRPr="00BF6F37" w:rsidTr="003014FB">
        <w:trPr>
          <w:trHeight w:val="255"/>
        </w:trPr>
        <w:tc>
          <w:tcPr>
            <w:tcW w:w="2850" w:type="dxa"/>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Türkiye</w:t>
            </w:r>
          </w:p>
        </w:tc>
        <w:tc>
          <w:tcPr>
            <w:tcW w:w="567"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26.5</w:t>
            </w:r>
          </w:p>
        </w:tc>
        <w:tc>
          <w:tcPr>
            <w:tcW w:w="993"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24.4</w:t>
            </w:r>
          </w:p>
        </w:tc>
        <w:tc>
          <w:tcPr>
            <w:tcW w:w="850"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33.3</w:t>
            </w:r>
          </w:p>
        </w:tc>
        <w:tc>
          <w:tcPr>
            <w:tcW w:w="70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15.8</w:t>
            </w:r>
          </w:p>
        </w:tc>
        <w:tc>
          <w:tcPr>
            <w:tcW w:w="980" w:type="dxa"/>
            <w:gridSpan w:val="2"/>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0.57</w:t>
            </w:r>
          </w:p>
        </w:tc>
        <w:tc>
          <w:tcPr>
            <w:tcW w:w="928"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0.37</w:t>
            </w:r>
          </w:p>
        </w:tc>
        <w:tc>
          <w:tcPr>
            <w:tcW w:w="802" w:type="dxa"/>
            <w:tcBorders>
              <w:top w:val="nil"/>
              <w:left w:val="nil"/>
              <w:bottom w:val="nil"/>
              <w:right w:val="nil"/>
            </w:tcBorders>
            <w:shd w:val="clear" w:color="auto" w:fill="auto"/>
            <w:noWrap/>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-0.01</w:t>
            </w:r>
          </w:p>
        </w:tc>
        <w:tc>
          <w:tcPr>
            <w:tcW w:w="839" w:type="dxa"/>
            <w:tcBorders>
              <w:top w:val="nil"/>
              <w:left w:val="nil"/>
              <w:bottom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-0.39</w:t>
            </w:r>
          </w:p>
        </w:tc>
      </w:tr>
      <w:tr w:rsidR="00263D52" w:rsidRPr="00BF6F37" w:rsidTr="003014FB">
        <w:trPr>
          <w:trHeight w:val="255"/>
        </w:trPr>
        <w:tc>
          <w:tcPr>
            <w:tcW w:w="2850" w:type="dxa"/>
            <w:tcBorders>
              <w:top w:val="nil"/>
              <w:left w:val="nil"/>
              <w:bottom w:val="single" w:sz="4" w:space="0" w:color="auto"/>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OECD </w:t>
            </w:r>
          </w:p>
        </w:tc>
        <w:tc>
          <w:tcPr>
            <w:tcW w:w="567" w:type="dxa"/>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31.4</w:t>
            </w:r>
          </w:p>
        </w:tc>
        <w:tc>
          <w:tcPr>
            <w:tcW w:w="993" w:type="dxa"/>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34.7</w:t>
            </w:r>
          </w:p>
        </w:tc>
        <w:tc>
          <w:tcPr>
            <w:tcW w:w="850" w:type="dxa"/>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27.5</w:t>
            </w:r>
          </w:p>
        </w:tc>
        <w:tc>
          <w:tcPr>
            <w:tcW w:w="709" w:type="dxa"/>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6.4</w:t>
            </w:r>
          </w:p>
        </w:tc>
        <w:tc>
          <w:tcPr>
            <w:tcW w:w="980" w:type="dxa"/>
            <w:gridSpan w:val="2"/>
            <w:tcBorders>
              <w:top w:val="nil"/>
              <w:left w:val="nil"/>
              <w:bottom w:val="single" w:sz="4" w:space="0" w:color="auto"/>
              <w:right w:val="nil"/>
            </w:tcBorders>
            <w:shd w:val="clear" w:color="auto" w:fill="auto"/>
            <w:noWrap/>
          </w:tcPr>
          <w:p w:rsidR="00263D52" w:rsidRPr="00BF6F37" w:rsidRDefault="00263D52" w:rsidP="00263D52">
            <w:pPr>
              <w:jc w:val="center"/>
              <w:rPr>
                <w:rFonts w:ascii="Cambria" w:hAnsi="Cambria"/>
                <w:color w:val="000000"/>
                <w:sz w:val="20"/>
                <w:szCs w:val="20"/>
              </w:rPr>
            </w:pPr>
          </w:p>
        </w:tc>
        <w:tc>
          <w:tcPr>
            <w:tcW w:w="928" w:type="dxa"/>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p>
        </w:tc>
        <w:tc>
          <w:tcPr>
            <w:tcW w:w="802" w:type="dxa"/>
            <w:tcBorders>
              <w:top w:val="nil"/>
              <w:left w:val="nil"/>
              <w:bottom w:val="single" w:sz="4" w:space="0" w:color="auto"/>
              <w:right w:val="nil"/>
            </w:tcBorders>
            <w:shd w:val="clear" w:color="auto" w:fill="auto"/>
            <w:noWrap/>
          </w:tcPr>
          <w:p w:rsidR="00263D52" w:rsidRPr="00BF6F37" w:rsidRDefault="00263D52" w:rsidP="00263D52">
            <w:pPr>
              <w:jc w:val="center"/>
              <w:rPr>
                <w:rFonts w:ascii="Cambria" w:hAnsi="Cambria"/>
                <w:color w:val="000000"/>
                <w:sz w:val="20"/>
                <w:szCs w:val="20"/>
              </w:rPr>
            </w:pPr>
          </w:p>
        </w:tc>
        <w:tc>
          <w:tcPr>
            <w:tcW w:w="839" w:type="dxa"/>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p>
        </w:tc>
      </w:tr>
      <w:tr w:rsidR="00263D52" w:rsidRPr="00BF6F37" w:rsidTr="003014FB">
        <w:trPr>
          <w:trHeight w:val="255"/>
        </w:trPr>
        <w:tc>
          <w:tcPr>
            <w:tcW w:w="9518" w:type="dxa"/>
            <w:gridSpan w:val="10"/>
            <w:tcBorders>
              <w:top w:val="nil"/>
              <w:left w:val="nil"/>
              <w:bottom w:val="nil"/>
              <w:right w:val="nil"/>
            </w:tcBorders>
            <w:shd w:val="clear" w:color="auto" w:fill="auto"/>
            <w:noWrap/>
            <w:hideMark/>
          </w:tcPr>
          <w:p w:rsidR="00263D52" w:rsidRDefault="00263D52" w:rsidP="00263D52">
            <w:pPr>
              <w:rPr>
                <w:rFonts w:ascii="Cambria" w:hAnsi="Cambria"/>
                <w:color w:val="000000"/>
                <w:sz w:val="20"/>
                <w:szCs w:val="20"/>
              </w:rPr>
            </w:pPr>
            <w:r w:rsidRPr="00BF6F37">
              <w:rPr>
                <w:rFonts w:ascii="Cambria" w:hAnsi="Cambria"/>
                <w:color w:val="000000"/>
                <w:sz w:val="20"/>
                <w:szCs w:val="20"/>
              </w:rPr>
              <w:t>*Yüksek değerler öğretim materyallerinin yetersizliğini göstermektedir.</w:t>
            </w:r>
          </w:p>
          <w:p w:rsidR="00597E29" w:rsidRPr="00BF6F37" w:rsidRDefault="00597E29" w:rsidP="00263D52">
            <w:pPr>
              <w:rPr>
                <w:rFonts w:ascii="Cambria" w:hAnsi="Cambria"/>
                <w:color w:val="000000"/>
                <w:sz w:val="20"/>
                <w:szCs w:val="20"/>
              </w:rPr>
            </w:pPr>
            <w:r>
              <w:rPr>
                <w:rFonts w:ascii="Cambria" w:hAnsi="Cambria"/>
                <w:color w:val="000000"/>
                <w:sz w:val="20"/>
                <w:szCs w:val="20"/>
              </w:rPr>
              <w:t>** SED: Sosyo Ekonomik Düzey</w:t>
            </w:r>
          </w:p>
          <w:p w:rsidR="00263D52" w:rsidRPr="00BF6F37" w:rsidRDefault="00263D52" w:rsidP="00263D52">
            <w:pPr>
              <w:rPr>
                <w:rFonts w:ascii="Cambria" w:hAnsi="Cambria"/>
                <w:color w:val="000000"/>
                <w:sz w:val="20"/>
                <w:szCs w:val="20"/>
              </w:rPr>
            </w:pPr>
            <w:r w:rsidRPr="00BF6F37">
              <w:rPr>
                <w:rFonts w:ascii="Cambria" w:hAnsi="Cambria"/>
                <w:i/>
                <w:color w:val="000000"/>
                <w:sz w:val="20"/>
                <w:szCs w:val="20"/>
              </w:rPr>
              <w:t xml:space="preserve">Kaynak: </w:t>
            </w:r>
            <w:hyperlink r:id="rId12" w:history="1">
              <w:r w:rsidRPr="00BF6F37">
                <w:rPr>
                  <w:rStyle w:val="Hyperlink"/>
                  <w:rFonts w:ascii="Cambria" w:hAnsi="Cambria"/>
                  <w:sz w:val="20"/>
                  <w:szCs w:val="20"/>
                </w:rPr>
                <w:t>http://gpseducation.oecd.org/IndicatorExplorer?query=2</w:t>
              </w:r>
            </w:hyperlink>
            <w:r w:rsidRPr="00BF6F37">
              <w:rPr>
                <w:rFonts w:ascii="Cambria" w:hAnsi="Cambria"/>
                <w:color w:val="000000"/>
                <w:sz w:val="20"/>
                <w:szCs w:val="20"/>
              </w:rPr>
              <w:t xml:space="preserve">     (Tablo: II.6.1, Tablo: II.6.2)</w:t>
            </w:r>
          </w:p>
        </w:tc>
      </w:tr>
    </w:tbl>
    <w:p w:rsidR="00263D52" w:rsidRPr="00C84CED" w:rsidRDefault="00263D52" w:rsidP="00263D52">
      <w:pPr>
        <w:ind w:firstLine="567"/>
        <w:contextualSpacing/>
        <w:jc w:val="both"/>
        <w:rPr>
          <w:rFonts w:ascii="Cambria" w:hAnsi="Cambria"/>
          <w:sz w:val="22"/>
          <w:szCs w:val="22"/>
        </w:rPr>
      </w:pPr>
      <w:r w:rsidRPr="00C84CED">
        <w:rPr>
          <w:rFonts w:ascii="Cambria" w:hAnsi="Cambria"/>
          <w:sz w:val="22"/>
          <w:szCs w:val="22"/>
        </w:rPr>
        <w:t xml:space="preserve">Öğretim materyallerinin yeterlik durumuna ilişkin okul müdürlerinin görüşleri incelendiğinde Japonya dışında başarılı ülkelerin ve Türkiye’nin öğretim materyalleri konusunda yeterli ve kısmen yeterli düzeyde oldukları söylenebilir. Öğretim materyallerinin yeterliliği bağlamında Japonya’da çoğu okul müdürü materyallerin yetersiz olduğunu belirtmişlerdir. Diğer yandan okulların sosyo ekonomik </w:t>
      </w:r>
      <w:proofErr w:type="gramStart"/>
      <w:r w:rsidRPr="00C84CED">
        <w:rPr>
          <w:rFonts w:ascii="Cambria" w:hAnsi="Cambria"/>
          <w:sz w:val="22"/>
          <w:szCs w:val="22"/>
        </w:rPr>
        <w:t>profilleri</w:t>
      </w:r>
      <w:proofErr w:type="gramEnd"/>
      <w:r w:rsidRPr="00C84CED">
        <w:rPr>
          <w:rFonts w:ascii="Cambria" w:hAnsi="Cambria"/>
          <w:sz w:val="22"/>
          <w:szCs w:val="22"/>
        </w:rPr>
        <w:t xml:space="preserve"> çerçevesinde veriler tekrar ele alındığında Japonya, Makao, Türkiye, Vietnam ve B-S-J-G (Beijing)’de öğretim materyallerinin okul SED profillerine göre farklı</w:t>
      </w:r>
      <w:r w:rsidR="00917B64" w:rsidRPr="00C84CED">
        <w:rPr>
          <w:rFonts w:ascii="Cambria" w:hAnsi="Cambria"/>
          <w:sz w:val="22"/>
          <w:szCs w:val="22"/>
        </w:rPr>
        <w:t xml:space="preserve">laşmakta olduğu görülmektedir. </w:t>
      </w:r>
      <w:r w:rsidRPr="00C84CED">
        <w:rPr>
          <w:rFonts w:ascii="Cambria" w:hAnsi="Cambria"/>
          <w:sz w:val="22"/>
          <w:szCs w:val="22"/>
        </w:rPr>
        <w:t xml:space="preserve">Sosyoekonomik çerçevede dezavantajlı olan okullarda öğretim materyalleri yeterliliği bu grubun aleyhine iken, avantajlı olan okullarda bunun tam tersi bir durum söz konusudur. Buna ek olarak, Estonya dışında örneklem grubundaki ülkelere genel olarak bakıldığında, okulun sosyo ekonomik </w:t>
      </w:r>
      <w:proofErr w:type="gramStart"/>
      <w:r w:rsidRPr="00C84CED">
        <w:rPr>
          <w:rFonts w:ascii="Cambria" w:hAnsi="Cambria"/>
          <w:sz w:val="22"/>
          <w:szCs w:val="22"/>
        </w:rPr>
        <w:t>profili</w:t>
      </w:r>
      <w:proofErr w:type="gramEnd"/>
      <w:r w:rsidRPr="00C84CED">
        <w:rPr>
          <w:rFonts w:ascii="Cambria" w:hAnsi="Cambria"/>
          <w:sz w:val="22"/>
          <w:szCs w:val="22"/>
        </w:rPr>
        <w:t xml:space="preserve"> yükseldikçe öğretim materyalleri</w:t>
      </w:r>
      <w:r w:rsidR="00917B64" w:rsidRPr="00C84CED">
        <w:rPr>
          <w:rFonts w:ascii="Cambria" w:hAnsi="Cambria"/>
          <w:sz w:val="22"/>
          <w:szCs w:val="22"/>
        </w:rPr>
        <w:t>nin daha yeterli bir düzeyde olduğu görülmektedir</w:t>
      </w:r>
      <w:r w:rsidRPr="00C84CED">
        <w:rPr>
          <w:rFonts w:ascii="Cambria" w:hAnsi="Cambria"/>
          <w:sz w:val="22"/>
          <w:szCs w:val="22"/>
        </w:rPr>
        <w:t xml:space="preserve">. Söz konusu durum Estonya için geçerli değildir. Estonya’da okulun sosyo ekonomik </w:t>
      </w:r>
      <w:proofErr w:type="gramStart"/>
      <w:r w:rsidRPr="00C84CED">
        <w:rPr>
          <w:rFonts w:ascii="Cambria" w:hAnsi="Cambria"/>
          <w:sz w:val="22"/>
          <w:szCs w:val="22"/>
        </w:rPr>
        <w:t>profili</w:t>
      </w:r>
      <w:proofErr w:type="gramEnd"/>
      <w:r w:rsidRPr="00C84CED">
        <w:rPr>
          <w:rFonts w:ascii="Cambria" w:hAnsi="Cambria"/>
          <w:sz w:val="22"/>
          <w:szCs w:val="22"/>
        </w:rPr>
        <w:t xml:space="preserve"> düştükçe öğretim materyallerinin daha yeterli olduğu söylenebilir.  </w:t>
      </w:r>
    </w:p>
    <w:p w:rsidR="002D5974" w:rsidRPr="00C84CED" w:rsidRDefault="00263D52" w:rsidP="00263D52">
      <w:pPr>
        <w:ind w:firstLine="567"/>
        <w:contextualSpacing/>
        <w:jc w:val="both"/>
        <w:rPr>
          <w:rFonts w:ascii="Cambria" w:hAnsi="Cambria"/>
          <w:sz w:val="22"/>
          <w:szCs w:val="22"/>
        </w:rPr>
      </w:pPr>
      <w:r w:rsidRPr="00C84CED">
        <w:rPr>
          <w:rFonts w:ascii="Cambria" w:hAnsi="Cambria"/>
          <w:sz w:val="22"/>
          <w:szCs w:val="22"/>
        </w:rPr>
        <w:lastRenderedPageBreak/>
        <w:t>Okul kaynakları bağlamında ele alınan öğretim materyallerinin yanı sıra okullarda öğrenci başına düşen bilgisayar sayısı ve internet erişimi de PISA 2015’te incelenen göstergelerden biridir. Söz konusu göst</w:t>
      </w:r>
      <w:r w:rsidR="00BF6F37" w:rsidRPr="00C84CED">
        <w:rPr>
          <w:rFonts w:ascii="Cambria" w:hAnsi="Cambria"/>
          <w:sz w:val="22"/>
          <w:szCs w:val="22"/>
        </w:rPr>
        <w:t>ergeye ilişkin bilgiler Tablo 4</w:t>
      </w:r>
      <w:r w:rsidRPr="00C84CED">
        <w:rPr>
          <w:rFonts w:ascii="Cambria" w:hAnsi="Cambria"/>
          <w:sz w:val="22"/>
          <w:szCs w:val="22"/>
        </w:rPr>
        <w:t>’te sunulmuştur.</w:t>
      </w:r>
    </w:p>
    <w:p w:rsidR="00263D52" w:rsidRPr="00BF6F37" w:rsidRDefault="00263D52" w:rsidP="002D5974">
      <w:pPr>
        <w:contextualSpacing/>
        <w:rPr>
          <w:rFonts w:ascii="Cambria" w:hAnsi="Cambria"/>
        </w:rPr>
      </w:pPr>
    </w:p>
    <w:tbl>
      <w:tblPr>
        <w:tblW w:w="4965" w:type="pct"/>
        <w:tblLayout w:type="fixed"/>
        <w:tblCellMar>
          <w:left w:w="70" w:type="dxa"/>
          <w:right w:w="70" w:type="dxa"/>
        </w:tblCellMar>
        <w:tblLook w:val="04A0" w:firstRow="1" w:lastRow="0" w:firstColumn="1" w:lastColumn="0" w:noHBand="0" w:noVBand="1"/>
      </w:tblPr>
      <w:tblGrid>
        <w:gridCol w:w="1751"/>
        <w:gridCol w:w="791"/>
        <w:gridCol w:w="724"/>
        <w:gridCol w:w="272"/>
        <w:gridCol w:w="724"/>
        <w:gridCol w:w="272"/>
        <w:gridCol w:w="1002"/>
        <w:gridCol w:w="396"/>
        <w:gridCol w:w="724"/>
        <w:gridCol w:w="402"/>
        <w:gridCol w:w="81"/>
        <w:gridCol w:w="894"/>
        <w:gridCol w:w="688"/>
        <w:gridCol w:w="13"/>
        <w:gridCol w:w="148"/>
        <w:gridCol w:w="126"/>
      </w:tblGrid>
      <w:tr w:rsidR="00263D52" w:rsidRPr="00BF6F37" w:rsidTr="00263D52">
        <w:trPr>
          <w:gridAfter w:val="8"/>
          <w:wAfter w:w="1707" w:type="pct"/>
          <w:trHeight w:val="255"/>
        </w:trPr>
        <w:tc>
          <w:tcPr>
            <w:tcW w:w="3293" w:type="pct"/>
            <w:gridSpan w:val="8"/>
            <w:tcBorders>
              <w:top w:val="nil"/>
              <w:left w:val="nil"/>
              <w:right w:val="nil"/>
            </w:tcBorders>
          </w:tcPr>
          <w:p w:rsidR="00263D52" w:rsidRPr="00BF6F37" w:rsidRDefault="00263D52" w:rsidP="00C84CED">
            <w:pPr>
              <w:spacing w:after="120"/>
              <w:rPr>
                <w:rFonts w:ascii="Cambria" w:hAnsi="Cambria"/>
                <w:color w:val="000000"/>
                <w:sz w:val="20"/>
                <w:szCs w:val="20"/>
              </w:rPr>
            </w:pPr>
            <w:r w:rsidRPr="00BF6F37">
              <w:rPr>
                <w:rFonts w:ascii="Cambria" w:hAnsi="Cambria"/>
                <w:b/>
                <w:color w:val="000000"/>
                <w:sz w:val="20"/>
                <w:szCs w:val="20"/>
              </w:rPr>
              <w:t xml:space="preserve">Tablo </w:t>
            </w:r>
            <w:r w:rsidR="00BF6F37">
              <w:rPr>
                <w:rFonts w:ascii="Cambria" w:hAnsi="Cambria"/>
                <w:b/>
                <w:color w:val="000000"/>
                <w:sz w:val="20"/>
                <w:szCs w:val="20"/>
              </w:rPr>
              <w:t>4</w:t>
            </w:r>
            <w:r w:rsidRPr="00BF6F37">
              <w:rPr>
                <w:rFonts w:ascii="Cambria" w:hAnsi="Cambria"/>
                <w:b/>
                <w:i/>
                <w:color w:val="000000"/>
                <w:sz w:val="20"/>
                <w:szCs w:val="20"/>
              </w:rPr>
              <w:t>.</w:t>
            </w:r>
            <w:r w:rsidRPr="00BF6F37">
              <w:rPr>
                <w:rFonts w:ascii="Cambria" w:hAnsi="Cambria"/>
                <w:i/>
                <w:color w:val="000000"/>
                <w:sz w:val="20"/>
                <w:szCs w:val="20"/>
              </w:rPr>
              <w:t xml:space="preserve"> Öğrenci başına düşen bilgisayar sayısı ve </w:t>
            </w:r>
            <w:proofErr w:type="gramStart"/>
            <w:r w:rsidRPr="00BF6F37">
              <w:rPr>
                <w:rFonts w:ascii="Cambria" w:hAnsi="Cambria"/>
                <w:i/>
                <w:color w:val="000000"/>
                <w:sz w:val="20"/>
                <w:szCs w:val="20"/>
              </w:rPr>
              <w:t>internet  erişimi</w:t>
            </w:r>
            <w:proofErr w:type="gramEnd"/>
          </w:p>
        </w:tc>
      </w:tr>
      <w:tr w:rsidR="00263D52" w:rsidRPr="00BF6F37" w:rsidTr="00263D52">
        <w:trPr>
          <w:gridAfter w:val="1"/>
          <w:wAfter w:w="71" w:type="pct"/>
          <w:trHeight w:val="255"/>
        </w:trPr>
        <w:tc>
          <w:tcPr>
            <w:tcW w:w="972" w:type="pct"/>
            <w:tcBorders>
              <w:top w:val="single" w:sz="4" w:space="0" w:color="auto"/>
              <w:left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Ülke</w:t>
            </w:r>
          </w:p>
        </w:tc>
        <w:tc>
          <w:tcPr>
            <w:tcW w:w="841" w:type="pct"/>
            <w:gridSpan w:val="2"/>
            <w:tcBorders>
              <w:top w:val="single" w:sz="4" w:space="0" w:color="auto"/>
              <w:left w:val="nil"/>
              <w:right w:val="nil"/>
            </w:tcBorders>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             Sıra </w:t>
            </w:r>
          </w:p>
        </w:tc>
        <w:tc>
          <w:tcPr>
            <w:tcW w:w="553" w:type="pct"/>
            <w:gridSpan w:val="2"/>
            <w:tcBorders>
              <w:top w:val="single" w:sz="4" w:space="0" w:color="auto"/>
              <w:left w:val="nil"/>
              <w:right w:val="nil"/>
            </w:tcBorders>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    Puan</w:t>
            </w:r>
          </w:p>
        </w:tc>
        <w:tc>
          <w:tcPr>
            <w:tcW w:w="1597" w:type="pct"/>
            <w:gridSpan w:val="6"/>
            <w:tcBorders>
              <w:top w:val="single" w:sz="4" w:space="0" w:color="auto"/>
              <w:left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Öğrenci başına düşen bilgisayar</w:t>
            </w:r>
          </w:p>
        </w:tc>
        <w:tc>
          <w:tcPr>
            <w:tcW w:w="878" w:type="pct"/>
            <w:gridSpan w:val="2"/>
            <w:tcBorders>
              <w:top w:val="single" w:sz="4" w:space="0" w:color="auto"/>
              <w:left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İnternet erişimi</w:t>
            </w:r>
          </w:p>
        </w:tc>
        <w:tc>
          <w:tcPr>
            <w:tcW w:w="89" w:type="pct"/>
            <w:gridSpan w:val="2"/>
            <w:tcBorders>
              <w:top w:val="nil"/>
              <w:left w:val="nil"/>
              <w:right w:val="nil"/>
            </w:tcBorders>
            <w:shd w:val="clear" w:color="auto" w:fill="auto"/>
            <w:hideMark/>
          </w:tcPr>
          <w:p w:rsidR="00263D52" w:rsidRPr="00BF6F37" w:rsidRDefault="00263D52" w:rsidP="00263D52">
            <w:pPr>
              <w:rPr>
                <w:rFonts w:ascii="Cambria" w:hAnsi="Cambria"/>
                <w:color w:val="000000"/>
                <w:sz w:val="20"/>
                <w:szCs w:val="20"/>
              </w:rPr>
            </w:pPr>
          </w:p>
        </w:tc>
      </w:tr>
      <w:tr w:rsidR="00263D52" w:rsidRPr="00BF6F37" w:rsidTr="00263D52">
        <w:trPr>
          <w:gridAfter w:val="2"/>
          <w:wAfter w:w="153" w:type="pct"/>
          <w:trHeight w:val="255"/>
        </w:trPr>
        <w:tc>
          <w:tcPr>
            <w:tcW w:w="972" w:type="pct"/>
            <w:tcBorders>
              <w:top w:val="nil"/>
              <w:left w:val="nil"/>
              <w:bottom w:val="single" w:sz="4" w:space="0" w:color="auto"/>
              <w:right w:val="nil"/>
            </w:tcBorders>
            <w:shd w:val="clear" w:color="auto" w:fill="auto"/>
            <w:hideMark/>
          </w:tcPr>
          <w:p w:rsidR="00263D52" w:rsidRPr="00BF6F37" w:rsidRDefault="00263D52" w:rsidP="00263D52">
            <w:pPr>
              <w:rPr>
                <w:rFonts w:ascii="Cambria" w:hAnsi="Cambria"/>
                <w:color w:val="000000"/>
                <w:sz w:val="20"/>
                <w:szCs w:val="20"/>
              </w:rPr>
            </w:pPr>
          </w:p>
        </w:tc>
        <w:tc>
          <w:tcPr>
            <w:tcW w:w="841" w:type="pct"/>
            <w:gridSpan w:val="2"/>
            <w:tcBorders>
              <w:top w:val="nil"/>
              <w:left w:val="nil"/>
              <w:bottom w:val="single" w:sz="4" w:space="0" w:color="auto"/>
              <w:right w:val="nil"/>
            </w:tcBorders>
          </w:tcPr>
          <w:p w:rsidR="00263D52" w:rsidRPr="00BF6F37" w:rsidRDefault="00263D52" w:rsidP="00263D52">
            <w:pPr>
              <w:rPr>
                <w:rFonts w:ascii="Cambria" w:hAnsi="Cambria"/>
                <w:color w:val="000000"/>
                <w:sz w:val="20"/>
                <w:szCs w:val="20"/>
              </w:rPr>
            </w:pPr>
          </w:p>
        </w:tc>
        <w:tc>
          <w:tcPr>
            <w:tcW w:w="553" w:type="pct"/>
            <w:gridSpan w:val="2"/>
            <w:tcBorders>
              <w:top w:val="nil"/>
              <w:left w:val="nil"/>
              <w:bottom w:val="single" w:sz="4" w:space="0" w:color="auto"/>
              <w:right w:val="nil"/>
            </w:tcBorders>
          </w:tcPr>
          <w:p w:rsidR="00263D52" w:rsidRPr="00BF6F37" w:rsidRDefault="00263D52" w:rsidP="00263D52">
            <w:pPr>
              <w:rPr>
                <w:rFonts w:ascii="Cambria" w:hAnsi="Cambria"/>
                <w:color w:val="000000"/>
                <w:sz w:val="20"/>
                <w:szCs w:val="20"/>
              </w:rPr>
            </w:pPr>
          </w:p>
        </w:tc>
        <w:tc>
          <w:tcPr>
            <w:tcW w:w="707" w:type="pct"/>
            <w:gridSpan w:val="2"/>
            <w:tcBorders>
              <w:top w:val="nil"/>
              <w:left w:val="nil"/>
              <w:bottom w:val="single" w:sz="4" w:space="0" w:color="auto"/>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    Ort. </w:t>
            </w:r>
            <w:proofErr w:type="gramStart"/>
            <w:r w:rsidRPr="00BF6F37">
              <w:rPr>
                <w:rFonts w:ascii="Cambria" w:hAnsi="Cambria"/>
                <w:color w:val="000000"/>
                <w:sz w:val="20"/>
                <w:szCs w:val="20"/>
              </w:rPr>
              <w:t>oran</w:t>
            </w:r>
            <w:proofErr w:type="gramEnd"/>
          </w:p>
        </w:tc>
        <w:tc>
          <w:tcPr>
            <w:tcW w:w="622" w:type="pct"/>
            <w:gridSpan w:val="2"/>
            <w:tcBorders>
              <w:top w:val="nil"/>
              <w:left w:val="nil"/>
              <w:bottom w:val="single" w:sz="4" w:space="0" w:color="auto"/>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Sh</w:t>
            </w:r>
          </w:p>
        </w:tc>
        <w:tc>
          <w:tcPr>
            <w:tcW w:w="223" w:type="pct"/>
            <w:tcBorders>
              <w:top w:val="nil"/>
              <w:left w:val="nil"/>
              <w:bottom w:val="single" w:sz="4" w:space="0" w:color="auto"/>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nil"/>
              <w:left w:val="nil"/>
              <w:bottom w:val="single" w:sz="4" w:space="0" w:color="auto"/>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 (%)</w:t>
            </w:r>
          </w:p>
        </w:tc>
        <w:tc>
          <w:tcPr>
            <w:tcW w:w="389" w:type="pct"/>
            <w:gridSpan w:val="2"/>
            <w:tcBorders>
              <w:top w:val="nil"/>
              <w:left w:val="nil"/>
              <w:bottom w:val="single" w:sz="4" w:space="0" w:color="auto"/>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Sh</w:t>
            </w:r>
          </w:p>
        </w:tc>
      </w:tr>
      <w:tr w:rsidR="00263D52" w:rsidRPr="00BF6F37" w:rsidTr="00263D52">
        <w:trPr>
          <w:gridAfter w:val="2"/>
          <w:wAfter w:w="153" w:type="pct"/>
          <w:trHeight w:val="255"/>
        </w:trPr>
        <w:tc>
          <w:tcPr>
            <w:tcW w:w="1411" w:type="pct"/>
            <w:gridSpan w:val="2"/>
            <w:tcBorders>
              <w:top w:val="single" w:sz="4" w:space="0" w:color="auto"/>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Singapur</w:t>
            </w:r>
          </w:p>
        </w:tc>
        <w:tc>
          <w:tcPr>
            <w:tcW w:w="553" w:type="pct"/>
            <w:gridSpan w:val="2"/>
            <w:tcBorders>
              <w:top w:val="single" w:sz="4" w:space="0" w:color="auto"/>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1</w:t>
            </w:r>
          </w:p>
        </w:tc>
        <w:tc>
          <w:tcPr>
            <w:tcW w:w="553" w:type="pct"/>
            <w:gridSpan w:val="2"/>
            <w:tcBorders>
              <w:top w:val="single" w:sz="4" w:space="0" w:color="auto"/>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556</w:t>
            </w:r>
          </w:p>
        </w:tc>
        <w:tc>
          <w:tcPr>
            <w:tcW w:w="556" w:type="pct"/>
            <w:tcBorders>
              <w:top w:val="single" w:sz="4" w:space="0" w:color="auto"/>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0.97</w:t>
            </w:r>
          </w:p>
        </w:tc>
        <w:tc>
          <w:tcPr>
            <w:tcW w:w="622" w:type="pct"/>
            <w:gridSpan w:val="2"/>
            <w:tcBorders>
              <w:top w:val="single" w:sz="4" w:space="0" w:color="auto"/>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0.01</w:t>
            </w:r>
          </w:p>
        </w:tc>
        <w:tc>
          <w:tcPr>
            <w:tcW w:w="223" w:type="pct"/>
            <w:tcBorders>
              <w:top w:val="single" w:sz="4" w:space="0" w:color="auto"/>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single" w:sz="4" w:space="0" w:color="auto"/>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99.62</w:t>
            </w:r>
          </w:p>
        </w:tc>
        <w:tc>
          <w:tcPr>
            <w:tcW w:w="389" w:type="pct"/>
            <w:gridSpan w:val="2"/>
            <w:tcBorders>
              <w:top w:val="single" w:sz="4" w:space="0" w:color="auto"/>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0.01</w:t>
            </w:r>
          </w:p>
        </w:tc>
      </w:tr>
      <w:tr w:rsidR="00263D52" w:rsidRPr="00BF6F37" w:rsidTr="00263D52">
        <w:trPr>
          <w:trHeight w:val="255"/>
        </w:trPr>
        <w:tc>
          <w:tcPr>
            <w:tcW w:w="141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Japonya</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2</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538</w:t>
            </w:r>
          </w:p>
        </w:tc>
        <w:tc>
          <w:tcPr>
            <w:tcW w:w="556" w:type="pct"/>
            <w:tcBorders>
              <w:top w:val="nil"/>
              <w:left w:val="nil"/>
              <w:bottom w:val="nil"/>
              <w:right w:val="nil"/>
            </w:tcBorders>
            <w:shd w:val="clear" w:color="auto" w:fill="auto"/>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0.51</w:t>
            </w:r>
          </w:p>
        </w:tc>
        <w:tc>
          <w:tcPr>
            <w:tcW w:w="622"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0.03</w:t>
            </w:r>
          </w:p>
        </w:tc>
        <w:tc>
          <w:tcPr>
            <w:tcW w:w="223" w:type="pct"/>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93.96</w:t>
            </w:r>
          </w:p>
        </w:tc>
        <w:tc>
          <w:tcPr>
            <w:tcW w:w="542" w:type="pct"/>
            <w:gridSpan w:val="4"/>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1.30</w:t>
            </w:r>
          </w:p>
        </w:tc>
      </w:tr>
      <w:tr w:rsidR="00263D52" w:rsidRPr="00BF6F37" w:rsidTr="00263D52">
        <w:trPr>
          <w:gridAfter w:val="2"/>
          <w:wAfter w:w="153" w:type="pct"/>
          <w:trHeight w:val="255"/>
        </w:trPr>
        <w:tc>
          <w:tcPr>
            <w:tcW w:w="141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Estonya</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3</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534</w:t>
            </w:r>
          </w:p>
        </w:tc>
        <w:tc>
          <w:tcPr>
            <w:tcW w:w="556" w:type="pct"/>
            <w:tcBorders>
              <w:top w:val="nil"/>
              <w:left w:val="nil"/>
              <w:bottom w:val="nil"/>
              <w:right w:val="nil"/>
            </w:tcBorders>
            <w:shd w:val="clear" w:color="auto" w:fill="auto"/>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0.78</w:t>
            </w:r>
          </w:p>
        </w:tc>
        <w:tc>
          <w:tcPr>
            <w:tcW w:w="622"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0.03</w:t>
            </w:r>
          </w:p>
        </w:tc>
        <w:tc>
          <w:tcPr>
            <w:tcW w:w="223" w:type="pct"/>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98.96</w:t>
            </w:r>
          </w:p>
        </w:tc>
        <w:tc>
          <w:tcPr>
            <w:tcW w:w="389"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0.48</w:t>
            </w:r>
          </w:p>
        </w:tc>
      </w:tr>
      <w:tr w:rsidR="00263D52" w:rsidRPr="00BF6F37" w:rsidTr="00263D52">
        <w:trPr>
          <w:gridAfter w:val="2"/>
          <w:wAfter w:w="153" w:type="pct"/>
          <w:trHeight w:val="255"/>
        </w:trPr>
        <w:tc>
          <w:tcPr>
            <w:tcW w:w="141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Taipei - Çin</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4</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532</w:t>
            </w:r>
          </w:p>
        </w:tc>
        <w:tc>
          <w:tcPr>
            <w:tcW w:w="556" w:type="pct"/>
            <w:tcBorders>
              <w:top w:val="nil"/>
              <w:left w:val="nil"/>
              <w:bottom w:val="nil"/>
              <w:right w:val="nil"/>
            </w:tcBorders>
            <w:shd w:val="clear" w:color="auto" w:fill="auto"/>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0.47</w:t>
            </w:r>
          </w:p>
        </w:tc>
        <w:tc>
          <w:tcPr>
            <w:tcW w:w="622"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0.03</w:t>
            </w:r>
          </w:p>
        </w:tc>
        <w:tc>
          <w:tcPr>
            <w:tcW w:w="223" w:type="pct"/>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96.37</w:t>
            </w:r>
          </w:p>
        </w:tc>
        <w:tc>
          <w:tcPr>
            <w:tcW w:w="389"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0.87</w:t>
            </w:r>
          </w:p>
        </w:tc>
      </w:tr>
      <w:tr w:rsidR="00263D52" w:rsidRPr="00BF6F37" w:rsidTr="00263D52">
        <w:trPr>
          <w:gridAfter w:val="2"/>
          <w:wAfter w:w="153" w:type="pct"/>
          <w:trHeight w:val="255"/>
        </w:trPr>
        <w:tc>
          <w:tcPr>
            <w:tcW w:w="141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Finlandiya</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531</w:t>
            </w:r>
          </w:p>
        </w:tc>
        <w:tc>
          <w:tcPr>
            <w:tcW w:w="556" w:type="pct"/>
            <w:tcBorders>
              <w:top w:val="nil"/>
              <w:left w:val="nil"/>
              <w:bottom w:val="nil"/>
              <w:right w:val="nil"/>
            </w:tcBorders>
            <w:shd w:val="clear" w:color="auto" w:fill="auto"/>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0.79</w:t>
            </w:r>
          </w:p>
        </w:tc>
        <w:tc>
          <w:tcPr>
            <w:tcW w:w="622"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0.05</w:t>
            </w:r>
          </w:p>
        </w:tc>
        <w:tc>
          <w:tcPr>
            <w:tcW w:w="223" w:type="pct"/>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80.35</w:t>
            </w:r>
          </w:p>
        </w:tc>
        <w:tc>
          <w:tcPr>
            <w:tcW w:w="389"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2.41</w:t>
            </w:r>
          </w:p>
        </w:tc>
      </w:tr>
      <w:tr w:rsidR="00263D52" w:rsidRPr="00BF6F37" w:rsidTr="00263D52">
        <w:trPr>
          <w:gridAfter w:val="2"/>
          <w:wAfter w:w="153" w:type="pct"/>
          <w:trHeight w:val="255"/>
        </w:trPr>
        <w:tc>
          <w:tcPr>
            <w:tcW w:w="141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Makao (Çin)</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6</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529</w:t>
            </w:r>
          </w:p>
        </w:tc>
        <w:tc>
          <w:tcPr>
            <w:tcW w:w="556" w:type="pct"/>
            <w:tcBorders>
              <w:top w:val="nil"/>
              <w:left w:val="nil"/>
              <w:bottom w:val="nil"/>
              <w:right w:val="nil"/>
            </w:tcBorders>
            <w:shd w:val="clear" w:color="auto" w:fill="auto"/>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1.20</w:t>
            </w:r>
          </w:p>
        </w:tc>
        <w:tc>
          <w:tcPr>
            <w:tcW w:w="622"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0.00</w:t>
            </w:r>
          </w:p>
        </w:tc>
        <w:tc>
          <w:tcPr>
            <w:tcW w:w="223" w:type="pct"/>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99.02</w:t>
            </w:r>
          </w:p>
        </w:tc>
        <w:tc>
          <w:tcPr>
            <w:tcW w:w="389"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0.00</w:t>
            </w:r>
          </w:p>
        </w:tc>
      </w:tr>
      <w:tr w:rsidR="00263D52" w:rsidRPr="00BF6F37" w:rsidTr="00263D52">
        <w:trPr>
          <w:gridAfter w:val="2"/>
          <w:wAfter w:w="153" w:type="pct"/>
          <w:trHeight w:val="255"/>
        </w:trPr>
        <w:tc>
          <w:tcPr>
            <w:tcW w:w="141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Kanada</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7</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528</w:t>
            </w:r>
          </w:p>
        </w:tc>
        <w:tc>
          <w:tcPr>
            <w:tcW w:w="556" w:type="pct"/>
            <w:tcBorders>
              <w:top w:val="nil"/>
              <w:left w:val="nil"/>
              <w:bottom w:val="nil"/>
              <w:right w:val="nil"/>
            </w:tcBorders>
            <w:shd w:val="clear" w:color="auto" w:fill="auto"/>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1.05</w:t>
            </w:r>
          </w:p>
        </w:tc>
        <w:tc>
          <w:tcPr>
            <w:tcW w:w="622"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0.04</w:t>
            </w:r>
          </w:p>
        </w:tc>
        <w:tc>
          <w:tcPr>
            <w:tcW w:w="223" w:type="pct"/>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99.24</w:t>
            </w:r>
          </w:p>
        </w:tc>
        <w:tc>
          <w:tcPr>
            <w:tcW w:w="389"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0.28</w:t>
            </w:r>
          </w:p>
        </w:tc>
      </w:tr>
      <w:tr w:rsidR="00263D52" w:rsidRPr="00BF6F37" w:rsidTr="00263D52">
        <w:trPr>
          <w:gridAfter w:val="2"/>
          <w:wAfter w:w="153" w:type="pct"/>
          <w:trHeight w:val="255"/>
        </w:trPr>
        <w:tc>
          <w:tcPr>
            <w:tcW w:w="141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Vietnam</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8</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525</w:t>
            </w:r>
          </w:p>
        </w:tc>
        <w:tc>
          <w:tcPr>
            <w:tcW w:w="556" w:type="pct"/>
            <w:tcBorders>
              <w:top w:val="nil"/>
              <w:left w:val="nil"/>
              <w:bottom w:val="nil"/>
              <w:right w:val="nil"/>
            </w:tcBorders>
            <w:shd w:val="clear" w:color="auto" w:fill="auto"/>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0.26</w:t>
            </w:r>
          </w:p>
        </w:tc>
        <w:tc>
          <w:tcPr>
            <w:tcW w:w="622"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0.04</w:t>
            </w:r>
          </w:p>
        </w:tc>
        <w:tc>
          <w:tcPr>
            <w:tcW w:w="223" w:type="pct"/>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80.35</w:t>
            </w:r>
          </w:p>
        </w:tc>
        <w:tc>
          <w:tcPr>
            <w:tcW w:w="389"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2.78</w:t>
            </w:r>
          </w:p>
        </w:tc>
      </w:tr>
      <w:tr w:rsidR="00263D52" w:rsidRPr="00BF6F37" w:rsidTr="00263D52">
        <w:trPr>
          <w:gridAfter w:val="2"/>
          <w:wAfter w:w="153" w:type="pct"/>
          <w:trHeight w:val="255"/>
        </w:trPr>
        <w:tc>
          <w:tcPr>
            <w:tcW w:w="141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Hong Kong (Çin)</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9</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523</w:t>
            </w:r>
          </w:p>
        </w:tc>
        <w:tc>
          <w:tcPr>
            <w:tcW w:w="556" w:type="pct"/>
            <w:tcBorders>
              <w:top w:val="nil"/>
              <w:left w:val="nil"/>
              <w:bottom w:val="nil"/>
              <w:right w:val="nil"/>
            </w:tcBorders>
            <w:shd w:val="clear" w:color="auto" w:fill="auto"/>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0.87</w:t>
            </w:r>
          </w:p>
        </w:tc>
        <w:tc>
          <w:tcPr>
            <w:tcW w:w="622"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0.03</w:t>
            </w:r>
          </w:p>
        </w:tc>
        <w:tc>
          <w:tcPr>
            <w:tcW w:w="223" w:type="pct"/>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99.31</w:t>
            </w:r>
          </w:p>
        </w:tc>
        <w:tc>
          <w:tcPr>
            <w:tcW w:w="389"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0.42</w:t>
            </w:r>
          </w:p>
        </w:tc>
      </w:tr>
      <w:tr w:rsidR="00263D52" w:rsidRPr="00BF6F37" w:rsidTr="00263D52">
        <w:trPr>
          <w:gridAfter w:val="2"/>
          <w:wAfter w:w="153" w:type="pct"/>
          <w:trHeight w:val="255"/>
        </w:trPr>
        <w:tc>
          <w:tcPr>
            <w:tcW w:w="141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 B-S-J-G (Çin)</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10</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518</w:t>
            </w:r>
          </w:p>
        </w:tc>
        <w:tc>
          <w:tcPr>
            <w:tcW w:w="556" w:type="pct"/>
            <w:tcBorders>
              <w:top w:val="nil"/>
              <w:left w:val="nil"/>
              <w:bottom w:val="nil"/>
              <w:right w:val="nil"/>
            </w:tcBorders>
            <w:shd w:val="clear" w:color="auto" w:fill="auto"/>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0.35</w:t>
            </w:r>
          </w:p>
        </w:tc>
        <w:tc>
          <w:tcPr>
            <w:tcW w:w="622"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0.03</w:t>
            </w:r>
          </w:p>
        </w:tc>
        <w:tc>
          <w:tcPr>
            <w:tcW w:w="223" w:type="pct"/>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96.13</w:t>
            </w:r>
          </w:p>
        </w:tc>
        <w:tc>
          <w:tcPr>
            <w:tcW w:w="389"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1.04</w:t>
            </w:r>
          </w:p>
        </w:tc>
      </w:tr>
      <w:tr w:rsidR="00263D52" w:rsidRPr="00BF6F37" w:rsidTr="00263D52">
        <w:trPr>
          <w:gridAfter w:val="2"/>
          <w:wAfter w:w="153" w:type="pct"/>
          <w:trHeight w:val="255"/>
        </w:trPr>
        <w:tc>
          <w:tcPr>
            <w:tcW w:w="141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Türkiye</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54</w:t>
            </w:r>
          </w:p>
        </w:tc>
        <w:tc>
          <w:tcPr>
            <w:tcW w:w="553" w:type="pct"/>
            <w:gridSpan w:val="2"/>
            <w:tcBorders>
              <w:top w:val="nil"/>
              <w:left w:val="nil"/>
              <w:bottom w:val="nil"/>
              <w:right w:val="nil"/>
            </w:tcBorders>
            <w:vAlign w:val="center"/>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425</w:t>
            </w:r>
          </w:p>
        </w:tc>
        <w:tc>
          <w:tcPr>
            <w:tcW w:w="556" w:type="pct"/>
            <w:tcBorders>
              <w:top w:val="nil"/>
              <w:left w:val="nil"/>
              <w:bottom w:val="nil"/>
              <w:right w:val="nil"/>
            </w:tcBorders>
            <w:shd w:val="clear" w:color="auto" w:fill="auto"/>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0.16</w:t>
            </w:r>
          </w:p>
        </w:tc>
        <w:tc>
          <w:tcPr>
            <w:tcW w:w="622"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0.02</w:t>
            </w:r>
          </w:p>
        </w:tc>
        <w:tc>
          <w:tcPr>
            <w:tcW w:w="223" w:type="pct"/>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p>
        </w:tc>
        <w:tc>
          <w:tcPr>
            <w:tcW w:w="541"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89.27</w:t>
            </w:r>
          </w:p>
        </w:tc>
        <w:tc>
          <w:tcPr>
            <w:tcW w:w="389" w:type="pct"/>
            <w:gridSpan w:val="2"/>
            <w:tcBorders>
              <w:top w:val="nil"/>
              <w:left w:val="nil"/>
              <w:bottom w:val="nil"/>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2.45</w:t>
            </w:r>
          </w:p>
        </w:tc>
      </w:tr>
      <w:tr w:rsidR="00263D52" w:rsidRPr="00BF6F37" w:rsidTr="00263D52">
        <w:trPr>
          <w:gridAfter w:val="2"/>
          <w:wAfter w:w="153" w:type="pct"/>
          <w:trHeight w:val="255"/>
        </w:trPr>
        <w:tc>
          <w:tcPr>
            <w:tcW w:w="1411" w:type="pct"/>
            <w:gridSpan w:val="2"/>
            <w:tcBorders>
              <w:top w:val="nil"/>
              <w:left w:val="nil"/>
              <w:bottom w:val="single" w:sz="4" w:space="0" w:color="auto"/>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OECD ort.</w:t>
            </w:r>
          </w:p>
        </w:tc>
        <w:tc>
          <w:tcPr>
            <w:tcW w:w="553" w:type="pct"/>
            <w:gridSpan w:val="2"/>
            <w:tcBorders>
              <w:top w:val="nil"/>
              <w:left w:val="nil"/>
              <w:bottom w:val="single" w:sz="4" w:space="0" w:color="auto"/>
              <w:right w:val="nil"/>
            </w:tcBorders>
            <w:vAlign w:val="center"/>
          </w:tcPr>
          <w:p w:rsidR="00263D52" w:rsidRPr="00BF6F37" w:rsidRDefault="00263D52" w:rsidP="00263D52">
            <w:pPr>
              <w:rPr>
                <w:rFonts w:ascii="Cambria" w:hAnsi="Cambria"/>
                <w:color w:val="000000"/>
                <w:sz w:val="20"/>
                <w:szCs w:val="20"/>
              </w:rPr>
            </w:pPr>
          </w:p>
        </w:tc>
        <w:tc>
          <w:tcPr>
            <w:tcW w:w="553" w:type="pct"/>
            <w:gridSpan w:val="2"/>
            <w:tcBorders>
              <w:top w:val="nil"/>
              <w:left w:val="nil"/>
              <w:bottom w:val="single" w:sz="4" w:space="0" w:color="auto"/>
              <w:right w:val="nil"/>
            </w:tcBorders>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493</w:t>
            </w:r>
          </w:p>
        </w:tc>
        <w:tc>
          <w:tcPr>
            <w:tcW w:w="556" w:type="pct"/>
            <w:tcBorders>
              <w:top w:val="nil"/>
              <w:left w:val="nil"/>
              <w:bottom w:val="single" w:sz="4" w:space="0" w:color="auto"/>
              <w:right w:val="nil"/>
            </w:tcBorders>
            <w:shd w:val="clear" w:color="auto" w:fill="auto"/>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0.77</w:t>
            </w:r>
          </w:p>
        </w:tc>
        <w:tc>
          <w:tcPr>
            <w:tcW w:w="622" w:type="pct"/>
            <w:gridSpan w:val="2"/>
            <w:tcBorders>
              <w:top w:val="nil"/>
              <w:left w:val="nil"/>
              <w:bottom w:val="single" w:sz="4" w:space="0" w:color="auto"/>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0.01</w:t>
            </w:r>
          </w:p>
        </w:tc>
        <w:tc>
          <w:tcPr>
            <w:tcW w:w="223" w:type="pct"/>
            <w:tcBorders>
              <w:top w:val="nil"/>
              <w:left w:val="nil"/>
              <w:bottom w:val="single" w:sz="4" w:space="0" w:color="auto"/>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w:t>
            </w:r>
          </w:p>
        </w:tc>
        <w:tc>
          <w:tcPr>
            <w:tcW w:w="541" w:type="pct"/>
            <w:gridSpan w:val="2"/>
            <w:tcBorders>
              <w:top w:val="nil"/>
              <w:left w:val="nil"/>
              <w:bottom w:val="single" w:sz="4" w:space="0" w:color="auto"/>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96.44</w:t>
            </w:r>
          </w:p>
        </w:tc>
        <w:tc>
          <w:tcPr>
            <w:tcW w:w="389" w:type="pct"/>
            <w:gridSpan w:val="2"/>
            <w:tcBorders>
              <w:top w:val="nil"/>
              <w:left w:val="nil"/>
              <w:bottom w:val="single" w:sz="4" w:space="0" w:color="auto"/>
              <w:right w:val="nil"/>
            </w:tcBorders>
            <w:shd w:val="clear" w:color="auto" w:fill="auto"/>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0.18</w:t>
            </w:r>
          </w:p>
        </w:tc>
      </w:tr>
    </w:tbl>
    <w:p w:rsidR="00263D52" w:rsidRPr="00BF6F37" w:rsidRDefault="00263D52" w:rsidP="002D5974">
      <w:pPr>
        <w:contextualSpacing/>
        <w:rPr>
          <w:rFonts w:ascii="Cambria" w:hAnsi="Cambria"/>
          <w:sz w:val="20"/>
          <w:szCs w:val="20"/>
        </w:rPr>
      </w:pPr>
      <w:r w:rsidRPr="00BF6F37">
        <w:rPr>
          <w:rFonts w:ascii="Cambria" w:hAnsi="Cambria"/>
          <w:i/>
          <w:sz w:val="20"/>
          <w:szCs w:val="20"/>
        </w:rPr>
        <w:t>Kaynak:</w:t>
      </w:r>
      <w:hyperlink r:id="rId13" w:history="1">
        <w:r w:rsidR="00CC3153" w:rsidRPr="00BF6F37">
          <w:rPr>
            <w:rStyle w:val="Hyperlink"/>
            <w:rFonts w:ascii="Cambria" w:hAnsi="Cambria"/>
            <w:sz w:val="20"/>
            <w:szCs w:val="20"/>
          </w:rPr>
          <w:t>http://gpseducation.oecd.org/IndicatorExplorer?query=2</w:t>
        </w:r>
      </w:hyperlink>
      <w:r w:rsidRPr="00BF6F37">
        <w:rPr>
          <w:rFonts w:ascii="Cambria" w:hAnsi="Cambria"/>
          <w:sz w:val="20"/>
          <w:szCs w:val="20"/>
        </w:rPr>
        <w:t>(Tablo: II.6.4)</w:t>
      </w:r>
      <w:r w:rsidRPr="00BF6F37">
        <w:rPr>
          <w:rFonts w:ascii="Cambria" w:hAnsi="Cambria"/>
          <w:sz w:val="20"/>
          <w:szCs w:val="20"/>
        </w:rPr>
        <w:tab/>
      </w:r>
    </w:p>
    <w:p w:rsidR="00263D52" w:rsidRPr="00BF6F37" w:rsidRDefault="00263D52" w:rsidP="00263D52">
      <w:pPr>
        <w:contextualSpacing/>
        <w:rPr>
          <w:rFonts w:ascii="Cambria" w:hAnsi="Cambria"/>
        </w:rPr>
      </w:pPr>
    </w:p>
    <w:p w:rsidR="00263D52" w:rsidRPr="00C84CED" w:rsidRDefault="00263D52" w:rsidP="00263D52">
      <w:pPr>
        <w:ind w:firstLine="709"/>
        <w:jc w:val="both"/>
        <w:rPr>
          <w:rFonts w:ascii="Cambria" w:hAnsi="Cambria"/>
          <w:sz w:val="22"/>
        </w:rPr>
      </w:pPr>
      <w:r w:rsidRPr="00C84CED">
        <w:rPr>
          <w:rFonts w:ascii="Cambria" w:hAnsi="Cambria"/>
          <w:sz w:val="22"/>
        </w:rPr>
        <w:t>Tabloda görüldüğü gibi öğrenci başına düşen bilgisayar sayılarında Japonya, Taipei, Vietnam, Beijing ve Türkiye, OECD ortalamasının altında bulunmaktadır. Söz konusu ülkelerden öğrenci başına düşen en düşük bilgisayar sayısı Türkiye’dedir. Diğer yandan internet erişimi konusunda Türkiye’ye ilişkin verinin iyi bir düzeyde olduğu söylenebilir. Ancak bilgisayar sayısı ve internet erişimi karşılaştırıldığında diğer ülkelere göre oldukça düşük sayıda olan bilgisayarın internet erişim oranının yüksek olması söz konusu göstergede iyi bir noktaya işaret etmemektedir.</w:t>
      </w:r>
    </w:p>
    <w:p w:rsidR="00263D52" w:rsidRDefault="00263D52" w:rsidP="00263D52">
      <w:pPr>
        <w:ind w:firstLine="709"/>
        <w:jc w:val="both"/>
        <w:rPr>
          <w:rFonts w:ascii="Cambria" w:hAnsi="Cambria"/>
          <w:sz w:val="22"/>
        </w:rPr>
      </w:pPr>
      <w:r w:rsidRPr="00C84CED">
        <w:rPr>
          <w:rFonts w:ascii="Cambria" w:hAnsi="Cambria"/>
          <w:sz w:val="22"/>
        </w:rPr>
        <w:t>Okullarda öğrenci başına düşen bilgisayar sayısı ve internet erişiminin yanı sıra öğrenci sayısına göre okul büyüklükleri de PISA 2015’te okul kaynakları bağlamında incelenen göstergelerdendir. Söz konusu gös</w:t>
      </w:r>
      <w:r w:rsidR="00BF6F37" w:rsidRPr="00C84CED">
        <w:rPr>
          <w:rFonts w:ascii="Cambria" w:hAnsi="Cambria"/>
          <w:sz w:val="22"/>
        </w:rPr>
        <w:t>tergeye ilişkin bilgiler Tablo 5</w:t>
      </w:r>
      <w:r w:rsidRPr="00C84CED">
        <w:rPr>
          <w:rFonts w:ascii="Cambria" w:hAnsi="Cambria"/>
          <w:sz w:val="22"/>
        </w:rPr>
        <w:t>’te sunulmuştur.</w:t>
      </w:r>
    </w:p>
    <w:tbl>
      <w:tblPr>
        <w:tblW w:w="4962" w:type="pct"/>
        <w:tblInd w:w="70" w:type="dxa"/>
        <w:tblCellMar>
          <w:left w:w="70" w:type="dxa"/>
          <w:right w:w="70" w:type="dxa"/>
        </w:tblCellMar>
        <w:tblLook w:val="04A0" w:firstRow="1" w:lastRow="0" w:firstColumn="1" w:lastColumn="0" w:noHBand="0" w:noVBand="1"/>
      </w:tblPr>
      <w:tblGrid>
        <w:gridCol w:w="1874"/>
        <w:gridCol w:w="782"/>
        <w:gridCol w:w="648"/>
        <w:gridCol w:w="781"/>
        <w:gridCol w:w="648"/>
        <w:gridCol w:w="781"/>
        <w:gridCol w:w="646"/>
        <w:gridCol w:w="781"/>
        <w:gridCol w:w="645"/>
        <w:gridCol w:w="776"/>
        <w:gridCol w:w="641"/>
      </w:tblGrid>
      <w:tr w:rsidR="00263D52" w:rsidRPr="00BF6F37" w:rsidTr="00263D52">
        <w:trPr>
          <w:trHeight w:val="278"/>
        </w:trPr>
        <w:tc>
          <w:tcPr>
            <w:tcW w:w="5000" w:type="pct"/>
            <w:gridSpan w:val="11"/>
            <w:tcBorders>
              <w:top w:val="nil"/>
              <w:left w:val="nil"/>
              <w:bottom w:val="single" w:sz="4" w:space="0" w:color="auto"/>
              <w:right w:val="nil"/>
            </w:tcBorders>
            <w:shd w:val="clear" w:color="auto" w:fill="auto"/>
            <w:noWrap/>
            <w:hideMark/>
          </w:tcPr>
          <w:p w:rsidR="003014FB" w:rsidRDefault="003014FB" w:rsidP="00C84CED">
            <w:pPr>
              <w:spacing w:after="120"/>
              <w:rPr>
                <w:rFonts w:ascii="Cambria" w:hAnsi="Cambria"/>
                <w:b/>
                <w:color w:val="000000"/>
                <w:sz w:val="20"/>
                <w:szCs w:val="20"/>
              </w:rPr>
            </w:pPr>
          </w:p>
          <w:p w:rsidR="00263D52" w:rsidRPr="00BF6F37" w:rsidRDefault="00BF6F37" w:rsidP="00C84CED">
            <w:pPr>
              <w:spacing w:after="120"/>
              <w:rPr>
                <w:rFonts w:ascii="Cambria" w:hAnsi="Cambria"/>
                <w:color w:val="000000"/>
                <w:sz w:val="20"/>
                <w:szCs w:val="20"/>
              </w:rPr>
            </w:pPr>
            <w:r>
              <w:rPr>
                <w:rFonts w:ascii="Cambria" w:hAnsi="Cambria"/>
                <w:b/>
                <w:color w:val="000000"/>
                <w:sz w:val="20"/>
                <w:szCs w:val="20"/>
              </w:rPr>
              <w:t>Tablo 5</w:t>
            </w:r>
            <w:r w:rsidR="00263D52" w:rsidRPr="00BF6F37">
              <w:rPr>
                <w:rFonts w:ascii="Cambria" w:hAnsi="Cambria"/>
                <w:b/>
                <w:color w:val="000000"/>
                <w:sz w:val="20"/>
                <w:szCs w:val="20"/>
              </w:rPr>
              <w:t>.</w:t>
            </w:r>
            <w:r w:rsidR="00263D52" w:rsidRPr="00BF6F37">
              <w:rPr>
                <w:rFonts w:ascii="Cambria" w:hAnsi="Cambria"/>
                <w:color w:val="000000"/>
                <w:sz w:val="20"/>
                <w:szCs w:val="20"/>
              </w:rPr>
              <w:t xml:space="preserve"> Okul büyüklüğü (Öğrenci sayısına göre)</w:t>
            </w:r>
          </w:p>
        </w:tc>
      </w:tr>
      <w:tr w:rsidR="00263D52" w:rsidRPr="00BF6F37" w:rsidTr="003014FB">
        <w:trPr>
          <w:trHeight w:val="300"/>
        </w:trPr>
        <w:tc>
          <w:tcPr>
            <w:tcW w:w="1040" w:type="pct"/>
            <w:tcBorders>
              <w:top w:val="single" w:sz="4" w:space="0" w:color="auto"/>
              <w:left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Ülke</w:t>
            </w:r>
          </w:p>
        </w:tc>
        <w:tc>
          <w:tcPr>
            <w:tcW w:w="794" w:type="pct"/>
            <w:gridSpan w:val="2"/>
            <w:tcBorders>
              <w:top w:val="single" w:sz="4" w:space="0" w:color="auto"/>
              <w:left w:val="nil"/>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Genel</w:t>
            </w:r>
          </w:p>
        </w:tc>
        <w:tc>
          <w:tcPr>
            <w:tcW w:w="794" w:type="pct"/>
            <w:gridSpan w:val="2"/>
            <w:tcBorders>
              <w:top w:val="single" w:sz="4" w:space="0" w:color="auto"/>
              <w:left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         SED 1</w:t>
            </w:r>
          </w:p>
        </w:tc>
        <w:tc>
          <w:tcPr>
            <w:tcW w:w="793" w:type="pct"/>
            <w:gridSpan w:val="2"/>
            <w:tcBorders>
              <w:top w:val="single" w:sz="4" w:space="0" w:color="auto"/>
              <w:left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        SED 2</w:t>
            </w:r>
          </w:p>
        </w:tc>
        <w:tc>
          <w:tcPr>
            <w:tcW w:w="792" w:type="pct"/>
            <w:gridSpan w:val="2"/>
            <w:tcBorders>
              <w:top w:val="single" w:sz="4" w:space="0" w:color="auto"/>
              <w:left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        SED 3</w:t>
            </w:r>
          </w:p>
        </w:tc>
        <w:tc>
          <w:tcPr>
            <w:tcW w:w="788" w:type="pct"/>
            <w:gridSpan w:val="2"/>
            <w:tcBorders>
              <w:top w:val="single" w:sz="4" w:space="0" w:color="auto"/>
              <w:left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      SED 4</w:t>
            </w:r>
          </w:p>
        </w:tc>
      </w:tr>
      <w:tr w:rsidR="00263D52" w:rsidRPr="00BF6F37" w:rsidTr="003014FB">
        <w:trPr>
          <w:trHeight w:val="300"/>
        </w:trPr>
        <w:tc>
          <w:tcPr>
            <w:tcW w:w="1040" w:type="pct"/>
            <w:tcBorders>
              <w:top w:val="nil"/>
              <w:left w:val="nil"/>
              <w:bottom w:val="single" w:sz="4" w:space="0" w:color="auto"/>
              <w:right w:val="nil"/>
            </w:tcBorders>
            <w:shd w:val="clear" w:color="auto" w:fill="auto"/>
            <w:noWrap/>
            <w:hideMark/>
          </w:tcPr>
          <w:p w:rsidR="00263D52" w:rsidRPr="00BF6F37" w:rsidRDefault="00263D52" w:rsidP="00263D52">
            <w:pPr>
              <w:rPr>
                <w:rFonts w:ascii="Cambria" w:hAnsi="Cambria"/>
                <w:color w:val="000000"/>
                <w:sz w:val="20"/>
                <w:szCs w:val="20"/>
              </w:rPr>
            </w:pPr>
          </w:p>
        </w:tc>
        <w:tc>
          <w:tcPr>
            <w:tcW w:w="434" w:type="pct"/>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w:t>
            </w:r>
          </w:p>
        </w:tc>
        <w:tc>
          <w:tcPr>
            <w:tcW w:w="360" w:type="pct"/>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Sh</w:t>
            </w:r>
          </w:p>
        </w:tc>
        <w:tc>
          <w:tcPr>
            <w:tcW w:w="434" w:type="pct"/>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w:t>
            </w:r>
          </w:p>
        </w:tc>
        <w:tc>
          <w:tcPr>
            <w:tcW w:w="360" w:type="pct"/>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Sh</w:t>
            </w:r>
          </w:p>
        </w:tc>
        <w:tc>
          <w:tcPr>
            <w:tcW w:w="434" w:type="pct"/>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w:t>
            </w:r>
          </w:p>
        </w:tc>
        <w:tc>
          <w:tcPr>
            <w:tcW w:w="359" w:type="pct"/>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Sh</w:t>
            </w:r>
          </w:p>
        </w:tc>
        <w:tc>
          <w:tcPr>
            <w:tcW w:w="434" w:type="pct"/>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w:t>
            </w:r>
          </w:p>
        </w:tc>
        <w:tc>
          <w:tcPr>
            <w:tcW w:w="358" w:type="pct"/>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Sh</w:t>
            </w:r>
          </w:p>
        </w:tc>
        <w:tc>
          <w:tcPr>
            <w:tcW w:w="431" w:type="pct"/>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w:t>
            </w:r>
          </w:p>
        </w:tc>
        <w:tc>
          <w:tcPr>
            <w:tcW w:w="357" w:type="pct"/>
            <w:tcBorders>
              <w:top w:val="nil"/>
              <w:left w:val="nil"/>
              <w:bottom w:val="single" w:sz="4" w:space="0" w:color="auto"/>
              <w:right w:val="nil"/>
            </w:tcBorders>
            <w:shd w:val="clear" w:color="auto" w:fill="auto"/>
            <w:noWrap/>
            <w:hideMark/>
          </w:tcPr>
          <w:p w:rsidR="00263D52" w:rsidRPr="00BF6F37" w:rsidRDefault="00263D52" w:rsidP="00263D52">
            <w:pPr>
              <w:jc w:val="center"/>
              <w:rPr>
                <w:rFonts w:ascii="Cambria" w:hAnsi="Cambria"/>
                <w:color w:val="000000"/>
                <w:sz w:val="20"/>
                <w:szCs w:val="20"/>
              </w:rPr>
            </w:pPr>
            <w:r w:rsidRPr="00BF6F37">
              <w:rPr>
                <w:rFonts w:ascii="Cambria" w:hAnsi="Cambria"/>
                <w:color w:val="000000"/>
                <w:sz w:val="20"/>
                <w:szCs w:val="20"/>
              </w:rPr>
              <w:t>Sh</w:t>
            </w:r>
          </w:p>
        </w:tc>
      </w:tr>
      <w:tr w:rsidR="00263D52" w:rsidRPr="00BF6F37" w:rsidTr="003014FB">
        <w:trPr>
          <w:trHeight w:val="300"/>
        </w:trPr>
        <w:tc>
          <w:tcPr>
            <w:tcW w:w="1040" w:type="pct"/>
            <w:tcBorders>
              <w:top w:val="single" w:sz="4" w:space="0" w:color="auto"/>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Singapur</w:t>
            </w:r>
          </w:p>
        </w:tc>
        <w:tc>
          <w:tcPr>
            <w:tcW w:w="434" w:type="pct"/>
            <w:tcBorders>
              <w:top w:val="single" w:sz="4" w:space="0" w:color="auto"/>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1231.7</w:t>
            </w:r>
          </w:p>
        </w:tc>
        <w:tc>
          <w:tcPr>
            <w:tcW w:w="360" w:type="pct"/>
            <w:tcBorders>
              <w:top w:val="single" w:sz="4" w:space="0" w:color="auto"/>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16.6</w:t>
            </w:r>
          </w:p>
        </w:tc>
        <w:tc>
          <w:tcPr>
            <w:tcW w:w="434" w:type="pct"/>
            <w:tcBorders>
              <w:top w:val="single" w:sz="4" w:space="0" w:color="auto"/>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992.3</w:t>
            </w:r>
          </w:p>
        </w:tc>
        <w:tc>
          <w:tcPr>
            <w:tcW w:w="360" w:type="pct"/>
            <w:tcBorders>
              <w:top w:val="single" w:sz="4" w:space="0" w:color="auto"/>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1.5</w:t>
            </w:r>
          </w:p>
        </w:tc>
        <w:tc>
          <w:tcPr>
            <w:tcW w:w="434" w:type="pct"/>
            <w:tcBorders>
              <w:top w:val="single" w:sz="4" w:space="0" w:color="auto"/>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1124.9</w:t>
            </w:r>
          </w:p>
        </w:tc>
        <w:tc>
          <w:tcPr>
            <w:tcW w:w="359" w:type="pct"/>
            <w:tcBorders>
              <w:top w:val="single" w:sz="4" w:space="0" w:color="auto"/>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6.6</w:t>
            </w:r>
          </w:p>
        </w:tc>
        <w:tc>
          <w:tcPr>
            <w:tcW w:w="434" w:type="pct"/>
            <w:tcBorders>
              <w:top w:val="single" w:sz="4" w:space="0" w:color="auto"/>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1218.4</w:t>
            </w:r>
          </w:p>
        </w:tc>
        <w:tc>
          <w:tcPr>
            <w:tcW w:w="358" w:type="pct"/>
            <w:tcBorders>
              <w:top w:val="single" w:sz="4" w:space="0" w:color="auto"/>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10.3</w:t>
            </w:r>
          </w:p>
        </w:tc>
        <w:tc>
          <w:tcPr>
            <w:tcW w:w="431" w:type="pct"/>
            <w:tcBorders>
              <w:top w:val="single" w:sz="4" w:space="0" w:color="auto"/>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1583.1</w:t>
            </w:r>
          </w:p>
        </w:tc>
        <w:tc>
          <w:tcPr>
            <w:tcW w:w="357" w:type="pct"/>
            <w:tcBorders>
              <w:top w:val="single" w:sz="4" w:space="0" w:color="auto"/>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66.4</w:t>
            </w:r>
          </w:p>
        </w:tc>
      </w:tr>
      <w:tr w:rsidR="00263D52" w:rsidRPr="00BF6F37" w:rsidTr="003014FB">
        <w:trPr>
          <w:trHeight w:val="300"/>
        </w:trPr>
        <w:tc>
          <w:tcPr>
            <w:tcW w:w="1040" w:type="pct"/>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Japonya</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759.8</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19.1</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582.1</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69.5</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693</w:t>
            </w:r>
          </w:p>
        </w:tc>
        <w:tc>
          <w:tcPr>
            <w:tcW w:w="359"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39.1</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824.3</w:t>
            </w:r>
          </w:p>
        </w:tc>
        <w:tc>
          <w:tcPr>
            <w:tcW w:w="358"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61.5</w:t>
            </w:r>
          </w:p>
        </w:tc>
        <w:tc>
          <w:tcPr>
            <w:tcW w:w="431"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939.6</w:t>
            </w:r>
          </w:p>
        </w:tc>
        <w:tc>
          <w:tcPr>
            <w:tcW w:w="357"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46.6</w:t>
            </w:r>
          </w:p>
        </w:tc>
      </w:tr>
      <w:tr w:rsidR="00263D52" w:rsidRPr="00BF6F37" w:rsidTr="003014FB">
        <w:trPr>
          <w:trHeight w:val="300"/>
        </w:trPr>
        <w:tc>
          <w:tcPr>
            <w:tcW w:w="1040" w:type="pct"/>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Estonya</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569.4</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11.5</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258</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31.9</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506.5</w:t>
            </w:r>
          </w:p>
        </w:tc>
        <w:tc>
          <w:tcPr>
            <w:tcW w:w="359"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29.8</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682.3</w:t>
            </w:r>
          </w:p>
        </w:tc>
        <w:tc>
          <w:tcPr>
            <w:tcW w:w="358"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32.3</w:t>
            </w:r>
          </w:p>
        </w:tc>
        <w:tc>
          <w:tcPr>
            <w:tcW w:w="431"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810.9</w:t>
            </w:r>
          </w:p>
        </w:tc>
        <w:tc>
          <w:tcPr>
            <w:tcW w:w="357"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27.0</w:t>
            </w:r>
          </w:p>
        </w:tc>
      </w:tr>
      <w:tr w:rsidR="00263D52" w:rsidRPr="00BF6F37" w:rsidTr="003014FB">
        <w:trPr>
          <w:trHeight w:val="300"/>
        </w:trPr>
        <w:tc>
          <w:tcPr>
            <w:tcW w:w="1040" w:type="pct"/>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Taipei - Çin</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2291.4</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61.7</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2016.5</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243.7</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2300.9</w:t>
            </w:r>
          </w:p>
        </w:tc>
        <w:tc>
          <w:tcPr>
            <w:tcW w:w="359"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200.6</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2457.4</w:t>
            </w:r>
          </w:p>
        </w:tc>
        <w:tc>
          <w:tcPr>
            <w:tcW w:w="358"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167.9</w:t>
            </w:r>
          </w:p>
        </w:tc>
        <w:tc>
          <w:tcPr>
            <w:tcW w:w="431"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2390.7</w:t>
            </w:r>
          </w:p>
        </w:tc>
        <w:tc>
          <w:tcPr>
            <w:tcW w:w="357"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167.2</w:t>
            </w:r>
          </w:p>
        </w:tc>
      </w:tr>
      <w:tr w:rsidR="00263D52" w:rsidRPr="00BF6F37" w:rsidTr="003014FB">
        <w:trPr>
          <w:trHeight w:val="300"/>
        </w:trPr>
        <w:tc>
          <w:tcPr>
            <w:tcW w:w="1040" w:type="pct"/>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Finlandiya</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436.7</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13.9</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334.1</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33.2</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484.9</w:t>
            </w:r>
          </w:p>
        </w:tc>
        <w:tc>
          <w:tcPr>
            <w:tcW w:w="359"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30.9</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427.8</w:t>
            </w:r>
          </w:p>
        </w:tc>
        <w:tc>
          <w:tcPr>
            <w:tcW w:w="358"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30.2</w:t>
            </w:r>
          </w:p>
        </w:tc>
        <w:tc>
          <w:tcPr>
            <w:tcW w:w="431"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501.0</w:t>
            </w:r>
          </w:p>
        </w:tc>
        <w:tc>
          <w:tcPr>
            <w:tcW w:w="357"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37.1</w:t>
            </w:r>
          </w:p>
        </w:tc>
      </w:tr>
      <w:tr w:rsidR="00263D52" w:rsidRPr="00BF6F37" w:rsidTr="003014FB">
        <w:trPr>
          <w:trHeight w:val="300"/>
        </w:trPr>
        <w:tc>
          <w:tcPr>
            <w:tcW w:w="1040" w:type="pct"/>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Makao (Çin)</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1806.6</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1.5</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1497.3</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2.3</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2318.2</w:t>
            </w:r>
          </w:p>
        </w:tc>
        <w:tc>
          <w:tcPr>
            <w:tcW w:w="359"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3.6</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1801.7</w:t>
            </w:r>
          </w:p>
        </w:tc>
        <w:tc>
          <w:tcPr>
            <w:tcW w:w="358"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3.6</w:t>
            </w:r>
          </w:p>
        </w:tc>
        <w:tc>
          <w:tcPr>
            <w:tcW w:w="431"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1609.3</w:t>
            </w:r>
          </w:p>
        </w:tc>
        <w:tc>
          <w:tcPr>
            <w:tcW w:w="357"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w:t>
            </w:r>
          </w:p>
        </w:tc>
      </w:tr>
      <w:tr w:rsidR="00263D52" w:rsidRPr="00BF6F37" w:rsidTr="003014FB">
        <w:trPr>
          <w:trHeight w:val="300"/>
        </w:trPr>
        <w:tc>
          <w:tcPr>
            <w:tcW w:w="1040" w:type="pct"/>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Kanada</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952.1</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18.5</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737.3</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48.4</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947</w:t>
            </w:r>
          </w:p>
        </w:tc>
        <w:tc>
          <w:tcPr>
            <w:tcW w:w="359"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73.3</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1048.5</w:t>
            </w:r>
          </w:p>
        </w:tc>
        <w:tc>
          <w:tcPr>
            <w:tcW w:w="358"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51.1</w:t>
            </w:r>
          </w:p>
        </w:tc>
        <w:tc>
          <w:tcPr>
            <w:tcW w:w="431"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1044.8</w:t>
            </w:r>
          </w:p>
        </w:tc>
        <w:tc>
          <w:tcPr>
            <w:tcW w:w="357"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40.7</w:t>
            </w:r>
          </w:p>
        </w:tc>
      </w:tr>
      <w:tr w:rsidR="00263D52" w:rsidRPr="00BF6F37" w:rsidTr="003014FB">
        <w:trPr>
          <w:trHeight w:val="300"/>
        </w:trPr>
        <w:tc>
          <w:tcPr>
            <w:tcW w:w="1040" w:type="pct"/>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Vietnam</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1054.7</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39.9</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711.7</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70.2</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1008.7</w:t>
            </w:r>
          </w:p>
        </w:tc>
        <w:tc>
          <w:tcPr>
            <w:tcW w:w="359"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78.1</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1033.8</w:t>
            </w:r>
          </w:p>
        </w:tc>
        <w:tc>
          <w:tcPr>
            <w:tcW w:w="358"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100.7</w:t>
            </w:r>
          </w:p>
        </w:tc>
        <w:tc>
          <w:tcPr>
            <w:tcW w:w="431"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1465</w:t>
            </w:r>
          </w:p>
        </w:tc>
        <w:tc>
          <w:tcPr>
            <w:tcW w:w="357"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105.4</w:t>
            </w:r>
          </w:p>
        </w:tc>
      </w:tr>
      <w:tr w:rsidR="00263D52" w:rsidRPr="00BF6F37" w:rsidTr="003014FB">
        <w:trPr>
          <w:trHeight w:val="300"/>
        </w:trPr>
        <w:tc>
          <w:tcPr>
            <w:tcW w:w="1040" w:type="pct"/>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Hong Kong (Çin)</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841.5</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20.5</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713.9</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29.9</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799.6</w:t>
            </w:r>
          </w:p>
        </w:tc>
        <w:tc>
          <w:tcPr>
            <w:tcW w:w="359"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30.4</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836.6</w:t>
            </w:r>
          </w:p>
        </w:tc>
        <w:tc>
          <w:tcPr>
            <w:tcW w:w="358"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23.4</w:t>
            </w:r>
          </w:p>
        </w:tc>
        <w:tc>
          <w:tcPr>
            <w:tcW w:w="431"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1015.4</w:t>
            </w:r>
          </w:p>
        </w:tc>
        <w:tc>
          <w:tcPr>
            <w:tcW w:w="357"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68.5</w:t>
            </w:r>
          </w:p>
        </w:tc>
      </w:tr>
      <w:tr w:rsidR="00263D52" w:rsidRPr="00BF6F37" w:rsidTr="003014FB">
        <w:trPr>
          <w:trHeight w:val="300"/>
        </w:trPr>
        <w:tc>
          <w:tcPr>
            <w:tcW w:w="1040" w:type="pct"/>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 xml:space="preserve"> B-S-J-G (Çin)</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2590</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161.9</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1678.8</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184.9</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3099.3</w:t>
            </w:r>
          </w:p>
        </w:tc>
        <w:tc>
          <w:tcPr>
            <w:tcW w:w="359"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479.3</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3189.2</w:t>
            </w:r>
          </w:p>
        </w:tc>
        <w:tc>
          <w:tcPr>
            <w:tcW w:w="358"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396.6</w:t>
            </w:r>
          </w:p>
        </w:tc>
        <w:tc>
          <w:tcPr>
            <w:tcW w:w="431"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2392.9</w:t>
            </w:r>
          </w:p>
        </w:tc>
        <w:tc>
          <w:tcPr>
            <w:tcW w:w="357"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311.1</w:t>
            </w:r>
          </w:p>
        </w:tc>
      </w:tr>
      <w:tr w:rsidR="00263D52" w:rsidRPr="00BF6F37" w:rsidTr="003014FB">
        <w:trPr>
          <w:trHeight w:val="300"/>
        </w:trPr>
        <w:tc>
          <w:tcPr>
            <w:tcW w:w="1040" w:type="pct"/>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Türkiye</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821.9</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36.4</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696.2</w:t>
            </w:r>
          </w:p>
        </w:tc>
        <w:tc>
          <w:tcPr>
            <w:tcW w:w="360"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87.2</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1055.1</w:t>
            </w:r>
          </w:p>
        </w:tc>
        <w:tc>
          <w:tcPr>
            <w:tcW w:w="359"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95.1</w:t>
            </w:r>
          </w:p>
        </w:tc>
        <w:tc>
          <w:tcPr>
            <w:tcW w:w="434"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843.4</w:t>
            </w:r>
          </w:p>
        </w:tc>
        <w:tc>
          <w:tcPr>
            <w:tcW w:w="358"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90.3</w:t>
            </w:r>
          </w:p>
        </w:tc>
        <w:tc>
          <w:tcPr>
            <w:tcW w:w="431"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693.5</w:t>
            </w:r>
          </w:p>
        </w:tc>
        <w:tc>
          <w:tcPr>
            <w:tcW w:w="357" w:type="pct"/>
            <w:tcBorders>
              <w:top w:val="nil"/>
              <w:left w:val="nil"/>
              <w:bottom w:val="nil"/>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64.3</w:t>
            </w:r>
          </w:p>
        </w:tc>
      </w:tr>
      <w:tr w:rsidR="00263D52" w:rsidRPr="00BF6F37" w:rsidTr="003014FB">
        <w:trPr>
          <w:trHeight w:val="300"/>
        </w:trPr>
        <w:tc>
          <w:tcPr>
            <w:tcW w:w="1040" w:type="pct"/>
            <w:tcBorders>
              <w:top w:val="nil"/>
              <w:left w:val="nil"/>
              <w:bottom w:val="single" w:sz="4" w:space="0" w:color="auto"/>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color w:val="000000"/>
                <w:sz w:val="20"/>
                <w:szCs w:val="20"/>
              </w:rPr>
              <w:t>OECD</w:t>
            </w:r>
          </w:p>
        </w:tc>
        <w:tc>
          <w:tcPr>
            <w:tcW w:w="434" w:type="pct"/>
            <w:tcBorders>
              <w:top w:val="nil"/>
              <w:left w:val="nil"/>
              <w:bottom w:val="single" w:sz="4" w:space="0" w:color="auto"/>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762</w:t>
            </w:r>
          </w:p>
        </w:tc>
        <w:tc>
          <w:tcPr>
            <w:tcW w:w="360" w:type="pct"/>
            <w:tcBorders>
              <w:top w:val="nil"/>
              <w:left w:val="nil"/>
              <w:bottom w:val="single" w:sz="4" w:space="0" w:color="auto"/>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4.6</w:t>
            </w:r>
          </w:p>
        </w:tc>
        <w:tc>
          <w:tcPr>
            <w:tcW w:w="434" w:type="pct"/>
            <w:tcBorders>
              <w:top w:val="nil"/>
              <w:left w:val="nil"/>
              <w:bottom w:val="single" w:sz="4" w:space="0" w:color="auto"/>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598.3</w:t>
            </w:r>
          </w:p>
        </w:tc>
        <w:tc>
          <w:tcPr>
            <w:tcW w:w="360" w:type="pct"/>
            <w:tcBorders>
              <w:top w:val="nil"/>
              <w:left w:val="nil"/>
              <w:bottom w:val="single" w:sz="4" w:space="0" w:color="auto"/>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10.5</w:t>
            </w:r>
          </w:p>
        </w:tc>
        <w:tc>
          <w:tcPr>
            <w:tcW w:w="434" w:type="pct"/>
            <w:tcBorders>
              <w:top w:val="nil"/>
              <w:left w:val="nil"/>
              <w:bottom w:val="single" w:sz="4" w:space="0" w:color="auto"/>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739</w:t>
            </w:r>
          </w:p>
        </w:tc>
        <w:tc>
          <w:tcPr>
            <w:tcW w:w="359" w:type="pct"/>
            <w:tcBorders>
              <w:top w:val="nil"/>
              <w:left w:val="nil"/>
              <w:bottom w:val="single" w:sz="4" w:space="0" w:color="auto"/>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12</w:t>
            </w:r>
          </w:p>
        </w:tc>
        <w:tc>
          <w:tcPr>
            <w:tcW w:w="434" w:type="pct"/>
            <w:tcBorders>
              <w:top w:val="nil"/>
              <w:left w:val="nil"/>
              <w:bottom w:val="single" w:sz="4" w:space="0" w:color="auto"/>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813.4</w:t>
            </w:r>
          </w:p>
        </w:tc>
        <w:tc>
          <w:tcPr>
            <w:tcW w:w="358" w:type="pct"/>
            <w:tcBorders>
              <w:top w:val="nil"/>
              <w:left w:val="nil"/>
              <w:bottom w:val="single" w:sz="4" w:space="0" w:color="auto"/>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14.4</w:t>
            </w:r>
          </w:p>
        </w:tc>
        <w:tc>
          <w:tcPr>
            <w:tcW w:w="431" w:type="pct"/>
            <w:tcBorders>
              <w:top w:val="nil"/>
              <w:left w:val="nil"/>
              <w:bottom w:val="single" w:sz="4" w:space="0" w:color="auto"/>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893.2</w:t>
            </w:r>
          </w:p>
        </w:tc>
        <w:tc>
          <w:tcPr>
            <w:tcW w:w="357" w:type="pct"/>
            <w:tcBorders>
              <w:top w:val="nil"/>
              <w:left w:val="nil"/>
              <w:bottom w:val="single" w:sz="4" w:space="0" w:color="auto"/>
              <w:right w:val="nil"/>
            </w:tcBorders>
            <w:shd w:val="clear" w:color="auto" w:fill="auto"/>
            <w:noWrap/>
            <w:hideMark/>
          </w:tcPr>
          <w:p w:rsidR="00263D52" w:rsidRPr="00BF6F37" w:rsidRDefault="00263D52" w:rsidP="00263D52">
            <w:pPr>
              <w:jc w:val="right"/>
              <w:rPr>
                <w:rFonts w:ascii="Cambria" w:hAnsi="Cambria"/>
                <w:color w:val="000000"/>
                <w:sz w:val="20"/>
                <w:szCs w:val="20"/>
              </w:rPr>
            </w:pPr>
            <w:r w:rsidRPr="00BF6F37">
              <w:rPr>
                <w:rFonts w:ascii="Cambria" w:hAnsi="Cambria"/>
                <w:color w:val="000000"/>
                <w:sz w:val="20"/>
                <w:szCs w:val="20"/>
              </w:rPr>
              <w:t>10.7</w:t>
            </w:r>
          </w:p>
        </w:tc>
      </w:tr>
      <w:tr w:rsidR="00263D52" w:rsidRPr="00BF6F37" w:rsidTr="00263D52">
        <w:trPr>
          <w:trHeight w:val="300"/>
        </w:trPr>
        <w:tc>
          <w:tcPr>
            <w:tcW w:w="5000" w:type="pct"/>
            <w:gridSpan w:val="11"/>
            <w:tcBorders>
              <w:top w:val="nil"/>
              <w:left w:val="nil"/>
              <w:bottom w:val="nil"/>
              <w:right w:val="nil"/>
            </w:tcBorders>
            <w:shd w:val="clear" w:color="auto" w:fill="auto"/>
            <w:noWrap/>
            <w:hideMark/>
          </w:tcPr>
          <w:p w:rsidR="00263D52" w:rsidRPr="00BF6F37" w:rsidRDefault="00263D52" w:rsidP="00263D52">
            <w:pPr>
              <w:rPr>
                <w:rFonts w:ascii="Cambria" w:hAnsi="Cambria"/>
                <w:color w:val="000000"/>
                <w:sz w:val="20"/>
                <w:szCs w:val="20"/>
              </w:rPr>
            </w:pPr>
            <w:r w:rsidRPr="00BF6F37">
              <w:rPr>
                <w:rFonts w:ascii="Cambria" w:hAnsi="Cambria"/>
                <w:i/>
                <w:color w:val="000000"/>
                <w:sz w:val="20"/>
                <w:szCs w:val="20"/>
              </w:rPr>
              <w:t>Kaynak:</w:t>
            </w:r>
            <w:hyperlink r:id="rId14" w:history="1">
              <w:r w:rsidRPr="00BF6F37">
                <w:rPr>
                  <w:rStyle w:val="Hyperlink"/>
                  <w:rFonts w:ascii="Cambria" w:hAnsi="Cambria"/>
                  <w:sz w:val="20"/>
                  <w:szCs w:val="20"/>
                </w:rPr>
                <w:t>http://gpseducation.oecd.org/IndicatorExplorer?query=2</w:t>
              </w:r>
            </w:hyperlink>
            <w:r w:rsidRPr="00BF6F37">
              <w:rPr>
                <w:rFonts w:ascii="Cambria" w:hAnsi="Cambria"/>
                <w:color w:val="000000"/>
                <w:sz w:val="20"/>
                <w:szCs w:val="20"/>
              </w:rPr>
              <w:t xml:space="preserve"> (Tablo II.6.7)</w:t>
            </w:r>
          </w:p>
          <w:p w:rsidR="00263D52" w:rsidRPr="00BF6F37" w:rsidRDefault="00263D52" w:rsidP="00263D52">
            <w:pPr>
              <w:rPr>
                <w:rFonts w:ascii="Cambria" w:hAnsi="Cambria"/>
                <w:color w:val="000000"/>
                <w:sz w:val="20"/>
                <w:szCs w:val="20"/>
              </w:rPr>
            </w:pPr>
          </w:p>
        </w:tc>
      </w:tr>
    </w:tbl>
    <w:p w:rsidR="00263D52" w:rsidRPr="00C84CED" w:rsidRDefault="00263D52" w:rsidP="00263D52">
      <w:pPr>
        <w:ind w:firstLine="709"/>
        <w:jc w:val="both"/>
        <w:rPr>
          <w:rFonts w:ascii="Cambria" w:hAnsi="Cambria"/>
          <w:sz w:val="22"/>
        </w:rPr>
      </w:pPr>
      <w:r w:rsidRPr="00C84CED">
        <w:rPr>
          <w:rFonts w:ascii="Cambria" w:hAnsi="Cambria"/>
          <w:sz w:val="22"/>
        </w:rPr>
        <w:lastRenderedPageBreak/>
        <w:t>Tablo incelendiğinde Finlandiya’da okul öğrenci sayılarının dikkat çekici düzeyde düşük olduğu, Beijing ve</w:t>
      </w:r>
      <w:r w:rsidRPr="00C84CED">
        <w:rPr>
          <w:rFonts w:ascii="Cambria" w:hAnsi="Cambria"/>
          <w:color w:val="000000"/>
          <w:sz w:val="22"/>
        </w:rPr>
        <w:t xml:space="preserve"> Taipei’de ise ciddi anlamda yüksek olduğu söylenebilir. Türkiye’nin durumu diğer ülkelerle karşılaştırıldığında, Türkiye’deki okulların öğrenci sayılarının Finlandiya, Estonya ve Japonya gibi ülkelere ve OECD ortalamasına göre yüksek, diğer ülkelere göre ise düşük olduğu görülmektedir. Okulların SED </w:t>
      </w:r>
      <w:proofErr w:type="gramStart"/>
      <w:r w:rsidRPr="00C84CED">
        <w:rPr>
          <w:rFonts w:ascii="Cambria" w:hAnsi="Cambria"/>
          <w:color w:val="000000"/>
          <w:sz w:val="22"/>
        </w:rPr>
        <w:t>profillerine</w:t>
      </w:r>
      <w:proofErr w:type="gramEnd"/>
      <w:r w:rsidRPr="00C84CED">
        <w:rPr>
          <w:rFonts w:ascii="Cambria" w:hAnsi="Cambria"/>
          <w:color w:val="000000"/>
          <w:sz w:val="22"/>
        </w:rPr>
        <w:t xml:space="preserve"> göre ortalama öğrenci sayıları dikkate alındığında, tüm ülkelerde SED 1 düzeyindeki okulların öğrenci sayıları genel ortalamaya göre düşüktür. Bu durum SED 1 okullarının genellikle kırsal kesimde olmasından kaynaklanabilir. Diğer yandan çoğu ülkede okulların SED </w:t>
      </w:r>
      <w:proofErr w:type="gramStart"/>
      <w:r w:rsidRPr="00C84CED">
        <w:rPr>
          <w:rFonts w:ascii="Cambria" w:hAnsi="Cambria"/>
          <w:color w:val="000000"/>
          <w:sz w:val="22"/>
        </w:rPr>
        <w:t>profili</w:t>
      </w:r>
      <w:proofErr w:type="gramEnd"/>
      <w:r w:rsidRPr="00C84CED">
        <w:rPr>
          <w:rFonts w:ascii="Cambria" w:hAnsi="Cambria"/>
          <w:color w:val="000000"/>
          <w:sz w:val="22"/>
        </w:rPr>
        <w:t xml:space="preserve"> yükseldikçe öğrenci sayısının da artmakta olduğu gözlenmiştir. Bu durum sadece Türkiye ve Makao için söz konusu değildir. Bir başka deyişle Türkiye ve Makao’da yüksek SED </w:t>
      </w:r>
      <w:proofErr w:type="gramStart"/>
      <w:r w:rsidRPr="00C84CED">
        <w:rPr>
          <w:rFonts w:ascii="Cambria" w:hAnsi="Cambria"/>
          <w:color w:val="000000"/>
          <w:sz w:val="22"/>
        </w:rPr>
        <w:t>profilindeki</w:t>
      </w:r>
      <w:proofErr w:type="gramEnd"/>
      <w:r w:rsidRPr="00C84CED">
        <w:rPr>
          <w:rFonts w:ascii="Cambria" w:hAnsi="Cambria"/>
          <w:color w:val="000000"/>
          <w:sz w:val="22"/>
        </w:rPr>
        <w:t xml:space="preserve"> okulların öğrenci sayıları düşüktür. </w:t>
      </w:r>
    </w:p>
    <w:p w:rsidR="00D54297" w:rsidRPr="00C84CED" w:rsidRDefault="00263D52" w:rsidP="00DA0C2E">
      <w:pPr>
        <w:ind w:firstLine="709"/>
        <w:jc w:val="both"/>
        <w:rPr>
          <w:rFonts w:ascii="Cambria" w:hAnsi="Cambria"/>
          <w:color w:val="000000"/>
          <w:sz w:val="22"/>
        </w:rPr>
      </w:pPr>
      <w:r w:rsidRPr="00C84CED">
        <w:rPr>
          <w:rFonts w:ascii="Cambria" w:hAnsi="Cambria"/>
          <w:color w:val="000000"/>
          <w:sz w:val="22"/>
        </w:rPr>
        <w:t>İnsan kaynakları boyutu, öğretmen maaşları, öğretmen-öğrenci oranları ve öğretmenlerin mesleki gelişimlerine ilişkin veriler içermektedir. Bu çerçevede öğretmen maaşlarına ilişkin veriler GSMH ve öğretim kademeleri b</w:t>
      </w:r>
      <w:r w:rsidR="00BF6F37" w:rsidRPr="00C84CED">
        <w:rPr>
          <w:rFonts w:ascii="Cambria" w:hAnsi="Cambria"/>
          <w:color w:val="000000"/>
          <w:sz w:val="22"/>
        </w:rPr>
        <w:t>ağlamında ele alınmış ve Tablo 6’da</w:t>
      </w:r>
      <w:r w:rsidRPr="00C84CED">
        <w:rPr>
          <w:rFonts w:ascii="Cambria" w:hAnsi="Cambria"/>
          <w:color w:val="000000"/>
          <w:sz w:val="22"/>
        </w:rPr>
        <w:t xml:space="preserve"> sunulmuştur.</w:t>
      </w:r>
    </w:p>
    <w:p w:rsidR="00BF6F37" w:rsidRPr="00BF6F37" w:rsidRDefault="00BF6F37" w:rsidP="00FA43C2">
      <w:pPr>
        <w:jc w:val="both"/>
        <w:rPr>
          <w:rFonts w:ascii="Cambria" w:hAnsi="Cambria"/>
          <w:color w:val="000000"/>
        </w:rPr>
      </w:pPr>
    </w:p>
    <w:p w:rsidR="00D54297" w:rsidRPr="00BF6F37" w:rsidRDefault="00BF6F37" w:rsidP="00C84CED">
      <w:pPr>
        <w:spacing w:after="120"/>
        <w:jc w:val="both"/>
        <w:rPr>
          <w:rFonts w:ascii="Cambria" w:hAnsi="Cambria"/>
          <w:color w:val="000000"/>
          <w:sz w:val="20"/>
          <w:szCs w:val="20"/>
        </w:rPr>
      </w:pPr>
      <w:r>
        <w:rPr>
          <w:rFonts w:ascii="Cambria" w:hAnsi="Cambria"/>
          <w:b/>
          <w:color w:val="000000"/>
          <w:sz w:val="20"/>
          <w:szCs w:val="20"/>
        </w:rPr>
        <w:t>Tablo 6</w:t>
      </w:r>
      <w:r w:rsidR="00D54297" w:rsidRPr="00BF6F37">
        <w:rPr>
          <w:rFonts w:ascii="Cambria" w:hAnsi="Cambria"/>
          <w:b/>
          <w:color w:val="000000"/>
          <w:sz w:val="20"/>
          <w:szCs w:val="20"/>
        </w:rPr>
        <w:t>.</w:t>
      </w:r>
      <w:r w:rsidR="00D54297" w:rsidRPr="00BF6F37">
        <w:rPr>
          <w:rFonts w:ascii="Cambria" w:hAnsi="Cambria"/>
          <w:i/>
          <w:color w:val="000000"/>
          <w:sz w:val="20"/>
          <w:szCs w:val="20"/>
        </w:rPr>
        <w:t xml:space="preserve"> Öğretmen Maaşları</w:t>
      </w:r>
    </w:p>
    <w:tbl>
      <w:tblPr>
        <w:tblW w:w="4943" w:type="pct"/>
        <w:tblInd w:w="70" w:type="dxa"/>
        <w:tblLayout w:type="fixed"/>
        <w:tblCellMar>
          <w:left w:w="70" w:type="dxa"/>
          <w:right w:w="70" w:type="dxa"/>
        </w:tblCellMar>
        <w:tblLook w:val="04A0" w:firstRow="1" w:lastRow="0" w:firstColumn="1" w:lastColumn="0" w:noHBand="0" w:noVBand="1"/>
      </w:tblPr>
      <w:tblGrid>
        <w:gridCol w:w="160"/>
        <w:gridCol w:w="2227"/>
        <w:gridCol w:w="239"/>
        <w:gridCol w:w="138"/>
        <w:gridCol w:w="242"/>
        <w:gridCol w:w="547"/>
        <w:gridCol w:w="179"/>
        <w:gridCol w:w="418"/>
        <w:gridCol w:w="1012"/>
        <w:gridCol w:w="1170"/>
        <w:gridCol w:w="405"/>
        <w:gridCol w:w="1159"/>
        <w:gridCol w:w="1073"/>
      </w:tblGrid>
      <w:tr w:rsidR="00D54297" w:rsidRPr="00BF6F37" w:rsidTr="00BF6F37">
        <w:trPr>
          <w:trHeight w:val="309"/>
        </w:trPr>
        <w:tc>
          <w:tcPr>
            <w:tcW w:w="1330" w:type="pct"/>
            <w:gridSpan w:val="2"/>
            <w:tcBorders>
              <w:top w:val="single" w:sz="4" w:space="0" w:color="auto"/>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p>
        </w:tc>
        <w:tc>
          <w:tcPr>
            <w:tcW w:w="651" w:type="pct"/>
            <w:gridSpan w:val="4"/>
            <w:tcBorders>
              <w:top w:val="single" w:sz="4" w:space="0" w:color="auto"/>
              <w:left w:val="nil"/>
              <w:bottom w:val="single" w:sz="4" w:space="0" w:color="auto"/>
              <w:right w:val="nil"/>
            </w:tcBorders>
          </w:tcPr>
          <w:p w:rsidR="00D54297" w:rsidRPr="00BF6F37" w:rsidRDefault="00D54297" w:rsidP="00D54297">
            <w:pPr>
              <w:jc w:val="center"/>
              <w:rPr>
                <w:rFonts w:ascii="Cambria" w:hAnsi="Cambria"/>
                <w:color w:val="000000"/>
                <w:sz w:val="20"/>
                <w:szCs w:val="20"/>
              </w:rPr>
            </w:pPr>
          </w:p>
        </w:tc>
        <w:tc>
          <w:tcPr>
            <w:tcW w:w="1775" w:type="pct"/>
            <w:gridSpan w:val="5"/>
            <w:tcBorders>
              <w:top w:val="single" w:sz="4" w:space="0" w:color="auto"/>
              <w:left w:val="nil"/>
              <w:bottom w:val="single" w:sz="4" w:space="0" w:color="auto"/>
              <w:right w:val="nil"/>
            </w:tcBorders>
            <w:shd w:val="clear" w:color="auto" w:fill="auto"/>
            <w:noWrap/>
            <w:hideMark/>
          </w:tcPr>
          <w:p w:rsidR="00D54297" w:rsidRPr="00BF6F37" w:rsidRDefault="00D54297" w:rsidP="00BF6F37">
            <w:pPr>
              <w:jc w:val="center"/>
              <w:rPr>
                <w:rFonts w:ascii="Cambria" w:hAnsi="Cambria"/>
                <w:color w:val="000000"/>
                <w:sz w:val="20"/>
                <w:szCs w:val="20"/>
              </w:rPr>
            </w:pPr>
            <w:r w:rsidRPr="00BF6F37">
              <w:rPr>
                <w:rFonts w:ascii="Cambria" w:hAnsi="Cambria"/>
                <w:color w:val="000000"/>
                <w:sz w:val="20"/>
                <w:szCs w:val="20"/>
              </w:rPr>
              <w:t>Deneyimli Öğretmen Maaşının</w:t>
            </w:r>
          </w:p>
          <w:p w:rsidR="00D54297" w:rsidRPr="00BF6F37" w:rsidRDefault="00D54297" w:rsidP="00BF6F37">
            <w:pPr>
              <w:jc w:val="center"/>
              <w:rPr>
                <w:rFonts w:ascii="Cambria" w:hAnsi="Cambria"/>
                <w:color w:val="000000"/>
                <w:sz w:val="20"/>
                <w:szCs w:val="20"/>
              </w:rPr>
            </w:pPr>
            <w:r w:rsidRPr="00BF6F37">
              <w:rPr>
                <w:rFonts w:ascii="Cambria" w:hAnsi="Cambria"/>
                <w:color w:val="000000"/>
                <w:sz w:val="20"/>
                <w:szCs w:val="20"/>
              </w:rPr>
              <w:t>Kişi başı GSMH’ye Oranı</w:t>
            </w:r>
          </w:p>
        </w:tc>
        <w:tc>
          <w:tcPr>
            <w:tcW w:w="1244" w:type="pct"/>
            <w:gridSpan w:val="2"/>
            <w:tcBorders>
              <w:top w:val="single" w:sz="4" w:space="0" w:color="auto"/>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          En yüksek maaş</w:t>
            </w:r>
          </w:p>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        En düşük maaş</w:t>
            </w:r>
          </w:p>
        </w:tc>
      </w:tr>
      <w:tr w:rsidR="00D54297" w:rsidRPr="00BF6F37" w:rsidTr="00BF6F37">
        <w:trPr>
          <w:trHeight w:val="181"/>
        </w:trPr>
        <w:tc>
          <w:tcPr>
            <w:tcW w:w="1464" w:type="pct"/>
            <w:gridSpan w:val="3"/>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Ülkeler</w:t>
            </w:r>
          </w:p>
        </w:tc>
        <w:tc>
          <w:tcPr>
            <w:tcW w:w="850" w:type="pct"/>
            <w:gridSpan w:val="5"/>
            <w:tcBorders>
              <w:top w:val="nil"/>
              <w:left w:val="nil"/>
              <w:bottom w:val="single" w:sz="8" w:space="0" w:color="auto"/>
              <w:right w:val="nil"/>
            </w:tcBorders>
            <w:shd w:val="clear" w:color="auto" w:fill="auto"/>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GSMH (2014)</w:t>
            </w:r>
          </w:p>
        </w:tc>
        <w:tc>
          <w:tcPr>
            <w:tcW w:w="564" w:type="pct"/>
            <w:tcBorders>
              <w:top w:val="nil"/>
              <w:left w:val="nil"/>
              <w:bottom w:val="single" w:sz="8" w:space="0" w:color="auto"/>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Ortaokul</w:t>
            </w:r>
          </w:p>
        </w:tc>
        <w:tc>
          <w:tcPr>
            <w:tcW w:w="652" w:type="pct"/>
            <w:tcBorders>
              <w:top w:val="nil"/>
              <w:left w:val="nil"/>
              <w:bottom w:val="single" w:sz="8" w:space="0" w:color="auto"/>
              <w:right w:val="nil"/>
            </w:tcBorders>
            <w:shd w:val="clear" w:color="auto" w:fill="auto"/>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Lise</w:t>
            </w:r>
          </w:p>
        </w:tc>
        <w:tc>
          <w:tcPr>
            <w:tcW w:w="872" w:type="pct"/>
            <w:gridSpan w:val="2"/>
            <w:tcBorders>
              <w:top w:val="nil"/>
              <w:left w:val="nil"/>
              <w:bottom w:val="single" w:sz="8" w:space="0" w:color="auto"/>
              <w:right w:val="nil"/>
            </w:tcBorders>
            <w:shd w:val="clear" w:color="auto" w:fill="auto"/>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 xml:space="preserve">    Ortaokul</w:t>
            </w:r>
          </w:p>
        </w:tc>
        <w:tc>
          <w:tcPr>
            <w:tcW w:w="598" w:type="pct"/>
            <w:tcBorders>
              <w:top w:val="nil"/>
              <w:left w:val="nil"/>
              <w:bottom w:val="single" w:sz="8" w:space="0" w:color="auto"/>
              <w:right w:val="nil"/>
            </w:tcBorders>
            <w:shd w:val="clear" w:color="auto" w:fill="auto"/>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Lise</w:t>
            </w:r>
          </w:p>
        </w:tc>
      </w:tr>
      <w:tr w:rsidR="00D54297" w:rsidRPr="00BF6F37" w:rsidTr="00BF6F37">
        <w:trPr>
          <w:trHeight w:val="148"/>
        </w:trPr>
        <w:tc>
          <w:tcPr>
            <w:tcW w:w="1676" w:type="pct"/>
            <w:gridSpan w:val="5"/>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p>
        </w:tc>
        <w:tc>
          <w:tcPr>
            <w:tcW w:w="638" w:type="pct"/>
            <w:gridSpan w:val="3"/>
            <w:tcBorders>
              <w:top w:val="nil"/>
              <w:left w:val="nil"/>
              <w:bottom w:val="nil"/>
              <w:right w:val="nil"/>
            </w:tcBorders>
            <w:shd w:val="clear" w:color="auto" w:fill="auto"/>
          </w:tcPr>
          <w:p w:rsidR="00D54297" w:rsidRPr="00BF6F37" w:rsidRDefault="00D54297" w:rsidP="00D54297">
            <w:pPr>
              <w:jc w:val="right"/>
              <w:rPr>
                <w:rFonts w:ascii="Cambria" w:hAnsi="Cambria"/>
                <w:color w:val="000000"/>
                <w:sz w:val="20"/>
                <w:szCs w:val="20"/>
              </w:rPr>
            </w:pPr>
          </w:p>
        </w:tc>
        <w:tc>
          <w:tcPr>
            <w:tcW w:w="564" w:type="pct"/>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Genel</w:t>
            </w:r>
          </w:p>
        </w:tc>
        <w:tc>
          <w:tcPr>
            <w:tcW w:w="652" w:type="pct"/>
            <w:tcBorders>
              <w:top w:val="nil"/>
              <w:left w:val="nil"/>
              <w:bottom w:val="nil"/>
              <w:right w:val="nil"/>
            </w:tcBorders>
            <w:shd w:val="clear" w:color="auto" w:fill="auto"/>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Genel</w:t>
            </w:r>
          </w:p>
        </w:tc>
        <w:tc>
          <w:tcPr>
            <w:tcW w:w="872" w:type="pct"/>
            <w:gridSpan w:val="2"/>
            <w:tcBorders>
              <w:top w:val="nil"/>
              <w:left w:val="nil"/>
              <w:bottom w:val="nil"/>
              <w:right w:val="nil"/>
            </w:tcBorders>
            <w:shd w:val="clear" w:color="auto" w:fill="auto"/>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Genel</w:t>
            </w:r>
          </w:p>
        </w:tc>
        <w:tc>
          <w:tcPr>
            <w:tcW w:w="598" w:type="pct"/>
            <w:tcBorders>
              <w:top w:val="nil"/>
              <w:left w:val="nil"/>
              <w:bottom w:val="nil"/>
              <w:right w:val="nil"/>
            </w:tcBorders>
            <w:shd w:val="clear" w:color="auto" w:fill="auto"/>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Genel</w:t>
            </w:r>
          </w:p>
        </w:tc>
      </w:tr>
      <w:tr w:rsidR="00D54297" w:rsidRPr="00BF6F37" w:rsidTr="00BF6F37">
        <w:trPr>
          <w:trHeight w:val="78"/>
        </w:trPr>
        <w:tc>
          <w:tcPr>
            <w:tcW w:w="1541" w:type="pct"/>
            <w:gridSpan w:val="4"/>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Singapur</w:t>
            </w:r>
          </w:p>
        </w:tc>
        <w:tc>
          <w:tcPr>
            <w:tcW w:w="540" w:type="pct"/>
            <w:gridSpan w:val="3"/>
            <w:tcBorders>
              <w:top w:val="nil"/>
              <w:left w:val="nil"/>
              <w:bottom w:val="nil"/>
              <w:right w:val="nil"/>
            </w:tcBorders>
            <w:shd w:val="clear" w:color="auto" w:fill="auto"/>
            <w:noWrap/>
            <w:vAlign w:val="center"/>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82.515</w:t>
            </w:r>
          </w:p>
        </w:tc>
        <w:tc>
          <w:tcPr>
            <w:tcW w:w="797" w:type="pct"/>
            <w:gridSpan w:val="2"/>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1.30</w:t>
            </w:r>
          </w:p>
        </w:tc>
        <w:tc>
          <w:tcPr>
            <w:tcW w:w="652"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1.30</w:t>
            </w:r>
          </w:p>
        </w:tc>
        <w:tc>
          <w:tcPr>
            <w:tcW w:w="872" w:type="pct"/>
            <w:gridSpan w:val="2"/>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2.81</w:t>
            </w:r>
          </w:p>
        </w:tc>
        <w:tc>
          <w:tcPr>
            <w:tcW w:w="598"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2.81</w:t>
            </w:r>
          </w:p>
        </w:tc>
      </w:tr>
      <w:tr w:rsidR="00D54297" w:rsidRPr="00BF6F37" w:rsidTr="00BF6F37">
        <w:trPr>
          <w:trHeight w:val="121"/>
        </w:trPr>
        <w:tc>
          <w:tcPr>
            <w:tcW w:w="1541" w:type="pct"/>
            <w:gridSpan w:val="4"/>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Japonya</w:t>
            </w:r>
          </w:p>
        </w:tc>
        <w:tc>
          <w:tcPr>
            <w:tcW w:w="540" w:type="pct"/>
            <w:gridSpan w:val="3"/>
            <w:tcBorders>
              <w:top w:val="nil"/>
              <w:left w:val="nil"/>
              <w:bottom w:val="nil"/>
              <w:right w:val="nil"/>
            </w:tcBorders>
            <w:shd w:val="clear" w:color="auto" w:fill="auto"/>
            <w:noWrap/>
            <w:vAlign w:val="center"/>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36.619</w:t>
            </w:r>
          </w:p>
        </w:tc>
        <w:tc>
          <w:tcPr>
            <w:tcW w:w="797" w:type="pct"/>
            <w:gridSpan w:val="2"/>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1.35</w:t>
            </w:r>
          </w:p>
        </w:tc>
        <w:tc>
          <w:tcPr>
            <w:tcW w:w="652"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1.35</w:t>
            </w:r>
          </w:p>
        </w:tc>
        <w:tc>
          <w:tcPr>
            <w:tcW w:w="872" w:type="pct"/>
            <w:gridSpan w:val="2"/>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2.20</w:t>
            </w:r>
          </w:p>
        </w:tc>
        <w:tc>
          <w:tcPr>
            <w:tcW w:w="598"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2.26</w:t>
            </w:r>
          </w:p>
        </w:tc>
      </w:tr>
      <w:tr w:rsidR="00D54297" w:rsidRPr="00BF6F37" w:rsidTr="00BF6F37">
        <w:trPr>
          <w:trHeight w:val="175"/>
        </w:trPr>
        <w:tc>
          <w:tcPr>
            <w:tcW w:w="1541" w:type="pct"/>
            <w:gridSpan w:val="4"/>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Estonya</w:t>
            </w:r>
          </w:p>
        </w:tc>
        <w:tc>
          <w:tcPr>
            <w:tcW w:w="540" w:type="pct"/>
            <w:gridSpan w:val="3"/>
            <w:tcBorders>
              <w:top w:val="nil"/>
              <w:left w:val="nil"/>
              <w:bottom w:val="nil"/>
              <w:right w:val="nil"/>
            </w:tcBorders>
            <w:shd w:val="clear" w:color="auto" w:fill="auto"/>
            <w:noWrap/>
            <w:vAlign w:val="center"/>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28.140</w:t>
            </w:r>
          </w:p>
        </w:tc>
        <w:tc>
          <w:tcPr>
            <w:tcW w:w="797" w:type="pct"/>
            <w:gridSpan w:val="2"/>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c>
          <w:tcPr>
            <w:tcW w:w="652"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c>
          <w:tcPr>
            <w:tcW w:w="872" w:type="pct"/>
            <w:gridSpan w:val="2"/>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c>
          <w:tcPr>
            <w:tcW w:w="598"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r>
      <w:tr w:rsidR="00D54297" w:rsidRPr="00BF6F37" w:rsidTr="00BF6F37">
        <w:trPr>
          <w:trHeight w:val="81"/>
        </w:trPr>
        <w:tc>
          <w:tcPr>
            <w:tcW w:w="1541" w:type="pct"/>
            <w:gridSpan w:val="4"/>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Taipei (Çin)</w:t>
            </w:r>
          </w:p>
        </w:tc>
        <w:tc>
          <w:tcPr>
            <w:tcW w:w="540" w:type="pct"/>
            <w:gridSpan w:val="3"/>
            <w:tcBorders>
              <w:top w:val="nil"/>
              <w:left w:val="nil"/>
              <w:bottom w:val="nil"/>
              <w:right w:val="nil"/>
            </w:tcBorders>
            <w:shd w:val="clear" w:color="auto" w:fill="auto"/>
            <w:noWrap/>
            <w:vAlign w:val="center"/>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22.648</w:t>
            </w:r>
          </w:p>
        </w:tc>
        <w:tc>
          <w:tcPr>
            <w:tcW w:w="797" w:type="pct"/>
            <w:gridSpan w:val="2"/>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1.34</w:t>
            </w:r>
          </w:p>
        </w:tc>
        <w:tc>
          <w:tcPr>
            <w:tcW w:w="652"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1.34</w:t>
            </w:r>
          </w:p>
        </w:tc>
        <w:tc>
          <w:tcPr>
            <w:tcW w:w="872" w:type="pct"/>
            <w:gridSpan w:val="2"/>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1.87</w:t>
            </w:r>
          </w:p>
        </w:tc>
        <w:tc>
          <w:tcPr>
            <w:tcW w:w="598"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1.87</w:t>
            </w:r>
          </w:p>
        </w:tc>
      </w:tr>
      <w:tr w:rsidR="00D54297" w:rsidRPr="00BF6F37" w:rsidTr="00BF6F37">
        <w:trPr>
          <w:trHeight w:val="140"/>
        </w:trPr>
        <w:tc>
          <w:tcPr>
            <w:tcW w:w="1541" w:type="pct"/>
            <w:gridSpan w:val="4"/>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Finlandiya</w:t>
            </w:r>
          </w:p>
        </w:tc>
        <w:tc>
          <w:tcPr>
            <w:tcW w:w="540" w:type="pct"/>
            <w:gridSpan w:val="3"/>
            <w:tcBorders>
              <w:top w:val="nil"/>
              <w:left w:val="nil"/>
              <w:bottom w:val="nil"/>
              <w:right w:val="nil"/>
            </w:tcBorders>
            <w:shd w:val="clear" w:color="auto" w:fill="auto"/>
            <w:noWrap/>
            <w:vAlign w:val="bottom"/>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40.676</w:t>
            </w:r>
          </w:p>
        </w:tc>
        <w:tc>
          <w:tcPr>
            <w:tcW w:w="797" w:type="pct"/>
            <w:gridSpan w:val="2"/>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1.04</w:t>
            </w:r>
          </w:p>
        </w:tc>
        <w:tc>
          <w:tcPr>
            <w:tcW w:w="652"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1.13</w:t>
            </w:r>
          </w:p>
        </w:tc>
        <w:tc>
          <w:tcPr>
            <w:tcW w:w="872" w:type="pct"/>
            <w:gridSpan w:val="2"/>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1.30</w:t>
            </w:r>
          </w:p>
        </w:tc>
        <w:tc>
          <w:tcPr>
            <w:tcW w:w="598"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1.32</w:t>
            </w:r>
          </w:p>
        </w:tc>
      </w:tr>
      <w:tr w:rsidR="00D54297" w:rsidRPr="00BF6F37" w:rsidTr="00BF6F37">
        <w:trPr>
          <w:trHeight w:val="200"/>
        </w:trPr>
        <w:tc>
          <w:tcPr>
            <w:tcW w:w="1541" w:type="pct"/>
            <w:gridSpan w:val="4"/>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Makao (Çin)</w:t>
            </w:r>
          </w:p>
        </w:tc>
        <w:tc>
          <w:tcPr>
            <w:tcW w:w="540" w:type="pct"/>
            <w:gridSpan w:val="3"/>
            <w:tcBorders>
              <w:top w:val="nil"/>
              <w:left w:val="nil"/>
              <w:bottom w:val="nil"/>
              <w:right w:val="nil"/>
            </w:tcBorders>
            <w:shd w:val="clear" w:color="auto" w:fill="auto"/>
            <w:noWrap/>
            <w:vAlign w:val="center"/>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127.051</w:t>
            </w:r>
          </w:p>
        </w:tc>
        <w:tc>
          <w:tcPr>
            <w:tcW w:w="797" w:type="pct"/>
            <w:gridSpan w:val="2"/>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0.95</w:t>
            </w:r>
          </w:p>
        </w:tc>
        <w:tc>
          <w:tcPr>
            <w:tcW w:w="652"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0.95</w:t>
            </w:r>
          </w:p>
        </w:tc>
        <w:tc>
          <w:tcPr>
            <w:tcW w:w="872" w:type="pct"/>
            <w:gridSpan w:val="2"/>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1.74</w:t>
            </w:r>
          </w:p>
        </w:tc>
        <w:tc>
          <w:tcPr>
            <w:tcW w:w="598"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1.74</w:t>
            </w:r>
          </w:p>
        </w:tc>
      </w:tr>
      <w:tr w:rsidR="00D54297" w:rsidRPr="00BF6F37" w:rsidTr="00BF6F37">
        <w:trPr>
          <w:trHeight w:val="91"/>
        </w:trPr>
        <w:tc>
          <w:tcPr>
            <w:tcW w:w="1541" w:type="pct"/>
            <w:gridSpan w:val="4"/>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Kanada</w:t>
            </w:r>
          </w:p>
        </w:tc>
        <w:tc>
          <w:tcPr>
            <w:tcW w:w="540" w:type="pct"/>
            <w:gridSpan w:val="3"/>
            <w:tcBorders>
              <w:top w:val="nil"/>
              <w:left w:val="nil"/>
              <w:bottom w:val="nil"/>
              <w:right w:val="nil"/>
            </w:tcBorders>
            <w:shd w:val="clear" w:color="auto" w:fill="auto"/>
            <w:noWrap/>
            <w:vAlign w:val="center"/>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45.066</w:t>
            </w:r>
          </w:p>
        </w:tc>
        <w:tc>
          <w:tcPr>
            <w:tcW w:w="797" w:type="pct"/>
            <w:gridSpan w:val="2"/>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1.50</w:t>
            </w:r>
          </w:p>
        </w:tc>
        <w:tc>
          <w:tcPr>
            <w:tcW w:w="652"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1.50</w:t>
            </w:r>
          </w:p>
        </w:tc>
        <w:tc>
          <w:tcPr>
            <w:tcW w:w="872" w:type="pct"/>
            <w:gridSpan w:val="2"/>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1.76</w:t>
            </w:r>
          </w:p>
        </w:tc>
        <w:tc>
          <w:tcPr>
            <w:tcW w:w="598"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1.76</w:t>
            </w:r>
          </w:p>
        </w:tc>
      </w:tr>
      <w:tr w:rsidR="00D54297" w:rsidRPr="00BF6F37" w:rsidTr="00BF6F37">
        <w:trPr>
          <w:trHeight w:val="150"/>
        </w:trPr>
        <w:tc>
          <w:tcPr>
            <w:tcW w:w="1541" w:type="pct"/>
            <w:gridSpan w:val="4"/>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Vietnam</w:t>
            </w:r>
          </w:p>
        </w:tc>
        <w:tc>
          <w:tcPr>
            <w:tcW w:w="540" w:type="pct"/>
            <w:gridSpan w:val="3"/>
            <w:tcBorders>
              <w:top w:val="nil"/>
              <w:left w:val="nil"/>
              <w:bottom w:val="nil"/>
              <w:right w:val="nil"/>
            </w:tcBorders>
            <w:shd w:val="clear" w:color="auto" w:fill="auto"/>
            <w:noWrap/>
            <w:vAlign w:val="center"/>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5.629</w:t>
            </w:r>
          </w:p>
        </w:tc>
        <w:tc>
          <w:tcPr>
            <w:tcW w:w="797" w:type="pct"/>
            <w:gridSpan w:val="2"/>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c>
          <w:tcPr>
            <w:tcW w:w="652"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c>
          <w:tcPr>
            <w:tcW w:w="872" w:type="pct"/>
            <w:gridSpan w:val="2"/>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c>
          <w:tcPr>
            <w:tcW w:w="598"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r>
      <w:tr w:rsidR="00D54297" w:rsidRPr="00BF6F37" w:rsidTr="00BF6F37">
        <w:trPr>
          <w:trHeight w:val="78"/>
        </w:trPr>
        <w:tc>
          <w:tcPr>
            <w:tcW w:w="1541" w:type="pct"/>
            <w:gridSpan w:val="4"/>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Hong Kong (Çin)</w:t>
            </w:r>
          </w:p>
        </w:tc>
        <w:tc>
          <w:tcPr>
            <w:tcW w:w="540" w:type="pct"/>
            <w:gridSpan w:val="3"/>
            <w:tcBorders>
              <w:top w:val="nil"/>
              <w:left w:val="nil"/>
              <w:bottom w:val="nil"/>
              <w:right w:val="nil"/>
            </w:tcBorders>
            <w:shd w:val="clear" w:color="auto" w:fill="auto"/>
            <w:noWrap/>
            <w:vAlign w:val="center"/>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55.195</w:t>
            </w:r>
          </w:p>
        </w:tc>
        <w:tc>
          <w:tcPr>
            <w:tcW w:w="797" w:type="pct"/>
            <w:gridSpan w:val="2"/>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1.63</w:t>
            </w:r>
          </w:p>
        </w:tc>
        <w:tc>
          <w:tcPr>
            <w:tcW w:w="652"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2.14</w:t>
            </w:r>
          </w:p>
        </w:tc>
        <w:tc>
          <w:tcPr>
            <w:tcW w:w="872" w:type="pct"/>
            <w:gridSpan w:val="2"/>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1.62</w:t>
            </w:r>
          </w:p>
        </w:tc>
        <w:tc>
          <w:tcPr>
            <w:tcW w:w="598"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2.32</w:t>
            </w:r>
          </w:p>
        </w:tc>
      </w:tr>
      <w:tr w:rsidR="00D54297" w:rsidRPr="00BF6F37" w:rsidTr="00BF6F37">
        <w:trPr>
          <w:trHeight w:val="195"/>
        </w:trPr>
        <w:tc>
          <w:tcPr>
            <w:tcW w:w="1541" w:type="pct"/>
            <w:gridSpan w:val="4"/>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B-S-J-G (Çin)</w:t>
            </w:r>
          </w:p>
        </w:tc>
        <w:tc>
          <w:tcPr>
            <w:tcW w:w="540" w:type="pct"/>
            <w:gridSpan w:val="3"/>
            <w:tcBorders>
              <w:top w:val="nil"/>
              <w:left w:val="nil"/>
              <w:bottom w:val="nil"/>
              <w:right w:val="nil"/>
            </w:tcBorders>
            <w:shd w:val="clear" w:color="auto" w:fill="auto"/>
            <w:noWrap/>
            <w:vAlign w:val="center"/>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c>
          <w:tcPr>
            <w:tcW w:w="797" w:type="pct"/>
            <w:gridSpan w:val="2"/>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c>
          <w:tcPr>
            <w:tcW w:w="652"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c>
          <w:tcPr>
            <w:tcW w:w="872" w:type="pct"/>
            <w:gridSpan w:val="2"/>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c>
          <w:tcPr>
            <w:tcW w:w="598"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w:t>
            </w:r>
          </w:p>
        </w:tc>
      </w:tr>
      <w:tr w:rsidR="00D54297" w:rsidRPr="00BF6F37" w:rsidTr="00BF6F37">
        <w:trPr>
          <w:trHeight w:val="241"/>
        </w:trPr>
        <w:tc>
          <w:tcPr>
            <w:tcW w:w="1541" w:type="pct"/>
            <w:gridSpan w:val="4"/>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Türkiye</w:t>
            </w:r>
          </w:p>
        </w:tc>
        <w:tc>
          <w:tcPr>
            <w:tcW w:w="540" w:type="pct"/>
            <w:gridSpan w:val="3"/>
            <w:tcBorders>
              <w:top w:val="nil"/>
              <w:left w:val="nil"/>
              <w:bottom w:val="nil"/>
              <w:right w:val="nil"/>
            </w:tcBorders>
            <w:shd w:val="clear" w:color="auto" w:fill="auto"/>
            <w:noWrap/>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 xml:space="preserve">     19.788</w:t>
            </w:r>
          </w:p>
        </w:tc>
        <w:tc>
          <w:tcPr>
            <w:tcW w:w="797" w:type="pct"/>
            <w:gridSpan w:val="2"/>
            <w:tcBorders>
              <w:top w:val="nil"/>
              <w:left w:val="nil"/>
              <w:bottom w:val="nil"/>
              <w:right w:val="nil"/>
            </w:tcBorders>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1.52</w:t>
            </w:r>
          </w:p>
        </w:tc>
        <w:tc>
          <w:tcPr>
            <w:tcW w:w="652"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1.52</w:t>
            </w:r>
          </w:p>
        </w:tc>
        <w:tc>
          <w:tcPr>
            <w:tcW w:w="872" w:type="pct"/>
            <w:gridSpan w:val="2"/>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1.14</w:t>
            </w:r>
          </w:p>
        </w:tc>
        <w:tc>
          <w:tcPr>
            <w:tcW w:w="598" w:type="pct"/>
            <w:tcBorders>
              <w:top w:val="nil"/>
              <w:left w:val="nil"/>
              <w:bottom w:val="nil"/>
              <w:right w:val="nil"/>
            </w:tcBorders>
            <w:shd w:val="clear" w:color="auto" w:fill="auto"/>
            <w:noWrap/>
            <w:hideMark/>
          </w:tcPr>
          <w:p w:rsidR="00D54297" w:rsidRPr="00BF6F37" w:rsidRDefault="00D54297" w:rsidP="00D54297">
            <w:pPr>
              <w:jc w:val="right"/>
              <w:rPr>
                <w:rFonts w:ascii="Cambria" w:hAnsi="Cambria"/>
                <w:color w:val="000000"/>
                <w:sz w:val="20"/>
                <w:szCs w:val="20"/>
              </w:rPr>
            </w:pPr>
            <w:r w:rsidRPr="00BF6F37">
              <w:rPr>
                <w:rFonts w:ascii="Cambria" w:hAnsi="Cambria"/>
                <w:color w:val="000000"/>
                <w:sz w:val="20"/>
                <w:szCs w:val="20"/>
              </w:rPr>
              <w:t>1.14</w:t>
            </w:r>
          </w:p>
        </w:tc>
      </w:tr>
      <w:tr w:rsidR="00D54297" w:rsidRPr="00BF6F37" w:rsidTr="00BF6F37">
        <w:trPr>
          <w:trHeight w:val="294"/>
        </w:trPr>
        <w:tc>
          <w:tcPr>
            <w:tcW w:w="88" w:type="pct"/>
            <w:tcBorders>
              <w:top w:val="single" w:sz="8" w:space="0" w:color="auto"/>
              <w:left w:val="nil"/>
              <w:bottom w:val="nil"/>
              <w:right w:val="nil"/>
            </w:tcBorders>
          </w:tcPr>
          <w:p w:rsidR="00D54297" w:rsidRPr="00BF6F37" w:rsidRDefault="00D54297" w:rsidP="00D54297">
            <w:pPr>
              <w:rPr>
                <w:rFonts w:ascii="Cambria" w:hAnsi="Cambria"/>
                <w:i/>
                <w:color w:val="000000"/>
                <w:sz w:val="20"/>
                <w:szCs w:val="20"/>
              </w:rPr>
            </w:pPr>
          </w:p>
        </w:tc>
        <w:tc>
          <w:tcPr>
            <w:tcW w:w="4912" w:type="pct"/>
            <w:gridSpan w:val="12"/>
            <w:tcBorders>
              <w:top w:val="single" w:sz="8" w:space="0" w:color="auto"/>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i/>
                <w:color w:val="000000"/>
                <w:sz w:val="20"/>
                <w:szCs w:val="20"/>
              </w:rPr>
              <w:t>Kaynak</w:t>
            </w:r>
            <w:r w:rsidRPr="00BF6F37">
              <w:rPr>
                <w:rFonts w:ascii="Cambria" w:hAnsi="Cambria"/>
                <w:color w:val="000000"/>
                <w:sz w:val="20"/>
                <w:szCs w:val="20"/>
              </w:rPr>
              <w:t xml:space="preserve">: </w:t>
            </w:r>
            <w:hyperlink r:id="rId15" w:history="1">
              <w:r w:rsidRPr="00BF6F37">
                <w:rPr>
                  <w:rStyle w:val="Hyperlink"/>
                  <w:rFonts w:ascii="Cambria" w:hAnsi="Cambria"/>
                  <w:sz w:val="20"/>
                  <w:szCs w:val="20"/>
                </w:rPr>
                <w:t>http://gpseducation.oecd.org/IndicatorExplorer?query=2</w:t>
              </w:r>
            </w:hyperlink>
            <w:r w:rsidRPr="00BF6F37">
              <w:rPr>
                <w:rFonts w:ascii="Cambria" w:hAnsi="Cambria"/>
                <w:color w:val="000000"/>
                <w:sz w:val="20"/>
                <w:szCs w:val="20"/>
              </w:rPr>
              <w:t xml:space="preserve">  (Tablo: II.6.54 )</w:t>
            </w:r>
          </w:p>
          <w:p w:rsidR="00D54297" w:rsidRPr="00BF6F37" w:rsidRDefault="00D54297" w:rsidP="00D54297">
            <w:pPr>
              <w:rPr>
                <w:rFonts w:ascii="Cambria" w:hAnsi="Cambria"/>
                <w:color w:val="000000"/>
                <w:sz w:val="20"/>
                <w:szCs w:val="20"/>
              </w:rPr>
            </w:pPr>
          </w:p>
        </w:tc>
      </w:tr>
    </w:tbl>
    <w:p w:rsidR="00DA0C2E" w:rsidRDefault="00D54297" w:rsidP="00BF6F37">
      <w:pPr>
        <w:ind w:firstLine="567"/>
        <w:jc w:val="both"/>
        <w:rPr>
          <w:rFonts w:ascii="Cambria" w:hAnsi="Cambria"/>
          <w:color w:val="000000"/>
          <w:sz w:val="22"/>
        </w:rPr>
      </w:pPr>
      <w:r w:rsidRPr="00C84CED">
        <w:rPr>
          <w:rFonts w:ascii="Cambria" w:hAnsi="Cambria"/>
          <w:sz w:val="22"/>
        </w:rPr>
        <w:t xml:space="preserve">Tabloda 15 yıllık kıdeme sahip öğretmen maaşları, ülkelerin gayri safi yurt içi </w:t>
      </w:r>
      <w:proofErr w:type="gramStart"/>
      <w:r w:rsidRPr="00C84CED">
        <w:rPr>
          <w:rFonts w:ascii="Cambria" w:hAnsi="Cambria"/>
          <w:sz w:val="22"/>
        </w:rPr>
        <w:t>hasıla</w:t>
      </w:r>
      <w:proofErr w:type="gramEnd"/>
      <w:r w:rsidRPr="00C84CED">
        <w:rPr>
          <w:rFonts w:ascii="Cambria" w:hAnsi="Cambria"/>
          <w:sz w:val="22"/>
        </w:rPr>
        <w:t xml:space="preserve"> oranlarına göre belirtilmektedir. Öğretmen maaşlarında uluslararası karşılaştırmalar yapılırken maaşın ülkelerin kişi başı GSMH düzeyine oranlarının dikkate alınması daha gerçekçi sonuçlara ulaşmayı sağlayabilir. Genel olarak Türkiye’nin kişi başı GSMH düzeyi Vietnam hariç diğer başarılı ülkelere göre düşüktür. Diğer yandan deneyimli öğretmen maaşı ve kişi başı GSMH oranları incelendiğinde Türkiye’deki öğretmen maaşı kişi başı GSMH’nin 1.5 katıdır. En yüksek öğretmen maaşı ile en düşük maaş arasındaki oranın en az olduğu ülke, Türkiye’dir. Özetle, Türkiye’deki öğretmen maaşları kıdeme </w:t>
      </w:r>
      <w:proofErr w:type="gramStart"/>
      <w:r w:rsidRPr="00C84CED">
        <w:rPr>
          <w:rFonts w:ascii="Cambria" w:hAnsi="Cambria"/>
          <w:sz w:val="22"/>
        </w:rPr>
        <w:t>göre .14</w:t>
      </w:r>
      <w:proofErr w:type="gramEnd"/>
      <w:r w:rsidRPr="00C84CED">
        <w:rPr>
          <w:rFonts w:ascii="Cambria" w:hAnsi="Cambria"/>
          <w:sz w:val="22"/>
        </w:rPr>
        <w:t xml:space="preserve"> oranında farklılaşırken, öğretim kademesine göre farklılaşmadığı söylenebilir. Bu durum diğer ülkelerdeki ücret politikalarında deneyim, performans ya da daha farklı ölçütlerin dikkate alındığından kaynaklanabilir. </w:t>
      </w:r>
      <w:r w:rsidRPr="00C84CED">
        <w:rPr>
          <w:rFonts w:ascii="Cambria" w:hAnsi="Cambria"/>
          <w:color w:val="000000"/>
          <w:sz w:val="22"/>
        </w:rPr>
        <w:t xml:space="preserve">İnsan kaynakları boyutunun ikinci göstergesi olan okulların SED </w:t>
      </w:r>
      <w:proofErr w:type="gramStart"/>
      <w:r w:rsidRPr="00C84CED">
        <w:rPr>
          <w:rFonts w:ascii="Cambria" w:hAnsi="Cambria"/>
          <w:color w:val="000000"/>
          <w:sz w:val="22"/>
        </w:rPr>
        <w:t>profillerine</w:t>
      </w:r>
      <w:proofErr w:type="gramEnd"/>
      <w:r w:rsidRPr="00C84CED">
        <w:rPr>
          <w:rFonts w:ascii="Cambria" w:hAnsi="Cambria"/>
          <w:color w:val="000000"/>
          <w:sz w:val="22"/>
        </w:rPr>
        <w:t xml:space="preserve"> göre ö</w:t>
      </w:r>
      <w:r w:rsidR="00BF6F37" w:rsidRPr="00C84CED">
        <w:rPr>
          <w:rFonts w:ascii="Cambria" w:hAnsi="Cambria"/>
          <w:color w:val="000000"/>
          <w:sz w:val="22"/>
        </w:rPr>
        <w:t>ğretmen-öğrenci oranları Tablo 7’de</w:t>
      </w:r>
      <w:r w:rsidRPr="00C84CED">
        <w:rPr>
          <w:rFonts w:ascii="Cambria" w:hAnsi="Cambria"/>
          <w:color w:val="000000"/>
          <w:sz w:val="22"/>
        </w:rPr>
        <w:t xml:space="preserve"> sunulmuştur.</w:t>
      </w:r>
    </w:p>
    <w:p w:rsidR="003014FB" w:rsidRDefault="003014FB" w:rsidP="00BF6F37">
      <w:pPr>
        <w:ind w:firstLine="567"/>
        <w:jc w:val="both"/>
        <w:rPr>
          <w:rFonts w:ascii="Cambria" w:hAnsi="Cambria"/>
          <w:color w:val="000000"/>
          <w:sz w:val="22"/>
        </w:rPr>
      </w:pPr>
    </w:p>
    <w:p w:rsidR="003014FB" w:rsidRDefault="003014FB" w:rsidP="00BF6F37">
      <w:pPr>
        <w:ind w:firstLine="567"/>
        <w:jc w:val="both"/>
        <w:rPr>
          <w:rFonts w:ascii="Cambria" w:hAnsi="Cambria"/>
          <w:color w:val="000000"/>
          <w:sz w:val="22"/>
        </w:rPr>
      </w:pPr>
    </w:p>
    <w:p w:rsidR="003014FB" w:rsidRDefault="003014FB" w:rsidP="00BF6F37">
      <w:pPr>
        <w:ind w:firstLine="567"/>
        <w:jc w:val="both"/>
        <w:rPr>
          <w:rFonts w:ascii="Cambria" w:hAnsi="Cambria"/>
          <w:color w:val="000000"/>
          <w:sz w:val="22"/>
        </w:rPr>
      </w:pPr>
    </w:p>
    <w:p w:rsidR="003014FB" w:rsidRDefault="003014FB" w:rsidP="00BF6F37">
      <w:pPr>
        <w:ind w:firstLine="567"/>
        <w:jc w:val="both"/>
        <w:rPr>
          <w:rFonts w:ascii="Cambria" w:hAnsi="Cambria"/>
          <w:color w:val="000000"/>
          <w:sz w:val="22"/>
        </w:rPr>
      </w:pPr>
    </w:p>
    <w:p w:rsidR="003014FB" w:rsidRDefault="003014FB" w:rsidP="00BF6F37">
      <w:pPr>
        <w:ind w:firstLine="567"/>
        <w:jc w:val="both"/>
        <w:rPr>
          <w:rFonts w:ascii="Cambria" w:hAnsi="Cambria"/>
          <w:color w:val="000000"/>
          <w:sz w:val="22"/>
        </w:rPr>
      </w:pPr>
    </w:p>
    <w:p w:rsidR="003014FB" w:rsidRDefault="003014FB" w:rsidP="00BF6F37">
      <w:pPr>
        <w:ind w:firstLine="567"/>
        <w:jc w:val="both"/>
        <w:rPr>
          <w:rFonts w:ascii="Cambria" w:hAnsi="Cambria"/>
          <w:color w:val="000000"/>
          <w:sz w:val="22"/>
        </w:rPr>
      </w:pPr>
    </w:p>
    <w:p w:rsidR="003014FB" w:rsidRDefault="003014FB" w:rsidP="00BF6F37">
      <w:pPr>
        <w:ind w:firstLine="567"/>
        <w:jc w:val="both"/>
        <w:rPr>
          <w:rFonts w:ascii="Cambria" w:hAnsi="Cambria"/>
          <w:color w:val="000000"/>
          <w:sz w:val="22"/>
        </w:rPr>
      </w:pPr>
    </w:p>
    <w:p w:rsidR="003014FB" w:rsidRDefault="003014FB" w:rsidP="00BF6F37">
      <w:pPr>
        <w:ind w:firstLine="567"/>
        <w:jc w:val="both"/>
        <w:rPr>
          <w:rFonts w:ascii="Cambria" w:hAnsi="Cambria"/>
          <w:color w:val="000000"/>
          <w:sz w:val="22"/>
        </w:rPr>
      </w:pPr>
    </w:p>
    <w:p w:rsidR="003014FB" w:rsidRPr="00C84CED" w:rsidRDefault="003014FB" w:rsidP="00BF6F37">
      <w:pPr>
        <w:ind w:firstLine="567"/>
        <w:jc w:val="both"/>
        <w:rPr>
          <w:rFonts w:ascii="Cambria" w:hAnsi="Cambria"/>
          <w:color w:val="000000"/>
          <w:sz w:val="22"/>
        </w:rPr>
      </w:pPr>
    </w:p>
    <w:p w:rsidR="00FA43C2" w:rsidRDefault="00FA43C2" w:rsidP="00BF6F37">
      <w:pPr>
        <w:ind w:firstLine="567"/>
        <w:jc w:val="both"/>
        <w:rPr>
          <w:rFonts w:ascii="Cambria" w:hAnsi="Cambria"/>
          <w:color w:val="000000"/>
        </w:rPr>
      </w:pPr>
    </w:p>
    <w:tbl>
      <w:tblPr>
        <w:tblW w:w="9232" w:type="dxa"/>
        <w:tblInd w:w="70" w:type="dxa"/>
        <w:tblLayout w:type="fixed"/>
        <w:tblCellMar>
          <w:left w:w="70" w:type="dxa"/>
          <w:right w:w="70" w:type="dxa"/>
        </w:tblCellMar>
        <w:tblLook w:val="04A0" w:firstRow="1" w:lastRow="0" w:firstColumn="1" w:lastColumn="0" w:noHBand="0" w:noVBand="1"/>
      </w:tblPr>
      <w:tblGrid>
        <w:gridCol w:w="2410"/>
        <w:gridCol w:w="567"/>
        <w:gridCol w:w="142"/>
        <w:gridCol w:w="567"/>
        <w:gridCol w:w="567"/>
        <w:gridCol w:w="549"/>
        <w:gridCol w:w="585"/>
        <w:gridCol w:w="709"/>
        <w:gridCol w:w="708"/>
        <w:gridCol w:w="709"/>
        <w:gridCol w:w="709"/>
        <w:gridCol w:w="850"/>
        <w:gridCol w:w="70"/>
        <w:gridCol w:w="90"/>
      </w:tblGrid>
      <w:tr w:rsidR="00D54297" w:rsidRPr="00BF6F37" w:rsidTr="00D54297">
        <w:trPr>
          <w:gridAfter w:val="1"/>
          <w:wAfter w:w="90" w:type="dxa"/>
          <w:trHeight w:val="225"/>
        </w:trPr>
        <w:tc>
          <w:tcPr>
            <w:tcW w:w="9142" w:type="dxa"/>
            <w:gridSpan w:val="13"/>
            <w:tcBorders>
              <w:top w:val="nil"/>
              <w:left w:val="nil"/>
              <w:right w:val="nil"/>
            </w:tcBorders>
            <w:shd w:val="clear" w:color="auto" w:fill="auto"/>
            <w:hideMark/>
          </w:tcPr>
          <w:p w:rsidR="00D54297" w:rsidRPr="00C84CED" w:rsidRDefault="00BF6F37" w:rsidP="00C84CED">
            <w:pPr>
              <w:spacing w:after="120"/>
              <w:rPr>
                <w:rFonts w:ascii="Cambria" w:hAnsi="Cambria"/>
                <w:color w:val="000000"/>
                <w:sz w:val="20"/>
                <w:szCs w:val="20"/>
              </w:rPr>
            </w:pPr>
            <w:r w:rsidRPr="00C84CED">
              <w:rPr>
                <w:rFonts w:ascii="Cambria" w:hAnsi="Cambria"/>
                <w:b/>
                <w:color w:val="000000"/>
                <w:sz w:val="20"/>
                <w:szCs w:val="20"/>
              </w:rPr>
              <w:lastRenderedPageBreak/>
              <w:t>Tablo 7</w:t>
            </w:r>
            <w:r w:rsidR="00D54297" w:rsidRPr="00C84CED">
              <w:rPr>
                <w:rFonts w:ascii="Cambria" w:hAnsi="Cambria"/>
                <w:b/>
                <w:color w:val="000000"/>
                <w:sz w:val="20"/>
                <w:szCs w:val="20"/>
              </w:rPr>
              <w:t>.</w:t>
            </w:r>
            <w:r w:rsidR="00D54297" w:rsidRPr="00C84CED">
              <w:rPr>
                <w:rFonts w:ascii="Cambria" w:hAnsi="Cambria"/>
                <w:color w:val="000000"/>
                <w:sz w:val="20"/>
                <w:szCs w:val="20"/>
              </w:rPr>
              <w:t xml:space="preserve"> Öğrenci/öğretmen oranları</w:t>
            </w:r>
          </w:p>
        </w:tc>
      </w:tr>
      <w:tr w:rsidR="00D54297" w:rsidRPr="00BF6F37" w:rsidTr="00D54297">
        <w:trPr>
          <w:gridAfter w:val="2"/>
          <w:wAfter w:w="160" w:type="dxa"/>
          <w:trHeight w:val="280"/>
        </w:trPr>
        <w:tc>
          <w:tcPr>
            <w:tcW w:w="2410" w:type="dxa"/>
            <w:tcBorders>
              <w:top w:val="single" w:sz="4" w:space="0" w:color="auto"/>
              <w:left w:val="nil"/>
              <w:bottom w:val="single" w:sz="4" w:space="0" w:color="auto"/>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Ülke</w:t>
            </w:r>
          </w:p>
        </w:tc>
        <w:tc>
          <w:tcPr>
            <w:tcW w:w="709" w:type="dxa"/>
            <w:gridSpan w:val="2"/>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Genel</w:t>
            </w:r>
          </w:p>
        </w:tc>
        <w:tc>
          <w:tcPr>
            <w:tcW w:w="567" w:type="dxa"/>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p>
        </w:tc>
        <w:tc>
          <w:tcPr>
            <w:tcW w:w="1116" w:type="dxa"/>
            <w:gridSpan w:val="2"/>
            <w:tcBorders>
              <w:top w:val="single" w:sz="4" w:space="0" w:color="auto"/>
              <w:left w:val="nil"/>
              <w:bottom w:val="single" w:sz="4" w:space="0" w:color="auto"/>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SED 1</w:t>
            </w:r>
          </w:p>
        </w:tc>
        <w:tc>
          <w:tcPr>
            <w:tcW w:w="1294" w:type="dxa"/>
            <w:gridSpan w:val="2"/>
            <w:tcBorders>
              <w:top w:val="single" w:sz="4" w:space="0" w:color="auto"/>
              <w:left w:val="nil"/>
              <w:bottom w:val="single" w:sz="4" w:space="0" w:color="auto"/>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SED 2</w:t>
            </w:r>
          </w:p>
        </w:tc>
        <w:tc>
          <w:tcPr>
            <w:tcW w:w="1417" w:type="dxa"/>
            <w:gridSpan w:val="2"/>
            <w:tcBorders>
              <w:top w:val="single" w:sz="4" w:space="0" w:color="auto"/>
              <w:left w:val="nil"/>
              <w:bottom w:val="single" w:sz="4" w:space="0" w:color="auto"/>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SED 3</w:t>
            </w:r>
          </w:p>
        </w:tc>
        <w:tc>
          <w:tcPr>
            <w:tcW w:w="1559" w:type="dxa"/>
            <w:gridSpan w:val="2"/>
            <w:tcBorders>
              <w:top w:val="single" w:sz="4" w:space="0" w:color="auto"/>
              <w:left w:val="nil"/>
              <w:bottom w:val="single" w:sz="4" w:space="0" w:color="auto"/>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SED 4</w:t>
            </w:r>
          </w:p>
        </w:tc>
      </w:tr>
      <w:tr w:rsidR="00D54297" w:rsidRPr="00BF6F37" w:rsidTr="00D54297">
        <w:trPr>
          <w:gridAfter w:val="2"/>
          <w:wAfter w:w="160" w:type="dxa"/>
          <w:trHeight w:val="382"/>
        </w:trPr>
        <w:tc>
          <w:tcPr>
            <w:tcW w:w="2410" w:type="dxa"/>
            <w:tcBorders>
              <w:top w:val="single" w:sz="4" w:space="0" w:color="auto"/>
              <w:left w:val="nil"/>
              <w:bottom w:val="single" w:sz="4" w:space="0" w:color="auto"/>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w:t>
            </w:r>
          </w:p>
        </w:tc>
        <w:tc>
          <w:tcPr>
            <w:tcW w:w="567" w:type="dxa"/>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Ort. </w:t>
            </w:r>
            <w:proofErr w:type="gramStart"/>
            <w:r w:rsidRPr="00BF6F37">
              <w:rPr>
                <w:rFonts w:ascii="Cambria" w:hAnsi="Cambria"/>
                <w:color w:val="000000"/>
                <w:sz w:val="20"/>
                <w:szCs w:val="20"/>
              </w:rPr>
              <w:t>oran</w:t>
            </w:r>
            <w:proofErr w:type="gramEnd"/>
          </w:p>
        </w:tc>
        <w:tc>
          <w:tcPr>
            <w:tcW w:w="709" w:type="dxa"/>
            <w:gridSpan w:val="2"/>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p>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Sh</w:t>
            </w:r>
          </w:p>
        </w:tc>
        <w:tc>
          <w:tcPr>
            <w:tcW w:w="567" w:type="dxa"/>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Ort. </w:t>
            </w:r>
            <w:proofErr w:type="gramStart"/>
            <w:r w:rsidRPr="00BF6F37">
              <w:rPr>
                <w:rFonts w:ascii="Cambria" w:hAnsi="Cambria"/>
                <w:color w:val="000000"/>
                <w:sz w:val="20"/>
                <w:szCs w:val="20"/>
              </w:rPr>
              <w:t>oran</w:t>
            </w:r>
            <w:proofErr w:type="gramEnd"/>
          </w:p>
        </w:tc>
        <w:tc>
          <w:tcPr>
            <w:tcW w:w="549" w:type="dxa"/>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p>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Sh</w:t>
            </w:r>
          </w:p>
        </w:tc>
        <w:tc>
          <w:tcPr>
            <w:tcW w:w="585" w:type="dxa"/>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Ort. </w:t>
            </w:r>
            <w:proofErr w:type="gramStart"/>
            <w:r w:rsidRPr="00BF6F37">
              <w:rPr>
                <w:rFonts w:ascii="Cambria" w:hAnsi="Cambria"/>
                <w:color w:val="000000"/>
                <w:sz w:val="20"/>
                <w:szCs w:val="20"/>
              </w:rPr>
              <w:t>oran</w:t>
            </w:r>
            <w:proofErr w:type="gramEnd"/>
          </w:p>
        </w:tc>
        <w:tc>
          <w:tcPr>
            <w:tcW w:w="709" w:type="dxa"/>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p>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Sh</w:t>
            </w:r>
          </w:p>
        </w:tc>
        <w:tc>
          <w:tcPr>
            <w:tcW w:w="708" w:type="dxa"/>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Ort. Oran</w:t>
            </w:r>
          </w:p>
        </w:tc>
        <w:tc>
          <w:tcPr>
            <w:tcW w:w="709" w:type="dxa"/>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p>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Sh</w:t>
            </w:r>
          </w:p>
        </w:tc>
        <w:tc>
          <w:tcPr>
            <w:tcW w:w="709" w:type="dxa"/>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Ort. </w:t>
            </w:r>
            <w:proofErr w:type="gramStart"/>
            <w:r w:rsidRPr="00BF6F37">
              <w:rPr>
                <w:rFonts w:ascii="Cambria" w:hAnsi="Cambria"/>
                <w:color w:val="000000"/>
                <w:sz w:val="20"/>
                <w:szCs w:val="20"/>
              </w:rPr>
              <w:t>oran</w:t>
            </w:r>
            <w:proofErr w:type="gramEnd"/>
          </w:p>
        </w:tc>
        <w:tc>
          <w:tcPr>
            <w:tcW w:w="850" w:type="dxa"/>
            <w:tcBorders>
              <w:top w:val="single" w:sz="4" w:space="0" w:color="auto"/>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p>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Sh</w:t>
            </w:r>
          </w:p>
        </w:tc>
      </w:tr>
      <w:tr w:rsidR="00D54297" w:rsidRPr="00BF6F37" w:rsidTr="00D54297">
        <w:trPr>
          <w:gridAfter w:val="2"/>
          <w:wAfter w:w="160" w:type="dxa"/>
          <w:trHeight w:val="208"/>
        </w:trPr>
        <w:tc>
          <w:tcPr>
            <w:tcW w:w="2410" w:type="dxa"/>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Singapur</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12.1</w:t>
            </w:r>
          </w:p>
        </w:tc>
        <w:tc>
          <w:tcPr>
            <w:tcW w:w="709" w:type="dxa"/>
            <w:gridSpan w:val="2"/>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0.1</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11.6</w:t>
            </w:r>
          </w:p>
        </w:tc>
        <w:tc>
          <w:tcPr>
            <w:tcW w:w="54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w:t>
            </w:r>
          </w:p>
        </w:tc>
        <w:tc>
          <w:tcPr>
            <w:tcW w:w="585"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12.6</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0.1</w:t>
            </w:r>
          </w:p>
        </w:tc>
        <w:tc>
          <w:tcPr>
            <w:tcW w:w="708"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12.6</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0.1</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11.7</w:t>
            </w:r>
          </w:p>
        </w:tc>
        <w:tc>
          <w:tcPr>
            <w:tcW w:w="850"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0.3</w:t>
            </w:r>
          </w:p>
        </w:tc>
      </w:tr>
      <w:tr w:rsidR="00D54297" w:rsidRPr="00BF6F37" w:rsidTr="00D54297">
        <w:trPr>
          <w:gridAfter w:val="2"/>
          <w:wAfter w:w="160" w:type="dxa"/>
          <w:trHeight w:val="86"/>
        </w:trPr>
        <w:tc>
          <w:tcPr>
            <w:tcW w:w="2410" w:type="dxa"/>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Japonya</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11.5</w:t>
            </w:r>
          </w:p>
        </w:tc>
        <w:tc>
          <w:tcPr>
            <w:tcW w:w="709" w:type="dxa"/>
            <w:gridSpan w:val="2"/>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0.2</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w:t>
            </w:r>
          </w:p>
        </w:tc>
        <w:tc>
          <w:tcPr>
            <w:tcW w:w="54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0.5</w:t>
            </w:r>
          </w:p>
        </w:tc>
        <w:tc>
          <w:tcPr>
            <w:tcW w:w="585"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11</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0.6</w:t>
            </w:r>
          </w:p>
        </w:tc>
        <w:tc>
          <w:tcPr>
            <w:tcW w:w="708"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12.6</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0.5</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12.5</w:t>
            </w:r>
          </w:p>
        </w:tc>
        <w:tc>
          <w:tcPr>
            <w:tcW w:w="850"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0.5</w:t>
            </w:r>
          </w:p>
        </w:tc>
      </w:tr>
      <w:tr w:rsidR="00D54297" w:rsidRPr="00BF6F37" w:rsidTr="00D54297">
        <w:trPr>
          <w:gridAfter w:val="2"/>
          <w:wAfter w:w="160" w:type="dxa"/>
          <w:trHeight w:val="117"/>
        </w:trPr>
        <w:tc>
          <w:tcPr>
            <w:tcW w:w="2410" w:type="dxa"/>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Estonya</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11.9</w:t>
            </w:r>
          </w:p>
        </w:tc>
        <w:tc>
          <w:tcPr>
            <w:tcW w:w="709" w:type="dxa"/>
            <w:gridSpan w:val="2"/>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0.2</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8.8</w:t>
            </w:r>
          </w:p>
        </w:tc>
        <w:tc>
          <w:tcPr>
            <w:tcW w:w="54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0.3</w:t>
            </w:r>
          </w:p>
        </w:tc>
        <w:tc>
          <w:tcPr>
            <w:tcW w:w="585"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11.2</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0.4</w:t>
            </w:r>
          </w:p>
        </w:tc>
        <w:tc>
          <w:tcPr>
            <w:tcW w:w="708"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13.6</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0.4</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13.5</w:t>
            </w:r>
          </w:p>
        </w:tc>
        <w:tc>
          <w:tcPr>
            <w:tcW w:w="850"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0.4</w:t>
            </w:r>
          </w:p>
        </w:tc>
      </w:tr>
      <w:tr w:rsidR="00D54297" w:rsidRPr="00BF6F37" w:rsidTr="00D54297">
        <w:trPr>
          <w:gridAfter w:val="2"/>
          <w:wAfter w:w="160" w:type="dxa"/>
          <w:trHeight w:val="180"/>
        </w:trPr>
        <w:tc>
          <w:tcPr>
            <w:tcW w:w="2410" w:type="dxa"/>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Taipei (Çin)</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16.4</w:t>
            </w:r>
          </w:p>
        </w:tc>
        <w:tc>
          <w:tcPr>
            <w:tcW w:w="709" w:type="dxa"/>
            <w:gridSpan w:val="2"/>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0.3</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16.5</w:t>
            </w:r>
          </w:p>
        </w:tc>
        <w:tc>
          <w:tcPr>
            <w:tcW w:w="54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0.9</w:t>
            </w:r>
          </w:p>
        </w:tc>
        <w:tc>
          <w:tcPr>
            <w:tcW w:w="585"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15.2</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0.8</w:t>
            </w:r>
          </w:p>
        </w:tc>
        <w:tc>
          <w:tcPr>
            <w:tcW w:w="708"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16.2</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0.8</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17.8</w:t>
            </w:r>
          </w:p>
        </w:tc>
        <w:tc>
          <w:tcPr>
            <w:tcW w:w="850"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0.8</w:t>
            </w:r>
          </w:p>
        </w:tc>
      </w:tr>
      <w:tr w:rsidR="00D54297" w:rsidRPr="00BF6F37" w:rsidTr="00D54297">
        <w:trPr>
          <w:gridAfter w:val="2"/>
          <w:wAfter w:w="160" w:type="dxa"/>
          <w:trHeight w:val="167"/>
        </w:trPr>
        <w:tc>
          <w:tcPr>
            <w:tcW w:w="2410" w:type="dxa"/>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Finlandiya</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10.3</w:t>
            </w:r>
          </w:p>
        </w:tc>
        <w:tc>
          <w:tcPr>
            <w:tcW w:w="709" w:type="dxa"/>
            <w:gridSpan w:val="2"/>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0.1</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9.6</w:t>
            </w:r>
          </w:p>
        </w:tc>
        <w:tc>
          <w:tcPr>
            <w:tcW w:w="54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0.4</w:t>
            </w:r>
          </w:p>
        </w:tc>
        <w:tc>
          <w:tcPr>
            <w:tcW w:w="585"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10.5</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0.4</w:t>
            </w:r>
          </w:p>
        </w:tc>
        <w:tc>
          <w:tcPr>
            <w:tcW w:w="708"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10.4</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0.3</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10.7</w:t>
            </w:r>
          </w:p>
        </w:tc>
        <w:tc>
          <w:tcPr>
            <w:tcW w:w="850"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0.3</w:t>
            </w:r>
          </w:p>
        </w:tc>
      </w:tr>
      <w:tr w:rsidR="00D54297" w:rsidRPr="00BF6F37" w:rsidTr="00D54297">
        <w:trPr>
          <w:gridAfter w:val="2"/>
          <w:wAfter w:w="160" w:type="dxa"/>
          <w:trHeight w:val="227"/>
        </w:trPr>
        <w:tc>
          <w:tcPr>
            <w:tcW w:w="2410" w:type="dxa"/>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Makao (Çin)</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14.7</w:t>
            </w:r>
          </w:p>
        </w:tc>
        <w:tc>
          <w:tcPr>
            <w:tcW w:w="709" w:type="dxa"/>
            <w:gridSpan w:val="2"/>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16.4</w:t>
            </w:r>
          </w:p>
        </w:tc>
        <w:tc>
          <w:tcPr>
            <w:tcW w:w="54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0.0</w:t>
            </w:r>
          </w:p>
        </w:tc>
        <w:tc>
          <w:tcPr>
            <w:tcW w:w="585"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14.2</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w:t>
            </w:r>
          </w:p>
        </w:tc>
        <w:tc>
          <w:tcPr>
            <w:tcW w:w="708"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15</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13.1</w:t>
            </w:r>
          </w:p>
        </w:tc>
        <w:tc>
          <w:tcPr>
            <w:tcW w:w="850"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w:t>
            </w:r>
          </w:p>
        </w:tc>
      </w:tr>
      <w:tr w:rsidR="00D54297" w:rsidRPr="00BF6F37" w:rsidTr="00D54297">
        <w:trPr>
          <w:gridAfter w:val="2"/>
          <w:wAfter w:w="160" w:type="dxa"/>
          <w:trHeight w:val="131"/>
        </w:trPr>
        <w:tc>
          <w:tcPr>
            <w:tcW w:w="2410" w:type="dxa"/>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Kanada</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15.9</w:t>
            </w:r>
          </w:p>
        </w:tc>
        <w:tc>
          <w:tcPr>
            <w:tcW w:w="709" w:type="dxa"/>
            <w:gridSpan w:val="2"/>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0.2</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14.8</w:t>
            </w:r>
          </w:p>
        </w:tc>
        <w:tc>
          <w:tcPr>
            <w:tcW w:w="54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0.6</w:t>
            </w:r>
          </w:p>
        </w:tc>
        <w:tc>
          <w:tcPr>
            <w:tcW w:w="585"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15.6</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0.5</w:t>
            </w:r>
          </w:p>
        </w:tc>
        <w:tc>
          <w:tcPr>
            <w:tcW w:w="708"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16.5</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0.3</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16.8</w:t>
            </w:r>
          </w:p>
        </w:tc>
        <w:tc>
          <w:tcPr>
            <w:tcW w:w="850"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0.3</w:t>
            </w:r>
          </w:p>
        </w:tc>
      </w:tr>
      <w:tr w:rsidR="00D54297" w:rsidRPr="00BF6F37" w:rsidTr="00D54297">
        <w:trPr>
          <w:gridAfter w:val="2"/>
          <w:wAfter w:w="160" w:type="dxa"/>
          <w:trHeight w:val="135"/>
        </w:trPr>
        <w:tc>
          <w:tcPr>
            <w:tcW w:w="2410" w:type="dxa"/>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Vietnam</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16.2</w:t>
            </w:r>
          </w:p>
        </w:tc>
        <w:tc>
          <w:tcPr>
            <w:tcW w:w="709" w:type="dxa"/>
            <w:gridSpan w:val="2"/>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0.4</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15.4</w:t>
            </w:r>
          </w:p>
        </w:tc>
        <w:tc>
          <w:tcPr>
            <w:tcW w:w="54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0.7</w:t>
            </w:r>
          </w:p>
        </w:tc>
        <w:tc>
          <w:tcPr>
            <w:tcW w:w="585"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16.9</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w:t>
            </w:r>
          </w:p>
        </w:tc>
        <w:tc>
          <w:tcPr>
            <w:tcW w:w="708"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16.1</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1.1</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16.5</w:t>
            </w:r>
          </w:p>
        </w:tc>
        <w:tc>
          <w:tcPr>
            <w:tcW w:w="850"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0.8</w:t>
            </w:r>
          </w:p>
        </w:tc>
      </w:tr>
      <w:tr w:rsidR="00D54297" w:rsidRPr="00BF6F37" w:rsidTr="00D54297">
        <w:trPr>
          <w:gridAfter w:val="2"/>
          <w:wAfter w:w="160" w:type="dxa"/>
          <w:trHeight w:val="152"/>
        </w:trPr>
        <w:tc>
          <w:tcPr>
            <w:tcW w:w="2410" w:type="dxa"/>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Hong Kong (Çin)</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13.5</w:t>
            </w:r>
          </w:p>
        </w:tc>
        <w:tc>
          <w:tcPr>
            <w:tcW w:w="709" w:type="dxa"/>
            <w:gridSpan w:val="2"/>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0.2</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12.3</w:t>
            </w:r>
          </w:p>
        </w:tc>
        <w:tc>
          <w:tcPr>
            <w:tcW w:w="54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0.4</w:t>
            </w:r>
          </w:p>
        </w:tc>
        <w:tc>
          <w:tcPr>
            <w:tcW w:w="585"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13.1</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0.5</w:t>
            </w:r>
          </w:p>
        </w:tc>
        <w:tc>
          <w:tcPr>
            <w:tcW w:w="708"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14.5</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0.4</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14.1</w:t>
            </w:r>
          </w:p>
        </w:tc>
        <w:tc>
          <w:tcPr>
            <w:tcW w:w="850"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0.3</w:t>
            </w:r>
          </w:p>
        </w:tc>
      </w:tr>
      <w:tr w:rsidR="00D54297" w:rsidRPr="00BF6F37" w:rsidTr="00D54297">
        <w:trPr>
          <w:gridAfter w:val="2"/>
          <w:wAfter w:w="160" w:type="dxa"/>
          <w:trHeight w:val="116"/>
        </w:trPr>
        <w:tc>
          <w:tcPr>
            <w:tcW w:w="2410" w:type="dxa"/>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B-S-J-G (Çin)</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13.8</w:t>
            </w:r>
          </w:p>
        </w:tc>
        <w:tc>
          <w:tcPr>
            <w:tcW w:w="709" w:type="dxa"/>
            <w:gridSpan w:val="2"/>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0.4</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15.4</w:t>
            </w:r>
          </w:p>
        </w:tc>
        <w:tc>
          <w:tcPr>
            <w:tcW w:w="54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1.7</w:t>
            </w:r>
          </w:p>
        </w:tc>
        <w:tc>
          <w:tcPr>
            <w:tcW w:w="585"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14</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1.4</w:t>
            </w:r>
          </w:p>
        </w:tc>
        <w:tc>
          <w:tcPr>
            <w:tcW w:w="708"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13.3</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0.7</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12.7</w:t>
            </w:r>
          </w:p>
        </w:tc>
        <w:tc>
          <w:tcPr>
            <w:tcW w:w="850"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w:t>
            </w:r>
          </w:p>
        </w:tc>
      </w:tr>
      <w:tr w:rsidR="00D54297" w:rsidRPr="00BF6F37" w:rsidTr="00D54297">
        <w:trPr>
          <w:gridAfter w:val="2"/>
          <w:wAfter w:w="160" w:type="dxa"/>
          <w:trHeight w:val="147"/>
        </w:trPr>
        <w:tc>
          <w:tcPr>
            <w:tcW w:w="2410" w:type="dxa"/>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Türkiye</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15.2</w:t>
            </w:r>
          </w:p>
        </w:tc>
        <w:tc>
          <w:tcPr>
            <w:tcW w:w="709" w:type="dxa"/>
            <w:gridSpan w:val="2"/>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0.3</w:t>
            </w:r>
          </w:p>
        </w:tc>
        <w:tc>
          <w:tcPr>
            <w:tcW w:w="567"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15.6</w:t>
            </w:r>
          </w:p>
        </w:tc>
        <w:tc>
          <w:tcPr>
            <w:tcW w:w="54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0.7</w:t>
            </w:r>
          </w:p>
        </w:tc>
        <w:tc>
          <w:tcPr>
            <w:tcW w:w="585"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15.3</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0.9</w:t>
            </w:r>
          </w:p>
        </w:tc>
        <w:tc>
          <w:tcPr>
            <w:tcW w:w="708"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14.7</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0.6</w:t>
            </w:r>
          </w:p>
        </w:tc>
        <w:tc>
          <w:tcPr>
            <w:tcW w:w="709"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15</w:t>
            </w:r>
          </w:p>
        </w:tc>
        <w:tc>
          <w:tcPr>
            <w:tcW w:w="850" w:type="dxa"/>
            <w:tcBorders>
              <w:top w:val="nil"/>
              <w:left w:val="nil"/>
              <w:bottom w:val="nil"/>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0.8</w:t>
            </w:r>
          </w:p>
        </w:tc>
      </w:tr>
      <w:tr w:rsidR="00D54297" w:rsidRPr="00BF6F37" w:rsidTr="00D54297">
        <w:trPr>
          <w:gridAfter w:val="2"/>
          <w:wAfter w:w="160" w:type="dxa"/>
          <w:trHeight w:val="338"/>
        </w:trPr>
        <w:tc>
          <w:tcPr>
            <w:tcW w:w="2410" w:type="dxa"/>
            <w:tcBorders>
              <w:top w:val="nil"/>
              <w:left w:val="nil"/>
              <w:bottom w:val="single" w:sz="4" w:space="0" w:color="auto"/>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OECD </w:t>
            </w:r>
          </w:p>
        </w:tc>
        <w:tc>
          <w:tcPr>
            <w:tcW w:w="567" w:type="dxa"/>
            <w:tcBorders>
              <w:top w:val="nil"/>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13.1</w:t>
            </w:r>
          </w:p>
        </w:tc>
        <w:tc>
          <w:tcPr>
            <w:tcW w:w="709" w:type="dxa"/>
            <w:gridSpan w:val="2"/>
            <w:tcBorders>
              <w:top w:val="nil"/>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0.1</w:t>
            </w:r>
          </w:p>
        </w:tc>
        <w:tc>
          <w:tcPr>
            <w:tcW w:w="567" w:type="dxa"/>
            <w:tcBorders>
              <w:top w:val="nil"/>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12.1</w:t>
            </w:r>
          </w:p>
        </w:tc>
        <w:tc>
          <w:tcPr>
            <w:tcW w:w="549" w:type="dxa"/>
            <w:tcBorders>
              <w:top w:val="nil"/>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0.1</w:t>
            </w:r>
          </w:p>
        </w:tc>
        <w:tc>
          <w:tcPr>
            <w:tcW w:w="585" w:type="dxa"/>
            <w:tcBorders>
              <w:top w:val="nil"/>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w:t>
            </w:r>
          </w:p>
        </w:tc>
        <w:tc>
          <w:tcPr>
            <w:tcW w:w="709" w:type="dxa"/>
            <w:tcBorders>
              <w:top w:val="nil"/>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0.2</w:t>
            </w:r>
          </w:p>
        </w:tc>
        <w:tc>
          <w:tcPr>
            <w:tcW w:w="708" w:type="dxa"/>
            <w:tcBorders>
              <w:top w:val="nil"/>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13.6</w:t>
            </w:r>
          </w:p>
        </w:tc>
        <w:tc>
          <w:tcPr>
            <w:tcW w:w="709" w:type="dxa"/>
            <w:tcBorders>
              <w:top w:val="nil"/>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0.2</w:t>
            </w:r>
          </w:p>
        </w:tc>
        <w:tc>
          <w:tcPr>
            <w:tcW w:w="709" w:type="dxa"/>
            <w:tcBorders>
              <w:top w:val="nil"/>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13.5</w:t>
            </w:r>
          </w:p>
        </w:tc>
        <w:tc>
          <w:tcPr>
            <w:tcW w:w="850" w:type="dxa"/>
            <w:tcBorders>
              <w:top w:val="nil"/>
              <w:left w:val="nil"/>
              <w:bottom w:val="single" w:sz="4" w:space="0" w:color="auto"/>
              <w:right w:val="nil"/>
            </w:tcBorders>
            <w:shd w:val="clear" w:color="auto" w:fill="auto"/>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0.1</w:t>
            </w:r>
          </w:p>
        </w:tc>
      </w:tr>
      <w:tr w:rsidR="00D54297" w:rsidRPr="00BF6F37" w:rsidTr="00D54297">
        <w:trPr>
          <w:trHeight w:val="555"/>
        </w:trPr>
        <w:tc>
          <w:tcPr>
            <w:tcW w:w="9072" w:type="dxa"/>
            <w:gridSpan w:val="12"/>
            <w:tcBorders>
              <w:top w:val="single" w:sz="4" w:space="0" w:color="auto"/>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Kaynak: </w:t>
            </w:r>
            <w:hyperlink r:id="rId16" w:history="1">
              <w:r w:rsidRPr="00BF6F37">
                <w:rPr>
                  <w:rStyle w:val="Hyperlink"/>
                  <w:rFonts w:ascii="Cambria" w:hAnsi="Cambria"/>
                  <w:sz w:val="20"/>
                  <w:szCs w:val="20"/>
                </w:rPr>
                <w:t>http://gpseducation.oecd.org/IndicatorExplorer?query=2</w:t>
              </w:r>
            </w:hyperlink>
            <w:r w:rsidRPr="00BF6F37">
              <w:rPr>
                <w:rFonts w:ascii="Cambria" w:hAnsi="Cambria"/>
                <w:color w:val="000000"/>
                <w:sz w:val="20"/>
                <w:szCs w:val="20"/>
              </w:rPr>
              <w:t xml:space="preserve">  (Tablo: II.6.29)</w:t>
            </w:r>
          </w:p>
          <w:p w:rsidR="00D54297" w:rsidRPr="00BF6F37" w:rsidRDefault="00D54297" w:rsidP="00D54297">
            <w:pPr>
              <w:rPr>
                <w:rFonts w:ascii="Cambria" w:hAnsi="Cambria"/>
                <w:color w:val="000000"/>
                <w:sz w:val="20"/>
                <w:szCs w:val="20"/>
              </w:rPr>
            </w:pPr>
          </w:p>
        </w:tc>
        <w:tc>
          <w:tcPr>
            <w:tcW w:w="160" w:type="dxa"/>
            <w:gridSpan w:val="2"/>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p>
        </w:tc>
      </w:tr>
    </w:tbl>
    <w:p w:rsidR="00D54297" w:rsidRPr="00C84CED" w:rsidRDefault="00BF6F37" w:rsidP="00D54297">
      <w:pPr>
        <w:tabs>
          <w:tab w:val="left" w:pos="5430"/>
        </w:tabs>
        <w:ind w:firstLine="567"/>
        <w:jc w:val="both"/>
        <w:rPr>
          <w:rFonts w:ascii="Cambria" w:hAnsi="Cambria"/>
          <w:sz w:val="22"/>
        </w:rPr>
      </w:pPr>
      <w:r w:rsidRPr="00C84CED">
        <w:rPr>
          <w:rFonts w:ascii="Cambria" w:hAnsi="Cambria"/>
          <w:sz w:val="22"/>
        </w:rPr>
        <w:t>Tablo 7’de</w:t>
      </w:r>
      <w:r w:rsidR="00D54297" w:rsidRPr="00C84CED">
        <w:rPr>
          <w:rFonts w:ascii="Cambria" w:hAnsi="Cambria"/>
          <w:sz w:val="22"/>
        </w:rPr>
        <w:t xml:space="preserve"> görüldüğü gibi öğrenci ve öğretmen oranlarına ilişkin genel ortalamalarda, ülkeler arası ve OECD ortalaması karşılaştırıldığında dikkat çekici düzeyde bir farklılaşma bulunmamaktadır. Ancak 15 ortalama referans kabul edildiğinde, Taipei, Kanada, Vietnam ve Türkiye’nin bu ortalamanın biraz üstünde olduğu görülmektedir. Aynı durum okulların sosyoekonomik </w:t>
      </w:r>
      <w:proofErr w:type="gramStart"/>
      <w:r w:rsidR="00D54297" w:rsidRPr="00C84CED">
        <w:rPr>
          <w:rFonts w:ascii="Cambria" w:hAnsi="Cambria"/>
          <w:sz w:val="22"/>
        </w:rPr>
        <w:t>profilleri</w:t>
      </w:r>
      <w:proofErr w:type="gramEnd"/>
      <w:r w:rsidR="00D54297" w:rsidRPr="00C84CED">
        <w:rPr>
          <w:rFonts w:ascii="Cambria" w:hAnsi="Cambria"/>
          <w:sz w:val="22"/>
        </w:rPr>
        <w:t xml:space="preserve"> dikkate alındığında da öğrenci- öğretmen oranları arasında anlamlı farkın bulunduğu Estonya, Finlandiya ve Hong Kong’da söz konusu fark dezavantajlı okulların lehinedir. Diğer yandan Makao’da üst sosyo ekonomik grupta bulunan okullarda öğrenci- öğretmen oranları daha düşüktür. Bu durumda öğrenci-öğretmen oranları konusunda Türkiye’de önemli bir aşamanın kaydedildiği söylenebilir. Nitekim Türkiye, PISA 2015 programında en başarılı olan ülkeler ve OECD ortalamasıyla karşılaştırıldığında öğrenci-öğretmen oranları açısından iyi bir konumda olduğu görülmektedir. </w:t>
      </w:r>
    </w:p>
    <w:p w:rsidR="00D54297" w:rsidRPr="00C84CED" w:rsidRDefault="00D54297" w:rsidP="00D54297">
      <w:pPr>
        <w:tabs>
          <w:tab w:val="left" w:pos="567"/>
          <w:tab w:val="left" w:pos="709"/>
        </w:tabs>
        <w:jc w:val="both"/>
        <w:rPr>
          <w:rFonts w:ascii="Cambria" w:hAnsi="Cambria"/>
          <w:sz w:val="22"/>
        </w:rPr>
      </w:pPr>
      <w:r w:rsidRPr="00C84CED">
        <w:rPr>
          <w:rFonts w:ascii="Cambria" w:hAnsi="Cambria"/>
          <w:sz w:val="22"/>
        </w:rPr>
        <w:tab/>
        <w:t xml:space="preserve">İnsan kaynakları boyutunun bir diğer göstergesi olan öğretmenlerin mesleki gelişim programlarına katılım düzeyleri, okulların sosyo ekonomik </w:t>
      </w:r>
      <w:proofErr w:type="gramStart"/>
      <w:r w:rsidRPr="00C84CED">
        <w:rPr>
          <w:rFonts w:ascii="Cambria" w:hAnsi="Cambria"/>
          <w:sz w:val="22"/>
        </w:rPr>
        <w:t>profilleri</w:t>
      </w:r>
      <w:proofErr w:type="gramEnd"/>
      <w:r w:rsidRPr="00C84CED">
        <w:rPr>
          <w:rFonts w:ascii="Cambria" w:hAnsi="Cambria"/>
          <w:sz w:val="22"/>
        </w:rPr>
        <w:t xml:space="preserve"> bağlamın</w:t>
      </w:r>
      <w:r w:rsidR="00BF6F37" w:rsidRPr="00C84CED">
        <w:rPr>
          <w:rFonts w:ascii="Cambria" w:hAnsi="Cambria"/>
          <w:sz w:val="22"/>
        </w:rPr>
        <w:t>da incelenmiş ve veriler Tablo 8</w:t>
      </w:r>
      <w:r w:rsidRPr="00C84CED">
        <w:rPr>
          <w:rFonts w:ascii="Cambria" w:hAnsi="Cambria"/>
          <w:sz w:val="22"/>
        </w:rPr>
        <w:t>’de sunulmuştur.</w:t>
      </w:r>
    </w:p>
    <w:p w:rsidR="00D54297" w:rsidRPr="00BF6F37" w:rsidRDefault="00D54297" w:rsidP="00D54297">
      <w:pPr>
        <w:tabs>
          <w:tab w:val="left" w:pos="709"/>
        </w:tabs>
        <w:jc w:val="both"/>
        <w:rPr>
          <w:rFonts w:ascii="Cambria" w:hAnsi="Cambria"/>
        </w:rPr>
      </w:pPr>
    </w:p>
    <w:tbl>
      <w:tblPr>
        <w:tblW w:w="9498" w:type="dxa"/>
        <w:tblInd w:w="55" w:type="dxa"/>
        <w:tblLayout w:type="fixed"/>
        <w:tblCellMar>
          <w:left w:w="70" w:type="dxa"/>
          <w:right w:w="70" w:type="dxa"/>
        </w:tblCellMar>
        <w:tblLook w:val="04A0" w:firstRow="1" w:lastRow="0" w:firstColumn="1" w:lastColumn="0" w:noHBand="0" w:noVBand="1"/>
      </w:tblPr>
      <w:tblGrid>
        <w:gridCol w:w="1858"/>
        <w:gridCol w:w="284"/>
        <w:gridCol w:w="567"/>
        <w:gridCol w:w="567"/>
        <w:gridCol w:w="283"/>
        <w:gridCol w:w="709"/>
        <w:gridCol w:w="425"/>
        <w:gridCol w:w="284"/>
        <w:gridCol w:w="567"/>
        <w:gridCol w:w="425"/>
        <w:gridCol w:w="283"/>
        <w:gridCol w:w="567"/>
        <w:gridCol w:w="507"/>
        <w:gridCol w:w="344"/>
        <w:gridCol w:w="709"/>
        <w:gridCol w:w="799"/>
        <w:gridCol w:w="160"/>
        <w:gridCol w:w="160"/>
      </w:tblGrid>
      <w:tr w:rsidR="00D54297" w:rsidRPr="00BF6F37" w:rsidTr="00D54297">
        <w:trPr>
          <w:gridAfter w:val="2"/>
          <w:wAfter w:w="320" w:type="dxa"/>
          <w:trHeight w:val="255"/>
        </w:trPr>
        <w:tc>
          <w:tcPr>
            <w:tcW w:w="9178" w:type="dxa"/>
            <w:gridSpan w:val="16"/>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b/>
                <w:color w:val="000000"/>
                <w:sz w:val="20"/>
                <w:szCs w:val="20"/>
              </w:rPr>
              <w:t xml:space="preserve">Tablo </w:t>
            </w:r>
            <w:r w:rsidR="00BF6F37">
              <w:rPr>
                <w:rFonts w:ascii="Cambria" w:hAnsi="Cambria"/>
                <w:b/>
                <w:color w:val="000000"/>
                <w:sz w:val="20"/>
                <w:szCs w:val="20"/>
              </w:rPr>
              <w:t>8</w:t>
            </w:r>
            <w:r w:rsidRPr="00BF6F37">
              <w:rPr>
                <w:rFonts w:ascii="Cambria" w:hAnsi="Cambria"/>
                <w:color w:val="000000"/>
                <w:sz w:val="20"/>
                <w:szCs w:val="20"/>
              </w:rPr>
              <w:t>. Mesleki gelişim programlarına katılım oranları</w:t>
            </w:r>
          </w:p>
        </w:tc>
      </w:tr>
      <w:tr w:rsidR="00D54297" w:rsidRPr="00BF6F37" w:rsidTr="00D54297">
        <w:trPr>
          <w:gridAfter w:val="2"/>
          <w:wAfter w:w="320" w:type="dxa"/>
          <w:trHeight w:val="255"/>
        </w:trPr>
        <w:tc>
          <w:tcPr>
            <w:tcW w:w="1858" w:type="dxa"/>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Ülke</w:t>
            </w:r>
          </w:p>
        </w:tc>
        <w:tc>
          <w:tcPr>
            <w:tcW w:w="1418" w:type="dxa"/>
            <w:gridSpan w:val="3"/>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Genel</w:t>
            </w:r>
          </w:p>
        </w:tc>
        <w:tc>
          <w:tcPr>
            <w:tcW w:w="1417" w:type="dxa"/>
            <w:gridSpan w:val="3"/>
            <w:tcBorders>
              <w:top w:val="single" w:sz="4" w:space="0" w:color="auto"/>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          SED 1</w:t>
            </w:r>
          </w:p>
        </w:tc>
        <w:tc>
          <w:tcPr>
            <w:tcW w:w="1276" w:type="dxa"/>
            <w:gridSpan w:val="3"/>
            <w:tcBorders>
              <w:top w:val="single" w:sz="4" w:space="0" w:color="auto"/>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       SED 2</w:t>
            </w:r>
          </w:p>
        </w:tc>
        <w:tc>
          <w:tcPr>
            <w:tcW w:w="1357" w:type="dxa"/>
            <w:gridSpan w:val="3"/>
            <w:tcBorders>
              <w:top w:val="single" w:sz="4" w:space="0" w:color="auto"/>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      SED 3</w:t>
            </w:r>
          </w:p>
        </w:tc>
        <w:tc>
          <w:tcPr>
            <w:tcW w:w="1852" w:type="dxa"/>
            <w:gridSpan w:val="3"/>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SED 4</w:t>
            </w:r>
          </w:p>
        </w:tc>
      </w:tr>
      <w:tr w:rsidR="00D54297" w:rsidRPr="00BF6F37" w:rsidTr="00D54297">
        <w:trPr>
          <w:gridAfter w:val="2"/>
          <w:wAfter w:w="320" w:type="dxa"/>
          <w:trHeight w:val="510"/>
        </w:trPr>
        <w:tc>
          <w:tcPr>
            <w:tcW w:w="2142" w:type="dxa"/>
            <w:gridSpan w:val="2"/>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w:t>
            </w:r>
          </w:p>
        </w:tc>
        <w:tc>
          <w:tcPr>
            <w:tcW w:w="567"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Ort. </w:t>
            </w:r>
            <w:proofErr w:type="gramStart"/>
            <w:r w:rsidRPr="00BF6F37">
              <w:rPr>
                <w:rFonts w:ascii="Cambria" w:hAnsi="Cambria"/>
                <w:color w:val="000000"/>
                <w:sz w:val="20"/>
                <w:szCs w:val="20"/>
              </w:rPr>
              <w:t>oran</w:t>
            </w:r>
            <w:proofErr w:type="gramEnd"/>
          </w:p>
        </w:tc>
        <w:tc>
          <w:tcPr>
            <w:tcW w:w="850" w:type="dxa"/>
            <w:gridSpan w:val="2"/>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p>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Sh</w:t>
            </w:r>
          </w:p>
        </w:tc>
        <w:tc>
          <w:tcPr>
            <w:tcW w:w="709"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Ort. </w:t>
            </w:r>
            <w:proofErr w:type="gramStart"/>
            <w:r w:rsidRPr="00BF6F37">
              <w:rPr>
                <w:rFonts w:ascii="Cambria" w:hAnsi="Cambria"/>
                <w:color w:val="000000"/>
                <w:sz w:val="20"/>
                <w:szCs w:val="20"/>
              </w:rPr>
              <w:t>oran</w:t>
            </w:r>
            <w:proofErr w:type="gramEnd"/>
          </w:p>
        </w:tc>
        <w:tc>
          <w:tcPr>
            <w:tcW w:w="709" w:type="dxa"/>
            <w:gridSpan w:val="2"/>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p>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Sh</w:t>
            </w:r>
          </w:p>
        </w:tc>
        <w:tc>
          <w:tcPr>
            <w:tcW w:w="567"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Ort. </w:t>
            </w:r>
            <w:proofErr w:type="gramStart"/>
            <w:r w:rsidRPr="00BF6F37">
              <w:rPr>
                <w:rFonts w:ascii="Cambria" w:hAnsi="Cambria"/>
                <w:color w:val="000000"/>
                <w:sz w:val="20"/>
                <w:szCs w:val="20"/>
              </w:rPr>
              <w:t>oran</w:t>
            </w:r>
            <w:proofErr w:type="gramEnd"/>
          </w:p>
        </w:tc>
        <w:tc>
          <w:tcPr>
            <w:tcW w:w="708" w:type="dxa"/>
            <w:gridSpan w:val="2"/>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p>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Sh</w:t>
            </w:r>
          </w:p>
        </w:tc>
        <w:tc>
          <w:tcPr>
            <w:tcW w:w="567"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Ort. </w:t>
            </w:r>
            <w:proofErr w:type="gramStart"/>
            <w:r w:rsidRPr="00BF6F37">
              <w:rPr>
                <w:rFonts w:ascii="Cambria" w:hAnsi="Cambria"/>
                <w:color w:val="000000"/>
                <w:sz w:val="20"/>
                <w:szCs w:val="20"/>
              </w:rPr>
              <w:t>oran</w:t>
            </w:r>
            <w:proofErr w:type="gramEnd"/>
          </w:p>
        </w:tc>
        <w:tc>
          <w:tcPr>
            <w:tcW w:w="851" w:type="dxa"/>
            <w:gridSpan w:val="2"/>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p>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Sh</w:t>
            </w:r>
          </w:p>
        </w:tc>
        <w:tc>
          <w:tcPr>
            <w:tcW w:w="709"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 xml:space="preserve">Ort. </w:t>
            </w:r>
            <w:proofErr w:type="gramStart"/>
            <w:r w:rsidRPr="00BF6F37">
              <w:rPr>
                <w:rFonts w:ascii="Cambria" w:hAnsi="Cambria"/>
                <w:color w:val="000000"/>
                <w:sz w:val="20"/>
                <w:szCs w:val="20"/>
              </w:rPr>
              <w:t>oran</w:t>
            </w:r>
            <w:proofErr w:type="gramEnd"/>
          </w:p>
        </w:tc>
        <w:tc>
          <w:tcPr>
            <w:tcW w:w="799"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p>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Sh</w:t>
            </w:r>
          </w:p>
        </w:tc>
      </w:tr>
      <w:tr w:rsidR="00D54297" w:rsidRPr="00BF6F37" w:rsidTr="00D54297">
        <w:trPr>
          <w:gridAfter w:val="2"/>
          <w:wAfter w:w="320" w:type="dxa"/>
          <w:trHeight w:val="255"/>
        </w:trPr>
        <w:tc>
          <w:tcPr>
            <w:tcW w:w="2142" w:type="dxa"/>
            <w:gridSpan w:val="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Singapur</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82.6</w:t>
            </w:r>
          </w:p>
        </w:tc>
        <w:tc>
          <w:tcPr>
            <w:tcW w:w="850"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0.7</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79.2</w:t>
            </w:r>
          </w:p>
        </w:tc>
        <w:tc>
          <w:tcPr>
            <w:tcW w:w="709"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0.3</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88.1</w:t>
            </w:r>
          </w:p>
        </w:tc>
        <w:tc>
          <w:tcPr>
            <w:tcW w:w="708"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0.2</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82.5</w:t>
            </w:r>
          </w:p>
        </w:tc>
        <w:tc>
          <w:tcPr>
            <w:tcW w:w="851"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1.6</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80.5</w:t>
            </w:r>
          </w:p>
        </w:tc>
        <w:tc>
          <w:tcPr>
            <w:tcW w:w="79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3.2</w:t>
            </w:r>
          </w:p>
        </w:tc>
      </w:tr>
      <w:tr w:rsidR="00D54297" w:rsidRPr="00BF6F37" w:rsidTr="00D54297">
        <w:trPr>
          <w:gridAfter w:val="2"/>
          <w:wAfter w:w="320" w:type="dxa"/>
          <w:trHeight w:val="255"/>
        </w:trPr>
        <w:tc>
          <w:tcPr>
            <w:tcW w:w="2142" w:type="dxa"/>
            <w:gridSpan w:val="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Japonya</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34.8</w:t>
            </w:r>
          </w:p>
        </w:tc>
        <w:tc>
          <w:tcPr>
            <w:tcW w:w="850"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2.4</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29.9</w:t>
            </w:r>
          </w:p>
        </w:tc>
        <w:tc>
          <w:tcPr>
            <w:tcW w:w="709"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4.5</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34.9</w:t>
            </w:r>
          </w:p>
        </w:tc>
        <w:tc>
          <w:tcPr>
            <w:tcW w:w="708"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5.4</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35.1</w:t>
            </w:r>
          </w:p>
        </w:tc>
        <w:tc>
          <w:tcPr>
            <w:tcW w:w="851"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5.3</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39.3</w:t>
            </w:r>
          </w:p>
        </w:tc>
        <w:tc>
          <w:tcPr>
            <w:tcW w:w="79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6.1</w:t>
            </w:r>
          </w:p>
        </w:tc>
      </w:tr>
      <w:tr w:rsidR="00D54297" w:rsidRPr="00BF6F37" w:rsidTr="00D54297">
        <w:trPr>
          <w:gridAfter w:val="2"/>
          <w:wAfter w:w="320" w:type="dxa"/>
          <w:trHeight w:val="255"/>
        </w:trPr>
        <w:tc>
          <w:tcPr>
            <w:tcW w:w="2142" w:type="dxa"/>
            <w:gridSpan w:val="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Estonya</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56.6</w:t>
            </w:r>
          </w:p>
        </w:tc>
        <w:tc>
          <w:tcPr>
            <w:tcW w:w="850"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1.9</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62.6</w:t>
            </w:r>
          </w:p>
        </w:tc>
        <w:tc>
          <w:tcPr>
            <w:tcW w:w="709"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4.7</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55.9</w:t>
            </w:r>
          </w:p>
        </w:tc>
        <w:tc>
          <w:tcPr>
            <w:tcW w:w="708"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4</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53.9</w:t>
            </w:r>
          </w:p>
        </w:tc>
        <w:tc>
          <w:tcPr>
            <w:tcW w:w="851"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4.1</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54.3</w:t>
            </w:r>
          </w:p>
        </w:tc>
        <w:tc>
          <w:tcPr>
            <w:tcW w:w="79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3.2</w:t>
            </w:r>
          </w:p>
        </w:tc>
      </w:tr>
      <w:tr w:rsidR="00D54297" w:rsidRPr="00BF6F37" w:rsidTr="00D54297">
        <w:trPr>
          <w:gridAfter w:val="2"/>
          <w:wAfter w:w="320" w:type="dxa"/>
          <w:trHeight w:val="255"/>
        </w:trPr>
        <w:tc>
          <w:tcPr>
            <w:tcW w:w="2142" w:type="dxa"/>
            <w:gridSpan w:val="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Taipei (Çin)</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69.2</w:t>
            </w:r>
          </w:p>
        </w:tc>
        <w:tc>
          <w:tcPr>
            <w:tcW w:w="850"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2</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73.3</w:t>
            </w:r>
          </w:p>
        </w:tc>
        <w:tc>
          <w:tcPr>
            <w:tcW w:w="709"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4.6</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67.7</w:t>
            </w:r>
          </w:p>
        </w:tc>
        <w:tc>
          <w:tcPr>
            <w:tcW w:w="708"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5.6</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65.3</w:t>
            </w:r>
          </w:p>
        </w:tc>
        <w:tc>
          <w:tcPr>
            <w:tcW w:w="851"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5.8</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70.7</w:t>
            </w:r>
          </w:p>
        </w:tc>
        <w:tc>
          <w:tcPr>
            <w:tcW w:w="79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4.7</w:t>
            </w:r>
          </w:p>
        </w:tc>
      </w:tr>
      <w:tr w:rsidR="00D54297" w:rsidRPr="00BF6F37" w:rsidTr="00D54297">
        <w:trPr>
          <w:gridAfter w:val="2"/>
          <w:wAfter w:w="320" w:type="dxa"/>
          <w:trHeight w:val="255"/>
        </w:trPr>
        <w:tc>
          <w:tcPr>
            <w:tcW w:w="2142" w:type="dxa"/>
            <w:gridSpan w:val="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Finlandiya</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51.6</w:t>
            </w:r>
          </w:p>
        </w:tc>
        <w:tc>
          <w:tcPr>
            <w:tcW w:w="850"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2.5</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38.7</w:t>
            </w:r>
          </w:p>
        </w:tc>
        <w:tc>
          <w:tcPr>
            <w:tcW w:w="709"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5.2</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52.1</w:t>
            </w:r>
          </w:p>
        </w:tc>
        <w:tc>
          <w:tcPr>
            <w:tcW w:w="708"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5.9</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62.9</w:t>
            </w:r>
          </w:p>
        </w:tc>
        <w:tc>
          <w:tcPr>
            <w:tcW w:w="851"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5.7</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52.6</w:t>
            </w:r>
          </w:p>
        </w:tc>
        <w:tc>
          <w:tcPr>
            <w:tcW w:w="79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5.3</w:t>
            </w:r>
          </w:p>
        </w:tc>
      </w:tr>
      <w:tr w:rsidR="00D54297" w:rsidRPr="00BF6F37" w:rsidTr="00D54297">
        <w:trPr>
          <w:gridAfter w:val="2"/>
          <w:wAfter w:w="320" w:type="dxa"/>
          <w:trHeight w:val="255"/>
        </w:trPr>
        <w:tc>
          <w:tcPr>
            <w:tcW w:w="2142" w:type="dxa"/>
            <w:gridSpan w:val="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Makao (Çin)</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74.6</w:t>
            </w:r>
          </w:p>
        </w:tc>
        <w:tc>
          <w:tcPr>
            <w:tcW w:w="850"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85.6</w:t>
            </w:r>
          </w:p>
        </w:tc>
        <w:tc>
          <w:tcPr>
            <w:tcW w:w="709"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0.1</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67</w:t>
            </w:r>
          </w:p>
        </w:tc>
        <w:tc>
          <w:tcPr>
            <w:tcW w:w="708"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0.1</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77.7</w:t>
            </w:r>
          </w:p>
        </w:tc>
        <w:tc>
          <w:tcPr>
            <w:tcW w:w="851"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0.2</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68.3</w:t>
            </w:r>
          </w:p>
        </w:tc>
        <w:tc>
          <w:tcPr>
            <w:tcW w:w="79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0.1</w:t>
            </w:r>
          </w:p>
        </w:tc>
      </w:tr>
      <w:tr w:rsidR="00D54297" w:rsidRPr="00BF6F37" w:rsidTr="00D54297">
        <w:trPr>
          <w:gridAfter w:val="2"/>
          <w:wAfter w:w="320" w:type="dxa"/>
          <w:trHeight w:val="255"/>
        </w:trPr>
        <w:tc>
          <w:tcPr>
            <w:tcW w:w="2142" w:type="dxa"/>
            <w:gridSpan w:val="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Kanada</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71.2</w:t>
            </w:r>
          </w:p>
        </w:tc>
        <w:tc>
          <w:tcPr>
            <w:tcW w:w="850"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1.8</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74.6</w:t>
            </w:r>
          </w:p>
        </w:tc>
        <w:tc>
          <w:tcPr>
            <w:tcW w:w="709"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3.7</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68.8</w:t>
            </w:r>
          </w:p>
        </w:tc>
        <w:tc>
          <w:tcPr>
            <w:tcW w:w="708"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3.7</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75.1</w:t>
            </w:r>
          </w:p>
        </w:tc>
        <w:tc>
          <w:tcPr>
            <w:tcW w:w="851"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3.8</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66.1</w:t>
            </w:r>
          </w:p>
        </w:tc>
        <w:tc>
          <w:tcPr>
            <w:tcW w:w="79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4.4</w:t>
            </w:r>
          </w:p>
        </w:tc>
      </w:tr>
      <w:tr w:rsidR="00D54297" w:rsidRPr="00BF6F37" w:rsidTr="00D54297">
        <w:trPr>
          <w:gridAfter w:val="2"/>
          <w:wAfter w:w="320" w:type="dxa"/>
          <w:trHeight w:val="255"/>
        </w:trPr>
        <w:tc>
          <w:tcPr>
            <w:tcW w:w="2142" w:type="dxa"/>
            <w:gridSpan w:val="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Vietnam</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60.4</w:t>
            </w:r>
          </w:p>
        </w:tc>
        <w:tc>
          <w:tcPr>
            <w:tcW w:w="850"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3.3</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70.6</w:t>
            </w:r>
          </w:p>
        </w:tc>
        <w:tc>
          <w:tcPr>
            <w:tcW w:w="709"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6.6</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59.2</w:t>
            </w:r>
          </w:p>
        </w:tc>
        <w:tc>
          <w:tcPr>
            <w:tcW w:w="708"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7.7</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59.8</w:t>
            </w:r>
          </w:p>
        </w:tc>
        <w:tc>
          <w:tcPr>
            <w:tcW w:w="851"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9.3</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52</w:t>
            </w:r>
          </w:p>
        </w:tc>
        <w:tc>
          <w:tcPr>
            <w:tcW w:w="79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w:t>
            </w:r>
          </w:p>
        </w:tc>
      </w:tr>
      <w:tr w:rsidR="00D54297" w:rsidRPr="00BF6F37" w:rsidTr="00D54297">
        <w:trPr>
          <w:gridAfter w:val="2"/>
          <w:wAfter w:w="320" w:type="dxa"/>
          <w:trHeight w:val="255"/>
        </w:trPr>
        <w:tc>
          <w:tcPr>
            <w:tcW w:w="2142" w:type="dxa"/>
            <w:gridSpan w:val="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Hong Kong (Çin)</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56.7</w:t>
            </w:r>
          </w:p>
        </w:tc>
        <w:tc>
          <w:tcPr>
            <w:tcW w:w="850"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3.5</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52.8</w:t>
            </w:r>
          </w:p>
        </w:tc>
        <w:tc>
          <w:tcPr>
            <w:tcW w:w="709"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6.8</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59.8</w:t>
            </w:r>
          </w:p>
        </w:tc>
        <w:tc>
          <w:tcPr>
            <w:tcW w:w="708"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6.8</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51.5</w:t>
            </w:r>
          </w:p>
        </w:tc>
        <w:tc>
          <w:tcPr>
            <w:tcW w:w="851"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5.7</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62.3</w:t>
            </w:r>
          </w:p>
        </w:tc>
        <w:tc>
          <w:tcPr>
            <w:tcW w:w="79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w:t>
            </w:r>
          </w:p>
        </w:tc>
      </w:tr>
      <w:tr w:rsidR="00D54297" w:rsidRPr="00BF6F37" w:rsidTr="00D54297">
        <w:trPr>
          <w:gridAfter w:val="2"/>
          <w:wAfter w:w="320" w:type="dxa"/>
          <w:trHeight w:val="255"/>
        </w:trPr>
        <w:tc>
          <w:tcPr>
            <w:tcW w:w="2142" w:type="dxa"/>
            <w:gridSpan w:val="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B-S-J-G (Çin)</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72.1</w:t>
            </w:r>
          </w:p>
        </w:tc>
        <w:tc>
          <w:tcPr>
            <w:tcW w:w="850"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2.4</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69.2</w:t>
            </w:r>
          </w:p>
        </w:tc>
        <w:tc>
          <w:tcPr>
            <w:tcW w:w="709"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5.4</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65.2</w:t>
            </w:r>
          </w:p>
        </w:tc>
        <w:tc>
          <w:tcPr>
            <w:tcW w:w="708"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5.8</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74.3</w:t>
            </w:r>
          </w:p>
        </w:tc>
        <w:tc>
          <w:tcPr>
            <w:tcW w:w="851"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6.3</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80</w:t>
            </w:r>
          </w:p>
        </w:tc>
        <w:tc>
          <w:tcPr>
            <w:tcW w:w="79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4.8</w:t>
            </w:r>
          </w:p>
        </w:tc>
      </w:tr>
      <w:tr w:rsidR="00D54297" w:rsidRPr="00BF6F37" w:rsidTr="00D54297">
        <w:trPr>
          <w:gridAfter w:val="2"/>
          <w:wAfter w:w="320" w:type="dxa"/>
          <w:trHeight w:val="255"/>
        </w:trPr>
        <w:tc>
          <w:tcPr>
            <w:tcW w:w="2142" w:type="dxa"/>
            <w:gridSpan w:val="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Türkiye</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24</w:t>
            </w:r>
          </w:p>
        </w:tc>
        <w:tc>
          <w:tcPr>
            <w:tcW w:w="850"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2.8</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13.7</w:t>
            </w:r>
          </w:p>
        </w:tc>
        <w:tc>
          <w:tcPr>
            <w:tcW w:w="709"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4.8</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29.2</w:t>
            </w:r>
          </w:p>
        </w:tc>
        <w:tc>
          <w:tcPr>
            <w:tcW w:w="708"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w:t>
            </w:r>
          </w:p>
        </w:tc>
        <w:tc>
          <w:tcPr>
            <w:tcW w:w="567"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22.9</w:t>
            </w:r>
          </w:p>
        </w:tc>
        <w:tc>
          <w:tcPr>
            <w:tcW w:w="851" w:type="dxa"/>
            <w:gridSpan w:val="2"/>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6.5</w:t>
            </w:r>
          </w:p>
        </w:tc>
        <w:tc>
          <w:tcPr>
            <w:tcW w:w="70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31.5</w:t>
            </w:r>
          </w:p>
        </w:tc>
        <w:tc>
          <w:tcPr>
            <w:tcW w:w="799" w:type="dxa"/>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6.6</w:t>
            </w:r>
          </w:p>
        </w:tc>
      </w:tr>
      <w:tr w:rsidR="00D54297" w:rsidRPr="00BF6F37" w:rsidTr="00D54297">
        <w:trPr>
          <w:gridAfter w:val="2"/>
          <w:wAfter w:w="320" w:type="dxa"/>
          <w:trHeight w:val="255"/>
        </w:trPr>
        <w:tc>
          <w:tcPr>
            <w:tcW w:w="2142" w:type="dxa"/>
            <w:gridSpan w:val="2"/>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OECD</w:t>
            </w:r>
          </w:p>
        </w:tc>
        <w:tc>
          <w:tcPr>
            <w:tcW w:w="567"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50.9</w:t>
            </w:r>
          </w:p>
        </w:tc>
        <w:tc>
          <w:tcPr>
            <w:tcW w:w="850" w:type="dxa"/>
            <w:gridSpan w:val="2"/>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0.4</w:t>
            </w:r>
          </w:p>
        </w:tc>
        <w:tc>
          <w:tcPr>
            <w:tcW w:w="709"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50.7</w:t>
            </w:r>
          </w:p>
        </w:tc>
        <w:tc>
          <w:tcPr>
            <w:tcW w:w="709" w:type="dxa"/>
            <w:gridSpan w:val="2"/>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0.8</w:t>
            </w:r>
          </w:p>
        </w:tc>
        <w:tc>
          <w:tcPr>
            <w:tcW w:w="567"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51.7</w:t>
            </w:r>
          </w:p>
        </w:tc>
        <w:tc>
          <w:tcPr>
            <w:tcW w:w="708" w:type="dxa"/>
            <w:gridSpan w:val="2"/>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0.9</w:t>
            </w:r>
          </w:p>
        </w:tc>
        <w:tc>
          <w:tcPr>
            <w:tcW w:w="567"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50.2</w:t>
            </w:r>
          </w:p>
        </w:tc>
        <w:tc>
          <w:tcPr>
            <w:tcW w:w="851" w:type="dxa"/>
            <w:gridSpan w:val="2"/>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0.8</w:t>
            </w:r>
          </w:p>
        </w:tc>
        <w:tc>
          <w:tcPr>
            <w:tcW w:w="709"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51</w:t>
            </w:r>
          </w:p>
        </w:tc>
        <w:tc>
          <w:tcPr>
            <w:tcW w:w="799" w:type="dxa"/>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0.8</w:t>
            </w:r>
          </w:p>
        </w:tc>
      </w:tr>
      <w:tr w:rsidR="00D54297" w:rsidRPr="00BF6F37" w:rsidTr="00D54297">
        <w:trPr>
          <w:trHeight w:val="255"/>
        </w:trPr>
        <w:tc>
          <w:tcPr>
            <w:tcW w:w="9178" w:type="dxa"/>
            <w:gridSpan w:val="16"/>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i/>
                <w:color w:val="000000"/>
                <w:sz w:val="20"/>
                <w:szCs w:val="20"/>
              </w:rPr>
              <w:t>Kaynak:</w:t>
            </w:r>
            <w:hyperlink r:id="rId17" w:history="1">
              <w:r w:rsidRPr="00BF6F37">
                <w:rPr>
                  <w:rStyle w:val="Hyperlink"/>
                  <w:rFonts w:ascii="Cambria" w:hAnsi="Cambria"/>
                  <w:sz w:val="20"/>
                  <w:szCs w:val="20"/>
                </w:rPr>
                <w:t>http://gpseducation.oecd.org/IndicatorExplorer?query=2</w:t>
              </w:r>
            </w:hyperlink>
            <w:r w:rsidRPr="00BF6F37">
              <w:rPr>
                <w:rFonts w:ascii="Cambria" w:hAnsi="Cambria"/>
                <w:color w:val="000000"/>
                <w:sz w:val="20"/>
                <w:szCs w:val="20"/>
              </w:rPr>
              <w:t xml:space="preserve">   (Tablo: II.6.18)</w:t>
            </w:r>
          </w:p>
          <w:p w:rsidR="00D54297" w:rsidRPr="00BF6F37" w:rsidRDefault="00D54297" w:rsidP="00D54297">
            <w:pPr>
              <w:rPr>
                <w:rFonts w:ascii="Cambria" w:hAnsi="Cambria"/>
                <w:color w:val="000000"/>
                <w:sz w:val="20"/>
                <w:szCs w:val="20"/>
              </w:rPr>
            </w:pPr>
          </w:p>
        </w:tc>
        <w:tc>
          <w:tcPr>
            <w:tcW w:w="160" w:type="dxa"/>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p>
        </w:tc>
        <w:tc>
          <w:tcPr>
            <w:tcW w:w="160" w:type="dxa"/>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p>
        </w:tc>
      </w:tr>
    </w:tbl>
    <w:p w:rsidR="00D54297" w:rsidRPr="00C84CED" w:rsidRDefault="00D54297" w:rsidP="00D54297">
      <w:pPr>
        <w:ind w:firstLine="567"/>
        <w:jc w:val="both"/>
        <w:rPr>
          <w:rFonts w:ascii="Cambria" w:hAnsi="Cambria"/>
          <w:sz w:val="22"/>
        </w:rPr>
      </w:pPr>
      <w:r w:rsidRPr="00C84CED">
        <w:rPr>
          <w:rFonts w:ascii="Cambria" w:hAnsi="Cambria"/>
          <w:sz w:val="22"/>
        </w:rPr>
        <w:t xml:space="preserve">Okul müdürlerinin verdiği bilgiler doğrultusunda, öğretmenlerin mesleki gelişim programlarına katılım düzeylerine ilişkin ülkeler arası genel karşılaştırmalar incelendiğinde katılım ortalamasının en düşük olduğu ülkeler, Türkiye ve Japonya’dır. Söz konusu ülkelerde </w:t>
      </w:r>
      <w:r w:rsidRPr="00C84CED">
        <w:rPr>
          <w:rFonts w:ascii="Cambria" w:hAnsi="Cambria"/>
          <w:sz w:val="22"/>
        </w:rPr>
        <w:lastRenderedPageBreak/>
        <w:t xml:space="preserve">öğretmenlerin mesleki gelişim programlarına katılım oranı, OECD ortalamasının da altındadır. Mesleki gelişim programlarına katılım düzeyinin en yüksek olduğu ülkeler ise Singapur, Makao, Beijing ve Kanada olarak sıralanabilir. Söz konusu ülkelerde öğretmenlerin dörtte üçü mesleki gelişim programlarına katılmaktadır. Diğer yandan katılım düzeyleri, okulların sosyo ekonomik </w:t>
      </w:r>
      <w:proofErr w:type="gramStart"/>
      <w:r w:rsidRPr="00C84CED">
        <w:rPr>
          <w:rFonts w:ascii="Cambria" w:hAnsi="Cambria"/>
          <w:sz w:val="22"/>
        </w:rPr>
        <w:t>profillerine</w:t>
      </w:r>
      <w:proofErr w:type="gramEnd"/>
      <w:r w:rsidRPr="00C84CED">
        <w:rPr>
          <w:rFonts w:ascii="Cambria" w:hAnsi="Cambria"/>
          <w:sz w:val="22"/>
        </w:rPr>
        <w:t xml:space="preserve"> göre değerlendirildiğinde çoğu ülkede SED düzeyleri arasında anlamlı bir farkın olmadığı söylenebilir. Ancak Türkiye’de öğretmenlerin mesleki gelişim programlarına katılım düzeylerinin düşük olmasının yanı sıra okul SED </w:t>
      </w:r>
      <w:proofErr w:type="gramStart"/>
      <w:r w:rsidRPr="00C84CED">
        <w:rPr>
          <w:rFonts w:ascii="Cambria" w:hAnsi="Cambria"/>
          <w:sz w:val="22"/>
        </w:rPr>
        <w:t>profillerine</w:t>
      </w:r>
      <w:proofErr w:type="gramEnd"/>
      <w:r w:rsidRPr="00C84CED">
        <w:rPr>
          <w:rFonts w:ascii="Cambria" w:hAnsi="Cambria"/>
          <w:sz w:val="22"/>
        </w:rPr>
        <w:t xml:space="preserve"> göre de ciddi eşitsizliklerin olduğu göze çarpmaktadır.</w:t>
      </w:r>
      <w:r w:rsidRPr="00C84CED">
        <w:rPr>
          <w:rFonts w:ascii="Cambria" w:hAnsi="Cambria"/>
          <w:color w:val="000000"/>
          <w:sz w:val="22"/>
        </w:rPr>
        <w:tab/>
      </w:r>
    </w:p>
    <w:p w:rsidR="00D54297" w:rsidRPr="00C84CED" w:rsidRDefault="00D54297" w:rsidP="00D54297">
      <w:pPr>
        <w:ind w:firstLine="567"/>
        <w:jc w:val="both"/>
        <w:rPr>
          <w:rFonts w:ascii="Cambria" w:hAnsi="Cambria"/>
          <w:color w:val="000000"/>
          <w:sz w:val="22"/>
        </w:rPr>
      </w:pPr>
      <w:r w:rsidRPr="00C84CED">
        <w:rPr>
          <w:rFonts w:ascii="Cambria" w:hAnsi="Cambria"/>
          <w:color w:val="000000"/>
          <w:sz w:val="22"/>
        </w:rPr>
        <w:t>Eğitime yapılan yatırımların dördüncü boyutunda öğretime ayrılan zaman kaynaklarına ilişkin göstergeler bulunmaktadır. Söz konusu göstergelerden birincisi olan yaşa göre yıllık ders saatleri t</w:t>
      </w:r>
      <w:r w:rsidR="00BF6F37" w:rsidRPr="00C84CED">
        <w:rPr>
          <w:rFonts w:ascii="Cambria" w:hAnsi="Cambria"/>
          <w:color w:val="000000"/>
          <w:sz w:val="22"/>
        </w:rPr>
        <w:t>oplamına ilişkin veriler Tablo 9’da</w:t>
      </w:r>
      <w:r w:rsidRPr="00C84CED">
        <w:rPr>
          <w:rFonts w:ascii="Cambria" w:hAnsi="Cambria"/>
          <w:color w:val="000000"/>
          <w:sz w:val="22"/>
        </w:rPr>
        <w:t xml:space="preserve"> sunulmuştur.</w:t>
      </w:r>
    </w:p>
    <w:p w:rsidR="00D54297" w:rsidRPr="00BF6F37" w:rsidRDefault="00D54297" w:rsidP="00D54297">
      <w:pPr>
        <w:ind w:firstLine="709"/>
        <w:jc w:val="both"/>
        <w:rPr>
          <w:rFonts w:ascii="Cambria" w:hAnsi="Cambria"/>
          <w:color w:val="000000"/>
        </w:rPr>
      </w:pPr>
    </w:p>
    <w:tbl>
      <w:tblPr>
        <w:tblW w:w="5000" w:type="pct"/>
        <w:tblCellMar>
          <w:left w:w="70" w:type="dxa"/>
          <w:right w:w="70" w:type="dxa"/>
        </w:tblCellMar>
        <w:tblLook w:val="04A0" w:firstRow="1" w:lastRow="0" w:firstColumn="1" w:lastColumn="0" w:noHBand="0" w:noVBand="1"/>
      </w:tblPr>
      <w:tblGrid>
        <w:gridCol w:w="1933"/>
        <w:gridCol w:w="548"/>
        <w:gridCol w:w="548"/>
        <w:gridCol w:w="548"/>
        <w:gridCol w:w="548"/>
        <w:gridCol w:w="548"/>
        <w:gridCol w:w="548"/>
        <w:gridCol w:w="673"/>
        <w:gridCol w:w="673"/>
        <w:gridCol w:w="673"/>
        <w:gridCol w:w="673"/>
        <w:gridCol w:w="1159"/>
      </w:tblGrid>
      <w:tr w:rsidR="00D54297" w:rsidRPr="00BF6F37" w:rsidTr="00D54297">
        <w:trPr>
          <w:trHeight w:val="255"/>
        </w:trPr>
        <w:tc>
          <w:tcPr>
            <w:tcW w:w="5000" w:type="pct"/>
            <w:gridSpan w:val="12"/>
            <w:tcBorders>
              <w:top w:val="nil"/>
              <w:left w:val="nil"/>
              <w:bottom w:val="single" w:sz="4" w:space="0" w:color="auto"/>
              <w:right w:val="nil"/>
            </w:tcBorders>
            <w:shd w:val="clear" w:color="auto" w:fill="auto"/>
            <w:noWrap/>
            <w:hideMark/>
          </w:tcPr>
          <w:p w:rsidR="00D54297" w:rsidRPr="00BF6F37" w:rsidRDefault="00BF6F37" w:rsidP="00D54297">
            <w:pPr>
              <w:rPr>
                <w:rFonts w:ascii="Cambria" w:hAnsi="Cambria"/>
                <w:color w:val="000000"/>
                <w:sz w:val="20"/>
                <w:szCs w:val="20"/>
              </w:rPr>
            </w:pPr>
            <w:r>
              <w:rPr>
                <w:rFonts w:ascii="Cambria" w:hAnsi="Cambria"/>
                <w:b/>
                <w:color w:val="000000"/>
                <w:sz w:val="20"/>
                <w:szCs w:val="20"/>
              </w:rPr>
              <w:t>Tablo 9</w:t>
            </w:r>
            <w:r w:rsidR="00D54297" w:rsidRPr="00BF6F37">
              <w:rPr>
                <w:rFonts w:ascii="Cambria" w:hAnsi="Cambria"/>
                <w:b/>
                <w:color w:val="000000"/>
                <w:sz w:val="20"/>
                <w:szCs w:val="20"/>
              </w:rPr>
              <w:t>.</w:t>
            </w:r>
            <w:r w:rsidR="00D54297" w:rsidRPr="00BF6F37">
              <w:rPr>
                <w:rFonts w:ascii="Cambria" w:hAnsi="Cambria"/>
                <w:i/>
                <w:color w:val="000000"/>
                <w:sz w:val="20"/>
                <w:szCs w:val="20"/>
              </w:rPr>
              <w:t xml:space="preserve"> Yaşlara göre yıllık öğretim saati</w:t>
            </w:r>
          </w:p>
        </w:tc>
      </w:tr>
      <w:tr w:rsidR="00D54297" w:rsidRPr="00BF6F37" w:rsidTr="00D54297">
        <w:trPr>
          <w:trHeight w:val="255"/>
        </w:trPr>
        <w:tc>
          <w:tcPr>
            <w:tcW w:w="1065" w:type="pct"/>
            <w:tcBorders>
              <w:top w:val="single" w:sz="4" w:space="0" w:color="auto"/>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Ülke</w:t>
            </w:r>
          </w:p>
        </w:tc>
        <w:tc>
          <w:tcPr>
            <w:tcW w:w="3935" w:type="pct"/>
            <w:gridSpan w:val="11"/>
            <w:tcBorders>
              <w:top w:val="single" w:sz="4" w:space="0" w:color="auto"/>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Ders saatleri toplamı </w:t>
            </w:r>
          </w:p>
        </w:tc>
      </w:tr>
      <w:tr w:rsidR="00D54297" w:rsidRPr="00BF6F37" w:rsidTr="00D54297">
        <w:trPr>
          <w:trHeight w:val="255"/>
        </w:trPr>
        <w:tc>
          <w:tcPr>
            <w:tcW w:w="1065"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w:t>
            </w: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w:t>
            </w: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w:t>
            </w: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w:t>
            </w: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w:t>
            </w: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11</w:t>
            </w:r>
          </w:p>
        </w:tc>
        <w:tc>
          <w:tcPr>
            <w:tcW w:w="371"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12</w:t>
            </w:r>
          </w:p>
        </w:tc>
        <w:tc>
          <w:tcPr>
            <w:tcW w:w="371"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w:t>
            </w:r>
          </w:p>
        </w:tc>
        <w:tc>
          <w:tcPr>
            <w:tcW w:w="371"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14</w:t>
            </w:r>
          </w:p>
        </w:tc>
        <w:tc>
          <w:tcPr>
            <w:tcW w:w="371"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15</w:t>
            </w:r>
          </w:p>
        </w:tc>
        <w:tc>
          <w:tcPr>
            <w:tcW w:w="639"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Toplam**</w:t>
            </w:r>
          </w:p>
        </w:tc>
      </w:tr>
      <w:tr w:rsidR="00D54297" w:rsidRPr="00BF6F37" w:rsidTr="00D54297">
        <w:trPr>
          <w:trHeight w:val="255"/>
        </w:trPr>
        <w:tc>
          <w:tcPr>
            <w:tcW w:w="1065" w:type="pct"/>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Singapur</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884</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858</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803</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803</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803</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572</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765</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793</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782</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675</w:t>
            </w:r>
          </w:p>
        </w:tc>
        <w:tc>
          <w:tcPr>
            <w:tcW w:w="639"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7736</w:t>
            </w:r>
          </w:p>
        </w:tc>
      </w:tr>
      <w:tr w:rsidR="00D54297" w:rsidRPr="00BF6F37" w:rsidTr="00D54297">
        <w:trPr>
          <w:trHeight w:val="255"/>
        </w:trPr>
        <w:tc>
          <w:tcPr>
            <w:tcW w:w="1065" w:type="pct"/>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Japonya</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689</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734</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760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797</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797</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797</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895</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895</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895</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639"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7260</w:t>
            </w:r>
          </w:p>
        </w:tc>
      </w:tr>
      <w:tr w:rsidR="00D54297" w:rsidRPr="00BF6F37" w:rsidTr="00D54297">
        <w:trPr>
          <w:trHeight w:val="255"/>
        </w:trPr>
        <w:tc>
          <w:tcPr>
            <w:tcW w:w="1065" w:type="pct"/>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Estonya</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595</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595</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595</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726</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726</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726</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823</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823</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823</w:t>
            </w:r>
          </w:p>
        </w:tc>
        <w:tc>
          <w:tcPr>
            <w:tcW w:w="639"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6431</w:t>
            </w:r>
          </w:p>
        </w:tc>
      </w:tr>
      <w:tr w:rsidR="00D54297" w:rsidRPr="00BF6F37" w:rsidTr="00D54297">
        <w:trPr>
          <w:trHeight w:val="255"/>
        </w:trPr>
        <w:tc>
          <w:tcPr>
            <w:tcW w:w="1065" w:type="pct"/>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Taipei (Çin)</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613</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613</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773</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773</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853</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853</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1050</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1050</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1050</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1333</w:t>
            </w:r>
          </w:p>
        </w:tc>
        <w:tc>
          <w:tcPr>
            <w:tcW w:w="639"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8963</w:t>
            </w:r>
          </w:p>
        </w:tc>
      </w:tr>
      <w:tr w:rsidR="00D54297" w:rsidRPr="00BF6F37" w:rsidTr="00D54297">
        <w:trPr>
          <w:trHeight w:val="255"/>
        </w:trPr>
        <w:tc>
          <w:tcPr>
            <w:tcW w:w="1065" w:type="pct"/>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Finlandiya</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610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610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671</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671</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724</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678</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901</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901</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901</w:t>
            </w:r>
          </w:p>
        </w:tc>
        <w:tc>
          <w:tcPr>
            <w:tcW w:w="639"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6669</w:t>
            </w:r>
          </w:p>
        </w:tc>
      </w:tr>
      <w:tr w:rsidR="00D54297" w:rsidRPr="00BF6F37" w:rsidTr="00D54297">
        <w:trPr>
          <w:trHeight w:val="255"/>
        </w:trPr>
        <w:tc>
          <w:tcPr>
            <w:tcW w:w="1065" w:type="pct"/>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Makao (Çin)</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697</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697</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697</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697</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697</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697</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720</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720</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720</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720</w:t>
            </w:r>
          </w:p>
        </w:tc>
        <w:tc>
          <w:tcPr>
            <w:tcW w:w="639"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7061</w:t>
            </w:r>
          </w:p>
        </w:tc>
      </w:tr>
      <w:tr w:rsidR="00D54297" w:rsidRPr="00BF6F37" w:rsidTr="00D54297">
        <w:trPr>
          <w:trHeight w:val="255"/>
        </w:trPr>
        <w:tc>
          <w:tcPr>
            <w:tcW w:w="1065" w:type="pct"/>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Kanada</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914</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914</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922</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922</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922</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923</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928</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937</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925</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940</w:t>
            </w:r>
          </w:p>
        </w:tc>
        <w:tc>
          <w:tcPr>
            <w:tcW w:w="639"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9247</w:t>
            </w:r>
          </w:p>
        </w:tc>
      </w:tr>
      <w:tr w:rsidR="00D54297" w:rsidRPr="00BF6F37" w:rsidTr="00D54297">
        <w:trPr>
          <w:trHeight w:val="255"/>
        </w:trPr>
        <w:tc>
          <w:tcPr>
            <w:tcW w:w="1065" w:type="pct"/>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Vietnam</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639"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r>
      <w:tr w:rsidR="00D54297" w:rsidRPr="00BF6F37" w:rsidTr="00D54297">
        <w:trPr>
          <w:trHeight w:val="255"/>
        </w:trPr>
        <w:tc>
          <w:tcPr>
            <w:tcW w:w="1065" w:type="pct"/>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Hong Kong (Çin)</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950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950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950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950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950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950</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1045</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1045</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1045</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1140</w:t>
            </w:r>
          </w:p>
        </w:tc>
        <w:tc>
          <w:tcPr>
            <w:tcW w:w="639"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9978</w:t>
            </w:r>
          </w:p>
        </w:tc>
      </w:tr>
      <w:tr w:rsidR="00D54297" w:rsidRPr="00BF6F37" w:rsidTr="00D54297">
        <w:trPr>
          <w:trHeight w:val="255"/>
        </w:trPr>
        <w:tc>
          <w:tcPr>
            <w:tcW w:w="1065" w:type="pct"/>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B-S-J-G (Çin)</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c>
          <w:tcPr>
            <w:tcW w:w="639"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w:t>
            </w:r>
          </w:p>
        </w:tc>
      </w:tr>
      <w:tr w:rsidR="00D54297" w:rsidRPr="00BF6F37" w:rsidTr="00D54297">
        <w:trPr>
          <w:trHeight w:val="255"/>
        </w:trPr>
        <w:tc>
          <w:tcPr>
            <w:tcW w:w="1065" w:type="pct"/>
            <w:tcBorders>
              <w:top w:val="nil"/>
              <w:left w:val="nil"/>
              <w:bottom w:val="nil"/>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Türkiye</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720</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843</w:t>
            </w:r>
          </w:p>
        </w:tc>
        <w:tc>
          <w:tcPr>
            <w:tcW w:w="302"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843</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843</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842</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960</w:t>
            </w:r>
          </w:p>
        </w:tc>
        <w:tc>
          <w:tcPr>
            <w:tcW w:w="371"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960</w:t>
            </w:r>
          </w:p>
        </w:tc>
        <w:tc>
          <w:tcPr>
            <w:tcW w:w="639" w:type="pct"/>
            <w:tcBorders>
              <w:top w:val="nil"/>
              <w:left w:val="nil"/>
              <w:bottom w:val="nil"/>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8171</w:t>
            </w:r>
          </w:p>
        </w:tc>
      </w:tr>
      <w:tr w:rsidR="00D54297" w:rsidRPr="00BF6F37" w:rsidTr="00D54297">
        <w:trPr>
          <w:trHeight w:val="255"/>
        </w:trPr>
        <w:tc>
          <w:tcPr>
            <w:tcW w:w="1065" w:type="pct"/>
            <w:tcBorders>
              <w:top w:val="nil"/>
              <w:left w:val="nil"/>
              <w:bottom w:val="single" w:sz="4" w:space="0" w:color="auto"/>
              <w:right w:val="nil"/>
            </w:tcBorders>
            <w:shd w:val="clear" w:color="auto" w:fill="auto"/>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OECD*</w:t>
            </w: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819</w:t>
            </w: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799</w:t>
            </w: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815</w:t>
            </w: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823</w:t>
            </w: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860</w:t>
            </w:r>
          </w:p>
        </w:tc>
        <w:tc>
          <w:tcPr>
            <w:tcW w:w="302"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872</w:t>
            </w:r>
          </w:p>
        </w:tc>
        <w:tc>
          <w:tcPr>
            <w:tcW w:w="371"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905</w:t>
            </w:r>
          </w:p>
        </w:tc>
        <w:tc>
          <w:tcPr>
            <w:tcW w:w="371"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938</w:t>
            </w:r>
          </w:p>
        </w:tc>
        <w:tc>
          <w:tcPr>
            <w:tcW w:w="371"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944</w:t>
            </w:r>
          </w:p>
        </w:tc>
        <w:tc>
          <w:tcPr>
            <w:tcW w:w="371"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974</w:t>
            </w:r>
          </w:p>
        </w:tc>
        <w:tc>
          <w:tcPr>
            <w:tcW w:w="639" w:type="pct"/>
            <w:tcBorders>
              <w:top w:val="nil"/>
              <w:left w:val="nil"/>
              <w:bottom w:val="single" w:sz="4" w:space="0" w:color="auto"/>
              <w:right w:val="nil"/>
            </w:tcBorders>
            <w:shd w:val="clear" w:color="auto" w:fill="auto"/>
            <w:noWrap/>
            <w:hideMark/>
          </w:tcPr>
          <w:p w:rsidR="00D54297" w:rsidRPr="00BF6F37" w:rsidRDefault="00D54297" w:rsidP="00D54297">
            <w:pPr>
              <w:jc w:val="center"/>
              <w:rPr>
                <w:rFonts w:ascii="Cambria" w:hAnsi="Cambria"/>
                <w:color w:val="000000"/>
                <w:sz w:val="20"/>
                <w:szCs w:val="20"/>
              </w:rPr>
            </w:pPr>
            <w:r w:rsidRPr="00BF6F37">
              <w:rPr>
                <w:rFonts w:ascii="Cambria" w:hAnsi="Cambria"/>
                <w:color w:val="000000"/>
                <w:sz w:val="20"/>
                <w:szCs w:val="20"/>
              </w:rPr>
              <w:t>8749</w:t>
            </w:r>
          </w:p>
        </w:tc>
      </w:tr>
      <w:tr w:rsidR="00D54297" w:rsidRPr="00BF6F37" w:rsidTr="00D54297">
        <w:trPr>
          <w:trHeight w:val="255"/>
        </w:trPr>
        <w:tc>
          <w:tcPr>
            <w:tcW w:w="5000" w:type="pct"/>
            <w:gridSpan w:val="12"/>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ve ** araştırmacılar tarafından hesaplanmıştır.</w:t>
            </w:r>
          </w:p>
        </w:tc>
      </w:tr>
      <w:tr w:rsidR="00D54297" w:rsidRPr="00BF6F37" w:rsidTr="00D54297">
        <w:trPr>
          <w:trHeight w:val="255"/>
        </w:trPr>
        <w:tc>
          <w:tcPr>
            <w:tcW w:w="5000" w:type="pct"/>
            <w:gridSpan w:val="12"/>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Kaynak: </w:t>
            </w:r>
            <w:hyperlink r:id="rId18" w:history="1">
              <w:r w:rsidRPr="00BF6F37">
                <w:rPr>
                  <w:rStyle w:val="Hyperlink"/>
                  <w:rFonts w:ascii="Cambria" w:hAnsi="Cambria"/>
                  <w:sz w:val="20"/>
                  <w:szCs w:val="20"/>
                </w:rPr>
                <w:t>http://gpseducation.oecd.org/IndicatorExplorer?query=2</w:t>
              </w:r>
            </w:hyperlink>
            <w:r w:rsidRPr="00BF6F37">
              <w:rPr>
                <w:rFonts w:ascii="Cambria" w:hAnsi="Cambria"/>
                <w:color w:val="000000"/>
                <w:sz w:val="20"/>
                <w:szCs w:val="20"/>
              </w:rPr>
              <w:t xml:space="preserve">   (Tablo II.6.53)</w:t>
            </w:r>
          </w:p>
          <w:p w:rsidR="00D54297" w:rsidRPr="00BF6F37" w:rsidRDefault="00D54297" w:rsidP="00D54297">
            <w:pPr>
              <w:rPr>
                <w:rFonts w:ascii="Cambria" w:hAnsi="Cambria"/>
                <w:color w:val="000000"/>
                <w:sz w:val="20"/>
                <w:szCs w:val="20"/>
              </w:rPr>
            </w:pPr>
          </w:p>
        </w:tc>
      </w:tr>
    </w:tbl>
    <w:p w:rsidR="00D54297" w:rsidRPr="00C84CED" w:rsidRDefault="00D54297" w:rsidP="00D54297">
      <w:pPr>
        <w:ind w:firstLine="567"/>
        <w:jc w:val="both"/>
        <w:rPr>
          <w:rFonts w:ascii="Cambria" w:hAnsi="Cambria"/>
          <w:sz w:val="22"/>
        </w:rPr>
      </w:pPr>
      <w:r w:rsidRPr="00C84CED">
        <w:rPr>
          <w:rFonts w:ascii="Cambria" w:hAnsi="Cambria"/>
          <w:sz w:val="22"/>
        </w:rPr>
        <w:t>Öğrencilerin yaşlarına göre almak zorunda oldukları yıllık ders saati toplamı, yıllara göre öğretime ayrılan zaman kaynağına ilişkin önemli veriler içermektedir. Tablo genel olarak incelendiğinde, yıllık toplam ders saatlerinin fazla olmasının PISA başarısıyla yakından ilişkili olduğu söylenemez. Çünkü en başarılı ülkelere bakıldığında, çoğu ülkede yıllık ders saati toplamının OECD ortalamasının altında olduğu görülmektedir. Örneğin, yıllık ve genel toplam ders saatleri diğer ülkelere göre en düşük seviyede olan Estonya, PISA sınavında üçüncü olarak yüksek bir performans sergilemiştir. Diğer yandan Türkiye’de yıllık toplam ve 6-15 yaş genel toplam ders saatlerinin en başarılı ülkelere göre ciddi düzeyde yüksek olması dikkat çekicidir. Bu durumda derslerin ders saati olarak niceliğinden çok, derslerin niteliğine ilişkin sorunlar gündeme gelmektedir.</w:t>
      </w:r>
    </w:p>
    <w:p w:rsidR="00DA0C2E" w:rsidRDefault="00D54297" w:rsidP="00BF6F37">
      <w:pPr>
        <w:ind w:firstLine="567"/>
        <w:jc w:val="both"/>
        <w:rPr>
          <w:rFonts w:ascii="Cambria" w:hAnsi="Cambria"/>
          <w:sz w:val="22"/>
        </w:rPr>
      </w:pPr>
      <w:r w:rsidRPr="00C84CED">
        <w:rPr>
          <w:rFonts w:ascii="Cambria" w:hAnsi="Cambria"/>
          <w:sz w:val="22"/>
        </w:rPr>
        <w:t xml:space="preserve">Öğretime ayrılan zaman kaynakları boyutunda okul öncesi eğitime katılım süreleri önemli bir gösterge olarak değerlendirilmektedir.  Okulların sosyo ekonomik </w:t>
      </w:r>
      <w:proofErr w:type="gramStart"/>
      <w:r w:rsidRPr="00C84CED">
        <w:rPr>
          <w:rFonts w:ascii="Cambria" w:hAnsi="Cambria"/>
          <w:sz w:val="22"/>
        </w:rPr>
        <w:t>profilleri</w:t>
      </w:r>
      <w:proofErr w:type="gramEnd"/>
      <w:r w:rsidRPr="00C84CED">
        <w:rPr>
          <w:rFonts w:ascii="Cambria" w:hAnsi="Cambria"/>
          <w:sz w:val="22"/>
        </w:rPr>
        <w:t xml:space="preserve"> bağlamında incelenen söz konusu gös</w:t>
      </w:r>
      <w:r w:rsidR="00BF6F37" w:rsidRPr="00C84CED">
        <w:rPr>
          <w:rFonts w:ascii="Cambria" w:hAnsi="Cambria"/>
          <w:sz w:val="22"/>
        </w:rPr>
        <w:t>tergeye ilişkin veriler, Tablo 10</w:t>
      </w:r>
      <w:r w:rsidRPr="00C84CED">
        <w:rPr>
          <w:rFonts w:ascii="Cambria" w:hAnsi="Cambria"/>
          <w:sz w:val="22"/>
        </w:rPr>
        <w:t>’da sunulmuştur.</w:t>
      </w:r>
    </w:p>
    <w:p w:rsidR="003014FB" w:rsidRDefault="003014FB" w:rsidP="00BF6F37">
      <w:pPr>
        <w:ind w:firstLine="567"/>
        <w:jc w:val="both"/>
        <w:rPr>
          <w:rFonts w:ascii="Cambria" w:hAnsi="Cambria"/>
          <w:sz w:val="22"/>
        </w:rPr>
      </w:pPr>
    </w:p>
    <w:p w:rsidR="003014FB" w:rsidRDefault="003014FB" w:rsidP="00BF6F37">
      <w:pPr>
        <w:ind w:firstLine="567"/>
        <w:jc w:val="both"/>
        <w:rPr>
          <w:rFonts w:ascii="Cambria" w:hAnsi="Cambria"/>
          <w:sz w:val="22"/>
        </w:rPr>
      </w:pPr>
    </w:p>
    <w:p w:rsidR="003014FB" w:rsidRDefault="003014FB" w:rsidP="00BF6F37">
      <w:pPr>
        <w:ind w:firstLine="567"/>
        <w:jc w:val="both"/>
        <w:rPr>
          <w:rFonts w:ascii="Cambria" w:hAnsi="Cambria"/>
          <w:sz w:val="22"/>
        </w:rPr>
      </w:pPr>
    </w:p>
    <w:p w:rsidR="003014FB" w:rsidRDefault="003014FB" w:rsidP="00BF6F37">
      <w:pPr>
        <w:ind w:firstLine="567"/>
        <w:jc w:val="both"/>
        <w:rPr>
          <w:rFonts w:ascii="Cambria" w:hAnsi="Cambria"/>
          <w:sz w:val="22"/>
        </w:rPr>
      </w:pPr>
    </w:p>
    <w:p w:rsidR="003014FB" w:rsidRDefault="003014FB" w:rsidP="00BF6F37">
      <w:pPr>
        <w:ind w:firstLine="567"/>
        <w:jc w:val="both"/>
        <w:rPr>
          <w:rFonts w:ascii="Cambria" w:hAnsi="Cambria"/>
          <w:sz w:val="22"/>
        </w:rPr>
      </w:pPr>
    </w:p>
    <w:p w:rsidR="003014FB" w:rsidRDefault="003014FB" w:rsidP="00BF6F37">
      <w:pPr>
        <w:ind w:firstLine="567"/>
        <w:jc w:val="both"/>
        <w:rPr>
          <w:rFonts w:ascii="Cambria" w:hAnsi="Cambria"/>
          <w:sz w:val="22"/>
        </w:rPr>
      </w:pPr>
    </w:p>
    <w:p w:rsidR="003014FB" w:rsidRDefault="003014FB" w:rsidP="00BF6F37">
      <w:pPr>
        <w:ind w:firstLine="567"/>
        <w:jc w:val="both"/>
        <w:rPr>
          <w:rFonts w:ascii="Cambria" w:hAnsi="Cambria"/>
          <w:sz w:val="22"/>
        </w:rPr>
      </w:pPr>
    </w:p>
    <w:p w:rsidR="003014FB" w:rsidRDefault="003014FB" w:rsidP="00BF6F37">
      <w:pPr>
        <w:ind w:firstLine="567"/>
        <w:jc w:val="both"/>
        <w:rPr>
          <w:rFonts w:ascii="Cambria" w:hAnsi="Cambria"/>
          <w:sz w:val="22"/>
        </w:rPr>
      </w:pPr>
    </w:p>
    <w:p w:rsidR="003014FB" w:rsidRDefault="003014FB" w:rsidP="00BF6F37">
      <w:pPr>
        <w:ind w:firstLine="567"/>
        <w:jc w:val="both"/>
        <w:rPr>
          <w:rFonts w:ascii="Cambria" w:hAnsi="Cambria"/>
          <w:sz w:val="22"/>
        </w:rPr>
      </w:pPr>
    </w:p>
    <w:p w:rsidR="003014FB" w:rsidRPr="00C84CED" w:rsidRDefault="003014FB" w:rsidP="00BF6F37">
      <w:pPr>
        <w:ind w:firstLine="567"/>
        <w:jc w:val="both"/>
        <w:rPr>
          <w:rFonts w:ascii="Cambria" w:hAnsi="Cambria"/>
          <w:sz w:val="22"/>
        </w:rPr>
      </w:pPr>
    </w:p>
    <w:p w:rsidR="00D54297" w:rsidRPr="00BF6F37" w:rsidRDefault="00D54297" w:rsidP="00D54297">
      <w:pPr>
        <w:jc w:val="both"/>
        <w:rPr>
          <w:rFonts w:ascii="Cambria" w:hAnsi="Cambria"/>
        </w:rPr>
      </w:pPr>
    </w:p>
    <w:tbl>
      <w:tblPr>
        <w:tblW w:w="4962" w:type="pct"/>
        <w:tblInd w:w="70" w:type="dxa"/>
        <w:tblCellMar>
          <w:left w:w="70" w:type="dxa"/>
          <w:right w:w="70" w:type="dxa"/>
        </w:tblCellMar>
        <w:tblLook w:val="04A0" w:firstRow="1" w:lastRow="0" w:firstColumn="1" w:lastColumn="0" w:noHBand="0" w:noVBand="1"/>
      </w:tblPr>
      <w:tblGrid>
        <w:gridCol w:w="2113"/>
        <w:gridCol w:w="689"/>
        <w:gridCol w:w="689"/>
        <w:gridCol w:w="690"/>
        <w:gridCol w:w="690"/>
        <w:gridCol w:w="690"/>
        <w:gridCol w:w="690"/>
        <w:gridCol w:w="690"/>
        <w:gridCol w:w="690"/>
        <w:gridCol w:w="690"/>
        <w:gridCol w:w="682"/>
      </w:tblGrid>
      <w:tr w:rsidR="00D54297" w:rsidRPr="00BF6F37" w:rsidTr="00D54297">
        <w:trPr>
          <w:trHeight w:val="300"/>
        </w:trPr>
        <w:tc>
          <w:tcPr>
            <w:tcW w:w="5000" w:type="pct"/>
            <w:gridSpan w:val="11"/>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b/>
                <w:color w:val="000000"/>
                <w:sz w:val="20"/>
                <w:szCs w:val="20"/>
              </w:rPr>
              <w:lastRenderedPageBreak/>
              <w:t xml:space="preserve">Tablo </w:t>
            </w:r>
            <w:r w:rsidR="00BF6F37">
              <w:rPr>
                <w:rFonts w:ascii="Cambria" w:hAnsi="Cambria"/>
                <w:b/>
                <w:color w:val="000000"/>
                <w:sz w:val="20"/>
                <w:szCs w:val="20"/>
              </w:rPr>
              <w:t>10</w:t>
            </w:r>
            <w:r w:rsidRPr="00BF6F37">
              <w:rPr>
                <w:rFonts w:ascii="Cambria" w:hAnsi="Cambria"/>
                <w:color w:val="000000"/>
                <w:sz w:val="20"/>
                <w:szCs w:val="20"/>
              </w:rPr>
              <w:t>.</w:t>
            </w:r>
            <w:r w:rsidRPr="00BF6F37">
              <w:rPr>
                <w:rFonts w:ascii="Cambria" w:hAnsi="Cambria"/>
                <w:i/>
                <w:color w:val="000000"/>
                <w:sz w:val="20"/>
                <w:szCs w:val="20"/>
              </w:rPr>
              <w:t xml:space="preserve"> Okul öncesi eğitime katılım süreleri</w:t>
            </w:r>
          </w:p>
        </w:tc>
      </w:tr>
      <w:tr w:rsidR="00D54297" w:rsidRPr="00BF6F37" w:rsidTr="00D54297">
        <w:trPr>
          <w:trHeight w:val="300"/>
        </w:trPr>
        <w:tc>
          <w:tcPr>
            <w:tcW w:w="1174" w:type="pct"/>
            <w:tcBorders>
              <w:top w:val="single" w:sz="4" w:space="0" w:color="auto"/>
              <w:left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Ülke</w:t>
            </w:r>
          </w:p>
        </w:tc>
        <w:tc>
          <w:tcPr>
            <w:tcW w:w="766" w:type="pct"/>
            <w:gridSpan w:val="2"/>
            <w:tcBorders>
              <w:top w:val="single" w:sz="4" w:space="0" w:color="auto"/>
              <w:left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Genel</w:t>
            </w:r>
          </w:p>
        </w:tc>
        <w:tc>
          <w:tcPr>
            <w:tcW w:w="766" w:type="pct"/>
            <w:gridSpan w:val="2"/>
            <w:tcBorders>
              <w:top w:val="single" w:sz="4" w:space="0" w:color="auto"/>
              <w:left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SED 1</w:t>
            </w:r>
          </w:p>
        </w:tc>
        <w:tc>
          <w:tcPr>
            <w:tcW w:w="766" w:type="pct"/>
            <w:gridSpan w:val="2"/>
            <w:tcBorders>
              <w:top w:val="single" w:sz="4" w:space="0" w:color="auto"/>
              <w:left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SED 2</w:t>
            </w:r>
          </w:p>
        </w:tc>
        <w:tc>
          <w:tcPr>
            <w:tcW w:w="766" w:type="pct"/>
            <w:gridSpan w:val="2"/>
            <w:tcBorders>
              <w:top w:val="single" w:sz="4" w:space="0" w:color="auto"/>
              <w:left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SED 3</w:t>
            </w:r>
          </w:p>
        </w:tc>
        <w:tc>
          <w:tcPr>
            <w:tcW w:w="763" w:type="pct"/>
            <w:gridSpan w:val="2"/>
            <w:tcBorders>
              <w:top w:val="single" w:sz="4" w:space="0" w:color="auto"/>
              <w:left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SED 4</w:t>
            </w:r>
          </w:p>
        </w:tc>
      </w:tr>
      <w:tr w:rsidR="00D54297" w:rsidRPr="00BF6F37" w:rsidTr="00D54297">
        <w:trPr>
          <w:trHeight w:val="300"/>
        </w:trPr>
        <w:tc>
          <w:tcPr>
            <w:tcW w:w="1174"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Ort.</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SE</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Ort.</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SE</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Ort.</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SE</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Ort.</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SE</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Ort.</w:t>
            </w:r>
          </w:p>
        </w:tc>
        <w:tc>
          <w:tcPr>
            <w:tcW w:w="380"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SE</w:t>
            </w:r>
          </w:p>
        </w:tc>
      </w:tr>
      <w:tr w:rsidR="00D54297" w:rsidRPr="00BF6F37" w:rsidTr="00D54297">
        <w:trPr>
          <w:trHeight w:val="300"/>
        </w:trPr>
        <w:tc>
          <w:tcPr>
            <w:tcW w:w="1174" w:type="pct"/>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Singapur</w:t>
            </w:r>
          </w:p>
        </w:tc>
        <w:tc>
          <w:tcPr>
            <w:tcW w:w="383" w:type="pct"/>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3.61</w:t>
            </w:r>
          </w:p>
        </w:tc>
        <w:tc>
          <w:tcPr>
            <w:tcW w:w="383" w:type="pct"/>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0.02</w:t>
            </w:r>
          </w:p>
        </w:tc>
        <w:tc>
          <w:tcPr>
            <w:tcW w:w="383" w:type="pct"/>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3.48</w:t>
            </w:r>
          </w:p>
        </w:tc>
        <w:tc>
          <w:tcPr>
            <w:tcW w:w="383" w:type="pct"/>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c>
          <w:tcPr>
            <w:tcW w:w="383" w:type="pct"/>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3.60</w:t>
            </w:r>
          </w:p>
        </w:tc>
        <w:tc>
          <w:tcPr>
            <w:tcW w:w="383" w:type="pct"/>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c>
          <w:tcPr>
            <w:tcW w:w="383" w:type="pct"/>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3.65</w:t>
            </w:r>
          </w:p>
        </w:tc>
        <w:tc>
          <w:tcPr>
            <w:tcW w:w="383" w:type="pct"/>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c>
          <w:tcPr>
            <w:tcW w:w="383" w:type="pct"/>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3.69</w:t>
            </w:r>
          </w:p>
        </w:tc>
        <w:tc>
          <w:tcPr>
            <w:tcW w:w="380" w:type="pct"/>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r>
      <w:tr w:rsidR="00D54297" w:rsidRPr="00BF6F37" w:rsidTr="00D54297">
        <w:trPr>
          <w:trHeight w:val="300"/>
        </w:trPr>
        <w:tc>
          <w:tcPr>
            <w:tcW w:w="1174"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Japonya</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3.47</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0.02</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3.49</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0.05</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3.47</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0.07</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3.48</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0.06</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3.46</w:t>
            </w:r>
          </w:p>
        </w:tc>
        <w:tc>
          <w:tcPr>
            <w:tcW w:w="380"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0.03</w:t>
            </w:r>
          </w:p>
        </w:tc>
      </w:tr>
      <w:tr w:rsidR="00D54297" w:rsidRPr="00BF6F37" w:rsidTr="00D54297">
        <w:trPr>
          <w:trHeight w:val="300"/>
        </w:trPr>
        <w:tc>
          <w:tcPr>
            <w:tcW w:w="1174"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Estonya</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4.22</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3.79</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0.08</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4.25</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0.06</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4.43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0.06</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4.38</w:t>
            </w:r>
          </w:p>
        </w:tc>
        <w:tc>
          <w:tcPr>
            <w:tcW w:w="380"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r>
      <w:tr w:rsidR="00D54297" w:rsidRPr="00BF6F37" w:rsidTr="00D54297">
        <w:trPr>
          <w:trHeight w:val="300"/>
        </w:trPr>
        <w:tc>
          <w:tcPr>
            <w:tcW w:w="1174"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Taipei - Çin</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3.21</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0.02</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3.16</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3.20</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3.23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3.25</w:t>
            </w:r>
          </w:p>
        </w:tc>
        <w:tc>
          <w:tcPr>
            <w:tcW w:w="380"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r>
      <w:tr w:rsidR="00D54297" w:rsidRPr="00BF6F37" w:rsidTr="00D54297">
        <w:trPr>
          <w:trHeight w:val="300"/>
        </w:trPr>
        <w:tc>
          <w:tcPr>
            <w:tcW w:w="1174"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Finlandiya</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3.22</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2.81</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0.07</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3.03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0.09</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3.32</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0.06</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3.71</w:t>
            </w:r>
          </w:p>
        </w:tc>
        <w:tc>
          <w:tcPr>
            <w:tcW w:w="380"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0.09</w:t>
            </w:r>
          </w:p>
        </w:tc>
      </w:tr>
      <w:tr w:rsidR="00D54297" w:rsidRPr="00BF6F37" w:rsidTr="00D54297">
        <w:trPr>
          <w:trHeight w:val="300"/>
        </w:trPr>
        <w:tc>
          <w:tcPr>
            <w:tcW w:w="1174"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Makao (Çin)</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3.51</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0.01</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3.47</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3.55</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0.02</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3.56</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3.48</w:t>
            </w:r>
          </w:p>
        </w:tc>
        <w:tc>
          <w:tcPr>
            <w:tcW w:w="380"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0.02</w:t>
            </w:r>
          </w:p>
        </w:tc>
      </w:tr>
      <w:tr w:rsidR="00D54297" w:rsidRPr="00BF6F37" w:rsidTr="00D54297">
        <w:trPr>
          <w:trHeight w:val="300"/>
        </w:trPr>
        <w:tc>
          <w:tcPr>
            <w:tcW w:w="1174"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Kanada</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2.03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0.02</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1.88</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1.95</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2.01</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2.26</w:t>
            </w:r>
          </w:p>
        </w:tc>
        <w:tc>
          <w:tcPr>
            <w:tcW w:w="380"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0.05</w:t>
            </w:r>
          </w:p>
        </w:tc>
      </w:tr>
      <w:tr w:rsidR="00D54297" w:rsidRPr="00BF6F37" w:rsidTr="00D54297">
        <w:trPr>
          <w:trHeight w:val="300"/>
        </w:trPr>
        <w:tc>
          <w:tcPr>
            <w:tcW w:w="1174"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Vietnam</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w:t>
            </w:r>
          </w:p>
        </w:tc>
        <w:tc>
          <w:tcPr>
            <w:tcW w:w="380"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w:t>
            </w:r>
          </w:p>
        </w:tc>
      </w:tr>
      <w:tr w:rsidR="00D54297" w:rsidRPr="00BF6F37" w:rsidTr="00D54297">
        <w:trPr>
          <w:trHeight w:val="300"/>
        </w:trPr>
        <w:tc>
          <w:tcPr>
            <w:tcW w:w="1174"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Hong Kong (Çin)</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3.56</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0.01</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3.55</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3.54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3.52</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3.63</w:t>
            </w:r>
          </w:p>
        </w:tc>
        <w:tc>
          <w:tcPr>
            <w:tcW w:w="380"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0.02</w:t>
            </w:r>
          </w:p>
        </w:tc>
      </w:tr>
      <w:tr w:rsidR="00D54297" w:rsidRPr="00BF6F37" w:rsidTr="00D54297">
        <w:trPr>
          <w:trHeight w:val="300"/>
        </w:trPr>
        <w:tc>
          <w:tcPr>
            <w:tcW w:w="1174"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 B-S-J-G (Çin)</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2.63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0.06</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1.74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0.14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2.34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0.16</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0.08</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3.47</w:t>
            </w:r>
          </w:p>
        </w:tc>
        <w:tc>
          <w:tcPr>
            <w:tcW w:w="380"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0.07</w:t>
            </w:r>
          </w:p>
        </w:tc>
      </w:tr>
      <w:tr w:rsidR="00D54297" w:rsidRPr="00BF6F37" w:rsidTr="00D54297">
        <w:trPr>
          <w:trHeight w:val="300"/>
        </w:trPr>
        <w:tc>
          <w:tcPr>
            <w:tcW w:w="1174"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Türkiye</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1.03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0.91</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0.05</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0.85</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0.93</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0.04</w:t>
            </w:r>
          </w:p>
        </w:tc>
        <w:tc>
          <w:tcPr>
            <w:tcW w:w="383"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1.40</w:t>
            </w:r>
          </w:p>
        </w:tc>
        <w:tc>
          <w:tcPr>
            <w:tcW w:w="380" w:type="pct"/>
            <w:tcBorders>
              <w:top w:val="nil"/>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0.09</w:t>
            </w:r>
          </w:p>
        </w:tc>
      </w:tr>
      <w:tr w:rsidR="00D54297" w:rsidRPr="00BF6F37" w:rsidTr="00D54297">
        <w:trPr>
          <w:trHeight w:val="300"/>
        </w:trPr>
        <w:tc>
          <w:tcPr>
            <w:tcW w:w="1174"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OECD</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3.03</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0.00</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2.87</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0.01</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2.99</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0.01</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3.07</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0.01</w:t>
            </w:r>
          </w:p>
        </w:tc>
        <w:tc>
          <w:tcPr>
            <w:tcW w:w="383"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3.18</w:t>
            </w:r>
          </w:p>
        </w:tc>
        <w:tc>
          <w:tcPr>
            <w:tcW w:w="380" w:type="pct"/>
            <w:tcBorders>
              <w:top w:val="nil"/>
              <w:left w:val="nil"/>
              <w:bottom w:val="single" w:sz="4" w:space="0" w:color="auto"/>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0.01</w:t>
            </w:r>
          </w:p>
        </w:tc>
      </w:tr>
      <w:tr w:rsidR="00D54297" w:rsidRPr="00BF6F37" w:rsidTr="00D54297">
        <w:trPr>
          <w:trHeight w:val="300"/>
        </w:trPr>
        <w:tc>
          <w:tcPr>
            <w:tcW w:w="5000" w:type="pct"/>
            <w:gridSpan w:val="11"/>
            <w:tcBorders>
              <w:top w:val="single" w:sz="4" w:space="0" w:color="auto"/>
              <w:left w:val="nil"/>
              <w:bottom w:val="nil"/>
              <w:right w:val="nil"/>
            </w:tcBorders>
            <w:shd w:val="clear" w:color="auto" w:fill="auto"/>
            <w:noWrap/>
            <w:hideMark/>
          </w:tcPr>
          <w:p w:rsidR="00D54297" w:rsidRPr="00BF6F37" w:rsidRDefault="00D54297" w:rsidP="00D54297">
            <w:pPr>
              <w:rPr>
                <w:rFonts w:ascii="Cambria" w:hAnsi="Cambria"/>
                <w:color w:val="000000"/>
                <w:sz w:val="20"/>
                <w:szCs w:val="20"/>
              </w:rPr>
            </w:pPr>
            <w:r w:rsidRPr="00BF6F37">
              <w:rPr>
                <w:rFonts w:ascii="Cambria" w:hAnsi="Cambria"/>
                <w:color w:val="000000"/>
                <w:sz w:val="20"/>
                <w:szCs w:val="20"/>
              </w:rPr>
              <w:t xml:space="preserve">Kaynak: </w:t>
            </w:r>
            <w:hyperlink r:id="rId19" w:history="1">
              <w:r w:rsidRPr="00BF6F37">
                <w:rPr>
                  <w:rStyle w:val="Hyperlink"/>
                  <w:rFonts w:ascii="Cambria" w:hAnsi="Cambria"/>
                  <w:sz w:val="20"/>
                  <w:szCs w:val="20"/>
                </w:rPr>
                <w:t>http://gpseducation.oecd.org/IndicatorExplorer?query=2</w:t>
              </w:r>
            </w:hyperlink>
            <w:r w:rsidRPr="00BF6F37">
              <w:rPr>
                <w:rFonts w:ascii="Cambria" w:hAnsi="Cambria"/>
                <w:color w:val="000000"/>
                <w:sz w:val="20"/>
                <w:szCs w:val="20"/>
              </w:rPr>
              <w:t xml:space="preserve">  (Tablo II.6.51)</w:t>
            </w:r>
          </w:p>
          <w:p w:rsidR="00D54297" w:rsidRPr="00BF6F37" w:rsidRDefault="00D54297" w:rsidP="00D54297">
            <w:pPr>
              <w:rPr>
                <w:rFonts w:ascii="Cambria" w:hAnsi="Cambria"/>
                <w:color w:val="000000"/>
                <w:sz w:val="20"/>
                <w:szCs w:val="20"/>
              </w:rPr>
            </w:pPr>
          </w:p>
        </w:tc>
      </w:tr>
    </w:tbl>
    <w:p w:rsidR="00D54297" w:rsidRPr="00C84CED" w:rsidRDefault="00D54297" w:rsidP="00C84CED">
      <w:pPr>
        <w:ind w:firstLine="567"/>
        <w:jc w:val="both"/>
        <w:rPr>
          <w:rFonts w:ascii="Cambria" w:hAnsi="Cambria"/>
          <w:sz w:val="22"/>
        </w:rPr>
      </w:pPr>
      <w:r w:rsidRPr="00C84CED">
        <w:rPr>
          <w:rFonts w:ascii="Cambria" w:hAnsi="Cambria"/>
          <w:sz w:val="22"/>
        </w:rPr>
        <w:t xml:space="preserve">Tabloda öğrencilerin okul öğrencisi eğitim kademesine katılım süreleri ortalama yıl bazında sunulmuştur. Tablo incelendiğinde öğrencilerin ortalama okul öncesi eğitime katılım süresinin en düşük olduğu ülke Türkiye’dir. Çoğu ülkede okul öncesi eğitime katılım süresi 3 ve 4 yıl arasındayken Türkiye’de bu ortalama 1 yıldır.  Diğer yandan okulların SED </w:t>
      </w:r>
      <w:proofErr w:type="gramStart"/>
      <w:r w:rsidRPr="00C84CED">
        <w:rPr>
          <w:rFonts w:ascii="Cambria" w:hAnsi="Cambria"/>
          <w:sz w:val="22"/>
        </w:rPr>
        <w:t>profilleri</w:t>
      </w:r>
      <w:proofErr w:type="gramEnd"/>
      <w:r w:rsidRPr="00C84CED">
        <w:rPr>
          <w:rFonts w:ascii="Cambria" w:hAnsi="Cambria"/>
          <w:sz w:val="22"/>
        </w:rPr>
        <w:t xml:space="preserve"> dikkate alındığında Türkiye’de SED profili yüksek olan okullardaki öğrencilerin okul öncesi eğitime katılım süreleri belirli bir oranda yüksek iken, SED profili düşük okullar</w:t>
      </w:r>
      <w:r w:rsidR="00C84CED">
        <w:rPr>
          <w:rFonts w:ascii="Cambria" w:hAnsi="Cambria"/>
          <w:sz w:val="22"/>
        </w:rPr>
        <w:t xml:space="preserve">da bu süre 1 yılın altındadır. </w:t>
      </w:r>
    </w:p>
    <w:p w:rsidR="00496BBA" w:rsidRPr="00C84CED" w:rsidRDefault="00496BBA" w:rsidP="00C84CED">
      <w:pPr>
        <w:spacing w:before="240" w:after="240"/>
        <w:jc w:val="center"/>
        <w:rPr>
          <w:rFonts w:ascii="Cambria" w:hAnsi="Cambria"/>
          <w:b/>
          <w:sz w:val="22"/>
        </w:rPr>
      </w:pPr>
      <w:r w:rsidRPr="00C84CED">
        <w:rPr>
          <w:rFonts w:ascii="Cambria" w:hAnsi="Cambria"/>
          <w:b/>
          <w:sz w:val="22"/>
        </w:rPr>
        <w:t>TARTIŞMA ve SONUÇ</w:t>
      </w:r>
    </w:p>
    <w:p w:rsidR="00D54297" w:rsidRPr="00C84CED" w:rsidRDefault="00D54297" w:rsidP="00D54297">
      <w:pPr>
        <w:ind w:firstLine="567"/>
        <w:jc w:val="both"/>
        <w:rPr>
          <w:rFonts w:ascii="Cambria" w:hAnsi="Cambria"/>
          <w:sz w:val="22"/>
        </w:rPr>
      </w:pPr>
      <w:r w:rsidRPr="00C84CED">
        <w:rPr>
          <w:rFonts w:ascii="Cambria" w:hAnsi="Cambria"/>
          <w:sz w:val="22"/>
        </w:rPr>
        <w:t xml:space="preserve">Eğitim alanında yapılan uluslararası karşılaştırmalar, ülke eğitim sistemlerine değişim sağlayacak yeni perspektifler kazandırma, dinamizmi sağlama, araştırmacı, eğitimci ve politikacılara yeni fikirler sunma açısından büyük önem taşımaktadır. </w:t>
      </w:r>
      <w:proofErr w:type="gramStart"/>
      <w:r w:rsidRPr="00C84CED">
        <w:rPr>
          <w:rFonts w:ascii="Cambria" w:hAnsi="Cambria"/>
          <w:sz w:val="22"/>
        </w:rPr>
        <w:t>Söz konusu karşılaştırmalarda, elde edilen verilere ilişkin alan yazında geçerlik, güvenirlik, nesnellik bağlamında ciddi eleştiriler üretilse de (Butler &amp; A</w:t>
      </w:r>
      <w:r w:rsidR="00400B8E" w:rsidRPr="00C84CED">
        <w:rPr>
          <w:rFonts w:ascii="Cambria" w:hAnsi="Cambria"/>
          <w:sz w:val="22"/>
        </w:rPr>
        <w:t>dams, 2007; Çıkrıkçı Demirtaşlı</w:t>
      </w:r>
      <w:r w:rsidRPr="00C84CED">
        <w:rPr>
          <w:rFonts w:ascii="Cambria" w:hAnsi="Cambria"/>
          <w:sz w:val="22"/>
        </w:rPr>
        <w:t xml:space="preserve"> ve</w:t>
      </w:r>
      <w:r w:rsidR="00400B8E" w:rsidRPr="00C84CED">
        <w:rPr>
          <w:rFonts w:ascii="Cambria" w:hAnsi="Cambria"/>
          <w:sz w:val="22"/>
        </w:rPr>
        <w:t xml:space="preserve"> Ulu</w:t>
      </w:r>
      <w:r w:rsidRPr="00C84CED">
        <w:rPr>
          <w:rFonts w:ascii="Cambria" w:hAnsi="Cambria"/>
          <w:sz w:val="22"/>
        </w:rPr>
        <w:t>taş, 2015; Fenig</w:t>
      </w:r>
      <w:r w:rsidR="00597E29" w:rsidRPr="00C84CED">
        <w:rPr>
          <w:rFonts w:ascii="Cambria" w:hAnsi="Cambria"/>
          <w:sz w:val="22"/>
        </w:rPr>
        <w:t>er, &amp; Lefstein, 2014), PISA, TI</w:t>
      </w:r>
      <w:r w:rsidRPr="00C84CED">
        <w:rPr>
          <w:rFonts w:ascii="Cambria" w:hAnsi="Cambria"/>
          <w:sz w:val="22"/>
        </w:rPr>
        <w:t>M</w:t>
      </w:r>
      <w:r w:rsidR="00597E29" w:rsidRPr="00C84CED">
        <w:rPr>
          <w:rFonts w:ascii="Cambria" w:hAnsi="Cambria"/>
          <w:sz w:val="22"/>
        </w:rPr>
        <w:t>S</w:t>
      </w:r>
      <w:r w:rsidRPr="00C84CED">
        <w:rPr>
          <w:rFonts w:ascii="Cambria" w:hAnsi="Cambria"/>
          <w:sz w:val="22"/>
        </w:rPr>
        <w:t xml:space="preserve">S ve </w:t>
      </w:r>
      <w:r w:rsidR="00597E29" w:rsidRPr="00C84CED">
        <w:rPr>
          <w:rFonts w:ascii="Cambria" w:hAnsi="Cambria"/>
          <w:sz w:val="22"/>
        </w:rPr>
        <w:t>Uluslar</w:t>
      </w:r>
      <w:r w:rsidR="008148C1" w:rsidRPr="00C84CED">
        <w:rPr>
          <w:rFonts w:ascii="Cambria" w:hAnsi="Cambria"/>
          <w:sz w:val="22"/>
        </w:rPr>
        <w:t>arası Öğretme ve Öğrenme Araştırması (</w:t>
      </w:r>
      <w:r w:rsidRPr="00C84CED">
        <w:rPr>
          <w:rFonts w:ascii="Cambria" w:hAnsi="Cambria"/>
          <w:sz w:val="22"/>
        </w:rPr>
        <w:t>TALIS</w:t>
      </w:r>
      <w:r w:rsidR="008148C1" w:rsidRPr="00C84CED">
        <w:rPr>
          <w:rFonts w:ascii="Cambria" w:hAnsi="Cambria"/>
          <w:sz w:val="22"/>
        </w:rPr>
        <w:t>)</w:t>
      </w:r>
      <w:r w:rsidRPr="00C84CED">
        <w:rPr>
          <w:rFonts w:ascii="Cambria" w:hAnsi="Cambria"/>
          <w:sz w:val="22"/>
        </w:rPr>
        <w:t xml:space="preserve"> gibi programların eğitim araştırmalarına yön veren profesyonel veri kaynakları oluşturdukları gerçeği yadsınamaz (Sjøberg, 2015). </w:t>
      </w:r>
      <w:proofErr w:type="gramEnd"/>
      <w:r w:rsidRPr="00C84CED">
        <w:rPr>
          <w:rFonts w:ascii="Cambria" w:hAnsi="Cambria"/>
          <w:sz w:val="22"/>
        </w:rPr>
        <w:t xml:space="preserve">Bu yüzden araştırmacı, politikacı ve okuyucuların uluslararası sınavlara yönelik önyargılı olmak yerine, bu sınavların avantaj ve dezavantajlarına ilişkin farkındalıklarını geliştirmeleri önemlidir. </w:t>
      </w:r>
      <w:r w:rsidR="00BE7570" w:rsidRPr="00C84CED">
        <w:rPr>
          <w:rFonts w:ascii="Cambria" w:hAnsi="Cambria"/>
          <w:sz w:val="22"/>
        </w:rPr>
        <w:t xml:space="preserve">Diğer yandan </w:t>
      </w:r>
      <w:r w:rsidR="00917B64" w:rsidRPr="00C84CED">
        <w:rPr>
          <w:rFonts w:ascii="Cambria" w:hAnsi="Cambria"/>
          <w:sz w:val="22"/>
        </w:rPr>
        <w:t>uluslar</w:t>
      </w:r>
      <w:r w:rsidR="00BE7570" w:rsidRPr="00C84CED">
        <w:rPr>
          <w:rFonts w:ascii="Cambria" w:hAnsi="Cambria"/>
          <w:sz w:val="22"/>
        </w:rPr>
        <w:t>arası sınavlara yönelik eleştiriler de ciddiye alınmalıdır. Bu çalışma kapsamında incelenen ülkelerden Vietnam 2015 PISA sonuçlarına göre oldukça iyi bir konumdadır. Bu durum derinlemesine araştırıldığında, Vietnam’da 15 yaş öğrencilerinin sadece % 48.5’inin PISA sınavına girdikleri</w:t>
      </w:r>
      <w:r w:rsidR="00917B64" w:rsidRPr="00C84CED">
        <w:rPr>
          <w:rFonts w:ascii="Cambria" w:hAnsi="Cambria"/>
          <w:sz w:val="22"/>
        </w:rPr>
        <w:t xml:space="preserve"> saptanmıştır</w:t>
      </w:r>
      <w:r w:rsidR="00BE7570" w:rsidRPr="00C84CED">
        <w:rPr>
          <w:rFonts w:ascii="Cambria" w:hAnsi="Cambria"/>
          <w:sz w:val="22"/>
        </w:rPr>
        <w:t xml:space="preserve"> (Jerrim, 2017). </w:t>
      </w:r>
      <w:r w:rsidR="00917B64" w:rsidRPr="00C84CED">
        <w:rPr>
          <w:rFonts w:ascii="Cambria" w:hAnsi="Cambria"/>
          <w:sz w:val="22"/>
        </w:rPr>
        <w:t xml:space="preserve">Dolayısıyla söz konusu verilerde geçerlik, güvenirlik ve nesnellik gibi ölçütler önemlidir ve bu sınavlarla ilgili yapılan tüm çalışmalar da okuyucuların eleştirileri dikkate alması önerilebilir. </w:t>
      </w:r>
    </w:p>
    <w:p w:rsidR="00D54297" w:rsidRPr="00C84CED" w:rsidRDefault="00D54297" w:rsidP="00D54297">
      <w:pPr>
        <w:ind w:firstLine="567"/>
        <w:jc w:val="both"/>
        <w:rPr>
          <w:rFonts w:ascii="Cambria" w:hAnsi="Cambria"/>
          <w:sz w:val="22"/>
        </w:rPr>
      </w:pPr>
      <w:r w:rsidRPr="00C84CED">
        <w:rPr>
          <w:rFonts w:ascii="Cambria" w:hAnsi="Cambria"/>
          <w:sz w:val="22"/>
        </w:rPr>
        <w:tab/>
        <w:t xml:space="preserve">Eğitim yatırımlarının ilk boyutu olan finansal harcamalara ilişkin göstergede, yüksek GSMH’si olan ülkelerin eğitime daha fazla harcama yaptıkları saptanmıştır. Diğer yandan GSMH dikkate alınmadan eğitim harcamaları ile PISA başarısı arasında da pozitif bir ilişki bulunmaktadır (Wolff, 2015). </w:t>
      </w:r>
      <w:proofErr w:type="gramStart"/>
      <w:r w:rsidRPr="00C84CED">
        <w:rPr>
          <w:rFonts w:ascii="Cambria" w:hAnsi="Cambria"/>
          <w:sz w:val="22"/>
        </w:rPr>
        <w:t xml:space="preserve">Ancak, kişi başı GSMH, finansal harcama ve PISA başarısı arasındaki ilişki incelendiğinde, GSMH’si 50 bin doların altında bulunan ülkelerin yaptıkları finansal harcamalar, PISA sınavında daha yüksek performans olarak geri dönerken, GSMH’si 50 bin dolar üzerinde olan ülkelerin daha yüksek miktarda yaptıkları harcamaların aynı etkiye sahip olmadığı ve bu süreçte öğrenci performansını yükseltmek için daha farklı değişkenlerin de dikkate alınması gerektiği </w:t>
      </w:r>
      <w:r w:rsidRPr="00C84CED">
        <w:rPr>
          <w:rFonts w:ascii="Cambria" w:hAnsi="Cambria"/>
          <w:sz w:val="22"/>
        </w:rPr>
        <w:lastRenderedPageBreak/>
        <w:t xml:space="preserve">söylenebilir. </w:t>
      </w:r>
      <w:proofErr w:type="gramEnd"/>
      <w:r w:rsidRPr="00C84CED">
        <w:rPr>
          <w:rFonts w:ascii="Cambria" w:hAnsi="Cambria"/>
          <w:sz w:val="22"/>
        </w:rPr>
        <w:t xml:space="preserve">Bu bulgu, paranın PISA başarısını garantilemediği yönünde sonuçlara ulaşan çalışmaları destekler niteliktedir (Agasisti, 2014; </w:t>
      </w:r>
      <w:r w:rsidR="00400B8E" w:rsidRPr="00C84CED">
        <w:rPr>
          <w:rFonts w:ascii="Cambria" w:hAnsi="Cambria"/>
          <w:sz w:val="22"/>
        </w:rPr>
        <w:t>Cheung &amp; Chan, 2008; OECD, 2012b</w:t>
      </w:r>
      <w:r w:rsidRPr="00C84CED">
        <w:rPr>
          <w:rFonts w:ascii="Cambria" w:hAnsi="Cambria"/>
          <w:sz w:val="22"/>
        </w:rPr>
        <w:t xml:space="preserve">). </w:t>
      </w:r>
    </w:p>
    <w:p w:rsidR="00D54297" w:rsidRPr="00C84CED" w:rsidRDefault="00D54297" w:rsidP="00D54297">
      <w:pPr>
        <w:ind w:firstLine="567"/>
        <w:jc w:val="both"/>
        <w:rPr>
          <w:rFonts w:ascii="Cambria" w:hAnsi="Cambria"/>
          <w:sz w:val="22"/>
        </w:rPr>
      </w:pPr>
      <w:r w:rsidRPr="00C84CED">
        <w:rPr>
          <w:rFonts w:ascii="Cambria" w:hAnsi="Cambria"/>
          <w:sz w:val="22"/>
        </w:rPr>
        <w:t>Okul müdürlerinin verdiği bilgiler doğrultusunda Türkiye’deki okulların yarısında öğretim materyallerinin yeterli düzeyde olduğu söylenebilir. Türkiye, öğretim materyallerinin yeterliği açısından örneklem grubundaki diğer ülkelerle yakın bir değere sahiptir. Öğretim materyallerine ilişkin yapılan çalışmalarda, materyallerin belirli bir düzeye ulaştıktan sonra yeterli olduğu ve daha fazla materyalin daha yüksek performans anlamına gelmediğine yönelik bulgulara ulaşılmıştır (</w:t>
      </w:r>
      <w:r w:rsidR="00400B8E" w:rsidRPr="00C84CED">
        <w:rPr>
          <w:rFonts w:ascii="Cambria" w:hAnsi="Cambria"/>
          <w:sz w:val="22"/>
        </w:rPr>
        <w:t xml:space="preserve">Hanushek, 1997; Hanushek, Rivkin, &amp; Taylor, 1996; </w:t>
      </w:r>
      <w:r w:rsidRPr="00C84CED">
        <w:rPr>
          <w:rFonts w:ascii="Cambria" w:hAnsi="Cambria"/>
          <w:sz w:val="22"/>
        </w:rPr>
        <w:t>Nicoletti &amp; Rabe, 201</w:t>
      </w:r>
      <w:r w:rsidR="00400B8E" w:rsidRPr="00C84CED">
        <w:rPr>
          <w:rFonts w:ascii="Cambria" w:hAnsi="Cambria"/>
          <w:sz w:val="22"/>
        </w:rPr>
        <w:t>2; Wei, Clifton &amp; Roberts, 2011</w:t>
      </w:r>
      <w:r w:rsidRPr="00C84CED">
        <w:rPr>
          <w:rFonts w:ascii="Cambria" w:hAnsi="Cambria"/>
          <w:sz w:val="22"/>
        </w:rPr>
        <w:t xml:space="preserve">). Bu çalışmalarda öğretim materyallerinin ya da okul kaynaklarının genel olarak dağılımının daha önemli olduğu vurgulanmaktadır. Okul SED </w:t>
      </w:r>
      <w:proofErr w:type="gramStart"/>
      <w:r w:rsidRPr="00C84CED">
        <w:rPr>
          <w:rFonts w:ascii="Cambria" w:hAnsi="Cambria"/>
          <w:sz w:val="22"/>
        </w:rPr>
        <w:t>profillerine</w:t>
      </w:r>
      <w:proofErr w:type="gramEnd"/>
      <w:r w:rsidRPr="00C84CED">
        <w:rPr>
          <w:rFonts w:ascii="Cambria" w:hAnsi="Cambria"/>
          <w:sz w:val="22"/>
        </w:rPr>
        <w:t xml:space="preserve"> göre Türkiye’de SED profili düşük okulların materyal konusunda yetersiz olduğu bulgulanmıştır. Öğretim materyali yetersizliğinin öğrenci devamını ve akademik başarıyı önemli oranda etkilediği (Gibbons, McNally &amp; Viarengo, 2012; Steele, Vignoles &amp; Jenkins, 2008) düşünüldüğünde, SED </w:t>
      </w:r>
      <w:proofErr w:type="gramStart"/>
      <w:r w:rsidRPr="00C84CED">
        <w:rPr>
          <w:rFonts w:ascii="Cambria" w:hAnsi="Cambria"/>
          <w:sz w:val="22"/>
        </w:rPr>
        <w:t>profili</w:t>
      </w:r>
      <w:proofErr w:type="gramEnd"/>
      <w:r w:rsidRPr="00C84CED">
        <w:rPr>
          <w:rFonts w:ascii="Cambria" w:hAnsi="Cambria"/>
          <w:sz w:val="22"/>
        </w:rPr>
        <w:t xml:space="preserve"> düşük olan okullardaki kaynak yetersizliğinin öğrenci devamı ve akademik başarı açısından olumsuz bir sonucunun olduğu söylenebilir. Bu durum sosyo ekonomik bağlamda dezavantajlı olan okulların öğretim materyali açısından da dezavantajlı bir konuma düşmesine sebep olmaktadır. Bilgiye ulaşım sürecinde bilgisayar ve internet erişimi oranlarının yüksek olması, öğrenci başarısını olumlu yönde etkilemektedir (</w:t>
      </w:r>
      <w:r w:rsidR="00400B8E" w:rsidRPr="00C84CED">
        <w:rPr>
          <w:rFonts w:ascii="Cambria" w:hAnsi="Cambria"/>
          <w:sz w:val="22"/>
        </w:rPr>
        <w:t>Biagi, &amp; Loi, 2013; Wastiau ve diğ</w:t>
      </w:r>
      <w:proofErr w:type="gramStart"/>
      <w:r w:rsidR="00400B8E" w:rsidRPr="00C84CED">
        <w:rPr>
          <w:rFonts w:ascii="Cambria" w:hAnsi="Cambria"/>
          <w:sz w:val="22"/>
        </w:rPr>
        <w:t>.,</w:t>
      </w:r>
      <w:proofErr w:type="gramEnd"/>
      <w:r w:rsidR="00400B8E" w:rsidRPr="00C84CED">
        <w:rPr>
          <w:rFonts w:ascii="Cambria" w:hAnsi="Cambria"/>
          <w:sz w:val="22"/>
        </w:rPr>
        <w:t xml:space="preserve"> 2013</w:t>
      </w:r>
      <w:r w:rsidRPr="00C84CED">
        <w:rPr>
          <w:rFonts w:ascii="Cambria" w:hAnsi="Cambria"/>
          <w:sz w:val="22"/>
        </w:rPr>
        <w:t xml:space="preserve">). Bu çerçevede diğer ülkelerle karşılaştırıldığında Türkiye’nin öğrenci başına düşen bilgisayar sayısı oldukça düşük iken, internet erişimi oranının iyi bir düzeyde olduğu saptanmıştır. Ancak bu verilerde önemli olan göstergenin öğrenci başına düşen bilgisayar sayısı ile internet erişimi arasındaki oran olduğu düşünüldüğünde, Türkiye’deki </w:t>
      </w:r>
      <w:r w:rsidR="0093100C" w:rsidRPr="00C84CED">
        <w:rPr>
          <w:rFonts w:ascii="Cambria" w:hAnsi="Cambria"/>
          <w:sz w:val="22"/>
        </w:rPr>
        <w:t>okulların kütüphane ve labora</w:t>
      </w:r>
      <w:r w:rsidR="00132047" w:rsidRPr="00C84CED">
        <w:rPr>
          <w:rFonts w:ascii="Cambria" w:hAnsi="Cambria"/>
          <w:sz w:val="22"/>
        </w:rPr>
        <w:t>tu</w:t>
      </w:r>
      <w:r w:rsidRPr="00C84CED">
        <w:rPr>
          <w:rFonts w:ascii="Cambria" w:hAnsi="Cambria"/>
          <w:sz w:val="22"/>
        </w:rPr>
        <w:t xml:space="preserve">arlarındaki teknolojik donanımlarının yetersiz olduğu söylenebilir.   </w:t>
      </w:r>
    </w:p>
    <w:p w:rsidR="00D54297" w:rsidRPr="00C84CED" w:rsidRDefault="00D54297" w:rsidP="00D54297">
      <w:pPr>
        <w:ind w:firstLine="567"/>
        <w:jc w:val="both"/>
        <w:rPr>
          <w:rFonts w:ascii="Cambria" w:hAnsi="Cambria"/>
          <w:sz w:val="22"/>
        </w:rPr>
      </w:pPr>
      <w:r w:rsidRPr="00C84CED">
        <w:rPr>
          <w:rFonts w:ascii="Cambria" w:hAnsi="Cambria"/>
          <w:sz w:val="22"/>
        </w:rPr>
        <w:t xml:space="preserve">Okul büyüklüğünün avantaj ve dezavantajları düşünüldüğünde büyük okulların daha fazla donanıma sahip olmaları, şehir merkezlerinde bulunmaları ve sosyo ekonomik </w:t>
      </w:r>
      <w:proofErr w:type="gramStart"/>
      <w:r w:rsidRPr="00C84CED">
        <w:rPr>
          <w:rFonts w:ascii="Cambria" w:hAnsi="Cambria"/>
          <w:sz w:val="22"/>
        </w:rPr>
        <w:t>profillerinin</w:t>
      </w:r>
      <w:proofErr w:type="gramEnd"/>
      <w:r w:rsidRPr="00C84CED">
        <w:rPr>
          <w:rFonts w:ascii="Cambria" w:hAnsi="Cambria"/>
          <w:sz w:val="22"/>
        </w:rPr>
        <w:t xml:space="preserve"> yüksek olması öğrenci başarısı açısından önemli avantajlar sunarken, küçük okullarda disiplin sorunlarının az olması ve okula bağlılığın gelişmesi önemli avantajlar olarak değerlendirilmektedir (OECD, 2016).  Yapılan karşılaştırmalarda, çoğu ülkede okulların SED </w:t>
      </w:r>
      <w:proofErr w:type="gramStart"/>
      <w:r w:rsidRPr="00C84CED">
        <w:rPr>
          <w:rFonts w:ascii="Cambria" w:hAnsi="Cambria"/>
          <w:sz w:val="22"/>
        </w:rPr>
        <w:t>profili</w:t>
      </w:r>
      <w:proofErr w:type="gramEnd"/>
      <w:r w:rsidRPr="00C84CED">
        <w:rPr>
          <w:rFonts w:ascii="Cambria" w:hAnsi="Cambria"/>
          <w:sz w:val="22"/>
        </w:rPr>
        <w:t xml:space="preserve"> yükseldikçe öğrenci sayısının da artmakta olduğu gözlenmiştir. Bu durum sadece Türkiye ve Makao için söz konusu değildir. Bir başka deyişle Türkiye ve Makao’da yüksek SED </w:t>
      </w:r>
      <w:proofErr w:type="gramStart"/>
      <w:r w:rsidRPr="00C84CED">
        <w:rPr>
          <w:rFonts w:ascii="Cambria" w:hAnsi="Cambria"/>
          <w:sz w:val="22"/>
        </w:rPr>
        <w:t>profilli</w:t>
      </w:r>
      <w:proofErr w:type="gramEnd"/>
      <w:r w:rsidRPr="00C84CED">
        <w:rPr>
          <w:rFonts w:ascii="Cambria" w:hAnsi="Cambria"/>
          <w:sz w:val="22"/>
        </w:rPr>
        <w:t xml:space="preserve"> okulların öğrenci sayıları düşüktür. Alan yazında okul büyüklüğü ve öğrenci başarısı arasındaki ilişkiye odaklanan çalışmalarda büyük okullardaki öğrencilerin daha başarılı olduğunu saptayan çalışmaların (Riggen, 2013; OECD, 2008) yanı sıra küçük okullardaki öğrencilerin daha avantajlı olduğu (</w:t>
      </w:r>
      <w:r w:rsidR="00132047" w:rsidRPr="00C84CED">
        <w:rPr>
          <w:rFonts w:ascii="Cambria" w:hAnsi="Cambria"/>
          <w:sz w:val="22"/>
        </w:rPr>
        <w:t xml:space="preserve">Lee, &amp; Loeb, 2000; </w:t>
      </w:r>
      <w:r w:rsidRPr="00C84CED">
        <w:rPr>
          <w:rFonts w:ascii="Cambria" w:hAnsi="Cambria"/>
          <w:sz w:val="22"/>
        </w:rPr>
        <w:t xml:space="preserve">Stewart, 2009;) yönünde bulgulara ulaşan çalışmalar mevcuttur. Ancak okul büyüklüğüne ilişkin </w:t>
      </w:r>
      <w:proofErr w:type="gramStart"/>
      <w:r w:rsidRPr="00C84CED">
        <w:rPr>
          <w:rFonts w:ascii="Cambria" w:hAnsi="Cambria"/>
          <w:sz w:val="22"/>
        </w:rPr>
        <w:t>literatür</w:t>
      </w:r>
      <w:proofErr w:type="gramEnd"/>
      <w:r w:rsidRPr="00C84CED">
        <w:rPr>
          <w:rFonts w:ascii="Cambria" w:hAnsi="Cambria"/>
          <w:sz w:val="22"/>
        </w:rPr>
        <w:t xml:space="preserve"> incelemesi yapan Ares Abalde (2014), okul büyüklüğü konusunda geçerli tek bir politikanın olmadığını, söz konusu politikaların bağlam ve demografiye göre değişkenlik gösterebileceğini vurgulamaktadır. Özetle, SED dikkate alındığında PISA 2015’te en başarılı olan ülkelerde yüksek SED </w:t>
      </w:r>
      <w:proofErr w:type="gramStart"/>
      <w:r w:rsidRPr="00C84CED">
        <w:rPr>
          <w:rFonts w:ascii="Cambria" w:hAnsi="Cambria"/>
          <w:sz w:val="22"/>
        </w:rPr>
        <w:t>profilli</w:t>
      </w:r>
      <w:proofErr w:type="gramEnd"/>
      <w:r w:rsidRPr="00C84CED">
        <w:rPr>
          <w:rFonts w:ascii="Cambria" w:hAnsi="Cambria"/>
          <w:sz w:val="22"/>
        </w:rPr>
        <w:t xml:space="preserve"> okulların daha fazla öğrenci barındırdığı görülmektedir. Türkiye’de ise SED </w:t>
      </w:r>
      <w:proofErr w:type="gramStart"/>
      <w:r w:rsidRPr="00C84CED">
        <w:rPr>
          <w:rFonts w:ascii="Cambria" w:hAnsi="Cambria"/>
          <w:sz w:val="22"/>
        </w:rPr>
        <w:t>profili</w:t>
      </w:r>
      <w:proofErr w:type="gramEnd"/>
      <w:r w:rsidRPr="00C84CED">
        <w:rPr>
          <w:rFonts w:ascii="Cambria" w:hAnsi="Cambria"/>
          <w:sz w:val="22"/>
        </w:rPr>
        <w:t xml:space="preserve"> düştükçe, okul öğrenci sayısının arttığı gözlenmiştir. Bu durumun genel olarak ailelerin sosyo ekonomik düzeyleri, eğitim yatırımlarının dağılımındaki eşitsizlikler, coğrafi konum ve demografi gibi etkenlerden kaynaklandığı söylenebilir. </w:t>
      </w:r>
    </w:p>
    <w:p w:rsidR="00D54297" w:rsidRPr="00C84CED" w:rsidRDefault="00D54297" w:rsidP="00D54297">
      <w:pPr>
        <w:ind w:firstLine="567"/>
        <w:jc w:val="both"/>
        <w:rPr>
          <w:rFonts w:ascii="Cambria" w:hAnsi="Cambria"/>
          <w:sz w:val="22"/>
        </w:rPr>
      </w:pPr>
      <w:r w:rsidRPr="00C84CED">
        <w:rPr>
          <w:rFonts w:ascii="Cambria" w:hAnsi="Cambria"/>
          <w:sz w:val="22"/>
        </w:rPr>
        <w:t xml:space="preserve">Önemli bir </w:t>
      </w:r>
      <w:proofErr w:type="gramStart"/>
      <w:r w:rsidRPr="00C84CED">
        <w:rPr>
          <w:rFonts w:ascii="Cambria" w:hAnsi="Cambria"/>
          <w:sz w:val="22"/>
        </w:rPr>
        <w:t>motivasyon</w:t>
      </w:r>
      <w:proofErr w:type="gramEnd"/>
      <w:r w:rsidRPr="00C84CED">
        <w:rPr>
          <w:rFonts w:ascii="Cambria" w:hAnsi="Cambria"/>
          <w:sz w:val="22"/>
        </w:rPr>
        <w:t xml:space="preserve"> aracı (Gemeda, &amp; Tynjälä, 2015) ve eğitim performansı üzerinde pozitif bir rolü olan (Agasisti, 2014) öğretmen maaşı, ülkelerin kişi başı GSMH miktarına oranları dikkate alınarak incelendiğinde, Türkiye’deki öğretmen maaşlarının kişi başı GSMH’nin 1.5 katı olduğu söylenebilir. Ancak kişi başı GSMH’ye göre PISA 2015 fen performansı ve öğretmen maaşları arasında istatistiksel düzeyde anlamlı bir farklılık bulunmamaktadır (OECD, 2016). Diğer yandan en yüksek öğretmen maaşı ile en düşük maaş arasındaki oranın en az olduğu ülke, Türkiye’dir. Bu durumda Türkiye’de öğretmen maaşlarının kıdem, derece ya da deneyim açısından çok fazla farklılık göstermediği söylenebilir. Kıdemli ya da deneyimli öğretmenlere daha yüksek maaş veren ülkelerin ulusal başarılarının daha yüksek olduğu (Akiba, Chiu, Shimizu, &amp; Liang, 2012) düşünüldüğünde, ücret politikalarında deneyim, performans ya da daha farklı ölçütlerin dikkate alınması faydalı olabilir. </w:t>
      </w:r>
    </w:p>
    <w:p w:rsidR="00D54297" w:rsidRPr="00C84CED" w:rsidRDefault="00D54297" w:rsidP="00D54297">
      <w:pPr>
        <w:ind w:firstLine="567"/>
        <w:jc w:val="both"/>
        <w:rPr>
          <w:rFonts w:ascii="Cambria" w:hAnsi="Cambria"/>
          <w:sz w:val="22"/>
        </w:rPr>
      </w:pPr>
      <w:r w:rsidRPr="00C84CED">
        <w:rPr>
          <w:rFonts w:ascii="Cambria" w:hAnsi="Cambria"/>
          <w:sz w:val="22"/>
        </w:rPr>
        <w:t>Öğrenci ve öğretmen oranlarına ilişkin genel, ülkeler arası ve OECD ortalaması Türkiye ile karşılaştırıldığında dikkat çekici düzeyde bir farklılaşma bulunmadığı gözlenmiştir. Öğrenci-</w:t>
      </w:r>
      <w:r w:rsidRPr="00C84CED">
        <w:rPr>
          <w:rFonts w:ascii="Cambria" w:hAnsi="Cambria"/>
          <w:sz w:val="22"/>
        </w:rPr>
        <w:lastRenderedPageBreak/>
        <w:t xml:space="preserve">öğretmen oranının öğrenci performansına etkisi zaman, alan ve bağlama göre değişkenlik gösteren bir yapıdadır (Borland, Howsen, &amp; Trawick, 2005). Bu yüzden konuyla ilgili alan yazın çalışmalarında farklı bulgulara ulaşılmıştır. </w:t>
      </w:r>
      <w:proofErr w:type="gramStart"/>
      <w:r w:rsidRPr="00C84CED">
        <w:rPr>
          <w:rFonts w:ascii="Cambria" w:hAnsi="Cambria"/>
          <w:sz w:val="22"/>
        </w:rPr>
        <w:t>Bazı çalışmalarda sınıf</w:t>
      </w:r>
      <w:r w:rsidR="00132047" w:rsidRPr="00C84CED">
        <w:rPr>
          <w:rFonts w:ascii="Cambria" w:hAnsi="Cambria"/>
          <w:sz w:val="22"/>
        </w:rPr>
        <w:t>taki</w:t>
      </w:r>
      <w:r w:rsidRPr="00C84CED">
        <w:rPr>
          <w:rFonts w:ascii="Cambria" w:hAnsi="Cambria"/>
          <w:sz w:val="22"/>
        </w:rPr>
        <w:t xml:space="preserve"> öğrenci sayısının az olmasının öğrencinin akademik başarısını yükselttiği, devamsızlık ve okul terki gibi sorunların çözümüne olumlu katkı sağladığı (Dynarski, Hyman and Schanzenbach, 2011</w:t>
      </w:r>
      <w:r w:rsidR="00132047" w:rsidRPr="00C84CED">
        <w:rPr>
          <w:rFonts w:ascii="Cambria" w:hAnsi="Cambria"/>
          <w:sz w:val="22"/>
        </w:rPr>
        <w:t>; Finn, Pannozzo, &amp; Achilles, 2003;</w:t>
      </w:r>
      <w:r w:rsidRPr="00C84CED">
        <w:rPr>
          <w:rFonts w:ascii="Cambria" w:hAnsi="Cambria"/>
          <w:sz w:val="22"/>
        </w:rPr>
        <w:t xml:space="preserve"> Jepsen &amp; Rivkin, 2009; Nye, Hedges, &amp; Konstantopoulos, 2000) belirtilirken, diğer bazı çalışmalarda ise sınıf öğrenci sayısının öğrenci performansına önemli bir etkisinin olmadığı (Asadullah, 2006; Woessmann &amp; West, 2002) bulgulanmıştır. </w:t>
      </w:r>
      <w:proofErr w:type="gramEnd"/>
      <w:r w:rsidRPr="00C84CED">
        <w:rPr>
          <w:rFonts w:ascii="Cambria" w:hAnsi="Cambria"/>
          <w:sz w:val="22"/>
        </w:rPr>
        <w:t xml:space="preserve">Öğrenci-öğretmen oranları, okulların SED </w:t>
      </w:r>
      <w:proofErr w:type="gramStart"/>
      <w:r w:rsidRPr="00C84CED">
        <w:rPr>
          <w:rFonts w:ascii="Cambria" w:hAnsi="Cambria"/>
          <w:sz w:val="22"/>
        </w:rPr>
        <w:t>profilleri</w:t>
      </w:r>
      <w:proofErr w:type="gramEnd"/>
      <w:r w:rsidRPr="00C84CED">
        <w:rPr>
          <w:rFonts w:ascii="Cambria" w:hAnsi="Cambria"/>
          <w:sz w:val="22"/>
        </w:rPr>
        <w:t xml:space="preserve"> bağlamında değerlendirildiğinde de aynı durumdan söz edilebilir. Özetle, öğrenci-öğretmen oranlarına ilişkin veriler, PISA 2015 programında en başarılı olan ülkeler ve OECD ortalamasıyla karşılaştırıldığında, Türkiye’nin son yıllarda önemli bir aşama kaydettiği söylenebilir. Bu durum Türkiye’de son yıllarda yapılan derslik ve okul yatırımlarının yanı sıra öğretmen atamalarının da belirli bir düzeyde artış göstermesinin bir sonucu olabilir.  </w:t>
      </w:r>
    </w:p>
    <w:p w:rsidR="00D54297" w:rsidRPr="00C84CED" w:rsidRDefault="00D54297" w:rsidP="00D54297">
      <w:pPr>
        <w:ind w:firstLine="567"/>
        <w:jc w:val="both"/>
        <w:rPr>
          <w:rFonts w:ascii="Cambria" w:hAnsi="Cambria"/>
          <w:sz w:val="22"/>
        </w:rPr>
      </w:pPr>
      <w:r w:rsidRPr="00C84CED">
        <w:rPr>
          <w:rFonts w:ascii="Cambria" w:hAnsi="Cambria"/>
          <w:sz w:val="22"/>
        </w:rPr>
        <w:t xml:space="preserve">Öğretmenlerin mesleki gelişim programlarına katılım düzeylerinde en düşük oranlar, Türkiye ve Japonya’dadır. Bu ülkelerde öğretmenlerin mesleki gelişim programlarına katılım oranı, OECD ortalamasının da altındadır. Diğer yandan katılım düzeyleri, okulların sosyo ekonomik </w:t>
      </w:r>
      <w:proofErr w:type="gramStart"/>
      <w:r w:rsidRPr="00C84CED">
        <w:rPr>
          <w:rFonts w:ascii="Cambria" w:hAnsi="Cambria"/>
          <w:sz w:val="22"/>
        </w:rPr>
        <w:t>profillerine</w:t>
      </w:r>
      <w:proofErr w:type="gramEnd"/>
      <w:r w:rsidRPr="00C84CED">
        <w:rPr>
          <w:rFonts w:ascii="Cambria" w:hAnsi="Cambria"/>
          <w:sz w:val="22"/>
        </w:rPr>
        <w:t xml:space="preserve"> göre değerlendirildiğinde çoğu ülkede SED düzeyleri arasında anlamlı bir farkın olmadığı, ancak Türkiye’de öğretmenlerin mesleki gelişim programlarına katılım düzeylerinde okul SED profillerine göre ciddi farklılaşma olduğu göze çarpmaktadır. Özetle, Türkiye’deki okul SED profilleri yükseldikçe programlara katılım düzeyi artmakta, </w:t>
      </w:r>
      <w:proofErr w:type="gramStart"/>
      <w:r w:rsidRPr="00C84CED">
        <w:rPr>
          <w:rFonts w:ascii="Cambria" w:hAnsi="Cambria"/>
          <w:sz w:val="22"/>
        </w:rPr>
        <w:t>profil</w:t>
      </w:r>
      <w:proofErr w:type="gramEnd"/>
      <w:r w:rsidRPr="00C84CED">
        <w:rPr>
          <w:rFonts w:ascii="Cambria" w:hAnsi="Cambria"/>
          <w:sz w:val="22"/>
        </w:rPr>
        <w:t xml:space="preserve"> düştükçe tam tersi bir durum ortaya çıkmaktadır. Öğretmenlerin nitelikli mesleki gelişim programlarına katılım oranları arttıkça, sınıf içi öğretim uygulamalarında kullandıkları yöntemlerin çeşitlilik ve niteliği de gelişmektedir (OECD, 2017). Bu bağlamda mesleki gelişim programlarının sayı ve niteliğinin yetersiz veya uygulama sürelerinin oldukça kısa ve kesintili olduğu, nitelikli, akredite olmuş mesleki gelişim programlarının planlanması, yürütülmesi ve değerlendirilmesi sürecinde daha eşitlikçi bir yaklaşımın sergilenmesi önemlidir.</w:t>
      </w:r>
    </w:p>
    <w:p w:rsidR="00D54297" w:rsidRPr="00C84CED" w:rsidRDefault="00D54297" w:rsidP="00D54297">
      <w:pPr>
        <w:ind w:firstLine="567"/>
        <w:jc w:val="both"/>
        <w:rPr>
          <w:rFonts w:ascii="Cambria" w:hAnsi="Cambria"/>
          <w:sz w:val="22"/>
        </w:rPr>
      </w:pPr>
      <w:r w:rsidRPr="00C84CED">
        <w:rPr>
          <w:rFonts w:ascii="Cambria" w:hAnsi="Cambria"/>
          <w:sz w:val="22"/>
        </w:rPr>
        <w:t xml:space="preserve">Ülkelerin yıllık toplam ders saatleri incelendiğinde ders saatlerinin niceliğinden çok, niteliğinin önemli olduğu söylenebilir. </w:t>
      </w:r>
      <w:proofErr w:type="gramStart"/>
      <w:r w:rsidRPr="00C84CED">
        <w:rPr>
          <w:rFonts w:ascii="Cambria" w:hAnsi="Cambria"/>
          <w:sz w:val="22"/>
        </w:rPr>
        <w:t>Nitekim,</w:t>
      </w:r>
      <w:proofErr w:type="gramEnd"/>
      <w:r w:rsidRPr="00C84CED">
        <w:rPr>
          <w:rFonts w:ascii="Cambria" w:hAnsi="Cambria"/>
          <w:sz w:val="22"/>
        </w:rPr>
        <w:t xml:space="preserve"> en başarılı ülkelere bakıldığında, çoğu ülkede yıllık ders saati toplamının OECD ortalamasının altında olduğu görülmektedir. Ders saatleri içinde nitelikli akademik öğrenme zamanını arttırmak, öğrenci performansını en fazla etkileyen değişkendir (Aronson, Zimmerman &amp; Carlos, 1999; Chenoweth, 2007; Dobbie &amp; Fryer, 2013; Hoxby &amp; Murarka, 2009). Sonuç olarak, Türkiye’de yıllık toplam ve 6-15 yaş genel toplam ders saatlerinin en başarılı ülkelere göre ciddi düzeyde yüksek olmasına rağmen öğrenci performansının istenen düzeyde olmaması, derslerdeki nitelik sorunlarını gündeme getirmektedir.</w:t>
      </w:r>
    </w:p>
    <w:p w:rsidR="00BE7570" w:rsidRPr="00C84CED" w:rsidRDefault="00D54297" w:rsidP="00BE7570">
      <w:pPr>
        <w:ind w:firstLine="567"/>
        <w:jc w:val="both"/>
        <w:rPr>
          <w:rFonts w:ascii="Cambria" w:hAnsi="Cambria"/>
          <w:sz w:val="22"/>
        </w:rPr>
      </w:pPr>
      <w:r w:rsidRPr="00C84CED">
        <w:rPr>
          <w:rFonts w:ascii="Cambria" w:hAnsi="Cambria"/>
          <w:sz w:val="22"/>
        </w:rPr>
        <w:tab/>
        <w:t>Türkiye’nin okul</w:t>
      </w:r>
      <w:r w:rsidR="00132047" w:rsidRPr="00C84CED">
        <w:rPr>
          <w:rFonts w:ascii="Cambria" w:hAnsi="Cambria"/>
          <w:sz w:val="22"/>
        </w:rPr>
        <w:t xml:space="preserve"> öncesi eğitime katılım oranı,</w:t>
      </w:r>
      <w:r w:rsidRPr="00C84CED">
        <w:rPr>
          <w:rFonts w:ascii="Cambria" w:hAnsi="Cambria"/>
          <w:sz w:val="22"/>
        </w:rPr>
        <w:t xml:space="preserve"> diğer ülkelere göre oldukça düşüktür. Başarılı ülkelerin çoğunda okul öncesi eğitime katılım süresi 3 ve 4 yıl arasındayken Türkiye’de bu ortalama 1 yıldır.  </w:t>
      </w:r>
      <w:proofErr w:type="gramStart"/>
      <w:r w:rsidRPr="00C84CED">
        <w:rPr>
          <w:rFonts w:ascii="Cambria" w:hAnsi="Cambria"/>
          <w:sz w:val="22"/>
        </w:rPr>
        <w:t xml:space="preserve">Bu çerçevede okul öncesi eğitim almış çocukların sonraki kademelerde daha başarılı oldukları, daha az sınıf tekrarı yaşadıkları (Berlinski, Galiani, &amp; Manacorda, 2008; Magnuson, Ruhm, &amp; Waldfogel, 2007) ve gelecek hayatlarında refah düzeylerinin akranlarına göre daha iyi olma ihtimalinin yüksek olduğu gibi (Morrow, 2005) bulgulara ulaşan çalışmalar incelendiğinde okul öncesi eğitimin birey ve topluma hayat boyu fayda sağlayan bir kademe olduğu söylenebilir. </w:t>
      </w:r>
      <w:proofErr w:type="gramEnd"/>
      <w:r w:rsidRPr="00C84CED">
        <w:rPr>
          <w:rFonts w:ascii="Cambria" w:hAnsi="Cambria"/>
          <w:sz w:val="22"/>
        </w:rPr>
        <w:t xml:space="preserve">Diğer yandan SED </w:t>
      </w:r>
      <w:proofErr w:type="gramStart"/>
      <w:r w:rsidRPr="00C84CED">
        <w:rPr>
          <w:rFonts w:ascii="Cambria" w:hAnsi="Cambria"/>
          <w:sz w:val="22"/>
        </w:rPr>
        <w:t>profilleri</w:t>
      </w:r>
      <w:proofErr w:type="gramEnd"/>
      <w:r w:rsidRPr="00C84CED">
        <w:rPr>
          <w:rFonts w:ascii="Cambria" w:hAnsi="Cambria"/>
          <w:sz w:val="22"/>
        </w:rPr>
        <w:t xml:space="preserve"> dikkate alındığında, örneklem grubundaki ülkelerde okul öncesi eğitime katılım SED profiline göre farklılaşmazken, Türkiye’de SED 1 ve 2 profilinin aleyhine fark bulunmaktadır. Okul öncesi eğitimin sosyo ekonomik düzeyden kaynaklanan eşitsizliklere ciddi anlamda olumlu katkı sağladığı (</w:t>
      </w:r>
      <w:r w:rsidR="00132047" w:rsidRPr="00C84CED">
        <w:rPr>
          <w:rFonts w:ascii="Cambria" w:hAnsi="Cambria"/>
          <w:sz w:val="22"/>
        </w:rPr>
        <w:t>Ehrlich, Gwynne, Pareja, &amp; Allensworth, 2013; Tucker-Drob, 2012</w:t>
      </w:r>
      <w:r w:rsidRPr="00C84CED">
        <w:rPr>
          <w:rFonts w:ascii="Cambria" w:hAnsi="Cambria"/>
          <w:sz w:val="22"/>
        </w:rPr>
        <w:t xml:space="preserve">) düşünüldüğünde, Türkiye’nin okul öncesi eğitime erişim imkânlarını özellikle dezavantajlı gruplar lehine iyileştirmesi ve geliştirmesi gerekmektedir. </w:t>
      </w:r>
    </w:p>
    <w:p w:rsidR="00D54297" w:rsidRPr="00C84CED" w:rsidRDefault="00D54297" w:rsidP="00D54297">
      <w:pPr>
        <w:ind w:firstLine="567"/>
        <w:jc w:val="both"/>
        <w:rPr>
          <w:rFonts w:ascii="Cambria" w:hAnsi="Cambria"/>
          <w:sz w:val="22"/>
        </w:rPr>
      </w:pPr>
      <w:r w:rsidRPr="00C84CED">
        <w:rPr>
          <w:rFonts w:ascii="Cambria" w:hAnsi="Cambria"/>
          <w:sz w:val="22"/>
        </w:rPr>
        <w:tab/>
      </w:r>
    </w:p>
    <w:p w:rsidR="00D54297" w:rsidRPr="00C84CED" w:rsidRDefault="00D54297" w:rsidP="003014FB">
      <w:pPr>
        <w:spacing w:before="240" w:after="240"/>
        <w:jc w:val="center"/>
        <w:rPr>
          <w:rFonts w:ascii="Cambria" w:hAnsi="Cambria"/>
          <w:b/>
          <w:sz w:val="22"/>
        </w:rPr>
      </w:pPr>
      <w:r w:rsidRPr="00C84CED">
        <w:rPr>
          <w:rFonts w:ascii="Cambria" w:hAnsi="Cambria"/>
          <w:b/>
          <w:sz w:val="22"/>
        </w:rPr>
        <w:t>ÖNERİLER</w:t>
      </w:r>
    </w:p>
    <w:p w:rsidR="00132047" w:rsidRPr="00C84CED" w:rsidRDefault="00D54297" w:rsidP="00132047">
      <w:pPr>
        <w:ind w:firstLine="567"/>
        <w:jc w:val="both"/>
        <w:rPr>
          <w:rFonts w:ascii="Cambria" w:hAnsi="Cambria"/>
          <w:sz w:val="22"/>
        </w:rPr>
      </w:pPr>
      <w:r w:rsidRPr="00C84CED">
        <w:rPr>
          <w:rFonts w:ascii="Cambria" w:hAnsi="Cambria"/>
          <w:sz w:val="22"/>
        </w:rPr>
        <w:t xml:space="preserve">Eğitim yatırımlarına ilişkin tüm boyutların bütüncül bir şekilde ele alınması ve bir boyut iyileştirilirken diğerinin ihmal edilmemesi önerilebilir. Örneğin, öğrenci-öğretmen oranları </w:t>
      </w:r>
      <w:r w:rsidRPr="00C84CED">
        <w:rPr>
          <w:rFonts w:ascii="Cambria" w:hAnsi="Cambria"/>
          <w:sz w:val="22"/>
        </w:rPr>
        <w:lastRenderedPageBreak/>
        <w:t>yapılan yatırımlarla belirli düzeye çekilirken, öğretmen kalitesini geliştirici mesleki gelişim programlarının sayı ve nitelik bakımından oldukça yetersiz olması.</w:t>
      </w:r>
    </w:p>
    <w:p w:rsidR="00D54297" w:rsidRPr="00C84CED" w:rsidRDefault="00D54297" w:rsidP="00132047">
      <w:pPr>
        <w:ind w:firstLine="567"/>
        <w:jc w:val="both"/>
        <w:rPr>
          <w:rFonts w:ascii="Cambria" w:hAnsi="Cambria"/>
          <w:sz w:val="22"/>
        </w:rPr>
      </w:pPr>
      <w:r w:rsidRPr="00C84CED">
        <w:rPr>
          <w:rFonts w:ascii="Cambria" w:hAnsi="Cambria"/>
          <w:sz w:val="22"/>
        </w:rPr>
        <w:t xml:space="preserve">Başarılı ülkelerdeki SED </w:t>
      </w:r>
      <w:proofErr w:type="gramStart"/>
      <w:r w:rsidRPr="00C84CED">
        <w:rPr>
          <w:rFonts w:ascii="Cambria" w:hAnsi="Cambria"/>
          <w:sz w:val="22"/>
        </w:rPr>
        <w:t>profilleri</w:t>
      </w:r>
      <w:proofErr w:type="gramEnd"/>
      <w:r w:rsidRPr="00C84CED">
        <w:rPr>
          <w:rFonts w:ascii="Cambria" w:hAnsi="Cambria"/>
          <w:sz w:val="22"/>
        </w:rPr>
        <w:t xml:space="preserve"> arasındaki farklar çoğu göstergede kabul edilebilir düzeyde iken, Türkiye tüm göstergelerde eşitsiz bir dağılım sergilemektedir. Bu çerçevede eğitim yatırımı planlamalarında sosyal adalet kavramının dikkate alınması önerilebilir.  Eğitime yönelik teknik ve teknolojik araç-gereç üretme, geliştirme, dağıtım, etkin kullanım, mevcut araç-gereçlerin performansı ve etkililiği ile ilgili detaylı analizler yapılarak söz konusu kaynakların verimlilik ve etkililik düzeyleri geliştirilebilir. </w:t>
      </w:r>
    </w:p>
    <w:p w:rsidR="00BF6F37" w:rsidRPr="00C84CED" w:rsidRDefault="00D54297" w:rsidP="00BF6F37">
      <w:pPr>
        <w:ind w:firstLine="567"/>
        <w:jc w:val="both"/>
        <w:rPr>
          <w:rFonts w:ascii="Cambria" w:hAnsi="Cambria"/>
          <w:sz w:val="22"/>
        </w:rPr>
      </w:pPr>
      <w:r w:rsidRPr="00C84CED">
        <w:rPr>
          <w:rFonts w:ascii="Cambria" w:hAnsi="Cambria"/>
          <w:sz w:val="22"/>
        </w:rPr>
        <w:t>Mesleki gelişim programlarının nicelik ve nitelik açısından tekrar gözden geçirilmesi, ihtiyaç analizleri yapılması, adil bir şekilde ülke çapında sunulması, dezavantajlı bölgelerde görev yapan öğretmenlerin mesleki gelişim programlarına katılım oranlarını artırabilir.  Türkiye, örneklem grubundaki ülkeler arasında en yüksek ders saati sunan ülke olmasına rağmen PISA da istenen düzeyde başarı elde edememiştir. Bu durumda ders saatleri içindeki gerçek akademik öğrenme zamanını artırabilmek için öğretmen niteliğinin geliştirilmesi, müfredatın, öğretim yöntem ve tekniklerinin güncellenmesi önerilebilir. Okul öncesi eğitim ile diğer kademeler arasındaki pozitif ilişki düşünüldüğünde okul öncesi eğitime erişim olanaklarının özellikle dezavantajlı gruplar lehine geliştiri</w:t>
      </w:r>
      <w:r w:rsidR="00BF6F37" w:rsidRPr="00C84CED">
        <w:rPr>
          <w:rFonts w:ascii="Cambria" w:hAnsi="Cambria"/>
          <w:sz w:val="22"/>
        </w:rPr>
        <w:t>lmesi önerilebilir.</w:t>
      </w:r>
    </w:p>
    <w:p w:rsidR="008F784F" w:rsidRPr="00BF6F37" w:rsidRDefault="008F784F" w:rsidP="008F784F">
      <w:pPr>
        <w:spacing w:before="100" w:beforeAutospacing="1" w:after="100" w:afterAutospacing="1"/>
        <w:rPr>
          <w:rFonts w:ascii="Cambria" w:hAnsi="Cambria"/>
          <w:b/>
        </w:rPr>
      </w:pPr>
      <w:r w:rsidRPr="00BF6F37">
        <w:rPr>
          <w:rFonts w:ascii="Cambria" w:hAnsi="Cambria"/>
          <w:b/>
        </w:rPr>
        <w:t>KAYNAKÇA</w:t>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Abalde, M. A. (2014). </w:t>
      </w:r>
      <w:r w:rsidRPr="00C84CED">
        <w:rPr>
          <w:rFonts w:ascii="Cambria" w:hAnsi="Cambria"/>
          <w:i/>
          <w:sz w:val="20"/>
          <w:szCs w:val="20"/>
        </w:rPr>
        <w:t>School size policies: A literature review.</w:t>
      </w:r>
      <w:r w:rsidRPr="00C84CED">
        <w:rPr>
          <w:rFonts w:ascii="Cambria" w:hAnsi="Cambria"/>
          <w:sz w:val="20"/>
          <w:szCs w:val="20"/>
        </w:rPr>
        <w:t xml:space="preserve"> OECD Education Working Papers, (106), 0_1.</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Agasisti, T. (2014). The efficiency of public spending on education: An empirical comparison of EU countries. </w:t>
      </w:r>
      <w:r w:rsidRPr="00C84CED">
        <w:rPr>
          <w:rFonts w:ascii="Cambria" w:hAnsi="Cambria"/>
          <w:i/>
          <w:sz w:val="20"/>
          <w:szCs w:val="20"/>
        </w:rPr>
        <w:t>European Journal of Education,</w:t>
      </w:r>
      <w:r w:rsidRPr="00C84CED">
        <w:rPr>
          <w:rFonts w:ascii="Cambria" w:hAnsi="Cambria"/>
          <w:sz w:val="20"/>
          <w:szCs w:val="20"/>
        </w:rPr>
        <w:t xml:space="preserve"> 49 (4), 543-557.</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Akiba, M</w:t>
      </w:r>
      <w:proofErr w:type="gramStart"/>
      <w:r w:rsidRPr="00C84CED">
        <w:rPr>
          <w:rFonts w:ascii="Cambria" w:hAnsi="Cambria"/>
          <w:sz w:val="20"/>
          <w:szCs w:val="20"/>
        </w:rPr>
        <w:t>.,</w:t>
      </w:r>
      <w:proofErr w:type="gramEnd"/>
      <w:r w:rsidRPr="00C84CED">
        <w:rPr>
          <w:rFonts w:ascii="Cambria" w:hAnsi="Cambria"/>
          <w:sz w:val="20"/>
          <w:szCs w:val="20"/>
        </w:rPr>
        <w:t xml:space="preserve"> Chiu, Y-F., Shimizu, K., &amp; Liang, G. (2012). Teacher salary and national achievement: A cross-national analysis of 30 countries. </w:t>
      </w:r>
      <w:r w:rsidRPr="00C84CED">
        <w:rPr>
          <w:rFonts w:ascii="Cambria" w:hAnsi="Cambria"/>
          <w:i/>
          <w:sz w:val="20"/>
          <w:szCs w:val="20"/>
        </w:rPr>
        <w:t>International Journal of Educational Research</w:t>
      </w:r>
      <w:r w:rsidRPr="00C84CED">
        <w:rPr>
          <w:rFonts w:ascii="Cambria" w:hAnsi="Cambria"/>
          <w:sz w:val="20"/>
          <w:szCs w:val="20"/>
        </w:rPr>
        <w:t>, 53, 171–181</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Aronson, J</w:t>
      </w:r>
      <w:proofErr w:type="gramStart"/>
      <w:r w:rsidRPr="00C84CED">
        <w:rPr>
          <w:rFonts w:ascii="Cambria" w:hAnsi="Cambria"/>
          <w:sz w:val="20"/>
          <w:szCs w:val="20"/>
        </w:rPr>
        <w:t>.,</w:t>
      </w:r>
      <w:proofErr w:type="gramEnd"/>
      <w:r w:rsidRPr="00C84CED">
        <w:rPr>
          <w:rFonts w:ascii="Cambria" w:hAnsi="Cambria"/>
          <w:sz w:val="20"/>
          <w:szCs w:val="20"/>
        </w:rPr>
        <w:t xml:space="preserve"> Zimmerman, J., &amp; Carlos, L. (1999). </w:t>
      </w:r>
      <w:r w:rsidRPr="00C84CED">
        <w:rPr>
          <w:rFonts w:ascii="Cambria" w:hAnsi="Cambria"/>
          <w:i/>
          <w:sz w:val="20"/>
          <w:szCs w:val="20"/>
        </w:rPr>
        <w:t xml:space="preserve">Improving </w:t>
      </w:r>
      <w:r w:rsidR="00132047" w:rsidRPr="00C84CED">
        <w:rPr>
          <w:rFonts w:ascii="Cambria" w:hAnsi="Cambria"/>
          <w:i/>
          <w:sz w:val="20"/>
          <w:szCs w:val="20"/>
        </w:rPr>
        <w:t>student achievement by extending school</w:t>
      </w:r>
      <w:r w:rsidRPr="00C84CED">
        <w:rPr>
          <w:rFonts w:ascii="Cambria" w:hAnsi="Cambria"/>
          <w:i/>
          <w:sz w:val="20"/>
          <w:szCs w:val="20"/>
        </w:rPr>
        <w:t xml:space="preserve">: Is </w:t>
      </w:r>
      <w:r w:rsidR="00132047" w:rsidRPr="00C84CED">
        <w:rPr>
          <w:rFonts w:ascii="Cambria" w:hAnsi="Cambria"/>
          <w:i/>
          <w:sz w:val="20"/>
          <w:szCs w:val="20"/>
        </w:rPr>
        <w:t>it just a matter of time</w:t>
      </w:r>
      <w:proofErr w:type="gramStart"/>
      <w:r w:rsidRPr="00C84CED">
        <w:rPr>
          <w:rFonts w:ascii="Cambria" w:hAnsi="Cambria"/>
          <w:i/>
          <w:sz w:val="20"/>
          <w:szCs w:val="20"/>
        </w:rPr>
        <w:t>?.</w:t>
      </w:r>
      <w:proofErr w:type="gramEnd"/>
      <w:r w:rsidRPr="00C84CED">
        <w:rPr>
          <w:rFonts w:ascii="Cambria" w:hAnsi="Cambria"/>
          <w:sz w:val="20"/>
          <w:szCs w:val="20"/>
        </w:rPr>
        <w:t xml:space="preserve">Retrieved from </w:t>
      </w:r>
      <w:hyperlink r:id="rId20" w:history="1">
        <w:r w:rsidR="00A071BD" w:rsidRPr="00C84CED">
          <w:rPr>
            <w:rStyle w:val="Hyperlink"/>
            <w:rFonts w:ascii="Cambria" w:hAnsi="Cambria"/>
            <w:sz w:val="20"/>
            <w:szCs w:val="20"/>
          </w:rPr>
          <w:t>https://www.wested.org/online_pubs/po-98-02.pdf</w:t>
        </w:r>
      </w:hyperlink>
      <w:r w:rsidR="00A071BD" w:rsidRPr="00C84CED">
        <w:rPr>
          <w:rFonts w:ascii="Cambria" w:hAnsi="Cambria"/>
          <w:sz w:val="20"/>
          <w:szCs w:val="20"/>
        </w:rPr>
        <w:tab/>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Asadullah, M. N. (2005). The effect of class size on student achievement: Evidence from Bangladesh. </w:t>
      </w:r>
      <w:r w:rsidRPr="00C84CED">
        <w:rPr>
          <w:rFonts w:ascii="Cambria" w:hAnsi="Cambria"/>
          <w:i/>
          <w:sz w:val="20"/>
          <w:szCs w:val="20"/>
        </w:rPr>
        <w:t>Applied Economics Letters,</w:t>
      </w:r>
      <w:r w:rsidRPr="00C84CED">
        <w:rPr>
          <w:rFonts w:ascii="Cambria" w:hAnsi="Cambria"/>
          <w:sz w:val="20"/>
          <w:szCs w:val="20"/>
        </w:rPr>
        <w:t xml:space="preserve"> 12 (4), 217-221.</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Aydın, A</w:t>
      </w:r>
      <w:proofErr w:type="gramStart"/>
      <w:r w:rsidRPr="00C84CED">
        <w:rPr>
          <w:rFonts w:ascii="Cambria" w:hAnsi="Cambria"/>
          <w:sz w:val="20"/>
          <w:szCs w:val="20"/>
        </w:rPr>
        <w:t>.,</w:t>
      </w:r>
      <w:proofErr w:type="gramEnd"/>
      <w:r w:rsidRPr="00C84CED">
        <w:rPr>
          <w:rFonts w:ascii="Cambria" w:hAnsi="Cambria"/>
          <w:sz w:val="20"/>
          <w:szCs w:val="20"/>
        </w:rPr>
        <w:t xml:space="preserve"> Sarıer, Y. ve Uysal, Ş. (2012). Sosyo-ekonomik ve sosyokültürel değişkenler açısından PISA matematik sonuçlarının karşılaştırılması. </w:t>
      </w:r>
      <w:r w:rsidRPr="00C84CED">
        <w:rPr>
          <w:rFonts w:ascii="Cambria" w:hAnsi="Cambria"/>
          <w:i/>
          <w:sz w:val="20"/>
          <w:szCs w:val="20"/>
        </w:rPr>
        <w:t>Eğitim ve Bilim,</w:t>
      </w:r>
      <w:r w:rsidRPr="00C84CED">
        <w:rPr>
          <w:rFonts w:ascii="Cambria" w:hAnsi="Cambria"/>
          <w:sz w:val="20"/>
          <w:szCs w:val="20"/>
        </w:rPr>
        <w:t xml:space="preserve"> 164, 20-30. </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Berlinski, S</w:t>
      </w:r>
      <w:proofErr w:type="gramStart"/>
      <w:r w:rsidRPr="00C84CED">
        <w:rPr>
          <w:rFonts w:ascii="Cambria" w:hAnsi="Cambria"/>
          <w:sz w:val="20"/>
          <w:szCs w:val="20"/>
        </w:rPr>
        <w:t>.,</w:t>
      </w:r>
      <w:proofErr w:type="gramEnd"/>
      <w:r w:rsidRPr="00C84CED">
        <w:rPr>
          <w:rFonts w:ascii="Cambria" w:hAnsi="Cambria"/>
          <w:sz w:val="20"/>
          <w:szCs w:val="20"/>
        </w:rPr>
        <w:t xml:space="preserve"> Galiani, S., &amp; Manacorda, M. (2008). Giving children a better </w:t>
      </w:r>
      <w:proofErr w:type="gramStart"/>
      <w:r w:rsidRPr="00C84CED">
        <w:rPr>
          <w:rFonts w:ascii="Cambria" w:hAnsi="Cambria"/>
          <w:sz w:val="20"/>
          <w:szCs w:val="20"/>
        </w:rPr>
        <w:t>start</w:t>
      </w:r>
      <w:proofErr w:type="gramEnd"/>
      <w:r w:rsidRPr="00C84CED">
        <w:rPr>
          <w:rFonts w:ascii="Cambria" w:hAnsi="Cambria"/>
          <w:sz w:val="20"/>
          <w:szCs w:val="20"/>
        </w:rPr>
        <w:t xml:space="preserve">: Preschool attendance and school-age profiles. </w:t>
      </w:r>
      <w:r w:rsidR="00A071BD" w:rsidRPr="00C84CED">
        <w:rPr>
          <w:rFonts w:ascii="Cambria" w:hAnsi="Cambria"/>
          <w:i/>
          <w:sz w:val="20"/>
          <w:szCs w:val="20"/>
        </w:rPr>
        <w:t>Journal of P</w:t>
      </w:r>
      <w:r w:rsidRPr="00C84CED">
        <w:rPr>
          <w:rFonts w:ascii="Cambria" w:hAnsi="Cambria"/>
          <w:i/>
          <w:sz w:val="20"/>
          <w:szCs w:val="20"/>
        </w:rPr>
        <w:t>ublic Economics</w:t>
      </w:r>
      <w:r w:rsidRPr="00C84CED">
        <w:rPr>
          <w:rFonts w:ascii="Cambria" w:hAnsi="Cambria"/>
          <w:sz w:val="20"/>
          <w:szCs w:val="20"/>
        </w:rPr>
        <w:t>, 92 (5), 1416-1440.</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Białecki, I</w:t>
      </w:r>
      <w:proofErr w:type="gramStart"/>
      <w:r w:rsidRPr="00C84CED">
        <w:rPr>
          <w:rFonts w:ascii="Cambria" w:hAnsi="Cambria"/>
          <w:sz w:val="20"/>
          <w:szCs w:val="20"/>
        </w:rPr>
        <w:t>.,</w:t>
      </w:r>
      <w:proofErr w:type="gramEnd"/>
      <w:r w:rsidRPr="00C84CED">
        <w:rPr>
          <w:rFonts w:ascii="Cambria" w:hAnsi="Cambria"/>
          <w:sz w:val="20"/>
          <w:szCs w:val="20"/>
        </w:rPr>
        <w:t xml:space="preserve"> Jakubowski, M., &amp; Wiśniewski, J. (2017). Education policy in Poland: The impact of PISA (and other international studies). </w:t>
      </w:r>
      <w:r w:rsidRPr="00C84CED">
        <w:rPr>
          <w:rFonts w:ascii="Cambria" w:hAnsi="Cambria"/>
          <w:i/>
          <w:sz w:val="20"/>
          <w:szCs w:val="20"/>
        </w:rPr>
        <w:t>European Journal of Education,</w:t>
      </w:r>
      <w:r w:rsidRPr="00C84CED">
        <w:rPr>
          <w:rFonts w:ascii="Cambria" w:hAnsi="Cambria"/>
          <w:sz w:val="20"/>
          <w:szCs w:val="20"/>
        </w:rPr>
        <w:t xml:space="preserve"> 52 (2), 167-174.</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Biagi, F</w:t>
      </w:r>
      <w:proofErr w:type="gramStart"/>
      <w:r w:rsidRPr="00C84CED">
        <w:rPr>
          <w:rFonts w:ascii="Cambria" w:hAnsi="Cambria"/>
          <w:sz w:val="20"/>
          <w:szCs w:val="20"/>
        </w:rPr>
        <w:t>.,</w:t>
      </w:r>
      <w:proofErr w:type="gramEnd"/>
      <w:r w:rsidRPr="00C84CED">
        <w:rPr>
          <w:rFonts w:ascii="Cambria" w:hAnsi="Cambria"/>
          <w:sz w:val="20"/>
          <w:szCs w:val="20"/>
        </w:rPr>
        <w:t xml:space="preserve">&amp; Loi, M. (2013). Measuring ICT use and learning outcomes: Evidence from recent econometric studies. </w:t>
      </w:r>
      <w:r w:rsidRPr="00C84CED">
        <w:rPr>
          <w:rFonts w:ascii="Cambria" w:hAnsi="Cambria"/>
          <w:i/>
          <w:sz w:val="20"/>
          <w:szCs w:val="20"/>
        </w:rPr>
        <w:t>European Journal of Education,</w:t>
      </w:r>
      <w:r w:rsidRPr="00C84CED">
        <w:rPr>
          <w:rFonts w:ascii="Cambria" w:hAnsi="Cambria"/>
          <w:sz w:val="20"/>
          <w:szCs w:val="20"/>
        </w:rPr>
        <w:t xml:space="preserve"> 48 (1), 28-42.</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Borland, M. V</w:t>
      </w:r>
      <w:proofErr w:type="gramStart"/>
      <w:r w:rsidRPr="00C84CED">
        <w:rPr>
          <w:rFonts w:ascii="Cambria" w:hAnsi="Cambria"/>
          <w:sz w:val="20"/>
          <w:szCs w:val="20"/>
        </w:rPr>
        <w:t>.,</w:t>
      </w:r>
      <w:proofErr w:type="gramEnd"/>
      <w:r w:rsidRPr="00C84CED">
        <w:rPr>
          <w:rFonts w:ascii="Cambria" w:hAnsi="Cambria"/>
          <w:sz w:val="20"/>
          <w:szCs w:val="20"/>
        </w:rPr>
        <w:t xml:space="preserve"> Howsen, R. M., &amp; Trawick, M. W. (2005). An investigation of the effect of class size on student academic achievement. </w:t>
      </w:r>
      <w:r w:rsidRPr="00C84CED">
        <w:rPr>
          <w:rFonts w:ascii="Cambria" w:hAnsi="Cambria"/>
          <w:i/>
          <w:sz w:val="20"/>
          <w:szCs w:val="20"/>
        </w:rPr>
        <w:t>Education Economics,</w:t>
      </w:r>
      <w:r w:rsidRPr="00C84CED">
        <w:rPr>
          <w:rFonts w:ascii="Cambria" w:hAnsi="Cambria"/>
          <w:sz w:val="20"/>
          <w:szCs w:val="20"/>
        </w:rPr>
        <w:t xml:space="preserve"> 13 (1), 73-83.</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Butler, J</w:t>
      </w:r>
      <w:proofErr w:type="gramStart"/>
      <w:r w:rsidRPr="00C84CED">
        <w:rPr>
          <w:rFonts w:ascii="Cambria" w:hAnsi="Cambria"/>
          <w:sz w:val="20"/>
          <w:szCs w:val="20"/>
        </w:rPr>
        <w:t>.,</w:t>
      </w:r>
      <w:proofErr w:type="gramEnd"/>
      <w:r w:rsidRPr="00C84CED">
        <w:rPr>
          <w:rFonts w:ascii="Cambria" w:hAnsi="Cambria"/>
          <w:sz w:val="20"/>
          <w:szCs w:val="20"/>
        </w:rPr>
        <w:t xml:space="preserve">&amp; Adams, R. J. (2007). The impact of differential investment of student effort on the outcomes of international studies. </w:t>
      </w:r>
      <w:r w:rsidRPr="00C84CED">
        <w:rPr>
          <w:rFonts w:ascii="Cambria" w:hAnsi="Cambria"/>
          <w:i/>
          <w:sz w:val="20"/>
          <w:szCs w:val="20"/>
        </w:rPr>
        <w:t>Journal of Applied Measurement,</w:t>
      </w:r>
      <w:r w:rsidRPr="00C84CED">
        <w:rPr>
          <w:rFonts w:ascii="Cambria" w:hAnsi="Cambria"/>
          <w:sz w:val="20"/>
          <w:szCs w:val="20"/>
        </w:rPr>
        <w:t xml:space="preserve"> 8 (3), 279–304.</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Carnoy, M</w:t>
      </w:r>
      <w:proofErr w:type="gramStart"/>
      <w:r w:rsidRPr="00C84CED">
        <w:rPr>
          <w:rFonts w:ascii="Cambria" w:hAnsi="Cambria"/>
          <w:sz w:val="20"/>
          <w:szCs w:val="20"/>
        </w:rPr>
        <w:t>.,</w:t>
      </w:r>
      <w:proofErr w:type="gramEnd"/>
      <w:r w:rsidRPr="00C84CED">
        <w:rPr>
          <w:rFonts w:ascii="Cambria" w:hAnsi="Cambria"/>
          <w:sz w:val="20"/>
          <w:szCs w:val="20"/>
        </w:rPr>
        <w:t xml:space="preserve"> Khavenson, T., &amp; Ivanova, A. (2015). Using TIMSS and PISA results to inform educational policy: A study of Russia and its neighbours. </w:t>
      </w:r>
      <w:r w:rsidRPr="00C84CED">
        <w:rPr>
          <w:rFonts w:ascii="Cambria" w:hAnsi="Cambria"/>
          <w:i/>
          <w:sz w:val="20"/>
          <w:szCs w:val="20"/>
        </w:rPr>
        <w:t>Compare: A Journal of Comparative and International Education,</w:t>
      </w:r>
      <w:r w:rsidRPr="00C84CED">
        <w:rPr>
          <w:rFonts w:ascii="Cambria" w:hAnsi="Cambria"/>
          <w:sz w:val="20"/>
          <w:szCs w:val="20"/>
        </w:rPr>
        <w:t xml:space="preserve"> 45 (2), 248-271.</w:t>
      </w:r>
    </w:p>
    <w:p w:rsidR="00CB54B1" w:rsidRPr="00C84CED" w:rsidRDefault="00CB54B1"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Corbin, J. &amp; Strauss, A. (2008). </w:t>
      </w:r>
      <w:r w:rsidRPr="00C84CED">
        <w:rPr>
          <w:rFonts w:ascii="Cambria" w:hAnsi="Cambria"/>
          <w:i/>
          <w:sz w:val="20"/>
          <w:szCs w:val="20"/>
        </w:rPr>
        <w:t xml:space="preserve">Basics of qualitative research: Techniques and procedures for developing grounded theory (3rd ed.). </w:t>
      </w:r>
      <w:r w:rsidRPr="00C84CED">
        <w:rPr>
          <w:rFonts w:ascii="Cambria" w:hAnsi="Cambria"/>
          <w:sz w:val="20"/>
          <w:szCs w:val="20"/>
        </w:rPr>
        <w:t>Thousand Oaks, CA: Sage</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Cheung, H. Y</w:t>
      </w:r>
      <w:proofErr w:type="gramStart"/>
      <w:r w:rsidRPr="00C84CED">
        <w:rPr>
          <w:rFonts w:ascii="Cambria" w:hAnsi="Cambria"/>
          <w:sz w:val="20"/>
          <w:szCs w:val="20"/>
        </w:rPr>
        <w:t>.,</w:t>
      </w:r>
      <w:proofErr w:type="gramEnd"/>
      <w:r w:rsidRPr="00C84CED">
        <w:rPr>
          <w:rFonts w:ascii="Cambria" w:hAnsi="Cambria"/>
          <w:sz w:val="20"/>
          <w:szCs w:val="20"/>
        </w:rPr>
        <w:t xml:space="preserve">&amp; Chan, A. W. (2008). Understanding the relationships among PISA scores, economic growth and employment in different sectors: A cross-country study. </w:t>
      </w:r>
      <w:r w:rsidRPr="00C84CED">
        <w:rPr>
          <w:rFonts w:ascii="Cambria" w:hAnsi="Cambria"/>
          <w:i/>
          <w:sz w:val="20"/>
          <w:szCs w:val="20"/>
        </w:rPr>
        <w:t>Research in Education,</w:t>
      </w:r>
      <w:r w:rsidRPr="00C84CED">
        <w:rPr>
          <w:rFonts w:ascii="Cambria" w:hAnsi="Cambria"/>
          <w:sz w:val="20"/>
          <w:szCs w:val="20"/>
        </w:rPr>
        <w:t xml:space="preserve"> 80 (1), 93-106.</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Chenoweth, K. (2007). </w:t>
      </w:r>
      <w:r w:rsidRPr="00C84CED">
        <w:rPr>
          <w:rFonts w:ascii="Cambria" w:hAnsi="Cambria"/>
          <w:i/>
          <w:sz w:val="20"/>
          <w:szCs w:val="20"/>
        </w:rPr>
        <w:t xml:space="preserve">"It's being </w:t>
      </w:r>
      <w:proofErr w:type="gramStart"/>
      <w:r w:rsidRPr="00C84CED">
        <w:rPr>
          <w:rFonts w:ascii="Cambria" w:hAnsi="Cambria"/>
          <w:i/>
          <w:sz w:val="20"/>
          <w:szCs w:val="20"/>
        </w:rPr>
        <w:t>done</w:t>
      </w:r>
      <w:proofErr w:type="gramEnd"/>
      <w:r w:rsidRPr="00C84CED">
        <w:rPr>
          <w:rFonts w:ascii="Cambria" w:hAnsi="Cambria"/>
          <w:i/>
          <w:sz w:val="20"/>
          <w:szCs w:val="20"/>
        </w:rPr>
        <w:t>": Academic success in unexpected schools.</w:t>
      </w:r>
      <w:r w:rsidRPr="00C84CED">
        <w:rPr>
          <w:rFonts w:ascii="Cambria" w:hAnsi="Cambria"/>
          <w:sz w:val="20"/>
          <w:szCs w:val="20"/>
        </w:rPr>
        <w:t xml:space="preserve"> Harvard Education Press. 8 Story Street First Floor, Cambridge, MA 02138.</w:t>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lastRenderedPageBreak/>
        <w:t xml:space="preserve">Dancis, J. (2014). What does the international PISA math test really tell Us? </w:t>
      </w:r>
      <w:r w:rsidRPr="00C84CED">
        <w:rPr>
          <w:rFonts w:ascii="Cambria" w:hAnsi="Cambria"/>
          <w:i/>
          <w:sz w:val="20"/>
          <w:szCs w:val="20"/>
        </w:rPr>
        <w:t>AASA Journal of Scholarship and Practice,</w:t>
      </w:r>
      <w:r w:rsidRPr="00C84CED">
        <w:rPr>
          <w:rFonts w:ascii="Cambria" w:hAnsi="Cambria"/>
          <w:sz w:val="20"/>
          <w:szCs w:val="20"/>
        </w:rPr>
        <w:t xml:space="preserve"> 10 (4), 31–42.</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Demirtaşlı, N. Ç</w:t>
      </w:r>
      <w:proofErr w:type="gramStart"/>
      <w:r w:rsidRPr="00C84CED">
        <w:rPr>
          <w:rFonts w:ascii="Cambria" w:hAnsi="Cambria"/>
          <w:sz w:val="20"/>
          <w:szCs w:val="20"/>
        </w:rPr>
        <w:t>.,</w:t>
      </w:r>
      <w:proofErr w:type="gramEnd"/>
      <w:r w:rsidRPr="00C84CED">
        <w:rPr>
          <w:rFonts w:ascii="Cambria" w:hAnsi="Cambria"/>
          <w:sz w:val="20"/>
          <w:szCs w:val="20"/>
        </w:rPr>
        <w:t>&amp; Ulutaş, S. (2015). A study on detecting of differential ıtem functioning</w:t>
      </w:r>
      <w:r w:rsidR="00132047" w:rsidRPr="00C84CED">
        <w:rPr>
          <w:rFonts w:ascii="Cambria" w:hAnsi="Cambria"/>
          <w:sz w:val="20"/>
          <w:szCs w:val="20"/>
        </w:rPr>
        <w:t xml:space="preserve"> of PISA 2006 science literacy i</w:t>
      </w:r>
      <w:r w:rsidRPr="00C84CED">
        <w:rPr>
          <w:rFonts w:ascii="Cambria" w:hAnsi="Cambria"/>
          <w:sz w:val="20"/>
          <w:szCs w:val="20"/>
        </w:rPr>
        <w:t>tems in Turkish and American samples</w:t>
      </w:r>
      <w:r w:rsidRPr="00C84CED">
        <w:rPr>
          <w:rFonts w:ascii="Cambria" w:hAnsi="Cambria"/>
          <w:i/>
          <w:sz w:val="20"/>
          <w:szCs w:val="20"/>
        </w:rPr>
        <w:t>. Eurasian Journal of Educational Research</w:t>
      </w:r>
      <w:r w:rsidRPr="00C84CED">
        <w:rPr>
          <w:rFonts w:ascii="Cambria" w:hAnsi="Cambria"/>
          <w:sz w:val="20"/>
          <w:szCs w:val="20"/>
        </w:rPr>
        <w:t>, 58, 41-60.</w:t>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Developing Countries, (2018). Society for the study of reproduction. Retrieved from: </w:t>
      </w:r>
      <w:hyperlink r:id="rId21" w:history="1">
        <w:r w:rsidRPr="00C84CED">
          <w:rPr>
            <w:rStyle w:val="Hyperlink"/>
            <w:rFonts w:ascii="Cambria" w:hAnsi="Cambria"/>
            <w:sz w:val="20"/>
            <w:szCs w:val="20"/>
          </w:rPr>
          <w:t>www.ssr.org</w:t>
        </w:r>
      </w:hyperlink>
      <w:r w:rsidRPr="00C84CED">
        <w:rPr>
          <w:rFonts w:ascii="Cambria" w:hAnsi="Cambria"/>
          <w:sz w:val="20"/>
          <w:szCs w:val="20"/>
        </w:rPr>
        <w:tab/>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Dobbie, W</w:t>
      </w:r>
      <w:proofErr w:type="gramStart"/>
      <w:r w:rsidRPr="00C84CED">
        <w:rPr>
          <w:rFonts w:ascii="Cambria" w:hAnsi="Cambria"/>
          <w:sz w:val="20"/>
          <w:szCs w:val="20"/>
        </w:rPr>
        <w:t>.,</w:t>
      </w:r>
      <w:proofErr w:type="gramEnd"/>
      <w:r w:rsidRPr="00C84CED">
        <w:rPr>
          <w:rFonts w:ascii="Cambria" w:hAnsi="Cambria"/>
          <w:sz w:val="20"/>
          <w:szCs w:val="20"/>
        </w:rPr>
        <w:t xml:space="preserve">&amp; Fryer Jr, R. G. (2013). Getting beneath the veil of effective schools: Evidence from New York City. </w:t>
      </w:r>
      <w:r w:rsidRPr="00C84CED">
        <w:rPr>
          <w:rFonts w:ascii="Cambria" w:hAnsi="Cambria"/>
          <w:i/>
          <w:sz w:val="20"/>
          <w:szCs w:val="20"/>
        </w:rPr>
        <w:t>American Economic Journal: Applied Economics,</w:t>
      </w:r>
      <w:r w:rsidRPr="00C84CED">
        <w:rPr>
          <w:rFonts w:ascii="Cambria" w:hAnsi="Cambria"/>
          <w:sz w:val="20"/>
          <w:szCs w:val="20"/>
        </w:rPr>
        <w:t xml:space="preserve"> 5 (4), 28-60.</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Dynarski, S</w:t>
      </w:r>
      <w:proofErr w:type="gramStart"/>
      <w:r w:rsidRPr="00C84CED">
        <w:rPr>
          <w:rFonts w:ascii="Cambria" w:hAnsi="Cambria"/>
          <w:sz w:val="20"/>
          <w:szCs w:val="20"/>
        </w:rPr>
        <w:t>.,</w:t>
      </w:r>
      <w:proofErr w:type="gramEnd"/>
      <w:r w:rsidRPr="00C84CED">
        <w:rPr>
          <w:rFonts w:ascii="Cambria" w:hAnsi="Cambria"/>
          <w:sz w:val="20"/>
          <w:szCs w:val="20"/>
        </w:rPr>
        <w:t xml:space="preserve"> J. M. Hyman &amp; D.W. Schanzenbach (2011), Experimental evidence on the effect of childhood investments on postsecondary attainment and degree completion, Working Paper No. 17533, National Bureau of Economic Research.</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Ehrlich, S. B</w:t>
      </w:r>
      <w:proofErr w:type="gramStart"/>
      <w:r w:rsidRPr="00C84CED">
        <w:rPr>
          <w:rFonts w:ascii="Cambria" w:hAnsi="Cambria"/>
          <w:sz w:val="20"/>
          <w:szCs w:val="20"/>
        </w:rPr>
        <w:t>.,</w:t>
      </w:r>
      <w:proofErr w:type="gramEnd"/>
      <w:r w:rsidRPr="00C84CED">
        <w:rPr>
          <w:rFonts w:ascii="Cambria" w:hAnsi="Cambria"/>
          <w:sz w:val="20"/>
          <w:szCs w:val="20"/>
        </w:rPr>
        <w:t xml:space="preserve"> Gwynne, J. A., Pareja, A. S., &amp; Allensworth, E. M. (2013). </w:t>
      </w:r>
      <w:r w:rsidRPr="00C84CED">
        <w:rPr>
          <w:rFonts w:ascii="Cambria" w:hAnsi="Cambria"/>
          <w:i/>
          <w:sz w:val="20"/>
          <w:szCs w:val="20"/>
        </w:rPr>
        <w:t>Preschool attendance in Chicago public schools</w:t>
      </w:r>
      <w:r w:rsidRPr="00C84CED">
        <w:rPr>
          <w:rFonts w:ascii="Cambria" w:hAnsi="Cambria"/>
          <w:sz w:val="20"/>
          <w:szCs w:val="20"/>
        </w:rPr>
        <w:t>. Research Summary.</w:t>
      </w:r>
    </w:p>
    <w:p w:rsidR="00D54297" w:rsidRPr="00C84CED" w:rsidRDefault="00D518C7" w:rsidP="00C84CED">
      <w:pPr>
        <w:spacing w:before="120" w:after="120"/>
        <w:ind w:left="566" w:hangingChars="283" w:hanging="566"/>
        <w:jc w:val="both"/>
        <w:rPr>
          <w:rFonts w:ascii="Cambria" w:hAnsi="Cambria"/>
          <w:sz w:val="20"/>
          <w:szCs w:val="20"/>
        </w:rPr>
      </w:pPr>
      <w:r w:rsidRPr="00C84CED">
        <w:rPr>
          <w:rFonts w:ascii="Cambria" w:hAnsi="Cambria"/>
          <w:sz w:val="20"/>
          <w:szCs w:val="20"/>
        </w:rPr>
        <w:t>Ercikan, K</w:t>
      </w:r>
      <w:proofErr w:type="gramStart"/>
      <w:r w:rsidRPr="00C84CED">
        <w:rPr>
          <w:rFonts w:ascii="Cambria" w:hAnsi="Cambria"/>
          <w:sz w:val="20"/>
          <w:szCs w:val="20"/>
        </w:rPr>
        <w:t>.,</w:t>
      </w:r>
      <w:proofErr w:type="gramEnd"/>
      <w:r w:rsidRPr="00C84CED">
        <w:rPr>
          <w:rFonts w:ascii="Cambria" w:hAnsi="Cambria"/>
          <w:sz w:val="20"/>
          <w:szCs w:val="20"/>
        </w:rPr>
        <w:t xml:space="preserve"> Roth, W. </w:t>
      </w:r>
      <w:r w:rsidR="00D54297" w:rsidRPr="00C84CED">
        <w:rPr>
          <w:rFonts w:ascii="Cambria" w:hAnsi="Cambria"/>
          <w:sz w:val="20"/>
          <w:szCs w:val="20"/>
        </w:rPr>
        <w:t xml:space="preserve">M., &amp; Asil, M. (2015). Cautions about inferences from international assessments: The case of PISA 2009. </w:t>
      </w:r>
      <w:r w:rsidR="00D54297" w:rsidRPr="00C84CED">
        <w:rPr>
          <w:rFonts w:ascii="Cambria" w:hAnsi="Cambria"/>
          <w:i/>
          <w:sz w:val="20"/>
          <w:szCs w:val="20"/>
        </w:rPr>
        <w:t>Teachers College Record,</w:t>
      </w:r>
      <w:r w:rsidR="00D54297" w:rsidRPr="00C84CED">
        <w:rPr>
          <w:rFonts w:ascii="Cambria" w:hAnsi="Cambria"/>
          <w:sz w:val="20"/>
          <w:szCs w:val="20"/>
        </w:rPr>
        <w:t xml:space="preserve"> 117, 1–28.</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Feniger, Y</w:t>
      </w:r>
      <w:proofErr w:type="gramStart"/>
      <w:r w:rsidRPr="00C84CED">
        <w:rPr>
          <w:rFonts w:ascii="Cambria" w:hAnsi="Cambria"/>
          <w:sz w:val="20"/>
          <w:szCs w:val="20"/>
        </w:rPr>
        <w:t>.,</w:t>
      </w:r>
      <w:proofErr w:type="gramEnd"/>
      <w:r w:rsidRPr="00C84CED">
        <w:rPr>
          <w:rFonts w:ascii="Cambria" w:hAnsi="Cambria"/>
          <w:sz w:val="20"/>
          <w:szCs w:val="20"/>
        </w:rPr>
        <w:t xml:space="preserve">&amp; Lefstein, A. (2014). How not to reason with PISA </w:t>
      </w:r>
      <w:proofErr w:type="gramStart"/>
      <w:r w:rsidRPr="00C84CED">
        <w:rPr>
          <w:rFonts w:ascii="Cambria" w:hAnsi="Cambria"/>
          <w:sz w:val="20"/>
          <w:szCs w:val="20"/>
        </w:rPr>
        <w:t>data</w:t>
      </w:r>
      <w:proofErr w:type="gramEnd"/>
      <w:r w:rsidRPr="00C84CED">
        <w:rPr>
          <w:rFonts w:ascii="Cambria" w:hAnsi="Cambria"/>
          <w:sz w:val="20"/>
          <w:szCs w:val="20"/>
        </w:rPr>
        <w:t>: An ironic investigation.</w:t>
      </w:r>
      <w:r w:rsidRPr="00C84CED">
        <w:rPr>
          <w:rFonts w:ascii="Cambria" w:hAnsi="Cambria"/>
          <w:i/>
          <w:sz w:val="20"/>
          <w:szCs w:val="20"/>
        </w:rPr>
        <w:t xml:space="preserve"> Journal of Education Policy,</w:t>
      </w:r>
      <w:r w:rsidRPr="00C84CED">
        <w:rPr>
          <w:rFonts w:ascii="Cambria" w:hAnsi="Cambria"/>
          <w:sz w:val="20"/>
          <w:szCs w:val="20"/>
        </w:rPr>
        <w:t xml:space="preserve"> 29 (6), 845-855.</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Finn, J. D</w:t>
      </w:r>
      <w:proofErr w:type="gramStart"/>
      <w:r w:rsidRPr="00C84CED">
        <w:rPr>
          <w:rFonts w:ascii="Cambria" w:hAnsi="Cambria"/>
          <w:sz w:val="20"/>
          <w:szCs w:val="20"/>
        </w:rPr>
        <w:t>.,</w:t>
      </w:r>
      <w:proofErr w:type="gramEnd"/>
      <w:r w:rsidRPr="00C84CED">
        <w:rPr>
          <w:rFonts w:ascii="Cambria" w:hAnsi="Cambria"/>
          <w:sz w:val="20"/>
          <w:szCs w:val="20"/>
        </w:rPr>
        <w:t xml:space="preserve"> Pannozzo, G. M., &amp; Achilles, C. M. (2003). The “why’s” of class size: Student behavior in small classes. </w:t>
      </w:r>
      <w:r w:rsidRPr="00C84CED">
        <w:rPr>
          <w:rFonts w:ascii="Cambria" w:hAnsi="Cambria"/>
          <w:i/>
          <w:sz w:val="20"/>
          <w:szCs w:val="20"/>
        </w:rPr>
        <w:t>Review of Educational Research,</w:t>
      </w:r>
      <w:r w:rsidRPr="00C84CED">
        <w:rPr>
          <w:rFonts w:ascii="Cambria" w:hAnsi="Cambria"/>
          <w:sz w:val="20"/>
          <w:szCs w:val="20"/>
        </w:rPr>
        <w:t xml:space="preserve"> 73 (3), 321-368.</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Gee, K. A</w:t>
      </w:r>
      <w:proofErr w:type="gramStart"/>
      <w:r w:rsidRPr="00C84CED">
        <w:rPr>
          <w:rFonts w:ascii="Cambria" w:hAnsi="Cambria"/>
          <w:sz w:val="20"/>
          <w:szCs w:val="20"/>
        </w:rPr>
        <w:t>.,</w:t>
      </w:r>
      <w:proofErr w:type="gramEnd"/>
      <w:r w:rsidRPr="00C84CED">
        <w:rPr>
          <w:rFonts w:ascii="Cambria" w:hAnsi="Cambria"/>
          <w:sz w:val="20"/>
          <w:szCs w:val="20"/>
        </w:rPr>
        <w:t xml:space="preserve">&amp; Wong, K. K. (2012). A cross national examination of inquiry and its relationship to student performance in science: Evidence from the Program for International Student Assessment (PISA) 2006. </w:t>
      </w:r>
      <w:r w:rsidRPr="00C84CED">
        <w:rPr>
          <w:rFonts w:ascii="Cambria" w:hAnsi="Cambria"/>
          <w:i/>
          <w:sz w:val="20"/>
          <w:szCs w:val="20"/>
        </w:rPr>
        <w:t>International Journal of Educational Research,</w:t>
      </w:r>
      <w:r w:rsidRPr="00C84CED">
        <w:rPr>
          <w:rFonts w:ascii="Cambria" w:hAnsi="Cambria"/>
          <w:sz w:val="20"/>
          <w:szCs w:val="20"/>
        </w:rPr>
        <w:t xml:space="preserve"> 53, 303-318.</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Gemeda, F. T</w:t>
      </w:r>
      <w:proofErr w:type="gramStart"/>
      <w:r w:rsidRPr="00C84CED">
        <w:rPr>
          <w:rFonts w:ascii="Cambria" w:hAnsi="Cambria"/>
          <w:sz w:val="20"/>
          <w:szCs w:val="20"/>
        </w:rPr>
        <w:t>.,</w:t>
      </w:r>
      <w:proofErr w:type="gramEnd"/>
      <w:r w:rsidRPr="00C84CED">
        <w:rPr>
          <w:rFonts w:ascii="Cambria" w:hAnsi="Cambria"/>
          <w:sz w:val="20"/>
          <w:szCs w:val="20"/>
        </w:rPr>
        <w:t xml:space="preserve">&amp; Tynjälä, P. (2015). Exploring teachers' motivation for teaching and professional development in Ethiopia: Voices from the field. </w:t>
      </w:r>
      <w:r w:rsidRPr="00C84CED">
        <w:rPr>
          <w:rFonts w:ascii="Cambria" w:hAnsi="Cambria"/>
          <w:i/>
          <w:sz w:val="20"/>
          <w:szCs w:val="20"/>
        </w:rPr>
        <w:t xml:space="preserve">Journal of Studies of Education, </w:t>
      </w:r>
      <w:r w:rsidRPr="00C84CED">
        <w:rPr>
          <w:rFonts w:ascii="Cambria" w:hAnsi="Cambria"/>
          <w:sz w:val="20"/>
          <w:szCs w:val="20"/>
        </w:rPr>
        <w:t xml:space="preserve">5 (2), 169-186. </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Gibbons, S</w:t>
      </w:r>
      <w:proofErr w:type="gramStart"/>
      <w:r w:rsidRPr="00C84CED">
        <w:rPr>
          <w:rFonts w:ascii="Cambria" w:hAnsi="Cambria"/>
          <w:sz w:val="20"/>
          <w:szCs w:val="20"/>
        </w:rPr>
        <w:t>.,</w:t>
      </w:r>
      <w:proofErr w:type="gramEnd"/>
      <w:r w:rsidRPr="00C84CED">
        <w:rPr>
          <w:rFonts w:ascii="Cambria" w:hAnsi="Cambria"/>
          <w:sz w:val="20"/>
          <w:szCs w:val="20"/>
        </w:rPr>
        <w:t xml:space="preserve"> McNally, S., &amp; Viarengo, M. (2012). Does additional spending help urban school? An evaluation using boundary discontinuities. </w:t>
      </w:r>
      <w:r w:rsidRPr="00C84CED">
        <w:rPr>
          <w:rFonts w:ascii="Cambria" w:hAnsi="Cambria"/>
          <w:i/>
          <w:sz w:val="20"/>
          <w:szCs w:val="20"/>
        </w:rPr>
        <w:t xml:space="preserve">PEPG, </w:t>
      </w:r>
      <w:r w:rsidRPr="00C84CED">
        <w:rPr>
          <w:rFonts w:ascii="Cambria" w:hAnsi="Cambria"/>
          <w:sz w:val="20"/>
          <w:szCs w:val="20"/>
        </w:rPr>
        <w:t>12-02.</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Grek, S. (2009). Governing by the numbers: The PISA “effect” in Europe. </w:t>
      </w:r>
      <w:r w:rsidRPr="00C84CED">
        <w:rPr>
          <w:rFonts w:ascii="Cambria" w:hAnsi="Cambria"/>
          <w:i/>
          <w:sz w:val="20"/>
          <w:szCs w:val="20"/>
        </w:rPr>
        <w:t xml:space="preserve">Journal of Education Policy, </w:t>
      </w:r>
      <w:r w:rsidRPr="00C84CED">
        <w:rPr>
          <w:rFonts w:ascii="Cambria" w:hAnsi="Cambria"/>
          <w:sz w:val="20"/>
          <w:szCs w:val="20"/>
        </w:rPr>
        <w:t>24 (1), 23–37.</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Hanushek, E. A. (1997). Assessing the effects of school resources on student performance: An update. </w:t>
      </w:r>
      <w:r w:rsidRPr="00C84CED">
        <w:rPr>
          <w:rFonts w:ascii="Cambria" w:hAnsi="Cambria"/>
          <w:i/>
          <w:sz w:val="20"/>
          <w:szCs w:val="20"/>
        </w:rPr>
        <w:t xml:space="preserve">Educational evaluation and policy analysis, </w:t>
      </w:r>
      <w:r w:rsidRPr="00C84CED">
        <w:rPr>
          <w:rFonts w:ascii="Cambria" w:hAnsi="Cambria"/>
          <w:sz w:val="20"/>
          <w:szCs w:val="20"/>
        </w:rPr>
        <w:t>19 (2), 141-164.</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Hanushek, E. A</w:t>
      </w:r>
      <w:proofErr w:type="gramStart"/>
      <w:r w:rsidRPr="00C84CED">
        <w:rPr>
          <w:rFonts w:ascii="Cambria" w:hAnsi="Cambria"/>
          <w:sz w:val="20"/>
          <w:szCs w:val="20"/>
        </w:rPr>
        <w:t>.,</w:t>
      </w:r>
      <w:proofErr w:type="gramEnd"/>
      <w:r w:rsidRPr="00C84CED">
        <w:rPr>
          <w:rFonts w:ascii="Cambria" w:hAnsi="Cambria"/>
          <w:sz w:val="20"/>
          <w:szCs w:val="20"/>
        </w:rPr>
        <w:t xml:space="preserve"> Rivkin, S. G., &amp; Taylor, L. L. (1996). </w:t>
      </w:r>
      <w:r w:rsidRPr="00C84CED">
        <w:rPr>
          <w:rFonts w:ascii="Cambria" w:hAnsi="Cambria"/>
          <w:i/>
          <w:sz w:val="20"/>
          <w:szCs w:val="20"/>
        </w:rPr>
        <w:t xml:space="preserve">Aggregation and the estimated effects of school resources </w:t>
      </w:r>
      <w:r w:rsidRPr="00C84CED">
        <w:rPr>
          <w:rFonts w:ascii="Cambria" w:hAnsi="Cambria"/>
          <w:sz w:val="20"/>
          <w:szCs w:val="20"/>
        </w:rPr>
        <w:t>(No. w5548). National bureau of economic research.</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Ho, S. C. (2010) Assessing the quality and equality of Hong Kong basic education results from PISA 2000+ to PISA 2006. </w:t>
      </w:r>
      <w:r w:rsidRPr="00C84CED">
        <w:rPr>
          <w:rFonts w:ascii="Cambria" w:hAnsi="Cambria"/>
          <w:i/>
          <w:sz w:val="20"/>
          <w:szCs w:val="20"/>
        </w:rPr>
        <w:t xml:space="preserve">Frontier in Education, </w:t>
      </w:r>
      <w:r w:rsidRPr="00C84CED">
        <w:rPr>
          <w:rFonts w:ascii="Cambria" w:hAnsi="Cambria"/>
          <w:sz w:val="20"/>
          <w:szCs w:val="20"/>
        </w:rPr>
        <w:t xml:space="preserve">5 (2), 238-257. </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Hofman, W. A</w:t>
      </w:r>
      <w:proofErr w:type="gramStart"/>
      <w:r w:rsidRPr="00C84CED">
        <w:rPr>
          <w:rFonts w:ascii="Cambria" w:hAnsi="Cambria"/>
          <w:sz w:val="20"/>
          <w:szCs w:val="20"/>
        </w:rPr>
        <w:t>.,</w:t>
      </w:r>
      <w:proofErr w:type="gramEnd"/>
      <w:r w:rsidRPr="00C84CED">
        <w:rPr>
          <w:rFonts w:ascii="Cambria" w:hAnsi="Cambria"/>
          <w:sz w:val="20"/>
          <w:szCs w:val="20"/>
        </w:rPr>
        <w:t xml:space="preserve"> Hofman, R. H., &amp; Gray, J. M. (2010). Institutional contexts and international performances in schooling: Comparing patterns and trends over time in international surveys</w:t>
      </w:r>
      <w:r w:rsidRPr="00C84CED">
        <w:rPr>
          <w:rFonts w:ascii="Cambria" w:hAnsi="Cambria"/>
          <w:i/>
          <w:sz w:val="20"/>
          <w:szCs w:val="20"/>
        </w:rPr>
        <w:t xml:space="preserve">. European Journal of Education, </w:t>
      </w:r>
      <w:r w:rsidRPr="00C84CED">
        <w:rPr>
          <w:rFonts w:ascii="Cambria" w:hAnsi="Cambria"/>
          <w:sz w:val="20"/>
          <w:szCs w:val="20"/>
        </w:rPr>
        <w:t>45 (1), 153-173.</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Hopfenbeck, T. N</w:t>
      </w:r>
      <w:proofErr w:type="gramStart"/>
      <w:r w:rsidRPr="00C84CED">
        <w:rPr>
          <w:rFonts w:ascii="Cambria" w:hAnsi="Cambria"/>
          <w:sz w:val="20"/>
          <w:szCs w:val="20"/>
        </w:rPr>
        <w:t>.,</w:t>
      </w:r>
      <w:proofErr w:type="gramEnd"/>
      <w:r w:rsidRPr="00C84CED">
        <w:rPr>
          <w:rFonts w:ascii="Cambria" w:hAnsi="Cambria"/>
          <w:sz w:val="20"/>
          <w:szCs w:val="20"/>
        </w:rPr>
        <w:t xml:space="preserve"> Lenkeit, J., El Masri, Y., Cantrell, K., Ryan, J., &amp; Baird, J. A. (2017). Lessons learned from PISA: A systematic review of peer-reviewed articles on the programme for international student assessment. </w:t>
      </w:r>
      <w:r w:rsidRPr="00C84CED">
        <w:rPr>
          <w:rFonts w:ascii="Cambria" w:hAnsi="Cambria"/>
          <w:i/>
          <w:sz w:val="20"/>
          <w:szCs w:val="20"/>
        </w:rPr>
        <w:t>Scandinavian Journal of Educational Research</w:t>
      </w:r>
      <w:r w:rsidRPr="00C84CED">
        <w:rPr>
          <w:rFonts w:ascii="Cambria" w:hAnsi="Cambria"/>
          <w:sz w:val="20"/>
          <w:szCs w:val="20"/>
        </w:rPr>
        <w:t>, 1-21.</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Hoxby, C. M</w:t>
      </w:r>
      <w:proofErr w:type="gramStart"/>
      <w:r w:rsidRPr="00C84CED">
        <w:rPr>
          <w:rFonts w:ascii="Cambria" w:hAnsi="Cambria"/>
          <w:sz w:val="20"/>
          <w:szCs w:val="20"/>
        </w:rPr>
        <w:t>.,</w:t>
      </w:r>
      <w:proofErr w:type="gramEnd"/>
      <w:r w:rsidRPr="00C84CED">
        <w:rPr>
          <w:rFonts w:ascii="Cambria" w:hAnsi="Cambria"/>
          <w:sz w:val="20"/>
          <w:szCs w:val="20"/>
        </w:rPr>
        <w:t>&amp; Murarka, S. (2009). Charter schools in New York City: Who enrolls and how they affect their students' achievement (No. w14852). National Bureau of Economic Research.</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Jehangir, K</w:t>
      </w:r>
      <w:proofErr w:type="gramStart"/>
      <w:r w:rsidRPr="00C84CED">
        <w:rPr>
          <w:rFonts w:ascii="Cambria" w:hAnsi="Cambria"/>
          <w:sz w:val="20"/>
          <w:szCs w:val="20"/>
        </w:rPr>
        <w:t>.,</w:t>
      </w:r>
      <w:proofErr w:type="gramEnd"/>
      <w:r w:rsidRPr="00C84CED">
        <w:rPr>
          <w:rFonts w:ascii="Cambria" w:hAnsi="Cambria"/>
          <w:sz w:val="20"/>
          <w:szCs w:val="20"/>
        </w:rPr>
        <w:t xml:space="preserve"> Glas, C. A., &amp; van den Berg, S. (2015). Exploring the relation between socio-economic status and reading achievement in PISA 2009 through an intercepts-and-slopes-as-outcomes paradigm. </w:t>
      </w:r>
      <w:r w:rsidR="00132047" w:rsidRPr="00C84CED">
        <w:rPr>
          <w:rFonts w:ascii="Cambria" w:hAnsi="Cambria"/>
          <w:i/>
          <w:sz w:val="20"/>
          <w:szCs w:val="20"/>
        </w:rPr>
        <w:t>International Journal of Educational R</w:t>
      </w:r>
      <w:r w:rsidRPr="00C84CED">
        <w:rPr>
          <w:rFonts w:ascii="Cambria" w:hAnsi="Cambria"/>
          <w:i/>
          <w:sz w:val="20"/>
          <w:szCs w:val="20"/>
        </w:rPr>
        <w:t>esearch,</w:t>
      </w:r>
      <w:r w:rsidR="00132047" w:rsidRPr="00C84CED">
        <w:rPr>
          <w:rFonts w:ascii="Cambria" w:hAnsi="Cambria"/>
          <w:sz w:val="20"/>
          <w:szCs w:val="20"/>
        </w:rPr>
        <w:t xml:space="preserve"> 71, 1-15.</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Jepsen, C</w:t>
      </w:r>
      <w:proofErr w:type="gramStart"/>
      <w:r w:rsidRPr="00C84CED">
        <w:rPr>
          <w:rFonts w:ascii="Cambria" w:hAnsi="Cambria"/>
          <w:sz w:val="20"/>
          <w:szCs w:val="20"/>
        </w:rPr>
        <w:t>.,</w:t>
      </w:r>
      <w:proofErr w:type="gramEnd"/>
      <w:r w:rsidRPr="00C84CED">
        <w:rPr>
          <w:rFonts w:ascii="Cambria" w:hAnsi="Cambria"/>
          <w:sz w:val="20"/>
          <w:szCs w:val="20"/>
        </w:rPr>
        <w:t xml:space="preserve">&amp; Rivkin, S. (2009). Class size reduction and student achievement the potential tradeoff between teacher quality and class size. </w:t>
      </w:r>
      <w:r w:rsidR="00132047" w:rsidRPr="00C84CED">
        <w:rPr>
          <w:rFonts w:ascii="Cambria" w:hAnsi="Cambria"/>
          <w:i/>
          <w:sz w:val="20"/>
          <w:szCs w:val="20"/>
        </w:rPr>
        <w:t>Journal of Human R</w:t>
      </w:r>
      <w:r w:rsidRPr="00C84CED">
        <w:rPr>
          <w:rFonts w:ascii="Cambria" w:hAnsi="Cambria"/>
          <w:i/>
          <w:sz w:val="20"/>
          <w:szCs w:val="20"/>
        </w:rPr>
        <w:t>esources,</w:t>
      </w:r>
      <w:r w:rsidRPr="00C84CED">
        <w:rPr>
          <w:rFonts w:ascii="Cambria" w:hAnsi="Cambria"/>
          <w:sz w:val="20"/>
          <w:szCs w:val="20"/>
        </w:rPr>
        <w:t xml:space="preserve"> 44 (1), 223-250.</w:t>
      </w:r>
    </w:p>
    <w:p w:rsidR="00BE7570" w:rsidRPr="00C84CED" w:rsidRDefault="00BE7570" w:rsidP="00C84CED">
      <w:pPr>
        <w:spacing w:before="120" w:after="120"/>
        <w:ind w:left="566" w:hangingChars="283" w:hanging="566"/>
        <w:jc w:val="both"/>
        <w:rPr>
          <w:rFonts w:ascii="Cambria" w:hAnsi="Cambria"/>
          <w:sz w:val="20"/>
          <w:szCs w:val="20"/>
        </w:rPr>
      </w:pPr>
      <w:r w:rsidRPr="00C84CED">
        <w:rPr>
          <w:rFonts w:ascii="Cambria" w:hAnsi="Cambria"/>
          <w:sz w:val="20"/>
          <w:szCs w:val="20"/>
        </w:rPr>
        <w:lastRenderedPageBreak/>
        <w:t xml:space="preserve">Jerrim, J. (2017). </w:t>
      </w:r>
      <w:r w:rsidRPr="00C84CED">
        <w:rPr>
          <w:rFonts w:ascii="Cambria" w:hAnsi="Cambria"/>
          <w:i/>
          <w:sz w:val="20"/>
          <w:szCs w:val="20"/>
        </w:rPr>
        <w:t>Why does Vietnam do so well in PISA</w:t>
      </w:r>
      <w:proofErr w:type="gramStart"/>
      <w:r w:rsidRPr="00C84CED">
        <w:rPr>
          <w:rFonts w:ascii="Cambria" w:hAnsi="Cambria"/>
          <w:i/>
          <w:sz w:val="20"/>
          <w:szCs w:val="20"/>
        </w:rPr>
        <w:t>?.</w:t>
      </w:r>
      <w:proofErr w:type="gramEnd"/>
      <w:r w:rsidRPr="00C84CED">
        <w:rPr>
          <w:rFonts w:ascii="Cambria" w:hAnsi="Cambria"/>
          <w:sz w:val="20"/>
          <w:szCs w:val="20"/>
        </w:rPr>
        <w:t xml:space="preserve">  Retrieved from: </w:t>
      </w:r>
      <w:hyperlink r:id="rId22" w:history="1">
        <w:r w:rsidRPr="00C84CED">
          <w:rPr>
            <w:rStyle w:val="Hyperlink"/>
            <w:rFonts w:ascii="Cambria" w:hAnsi="Cambria"/>
            <w:sz w:val="20"/>
            <w:szCs w:val="20"/>
          </w:rPr>
          <w:t>https://educationdatalab.org.uk/2017/07/why-does-vietnam-do-so-well-in-pisa-an-example-of-why-naive-interpretation-of-international-rankings-is-such-a-bad-idea/</w:t>
        </w:r>
      </w:hyperlink>
      <w:r w:rsidRPr="00C84CED">
        <w:rPr>
          <w:rFonts w:ascii="Cambria" w:hAnsi="Cambria"/>
          <w:sz w:val="20"/>
          <w:szCs w:val="20"/>
        </w:rPr>
        <w:tab/>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Klieme, E. (2016). </w:t>
      </w:r>
      <w:r w:rsidRPr="00C84CED">
        <w:rPr>
          <w:rFonts w:ascii="Cambria" w:hAnsi="Cambria"/>
          <w:i/>
          <w:sz w:val="20"/>
          <w:szCs w:val="20"/>
        </w:rPr>
        <w:t>TIMSS 2015 and PISA 2015: How are they related on the country level</w:t>
      </w:r>
      <w:proofErr w:type="gramStart"/>
      <w:r w:rsidRPr="00C84CED">
        <w:rPr>
          <w:rFonts w:ascii="Cambria" w:hAnsi="Cambria"/>
          <w:i/>
          <w:sz w:val="20"/>
          <w:szCs w:val="20"/>
        </w:rPr>
        <w:t>?.</w:t>
      </w:r>
      <w:proofErr w:type="gramEnd"/>
      <w:r w:rsidRPr="00C84CED">
        <w:rPr>
          <w:rFonts w:ascii="Cambria" w:hAnsi="Cambria"/>
          <w:sz w:val="20"/>
          <w:szCs w:val="20"/>
        </w:rPr>
        <w:t xml:space="preserve"> DIPF Working Paper. Retrieved from </w:t>
      </w:r>
      <w:hyperlink r:id="rId23" w:history="1">
        <w:r w:rsidRPr="00C84CED">
          <w:rPr>
            <w:rStyle w:val="Hyperlink"/>
            <w:rFonts w:ascii="Cambria" w:hAnsi="Cambria"/>
            <w:sz w:val="20"/>
            <w:szCs w:val="20"/>
          </w:rPr>
          <w:t>https://www.dipf.de/de/forschung/publikationen/pdf-publikationen/Klieme_TIMSS2015andPISA2015.pdf</w:t>
        </w:r>
      </w:hyperlink>
    </w:p>
    <w:p w:rsidR="00D54297" w:rsidRPr="00C84CED" w:rsidRDefault="00D54297" w:rsidP="00C84CED">
      <w:pPr>
        <w:spacing w:before="120" w:after="120"/>
        <w:ind w:left="567" w:hanging="567"/>
        <w:jc w:val="both"/>
        <w:rPr>
          <w:rFonts w:ascii="Cambria" w:hAnsi="Cambria"/>
          <w:sz w:val="20"/>
          <w:szCs w:val="20"/>
        </w:rPr>
      </w:pPr>
      <w:r w:rsidRPr="00C84CED">
        <w:rPr>
          <w:rFonts w:ascii="Cambria" w:hAnsi="Cambria"/>
          <w:sz w:val="20"/>
          <w:szCs w:val="20"/>
        </w:rPr>
        <w:t>Lee, V. E</w:t>
      </w:r>
      <w:proofErr w:type="gramStart"/>
      <w:r w:rsidRPr="00C84CED">
        <w:rPr>
          <w:rFonts w:ascii="Cambria" w:hAnsi="Cambria"/>
          <w:sz w:val="20"/>
          <w:szCs w:val="20"/>
        </w:rPr>
        <w:t>.,</w:t>
      </w:r>
      <w:proofErr w:type="gramEnd"/>
      <w:r w:rsidRPr="00C84CED">
        <w:rPr>
          <w:rFonts w:ascii="Cambria" w:hAnsi="Cambria"/>
          <w:sz w:val="20"/>
          <w:szCs w:val="20"/>
        </w:rPr>
        <w:t xml:space="preserve">&amp; Loeb, S. (2000). School size in Chicago elementary schools: Effects on teachers' attitudes and students' achievement. </w:t>
      </w:r>
      <w:r w:rsidRPr="00C84CED">
        <w:rPr>
          <w:rFonts w:ascii="Cambria" w:hAnsi="Cambria"/>
          <w:i/>
          <w:sz w:val="20"/>
          <w:szCs w:val="20"/>
        </w:rPr>
        <w:t>American Educational Research Journal,</w:t>
      </w:r>
      <w:r w:rsidRPr="00C84CED">
        <w:rPr>
          <w:rFonts w:ascii="Cambria" w:hAnsi="Cambria"/>
          <w:sz w:val="20"/>
          <w:szCs w:val="20"/>
        </w:rPr>
        <w:t xml:space="preserve"> 37 (1), 3-31.</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Magnuson, K. A</w:t>
      </w:r>
      <w:proofErr w:type="gramStart"/>
      <w:r w:rsidRPr="00C84CED">
        <w:rPr>
          <w:rFonts w:ascii="Cambria" w:hAnsi="Cambria"/>
          <w:sz w:val="20"/>
          <w:szCs w:val="20"/>
        </w:rPr>
        <w:t>.,</w:t>
      </w:r>
      <w:proofErr w:type="gramEnd"/>
      <w:r w:rsidRPr="00C84CED">
        <w:rPr>
          <w:rFonts w:ascii="Cambria" w:hAnsi="Cambria"/>
          <w:sz w:val="20"/>
          <w:szCs w:val="20"/>
        </w:rPr>
        <w:t xml:space="preserve"> Ruhm, C., &amp; Waldfogel, J. (2007). Does prekindergarten improve school preparation and performance</w:t>
      </w:r>
      <w:proofErr w:type="gramStart"/>
      <w:r w:rsidRPr="00C84CED">
        <w:rPr>
          <w:rFonts w:ascii="Cambria" w:hAnsi="Cambria"/>
          <w:sz w:val="20"/>
          <w:szCs w:val="20"/>
        </w:rPr>
        <w:t>?.</w:t>
      </w:r>
      <w:proofErr w:type="gramEnd"/>
      <w:r w:rsidR="00132047" w:rsidRPr="00C84CED">
        <w:rPr>
          <w:rFonts w:ascii="Cambria" w:hAnsi="Cambria"/>
          <w:i/>
          <w:sz w:val="20"/>
          <w:szCs w:val="20"/>
        </w:rPr>
        <w:t>Economics of Education R</w:t>
      </w:r>
      <w:r w:rsidRPr="00C84CED">
        <w:rPr>
          <w:rFonts w:ascii="Cambria" w:hAnsi="Cambria"/>
          <w:i/>
          <w:sz w:val="20"/>
          <w:szCs w:val="20"/>
        </w:rPr>
        <w:t>eview,</w:t>
      </w:r>
      <w:r w:rsidRPr="00C84CED">
        <w:rPr>
          <w:rFonts w:ascii="Cambria" w:hAnsi="Cambria"/>
          <w:sz w:val="20"/>
          <w:szCs w:val="20"/>
        </w:rPr>
        <w:t xml:space="preserve"> 26 (1), 33-51.</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Michel, A. (2017). The contribution of PISA to the convergence of education policies in Europe. </w:t>
      </w:r>
      <w:r w:rsidRPr="00C84CED">
        <w:rPr>
          <w:rFonts w:ascii="Cambria" w:hAnsi="Cambria"/>
          <w:i/>
          <w:sz w:val="20"/>
          <w:szCs w:val="20"/>
        </w:rPr>
        <w:t>European Journal of Education,</w:t>
      </w:r>
      <w:r w:rsidRPr="00C84CED">
        <w:rPr>
          <w:rFonts w:ascii="Cambria" w:hAnsi="Cambria"/>
          <w:sz w:val="20"/>
          <w:szCs w:val="20"/>
        </w:rPr>
        <w:t xml:space="preserve"> 52 (2), 206-216.</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Morrow, M. L. (2005). </w:t>
      </w:r>
      <w:r w:rsidRPr="00C84CED">
        <w:rPr>
          <w:rFonts w:ascii="Cambria" w:hAnsi="Cambria"/>
          <w:i/>
          <w:sz w:val="20"/>
          <w:szCs w:val="20"/>
        </w:rPr>
        <w:t>Literacy development in the early years.</w:t>
      </w:r>
      <w:r w:rsidRPr="00C84CED">
        <w:rPr>
          <w:rFonts w:ascii="Cambria" w:hAnsi="Cambria"/>
          <w:sz w:val="20"/>
          <w:szCs w:val="20"/>
        </w:rPr>
        <w:t xml:space="preserve"> (5th ed). America: Pearson Education.</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McGaw, B. (2008). The role of the OECD in international comparative studies of achievement. </w:t>
      </w:r>
      <w:r w:rsidRPr="00C84CED">
        <w:rPr>
          <w:rFonts w:ascii="Cambria" w:hAnsi="Cambria"/>
          <w:i/>
          <w:sz w:val="20"/>
          <w:szCs w:val="20"/>
        </w:rPr>
        <w:t>Assessment in Education: Principles, Policy &amp; Practice</w:t>
      </w:r>
      <w:r w:rsidRPr="00C84CED">
        <w:rPr>
          <w:rFonts w:ascii="Cambria" w:hAnsi="Cambria"/>
          <w:sz w:val="20"/>
          <w:szCs w:val="20"/>
        </w:rPr>
        <w:t xml:space="preserve">, 15 (3), 223–243. Retrieved from </w:t>
      </w:r>
      <w:hyperlink r:id="rId24" w:history="1">
        <w:r w:rsidRPr="00C84CED">
          <w:rPr>
            <w:rStyle w:val="Hyperlink"/>
            <w:rFonts w:ascii="Cambria" w:hAnsi="Cambria"/>
            <w:sz w:val="20"/>
            <w:szCs w:val="20"/>
          </w:rPr>
          <w:t>http://www.tandfonline.com/doi/abs/10.1080/09695940802417384</w:t>
        </w:r>
      </w:hyperlink>
      <w:r w:rsidRPr="00C84CED">
        <w:rPr>
          <w:rFonts w:ascii="Cambria" w:hAnsi="Cambria"/>
          <w:sz w:val="20"/>
          <w:szCs w:val="20"/>
        </w:rPr>
        <w:tab/>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Nicoletti, C. and B. Rabe (2012), The effect of school resources on test scores in England. Institute for Economic and Social Research, Retrieved from </w:t>
      </w:r>
      <w:hyperlink r:id="rId25" w:history="1">
        <w:r w:rsidRPr="00C84CED">
          <w:rPr>
            <w:rStyle w:val="Hyperlink"/>
            <w:rFonts w:ascii="Cambria" w:hAnsi="Cambria"/>
            <w:sz w:val="20"/>
            <w:szCs w:val="20"/>
          </w:rPr>
          <w:t>www.iser.essex.ac.uk/publications/working-papers/iser/2012-13.pdf</w:t>
        </w:r>
      </w:hyperlink>
      <w:r w:rsidRPr="00C84CED">
        <w:rPr>
          <w:rFonts w:ascii="Cambria" w:hAnsi="Cambria"/>
          <w:sz w:val="20"/>
          <w:szCs w:val="20"/>
        </w:rPr>
        <w:tab/>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Niemann, D</w:t>
      </w:r>
      <w:proofErr w:type="gramStart"/>
      <w:r w:rsidRPr="00C84CED">
        <w:rPr>
          <w:rFonts w:ascii="Cambria" w:hAnsi="Cambria"/>
          <w:sz w:val="20"/>
          <w:szCs w:val="20"/>
        </w:rPr>
        <w:t>.,</w:t>
      </w:r>
      <w:proofErr w:type="gramEnd"/>
      <w:r w:rsidRPr="00C84CED">
        <w:rPr>
          <w:rFonts w:ascii="Cambria" w:hAnsi="Cambria"/>
          <w:sz w:val="20"/>
          <w:szCs w:val="20"/>
        </w:rPr>
        <w:t xml:space="preserve"> Martens, K., &amp; Teltemann, J. (2017). PISA and its consequences: Shaping education policies through international comparisons. </w:t>
      </w:r>
      <w:r w:rsidRPr="00C84CED">
        <w:rPr>
          <w:rFonts w:ascii="Cambria" w:hAnsi="Cambria"/>
          <w:i/>
          <w:sz w:val="20"/>
          <w:szCs w:val="20"/>
        </w:rPr>
        <w:t>European Journal of Education,</w:t>
      </w:r>
      <w:r w:rsidRPr="00C84CED">
        <w:rPr>
          <w:rFonts w:ascii="Cambria" w:hAnsi="Cambria"/>
          <w:sz w:val="20"/>
          <w:szCs w:val="20"/>
        </w:rPr>
        <w:t xml:space="preserve"> 52 (2), 175-183.</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Nye, B</w:t>
      </w:r>
      <w:proofErr w:type="gramStart"/>
      <w:r w:rsidRPr="00C84CED">
        <w:rPr>
          <w:rFonts w:ascii="Cambria" w:hAnsi="Cambria"/>
          <w:sz w:val="20"/>
          <w:szCs w:val="20"/>
        </w:rPr>
        <w:t>.,</w:t>
      </w:r>
      <w:proofErr w:type="gramEnd"/>
      <w:r w:rsidRPr="00C84CED">
        <w:rPr>
          <w:rFonts w:ascii="Cambria" w:hAnsi="Cambria"/>
          <w:sz w:val="20"/>
          <w:szCs w:val="20"/>
        </w:rPr>
        <w:t xml:space="preserve"> Hedges, L. V., &amp; Konstantopoulos, S. (2000). The effects of small classes on academic achievement: The results of the Tennessee class size experiment. </w:t>
      </w:r>
      <w:r w:rsidRPr="00C84CED">
        <w:rPr>
          <w:rFonts w:ascii="Cambria" w:hAnsi="Cambria"/>
          <w:i/>
          <w:sz w:val="20"/>
          <w:szCs w:val="20"/>
        </w:rPr>
        <w:t>American Educational Research Journal</w:t>
      </w:r>
      <w:r w:rsidRPr="00C84CED">
        <w:rPr>
          <w:rFonts w:ascii="Cambria" w:hAnsi="Cambria"/>
          <w:sz w:val="20"/>
          <w:szCs w:val="20"/>
        </w:rPr>
        <w:t>, 37 (1), 123-151.</w:t>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OECD. (2008). OECD </w:t>
      </w:r>
      <w:r w:rsidRPr="00C84CED">
        <w:rPr>
          <w:rFonts w:ascii="Cambria" w:hAnsi="Cambria"/>
          <w:i/>
          <w:sz w:val="20"/>
          <w:szCs w:val="20"/>
        </w:rPr>
        <w:t>Economic Surveys,</w:t>
      </w:r>
      <w:r w:rsidRPr="00C84CED">
        <w:rPr>
          <w:rFonts w:ascii="Cambria" w:hAnsi="Cambria"/>
          <w:sz w:val="20"/>
          <w:szCs w:val="20"/>
        </w:rPr>
        <w:t xml:space="preserve"> Norway Volume 2008/13. Paris: OECD Publications.</w:t>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OECD. (2012a). </w:t>
      </w:r>
      <w:r w:rsidRPr="00C84CED">
        <w:rPr>
          <w:rFonts w:ascii="Cambria" w:hAnsi="Cambria"/>
          <w:i/>
          <w:sz w:val="20"/>
          <w:szCs w:val="20"/>
        </w:rPr>
        <w:t>Education at a glance 2012: OECD indicators,</w:t>
      </w:r>
      <w:r w:rsidRPr="00C84CED">
        <w:rPr>
          <w:rFonts w:ascii="Cambria" w:hAnsi="Cambria"/>
          <w:sz w:val="20"/>
          <w:szCs w:val="20"/>
        </w:rPr>
        <w:t xml:space="preserve"> OECD Publishing. </w:t>
      </w:r>
      <w:hyperlink r:id="rId26" w:history="1">
        <w:r w:rsidRPr="00C84CED">
          <w:rPr>
            <w:rStyle w:val="Hyperlink"/>
            <w:rFonts w:ascii="Cambria" w:hAnsi="Cambria"/>
            <w:sz w:val="20"/>
            <w:szCs w:val="20"/>
          </w:rPr>
          <w:t>http://dx.doi.org/10.1787/eag2012-en</w:t>
        </w:r>
      </w:hyperlink>
      <w:r w:rsidRPr="00C84CED">
        <w:rPr>
          <w:rFonts w:ascii="Cambria" w:hAnsi="Cambria"/>
          <w:sz w:val="20"/>
          <w:szCs w:val="20"/>
        </w:rPr>
        <w:tab/>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OECD. (2017), </w:t>
      </w:r>
      <w:r w:rsidRPr="00C84CED">
        <w:rPr>
          <w:rFonts w:ascii="Cambria" w:hAnsi="Cambria"/>
          <w:i/>
          <w:sz w:val="20"/>
          <w:szCs w:val="20"/>
        </w:rPr>
        <w:t>"How can professional development enhance teachers’ classroom practices</w:t>
      </w:r>
      <w:r w:rsidRPr="00C84CED">
        <w:rPr>
          <w:rFonts w:ascii="Cambria" w:hAnsi="Cambria"/>
          <w:sz w:val="20"/>
          <w:szCs w:val="20"/>
        </w:rPr>
        <w:t xml:space="preserve">?", Teaching in Focus, No. 16, OECD Publishing, Paris. DOI: </w:t>
      </w:r>
      <w:hyperlink r:id="rId27" w:history="1">
        <w:r w:rsidRPr="00C84CED">
          <w:rPr>
            <w:rStyle w:val="Hyperlink"/>
            <w:rFonts w:ascii="Cambria" w:hAnsi="Cambria"/>
            <w:sz w:val="20"/>
            <w:szCs w:val="20"/>
          </w:rPr>
          <w:t>http://dx.doi.org/10.1787/2745d679-en</w:t>
        </w:r>
      </w:hyperlink>
      <w:r w:rsidRPr="00C84CED">
        <w:rPr>
          <w:rFonts w:ascii="Cambria" w:hAnsi="Cambria"/>
          <w:sz w:val="20"/>
          <w:szCs w:val="20"/>
        </w:rPr>
        <w:tab/>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OECD. (2012b). </w:t>
      </w:r>
      <w:r w:rsidRPr="00C84CED">
        <w:rPr>
          <w:rFonts w:ascii="Cambria" w:hAnsi="Cambria"/>
          <w:i/>
          <w:sz w:val="20"/>
          <w:szCs w:val="20"/>
        </w:rPr>
        <w:t>PISA in focus: Does money buy strong performance in PISA?</w:t>
      </w:r>
      <w:r w:rsidRPr="00C84CED">
        <w:rPr>
          <w:rFonts w:ascii="Cambria" w:hAnsi="Cambria"/>
          <w:sz w:val="20"/>
          <w:szCs w:val="20"/>
        </w:rPr>
        <w:t xml:space="preserve"> OECD Publishing, Paris. </w:t>
      </w:r>
      <w:hyperlink r:id="rId28" w:history="1">
        <w:r w:rsidRPr="00C84CED">
          <w:rPr>
            <w:rStyle w:val="Hyperlink"/>
            <w:rFonts w:ascii="Cambria" w:hAnsi="Cambria"/>
            <w:sz w:val="20"/>
            <w:szCs w:val="20"/>
          </w:rPr>
          <w:t>http://www.oecd.org/pisa/pisaproducts/pisainfocus/49685503.pdf</w:t>
        </w:r>
      </w:hyperlink>
      <w:r w:rsidRPr="00C84CED">
        <w:rPr>
          <w:rFonts w:ascii="Cambria" w:hAnsi="Cambria"/>
          <w:sz w:val="20"/>
          <w:szCs w:val="20"/>
        </w:rPr>
        <w:tab/>
      </w:r>
      <w:r w:rsidRPr="00C84CED">
        <w:rPr>
          <w:rFonts w:ascii="Cambria" w:hAnsi="Cambria"/>
          <w:sz w:val="20"/>
          <w:szCs w:val="20"/>
        </w:rPr>
        <w:tab/>
      </w:r>
      <w:r w:rsidRPr="00C84CED">
        <w:rPr>
          <w:rFonts w:ascii="Cambria" w:hAnsi="Cambria"/>
          <w:sz w:val="20"/>
          <w:szCs w:val="20"/>
        </w:rPr>
        <w:tab/>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OECD. (2015), Education at a Glance 2015: OECD Indicators, OECD Publishing. </w:t>
      </w:r>
      <w:hyperlink r:id="rId29" w:history="1">
        <w:r w:rsidRPr="00C84CED">
          <w:rPr>
            <w:rStyle w:val="Hyperlink"/>
            <w:rFonts w:ascii="Cambria" w:hAnsi="Cambria"/>
            <w:sz w:val="20"/>
            <w:szCs w:val="20"/>
          </w:rPr>
          <w:t>http://dx.doi.org/10.1787/eag-2015-en</w:t>
        </w:r>
      </w:hyperlink>
      <w:r w:rsidRPr="00C84CED">
        <w:rPr>
          <w:rFonts w:ascii="Cambria" w:hAnsi="Cambria"/>
          <w:sz w:val="20"/>
          <w:szCs w:val="20"/>
        </w:rPr>
        <w:tab/>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OECD. (2016b), Education at a Glance 2016: OECD Indicators, OECD Publishing, Paris. </w:t>
      </w:r>
      <w:hyperlink r:id="rId30" w:history="1">
        <w:r w:rsidRPr="00C84CED">
          <w:rPr>
            <w:rStyle w:val="Hyperlink"/>
            <w:rFonts w:ascii="Cambria" w:hAnsi="Cambria"/>
            <w:sz w:val="20"/>
            <w:szCs w:val="20"/>
          </w:rPr>
          <w:t>http://dx.doi.org/10.187/eag-2016-en</w:t>
        </w:r>
      </w:hyperlink>
      <w:r w:rsidRPr="00C84CED">
        <w:rPr>
          <w:rFonts w:ascii="Cambria" w:hAnsi="Cambria"/>
          <w:sz w:val="20"/>
          <w:szCs w:val="20"/>
        </w:rPr>
        <w:tab/>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OECD. (2016a). </w:t>
      </w:r>
      <w:r w:rsidRPr="00C84CED">
        <w:rPr>
          <w:rFonts w:ascii="Cambria" w:hAnsi="Cambria"/>
          <w:i/>
          <w:sz w:val="20"/>
          <w:szCs w:val="20"/>
        </w:rPr>
        <w:t>PISA 2015 Results (Volume II): Policies and Practices for Successful Schools</w:t>
      </w:r>
      <w:r w:rsidRPr="00C84CED">
        <w:rPr>
          <w:rFonts w:ascii="Cambria" w:hAnsi="Cambria"/>
          <w:sz w:val="20"/>
          <w:szCs w:val="20"/>
        </w:rPr>
        <w:t xml:space="preserve">, PISA, OECD Publishing, Paris. </w:t>
      </w:r>
      <w:hyperlink r:id="rId31" w:history="1">
        <w:r w:rsidRPr="00C84CED">
          <w:rPr>
            <w:rStyle w:val="Hyperlink"/>
            <w:rFonts w:ascii="Cambria" w:hAnsi="Cambria"/>
            <w:sz w:val="20"/>
            <w:szCs w:val="20"/>
          </w:rPr>
          <w:t>http://dx.doi.org/10.1787/9789264267510-en</w:t>
        </w:r>
      </w:hyperlink>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Pons, X. (2017). Fifteen years of research on PISA effects on education governance: A critical review. </w:t>
      </w:r>
      <w:r w:rsidRPr="00C84CED">
        <w:rPr>
          <w:rFonts w:ascii="Cambria" w:hAnsi="Cambria"/>
          <w:i/>
          <w:sz w:val="20"/>
          <w:szCs w:val="20"/>
        </w:rPr>
        <w:t>European Journal of Education,</w:t>
      </w:r>
      <w:r w:rsidRPr="00C84CED">
        <w:rPr>
          <w:rFonts w:ascii="Cambria" w:hAnsi="Cambria"/>
          <w:sz w:val="20"/>
          <w:szCs w:val="20"/>
        </w:rPr>
        <w:t xml:space="preserve"> 52 (2), 131-144.</w:t>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Riggen, V. (2013). </w:t>
      </w:r>
      <w:r w:rsidRPr="00C84CED">
        <w:rPr>
          <w:rFonts w:ascii="Cambria" w:hAnsi="Cambria"/>
          <w:i/>
          <w:sz w:val="20"/>
          <w:szCs w:val="20"/>
        </w:rPr>
        <w:t>School size and student achievement.</w:t>
      </w:r>
      <w:r w:rsidRPr="00C84CED">
        <w:rPr>
          <w:rFonts w:ascii="Cambria" w:hAnsi="Cambria"/>
          <w:sz w:val="20"/>
          <w:szCs w:val="20"/>
        </w:rPr>
        <w:t xml:space="preserve"> Doctoral dissertation, Indiana State University.</w:t>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Sabadie, J. A</w:t>
      </w:r>
      <w:proofErr w:type="gramStart"/>
      <w:r w:rsidRPr="00C84CED">
        <w:rPr>
          <w:rFonts w:ascii="Cambria" w:hAnsi="Cambria"/>
          <w:sz w:val="20"/>
          <w:szCs w:val="20"/>
        </w:rPr>
        <w:t>.,</w:t>
      </w:r>
      <w:proofErr w:type="gramEnd"/>
      <w:r w:rsidRPr="00C84CED">
        <w:rPr>
          <w:rFonts w:ascii="Cambria" w:hAnsi="Cambria"/>
          <w:sz w:val="20"/>
          <w:szCs w:val="20"/>
        </w:rPr>
        <w:t>&amp; Johansen, J. (2010). How do national economic competitiveness indices view human capital</w:t>
      </w:r>
      <w:proofErr w:type="gramStart"/>
      <w:r w:rsidRPr="00C84CED">
        <w:rPr>
          <w:rFonts w:ascii="Cambria" w:hAnsi="Cambria"/>
          <w:sz w:val="20"/>
          <w:szCs w:val="20"/>
        </w:rPr>
        <w:t>?.</w:t>
      </w:r>
      <w:proofErr w:type="gramEnd"/>
      <w:r w:rsidRPr="00C84CED">
        <w:rPr>
          <w:rFonts w:ascii="Cambria" w:hAnsi="Cambria"/>
          <w:i/>
          <w:sz w:val="20"/>
          <w:szCs w:val="20"/>
        </w:rPr>
        <w:t>European Journal of Education,</w:t>
      </w:r>
      <w:r w:rsidRPr="00C84CED">
        <w:rPr>
          <w:rFonts w:ascii="Cambria" w:hAnsi="Cambria"/>
          <w:sz w:val="20"/>
          <w:szCs w:val="20"/>
        </w:rPr>
        <w:t xml:space="preserve"> 45 (2), 236-258.</w:t>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Schleicher, A. (2017). Seeing education through the prism of PISA. </w:t>
      </w:r>
      <w:r w:rsidRPr="00C84CED">
        <w:rPr>
          <w:rFonts w:ascii="Cambria" w:hAnsi="Cambria"/>
          <w:i/>
          <w:sz w:val="20"/>
          <w:szCs w:val="20"/>
        </w:rPr>
        <w:t>European Journal of Education</w:t>
      </w:r>
      <w:r w:rsidR="00C84CED">
        <w:rPr>
          <w:rFonts w:ascii="Cambria" w:hAnsi="Cambria"/>
          <w:sz w:val="20"/>
          <w:szCs w:val="20"/>
        </w:rPr>
        <w:t>, 52 (2), 124-130.</w:t>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Sjøberg, S. (2015). PISA and </w:t>
      </w:r>
      <w:proofErr w:type="gramStart"/>
      <w:r w:rsidRPr="00C84CED">
        <w:rPr>
          <w:rFonts w:ascii="Cambria" w:hAnsi="Cambria"/>
          <w:sz w:val="20"/>
          <w:szCs w:val="20"/>
        </w:rPr>
        <w:t>global</w:t>
      </w:r>
      <w:proofErr w:type="gramEnd"/>
      <w:r w:rsidRPr="00C84CED">
        <w:rPr>
          <w:rFonts w:ascii="Cambria" w:hAnsi="Cambria"/>
          <w:sz w:val="20"/>
          <w:szCs w:val="20"/>
        </w:rPr>
        <w:t xml:space="preserve"> educational governance–A critique of the project, its uses and implications. </w:t>
      </w:r>
      <w:r w:rsidRPr="00C84CED">
        <w:rPr>
          <w:rFonts w:ascii="Cambria" w:hAnsi="Cambria"/>
          <w:i/>
          <w:sz w:val="20"/>
          <w:szCs w:val="20"/>
        </w:rPr>
        <w:t>Eurasia Journal of Mathematics, Science &amp; Technology Education,</w:t>
      </w:r>
      <w:r w:rsidRPr="00C84CED">
        <w:rPr>
          <w:rFonts w:ascii="Cambria" w:hAnsi="Cambria"/>
          <w:sz w:val="20"/>
          <w:szCs w:val="20"/>
        </w:rPr>
        <w:t xml:space="preserve"> 11 (1), 111-127.</w:t>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lastRenderedPageBreak/>
        <w:t>Steele, F</w:t>
      </w:r>
      <w:proofErr w:type="gramStart"/>
      <w:r w:rsidRPr="00C84CED">
        <w:rPr>
          <w:rFonts w:ascii="Cambria" w:hAnsi="Cambria"/>
          <w:sz w:val="20"/>
          <w:szCs w:val="20"/>
        </w:rPr>
        <w:t>.,</w:t>
      </w:r>
      <w:proofErr w:type="gramEnd"/>
      <w:r w:rsidRPr="00C84CED">
        <w:rPr>
          <w:rFonts w:ascii="Cambria" w:hAnsi="Cambria"/>
          <w:sz w:val="20"/>
          <w:szCs w:val="20"/>
        </w:rPr>
        <w:t xml:space="preserve"> Vignoles, A., &amp; Jenkins, A. (2007). The effect of school resources on pupil attainment: a multilevel simultaneous equation modelling approach. </w:t>
      </w:r>
      <w:r w:rsidRPr="00C84CED">
        <w:rPr>
          <w:rFonts w:ascii="Cambria" w:hAnsi="Cambria"/>
          <w:i/>
          <w:sz w:val="20"/>
          <w:szCs w:val="20"/>
        </w:rPr>
        <w:t>Journal of the Royal Statistical Society: Series A</w:t>
      </w:r>
      <w:r w:rsidRPr="00C84CED">
        <w:rPr>
          <w:rFonts w:ascii="Cambria" w:hAnsi="Cambria"/>
          <w:sz w:val="20"/>
          <w:szCs w:val="20"/>
        </w:rPr>
        <w:t xml:space="preserve"> (Statistics in Society), 170 (3), 801-824.</w:t>
      </w:r>
    </w:p>
    <w:p w:rsidR="00FA43C2" w:rsidRPr="00C84CED" w:rsidRDefault="00FA43C2"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Stewart, L. (2009). Achievement differences between large and small schools in Texas. </w:t>
      </w:r>
      <w:r w:rsidRPr="00C84CED">
        <w:rPr>
          <w:rFonts w:ascii="Cambria" w:hAnsi="Cambria"/>
          <w:i/>
          <w:sz w:val="20"/>
          <w:szCs w:val="20"/>
        </w:rPr>
        <w:t>Rural Educator,</w:t>
      </w:r>
      <w:r w:rsidRPr="00C84CED">
        <w:rPr>
          <w:rFonts w:ascii="Cambria" w:hAnsi="Cambria"/>
          <w:sz w:val="20"/>
          <w:szCs w:val="20"/>
        </w:rPr>
        <w:t xml:space="preserve"> 30 (2), 20-28.</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Tasaki, N. (2017). The impact of OECD‐PISA results on Japanese educational policy. </w:t>
      </w:r>
      <w:r w:rsidRPr="00C84CED">
        <w:rPr>
          <w:rFonts w:ascii="Cambria" w:hAnsi="Cambria"/>
          <w:i/>
          <w:sz w:val="20"/>
          <w:szCs w:val="20"/>
        </w:rPr>
        <w:t>European Journal of Education,</w:t>
      </w:r>
      <w:r w:rsidRPr="00C84CED">
        <w:rPr>
          <w:rFonts w:ascii="Cambria" w:hAnsi="Cambria"/>
          <w:sz w:val="20"/>
          <w:szCs w:val="20"/>
        </w:rPr>
        <w:t xml:space="preserve"> 52 (2), 145-153.</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Tucker-Drob, E. M. (2012). Preschools reduce early academic-achievement gaps a longitudinal twin approach. </w:t>
      </w:r>
      <w:r w:rsidRPr="00C84CED">
        <w:rPr>
          <w:rFonts w:ascii="Cambria" w:hAnsi="Cambria"/>
          <w:i/>
          <w:sz w:val="20"/>
          <w:szCs w:val="20"/>
        </w:rPr>
        <w:t>Psychological Science,</w:t>
      </w:r>
      <w:r w:rsidRPr="00C84CED">
        <w:rPr>
          <w:rFonts w:ascii="Cambria" w:hAnsi="Cambria"/>
          <w:sz w:val="20"/>
          <w:szCs w:val="20"/>
        </w:rPr>
        <w:t>0956797611426728.</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Wastiau, P</w:t>
      </w:r>
      <w:proofErr w:type="gramStart"/>
      <w:r w:rsidRPr="00C84CED">
        <w:rPr>
          <w:rFonts w:ascii="Cambria" w:hAnsi="Cambria"/>
          <w:sz w:val="20"/>
          <w:szCs w:val="20"/>
        </w:rPr>
        <w:t>.,</w:t>
      </w:r>
      <w:proofErr w:type="gramEnd"/>
      <w:r w:rsidRPr="00C84CED">
        <w:rPr>
          <w:rFonts w:ascii="Cambria" w:hAnsi="Cambria"/>
          <w:sz w:val="20"/>
          <w:szCs w:val="20"/>
        </w:rPr>
        <w:t xml:space="preserve"> Blamire, R., Kearney, C., Quittre, V., Van de Gaer, E., &amp; Monseur, C. (2013). The use of ICT in education: A survey of schools in Europe. </w:t>
      </w:r>
      <w:r w:rsidRPr="00C84CED">
        <w:rPr>
          <w:rFonts w:ascii="Cambria" w:hAnsi="Cambria"/>
          <w:i/>
          <w:sz w:val="20"/>
          <w:szCs w:val="20"/>
        </w:rPr>
        <w:t>European Journal of Education</w:t>
      </w:r>
      <w:r w:rsidRPr="00C84CED">
        <w:rPr>
          <w:rFonts w:ascii="Cambria" w:hAnsi="Cambria"/>
          <w:sz w:val="20"/>
          <w:szCs w:val="20"/>
        </w:rPr>
        <w:t>, 48 (1), 11-27.</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Wei, Y</w:t>
      </w:r>
      <w:proofErr w:type="gramStart"/>
      <w:r w:rsidRPr="00C84CED">
        <w:rPr>
          <w:rFonts w:ascii="Cambria" w:hAnsi="Cambria"/>
          <w:sz w:val="20"/>
          <w:szCs w:val="20"/>
        </w:rPr>
        <w:t>.,</w:t>
      </w:r>
      <w:proofErr w:type="gramEnd"/>
      <w:r w:rsidRPr="00C84CED">
        <w:rPr>
          <w:rFonts w:ascii="Cambria" w:hAnsi="Cambria"/>
          <w:sz w:val="20"/>
          <w:szCs w:val="20"/>
        </w:rPr>
        <w:t xml:space="preserve"> R.A. Clifton and L.W. Roberts (2011). School resources and the academic achievement of Canadian students, </w:t>
      </w:r>
      <w:r w:rsidRPr="00C84CED">
        <w:rPr>
          <w:rFonts w:ascii="Cambria" w:hAnsi="Cambria"/>
          <w:i/>
          <w:sz w:val="20"/>
          <w:szCs w:val="20"/>
        </w:rPr>
        <w:t>Alberta Journal of Educational Research,</w:t>
      </w:r>
      <w:r w:rsidRPr="00C84CED">
        <w:rPr>
          <w:rFonts w:ascii="Cambria" w:hAnsi="Cambria"/>
          <w:sz w:val="20"/>
          <w:szCs w:val="20"/>
        </w:rPr>
        <w:t xml:space="preserve"> 57 (4), 460-478, Retrieved from http://hdl.handle.net/10515/sy5nz8130</w:t>
      </w:r>
    </w:p>
    <w:p w:rsidR="00D54297"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Wolff, E. N. (2015). Educational expenditures and student performance among OECD countries.</w:t>
      </w:r>
      <w:r w:rsidRPr="00C84CED">
        <w:rPr>
          <w:rFonts w:ascii="Cambria" w:hAnsi="Cambria"/>
          <w:i/>
          <w:sz w:val="20"/>
          <w:szCs w:val="20"/>
        </w:rPr>
        <w:t xml:space="preserve"> Structural Change and Economic Dynamics</w:t>
      </w:r>
      <w:r w:rsidRPr="00C84CED">
        <w:rPr>
          <w:rFonts w:ascii="Cambria" w:hAnsi="Cambria"/>
          <w:sz w:val="20"/>
          <w:szCs w:val="20"/>
        </w:rPr>
        <w:t xml:space="preserve">, 33, 37-57. </w:t>
      </w:r>
    </w:p>
    <w:p w:rsidR="00CB54B1" w:rsidRPr="00C84CED" w:rsidRDefault="00D54297" w:rsidP="00C84CED">
      <w:pPr>
        <w:spacing w:before="120" w:after="120"/>
        <w:ind w:left="566" w:hangingChars="283" w:hanging="566"/>
        <w:jc w:val="both"/>
        <w:rPr>
          <w:rFonts w:ascii="Cambria" w:hAnsi="Cambria"/>
          <w:sz w:val="20"/>
          <w:szCs w:val="20"/>
        </w:rPr>
      </w:pPr>
      <w:r w:rsidRPr="00C84CED">
        <w:rPr>
          <w:rFonts w:ascii="Cambria" w:hAnsi="Cambria"/>
          <w:sz w:val="20"/>
          <w:szCs w:val="20"/>
        </w:rPr>
        <w:t xml:space="preserve">Woessmann, L. and M. West (2006). Class-size effects in school systems around the world: Evidence from between-grade variation in TIMSS, </w:t>
      </w:r>
      <w:r w:rsidRPr="00C84CED">
        <w:rPr>
          <w:rFonts w:ascii="Cambria" w:hAnsi="Cambria"/>
          <w:i/>
          <w:sz w:val="20"/>
          <w:szCs w:val="20"/>
        </w:rPr>
        <w:t xml:space="preserve">European Economic Review, </w:t>
      </w:r>
      <w:r w:rsidRPr="00C84CED">
        <w:rPr>
          <w:rFonts w:ascii="Cambria" w:hAnsi="Cambria"/>
          <w:sz w:val="20"/>
          <w:szCs w:val="20"/>
        </w:rPr>
        <w:t xml:space="preserve">50 (3), 695-736, </w:t>
      </w:r>
      <w:hyperlink r:id="rId32" w:history="1">
        <w:r w:rsidR="00CB54B1" w:rsidRPr="00C84CED">
          <w:rPr>
            <w:rStyle w:val="Hyperlink"/>
            <w:rFonts w:ascii="Cambria" w:hAnsi="Cambria"/>
            <w:sz w:val="20"/>
            <w:szCs w:val="20"/>
          </w:rPr>
          <w:t>http://dx.doi.org/10.1016/j.euroecorev.2004.11.005</w:t>
        </w:r>
      </w:hyperlink>
      <w:r w:rsidR="00CB54B1" w:rsidRPr="00C84CED">
        <w:rPr>
          <w:rFonts w:ascii="Cambria" w:hAnsi="Cambria"/>
          <w:sz w:val="20"/>
          <w:szCs w:val="20"/>
        </w:rPr>
        <w:tab/>
      </w:r>
    </w:p>
    <w:p w:rsidR="0065713D" w:rsidRPr="00C84CED" w:rsidRDefault="003014FB" w:rsidP="00C84CED">
      <w:pPr>
        <w:spacing w:before="120" w:after="120"/>
        <w:ind w:left="566" w:hangingChars="283" w:hanging="566"/>
        <w:jc w:val="both"/>
        <w:rPr>
          <w:rFonts w:ascii="Cambria" w:hAnsi="Cambria"/>
          <w:sz w:val="20"/>
          <w:szCs w:val="20"/>
        </w:rPr>
      </w:pPr>
      <w:r>
        <w:rPr>
          <w:rFonts w:ascii="Cambria" w:hAnsi="Cambria"/>
          <w:sz w:val="20"/>
          <w:szCs w:val="20"/>
        </w:rPr>
        <w:t>Yıldırım,</w:t>
      </w:r>
      <w:r w:rsidR="00CB54B1" w:rsidRPr="00C84CED">
        <w:rPr>
          <w:rFonts w:ascii="Cambria" w:hAnsi="Cambria"/>
          <w:sz w:val="20"/>
          <w:szCs w:val="20"/>
        </w:rPr>
        <w:t xml:space="preserve"> A. ve Şimşek, H. (2013). </w:t>
      </w:r>
      <w:r w:rsidR="00CB54B1" w:rsidRPr="00C84CED">
        <w:rPr>
          <w:rFonts w:ascii="Cambria" w:hAnsi="Cambria"/>
          <w:i/>
          <w:sz w:val="20"/>
          <w:szCs w:val="20"/>
        </w:rPr>
        <w:t>Sosyal bilimlerde nitel araştırma yöntemleri.</w:t>
      </w:r>
      <w:r w:rsidR="00CB54B1" w:rsidRPr="00C84CED">
        <w:rPr>
          <w:rFonts w:ascii="Cambria" w:hAnsi="Cambria"/>
          <w:sz w:val="20"/>
          <w:szCs w:val="20"/>
        </w:rPr>
        <w:t xml:space="preserve"> Ankara: Seçkin Yayınları</w:t>
      </w:r>
      <w:r w:rsidR="00A63F1D">
        <w:rPr>
          <w:rFonts w:ascii="Cambria" w:hAnsi="Cambria"/>
          <w:sz w:val="20"/>
          <w:szCs w:val="20"/>
        </w:rPr>
        <w:t>.</w:t>
      </w:r>
    </w:p>
    <w:p w:rsidR="00CB54B1" w:rsidRPr="00BF6F37" w:rsidRDefault="00CB54B1" w:rsidP="00CB54B1">
      <w:pPr>
        <w:spacing w:before="120" w:after="120"/>
        <w:ind w:left="566" w:hangingChars="283" w:hanging="566"/>
        <w:jc w:val="both"/>
        <w:rPr>
          <w:rFonts w:ascii="Cambria" w:hAnsi="Cambria"/>
          <w:sz w:val="20"/>
          <w:szCs w:val="20"/>
        </w:rPr>
      </w:pPr>
      <w:bookmarkStart w:id="3" w:name="_GoBack"/>
      <w:bookmarkEnd w:id="3"/>
    </w:p>
    <w:sectPr w:rsidR="00CB54B1" w:rsidRPr="00BF6F37" w:rsidSect="00823DD1">
      <w:headerReference w:type="even" r:id="rId33"/>
      <w:footerReference w:type="default" r:id="rId34"/>
      <w:headerReference w:type="first" r:id="rId35"/>
      <w:footerReference w:type="first" r:id="rId36"/>
      <w:footnotePr>
        <w:numRestart w:val="eachPage"/>
      </w:footnotePr>
      <w:pgSz w:w="11906" w:h="16838"/>
      <w:pgMar w:top="1417" w:right="1417" w:bottom="1417" w:left="1417" w:header="708" w:footer="708" w:gutter="0"/>
      <w:pgNumType w:start="128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B7E" w:rsidRDefault="007D0B7E" w:rsidP="0071079E">
      <w:r>
        <w:separator/>
      </w:r>
    </w:p>
  </w:endnote>
  <w:endnote w:type="continuationSeparator" w:id="0">
    <w:p w:rsidR="007D0B7E" w:rsidRDefault="007D0B7E" w:rsidP="0071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OpenSans-Semibold">
    <w:altName w:val="Times New Roman"/>
    <w:panose1 w:val="00000000000000000000"/>
    <w:charset w:val="00"/>
    <w:family w:val="roman"/>
    <w:notTrueType/>
    <w:pitch w:val="default"/>
  </w:font>
  <w:font w:name="AdvOT7d6df7ab.I">
    <w:altName w:val="Times New Roman"/>
    <w:panose1 w:val="00000000000000000000"/>
    <w:charset w:val="00"/>
    <w:family w:val="roman"/>
    <w:notTrueType/>
    <w:pitch w:val="default"/>
  </w:font>
  <w:font w:name="AdvOT1ef757c0+20">
    <w:altName w:val="Times New Roman"/>
    <w:panose1 w:val="00000000000000000000"/>
    <w:charset w:val="00"/>
    <w:family w:val="roman"/>
    <w:notTrueType/>
    <w:pitch w:val="default"/>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1C239F" w:rsidRPr="00823DD1" w:rsidRDefault="001C239F" w:rsidP="00823DD1">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3014FB" w:rsidRPr="003014FB">
          <w:rPr>
            <w:rFonts w:ascii="Cambria" w:hAnsi="Cambria"/>
            <w:b/>
            <w:bCs/>
            <w:noProof/>
            <w:sz w:val="20"/>
            <w:szCs w:val="20"/>
          </w:rPr>
          <w:t>1284</w:t>
        </w:r>
        <w:r w:rsidRPr="00C71F46">
          <w:rPr>
            <w:rFonts w:ascii="Cambria" w:hAnsi="Cambria"/>
            <w:b/>
            <w:bCs/>
            <w:sz w:val="20"/>
            <w:szCs w:val="20"/>
          </w:rPr>
          <w:fldChar w:fldCharType="end"/>
        </w:r>
        <w:r>
          <w:rPr>
            <w:b/>
            <w:bCs/>
          </w:rPr>
          <w:t xml:space="preserve">| </w:t>
        </w:r>
        <w:r w:rsidR="007C4A91">
          <w:rPr>
            <w:rFonts w:ascii="Cambria" w:hAnsi="Cambria"/>
            <w:color w:val="767171" w:themeColor="background2" w:themeShade="80"/>
            <w:sz w:val="16"/>
            <w:szCs w:val="16"/>
          </w:rPr>
          <w:t xml:space="preserve">AYDIN, SELVİTOPU, &amp; KAYA                                      </w:t>
        </w:r>
        <w:r w:rsidR="00823DD1">
          <w:rPr>
            <w:rFonts w:ascii="Garamond" w:hAnsi="Garamond"/>
            <w:color w:val="595959" w:themeColor="text1" w:themeTint="A6"/>
            <w:sz w:val="16"/>
            <w:szCs w:val="16"/>
          </w:rPr>
          <w:t xml:space="preserve">   </w:t>
        </w:r>
        <w:r w:rsidR="007C4A91" w:rsidRPr="007C4A91">
          <w:rPr>
            <w:rFonts w:ascii="Garamond" w:hAnsi="Garamond"/>
            <w:color w:val="595959" w:themeColor="text1" w:themeTint="A6"/>
            <w:sz w:val="16"/>
            <w:szCs w:val="16"/>
          </w:rPr>
          <w:t>Eğitime Yapılan Yatırımlar ve PISA 2015 Sonuçları: Karşılaştırmalı Bir İnceleme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9F" w:rsidRDefault="001C239F" w:rsidP="001C239F"/>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C239F" w:rsidRPr="00C71F46" w:rsidTr="001C239F">
      <w:trPr>
        <w:trHeight w:val="365"/>
      </w:trPr>
      <w:tc>
        <w:tcPr>
          <w:tcW w:w="9498" w:type="dxa"/>
        </w:tcPr>
        <w:p w:rsidR="001C239F" w:rsidRPr="002B18B3" w:rsidRDefault="001C239F" w:rsidP="00C84CED">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28.07.2017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1</w:t>
          </w:r>
          <w:r w:rsidR="00C84CED">
            <w:rPr>
              <w:rFonts w:ascii="Cambria" w:hAnsi="Cambria"/>
              <w:sz w:val="18"/>
              <w:szCs w:val="18"/>
            </w:rPr>
            <w:t>0.06</w:t>
          </w:r>
          <w:r>
            <w:rPr>
              <w:rFonts w:ascii="Cambria" w:hAnsi="Cambria"/>
              <w:sz w:val="18"/>
              <w:szCs w:val="18"/>
            </w:rPr>
            <w:t>.2018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rsidR="001C239F" w:rsidRPr="001C239F" w:rsidRDefault="001C239F" w:rsidP="001C23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B7E" w:rsidRDefault="007D0B7E" w:rsidP="0071079E">
      <w:r>
        <w:separator/>
      </w:r>
    </w:p>
  </w:footnote>
  <w:footnote w:type="continuationSeparator" w:id="0">
    <w:p w:rsidR="007D0B7E" w:rsidRDefault="007D0B7E" w:rsidP="00710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9F" w:rsidRDefault="001C239F"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1C239F" w:rsidRDefault="001C239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9F" w:rsidRPr="001C239F" w:rsidRDefault="006E7697" w:rsidP="001C239F">
    <w:pPr>
      <w:pStyle w:val="Header"/>
    </w:pPr>
    <w:r>
      <w:rPr>
        <w:noProof/>
      </w:rPr>
      <mc:AlternateContent>
        <mc:Choice Requires="wpg">
          <w:drawing>
            <wp:inline distT="0" distB="0" distL="0" distR="0">
              <wp:extent cx="6127750" cy="611505"/>
              <wp:effectExtent l="0" t="0" r="635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4" name="Group 2"/>
                      <wpg:cNvGrpSpPr>
                        <a:grpSpLocks/>
                      </wpg:cNvGrpSpPr>
                      <wpg:grpSpPr bwMode="auto">
                        <a:xfrm>
                          <a:off x="1418" y="768"/>
                          <a:ext cx="7804" cy="600"/>
                          <a:chOff x="1733" y="638"/>
                          <a:chExt cx="7444" cy="600"/>
                        </a:xfrm>
                      </wpg:grpSpPr>
                      <wps:wsp>
                        <wps:cNvPr id="8"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39F" w:rsidRPr="002E0037" w:rsidRDefault="001C239F" w:rsidP="001C239F">
                              <w:pPr>
                                <w:rPr>
                                  <w:rFonts w:ascii="Calibri" w:hAnsi="Calibri" w:cs="Calibri"/>
                                  <w:sz w:val="18"/>
                                  <w:szCs w:val="20"/>
                                </w:rPr>
                              </w:pPr>
                              <w:r w:rsidRPr="002E0037">
                                <w:rPr>
                                  <w:rFonts w:ascii="Calibri" w:hAnsi="Calibri" w:cs="Calibri"/>
                                  <w:sz w:val="18"/>
                                  <w:szCs w:val="20"/>
                                </w:rPr>
                                <w:t>Elementary Education Online, 2018; 17</w:t>
                              </w:r>
                              <w:r>
                                <w:rPr>
                                  <w:rFonts w:ascii="Calibri" w:hAnsi="Calibri" w:cs="Calibri"/>
                                  <w:sz w:val="18"/>
                                  <w:szCs w:val="20"/>
                                </w:rPr>
                                <w:t>(3): pp. 12</w:t>
                              </w:r>
                              <w:r w:rsidR="00C84CED">
                                <w:rPr>
                                  <w:rFonts w:ascii="Calibri" w:hAnsi="Calibri" w:cs="Calibri"/>
                                  <w:sz w:val="18"/>
                                  <w:szCs w:val="20"/>
                                </w:rPr>
                                <w:t>83</w:t>
                              </w:r>
                              <w:r w:rsidRPr="002E0037">
                                <w:rPr>
                                  <w:rFonts w:ascii="Calibri" w:hAnsi="Calibri" w:cs="Calibri"/>
                                  <w:sz w:val="18"/>
                                  <w:szCs w:val="20"/>
                                </w:rPr>
                                <w:t>-1</w:t>
                              </w:r>
                              <w:r w:rsidR="00823DD1">
                                <w:rPr>
                                  <w:rFonts w:ascii="Calibri" w:hAnsi="Calibri" w:cs="Calibri"/>
                                  <w:sz w:val="18"/>
                                  <w:szCs w:val="20"/>
                                </w:rPr>
                                <w:t>301</w:t>
                              </w:r>
                            </w:p>
                            <w:p w:rsidR="001C239F" w:rsidRPr="002E0037" w:rsidRDefault="001C239F" w:rsidP="001C239F">
                              <w:pPr>
                                <w:rPr>
                                  <w:rFonts w:ascii="Calibri" w:hAnsi="Calibri" w:cs="Calibri"/>
                                  <w:color w:val="0000FF"/>
                                  <w:sz w:val="18"/>
                                  <w:szCs w:val="20"/>
                                  <w:u w:val="single"/>
                                </w:rPr>
                              </w:pPr>
                              <w:r w:rsidRPr="002E0037">
                                <w:rPr>
                                  <w:rFonts w:ascii="Calibri" w:hAnsi="Calibri" w:cs="Calibri"/>
                                  <w:sz w:val="18"/>
                                  <w:szCs w:val="20"/>
                                </w:rPr>
                                <w:t>İlköğretim Online, 2018; 17</w:t>
                              </w:r>
                              <w:r>
                                <w:rPr>
                                  <w:rFonts w:ascii="Calibri" w:hAnsi="Calibri" w:cs="Calibri"/>
                                  <w:sz w:val="18"/>
                                  <w:szCs w:val="20"/>
                                </w:rPr>
                                <w:t>(3): s.12</w:t>
                              </w:r>
                              <w:r w:rsidR="00C84CED">
                                <w:rPr>
                                  <w:rFonts w:ascii="Calibri" w:hAnsi="Calibri" w:cs="Calibri"/>
                                  <w:sz w:val="18"/>
                                  <w:szCs w:val="20"/>
                                </w:rPr>
                                <w:t>83</w:t>
                              </w:r>
                              <w:r w:rsidRPr="002E0037">
                                <w:rPr>
                                  <w:rFonts w:ascii="Calibri" w:hAnsi="Calibri" w:cs="Calibri"/>
                                  <w:sz w:val="18"/>
                                  <w:szCs w:val="20"/>
                                </w:rPr>
                                <w:t>-1</w:t>
                              </w:r>
                              <w:r w:rsidR="00823DD1">
                                <w:rPr>
                                  <w:rFonts w:ascii="Calibri" w:hAnsi="Calibri" w:cs="Calibri"/>
                                  <w:sz w:val="18"/>
                                  <w:szCs w:val="20"/>
                                </w:rPr>
                                <w:t>301</w:t>
                              </w:r>
                              <w:r w:rsidRPr="002E0037">
                                <w:rPr>
                                  <w:rFonts w:ascii="Calibri" w:hAnsi="Calibri" w:cs="Calibri"/>
                                  <w:sz w:val="18"/>
                                  <w:szCs w:val="20"/>
                                </w:rPr>
                                <w:t>. [Online]:</w:t>
                              </w:r>
                              <w:r w:rsidRPr="002E0037">
                                <w:rPr>
                                  <w:rFonts w:ascii="Calibri" w:hAnsi="Calibri" w:cs="Calibri"/>
                                  <w:b/>
                                  <w:bCs/>
                                  <w:sz w:val="18"/>
                                  <w:szCs w:val="20"/>
                                </w:rPr>
                                <w:t xml:space="preserve"> </w:t>
                              </w:r>
                              <w:hyperlink r:id="rId1" w:history="1">
                                <w:r w:rsidRPr="002E0037">
                                  <w:rPr>
                                    <w:rFonts w:ascii="Calibri" w:hAnsi="Calibri" w:cs="Calibri"/>
                                    <w:color w:val="0000FF"/>
                                    <w:sz w:val="18"/>
                                    <w:szCs w:val="20"/>
                                    <w:u w:val="single"/>
                                  </w:rPr>
                                  <w:t>http://ilkogretim-online.org.tr</w:t>
                                </w:r>
                              </w:hyperlink>
                            </w:p>
                            <w:p w:rsidR="001C239F" w:rsidRPr="001C239F" w:rsidRDefault="007D0B7E" w:rsidP="001C239F">
                              <w:pPr>
                                <w:rPr>
                                  <w:rStyle w:val="Hyperlink"/>
                                  <w:rFonts w:ascii="Calibri" w:hAnsi="Calibri" w:cs="Calibri"/>
                                  <w:i/>
                                  <w:color w:val="00B050"/>
                                  <w:sz w:val="18"/>
                                  <w:szCs w:val="20"/>
                                </w:rPr>
                              </w:pPr>
                              <w:hyperlink r:id="rId2" w:history="1">
                                <w:r w:rsidR="001C239F" w:rsidRPr="002E0037">
                                  <w:rPr>
                                    <w:rFonts w:ascii="Calibri" w:hAnsi="Calibri" w:cs="Calibr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9"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0"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rsidR="001C239F" w:rsidRPr="002E0037" w:rsidRDefault="001C239F" w:rsidP="001C239F">
                        <w:pPr>
                          <w:rPr>
                            <w:rFonts w:ascii="Calibri" w:hAnsi="Calibri" w:cs="Calibri"/>
                            <w:sz w:val="18"/>
                            <w:szCs w:val="20"/>
                          </w:rPr>
                        </w:pPr>
                        <w:r w:rsidRPr="002E0037">
                          <w:rPr>
                            <w:rFonts w:ascii="Calibri" w:hAnsi="Calibri" w:cs="Calibri"/>
                            <w:sz w:val="18"/>
                            <w:szCs w:val="20"/>
                          </w:rPr>
                          <w:t>Elementary Education Online, 2018; 17</w:t>
                        </w:r>
                        <w:r>
                          <w:rPr>
                            <w:rFonts w:ascii="Calibri" w:hAnsi="Calibri" w:cs="Calibri"/>
                            <w:sz w:val="18"/>
                            <w:szCs w:val="20"/>
                          </w:rPr>
                          <w:t>(3): pp. 12</w:t>
                        </w:r>
                        <w:r w:rsidR="00C84CED">
                          <w:rPr>
                            <w:rFonts w:ascii="Calibri" w:hAnsi="Calibri" w:cs="Calibri"/>
                            <w:sz w:val="18"/>
                            <w:szCs w:val="20"/>
                          </w:rPr>
                          <w:t>83</w:t>
                        </w:r>
                        <w:r w:rsidRPr="002E0037">
                          <w:rPr>
                            <w:rFonts w:ascii="Calibri" w:hAnsi="Calibri" w:cs="Calibri"/>
                            <w:sz w:val="18"/>
                            <w:szCs w:val="20"/>
                          </w:rPr>
                          <w:t>-1</w:t>
                        </w:r>
                        <w:r w:rsidR="00823DD1">
                          <w:rPr>
                            <w:rFonts w:ascii="Calibri" w:hAnsi="Calibri" w:cs="Calibri"/>
                            <w:sz w:val="18"/>
                            <w:szCs w:val="20"/>
                          </w:rPr>
                          <w:t>301</w:t>
                        </w:r>
                      </w:p>
                      <w:p w:rsidR="001C239F" w:rsidRPr="002E0037" w:rsidRDefault="001C239F" w:rsidP="001C239F">
                        <w:pPr>
                          <w:rPr>
                            <w:rFonts w:ascii="Calibri" w:hAnsi="Calibri" w:cs="Calibri"/>
                            <w:color w:val="0000FF"/>
                            <w:sz w:val="18"/>
                            <w:szCs w:val="20"/>
                            <w:u w:val="single"/>
                          </w:rPr>
                        </w:pPr>
                        <w:r w:rsidRPr="002E0037">
                          <w:rPr>
                            <w:rFonts w:ascii="Calibri" w:hAnsi="Calibri" w:cs="Calibri"/>
                            <w:sz w:val="18"/>
                            <w:szCs w:val="20"/>
                          </w:rPr>
                          <w:t>İlköğretim Online, 2018; 17</w:t>
                        </w:r>
                        <w:r>
                          <w:rPr>
                            <w:rFonts w:ascii="Calibri" w:hAnsi="Calibri" w:cs="Calibri"/>
                            <w:sz w:val="18"/>
                            <w:szCs w:val="20"/>
                          </w:rPr>
                          <w:t>(3): s.12</w:t>
                        </w:r>
                        <w:r w:rsidR="00C84CED">
                          <w:rPr>
                            <w:rFonts w:ascii="Calibri" w:hAnsi="Calibri" w:cs="Calibri"/>
                            <w:sz w:val="18"/>
                            <w:szCs w:val="20"/>
                          </w:rPr>
                          <w:t>83</w:t>
                        </w:r>
                        <w:r w:rsidRPr="002E0037">
                          <w:rPr>
                            <w:rFonts w:ascii="Calibri" w:hAnsi="Calibri" w:cs="Calibri"/>
                            <w:sz w:val="18"/>
                            <w:szCs w:val="20"/>
                          </w:rPr>
                          <w:t>-1</w:t>
                        </w:r>
                        <w:r w:rsidR="00823DD1">
                          <w:rPr>
                            <w:rFonts w:ascii="Calibri" w:hAnsi="Calibri" w:cs="Calibri"/>
                            <w:sz w:val="18"/>
                            <w:szCs w:val="20"/>
                          </w:rPr>
                          <w:t>301</w:t>
                        </w:r>
                        <w:r w:rsidRPr="002E0037">
                          <w:rPr>
                            <w:rFonts w:ascii="Calibri" w:hAnsi="Calibri" w:cs="Calibri"/>
                            <w:sz w:val="18"/>
                            <w:szCs w:val="20"/>
                          </w:rPr>
                          <w:t>. [Online]:</w:t>
                        </w:r>
                        <w:r w:rsidRPr="002E0037">
                          <w:rPr>
                            <w:rFonts w:ascii="Calibri" w:hAnsi="Calibri" w:cs="Calibri"/>
                            <w:b/>
                            <w:bCs/>
                            <w:sz w:val="18"/>
                            <w:szCs w:val="20"/>
                          </w:rPr>
                          <w:t xml:space="preserve"> </w:t>
                        </w:r>
                        <w:hyperlink r:id="rId4" w:history="1">
                          <w:r w:rsidRPr="002E0037">
                            <w:rPr>
                              <w:rFonts w:ascii="Calibri" w:hAnsi="Calibri" w:cs="Calibri"/>
                              <w:color w:val="0000FF"/>
                              <w:sz w:val="18"/>
                              <w:szCs w:val="20"/>
                              <w:u w:val="single"/>
                            </w:rPr>
                            <w:t>http://ilkogretim-online.org.tr</w:t>
                          </w:r>
                        </w:hyperlink>
                      </w:p>
                      <w:p w:rsidR="001C239F" w:rsidRPr="001C239F" w:rsidRDefault="001C239F" w:rsidP="001C239F">
                        <w:pPr>
                          <w:rPr>
                            <w:rStyle w:val="Hyperlink"/>
                            <w:rFonts w:ascii="Calibri" w:hAnsi="Calibri" w:cs="Calibri"/>
                            <w:i/>
                            <w:color w:val="00B050"/>
                            <w:sz w:val="18"/>
                            <w:szCs w:val="20"/>
                          </w:rPr>
                        </w:pPr>
                        <w:hyperlink r:id="rId5" w:history="1">
                          <w:r w:rsidRPr="002E0037">
                            <w:rPr>
                              <w:rFonts w:ascii="Calibri" w:hAnsi="Calibri" w:cs="Calibr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562D"/>
    <w:multiLevelType w:val="hybridMultilevel"/>
    <w:tmpl w:val="45D21A26"/>
    <w:lvl w:ilvl="0" w:tplc="5AFC07C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099C5AEB"/>
    <w:multiLevelType w:val="hybridMultilevel"/>
    <w:tmpl w:val="D2CC5368"/>
    <w:lvl w:ilvl="0" w:tplc="DB80531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ADE0AE7"/>
    <w:multiLevelType w:val="hybridMultilevel"/>
    <w:tmpl w:val="6B96B9C4"/>
    <w:lvl w:ilvl="0" w:tplc="EEA01A6E">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18C5667C"/>
    <w:multiLevelType w:val="hybridMultilevel"/>
    <w:tmpl w:val="CFBCF80C"/>
    <w:lvl w:ilvl="0" w:tplc="FE908F1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1AC106B7"/>
    <w:multiLevelType w:val="hybridMultilevel"/>
    <w:tmpl w:val="1AF486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8E2D93"/>
    <w:multiLevelType w:val="hybridMultilevel"/>
    <w:tmpl w:val="1AF486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AA6633"/>
    <w:multiLevelType w:val="hybridMultilevel"/>
    <w:tmpl w:val="F228AB1E"/>
    <w:lvl w:ilvl="0" w:tplc="DB805310">
      <w:start w:val="1"/>
      <w:numFmt w:val="lowerLetter"/>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5A47A9"/>
    <w:multiLevelType w:val="hybridMultilevel"/>
    <w:tmpl w:val="1AF486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7A0017"/>
    <w:multiLevelType w:val="hybridMultilevel"/>
    <w:tmpl w:val="8610AF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894C94"/>
    <w:multiLevelType w:val="hybridMultilevel"/>
    <w:tmpl w:val="8B2CB9D0"/>
    <w:lvl w:ilvl="0" w:tplc="9A729A2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95539DF"/>
    <w:multiLevelType w:val="hybridMultilevel"/>
    <w:tmpl w:val="569E3E2E"/>
    <w:lvl w:ilvl="0" w:tplc="A24CEC9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15:restartNumberingAfterBreak="0">
    <w:nsid w:val="3B3A6736"/>
    <w:multiLevelType w:val="hybridMultilevel"/>
    <w:tmpl w:val="1AF486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B4E6E7B"/>
    <w:multiLevelType w:val="hybridMultilevel"/>
    <w:tmpl w:val="B8D67A44"/>
    <w:lvl w:ilvl="0" w:tplc="B4F6E33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3" w15:restartNumberingAfterBreak="0">
    <w:nsid w:val="421679C6"/>
    <w:multiLevelType w:val="hybridMultilevel"/>
    <w:tmpl w:val="02AAA2CC"/>
    <w:lvl w:ilvl="0" w:tplc="DB80531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95B7BC8"/>
    <w:multiLevelType w:val="hybridMultilevel"/>
    <w:tmpl w:val="B1C2DE4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126408"/>
    <w:multiLevelType w:val="hybridMultilevel"/>
    <w:tmpl w:val="D15E8168"/>
    <w:lvl w:ilvl="0" w:tplc="176866D8">
      <w:start w:val="1"/>
      <w:numFmt w:val="decimal"/>
      <w:lvlText w:val="%1."/>
      <w:lvlJc w:val="left"/>
      <w:pPr>
        <w:ind w:left="1065"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13224C7"/>
    <w:multiLevelType w:val="hybridMultilevel"/>
    <w:tmpl w:val="566259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D778EC"/>
    <w:multiLevelType w:val="hybridMultilevel"/>
    <w:tmpl w:val="BEB80E6C"/>
    <w:lvl w:ilvl="0" w:tplc="B0368778">
      <w:start w:val="1"/>
      <w:numFmt w:val="lowerLetter"/>
      <w:lvlText w:val="%1)"/>
      <w:lvlJc w:val="left"/>
      <w:pPr>
        <w:ind w:left="1065"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6890648"/>
    <w:multiLevelType w:val="hybridMultilevel"/>
    <w:tmpl w:val="1910BE6C"/>
    <w:lvl w:ilvl="0" w:tplc="EDDE1A1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15:restartNumberingAfterBreak="0">
    <w:nsid w:val="58CA035B"/>
    <w:multiLevelType w:val="hybridMultilevel"/>
    <w:tmpl w:val="19145ECE"/>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B8262C8"/>
    <w:multiLevelType w:val="hybridMultilevel"/>
    <w:tmpl w:val="B8B45C14"/>
    <w:lvl w:ilvl="0" w:tplc="B47444A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1" w15:restartNumberingAfterBreak="0">
    <w:nsid w:val="659C646B"/>
    <w:multiLevelType w:val="hybridMultilevel"/>
    <w:tmpl w:val="6D98DC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692881"/>
    <w:multiLevelType w:val="hybridMultilevel"/>
    <w:tmpl w:val="657A90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1F4D57"/>
    <w:multiLevelType w:val="hybridMultilevel"/>
    <w:tmpl w:val="973ECF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ADF3631"/>
    <w:multiLevelType w:val="hybridMultilevel"/>
    <w:tmpl w:val="D780088C"/>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2C428D1"/>
    <w:multiLevelType w:val="hybridMultilevel"/>
    <w:tmpl w:val="4CB2DC82"/>
    <w:lvl w:ilvl="0" w:tplc="9A729A20">
      <w:start w:val="1"/>
      <w:numFmt w:val="decimal"/>
      <w:lvlText w:val="%1."/>
      <w:lvlJc w:val="left"/>
      <w:pPr>
        <w:ind w:left="216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7614256C"/>
    <w:multiLevelType w:val="hybridMultilevel"/>
    <w:tmpl w:val="D0C239BA"/>
    <w:lvl w:ilvl="0" w:tplc="DB805310">
      <w:start w:val="1"/>
      <w:numFmt w:val="lowerLetter"/>
      <w:lvlText w:val="%1)"/>
      <w:lvlJc w:val="left"/>
      <w:pPr>
        <w:ind w:left="144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79D41B8C"/>
    <w:multiLevelType w:val="hybridMultilevel"/>
    <w:tmpl w:val="1AF486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0143AF"/>
    <w:multiLevelType w:val="hybridMultilevel"/>
    <w:tmpl w:val="C57CC65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15:restartNumberingAfterBreak="0">
    <w:nsid w:val="7D42239F"/>
    <w:multiLevelType w:val="hybridMultilevel"/>
    <w:tmpl w:val="9E328168"/>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0"/>
  </w:num>
  <w:num w:numId="3">
    <w:abstractNumId w:val="20"/>
  </w:num>
  <w:num w:numId="4">
    <w:abstractNumId w:val="3"/>
  </w:num>
  <w:num w:numId="5">
    <w:abstractNumId w:val="10"/>
  </w:num>
  <w:num w:numId="6">
    <w:abstractNumId w:val="22"/>
  </w:num>
  <w:num w:numId="7">
    <w:abstractNumId w:val="23"/>
  </w:num>
  <w:num w:numId="8">
    <w:abstractNumId w:val="4"/>
  </w:num>
  <w:num w:numId="9">
    <w:abstractNumId w:val="7"/>
  </w:num>
  <w:num w:numId="10">
    <w:abstractNumId w:val="8"/>
  </w:num>
  <w:num w:numId="11">
    <w:abstractNumId w:val="11"/>
  </w:num>
  <w:num w:numId="12">
    <w:abstractNumId w:val="5"/>
  </w:num>
  <w:num w:numId="13">
    <w:abstractNumId w:val="27"/>
  </w:num>
  <w:num w:numId="14">
    <w:abstractNumId w:val="18"/>
  </w:num>
  <w:num w:numId="15">
    <w:abstractNumId w:val="15"/>
  </w:num>
  <w:num w:numId="16">
    <w:abstractNumId w:val="16"/>
  </w:num>
  <w:num w:numId="17">
    <w:abstractNumId w:val="1"/>
  </w:num>
  <w:num w:numId="18">
    <w:abstractNumId w:val="21"/>
  </w:num>
  <w:num w:numId="19">
    <w:abstractNumId w:val="17"/>
  </w:num>
  <w:num w:numId="20">
    <w:abstractNumId w:val="13"/>
  </w:num>
  <w:num w:numId="21">
    <w:abstractNumId w:val="26"/>
  </w:num>
  <w:num w:numId="22">
    <w:abstractNumId w:val="6"/>
  </w:num>
  <w:num w:numId="23">
    <w:abstractNumId w:val="9"/>
  </w:num>
  <w:num w:numId="24">
    <w:abstractNumId w:val="25"/>
  </w:num>
  <w:num w:numId="25">
    <w:abstractNumId w:val="29"/>
  </w:num>
  <w:num w:numId="26">
    <w:abstractNumId w:val="14"/>
  </w:num>
  <w:num w:numId="27">
    <w:abstractNumId w:val="24"/>
  </w:num>
  <w:num w:numId="28">
    <w:abstractNumId w:val="19"/>
  </w:num>
  <w:num w:numId="29">
    <w:abstractNumId w:val="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14EA5"/>
    <w:rsid w:val="0004041F"/>
    <w:rsid w:val="0005490C"/>
    <w:rsid w:val="00057057"/>
    <w:rsid w:val="00080CAD"/>
    <w:rsid w:val="000969C1"/>
    <w:rsid w:val="000A71AE"/>
    <w:rsid w:val="000B1986"/>
    <w:rsid w:val="000C5436"/>
    <w:rsid w:val="000D2E07"/>
    <w:rsid w:val="000D2FE0"/>
    <w:rsid w:val="000F5FB8"/>
    <w:rsid w:val="000F6587"/>
    <w:rsid w:val="00132047"/>
    <w:rsid w:val="00150E81"/>
    <w:rsid w:val="00166D8C"/>
    <w:rsid w:val="001B00D2"/>
    <w:rsid w:val="001C239F"/>
    <w:rsid w:val="001C39DA"/>
    <w:rsid w:val="001C4DD2"/>
    <w:rsid w:val="001F23BD"/>
    <w:rsid w:val="002313AC"/>
    <w:rsid w:val="002467CE"/>
    <w:rsid w:val="002528D1"/>
    <w:rsid w:val="002611D7"/>
    <w:rsid w:val="00263138"/>
    <w:rsid w:val="00263D52"/>
    <w:rsid w:val="00271E5B"/>
    <w:rsid w:val="0028576A"/>
    <w:rsid w:val="00287960"/>
    <w:rsid w:val="002B18B3"/>
    <w:rsid w:val="002B700F"/>
    <w:rsid w:val="002C2752"/>
    <w:rsid w:val="002D5974"/>
    <w:rsid w:val="003014FB"/>
    <w:rsid w:val="00316772"/>
    <w:rsid w:val="00321011"/>
    <w:rsid w:val="003279A8"/>
    <w:rsid w:val="00345F59"/>
    <w:rsid w:val="003B1577"/>
    <w:rsid w:val="003C5800"/>
    <w:rsid w:val="003D4A01"/>
    <w:rsid w:val="003E4D67"/>
    <w:rsid w:val="003F1165"/>
    <w:rsid w:val="00400B8E"/>
    <w:rsid w:val="00401649"/>
    <w:rsid w:val="00411A6F"/>
    <w:rsid w:val="00416E59"/>
    <w:rsid w:val="00433940"/>
    <w:rsid w:val="004549D5"/>
    <w:rsid w:val="00472265"/>
    <w:rsid w:val="004727B9"/>
    <w:rsid w:val="004771C4"/>
    <w:rsid w:val="00496BBA"/>
    <w:rsid w:val="004A74ED"/>
    <w:rsid w:val="004B704B"/>
    <w:rsid w:val="004D324C"/>
    <w:rsid w:val="004F3046"/>
    <w:rsid w:val="004F39AA"/>
    <w:rsid w:val="005070B9"/>
    <w:rsid w:val="00520EE4"/>
    <w:rsid w:val="00525FD7"/>
    <w:rsid w:val="00547695"/>
    <w:rsid w:val="00560744"/>
    <w:rsid w:val="005650E0"/>
    <w:rsid w:val="00590B4A"/>
    <w:rsid w:val="00597E29"/>
    <w:rsid w:val="005B3935"/>
    <w:rsid w:val="005B6465"/>
    <w:rsid w:val="005C3292"/>
    <w:rsid w:val="005D790C"/>
    <w:rsid w:val="00614C97"/>
    <w:rsid w:val="006251D2"/>
    <w:rsid w:val="00626026"/>
    <w:rsid w:val="0063313D"/>
    <w:rsid w:val="00655B41"/>
    <w:rsid w:val="0065713D"/>
    <w:rsid w:val="00674918"/>
    <w:rsid w:val="00683367"/>
    <w:rsid w:val="00684BF8"/>
    <w:rsid w:val="006D31B1"/>
    <w:rsid w:val="006E7697"/>
    <w:rsid w:val="006F2979"/>
    <w:rsid w:val="0071079E"/>
    <w:rsid w:val="007678E7"/>
    <w:rsid w:val="007803B6"/>
    <w:rsid w:val="00781480"/>
    <w:rsid w:val="0079789C"/>
    <w:rsid w:val="007C4A91"/>
    <w:rsid w:val="007D0B7E"/>
    <w:rsid w:val="00801B05"/>
    <w:rsid w:val="00803B01"/>
    <w:rsid w:val="00806B01"/>
    <w:rsid w:val="008139ED"/>
    <w:rsid w:val="008148C1"/>
    <w:rsid w:val="00823DD1"/>
    <w:rsid w:val="00825C12"/>
    <w:rsid w:val="00831D02"/>
    <w:rsid w:val="008A3479"/>
    <w:rsid w:val="008B6011"/>
    <w:rsid w:val="008B7EFB"/>
    <w:rsid w:val="008C2B1B"/>
    <w:rsid w:val="008E262A"/>
    <w:rsid w:val="008E3789"/>
    <w:rsid w:val="008F784F"/>
    <w:rsid w:val="009105E4"/>
    <w:rsid w:val="00917B64"/>
    <w:rsid w:val="009303FF"/>
    <w:rsid w:val="0093100C"/>
    <w:rsid w:val="00943532"/>
    <w:rsid w:val="00991339"/>
    <w:rsid w:val="009A3074"/>
    <w:rsid w:val="009B57B0"/>
    <w:rsid w:val="009B5EE5"/>
    <w:rsid w:val="009C0514"/>
    <w:rsid w:val="009D147E"/>
    <w:rsid w:val="009D7269"/>
    <w:rsid w:val="009E434E"/>
    <w:rsid w:val="00A071BD"/>
    <w:rsid w:val="00A13D2B"/>
    <w:rsid w:val="00A41B9B"/>
    <w:rsid w:val="00A42C10"/>
    <w:rsid w:val="00A52A78"/>
    <w:rsid w:val="00A63F1D"/>
    <w:rsid w:val="00A95958"/>
    <w:rsid w:val="00AB7349"/>
    <w:rsid w:val="00AC25DB"/>
    <w:rsid w:val="00AE6F03"/>
    <w:rsid w:val="00B13D0D"/>
    <w:rsid w:val="00B275FD"/>
    <w:rsid w:val="00B40F84"/>
    <w:rsid w:val="00B43656"/>
    <w:rsid w:val="00B555F8"/>
    <w:rsid w:val="00B72F48"/>
    <w:rsid w:val="00B8588D"/>
    <w:rsid w:val="00BB3684"/>
    <w:rsid w:val="00BB3A59"/>
    <w:rsid w:val="00BC4572"/>
    <w:rsid w:val="00BE288A"/>
    <w:rsid w:val="00BE7570"/>
    <w:rsid w:val="00BF6F37"/>
    <w:rsid w:val="00C16767"/>
    <w:rsid w:val="00C23705"/>
    <w:rsid w:val="00C2476E"/>
    <w:rsid w:val="00C51F53"/>
    <w:rsid w:val="00C54355"/>
    <w:rsid w:val="00C70451"/>
    <w:rsid w:val="00C71F46"/>
    <w:rsid w:val="00C82220"/>
    <w:rsid w:val="00C84CED"/>
    <w:rsid w:val="00C93B99"/>
    <w:rsid w:val="00CB54B1"/>
    <w:rsid w:val="00CC3153"/>
    <w:rsid w:val="00CC7BAB"/>
    <w:rsid w:val="00CD137F"/>
    <w:rsid w:val="00CF767D"/>
    <w:rsid w:val="00CF7696"/>
    <w:rsid w:val="00D23E56"/>
    <w:rsid w:val="00D45A9B"/>
    <w:rsid w:val="00D518C7"/>
    <w:rsid w:val="00D531B7"/>
    <w:rsid w:val="00D54297"/>
    <w:rsid w:val="00D647A0"/>
    <w:rsid w:val="00D775E6"/>
    <w:rsid w:val="00D860DA"/>
    <w:rsid w:val="00D90BCF"/>
    <w:rsid w:val="00D9144B"/>
    <w:rsid w:val="00DA0C2E"/>
    <w:rsid w:val="00DB5109"/>
    <w:rsid w:val="00DC149E"/>
    <w:rsid w:val="00DD7846"/>
    <w:rsid w:val="00DE3290"/>
    <w:rsid w:val="00E319E4"/>
    <w:rsid w:val="00E443B9"/>
    <w:rsid w:val="00E47748"/>
    <w:rsid w:val="00E61895"/>
    <w:rsid w:val="00E633E1"/>
    <w:rsid w:val="00E6525F"/>
    <w:rsid w:val="00E720B6"/>
    <w:rsid w:val="00E86549"/>
    <w:rsid w:val="00EB71C0"/>
    <w:rsid w:val="00EC1C37"/>
    <w:rsid w:val="00EF2F26"/>
    <w:rsid w:val="00EF679E"/>
    <w:rsid w:val="00F05B0E"/>
    <w:rsid w:val="00F25457"/>
    <w:rsid w:val="00F32F92"/>
    <w:rsid w:val="00F351AA"/>
    <w:rsid w:val="00F42F41"/>
    <w:rsid w:val="00F52AA1"/>
    <w:rsid w:val="00F727DF"/>
    <w:rsid w:val="00F8738B"/>
    <w:rsid w:val="00FA43C2"/>
    <w:rsid w:val="00FB1EF4"/>
    <w:rsid w:val="00FC6A4A"/>
    <w:rsid w:val="00FD0DDB"/>
    <w:rsid w:val="00FE176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6CBCB"/>
  <w15:docId w15:val="{F4B04A5B-C64A-4697-B0E8-084EC0B4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39F"/>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uiPriority w:val="9"/>
    <w:qFormat/>
    <w:rsid w:val="009E43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unhideWhenUsed/>
    <w:qFormat/>
    <w:rsid w:val="009E43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E434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pPr>
    <w:rPr>
      <w:i/>
      <w:iCs/>
      <w:color w:val="44546A" w:themeColor="text2"/>
      <w:sz w:val="18"/>
      <w:szCs w:val="18"/>
    </w:rPr>
  </w:style>
  <w:style w:type="paragraph" w:styleId="Title">
    <w:name w:val="Title"/>
    <w:aliases w:val="Şekil adı"/>
    <w:basedOn w:val="Normal"/>
    <w:next w:val="Normal"/>
    <w:link w:val="TitleChar"/>
    <w:uiPriority w:val="10"/>
    <w:qFormat/>
    <w:rsid w:val="009E434E"/>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pPr>
    <w:rPr>
      <w:rFonts w:ascii="Calibri" w:hAnsi="Calibri"/>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nhideWhenUsed/>
    <w:rsid w:val="0071079E"/>
    <w:rPr>
      <w:sz w:val="20"/>
      <w:szCs w:val="20"/>
    </w:rPr>
  </w:style>
  <w:style w:type="character" w:customStyle="1" w:styleId="FootnoteTextChar">
    <w:name w:val="Footnote Text Char"/>
    <w:basedOn w:val="DefaultParagraphFont"/>
    <w:link w:val="FootnoteText"/>
    <w:rsid w:val="0071079E"/>
    <w:rPr>
      <w:sz w:val="20"/>
      <w:szCs w:val="20"/>
    </w:rPr>
  </w:style>
  <w:style w:type="character" w:styleId="FootnoteReference">
    <w:name w:val="footnote reference"/>
    <w:basedOn w:val="DefaultParagraphFont"/>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styleId="ListParagraph">
    <w:name w:val="List Paragraph"/>
    <w:basedOn w:val="Normal"/>
    <w:uiPriority w:val="34"/>
    <w:qFormat/>
    <w:rsid w:val="00D54297"/>
    <w:pPr>
      <w:spacing w:after="200" w:line="276" w:lineRule="auto"/>
      <w:ind w:left="720"/>
      <w:contextualSpacing/>
    </w:pPr>
    <w:rPr>
      <w:sz w:val="20"/>
    </w:rPr>
  </w:style>
  <w:style w:type="character" w:customStyle="1" w:styleId="CommentTextChar">
    <w:name w:val="Comment Text Char"/>
    <w:basedOn w:val="DefaultParagraphFont"/>
    <w:link w:val="CommentText"/>
    <w:uiPriority w:val="99"/>
    <w:semiHidden/>
    <w:rsid w:val="00D54297"/>
    <w:rPr>
      <w:rFonts w:ascii="Times New Roman" w:hAnsi="Times New Roman" w:cs="Times New Roman"/>
      <w:sz w:val="20"/>
      <w:szCs w:val="20"/>
    </w:rPr>
  </w:style>
  <w:style w:type="paragraph" w:styleId="CommentText">
    <w:name w:val="annotation text"/>
    <w:basedOn w:val="Normal"/>
    <w:link w:val="CommentTextChar"/>
    <w:uiPriority w:val="99"/>
    <w:semiHidden/>
    <w:unhideWhenUsed/>
    <w:rsid w:val="00D54297"/>
    <w:pPr>
      <w:spacing w:after="200"/>
    </w:pPr>
    <w:rPr>
      <w:sz w:val="20"/>
      <w:szCs w:val="20"/>
    </w:rPr>
  </w:style>
  <w:style w:type="character" w:customStyle="1" w:styleId="CommentSubjectChar">
    <w:name w:val="Comment Subject Char"/>
    <w:basedOn w:val="CommentTextChar"/>
    <w:link w:val="CommentSubject"/>
    <w:uiPriority w:val="99"/>
    <w:semiHidden/>
    <w:rsid w:val="00D54297"/>
    <w:rPr>
      <w:rFonts w:ascii="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D54297"/>
    <w:rPr>
      <w:b/>
      <w:bCs/>
    </w:rPr>
  </w:style>
  <w:style w:type="character" w:customStyle="1" w:styleId="fontstyle01">
    <w:name w:val="fontstyle01"/>
    <w:basedOn w:val="DefaultParagraphFont"/>
    <w:rsid w:val="00D54297"/>
    <w:rPr>
      <w:rFonts w:ascii="OpenSans-Semibold" w:hAnsi="OpenSans-Semibold" w:hint="default"/>
      <w:b w:val="0"/>
      <w:bCs w:val="0"/>
      <w:i w:val="0"/>
      <w:iCs w:val="0"/>
      <w:color w:val="000000"/>
      <w:sz w:val="24"/>
      <w:szCs w:val="24"/>
    </w:rPr>
  </w:style>
  <w:style w:type="paragraph" w:styleId="BodyText">
    <w:name w:val="Body Text"/>
    <w:basedOn w:val="Normal"/>
    <w:link w:val="BodyTextChar"/>
    <w:uiPriority w:val="99"/>
    <w:unhideWhenUsed/>
    <w:rsid w:val="00D54297"/>
    <w:pPr>
      <w:spacing w:after="200" w:line="276" w:lineRule="auto"/>
      <w:jc w:val="both"/>
    </w:pPr>
    <w:rPr>
      <w:sz w:val="20"/>
      <w:szCs w:val="20"/>
    </w:rPr>
  </w:style>
  <w:style w:type="character" w:customStyle="1" w:styleId="BodyTextChar">
    <w:name w:val="Body Text Char"/>
    <w:basedOn w:val="DefaultParagraphFont"/>
    <w:link w:val="BodyText"/>
    <w:uiPriority w:val="99"/>
    <w:rsid w:val="00D54297"/>
    <w:rPr>
      <w:rFonts w:ascii="Times New Roman" w:hAnsi="Times New Roman" w:cs="Times New Roman"/>
      <w:sz w:val="20"/>
      <w:szCs w:val="20"/>
    </w:rPr>
  </w:style>
  <w:style w:type="character" w:customStyle="1" w:styleId="fontstyle21">
    <w:name w:val="fontstyle21"/>
    <w:basedOn w:val="DefaultParagraphFont"/>
    <w:rsid w:val="00D54297"/>
    <w:rPr>
      <w:rFonts w:ascii="AdvOT7d6df7ab.I" w:hAnsi="AdvOT7d6df7ab.I" w:hint="default"/>
      <w:b w:val="0"/>
      <w:bCs w:val="0"/>
      <w:i w:val="0"/>
      <w:iCs w:val="0"/>
      <w:color w:val="000000"/>
      <w:sz w:val="18"/>
      <w:szCs w:val="18"/>
    </w:rPr>
  </w:style>
  <w:style w:type="character" w:customStyle="1" w:styleId="fontstyle31">
    <w:name w:val="fontstyle31"/>
    <w:basedOn w:val="DefaultParagraphFont"/>
    <w:rsid w:val="00D54297"/>
    <w:rPr>
      <w:rFonts w:ascii="AdvOT1ef757c0+20" w:hAnsi="AdvOT1ef757c0+20"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382676005">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648898992">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pseducation.oecd.org/IndicatorExplorer?query=2" TargetMode="External"/><Relationship Id="rId18" Type="http://schemas.openxmlformats.org/officeDocument/2006/relationships/hyperlink" Target="http://gpseducation.oecd.org/IndicatorExplorer?query=2" TargetMode="External"/><Relationship Id="rId26" Type="http://schemas.openxmlformats.org/officeDocument/2006/relationships/hyperlink" Target="http://dx.doi.org/10.1787/eag2012-en" TargetMode="External"/><Relationship Id="rId21" Type="http://schemas.openxmlformats.org/officeDocument/2006/relationships/hyperlink" Target="http://www.ssr.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gpseducation.oecd.org/IndicatorExplorer?query=2" TargetMode="External"/><Relationship Id="rId17" Type="http://schemas.openxmlformats.org/officeDocument/2006/relationships/hyperlink" Target="http://gpseducation.oecd.org/IndicatorExplorer?query=2" TargetMode="External"/><Relationship Id="rId25" Type="http://schemas.openxmlformats.org/officeDocument/2006/relationships/hyperlink" Target="http://www.iser.essex.ac.uk/publications/working-papers/iser/2012-13.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pseducation.oecd.org/IndicatorExplorer?query=2" TargetMode="External"/><Relationship Id="rId20" Type="http://schemas.openxmlformats.org/officeDocument/2006/relationships/hyperlink" Target="https://www.wested.org/online_pubs/po-98-02.pdf" TargetMode="External"/><Relationship Id="rId29" Type="http://schemas.openxmlformats.org/officeDocument/2006/relationships/hyperlink" Target="http://dx.doi.org/10.1787/eag-2015-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pseducation.oecd.org/IndicatorExplorer?query" TargetMode="External"/><Relationship Id="rId24" Type="http://schemas.openxmlformats.org/officeDocument/2006/relationships/hyperlink" Target="http://www.tandfonline.com/doi/abs/10.1080/09695940802417384" TargetMode="External"/><Relationship Id="rId32" Type="http://schemas.openxmlformats.org/officeDocument/2006/relationships/hyperlink" Target="http://dx.doi.org/10.1016/j.euroecorev.2004.11.00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pseducation.oecd.org/IndicatorExplorer?query=2" TargetMode="External"/><Relationship Id="rId23" Type="http://schemas.openxmlformats.org/officeDocument/2006/relationships/hyperlink" Target="https://www.dipf.de/de/forschung/publikationen/pdf-publikationen/Klieme_TIMSS2015andPISA2015.pdf" TargetMode="External"/><Relationship Id="rId28" Type="http://schemas.openxmlformats.org/officeDocument/2006/relationships/hyperlink" Target="http://www.oecd.org/pisa/pisaproducts/pisainfocus/49685503.pdf" TargetMode="External"/><Relationship Id="rId36" Type="http://schemas.openxmlformats.org/officeDocument/2006/relationships/footer" Target="footer2.xml"/><Relationship Id="rId10" Type="http://schemas.openxmlformats.org/officeDocument/2006/relationships/hyperlink" Target="mailto:metinkaya439@gmail.com" TargetMode="External"/><Relationship Id="rId19" Type="http://schemas.openxmlformats.org/officeDocument/2006/relationships/hyperlink" Target="http://gpseducation.oecd.org/IndicatorExplorer?query=2" TargetMode="External"/><Relationship Id="rId31" Type="http://schemas.openxmlformats.org/officeDocument/2006/relationships/hyperlink" Target="http://dx.doi.org/10.1787/9789264267510-en" TargetMode="External"/><Relationship Id="rId4" Type="http://schemas.openxmlformats.org/officeDocument/2006/relationships/settings" Target="settings.xml"/><Relationship Id="rId9" Type="http://schemas.openxmlformats.org/officeDocument/2006/relationships/hyperlink" Target="mailto:a_selvi20@hotmail.com" TargetMode="External"/><Relationship Id="rId14" Type="http://schemas.openxmlformats.org/officeDocument/2006/relationships/hyperlink" Target="http://gpseducation.oecd.org/IndicatorExplorer?query=2" TargetMode="External"/><Relationship Id="rId22" Type="http://schemas.openxmlformats.org/officeDocument/2006/relationships/hyperlink" Target="https://educationdatalab.org.uk/2017/07/why-does-vietnam-do-so-well-in-pisa-an-example-of-why-naive-interpretation-of-international-rankings-is-such-a-bad-idea/" TargetMode="External"/><Relationship Id="rId27" Type="http://schemas.openxmlformats.org/officeDocument/2006/relationships/hyperlink" Target="http://dx.doi.org/10.1787/2745d679-en" TargetMode="External"/><Relationship Id="rId30" Type="http://schemas.openxmlformats.org/officeDocument/2006/relationships/hyperlink" Target="http://dx.doi.org/10.187/eag-2016-en" TargetMode="External"/><Relationship Id="rId35" Type="http://schemas.openxmlformats.org/officeDocument/2006/relationships/header" Target="header2.xml"/><Relationship Id="rId8" Type="http://schemas.openxmlformats.org/officeDocument/2006/relationships/hyperlink" Target="mailto:aaydin@ogu.edu.tr"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5ACC0-5274-423A-AEA7-76DD91B7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9636</Words>
  <Characters>54930</Characters>
  <Application>Microsoft Office Word</Application>
  <DocSecurity>0</DocSecurity>
  <Lines>457</Lines>
  <Paragraphs>128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Kokoc</dc:creator>
  <cp:lastModifiedBy>Author</cp:lastModifiedBy>
  <cp:revision>4</cp:revision>
  <dcterms:created xsi:type="dcterms:W3CDTF">2018-08-08T14:27:00Z</dcterms:created>
  <dcterms:modified xsi:type="dcterms:W3CDTF">2018-10-01T17:20:00Z</dcterms:modified>
</cp:coreProperties>
</file>