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34" w:rsidRPr="007A699D" w:rsidRDefault="00AC4D34" w:rsidP="00B34CB3">
      <w:pPr>
        <w:spacing w:after="200"/>
        <w:rPr>
          <w:rFonts w:ascii="Cambria" w:hAnsi="Cambria"/>
          <w:sz w:val="36"/>
          <w:szCs w:val="32"/>
        </w:rPr>
      </w:pPr>
      <w:r w:rsidRPr="00AC4D34">
        <w:rPr>
          <w:rFonts w:ascii="Cambria" w:hAnsi="Cambria"/>
          <w:sz w:val="32"/>
        </w:rPr>
        <w:t>Çizgi Filmlerin İlkokul Öğrencilerinin Duyuşsal Özelliklerine Etkisine Yönelik Bir Ölçek Geliştirme Çalışması</w:t>
      </w:r>
      <w:r w:rsidR="00B3228B">
        <w:rPr>
          <w:rStyle w:val="FootnoteReference"/>
          <w:rFonts w:ascii="Cambria" w:hAnsi="Cambria"/>
          <w:sz w:val="32"/>
        </w:rPr>
        <w:footnoteReference w:id="1"/>
      </w:r>
    </w:p>
    <w:p w:rsidR="006E13FF" w:rsidRDefault="000F1CA2" w:rsidP="00B34CB3">
      <w:pPr>
        <w:spacing w:after="200"/>
        <w:rPr>
          <w:rFonts w:ascii="Cambria" w:hAnsi="Cambria"/>
          <w:sz w:val="32"/>
          <w:szCs w:val="32"/>
        </w:rPr>
      </w:pPr>
      <w:r w:rsidRPr="000F1CA2">
        <w:rPr>
          <w:rFonts w:ascii="Cambria" w:hAnsi="Cambria"/>
          <w:sz w:val="32"/>
          <w:szCs w:val="32"/>
        </w:rPr>
        <w:t xml:space="preserve">Scale Development Study </w:t>
      </w:r>
      <w:r>
        <w:rPr>
          <w:rFonts w:ascii="Cambria" w:hAnsi="Cambria"/>
          <w:sz w:val="32"/>
          <w:szCs w:val="32"/>
        </w:rPr>
        <w:t>About the Effect of Cartoon Movies on Affective Characteristics of Elementary School Students</w:t>
      </w:r>
    </w:p>
    <w:p w:rsidR="009C762F" w:rsidRPr="005070B9" w:rsidRDefault="009C762F" w:rsidP="009C762F">
      <w:pPr>
        <w:rPr>
          <w:rFonts w:ascii="Cambria" w:eastAsia="MS Gothic" w:hAnsi="Cambria"/>
          <w:bCs/>
          <w:kern w:val="24"/>
          <w:sz w:val="20"/>
          <w:szCs w:val="20"/>
          <w:lang w:val="en-US"/>
        </w:rPr>
      </w:pPr>
      <w:r>
        <w:rPr>
          <w:rFonts w:ascii="Cambria" w:eastAsia="MS Gothic" w:hAnsi="Cambria"/>
          <w:b/>
          <w:bCs/>
          <w:kern w:val="24"/>
          <w:sz w:val="20"/>
          <w:szCs w:val="20"/>
        </w:rPr>
        <w:t xml:space="preserve">İbrahim </w:t>
      </w:r>
      <w:r w:rsidR="00834776">
        <w:rPr>
          <w:rFonts w:ascii="Cambria" w:eastAsia="MS Gothic" w:hAnsi="Cambria"/>
          <w:b/>
          <w:bCs/>
          <w:kern w:val="24"/>
          <w:sz w:val="20"/>
          <w:szCs w:val="20"/>
        </w:rPr>
        <w:t>Uysal</w:t>
      </w:r>
      <w:r w:rsidRPr="005070B9">
        <w:rPr>
          <w:rFonts w:ascii="Cambria" w:eastAsia="MS Gothic" w:hAnsi="Cambria"/>
          <w:bCs/>
          <w:kern w:val="24"/>
          <w:sz w:val="20"/>
          <w:szCs w:val="20"/>
        </w:rPr>
        <w:t xml:space="preserve">, </w:t>
      </w:r>
      <w:r>
        <w:rPr>
          <w:rFonts w:ascii="Cambria" w:eastAsia="Calibri" w:hAnsi="Cambria"/>
          <w:i/>
          <w:sz w:val="20"/>
          <w:szCs w:val="20"/>
        </w:rPr>
        <w:t>Abant İzzet Baysal Üniversitesi</w:t>
      </w:r>
      <w:r w:rsidRPr="005070B9">
        <w:rPr>
          <w:rFonts w:ascii="Cambria" w:eastAsia="Calibri" w:hAnsi="Cambria"/>
          <w:i/>
          <w:sz w:val="20"/>
          <w:szCs w:val="20"/>
        </w:rPr>
        <w:t xml:space="preserve">, </w:t>
      </w:r>
      <w:r>
        <w:rPr>
          <w:rFonts w:ascii="Cambria" w:eastAsia="Calibri" w:hAnsi="Cambria"/>
          <w:i/>
          <w:color w:val="0000FF"/>
          <w:sz w:val="20"/>
          <w:szCs w:val="20"/>
          <w:u w:val="single"/>
        </w:rPr>
        <w:t>ibrahimuysal@ibu.edu.tr</w:t>
      </w:r>
    </w:p>
    <w:p w:rsidR="001D055F" w:rsidRPr="001D055F" w:rsidRDefault="001D055F" w:rsidP="001D055F">
      <w:pPr>
        <w:rPr>
          <w:rFonts w:ascii="Cambria" w:eastAsia="Calibri" w:hAnsi="Cambria"/>
          <w:i/>
          <w:sz w:val="20"/>
          <w:szCs w:val="20"/>
        </w:rPr>
      </w:pPr>
      <w:r>
        <w:rPr>
          <w:rFonts w:ascii="Cambria" w:eastAsia="MS Gothic" w:hAnsi="Cambria"/>
          <w:b/>
          <w:bCs/>
          <w:kern w:val="24"/>
          <w:sz w:val="20"/>
          <w:szCs w:val="20"/>
        </w:rPr>
        <w:t xml:space="preserve">Selin </w:t>
      </w:r>
      <w:r w:rsidR="00834776">
        <w:rPr>
          <w:rFonts w:ascii="Cambria" w:eastAsia="MS Gothic" w:hAnsi="Cambria"/>
          <w:b/>
          <w:bCs/>
          <w:kern w:val="24"/>
          <w:sz w:val="20"/>
          <w:szCs w:val="20"/>
        </w:rPr>
        <w:t>Sarıça</w:t>
      </w:r>
      <w:r w:rsidRPr="005070B9">
        <w:rPr>
          <w:rFonts w:ascii="Cambria" w:eastAsia="MS Gothic" w:hAnsi="Cambria"/>
          <w:bCs/>
          <w:kern w:val="24"/>
          <w:sz w:val="20"/>
          <w:szCs w:val="20"/>
        </w:rPr>
        <w:t xml:space="preserve">, </w:t>
      </w:r>
      <w:r>
        <w:rPr>
          <w:rFonts w:ascii="Cambria" w:eastAsia="Calibri" w:hAnsi="Cambria"/>
          <w:i/>
          <w:sz w:val="20"/>
          <w:szCs w:val="20"/>
        </w:rPr>
        <w:t>Milli Eğitim Bakanlığı</w:t>
      </w:r>
      <w:r w:rsidRPr="005070B9">
        <w:rPr>
          <w:rFonts w:ascii="Cambria" w:eastAsia="Calibri" w:hAnsi="Cambria"/>
          <w:i/>
          <w:sz w:val="20"/>
          <w:szCs w:val="20"/>
        </w:rPr>
        <w:t xml:space="preserve">, </w:t>
      </w:r>
      <w:r w:rsidR="009C762F">
        <w:rPr>
          <w:rFonts w:ascii="Cambria" w:eastAsia="Calibri" w:hAnsi="Cambria"/>
          <w:i/>
          <w:color w:val="0000FF"/>
          <w:sz w:val="20"/>
          <w:szCs w:val="20"/>
          <w:u w:val="single"/>
        </w:rPr>
        <w:t>selin_kosemen@hotmail.com</w:t>
      </w:r>
    </w:p>
    <w:p w:rsidR="000F5FB8" w:rsidRPr="000F5FB8" w:rsidRDefault="000F5FB8" w:rsidP="000F5FB8">
      <w:pPr>
        <w:rPr>
          <w:rFonts w:ascii="Cambria" w:hAnsi="Cambria"/>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834776">
        <w:trPr>
          <w:trHeight w:val="2494"/>
          <w:jc w:val="center"/>
        </w:trPr>
        <w:tc>
          <w:tcPr>
            <w:tcW w:w="9214" w:type="dxa"/>
            <w:tcBorders>
              <w:top w:val="nil"/>
              <w:bottom w:val="single" w:sz="2" w:space="0" w:color="auto"/>
            </w:tcBorders>
          </w:tcPr>
          <w:p w:rsidR="005070B9" w:rsidRDefault="005070B9" w:rsidP="005070B9">
            <w:pPr>
              <w:jc w:val="both"/>
              <w:rPr>
                <w:rFonts w:ascii="Cambria" w:hAnsi="Cambria"/>
                <w:sz w:val="20"/>
                <w:szCs w:val="20"/>
              </w:rPr>
            </w:pPr>
            <w:r w:rsidRPr="005070B9">
              <w:rPr>
                <w:rFonts w:ascii="Cambria" w:hAnsi="Cambria"/>
                <w:b/>
                <w:sz w:val="20"/>
                <w:szCs w:val="20"/>
              </w:rPr>
              <w:t>Öz</w:t>
            </w:r>
            <w:r w:rsidR="00FD0DDB">
              <w:rPr>
                <w:rFonts w:ascii="Cambria" w:hAnsi="Cambria"/>
                <w:b/>
                <w:sz w:val="20"/>
                <w:szCs w:val="20"/>
              </w:rPr>
              <w:t>.</w:t>
            </w:r>
            <w:r w:rsidRPr="005070B9">
              <w:rPr>
                <w:rFonts w:ascii="Cambria" w:hAnsi="Cambria"/>
                <w:b/>
                <w:sz w:val="20"/>
                <w:szCs w:val="20"/>
              </w:rPr>
              <w:t xml:space="preserve"> </w:t>
            </w:r>
            <w:r w:rsidR="006E13FF" w:rsidRPr="00197234">
              <w:rPr>
                <w:rFonts w:ascii="Cambria" w:hAnsi="Cambria"/>
                <w:sz w:val="20"/>
                <w:szCs w:val="20"/>
              </w:rPr>
              <w:t>Çizgi filmlerin ilkokul öğrencilerinin duyuşsal özellikleri üzerindeki etkileri alanyazında çok fazla araştırılmamış bir konu olduğundan geçerliği ve güvenirliği belirlenmiş herhangi bir ölçme aracına rastlanmamıştır. Bu yönde; araştırmanın amacı, çizgi filmlerin ilkokul öğrencilerinin duyuşsal özellikleri üzerindeki etkilerini belirlemeyi amaçlayan bir ölçek geliştirmektir. Araştırmanın çalışma</w:t>
            </w:r>
            <w:r w:rsidR="00197234" w:rsidRPr="00197234">
              <w:rPr>
                <w:rFonts w:ascii="Cambria" w:hAnsi="Cambria"/>
                <w:sz w:val="20"/>
                <w:szCs w:val="20"/>
              </w:rPr>
              <w:t xml:space="preserve"> grubunu, Afyonkarahisar ilinde </w:t>
            </w:r>
            <w:r w:rsidR="006E13FF" w:rsidRPr="00197234">
              <w:rPr>
                <w:rFonts w:ascii="Cambria" w:hAnsi="Cambria"/>
                <w:sz w:val="20"/>
                <w:szCs w:val="20"/>
              </w:rPr>
              <w:t xml:space="preserve">öğrenim gören 234 </w:t>
            </w:r>
            <w:r w:rsidR="00197234" w:rsidRPr="00197234">
              <w:rPr>
                <w:rFonts w:ascii="Cambria" w:hAnsi="Cambria"/>
                <w:sz w:val="20"/>
                <w:szCs w:val="20"/>
              </w:rPr>
              <w:t xml:space="preserve">ve Aydın ilinde </w:t>
            </w:r>
            <w:r w:rsidR="005D5E02" w:rsidRPr="00197234">
              <w:rPr>
                <w:rFonts w:ascii="Cambria" w:hAnsi="Cambria"/>
                <w:sz w:val="20"/>
                <w:szCs w:val="20"/>
              </w:rPr>
              <w:t xml:space="preserve">öğrenim gören 220 </w:t>
            </w:r>
            <w:r w:rsidR="006E13FF" w:rsidRPr="00197234">
              <w:rPr>
                <w:rFonts w:ascii="Cambria" w:hAnsi="Cambria"/>
                <w:sz w:val="20"/>
                <w:szCs w:val="20"/>
              </w:rPr>
              <w:t>ilkokul öğrencisi oluşturmaktadır. Ölçek geliştirme aşamasında madde geçerliğine yönelik olarak madde ölçek korelasyonları hesaplanmıştır ve alt grup-üst grup ortalamalarının karşılaştırılmasına dayalı madde analizleri gerçekleştirilmiştir. Ölçeğin yapı geçerliğini belirlemek üzere açımlayıcı faktör analizi</w:t>
            </w:r>
            <w:r w:rsidR="005D5E02" w:rsidRPr="00197234">
              <w:rPr>
                <w:rFonts w:ascii="Cambria" w:hAnsi="Cambria"/>
                <w:sz w:val="20"/>
                <w:szCs w:val="20"/>
              </w:rPr>
              <w:t xml:space="preserve"> ve doğrulayıcı faktör analizi</w:t>
            </w:r>
            <w:r w:rsidR="006E13FF" w:rsidRPr="00197234">
              <w:rPr>
                <w:rFonts w:ascii="Cambria" w:hAnsi="Cambria"/>
                <w:sz w:val="20"/>
                <w:szCs w:val="20"/>
              </w:rPr>
              <w:t xml:space="preserve"> yapılmıştır. Açımlayıcı faktör analizinde faktör çıkarma yöntemi olarak temel bileşenler analizi seçilmiştir. İki boyutlu bir yapıda olduğu gözlenen ölçekte boyutlar arasında ilişki bulunduğundan döndürme yöntemi olarak eğik döndürme yön</w:t>
            </w:r>
            <w:r w:rsidR="005D5E02" w:rsidRPr="00197234">
              <w:rPr>
                <w:rFonts w:ascii="Cambria" w:hAnsi="Cambria"/>
                <w:sz w:val="20"/>
                <w:szCs w:val="20"/>
              </w:rPr>
              <w:t xml:space="preserve">temlerinden </w:t>
            </w:r>
            <w:r w:rsidR="00755138" w:rsidRPr="00197234">
              <w:rPr>
                <w:rFonts w:ascii="Cambria" w:hAnsi="Cambria"/>
                <w:sz w:val="20"/>
                <w:szCs w:val="20"/>
              </w:rPr>
              <w:t xml:space="preserve">PROMIN </w:t>
            </w:r>
            <w:r w:rsidR="005D5E02" w:rsidRPr="00197234">
              <w:rPr>
                <w:rFonts w:ascii="Cambria" w:hAnsi="Cambria"/>
                <w:sz w:val="20"/>
                <w:szCs w:val="20"/>
              </w:rPr>
              <w:t xml:space="preserve">seçilmiştir. Doğrulayıcı faktör analizi yöntemi olarak </w:t>
            </w:r>
            <w:r w:rsidR="00197234" w:rsidRPr="00197234">
              <w:rPr>
                <w:rFonts w:ascii="Cambria" w:hAnsi="Cambria"/>
                <w:sz w:val="20"/>
                <w:szCs w:val="20"/>
              </w:rPr>
              <w:t>güçlü</w:t>
            </w:r>
            <w:r w:rsidR="005D5E02" w:rsidRPr="00197234">
              <w:rPr>
                <w:rFonts w:ascii="Cambria" w:hAnsi="Cambria"/>
                <w:sz w:val="20"/>
                <w:szCs w:val="20"/>
              </w:rPr>
              <w:t xml:space="preserve"> ağırlıklı en küçük kareler yöntemi kullanılmıştır. </w:t>
            </w:r>
            <w:r w:rsidR="006E13FF" w:rsidRPr="00197234">
              <w:rPr>
                <w:rFonts w:ascii="Cambria" w:hAnsi="Cambria"/>
                <w:sz w:val="20"/>
                <w:szCs w:val="20"/>
              </w:rPr>
              <w:t>Ölçek güvenirliğine kanıt sağlamak amacıyla Cronbach Alpha, Tabakalı Alfa, Armor Teta</w:t>
            </w:r>
            <w:r w:rsidR="005D5E02" w:rsidRPr="00197234">
              <w:rPr>
                <w:rFonts w:ascii="Cambria" w:hAnsi="Cambria"/>
                <w:sz w:val="20"/>
                <w:szCs w:val="20"/>
              </w:rPr>
              <w:t>,</w:t>
            </w:r>
            <w:r w:rsidR="00755138" w:rsidRPr="00197234">
              <w:rPr>
                <w:rFonts w:ascii="Cambria" w:hAnsi="Cambria"/>
                <w:sz w:val="20"/>
                <w:szCs w:val="20"/>
              </w:rPr>
              <w:t xml:space="preserve"> McDonald Omega </w:t>
            </w:r>
            <w:r w:rsidR="006E13FF" w:rsidRPr="00197234">
              <w:rPr>
                <w:rFonts w:ascii="Cambria" w:hAnsi="Cambria"/>
                <w:sz w:val="20"/>
                <w:szCs w:val="20"/>
              </w:rPr>
              <w:t xml:space="preserve">katsayıları hesaplanmıştır. Araştırma sonucunda </w:t>
            </w:r>
            <w:r w:rsidR="00003666">
              <w:rPr>
                <w:rFonts w:ascii="Cambria" w:hAnsi="Cambria"/>
                <w:sz w:val="20"/>
                <w:szCs w:val="20"/>
              </w:rPr>
              <w:t>üç</w:t>
            </w:r>
            <w:r w:rsidR="006E13FF" w:rsidRPr="00197234">
              <w:rPr>
                <w:rFonts w:ascii="Cambria" w:hAnsi="Cambria"/>
                <w:sz w:val="20"/>
                <w:szCs w:val="20"/>
              </w:rPr>
              <w:t>lü derecelendirilen ve 1</w:t>
            </w:r>
            <w:r w:rsidR="00003666">
              <w:rPr>
                <w:rFonts w:ascii="Cambria" w:hAnsi="Cambria"/>
                <w:sz w:val="20"/>
                <w:szCs w:val="20"/>
              </w:rPr>
              <w:t>2</w:t>
            </w:r>
            <w:r w:rsidR="006E13FF" w:rsidRPr="00197234">
              <w:rPr>
                <w:rFonts w:ascii="Cambria" w:hAnsi="Cambria"/>
                <w:sz w:val="20"/>
                <w:szCs w:val="20"/>
              </w:rPr>
              <w:t xml:space="preserve"> maddeden oluşan ölçekten elde edilen verilerin geçerli ve güvenilir olduğu sonucuna ulaşılmıştır. Buna göre benzer örneklemler için ölçme aracının geçerli ve gü</w:t>
            </w:r>
            <w:r w:rsidR="00E6785A" w:rsidRPr="00197234">
              <w:rPr>
                <w:rFonts w:ascii="Cambria" w:hAnsi="Cambria"/>
                <w:sz w:val="20"/>
                <w:szCs w:val="20"/>
              </w:rPr>
              <w:t>venilir sonuçlar vermesi beklenmektedir.</w:t>
            </w:r>
          </w:p>
          <w:p w:rsidR="00834776" w:rsidRDefault="00834776" w:rsidP="005070B9">
            <w:pPr>
              <w:jc w:val="both"/>
              <w:rPr>
                <w:rFonts w:ascii="Cambria" w:hAnsi="Cambria"/>
                <w:sz w:val="20"/>
                <w:szCs w:val="20"/>
              </w:rPr>
            </w:pPr>
          </w:p>
          <w:p w:rsidR="005070B9" w:rsidRPr="005070B9" w:rsidRDefault="00FD0DDB" w:rsidP="005070B9">
            <w:pPr>
              <w:jc w:val="both"/>
              <w:rPr>
                <w:rFonts w:ascii="Cambria" w:hAnsi="Cambria"/>
                <w:sz w:val="20"/>
                <w:szCs w:val="20"/>
              </w:rPr>
            </w:pPr>
            <w:r>
              <w:rPr>
                <w:rFonts w:ascii="Cambria" w:hAnsi="Cambria"/>
                <w:b/>
                <w:sz w:val="20"/>
                <w:szCs w:val="20"/>
              </w:rPr>
              <w:t>Anahtar Sözcük</w:t>
            </w:r>
            <w:r w:rsidR="005070B9" w:rsidRPr="005070B9">
              <w:rPr>
                <w:rFonts w:ascii="Cambria" w:hAnsi="Cambria"/>
                <w:b/>
                <w:sz w:val="20"/>
                <w:szCs w:val="20"/>
              </w:rPr>
              <w:t xml:space="preserve">ler: </w:t>
            </w:r>
            <w:r w:rsidR="006E13FF" w:rsidRPr="006E13FF">
              <w:rPr>
                <w:rFonts w:ascii="Cambria" w:hAnsi="Cambria"/>
                <w:sz w:val="20"/>
                <w:szCs w:val="20"/>
              </w:rPr>
              <w:t xml:space="preserve">Çizgi </w:t>
            </w:r>
            <w:r w:rsidR="00834776" w:rsidRPr="006E13FF">
              <w:rPr>
                <w:rFonts w:ascii="Cambria" w:hAnsi="Cambria"/>
                <w:sz w:val="20"/>
                <w:szCs w:val="20"/>
              </w:rPr>
              <w:t>Filmler</w:t>
            </w:r>
            <w:r w:rsidR="006E13FF" w:rsidRPr="006E13FF">
              <w:rPr>
                <w:rFonts w:ascii="Cambria" w:hAnsi="Cambria"/>
                <w:sz w:val="20"/>
                <w:szCs w:val="20"/>
              </w:rPr>
              <w:t xml:space="preserve">, </w:t>
            </w:r>
            <w:r w:rsidR="00834776" w:rsidRPr="006E13FF">
              <w:rPr>
                <w:rFonts w:ascii="Cambria" w:hAnsi="Cambria"/>
                <w:sz w:val="20"/>
                <w:szCs w:val="20"/>
              </w:rPr>
              <w:t>İlkokul Öğrencileri, Ölçek Geliştirme</w:t>
            </w:r>
          </w:p>
          <w:p w:rsidR="000F5FB8" w:rsidRPr="000F5FB8" w:rsidRDefault="000F5FB8" w:rsidP="0012392D">
            <w:pPr>
              <w:jc w:val="both"/>
              <w:rPr>
                <w:rFonts w:ascii="Cambria" w:hAnsi="Cambria"/>
                <w:sz w:val="20"/>
                <w:szCs w:val="20"/>
              </w:rPr>
            </w:pPr>
          </w:p>
        </w:tc>
      </w:tr>
      <w:tr w:rsidR="000F5FB8" w:rsidRPr="000F5FB8" w:rsidTr="00834776">
        <w:trPr>
          <w:trHeight w:val="2287"/>
          <w:jc w:val="center"/>
        </w:trPr>
        <w:tc>
          <w:tcPr>
            <w:tcW w:w="9214" w:type="dxa"/>
            <w:tcBorders>
              <w:top w:val="single" w:sz="2" w:space="0" w:color="auto"/>
              <w:bottom w:val="nil"/>
            </w:tcBorders>
          </w:tcPr>
          <w:p w:rsidR="000F5FB8" w:rsidRPr="005070B9" w:rsidRDefault="000F5FB8" w:rsidP="0012392D">
            <w:pPr>
              <w:jc w:val="both"/>
              <w:rPr>
                <w:rFonts w:ascii="Cambria" w:hAnsi="Cambria"/>
                <w:b/>
                <w:sz w:val="20"/>
                <w:szCs w:val="20"/>
              </w:rPr>
            </w:pPr>
          </w:p>
          <w:p w:rsidR="005070B9" w:rsidRPr="005070B9" w:rsidRDefault="00FD0DDB" w:rsidP="005070B9">
            <w:pPr>
              <w:jc w:val="both"/>
              <w:rPr>
                <w:rFonts w:ascii="Cambria" w:hAnsi="Cambria"/>
                <w:sz w:val="20"/>
                <w:szCs w:val="20"/>
              </w:rPr>
            </w:pPr>
            <w:r w:rsidRPr="005070B9">
              <w:rPr>
                <w:rFonts w:ascii="Cambria" w:hAnsi="Cambria"/>
                <w:b/>
                <w:sz w:val="20"/>
                <w:szCs w:val="20"/>
              </w:rPr>
              <w:t>Abstract</w:t>
            </w:r>
            <w:r>
              <w:rPr>
                <w:rFonts w:ascii="Cambria" w:hAnsi="Cambria"/>
                <w:b/>
                <w:sz w:val="20"/>
                <w:szCs w:val="20"/>
              </w:rPr>
              <w:t>.</w:t>
            </w:r>
            <w:r w:rsidR="005070B9" w:rsidRPr="005070B9">
              <w:rPr>
                <w:rFonts w:ascii="Cambria" w:hAnsi="Cambria"/>
                <w:sz w:val="20"/>
                <w:szCs w:val="20"/>
              </w:rPr>
              <w:t xml:space="preserve"> </w:t>
            </w:r>
            <w:r w:rsidR="004B65DD" w:rsidRPr="004B65DD">
              <w:rPr>
                <w:rFonts w:ascii="Cambria" w:hAnsi="Cambria"/>
                <w:sz w:val="20"/>
                <w:szCs w:val="20"/>
              </w:rPr>
              <w:t xml:space="preserve">Since the effects of cartoon movies on the affective characteristics of elementary school students have not been investigated very much in the past, no measuring tool has been found to be valid and reliable. The aim of the research in this direction is to develop a scale aimed at determining the effects of cartoon movies on the affective characteristics of elementary school students. The study group of the </w:t>
            </w:r>
            <w:r w:rsidR="000671C9">
              <w:rPr>
                <w:rFonts w:ascii="Cambria" w:hAnsi="Cambria"/>
                <w:sz w:val="20"/>
                <w:szCs w:val="20"/>
              </w:rPr>
              <w:t>research</w:t>
            </w:r>
            <w:r w:rsidR="004B65DD" w:rsidRPr="004B65DD">
              <w:rPr>
                <w:rFonts w:ascii="Cambria" w:hAnsi="Cambria"/>
                <w:sz w:val="20"/>
                <w:szCs w:val="20"/>
              </w:rPr>
              <w:t xml:space="preserve"> is composed of 234 elementary school students in Afyonkarahisar city</w:t>
            </w:r>
            <w:r w:rsidR="000671C9">
              <w:rPr>
                <w:rFonts w:ascii="Cambria" w:hAnsi="Cambria"/>
                <w:sz w:val="20"/>
                <w:szCs w:val="20"/>
              </w:rPr>
              <w:t xml:space="preserve"> and 220 elementary school students in Aydın city</w:t>
            </w:r>
            <w:r w:rsidR="004B65DD" w:rsidRPr="004B65DD">
              <w:rPr>
                <w:rFonts w:ascii="Cambria" w:hAnsi="Cambria"/>
                <w:sz w:val="20"/>
                <w:szCs w:val="20"/>
              </w:rPr>
              <w:t xml:space="preserve">. </w:t>
            </w:r>
            <w:r w:rsidR="00101BB3">
              <w:rPr>
                <w:rFonts w:ascii="Cambria" w:hAnsi="Cambria"/>
                <w:sz w:val="20"/>
                <w:szCs w:val="20"/>
              </w:rPr>
              <w:t>Item</w:t>
            </w:r>
            <w:r w:rsidR="004B65DD" w:rsidRPr="004B65DD">
              <w:rPr>
                <w:rFonts w:ascii="Cambria" w:hAnsi="Cambria"/>
                <w:sz w:val="20"/>
                <w:szCs w:val="20"/>
              </w:rPr>
              <w:t xml:space="preserve"> scale correlations were calculated for item validity in the scale development phase and item analyzes based on the comparison of the average of the lower and the upper group were performed. An exploratory factor analysis</w:t>
            </w:r>
            <w:r w:rsidR="001F6DE4">
              <w:rPr>
                <w:rFonts w:ascii="Cambria" w:hAnsi="Cambria"/>
                <w:sz w:val="20"/>
                <w:szCs w:val="20"/>
              </w:rPr>
              <w:t xml:space="preserve"> and confirmatory factor analysis were</w:t>
            </w:r>
            <w:r w:rsidR="004B65DD" w:rsidRPr="004B65DD">
              <w:rPr>
                <w:rFonts w:ascii="Cambria" w:hAnsi="Cambria"/>
                <w:sz w:val="20"/>
                <w:szCs w:val="20"/>
              </w:rPr>
              <w:t xml:space="preserve"> performed to determine the </w:t>
            </w:r>
            <w:r w:rsidR="00E138F7">
              <w:rPr>
                <w:rFonts w:ascii="Cambria" w:hAnsi="Cambria"/>
                <w:sz w:val="20"/>
                <w:szCs w:val="20"/>
              </w:rPr>
              <w:t xml:space="preserve">construct </w:t>
            </w:r>
            <w:r w:rsidR="004B65DD" w:rsidRPr="004B65DD">
              <w:rPr>
                <w:rFonts w:ascii="Cambria" w:hAnsi="Cambria"/>
                <w:sz w:val="20"/>
                <w:szCs w:val="20"/>
              </w:rPr>
              <w:t>validity of the scale. In the exploratory factor analysis, the principal component analysis was chosen as the factor subtraction method. As there is a relation between dimensions in the scale which was observed to be a two-dimensional structure, P</w:t>
            </w:r>
            <w:r w:rsidR="003732D0">
              <w:rPr>
                <w:rFonts w:ascii="Cambria" w:hAnsi="Cambria"/>
                <w:sz w:val="20"/>
                <w:szCs w:val="20"/>
              </w:rPr>
              <w:t>ROMIN</w:t>
            </w:r>
            <w:r w:rsidR="004B65DD" w:rsidRPr="004B65DD">
              <w:rPr>
                <w:rFonts w:ascii="Cambria" w:hAnsi="Cambria"/>
                <w:sz w:val="20"/>
                <w:szCs w:val="20"/>
              </w:rPr>
              <w:t xml:space="preserve"> has been chosen as oblique rotation method.</w:t>
            </w:r>
            <w:r w:rsidR="000671C9">
              <w:rPr>
                <w:rFonts w:ascii="Cambria" w:hAnsi="Cambria"/>
                <w:sz w:val="20"/>
                <w:szCs w:val="20"/>
              </w:rPr>
              <w:t xml:space="preserve"> </w:t>
            </w:r>
            <w:r w:rsidR="000671C9" w:rsidRPr="000671C9">
              <w:rPr>
                <w:rFonts w:ascii="Cambria" w:hAnsi="Cambria"/>
                <w:sz w:val="20"/>
                <w:szCs w:val="20"/>
              </w:rPr>
              <w:t>R</w:t>
            </w:r>
            <w:r w:rsidR="000671C9">
              <w:rPr>
                <w:rFonts w:ascii="Cambria" w:hAnsi="Cambria"/>
                <w:sz w:val="20"/>
                <w:szCs w:val="20"/>
              </w:rPr>
              <w:t xml:space="preserve">obust </w:t>
            </w:r>
            <w:r w:rsidR="000671C9" w:rsidRPr="000671C9">
              <w:rPr>
                <w:rFonts w:ascii="Cambria" w:hAnsi="Cambria"/>
                <w:sz w:val="20"/>
                <w:szCs w:val="20"/>
              </w:rPr>
              <w:t>weighted least squares method was used as the confirmatory factor analysis method.</w:t>
            </w:r>
            <w:r w:rsidR="004B65DD" w:rsidRPr="004B65DD">
              <w:rPr>
                <w:rFonts w:ascii="Cambria" w:hAnsi="Cambria"/>
                <w:sz w:val="20"/>
                <w:szCs w:val="20"/>
              </w:rPr>
              <w:t xml:space="preserve"> Cronbach Alpha, Stratified Alpha, Armor Teta and McDonald Omega coefficients were calculated to provide evidence of scale reliability. As a result of the research, it is concluded that the data obtained from </w:t>
            </w:r>
            <w:r w:rsidR="00003666">
              <w:rPr>
                <w:rFonts w:ascii="Cambria" w:hAnsi="Cambria"/>
                <w:sz w:val="20"/>
                <w:szCs w:val="20"/>
              </w:rPr>
              <w:t>three</w:t>
            </w:r>
            <w:r w:rsidR="004B65DD" w:rsidRPr="004B65DD">
              <w:rPr>
                <w:rFonts w:ascii="Cambria" w:hAnsi="Cambria"/>
                <w:sz w:val="20"/>
                <w:szCs w:val="20"/>
              </w:rPr>
              <w:t>-graded scale which consists of 1</w:t>
            </w:r>
            <w:r w:rsidR="00003666">
              <w:rPr>
                <w:rFonts w:ascii="Cambria" w:hAnsi="Cambria"/>
                <w:sz w:val="20"/>
                <w:szCs w:val="20"/>
              </w:rPr>
              <w:t>2</w:t>
            </w:r>
            <w:r w:rsidR="004B65DD" w:rsidRPr="004B65DD">
              <w:rPr>
                <w:rFonts w:ascii="Cambria" w:hAnsi="Cambria"/>
                <w:sz w:val="20"/>
                <w:szCs w:val="20"/>
              </w:rPr>
              <w:t xml:space="preserve"> items are valid and reliable. Accordingly, it can be expected that the measurement tool will provide valid and reliable results for similar samples.</w:t>
            </w:r>
          </w:p>
          <w:p w:rsidR="00834776" w:rsidRDefault="00834776" w:rsidP="005070B9">
            <w:pPr>
              <w:tabs>
                <w:tab w:val="left" w:pos="3227"/>
              </w:tabs>
              <w:rPr>
                <w:rFonts w:ascii="Cambria" w:hAnsi="Cambria"/>
                <w:b/>
                <w:sz w:val="20"/>
                <w:szCs w:val="20"/>
              </w:rPr>
            </w:pPr>
          </w:p>
          <w:p w:rsidR="000F5FB8" w:rsidRPr="005070B9" w:rsidRDefault="005070B9" w:rsidP="005070B9">
            <w:pPr>
              <w:tabs>
                <w:tab w:val="left" w:pos="3227"/>
              </w:tabs>
              <w:rPr>
                <w:rFonts w:ascii="Cambria" w:hAnsi="Cambria"/>
                <w:sz w:val="20"/>
                <w:szCs w:val="20"/>
              </w:rPr>
            </w:pPr>
            <w:r w:rsidRPr="005070B9">
              <w:rPr>
                <w:rFonts w:ascii="Cambria" w:hAnsi="Cambria"/>
                <w:b/>
                <w:sz w:val="20"/>
                <w:szCs w:val="20"/>
              </w:rPr>
              <w:t>Keywords:</w:t>
            </w:r>
            <w:r w:rsidRPr="005070B9">
              <w:rPr>
                <w:rFonts w:ascii="Cambria" w:hAnsi="Cambria"/>
                <w:sz w:val="20"/>
                <w:szCs w:val="20"/>
              </w:rPr>
              <w:t xml:space="preserve"> </w:t>
            </w:r>
            <w:r w:rsidR="00F729A2" w:rsidRPr="00F729A2">
              <w:rPr>
                <w:rFonts w:ascii="Cambria" w:hAnsi="Cambria"/>
                <w:sz w:val="20"/>
                <w:szCs w:val="20"/>
              </w:rPr>
              <w:t xml:space="preserve">Cartoons, </w:t>
            </w:r>
            <w:r w:rsidR="00834776" w:rsidRPr="00F729A2">
              <w:rPr>
                <w:rFonts w:ascii="Cambria" w:hAnsi="Cambria"/>
                <w:sz w:val="20"/>
                <w:szCs w:val="20"/>
              </w:rPr>
              <w:t>Primary School Students, Scale Development</w:t>
            </w:r>
          </w:p>
        </w:tc>
      </w:tr>
    </w:tbl>
    <w:p w:rsidR="007A699D" w:rsidRDefault="007A699D" w:rsidP="00D9144B">
      <w:pPr>
        <w:pStyle w:val="Default"/>
        <w:rPr>
          <w:rFonts w:ascii="Times New Roman" w:hAnsi="Times New Roman" w:cs="Times New Roman"/>
          <w:b/>
          <w:bCs/>
          <w:sz w:val="20"/>
          <w:szCs w:val="20"/>
        </w:rPr>
      </w:pPr>
    </w:p>
    <w:p w:rsidR="00B3228B" w:rsidRDefault="00B3228B">
      <w:pPr>
        <w:rPr>
          <w:rFonts w:ascii="Cambria" w:hAnsi="Cambria"/>
          <w:b/>
        </w:rPr>
      </w:pPr>
      <w:r>
        <w:rPr>
          <w:rFonts w:ascii="Cambria" w:hAnsi="Cambria"/>
          <w:b/>
        </w:rPr>
        <w:br w:type="page"/>
      </w:r>
    </w:p>
    <w:p w:rsidR="005070B9" w:rsidRPr="00834776" w:rsidRDefault="005070B9" w:rsidP="00B3228B">
      <w:pPr>
        <w:spacing w:before="120" w:after="120"/>
        <w:jc w:val="center"/>
        <w:rPr>
          <w:rFonts w:ascii="Cambria" w:hAnsi="Cambria"/>
          <w:b/>
          <w:sz w:val="22"/>
          <w:szCs w:val="22"/>
        </w:rPr>
      </w:pPr>
      <w:r w:rsidRPr="00834776">
        <w:rPr>
          <w:rFonts w:ascii="Cambria" w:hAnsi="Cambria"/>
          <w:b/>
          <w:sz w:val="22"/>
          <w:szCs w:val="22"/>
        </w:rPr>
        <w:lastRenderedPageBreak/>
        <w:t>SUMMARY</w:t>
      </w:r>
    </w:p>
    <w:p w:rsidR="00834776" w:rsidRDefault="005070B9" w:rsidP="00834776">
      <w:pPr>
        <w:spacing w:before="240" w:after="240"/>
        <w:jc w:val="both"/>
        <w:rPr>
          <w:rFonts w:ascii="Cambria" w:hAnsi="Cambria"/>
          <w:b/>
          <w:sz w:val="22"/>
          <w:szCs w:val="22"/>
          <w:lang w:val="en-US"/>
        </w:rPr>
      </w:pPr>
      <w:r w:rsidRPr="00834776">
        <w:rPr>
          <w:rFonts w:ascii="Cambria" w:hAnsi="Cambria"/>
          <w:b/>
          <w:sz w:val="22"/>
          <w:szCs w:val="22"/>
          <w:lang w:val="en-US"/>
        </w:rPr>
        <w:t>Introduction</w:t>
      </w:r>
    </w:p>
    <w:p w:rsidR="004B65DD" w:rsidRPr="00834776" w:rsidRDefault="004B65DD" w:rsidP="00834776">
      <w:pPr>
        <w:spacing w:before="240" w:after="240"/>
        <w:jc w:val="both"/>
        <w:rPr>
          <w:rFonts w:ascii="Cambria" w:hAnsi="Cambria"/>
          <w:sz w:val="22"/>
          <w:szCs w:val="22"/>
        </w:rPr>
      </w:pPr>
      <w:r w:rsidRPr="00834776">
        <w:rPr>
          <w:rFonts w:ascii="Cambria" w:hAnsi="Cambria"/>
          <w:sz w:val="22"/>
          <w:szCs w:val="22"/>
        </w:rPr>
        <w:t>Television offers a world to children by itself with its broadcast content and offers as many role models which they can't encounter in real life (Çamlıb</w:t>
      </w:r>
      <w:r w:rsidR="00003666" w:rsidRPr="00834776">
        <w:rPr>
          <w:rFonts w:ascii="Cambria" w:hAnsi="Cambria"/>
          <w:sz w:val="22"/>
          <w:szCs w:val="22"/>
        </w:rPr>
        <w:t>el İrkin, 2012).</w:t>
      </w:r>
      <w:r w:rsidR="00572FB1" w:rsidRPr="00834776">
        <w:rPr>
          <w:rFonts w:ascii="Cambria" w:hAnsi="Cambria"/>
          <w:sz w:val="22"/>
          <w:szCs w:val="22"/>
        </w:rPr>
        <w:t xml:space="preserve"> These model</w:t>
      </w:r>
      <w:r w:rsidRPr="00834776">
        <w:rPr>
          <w:rFonts w:ascii="Cambria" w:hAnsi="Cambria"/>
          <w:sz w:val="22"/>
          <w:szCs w:val="22"/>
        </w:rPr>
        <w:t xml:space="preserve">s can be of a positive nature and can help children to achieve their social-psychological development on healthy grounds but at the same time it may be the exact opposite of this situation (Arslan, 2004). Children's education and training does not occur only with programs that are implemented in schools. Social and psychological interactions are considered as side products of the informal or implicit part of the program (Erden, 1998). As children are vulnerable to the programs they watch on television, these effects directly affect the behavior of children in the school environment. </w:t>
      </w:r>
      <w:r w:rsidR="003732D0" w:rsidRPr="00834776">
        <w:rPr>
          <w:rFonts w:ascii="Cambria" w:hAnsi="Cambria"/>
          <w:sz w:val="22"/>
          <w:szCs w:val="22"/>
        </w:rPr>
        <w:t>In the research, it was planned to develop a scale aiming to reveal the effects of cartoon movies on the affective characteristics of elementary school students.</w:t>
      </w:r>
    </w:p>
    <w:p w:rsidR="00834776" w:rsidRDefault="005070B9" w:rsidP="00834776">
      <w:pPr>
        <w:tabs>
          <w:tab w:val="left" w:pos="9072"/>
        </w:tabs>
        <w:spacing w:before="120" w:after="240"/>
        <w:jc w:val="both"/>
        <w:rPr>
          <w:rFonts w:ascii="Cambria" w:hAnsi="Cambria"/>
          <w:b/>
          <w:color w:val="000000"/>
          <w:sz w:val="22"/>
          <w:szCs w:val="22"/>
          <w:lang w:val="en-US"/>
        </w:rPr>
      </w:pPr>
      <w:r w:rsidRPr="00834776">
        <w:rPr>
          <w:rFonts w:ascii="Cambria" w:hAnsi="Cambria"/>
          <w:b/>
          <w:color w:val="000000"/>
          <w:sz w:val="22"/>
          <w:szCs w:val="22"/>
          <w:lang w:val="en-US"/>
        </w:rPr>
        <w:t>Method</w:t>
      </w:r>
    </w:p>
    <w:p w:rsidR="00834776" w:rsidRDefault="004B65DD" w:rsidP="00834776">
      <w:pPr>
        <w:tabs>
          <w:tab w:val="left" w:pos="9072"/>
        </w:tabs>
        <w:ind w:firstLine="567"/>
        <w:jc w:val="both"/>
        <w:rPr>
          <w:rFonts w:ascii="Cambria" w:hAnsi="Cambria"/>
          <w:sz w:val="22"/>
          <w:szCs w:val="22"/>
        </w:rPr>
      </w:pPr>
      <w:r w:rsidRPr="00834776">
        <w:rPr>
          <w:rFonts w:ascii="Cambria" w:hAnsi="Cambria"/>
          <w:sz w:val="22"/>
          <w:szCs w:val="22"/>
        </w:rPr>
        <w:t>While the scale is being created, after determining the purpose, the target audience and the people who will use the scale literature review was conducted and it was found that there was no scale for th</w:t>
      </w:r>
      <w:r w:rsidR="00572FB1" w:rsidRPr="00834776">
        <w:rPr>
          <w:rFonts w:ascii="Cambria" w:hAnsi="Cambria"/>
          <w:sz w:val="22"/>
          <w:szCs w:val="22"/>
        </w:rPr>
        <w:t>e subject. Upon this, research</w:t>
      </w:r>
      <w:r w:rsidRPr="00834776">
        <w:rPr>
          <w:rFonts w:ascii="Cambria" w:hAnsi="Cambria"/>
          <w:sz w:val="22"/>
          <w:szCs w:val="22"/>
        </w:rPr>
        <w:t xml:space="preserve"> done related to the subject were investigated. The research which reflect</w:t>
      </w:r>
      <w:r w:rsidR="007375D4" w:rsidRPr="00834776">
        <w:rPr>
          <w:rFonts w:ascii="Cambria" w:hAnsi="Cambria"/>
          <w:sz w:val="22"/>
          <w:szCs w:val="22"/>
        </w:rPr>
        <w:t xml:space="preserve">s the effect of cartoon movies </w:t>
      </w:r>
      <w:r w:rsidRPr="00834776">
        <w:rPr>
          <w:rFonts w:ascii="Cambria" w:hAnsi="Cambria"/>
          <w:sz w:val="22"/>
          <w:szCs w:val="22"/>
        </w:rPr>
        <w:t xml:space="preserve">on students was written with </w:t>
      </w:r>
      <w:r w:rsidR="00AC1852" w:rsidRPr="00834776">
        <w:rPr>
          <w:rFonts w:ascii="Cambria" w:hAnsi="Cambria"/>
          <w:sz w:val="22"/>
          <w:szCs w:val="22"/>
        </w:rPr>
        <w:t>three</w:t>
      </w:r>
      <w:r w:rsidRPr="00834776">
        <w:rPr>
          <w:rFonts w:ascii="Cambria" w:hAnsi="Cambria"/>
          <w:sz w:val="22"/>
          <w:szCs w:val="22"/>
        </w:rPr>
        <w:t>-category rating scale consisting 18 items which could reveal the problem from its items and it was planned in the form of reactions I agree (3)</w:t>
      </w:r>
      <w:r w:rsidR="003732D0" w:rsidRPr="00834776">
        <w:rPr>
          <w:rFonts w:ascii="Cambria" w:hAnsi="Cambria"/>
          <w:sz w:val="22"/>
          <w:szCs w:val="22"/>
        </w:rPr>
        <w:t>,</w:t>
      </w:r>
      <w:r w:rsidRPr="00834776">
        <w:rPr>
          <w:rFonts w:ascii="Cambria" w:hAnsi="Cambria"/>
          <w:sz w:val="22"/>
          <w:szCs w:val="22"/>
        </w:rPr>
        <w:t xml:space="preserve"> I'm undecided (2) and I do not agree (1). The materials were examined by </w:t>
      </w:r>
      <w:r w:rsidR="00572FB1" w:rsidRPr="00834776">
        <w:rPr>
          <w:rFonts w:ascii="Cambria" w:hAnsi="Cambria"/>
          <w:sz w:val="22"/>
          <w:szCs w:val="22"/>
        </w:rPr>
        <w:t>two</w:t>
      </w:r>
      <w:r w:rsidRPr="00834776">
        <w:rPr>
          <w:rFonts w:ascii="Cambria" w:hAnsi="Cambria"/>
          <w:sz w:val="22"/>
          <w:szCs w:val="22"/>
        </w:rPr>
        <w:t xml:space="preserve"> measur</w:t>
      </w:r>
      <w:r w:rsidR="003732D0" w:rsidRPr="00834776">
        <w:rPr>
          <w:rFonts w:ascii="Cambria" w:hAnsi="Cambria"/>
          <w:sz w:val="22"/>
          <w:szCs w:val="22"/>
        </w:rPr>
        <w:t>ement</w:t>
      </w:r>
      <w:r w:rsidRPr="00834776">
        <w:rPr>
          <w:rFonts w:ascii="Cambria" w:hAnsi="Cambria"/>
          <w:sz w:val="22"/>
          <w:szCs w:val="22"/>
        </w:rPr>
        <w:t xml:space="preserve"> and evaluation experts and </w:t>
      </w:r>
      <w:r w:rsidR="00572FB1" w:rsidRPr="00834776">
        <w:rPr>
          <w:rFonts w:ascii="Cambria" w:hAnsi="Cambria"/>
          <w:sz w:val="22"/>
          <w:szCs w:val="22"/>
        </w:rPr>
        <w:t>one</w:t>
      </w:r>
      <w:r w:rsidRPr="00834776">
        <w:rPr>
          <w:rFonts w:ascii="Cambria" w:hAnsi="Cambria"/>
          <w:sz w:val="22"/>
          <w:szCs w:val="22"/>
        </w:rPr>
        <w:t xml:space="preserve"> item was removed from the scale. </w:t>
      </w:r>
      <w:r w:rsidR="003E194F" w:rsidRPr="00834776">
        <w:rPr>
          <w:rFonts w:ascii="Cambria" w:hAnsi="Cambria"/>
          <w:sz w:val="22"/>
          <w:szCs w:val="22"/>
        </w:rPr>
        <w:t>Then the scale consisting of 17 items was examined in terms of clarity and scope by three primary school teachers and one guidance and psychological counseling specialist. According to teacher</w:t>
      </w:r>
      <w:r w:rsidR="002A7753" w:rsidRPr="00834776">
        <w:rPr>
          <w:rFonts w:ascii="Cambria" w:hAnsi="Cambria"/>
          <w:sz w:val="22"/>
          <w:szCs w:val="22"/>
        </w:rPr>
        <w:t>s’</w:t>
      </w:r>
      <w:r w:rsidR="003E194F" w:rsidRPr="00834776">
        <w:rPr>
          <w:rFonts w:ascii="Cambria" w:hAnsi="Cambria"/>
          <w:sz w:val="22"/>
          <w:szCs w:val="22"/>
        </w:rPr>
        <w:t xml:space="preserve"> and specilist</w:t>
      </w:r>
      <w:r w:rsidR="002A7753" w:rsidRPr="00834776">
        <w:rPr>
          <w:rFonts w:ascii="Cambria" w:hAnsi="Cambria"/>
          <w:sz w:val="22"/>
          <w:szCs w:val="22"/>
        </w:rPr>
        <w:t>’s views</w:t>
      </w:r>
      <w:r w:rsidR="003E194F" w:rsidRPr="00834776">
        <w:rPr>
          <w:rFonts w:ascii="Cambria" w:hAnsi="Cambria"/>
          <w:sz w:val="22"/>
          <w:szCs w:val="22"/>
        </w:rPr>
        <w:t>, changes (clarity increase) have been made on the items.</w:t>
      </w:r>
      <w:r w:rsidR="00295AC4" w:rsidRPr="00834776">
        <w:rPr>
          <w:rFonts w:ascii="Cambria" w:hAnsi="Cambria"/>
          <w:sz w:val="22"/>
          <w:szCs w:val="22"/>
        </w:rPr>
        <w:t xml:space="preserve"> </w:t>
      </w:r>
      <w:r w:rsidR="003E194F" w:rsidRPr="00834776">
        <w:rPr>
          <w:rFonts w:ascii="Cambria" w:hAnsi="Cambria"/>
          <w:sz w:val="22"/>
          <w:szCs w:val="22"/>
        </w:rPr>
        <w:t>It has been noticed after the pretesting that an item has not been under</w:t>
      </w:r>
      <w:r w:rsidR="00295AC4" w:rsidRPr="00834776">
        <w:rPr>
          <w:rFonts w:ascii="Cambria" w:hAnsi="Cambria"/>
          <w:sz w:val="22"/>
          <w:szCs w:val="22"/>
        </w:rPr>
        <w:t xml:space="preserve">stood by students sufficiently. </w:t>
      </w:r>
      <w:r w:rsidR="003E194F" w:rsidRPr="00834776">
        <w:rPr>
          <w:rFonts w:ascii="Cambria" w:hAnsi="Cambria"/>
          <w:sz w:val="22"/>
          <w:szCs w:val="22"/>
        </w:rPr>
        <w:t>This item has been removed from the scale by taking into account the guidance and psychological counseling specialist's view.</w:t>
      </w:r>
      <w:r w:rsidR="00295AC4" w:rsidRPr="00834776">
        <w:rPr>
          <w:rFonts w:ascii="Cambria" w:hAnsi="Cambria"/>
          <w:sz w:val="22"/>
          <w:szCs w:val="22"/>
        </w:rPr>
        <w:t xml:space="preserve"> </w:t>
      </w:r>
      <w:r w:rsidR="003E194F" w:rsidRPr="00834776">
        <w:rPr>
          <w:rFonts w:ascii="Cambria" w:hAnsi="Cambria"/>
          <w:sz w:val="22"/>
          <w:szCs w:val="22"/>
        </w:rPr>
        <w:t>When the feedbacks from the specialist are examined, it is concluded that the scale can represent the content domain.</w:t>
      </w:r>
    </w:p>
    <w:p w:rsidR="004B65DD" w:rsidRPr="00834776" w:rsidRDefault="003732D0" w:rsidP="00834776">
      <w:pPr>
        <w:tabs>
          <w:tab w:val="left" w:pos="9072"/>
        </w:tabs>
        <w:ind w:firstLine="567"/>
        <w:jc w:val="both"/>
        <w:rPr>
          <w:rFonts w:ascii="Cambria" w:hAnsi="Cambria"/>
          <w:sz w:val="22"/>
          <w:szCs w:val="22"/>
        </w:rPr>
      </w:pPr>
      <w:r w:rsidRPr="00834776">
        <w:rPr>
          <w:rFonts w:ascii="Cambria" w:hAnsi="Cambria"/>
          <w:sz w:val="22"/>
          <w:szCs w:val="22"/>
        </w:rPr>
        <w:t xml:space="preserve">The study group of the research is composed of 234 elementary school students in Afyonkarahisar city and 220 elementary school students in Aydın city. </w:t>
      </w:r>
      <w:r w:rsidR="004B65DD" w:rsidRPr="00834776">
        <w:rPr>
          <w:rFonts w:ascii="Cambria" w:hAnsi="Cambria"/>
          <w:sz w:val="22"/>
          <w:szCs w:val="22"/>
        </w:rPr>
        <w:t xml:space="preserve">Research does not intend to generalize the universe based on the selection of the sample from the universe and it focuses on the generalization of behavior. As a matter of fact, Erkuş (2012) states that in the practice of experiments, generalization to the property universe should be made instead of the individual universe. For this reason, in this study which was conducted on the study group, individuals from different grade levels and gender were selected in certain schools. In this way, the diversity of features has been increased. When the number of individuals to be included in the working group is determined, a minimum of </w:t>
      </w:r>
      <w:r w:rsidR="005E0D2F" w:rsidRPr="00834776">
        <w:rPr>
          <w:rFonts w:ascii="Cambria" w:hAnsi="Cambria"/>
          <w:sz w:val="22"/>
          <w:szCs w:val="22"/>
        </w:rPr>
        <w:t>five</w:t>
      </w:r>
      <w:r w:rsidR="004B65DD" w:rsidRPr="00834776">
        <w:rPr>
          <w:rFonts w:ascii="Cambria" w:hAnsi="Cambria"/>
          <w:sz w:val="22"/>
          <w:szCs w:val="22"/>
        </w:rPr>
        <w:t xml:space="preserve"> persons, preferably 10 persons, is considered for an item which is not a definite rule (Cohen and Swerdlik, 2009).  Data were analyzed using SPSS 22.00</w:t>
      </w:r>
      <w:r w:rsidRPr="00834776">
        <w:rPr>
          <w:rFonts w:ascii="Cambria" w:hAnsi="Cambria"/>
          <w:sz w:val="22"/>
          <w:szCs w:val="22"/>
        </w:rPr>
        <w:t>, Mplus 7</w:t>
      </w:r>
      <w:r w:rsidR="004B65DD" w:rsidRPr="00834776">
        <w:rPr>
          <w:rFonts w:ascii="Cambria" w:hAnsi="Cambria"/>
          <w:sz w:val="22"/>
          <w:szCs w:val="22"/>
        </w:rPr>
        <w:t xml:space="preserve"> and Factor 10.5 program. An exploratory factor analysis </w:t>
      </w:r>
      <w:r w:rsidRPr="00834776">
        <w:rPr>
          <w:rFonts w:ascii="Cambria" w:hAnsi="Cambria"/>
          <w:sz w:val="22"/>
          <w:szCs w:val="22"/>
        </w:rPr>
        <w:t>and confirmatory factor analy</w:t>
      </w:r>
      <w:r w:rsidR="005E0D2F" w:rsidRPr="00834776">
        <w:rPr>
          <w:rFonts w:ascii="Cambria" w:hAnsi="Cambria"/>
          <w:sz w:val="22"/>
          <w:szCs w:val="22"/>
        </w:rPr>
        <w:t>zes</w:t>
      </w:r>
      <w:r w:rsidRPr="00834776">
        <w:rPr>
          <w:rFonts w:ascii="Cambria" w:hAnsi="Cambria"/>
          <w:sz w:val="22"/>
          <w:szCs w:val="22"/>
        </w:rPr>
        <w:t xml:space="preserve"> </w:t>
      </w:r>
      <w:r w:rsidR="004B65DD" w:rsidRPr="00834776">
        <w:rPr>
          <w:rFonts w:ascii="Cambria" w:hAnsi="Cambria"/>
          <w:sz w:val="22"/>
          <w:szCs w:val="22"/>
        </w:rPr>
        <w:t>w</w:t>
      </w:r>
      <w:r w:rsidR="005E0D2F" w:rsidRPr="00834776">
        <w:rPr>
          <w:rFonts w:ascii="Cambria" w:hAnsi="Cambria"/>
          <w:sz w:val="22"/>
          <w:szCs w:val="22"/>
        </w:rPr>
        <w:t>ere</w:t>
      </w:r>
      <w:r w:rsidR="004B65DD" w:rsidRPr="00834776">
        <w:rPr>
          <w:rFonts w:ascii="Cambria" w:hAnsi="Cambria"/>
          <w:sz w:val="22"/>
          <w:szCs w:val="22"/>
        </w:rPr>
        <w:t xml:space="preserve"> performed to obtain evidence of </w:t>
      </w:r>
      <w:r w:rsidRPr="00834776">
        <w:rPr>
          <w:rFonts w:ascii="Cambria" w:hAnsi="Cambria"/>
          <w:sz w:val="22"/>
          <w:szCs w:val="22"/>
        </w:rPr>
        <w:t>construct</w:t>
      </w:r>
      <w:r w:rsidR="004B65DD" w:rsidRPr="00834776">
        <w:rPr>
          <w:rFonts w:ascii="Cambria" w:hAnsi="Cambria"/>
          <w:sz w:val="22"/>
          <w:szCs w:val="22"/>
        </w:rPr>
        <w:t xml:space="preserve"> validity. For the purpose of obtaining proof of the validity of the item, corrected item scale correlations and item analysis based on the comparison of the average of the </w:t>
      </w:r>
      <w:r w:rsidR="007375D4" w:rsidRPr="00834776">
        <w:rPr>
          <w:rFonts w:ascii="Cambria" w:hAnsi="Cambria"/>
          <w:sz w:val="22"/>
          <w:szCs w:val="22"/>
        </w:rPr>
        <w:t>lower</w:t>
      </w:r>
      <w:r w:rsidR="004B65DD" w:rsidRPr="00834776">
        <w:rPr>
          <w:rFonts w:ascii="Cambria" w:hAnsi="Cambria"/>
          <w:sz w:val="22"/>
          <w:szCs w:val="22"/>
        </w:rPr>
        <w:t xml:space="preserve"> and upper group were performed. Cronbach Alpha, Stratified Alpha, Armor Teta and McDonald Omega coefficients were calculated to obtain reliability evidence.</w:t>
      </w:r>
    </w:p>
    <w:p w:rsidR="00834776" w:rsidRDefault="005070B9" w:rsidP="00834776">
      <w:pPr>
        <w:tabs>
          <w:tab w:val="left" w:pos="9072"/>
        </w:tabs>
        <w:spacing w:before="240" w:after="240"/>
        <w:jc w:val="both"/>
        <w:rPr>
          <w:rFonts w:ascii="Cambria" w:hAnsi="Cambria"/>
          <w:b/>
          <w:color w:val="000000"/>
          <w:sz w:val="22"/>
          <w:szCs w:val="22"/>
          <w:lang w:val="en-US"/>
        </w:rPr>
      </w:pPr>
      <w:r w:rsidRPr="00834776">
        <w:rPr>
          <w:rFonts w:ascii="Cambria" w:hAnsi="Cambria"/>
          <w:b/>
          <w:color w:val="000000"/>
          <w:sz w:val="22"/>
          <w:szCs w:val="22"/>
          <w:lang w:val="en-US"/>
        </w:rPr>
        <w:t>Results</w:t>
      </w:r>
    </w:p>
    <w:p w:rsidR="004B65DD" w:rsidRPr="00834776" w:rsidRDefault="00AC1852" w:rsidP="00834776">
      <w:pPr>
        <w:tabs>
          <w:tab w:val="left" w:pos="9072"/>
        </w:tabs>
        <w:spacing w:before="120" w:after="120"/>
        <w:ind w:firstLine="567"/>
        <w:jc w:val="both"/>
        <w:rPr>
          <w:rFonts w:ascii="Cambria" w:hAnsi="Cambria"/>
          <w:sz w:val="22"/>
          <w:szCs w:val="22"/>
        </w:rPr>
      </w:pPr>
      <w:r w:rsidRPr="00834776">
        <w:rPr>
          <w:rFonts w:ascii="Cambria" w:hAnsi="Cambria"/>
          <w:sz w:val="22"/>
          <w:szCs w:val="22"/>
        </w:rPr>
        <w:t>One</w:t>
      </w:r>
      <w:r w:rsidR="004B65DD" w:rsidRPr="00834776">
        <w:rPr>
          <w:rFonts w:ascii="Cambria" w:hAnsi="Cambria"/>
          <w:sz w:val="22"/>
          <w:szCs w:val="22"/>
        </w:rPr>
        <w:t xml:space="preserve"> item (Item 14) was removed from the scale after the examination of item scale correlation coefficients. As a result, the corrected correlation coefficients were found to vary between .440 and .563 for dimensio</w:t>
      </w:r>
      <w:r w:rsidRPr="00834776">
        <w:rPr>
          <w:rFonts w:ascii="Cambria" w:hAnsi="Cambria"/>
          <w:sz w:val="22"/>
          <w:szCs w:val="22"/>
        </w:rPr>
        <w:t>n-</w:t>
      </w:r>
      <w:r w:rsidR="004B65DD" w:rsidRPr="00834776">
        <w:rPr>
          <w:rFonts w:ascii="Cambria" w:hAnsi="Cambria"/>
          <w:sz w:val="22"/>
          <w:szCs w:val="22"/>
        </w:rPr>
        <w:t>1 and betw</w:t>
      </w:r>
      <w:r w:rsidR="002E2C10" w:rsidRPr="00834776">
        <w:rPr>
          <w:rFonts w:ascii="Cambria" w:hAnsi="Cambria"/>
          <w:sz w:val="22"/>
          <w:szCs w:val="22"/>
        </w:rPr>
        <w:t>een .396 and .559</w:t>
      </w:r>
      <w:r w:rsidRPr="00834776">
        <w:rPr>
          <w:rFonts w:ascii="Cambria" w:hAnsi="Cambria"/>
          <w:sz w:val="22"/>
          <w:szCs w:val="22"/>
        </w:rPr>
        <w:t xml:space="preserve"> for dimension-</w:t>
      </w:r>
      <w:r w:rsidR="004B65DD" w:rsidRPr="00834776">
        <w:rPr>
          <w:rFonts w:ascii="Cambria" w:hAnsi="Cambria"/>
          <w:sz w:val="22"/>
          <w:szCs w:val="22"/>
        </w:rPr>
        <w:t xml:space="preserve">2, respectively. Accordingly, it can be stated that each item has a moderate relationship with the total points to be drawn from the dimensions. For each item, the difference between the average of the points </w:t>
      </w:r>
      <w:r w:rsidR="004B65DD" w:rsidRPr="00834776">
        <w:rPr>
          <w:rFonts w:ascii="Cambria" w:hAnsi="Cambria"/>
          <w:sz w:val="22"/>
          <w:szCs w:val="22"/>
        </w:rPr>
        <w:lastRenderedPageBreak/>
        <w:t xml:space="preserve">obtained </w:t>
      </w:r>
      <w:r w:rsidR="00091F04" w:rsidRPr="00834776">
        <w:rPr>
          <w:rFonts w:ascii="Cambria" w:hAnsi="Cambria"/>
          <w:sz w:val="22"/>
          <w:szCs w:val="22"/>
        </w:rPr>
        <w:t xml:space="preserve">from the upper and lower </w:t>
      </w:r>
      <w:r w:rsidR="004B65DD" w:rsidRPr="00834776">
        <w:rPr>
          <w:rFonts w:ascii="Cambria" w:hAnsi="Cambria"/>
          <w:sz w:val="22"/>
          <w:szCs w:val="22"/>
        </w:rPr>
        <w:t xml:space="preserve">group was examined by t test for </w:t>
      </w:r>
      <w:r w:rsidR="00091F04" w:rsidRPr="00834776">
        <w:rPr>
          <w:rFonts w:ascii="Cambria" w:hAnsi="Cambria"/>
          <w:sz w:val="22"/>
          <w:szCs w:val="22"/>
        </w:rPr>
        <w:t>independent</w:t>
      </w:r>
      <w:r w:rsidR="004B65DD" w:rsidRPr="00834776">
        <w:rPr>
          <w:rFonts w:ascii="Cambria" w:hAnsi="Cambria"/>
          <w:sz w:val="22"/>
          <w:szCs w:val="22"/>
        </w:rPr>
        <w:t xml:space="preserve"> samples. After determining that the data were suitable for the factor analysis, exploratory factor analysis was performed by choosing </w:t>
      </w:r>
      <w:r w:rsidR="00D860E6" w:rsidRPr="00834776">
        <w:rPr>
          <w:rFonts w:ascii="Cambria" w:hAnsi="Cambria"/>
          <w:sz w:val="22"/>
          <w:szCs w:val="22"/>
        </w:rPr>
        <w:t>principal component analysis</w:t>
      </w:r>
      <w:r w:rsidR="004B65DD" w:rsidRPr="00834776">
        <w:rPr>
          <w:rFonts w:ascii="Cambria" w:hAnsi="Cambria"/>
          <w:sz w:val="22"/>
          <w:szCs w:val="22"/>
        </w:rPr>
        <w:t xml:space="preserve"> as factor extraction method and by selecting the oblique rotation method PROMIN from oblique rotation methods. In this process, </w:t>
      </w:r>
      <w:r w:rsidRPr="00834776">
        <w:rPr>
          <w:rFonts w:ascii="Cambria" w:hAnsi="Cambria"/>
          <w:sz w:val="22"/>
          <w:szCs w:val="22"/>
        </w:rPr>
        <w:t>two</w:t>
      </w:r>
      <w:r w:rsidR="00D7511D" w:rsidRPr="00834776">
        <w:rPr>
          <w:rFonts w:ascii="Cambria" w:hAnsi="Cambria"/>
          <w:sz w:val="22"/>
          <w:szCs w:val="22"/>
        </w:rPr>
        <w:t xml:space="preserve"> items</w:t>
      </w:r>
      <w:r w:rsidR="004B65DD" w:rsidRPr="00834776">
        <w:rPr>
          <w:rFonts w:ascii="Cambria" w:hAnsi="Cambria"/>
          <w:sz w:val="22"/>
          <w:szCs w:val="22"/>
        </w:rPr>
        <w:t xml:space="preserve"> (8th and 17th items) which don't have any load value on the factors  and </w:t>
      </w:r>
      <w:r w:rsidRPr="00834776">
        <w:rPr>
          <w:rFonts w:ascii="Cambria" w:hAnsi="Cambria"/>
          <w:sz w:val="22"/>
          <w:szCs w:val="22"/>
        </w:rPr>
        <w:t>one</w:t>
      </w:r>
      <w:r w:rsidR="004B65DD" w:rsidRPr="00834776">
        <w:rPr>
          <w:rFonts w:ascii="Cambria" w:hAnsi="Cambria"/>
          <w:sz w:val="22"/>
          <w:szCs w:val="22"/>
        </w:rPr>
        <w:t xml:space="preserve"> item (item 10) which gives load to both factors were removed from the scale. As a result of the analysis, a </w:t>
      </w:r>
      <w:r w:rsidRPr="00834776">
        <w:rPr>
          <w:rFonts w:ascii="Cambria" w:hAnsi="Cambria"/>
          <w:sz w:val="22"/>
          <w:szCs w:val="22"/>
        </w:rPr>
        <w:t>two</w:t>
      </w:r>
      <w:r w:rsidR="004B65DD" w:rsidRPr="00834776">
        <w:rPr>
          <w:rFonts w:ascii="Cambria" w:hAnsi="Cambria"/>
          <w:sz w:val="22"/>
          <w:szCs w:val="22"/>
        </w:rPr>
        <w:t xml:space="preserve">-factor structure with an absolute value greater than </w:t>
      </w:r>
      <w:r w:rsidRPr="00834776">
        <w:rPr>
          <w:rFonts w:ascii="Cambria" w:hAnsi="Cambria"/>
          <w:sz w:val="22"/>
          <w:szCs w:val="22"/>
        </w:rPr>
        <w:t>one</w:t>
      </w:r>
      <w:r w:rsidR="004B65DD" w:rsidRPr="00834776">
        <w:rPr>
          <w:rFonts w:ascii="Cambria" w:hAnsi="Cambria"/>
          <w:sz w:val="22"/>
          <w:szCs w:val="22"/>
        </w:rPr>
        <w:t xml:space="preserve"> was obtained. The total variance desc</w:t>
      </w:r>
      <w:r w:rsidR="00133D8D" w:rsidRPr="00834776">
        <w:rPr>
          <w:rFonts w:ascii="Cambria" w:hAnsi="Cambria"/>
          <w:sz w:val="22"/>
          <w:szCs w:val="22"/>
        </w:rPr>
        <w:t>ribed by these two factors is 57.303</w:t>
      </w:r>
      <w:r w:rsidR="004B65DD" w:rsidRPr="00834776">
        <w:rPr>
          <w:rFonts w:ascii="Cambria" w:hAnsi="Cambria"/>
          <w:sz w:val="22"/>
          <w:szCs w:val="22"/>
        </w:rPr>
        <w:t>%.  The first fact</w:t>
      </w:r>
      <w:r w:rsidR="00133D8D" w:rsidRPr="00834776">
        <w:rPr>
          <w:rFonts w:ascii="Cambria" w:hAnsi="Cambria"/>
          <w:sz w:val="22"/>
          <w:szCs w:val="22"/>
        </w:rPr>
        <w:t>or with factor load between .608 to .856</w:t>
      </w:r>
      <w:r w:rsidR="004B65DD" w:rsidRPr="00834776">
        <w:rPr>
          <w:rFonts w:ascii="Cambria" w:hAnsi="Cambria"/>
          <w:sz w:val="22"/>
          <w:szCs w:val="22"/>
        </w:rPr>
        <w:t xml:space="preserve"> consisting of </w:t>
      </w:r>
      <w:r w:rsidRPr="00834776">
        <w:rPr>
          <w:rFonts w:ascii="Cambria" w:hAnsi="Cambria"/>
          <w:sz w:val="22"/>
          <w:szCs w:val="22"/>
        </w:rPr>
        <w:t>five</w:t>
      </w:r>
      <w:r w:rsidR="004B65DD" w:rsidRPr="00834776">
        <w:rPr>
          <w:rFonts w:ascii="Cambria" w:hAnsi="Cambria"/>
          <w:sz w:val="22"/>
          <w:szCs w:val="22"/>
        </w:rPr>
        <w:t xml:space="preserve"> items accounts for 38.980% of the variance and the second factor with factor load between .5</w:t>
      </w:r>
      <w:r w:rsidR="00133D8D" w:rsidRPr="00834776">
        <w:rPr>
          <w:rFonts w:ascii="Cambria" w:hAnsi="Cambria"/>
          <w:sz w:val="22"/>
          <w:szCs w:val="22"/>
        </w:rPr>
        <w:t>29</w:t>
      </w:r>
      <w:r w:rsidR="004B65DD" w:rsidRPr="00834776">
        <w:rPr>
          <w:rFonts w:ascii="Cambria" w:hAnsi="Cambria"/>
          <w:sz w:val="22"/>
          <w:szCs w:val="22"/>
        </w:rPr>
        <w:t xml:space="preserve"> and .</w:t>
      </w:r>
      <w:r w:rsidR="00133D8D" w:rsidRPr="00834776">
        <w:rPr>
          <w:rFonts w:ascii="Cambria" w:hAnsi="Cambria"/>
          <w:sz w:val="22"/>
          <w:szCs w:val="22"/>
        </w:rPr>
        <w:t>853</w:t>
      </w:r>
      <w:r w:rsidR="004B65DD" w:rsidRPr="00834776">
        <w:rPr>
          <w:rFonts w:ascii="Cambria" w:hAnsi="Cambria"/>
          <w:sz w:val="22"/>
          <w:szCs w:val="22"/>
        </w:rPr>
        <w:t xml:space="preserve"> consisting of </w:t>
      </w:r>
      <w:r w:rsidR="00133D8D" w:rsidRPr="00834776">
        <w:rPr>
          <w:rFonts w:ascii="Cambria" w:hAnsi="Cambria"/>
          <w:sz w:val="22"/>
          <w:szCs w:val="22"/>
        </w:rPr>
        <w:t>seven items explains 15.923</w:t>
      </w:r>
      <w:r w:rsidR="004B65DD" w:rsidRPr="00834776">
        <w:rPr>
          <w:rFonts w:ascii="Cambria" w:hAnsi="Cambria"/>
          <w:sz w:val="22"/>
          <w:szCs w:val="22"/>
        </w:rPr>
        <w:t xml:space="preserve">% of the variance. </w:t>
      </w:r>
      <w:r w:rsidR="00E9273A" w:rsidRPr="00834776">
        <w:rPr>
          <w:rFonts w:ascii="Cambria" w:hAnsi="Cambria"/>
          <w:sz w:val="22"/>
          <w:szCs w:val="22"/>
        </w:rPr>
        <w:t xml:space="preserve">Confirmatory factor analysis revealed that the factor structure of the scale was confirmed. </w:t>
      </w:r>
      <w:r w:rsidR="004B65DD" w:rsidRPr="00834776">
        <w:rPr>
          <w:rFonts w:ascii="Cambria" w:hAnsi="Cambria"/>
          <w:sz w:val="22"/>
          <w:szCs w:val="22"/>
        </w:rPr>
        <w:t>The Cronbach Alpha coefficient was found to be .78 for the whole scale, .72</w:t>
      </w:r>
      <w:r w:rsidR="00133D8D" w:rsidRPr="00834776">
        <w:rPr>
          <w:rFonts w:ascii="Cambria" w:hAnsi="Cambria"/>
          <w:sz w:val="22"/>
          <w:szCs w:val="22"/>
        </w:rPr>
        <w:t xml:space="preserve"> for the first dimension and .75</w:t>
      </w:r>
      <w:r w:rsidR="004B65DD" w:rsidRPr="00834776">
        <w:rPr>
          <w:rFonts w:ascii="Cambria" w:hAnsi="Cambria"/>
          <w:sz w:val="22"/>
          <w:szCs w:val="22"/>
        </w:rPr>
        <w:t xml:space="preserve"> for the second dimension. The stratified alpha coefficient was .81, the McDonald Omega coefficient and the Armor Teta coefficient was .87.</w:t>
      </w:r>
    </w:p>
    <w:p w:rsidR="00834776" w:rsidRDefault="00FD0DDB" w:rsidP="00834776">
      <w:pPr>
        <w:tabs>
          <w:tab w:val="left" w:pos="9072"/>
        </w:tabs>
        <w:spacing w:before="240" w:after="240"/>
        <w:jc w:val="both"/>
        <w:rPr>
          <w:rFonts w:ascii="Cambria" w:hAnsi="Cambria"/>
          <w:b/>
          <w:bCs/>
          <w:sz w:val="22"/>
          <w:szCs w:val="22"/>
          <w:lang w:val="en-US"/>
        </w:rPr>
      </w:pPr>
      <w:r w:rsidRPr="00834776">
        <w:rPr>
          <w:rFonts w:ascii="Cambria" w:hAnsi="Cambria"/>
          <w:b/>
          <w:bCs/>
          <w:sz w:val="22"/>
          <w:szCs w:val="22"/>
          <w:lang w:val="en-US"/>
        </w:rPr>
        <w:t xml:space="preserve">Discussion </w:t>
      </w:r>
      <w:r w:rsidR="005070B9" w:rsidRPr="00834776">
        <w:rPr>
          <w:rFonts w:ascii="Cambria" w:hAnsi="Cambria"/>
          <w:b/>
          <w:bCs/>
          <w:sz w:val="22"/>
          <w:szCs w:val="22"/>
          <w:lang w:val="en-US"/>
        </w:rPr>
        <w:t xml:space="preserve">and </w:t>
      </w:r>
      <w:r w:rsidRPr="00834776">
        <w:rPr>
          <w:rFonts w:ascii="Cambria" w:hAnsi="Cambria"/>
          <w:b/>
          <w:bCs/>
          <w:sz w:val="22"/>
          <w:szCs w:val="22"/>
          <w:lang w:val="en-US"/>
        </w:rPr>
        <w:t>Conclusion</w:t>
      </w:r>
    </w:p>
    <w:p w:rsidR="005070B9" w:rsidRPr="00834776" w:rsidRDefault="004B65DD" w:rsidP="00834776">
      <w:pPr>
        <w:tabs>
          <w:tab w:val="left" w:pos="9072"/>
        </w:tabs>
        <w:spacing w:before="120" w:after="120"/>
        <w:ind w:firstLine="567"/>
        <w:jc w:val="both"/>
        <w:rPr>
          <w:rFonts w:ascii="Cambria" w:hAnsi="Cambria"/>
          <w:b/>
          <w:sz w:val="22"/>
          <w:szCs w:val="22"/>
        </w:rPr>
      </w:pPr>
      <w:r w:rsidRPr="00834776">
        <w:rPr>
          <w:rFonts w:ascii="Cambria" w:hAnsi="Cambria"/>
          <w:sz w:val="22"/>
          <w:szCs w:val="22"/>
        </w:rPr>
        <w:t xml:space="preserve">As a result of the research, it is concluded that the scale is a measuring tool which can produce valid and reliable data for measuring the effects of cartoon movies on elementary school students. The dimensions and the items on the factors in the scale consisting of </w:t>
      </w:r>
      <w:r w:rsidR="00AC1852" w:rsidRPr="00834776">
        <w:rPr>
          <w:rFonts w:ascii="Cambria" w:hAnsi="Cambria"/>
          <w:sz w:val="22"/>
          <w:szCs w:val="22"/>
        </w:rPr>
        <w:t>two</w:t>
      </w:r>
      <w:r w:rsidRPr="00834776">
        <w:rPr>
          <w:rFonts w:ascii="Cambria" w:hAnsi="Cambria"/>
          <w:sz w:val="22"/>
          <w:szCs w:val="22"/>
        </w:rPr>
        <w:t xml:space="preserve"> dimensions are examined and it is named as "Providing Development and Goodness" and "Violence Tendency and Power". </w:t>
      </w:r>
      <w:r w:rsidR="00E9273A" w:rsidRPr="00834776">
        <w:rPr>
          <w:rFonts w:ascii="Cambria" w:hAnsi="Cambria"/>
          <w:sz w:val="22"/>
          <w:szCs w:val="22"/>
        </w:rPr>
        <w:t>I</w:t>
      </w:r>
      <w:r w:rsidRPr="00834776">
        <w:rPr>
          <w:rFonts w:ascii="Cambria" w:hAnsi="Cambria"/>
          <w:sz w:val="22"/>
          <w:szCs w:val="22"/>
        </w:rPr>
        <w:t xml:space="preserve">tems in the dimension of "Violence Tendency and Power" should be reversed when scoring. A high score on the scale indicates positive effects of cartoon movies on affective properties. The scale should be evaluated on a size basis. In the direction of the results of the research, it is suggested to apply the scale in different schools and cities and to perform the measurement stability studies. </w:t>
      </w:r>
    </w:p>
    <w:p w:rsidR="000F6587" w:rsidRPr="00834776" w:rsidRDefault="000F6587">
      <w:pPr>
        <w:rPr>
          <w:rFonts w:ascii="Cambria" w:eastAsiaTheme="majorEastAs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834776" w:rsidRDefault="00834776" w:rsidP="00834776">
      <w:pPr>
        <w:spacing w:before="100" w:beforeAutospacing="1" w:after="100" w:afterAutospacing="1"/>
        <w:rPr>
          <w:rFonts w:ascii="Cambria" w:hAnsi="Cambria"/>
          <w:b/>
          <w:sz w:val="22"/>
          <w:szCs w:val="22"/>
        </w:rPr>
      </w:pPr>
    </w:p>
    <w:p w:rsidR="000F6587" w:rsidRPr="00834776" w:rsidRDefault="000F6587" w:rsidP="00834776">
      <w:pPr>
        <w:spacing w:before="100" w:beforeAutospacing="1" w:after="100" w:afterAutospacing="1"/>
        <w:rPr>
          <w:rFonts w:ascii="Cambria" w:hAnsi="Cambria"/>
          <w:b/>
          <w:sz w:val="22"/>
          <w:szCs w:val="22"/>
        </w:rPr>
      </w:pPr>
      <w:r w:rsidRPr="00834776">
        <w:rPr>
          <w:rFonts w:ascii="Cambria" w:hAnsi="Cambria"/>
          <w:b/>
          <w:sz w:val="22"/>
          <w:szCs w:val="22"/>
        </w:rPr>
        <w:lastRenderedPageBreak/>
        <w:t>GİRİŞ</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 xml:space="preserve">İnsan sosyal bir varlıktır, hayatının başlangıcından itibaren çevresi ile iletişim halindedir. Bu iletişim ilk olarak ailesi ile başlar. Büyüdükçe bu alan genişler ve kitle iletişim araçları ile tanışır. Her ne kadar aileler çocuklarının gelişiminde temel rolü oynasa da; kültür, okul, arkadaş çevresi ve özellikle medya, çocukların tutumları, davranışları ve gelişimlerinde büyük bir etkiye sahiptir (Doğutaş, 2013). Kitle iletişim araçları içerisinde çocukların ilk tanıştıkları araç televizyondur. Çocuklar iki - üç yaşlarında televizyonla buluşmakta, üç yaşından itibaren de televizyon seyretmektedir (Şirin, 1998). Singer ve Singer (1998) televizyonu ailenin bir üyesi olarak tanımlamaktadır. Aral, Ceylan ve Bıçakçı (2011)’nın yaptığı araştırmaya göre televizyon çocuğun hayatında önemli bir yere sahiptir ve çocuklar televizyon izlemeye diğer etkinliklerden daha çok zaman ayırmaktadır. </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Çocuklar televizyon izleme konusunda seçici ve bilinçli değillerdir. Dolayısıyla kendilerine uygun hazırlanan programların yanı sıra reklamlar, diziler, haber programları, yarışmalar gibi farklı programları da izlemektedirler. Çocukların en çok izledikleri programlar çizgi filmler ile ana ha</w:t>
      </w:r>
      <w:r w:rsidRPr="00834776">
        <w:rPr>
          <w:rFonts w:ascii="Cambria" w:hAnsi="Cambria"/>
          <w:sz w:val="22"/>
          <w:szCs w:val="22"/>
        </w:rPr>
        <w:softHyphen/>
        <w:t>ber bültenleridir. Fakat bu tür programlar şiddet içeriğine sahiptir (Arnas ve Erden, 2006). Özellikle okul öncesi çağdaki çocukların çizgi filmlerdeki olayl</w:t>
      </w:r>
      <w:r w:rsidR="00D760F8" w:rsidRPr="00834776">
        <w:rPr>
          <w:rFonts w:ascii="Cambria" w:hAnsi="Cambria"/>
          <w:sz w:val="22"/>
          <w:szCs w:val="22"/>
        </w:rPr>
        <w:t xml:space="preserve">ar ile gerçeği ayırt edemediği (Peters ve Blumberg, </w:t>
      </w:r>
      <w:r w:rsidRPr="00834776">
        <w:rPr>
          <w:rFonts w:ascii="Cambria" w:hAnsi="Cambria"/>
          <w:sz w:val="22"/>
          <w:szCs w:val="22"/>
        </w:rPr>
        <w:t>2002) ve çoğunlukla izledikleri programların içeriğinden çok şiddet içeren sahnelere maruz kaldığı belirtilmektedir (K</w:t>
      </w:r>
      <w:r w:rsidR="00A75A70" w:rsidRPr="00834776">
        <w:rPr>
          <w:rFonts w:ascii="Cambria" w:hAnsi="Cambria"/>
          <w:sz w:val="22"/>
          <w:szCs w:val="22"/>
        </w:rPr>
        <w:t>ir</w:t>
      </w:r>
      <w:r w:rsidRPr="00834776">
        <w:rPr>
          <w:rFonts w:ascii="Cambria" w:hAnsi="Cambria"/>
          <w:sz w:val="22"/>
          <w:szCs w:val="22"/>
        </w:rPr>
        <w:t>sh, 200</w:t>
      </w:r>
      <w:r w:rsidR="009727AC" w:rsidRPr="00834776">
        <w:rPr>
          <w:rFonts w:ascii="Cambria" w:hAnsi="Cambria"/>
          <w:sz w:val="22"/>
          <w:szCs w:val="22"/>
        </w:rPr>
        <w:t>6</w:t>
      </w:r>
      <w:r w:rsidRPr="00834776">
        <w:rPr>
          <w:rFonts w:ascii="Cambria" w:hAnsi="Cambria"/>
          <w:sz w:val="22"/>
          <w:szCs w:val="22"/>
        </w:rPr>
        <w:t>). Ayrıca çizgi film izlerken reklamlar da televizyonda yer aldığından çocuklar bunlardan olumsuz etkilenmektedir (K</w:t>
      </w:r>
      <w:r w:rsidR="00566907" w:rsidRPr="00834776">
        <w:rPr>
          <w:rFonts w:ascii="Cambria" w:hAnsi="Cambria"/>
          <w:sz w:val="22"/>
          <w:szCs w:val="22"/>
        </w:rPr>
        <w:t>araca, Pekyaman ve Güney, 2007)</w:t>
      </w:r>
      <w:r w:rsidRPr="00834776">
        <w:rPr>
          <w:rFonts w:ascii="Cambria" w:hAnsi="Cambria"/>
          <w:sz w:val="22"/>
          <w:szCs w:val="22"/>
        </w:rPr>
        <w:t>. Medya, gözlemlediklerini taklit ederek öğrenen çocuklar için etkili bir öğretmen rolü oynamaktadır (Yavuzer, 2013). Şiddet içeren programları izleyen, oradaki şiddetin gerçek dünyayı yansıttığına inanan çocuklar; izledikleri programlardan kendilerine bir kahraman seçmektedir. Bu durum çocuğun saldırgan davranışlarında a</w:t>
      </w:r>
      <w:r w:rsidR="005C27EC" w:rsidRPr="00834776">
        <w:rPr>
          <w:rFonts w:ascii="Cambria" w:hAnsi="Cambria"/>
          <w:sz w:val="22"/>
          <w:szCs w:val="22"/>
        </w:rPr>
        <w:t>rtış meydana getirmektedir (Radyo Televizyon Üst Kurulu</w:t>
      </w:r>
      <w:r w:rsidRPr="00834776">
        <w:rPr>
          <w:rFonts w:ascii="Cambria" w:hAnsi="Cambria"/>
          <w:sz w:val="22"/>
          <w:szCs w:val="22"/>
        </w:rPr>
        <w:t xml:space="preserve">, 2005). Çocukların şiddetle tanışmasında, onların şiddete hazır hale gelmesinde televizyonun özellikle de çizgi filmlerin de payı bulunmaktadır.  </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Medyadaki şiddete maruz kalmada en kritik dönemi, ergenliğe kadar olan çocukluk dönemi (2-15 yaş) oluşturmaktadır. Araştırmalar, 14 aylık çocukların bile televizyon karakterlerini model alabildiklerini ortaya koymuştur (Bushman</w:t>
      </w:r>
      <w:r w:rsidR="00C7542D" w:rsidRPr="00834776">
        <w:rPr>
          <w:rFonts w:ascii="Cambria" w:hAnsi="Cambria"/>
          <w:sz w:val="22"/>
          <w:szCs w:val="22"/>
        </w:rPr>
        <w:t xml:space="preserve"> ve</w:t>
      </w:r>
      <w:r w:rsidRPr="00834776">
        <w:rPr>
          <w:rFonts w:ascii="Cambria" w:hAnsi="Cambria"/>
          <w:sz w:val="22"/>
          <w:szCs w:val="22"/>
        </w:rPr>
        <w:t xml:space="preserve"> Huesmann, 2001). Ayrıca Türkiye’de farklı sınıflarda öğrenim gören çocuklar üzerinde gerçekleştirilen bir araştırmada, ebeveyenlerin % 37’si çocuğunun bir TV hikayesinden (şiddet, saldırganlık gibi) korktuğunu bildirmiştir (Tüzün, 2002).</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 xml:space="preserve">Dil gelişiminin başlangıcında olan çocuklar (2-7 yaş) için, televizyonda karşılaştıkları konuşmaların birtakım çelişkiler içermesi (doğal görünüm için saçınızı boyayın vb. gibi ifadeler), çocukların kafasında karışıklığa sebep olmakta; televizyon programlarında yer alan sokak ağzı ve argo çocukların dil gelişiminde de olumsuz etkiler yaratmaktadır (Evra, 2009). </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Televizyon, yayın içeriğiyle çocuklara başlı başına bir dünya ve gerçek yaşamda karşılaşamayacağı kadar çok rol model sunmaktadır (Çamlıbel-İrkin, 2012). Bu modeller olumlu bir nitelik taşıyıp, çocukların sosyal-psikolojik gelişimlerinin sağlıklı zeminler üzerinde gerçekleşmesine yardımcı olabileceği gibi, bu durumun tam tersi de olabilir (Arslan, 2004). Çocuklar çizgi film kahramanlarını izleyerek model alacağı kişileri seçmektedir. Çocuğun anne babasını model alması çizgi filmlerde benzer durumların gerçekleşmesi ile mümkündür (Oruç, Tecim ve Özyürek, 2011). Televizyon çocukların gelişimlerine etki eden bir unsur olup çizgi filmlerin çocuklar üzerindeki etkisinin belirlenmesi oldukça önemlidir.</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Doğru kullanıldığı takdirde televizyon, çocuğun zihinsel gelişimine ve dil gelişimine olumlu katkılar sağlayan, eğlendirmenin yanında öğretimi de sağlayan önemli bir araçtır (Yavuzer, 2013). Singer ve Singer (1998), farklı kültür ve ırklardan okul öncesi dönemdeki çocuklarla gerçekleştirdikleri bir çalışmada “Barney ve Arkadaşları”, “Susam Sokağı” ve “Mister Rogers’ Neighborhood” gibi eğitici programları incelemişlerdir. Sonuçta bahsedilen programların bu yaş grubundaki çocukların bilişsel, sosyal ve dil gelişimine olumlu etkide bulunduğu görülmüştür. Bu etkiler sayı sayma, şekil ve renk bilgisi, iletişim becerisi, saygı ve sevgi, paylaşma, arkadaşlık gibi k</w:t>
      </w:r>
      <w:r w:rsidR="00120193" w:rsidRPr="00834776">
        <w:rPr>
          <w:rFonts w:ascii="Cambria" w:hAnsi="Cambria"/>
          <w:sz w:val="22"/>
          <w:szCs w:val="22"/>
        </w:rPr>
        <w:t>onularda gözlenmiştir (Çamlıbel-</w:t>
      </w:r>
      <w:r w:rsidRPr="00834776">
        <w:rPr>
          <w:rFonts w:ascii="Cambria" w:hAnsi="Cambria"/>
          <w:sz w:val="22"/>
          <w:szCs w:val="22"/>
        </w:rPr>
        <w:t>İrkin, 2012).</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 xml:space="preserve">Çocukların eğitimi ve öğretimi sadece okullarda uygulanan programlarla gerçekleşmez, sosyal ve psikolojik etkileşimle kazanılan davranışlar programın, informal ya da örtük kısmının </w:t>
      </w:r>
      <w:r w:rsidRPr="00834776">
        <w:rPr>
          <w:rFonts w:ascii="Cambria" w:hAnsi="Cambria"/>
          <w:sz w:val="22"/>
          <w:szCs w:val="22"/>
        </w:rPr>
        <w:lastRenderedPageBreak/>
        <w:t xml:space="preserve">yan ürünleri olarak kabul edilir (Erden, 1998). Örtük program ders dışı etkinlikleri de içine alan çok geniş bir kavram olarak tanımlamıştır (Demirel, 2005). Mariani (1999), genel olarak programı bir buz dağına benzetir ve programla ilgili tartışmaların daha çok, amaçlar, konular, zaman düzenlemeleri, yöntemler üzerine yoğunlaştığına işaret eder. Bunlar önemlidir, fakat buz dağının sadece suyun üzerinde kalan bölümüdür. Buz dağının altında kalan bu program, yeterince bilinmemekte, üzerinde konuşulmamakta ve değeri anlaşılamamaktadır (Sarı, 2007). Çocukların medya ile olan ilişkisi de buzdağının altında kalan kısım yani örtük program olarak ele alınabilir. </w:t>
      </w:r>
    </w:p>
    <w:p w:rsidR="00F729A2" w:rsidRPr="00834776" w:rsidRDefault="00F729A2" w:rsidP="00F729A2">
      <w:pPr>
        <w:ind w:firstLine="567"/>
        <w:jc w:val="both"/>
        <w:rPr>
          <w:rFonts w:ascii="Cambria" w:hAnsi="Cambria"/>
          <w:sz w:val="22"/>
          <w:szCs w:val="22"/>
        </w:rPr>
      </w:pPr>
      <w:r w:rsidRPr="00834776">
        <w:rPr>
          <w:rFonts w:ascii="Cambria" w:hAnsi="Cambria"/>
          <w:sz w:val="22"/>
          <w:szCs w:val="22"/>
        </w:rPr>
        <w:t>Bandura’ya ya göre; çocukların gösterdiği olumsuz davranışlar diğer sosyal davranışlar gibi öğrenilmiş, sonradan kazanılmış ve çevrenin insan davranışlarını etkilemesi gibi insan davranışları da çevresini etkilemektedir (Singer,  Singer, 1998). İpşir (2002)’e göre hemen hemen her sınıfta önemli ya da önemsiz pek çok istenmeyen öğrenci davranışı gözlemek mümkündür. Bu davranışlar çocuğun ailesinden, sosyal çevresinden, okuldan, öğretme ortamından kaynaklanabilir. Çanakkale il merkezinde görev yapan sınıf öğretmenlerinin görüşleri sınıflarındaki öğrenci davranışlarında kitle iletişim araçlarının olumsuz etkisine işaret etmektedir (Çalışkan Ülkü, Demir, 2013). Okullarda gözlenen istenmeyen davranışlardan bir kısmı öğrencinin kendisine zarar verirken; bazıları öğretim ortamını olumsuz yönde etkilemektedir.</w:t>
      </w:r>
    </w:p>
    <w:p w:rsidR="00166A60" w:rsidRPr="00834776" w:rsidRDefault="00F729A2" w:rsidP="00166A60">
      <w:pPr>
        <w:ind w:firstLine="567"/>
        <w:jc w:val="both"/>
        <w:rPr>
          <w:rFonts w:ascii="Cambria" w:hAnsi="Cambria"/>
          <w:sz w:val="22"/>
          <w:szCs w:val="22"/>
        </w:rPr>
      </w:pPr>
      <w:r w:rsidRPr="00834776">
        <w:rPr>
          <w:rFonts w:ascii="Cambria" w:hAnsi="Cambria"/>
          <w:sz w:val="22"/>
          <w:szCs w:val="22"/>
        </w:rPr>
        <w:t>Televizyon; çocukların sınıf içi başarılarını, davranışlarını, okuma ve anlama düzeylerini etkilemektedir (Aksaçlıoğlu</w:t>
      </w:r>
      <w:r w:rsidR="00042276" w:rsidRPr="00834776">
        <w:rPr>
          <w:rFonts w:ascii="Cambria" w:hAnsi="Cambria"/>
          <w:sz w:val="22"/>
          <w:szCs w:val="22"/>
        </w:rPr>
        <w:t xml:space="preserve"> ve</w:t>
      </w:r>
      <w:r w:rsidRPr="00834776">
        <w:rPr>
          <w:rFonts w:ascii="Cambria" w:hAnsi="Cambria"/>
          <w:sz w:val="22"/>
          <w:szCs w:val="22"/>
        </w:rPr>
        <w:t xml:space="preserve"> Yılmaz, 2007</w:t>
      </w:r>
      <w:r w:rsidR="00042276" w:rsidRPr="00834776">
        <w:rPr>
          <w:rFonts w:ascii="Cambria" w:hAnsi="Cambria"/>
          <w:sz w:val="22"/>
          <w:szCs w:val="22"/>
        </w:rPr>
        <w:t>;</w:t>
      </w:r>
      <w:r w:rsidRPr="00834776">
        <w:rPr>
          <w:rFonts w:ascii="Cambria" w:hAnsi="Cambria"/>
          <w:sz w:val="22"/>
          <w:szCs w:val="22"/>
        </w:rPr>
        <w:t xml:space="preserve"> </w:t>
      </w:r>
      <w:r w:rsidR="007A58BC" w:rsidRPr="00834776">
        <w:rPr>
          <w:rFonts w:ascii="Cambria" w:hAnsi="Cambria"/>
          <w:sz w:val="22"/>
          <w:szCs w:val="22"/>
        </w:rPr>
        <w:t xml:space="preserve">Çalışkan Ülkü ve Demir, 2013; Ledingham, Ledingham ve Richardson, 1994; </w:t>
      </w:r>
      <w:r w:rsidRPr="00834776">
        <w:rPr>
          <w:rFonts w:ascii="Cambria" w:hAnsi="Cambria"/>
          <w:sz w:val="22"/>
          <w:szCs w:val="22"/>
        </w:rPr>
        <w:t>Oruç, Tecim ve Özyürek, 2011). Çocuklar televizyonda izledikleri programlara karşı savunmasız olduklarından bu etkiler çocukların okul ortamındaki davranışlarını doğrudan etkilemektedir. Bu problem durumundan yola çıkılarak bu araştırmada çizgi filmlerin çocukların duyuşsal özellikleri üzerindeki etkilerini ortaya çıkarmayı amaçlayan bir ölçek geliştirilmesi planlanmıştır. Geliştirilen bu ölçek aracılığıyla öğrencilerin çizgi filmlerden ne kadar etkilendiği belirlenebilecek ve bu yönde önlemler alınması mümkün olabilecektir.</w:t>
      </w:r>
    </w:p>
    <w:p w:rsidR="00166A60" w:rsidRPr="00834776" w:rsidRDefault="000F6587" w:rsidP="00834776">
      <w:pPr>
        <w:spacing w:before="240" w:after="240"/>
        <w:jc w:val="center"/>
        <w:rPr>
          <w:rFonts w:ascii="Cambria" w:hAnsi="Cambria" w:cstheme="minorHAnsi"/>
          <w:b/>
          <w:sz w:val="22"/>
          <w:szCs w:val="22"/>
        </w:rPr>
      </w:pPr>
      <w:r w:rsidRPr="00834776">
        <w:rPr>
          <w:rFonts w:ascii="Cambria" w:hAnsi="Cambria" w:cstheme="minorHAnsi"/>
          <w:b/>
          <w:sz w:val="22"/>
          <w:szCs w:val="22"/>
        </w:rPr>
        <w:t>YÖNTEM</w:t>
      </w:r>
    </w:p>
    <w:p w:rsidR="00A71D98" w:rsidRPr="00834776" w:rsidRDefault="00A71D98" w:rsidP="00834776">
      <w:pPr>
        <w:pStyle w:val="Heading2"/>
        <w:spacing w:before="120" w:after="120"/>
        <w:jc w:val="both"/>
        <w:rPr>
          <w:rFonts w:ascii="Cambria" w:eastAsia="Times New Roman" w:hAnsi="Cambria" w:cstheme="minorHAnsi"/>
          <w:b/>
          <w:color w:val="auto"/>
          <w:sz w:val="22"/>
          <w:szCs w:val="22"/>
        </w:rPr>
      </w:pPr>
      <w:r w:rsidRPr="00834776">
        <w:rPr>
          <w:rFonts w:ascii="Cambria" w:eastAsia="Times New Roman" w:hAnsi="Cambria" w:cstheme="minorHAnsi"/>
          <w:b/>
          <w:color w:val="auto"/>
          <w:sz w:val="22"/>
          <w:szCs w:val="22"/>
        </w:rPr>
        <w:t>Araştırma Modeli</w:t>
      </w:r>
    </w:p>
    <w:p w:rsidR="00A71D98" w:rsidRPr="00834776" w:rsidRDefault="00724EF3" w:rsidP="00834776">
      <w:pPr>
        <w:ind w:firstLine="567"/>
        <w:jc w:val="both"/>
        <w:rPr>
          <w:rFonts w:ascii="Cambria" w:hAnsi="Cambria"/>
          <w:sz w:val="22"/>
          <w:szCs w:val="22"/>
        </w:rPr>
      </w:pPr>
      <w:r w:rsidRPr="00834776">
        <w:rPr>
          <w:rFonts w:ascii="Cambria" w:hAnsi="Cambria"/>
          <w:sz w:val="22"/>
          <w:szCs w:val="22"/>
        </w:rPr>
        <w:t>Araştırmada betimsel yöntem kullanılmıştır</w:t>
      </w:r>
      <w:r w:rsidR="00E9094B" w:rsidRPr="00834776">
        <w:rPr>
          <w:rFonts w:ascii="Cambria" w:hAnsi="Cambria"/>
          <w:sz w:val="22"/>
          <w:szCs w:val="22"/>
        </w:rPr>
        <w:t xml:space="preserve">. </w:t>
      </w:r>
      <w:r w:rsidRPr="00834776">
        <w:rPr>
          <w:rFonts w:ascii="Cambria" w:hAnsi="Cambria"/>
          <w:sz w:val="22"/>
          <w:szCs w:val="22"/>
        </w:rPr>
        <w:t>Betimsel araştırmalarda olgunun tanımlanması araştırmanın odak noktasıdır</w:t>
      </w:r>
      <w:r w:rsidR="000618A6" w:rsidRPr="00834776">
        <w:rPr>
          <w:rFonts w:ascii="Cambria" w:hAnsi="Cambria"/>
          <w:sz w:val="22"/>
          <w:szCs w:val="22"/>
        </w:rPr>
        <w:t xml:space="preserve"> (Büyüköztürk, </w:t>
      </w:r>
      <w:r w:rsidR="00ED439D" w:rsidRPr="00834776">
        <w:rPr>
          <w:rFonts w:ascii="Cambria" w:hAnsi="Cambria"/>
          <w:sz w:val="22"/>
          <w:szCs w:val="22"/>
        </w:rPr>
        <w:t xml:space="preserve">Kılıç </w:t>
      </w:r>
      <w:r w:rsidR="000618A6" w:rsidRPr="00834776">
        <w:rPr>
          <w:rFonts w:ascii="Cambria" w:hAnsi="Cambria"/>
          <w:sz w:val="22"/>
          <w:szCs w:val="22"/>
        </w:rPr>
        <w:t>Çakmak, Akgün, Karadeniz ve Demirel, 2012)</w:t>
      </w:r>
      <w:r w:rsidRPr="00834776">
        <w:rPr>
          <w:rFonts w:ascii="Cambria" w:hAnsi="Cambria"/>
          <w:sz w:val="22"/>
          <w:szCs w:val="22"/>
        </w:rPr>
        <w:t xml:space="preserve">. </w:t>
      </w:r>
    </w:p>
    <w:p w:rsidR="00751DAB" w:rsidRPr="00834776" w:rsidRDefault="00F729A2" w:rsidP="00834776">
      <w:pPr>
        <w:pStyle w:val="Heading2"/>
        <w:spacing w:before="120" w:after="120"/>
        <w:jc w:val="both"/>
        <w:rPr>
          <w:rFonts w:ascii="Cambria" w:eastAsia="Times New Roman" w:hAnsi="Cambria" w:cstheme="minorHAnsi"/>
          <w:b/>
          <w:color w:val="auto"/>
          <w:sz w:val="22"/>
          <w:szCs w:val="22"/>
        </w:rPr>
      </w:pPr>
      <w:r w:rsidRPr="00834776">
        <w:rPr>
          <w:rFonts w:ascii="Cambria" w:eastAsia="Times New Roman" w:hAnsi="Cambria" w:cstheme="minorHAnsi"/>
          <w:b/>
          <w:color w:val="auto"/>
          <w:sz w:val="22"/>
          <w:szCs w:val="22"/>
        </w:rPr>
        <w:t>Çalışma Grubu</w:t>
      </w:r>
      <w:r w:rsidR="00361F87" w:rsidRPr="00834776">
        <w:rPr>
          <w:rFonts w:ascii="Cambria" w:eastAsia="Times New Roman" w:hAnsi="Cambria" w:cstheme="minorHAnsi"/>
          <w:b/>
          <w:color w:val="auto"/>
          <w:sz w:val="22"/>
          <w:szCs w:val="22"/>
        </w:rPr>
        <w:t xml:space="preserve"> </w:t>
      </w:r>
      <w:r w:rsidR="00A71D98" w:rsidRPr="00834776">
        <w:rPr>
          <w:rFonts w:ascii="Cambria" w:eastAsia="Times New Roman" w:hAnsi="Cambria" w:cstheme="minorHAnsi"/>
          <w:b/>
          <w:color w:val="auto"/>
          <w:sz w:val="22"/>
          <w:szCs w:val="22"/>
        </w:rPr>
        <w:t>1</w:t>
      </w:r>
    </w:p>
    <w:p w:rsidR="00084DA8" w:rsidRDefault="001B5F40" w:rsidP="00084DA8">
      <w:pPr>
        <w:pStyle w:val="Heading2"/>
        <w:spacing w:before="0"/>
        <w:ind w:firstLine="567"/>
        <w:jc w:val="both"/>
        <w:rPr>
          <w:rFonts w:ascii="Cambria" w:eastAsia="Times New Roman" w:hAnsi="Cambria" w:cstheme="minorHAnsi"/>
          <w:color w:val="auto"/>
          <w:sz w:val="22"/>
          <w:szCs w:val="22"/>
        </w:rPr>
      </w:pPr>
      <w:r w:rsidRPr="00834776">
        <w:rPr>
          <w:rFonts w:ascii="Cambria" w:eastAsia="Times New Roman" w:hAnsi="Cambria" w:cstheme="minorHAnsi"/>
          <w:color w:val="auto"/>
          <w:sz w:val="22"/>
          <w:szCs w:val="22"/>
        </w:rPr>
        <w:t>Hazırlanan</w:t>
      </w:r>
      <w:r w:rsidR="00084DA8" w:rsidRPr="00834776">
        <w:rPr>
          <w:rFonts w:ascii="Cambria" w:eastAsia="Times New Roman" w:hAnsi="Cambria" w:cstheme="minorHAnsi"/>
          <w:color w:val="auto"/>
          <w:sz w:val="22"/>
          <w:szCs w:val="22"/>
        </w:rPr>
        <w:t xml:space="preserve"> ölçek formu</w:t>
      </w:r>
      <w:r w:rsidR="00361F87" w:rsidRPr="00834776">
        <w:rPr>
          <w:rFonts w:ascii="Cambria" w:eastAsia="Times New Roman" w:hAnsi="Cambria" w:cstheme="minorHAnsi"/>
          <w:color w:val="auto"/>
          <w:sz w:val="22"/>
          <w:szCs w:val="22"/>
        </w:rPr>
        <w:t xml:space="preserve"> deneme uygulaması için</w:t>
      </w:r>
      <w:r w:rsidR="00084DA8" w:rsidRPr="00834776">
        <w:rPr>
          <w:rFonts w:ascii="Cambria" w:eastAsia="Times New Roman" w:hAnsi="Cambria" w:cstheme="minorHAnsi"/>
          <w:color w:val="auto"/>
          <w:sz w:val="22"/>
          <w:szCs w:val="22"/>
        </w:rPr>
        <w:t xml:space="preserve"> Afyonkarahisar</w:t>
      </w:r>
      <w:r w:rsidR="007B5680" w:rsidRPr="00834776">
        <w:rPr>
          <w:rFonts w:ascii="Cambria" w:eastAsia="Times New Roman" w:hAnsi="Cambria" w:cstheme="minorHAnsi"/>
          <w:color w:val="auto"/>
          <w:sz w:val="22"/>
          <w:szCs w:val="22"/>
        </w:rPr>
        <w:t xml:space="preserve"> ilinde</w:t>
      </w:r>
      <w:r w:rsidR="00084DA8" w:rsidRPr="00834776">
        <w:rPr>
          <w:rFonts w:ascii="Cambria" w:eastAsia="Times New Roman" w:hAnsi="Cambria" w:cstheme="minorHAnsi"/>
          <w:color w:val="auto"/>
          <w:sz w:val="22"/>
          <w:szCs w:val="22"/>
        </w:rPr>
        <w:t xml:space="preserve"> yer alan </w:t>
      </w:r>
      <w:r w:rsidR="002236E1" w:rsidRPr="00834776">
        <w:rPr>
          <w:rFonts w:ascii="Cambria" w:eastAsia="Times New Roman" w:hAnsi="Cambria" w:cstheme="minorHAnsi"/>
          <w:color w:val="auto"/>
          <w:sz w:val="22"/>
          <w:szCs w:val="22"/>
        </w:rPr>
        <w:t>iki</w:t>
      </w:r>
      <w:r w:rsidR="00084DA8" w:rsidRPr="00834776">
        <w:rPr>
          <w:rFonts w:ascii="Cambria" w:eastAsia="Times New Roman" w:hAnsi="Cambria" w:cstheme="minorHAnsi"/>
          <w:color w:val="auto"/>
          <w:sz w:val="22"/>
          <w:szCs w:val="22"/>
        </w:rPr>
        <w:t xml:space="preserve"> ilkokulda </w:t>
      </w:r>
      <w:r w:rsidR="00361F87" w:rsidRPr="00834776">
        <w:rPr>
          <w:rFonts w:ascii="Cambria" w:eastAsia="Times New Roman" w:hAnsi="Cambria" w:cstheme="minorHAnsi"/>
          <w:color w:val="auto"/>
          <w:sz w:val="22"/>
          <w:szCs w:val="22"/>
        </w:rPr>
        <w:t xml:space="preserve">öğrenim gören </w:t>
      </w:r>
      <w:r w:rsidR="00084DA8" w:rsidRPr="00834776">
        <w:rPr>
          <w:rFonts w:ascii="Cambria" w:eastAsia="Times New Roman" w:hAnsi="Cambria" w:cstheme="minorHAnsi"/>
          <w:color w:val="auto"/>
          <w:sz w:val="22"/>
          <w:szCs w:val="22"/>
        </w:rPr>
        <w:t>234 öğrenciye uygulanmıştır. Araştırma, evrenden örneklem seçimini temel alarak evrene genelleme yapma amacı taşımamakta davranışların genellenmesine odaklanmaktadır. Nitekim Erkuş (2012)</w:t>
      </w:r>
      <w:r w:rsidR="009646F2" w:rsidRPr="00834776">
        <w:rPr>
          <w:rFonts w:ascii="Cambria" w:eastAsia="Times New Roman" w:hAnsi="Cambria" w:cstheme="minorHAnsi"/>
          <w:color w:val="auto"/>
          <w:sz w:val="22"/>
          <w:szCs w:val="22"/>
        </w:rPr>
        <w:t>,</w:t>
      </w:r>
      <w:r w:rsidR="00084DA8" w:rsidRPr="00834776">
        <w:rPr>
          <w:rFonts w:ascii="Cambria" w:eastAsia="Times New Roman" w:hAnsi="Cambria" w:cstheme="minorHAnsi"/>
          <w:color w:val="auto"/>
          <w:sz w:val="22"/>
          <w:szCs w:val="22"/>
        </w:rPr>
        <w:t xml:space="preserve"> deneme uygulamalarında birey evreni yerine özellik evrenine genelleme yapılması gerektiğini belirtmektedir. Bu nedenle çalışma grubu üzerinde gerçekleştirilen bu araştırmada belirli okullarda farklı sınıf düzeylerinden ve cinsiyetten bireyler seçilmiştir. Bu şekilde özelliklere yönelik çeşitliliğin arttırılması sağlanmıştır. Çalışma grubunda yer alması gereken birey sayısı belirlenirken kesin bir kural olmayan bir madde için en az </w:t>
      </w:r>
      <w:r w:rsidR="002236E1" w:rsidRPr="00834776">
        <w:rPr>
          <w:rFonts w:ascii="Cambria" w:eastAsia="Times New Roman" w:hAnsi="Cambria" w:cstheme="minorHAnsi"/>
          <w:color w:val="auto"/>
          <w:sz w:val="22"/>
          <w:szCs w:val="22"/>
        </w:rPr>
        <w:t>beş</w:t>
      </w:r>
      <w:r w:rsidR="00084DA8" w:rsidRPr="00834776">
        <w:rPr>
          <w:rFonts w:ascii="Cambria" w:eastAsia="Times New Roman" w:hAnsi="Cambria" w:cstheme="minorHAnsi"/>
          <w:color w:val="auto"/>
          <w:sz w:val="22"/>
          <w:szCs w:val="22"/>
        </w:rPr>
        <w:t xml:space="preserve"> tercihen 10 kişi bulunması kuralı dikkate alınmıştır (Cohen ve Swerdlik, 2009). Dolayısıyla 17 madde için 170 kişiden veri toplanması gerekmektedir. Fakat alanyazında bu kritere ek olarak mümkün olduğunca çok kişiden veri toplanmasının gerektiği de belirtilmektedir. Bunun nedeni veri analizinde (örneğin küçük örneklemden kaynaklı hayali boyutların ortaya çıkmasını engellemektir) daha doğru sonuçlar elde edebilmektir (Cohen ve Swerdlik, 2009). Dolayısıyla araştırma 234 ilkokul öğrencisinden veri toplanarak gerçekleştirilmiştir. Çalışma grubu</w:t>
      </w:r>
      <w:r w:rsidR="002236E1" w:rsidRPr="00834776">
        <w:rPr>
          <w:rFonts w:ascii="Cambria" w:eastAsia="Times New Roman" w:hAnsi="Cambria" w:cstheme="minorHAnsi"/>
          <w:color w:val="auto"/>
          <w:sz w:val="22"/>
          <w:szCs w:val="22"/>
        </w:rPr>
        <w:t xml:space="preserve"> 1</w:t>
      </w:r>
      <w:r w:rsidR="00DE09BA" w:rsidRPr="00834776">
        <w:rPr>
          <w:rFonts w:ascii="Cambria" w:eastAsia="Times New Roman" w:hAnsi="Cambria" w:cstheme="minorHAnsi"/>
          <w:color w:val="auto"/>
          <w:sz w:val="22"/>
          <w:szCs w:val="22"/>
        </w:rPr>
        <w:t>’e</w:t>
      </w:r>
      <w:r w:rsidR="00084DA8" w:rsidRPr="00834776">
        <w:rPr>
          <w:rFonts w:ascii="Cambria" w:eastAsia="Times New Roman" w:hAnsi="Cambria" w:cstheme="minorHAnsi"/>
          <w:color w:val="auto"/>
          <w:sz w:val="22"/>
          <w:szCs w:val="22"/>
        </w:rPr>
        <w:t xml:space="preserve"> ilişkin </w:t>
      </w:r>
      <w:r w:rsidR="002236E1" w:rsidRPr="00834776">
        <w:rPr>
          <w:rFonts w:ascii="Cambria" w:eastAsia="Times New Roman" w:hAnsi="Cambria" w:cstheme="minorHAnsi"/>
          <w:color w:val="auto"/>
          <w:sz w:val="22"/>
          <w:szCs w:val="22"/>
        </w:rPr>
        <w:t>betimsel istatistiklere Tablo 1</w:t>
      </w:r>
      <w:r w:rsidR="00084DA8" w:rsidRPr="00834776">
        <w:rPr>
          <w:rFonts w:ascii="Cambria" w:eastAsia="Times New Roman" w:hAnsi="Cambria" w:cstheme="minorHAnsi"/>
          <w:color w:val="auto"/>
          <w:sz w:val="22"/>
          <w:szCs w:val="22"/>
        </w:rPr>
        <w:t>’de yer verilmiştir.</w:t>
      </w:r>
    </w:p>
    <w:p w:rsidR="00834776" w:rsidRPr="00834776" w:rsidRDefault="00834776" w:rsidP="00834776"/>
    <w:p w:rsidR="00084DA8" w:rsidRDefault="00084DA8" w:rsidP="00084DA8">
      <w:pPr>
        <w:rPr>
          <w:rFonts w:ascii="Cambria" w:hAnsi="Cambria"/>
        </w:rPr>
      </w:pPr>
    </w:p>
    <w:p w:rsidR="00084DA8" w:rsidRPr="006C35E7" w:rsidRDefault="00084DA8" w:rsidP="00834776">
      <w:pPr>
        <w:pStyle w:val="NParag"/>
        <w:spacing w:before="0" w:after="120"/>
        <w:ind w:firstLine="0"/>
        <w:rPr>
          <w:rFonts w:ascii="Cambria" w:hAnsi="Cambria"/>
          <w:i/>
          <w:sz w:val="20"/>
        </w:rPr>
      </w:pPr>
      <w:r w:rsidRPr="006C35E7">
        <w:rPr>
          <w:rFonts w:ascii="Cambria" w:hAnsi="Cambria"/>
          <w:b/>
          <w:sz w:val="20"/>
        </w:rPr>
        <w:t>Tablo 1.</w:t>
      </w:r>
      <w:r w:rsidRPr="006C35E7">
        <w:rPr>
          <w:rFonts w:ascii="Cambria" w:hAnsi="Cambria"/>
          <w:i/>
          <w:sz w:val="20"/>
        </w:rPr>
        <w:t xml:space="preserve"> Çalışma grubu</w:t>
      </w:r>
      <w:r w:rsidR="00DE09BA" w:rsidRPr="006C35E7">
        <w:rPr>
          <w:rFonts w:ascii="Cambria" w:hAnsi="Cambria"/>
          <w:i/>
          <w:sz w:val="20"/>
        </w:rPr>
        <w:t xml:space="preserve"> </w:t>
      </w:r>
      <w:r w:rsidR="002236E1" w:rsidRPr="006C35E7">
        <w:rPr>
          <w:rFonts w:ascii="Cambria" w:hAnsi="Cambria"/>
          <w:i/>
          <w:sz w:val="20"/>
        </w:rPr>
        <w:t>1</w:t>
      </w:r>
      <w:r w:rsidR="00DE09BA" w:rsidRPr="006C35E7">
        <w:rPr>
          <w:rFonts w:ascii="Cambria" w:hAnsi="Cambria"/>
          <w:i/>
          <w:sz w:val="20"/>
        </w:rPr>
        <w:t>’e</w:t>
      </w:r>
      <w:r w:rsidRPr="006C35E7">
        <w:rPr>
          <w:rFonts w:ascii="Cambria" w:hAnsi="Cambria"/>
          <w:i/>
          <w:sz w:val="20"/>
        </w:rPr>
        <w:t xml:space="preserve"> ilişkin betimsel istatistikler</w:t>
      </w:r>
    </w:p>
    <w:tbl>
      <w:tblPr>
        <w:tblW w:w="5000" w:type="pct"/>
        <w:tblCellMar>
          <w:left w:w="70" w:type="dxa"/>
          <w:right w:w="70" w:type="dxa"/>
        </w:tblCellMar>
        <w:tblLook w:val="04A0" w:firstRow="1" w:lastRow="0" w:firstColumn="1" w:lastColumn="0" w:noHBand="0" w:noVBand="1"/>
      </w:tblPr>
      <w:tblGrid>
        <w:gridCol w:w="2046"/>
        <w:gridCol w:w="978"/>
        <w:gridCol w:w="488"/>
        <w:gridCol w:w="383"/>
        <w:gridCol w:w="762"/>
        <w:gridCol w:w="445"/>
        <w:gridCol w:w="640"/>
        <w:gridCol w:w="642"/>
        <w:gridCol w:w="640"/>
        <w:gridCol w:w="640"/>
        <w:gridCol w:w="1408"/>
      </w:tblGrid>
      <w:tr w:rsidR="00FD353B" w:rsidRPr="00084DA8" w:rsidTr="00A45BC7">
        <w:trPr>
          <w:trHeight w:val="300"/>
        </w:trPr>
        <w:tc>
          <w:tcPr>
            <w:tcW w:w="1127" w:type="pct"/>
            <w:vMerge w:val="restart"/>
            <w:tcBorders>
              <w:top w:val="single" w:sz="4" w:space="0" w:color="auto"/>
              <w:left w:val="nil"/>
              <w:bottom w:val="nil"/>
              <w:right w:val="nil"/>
            </w:tcBorders>
            <w:shd w:val="clear" w:color="auto" w:fill="auto"/>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Sınıf Düzeyi</w:t>
            </w:r>
          </w:p>
        </w:tc>
        <w:tc>
          <w:tcPr>
            <w:tcW w:w="539" w:type="pct"/>
            <w:tcBorders>
              <w:top w:val="single" w:sz="4" w:space="0" w:color="auto"/>
              <w:left w:val="nil"/>
              <w:bottom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480" w:type="pct"/>
            <w:gridSpan w:val="2"/>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color w:val="000000"/>
                <w:sz w:val="20"/>
                <w:szCs w:val="20"/>
              </w:rPr>
            </w:pPr>
          </w:p>
        </w:tc>
        <w:tc>
          <w:tcPr>
            <w:tcW w:w="420" w:type="pct"/>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color w:val="000000"/>
                <w:sz w:val="20"/>
                <w:szCs w:val="20"/>
              </w:rPr>
            </w:pPr>
          </w:p>
        </w:tc>
        <w:tc>
          <w:tcPr>
            <w:tcW w:w="245" w:type="pct"/>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sz w:val="20"/>
                <w:szCs w:val="20"/>
              </w:rPr>
            </w:pPr>
          </w:p>
        </w:tc>
        <w:tc>
          <w:tcPr>
            <w:tcW w:w="707" w:type="pct"/>
            <w:gridSpan w:val="2"/>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sz w:val="20"/>
                <w:szCs w:val="20"/>
              </w:rPr>
            </w:pPr>
            <w:r w:rsidRPr="006C35E7">
              <w:rPr>
                <w:rFonts w:ascii="Cambria" w:hAnsi="Cambria"/>
                <w:sz w:val="20"/>
                <w:szCs w:val="20"/>
              </w:rPr>
              <w:t>Yaş</w:t>
            </w:r>
          </w:p>
        </w:tc>
        <w:tc>
          <w:tcPr>
            <w:tcW w:w="353" w:type="pct"/>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sz w:val="20"/>
                <w:szCs w:val="20"/>
              </w:rPr>
            </w:pPr>
          </w:p>
        </w:tc>
        <w:tc>
          <w:tcPr>
            <w:tcW w:w="353" w:type="pct"/>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sz w:val="20"/>
                <w:szCs w:val="20"/>
              </w:rPr>
            </w:pPr>
          </w:p>
        </w:tc>
        <w:tc>
          <w:tcPr>
            <w:tcW w:w="776" w:type="pct"/>
            <w:tcBorders>
              <w:top w:val="single" w:sz="4" w:space="0" w:color="auto"/>
              <w:left w:val="nil"/>
              <w:bottom w:val="nil"/>
            </w:tcBorders>
            <w:shd w:val="clear" w:color="auto" w:fill="auto"/>
            <w:vAlign w:val="center"/>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Toplam</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630" w:type="pct"/>
            <w:gridSpan w:val="2"/>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245"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8</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9</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10</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11</w:t>
            </w:r>
          </w:p>
        </w:tc>
        <w:tc>
          <w:tcPr>
            <w:tcW w:w="776" w:type="pct"/>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r>
      <w:tr w:rsidR="00FD353B" w:rsidRPr="00084DA8" w:rsidTr="00A45BC7">
        <w:trPr>
          <w:trHeight w:val="300"/>
        </w:trPr>
        <w:tc>
          <w:tcPr>
            <w:tcW w:w="1127" w:type="pct"/>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lastRenderedPageBreak/>
              <w:t>2</w:t>
            </w:r>
          </w:p>
        </w:tc>
        <w:tc>
          <w:tcPr>
            <w:tcW w:w="808" w:type="pct"/>
            <w:gridSpan w:val="2"/>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27</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776"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33</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Erkek</w:t>
            </w: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31</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11</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46</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Toplam</w:t>
            </w: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58</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14</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79</w:t>
            </w:r>
          </w:p>
        </w:tc>
      </w:tr>
      <w:tr w:rsidR="00FD353B" w:rsidRPr="00084DA8" w:rsidTr="00A45BC7">
        <w:trPr>
          <w:trHeight w:val="300"/>
        </w:trPr>
        <w:tc>
          <w:tcPr>
            <w:tcW w:w="1127" w:type="pct"/>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808" w:type="pct"/>
            <w:gridSpan w:val="2"/>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21</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776"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30</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Erkek</w:t>
            </w: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28</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13</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42</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Toplam</w:t>
            </w: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49</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20</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72</w:t>
            </w:r>
          </w:p>
        </w:tc>
      </w:tr>
      <w:tr w:rsidR="00FD353B" w:rsidRPr="00084DA8" w:rsidTr="00A45BC7">
        <w:trPr>
          <w:trHeight w:val="300"/>
        </w:trPr>
        <w:tc>
          <w:tcPr>
            <w:tcW w:w="1127" w:type="pct"/>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w:t>
            </w:r>
          </w:p>
        </w:tc>
        <w:tc>
          <w:tcPr>
            <w:tcW w:w="808" w:type="pct"/>
            <w:gridSpan w:val="2"/>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36</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w:t>
            </w:r>
          </w:p>
        </w:tc>
        <w:tc>
          <w:tcPr>
            <w:tcW w:w="776"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46</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Erkek</w:t>
            </w: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0</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33</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37</w:t>
            </w:r>
          </w:p>
        </w:tc>
      </w:tr>
      <w:tr w:rsidR="00FD353B" w:rsidRPr="00084DA8" w:rsidTr="00A45BC7">
        <w:trPr>
          <w:trHeight w:val="300"/>
        </w:trPr>
        <w:tc>
          <w:tcPr>
            <w:tcW w:w="1127" w:type="pct"/>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Toplam</w:t>
            </w: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69</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11</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83</w:t>
            </w:r>
          </w:p>
        </w:tc>
      </w:tr>
      <w:tr w:rsidR="00FD353B" w:rsidRPr="00084DA8" w:rsidTr="00A45BC7">
        <w:trPr>
          <w:trHeight w:val="300"/>
        </w:trPr>
        <w:tc>
          <w:tcPr>
            <w:tcW w:w="1127" w:type="pct"/>
            <w:vMerge w:val="restart"/>
            <w:tcBorders>
              <w:top w:val="single" w:sz="4" w:space="0" w:color="auto"/>
              <w:left w:val="nil"/>
              <w:bottom w:val="single" w:sz="4" w:space="0" w:color="000000"/>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Toplam</w:t>
            </w:r>
          </w:p>
        </w:tc>
        <w:tc>
          <w:tcPr>
            <w:tcW w:w="808" w:type="pct"/>
            <w:gridSpan w:val="2"/>
            <w:vMerge w:val="restar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29</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27</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43</w:t>
            </w:r>
          </w:p>
        </w:tc>
        <w:tc>
          <w:tcPr>
            <w:tcW w:w="353"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w:t>
            </w:r>
          </w:p>
        </w:tc>
        <w:tc>
          <w:tcPr>
            <w:tcW w:w="776" w:type="pct"/>
            <w:tcBorders>
              <w:top w:val="single" w:sz="4" w:space="0" w:color="auto"/>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109</w:t>
            </w:r>
          </w:p>
        </w:tc>
      </w:tr>
      <w:tr w:rsidR="00FD353B" w:rsidRPr="00084DA8" w:rsidTr="00A45BC7">
        <w:trPr>
          <w:trHeight w:val="300"/>
        </w:trPr>
        <w:tc>
          <w:tcPr>
            <w:tcW w:w="1127" w:type="pct"/>
            <w:vMerge/>
            <w:tcBorders>
              <w:top w:val="single" w:sz="4" w:space="0" w:color="auto"/>
              <w:left w:val="nil"/>
              <w:bottom w:val="single" w:sz="4" w:space="0" w:color="000000"/>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vMerge/>
            <w:tcBorders>
              <w:top w:val="single" w:sz="4" w:space="0" w:color="auto"/>
              <w:left w:val="nil"/>
              <w:bottom w:val="nil"/>
              <w:right w:val="nil"/>
            </w:tcBorders>
            <w:vAlign w:val="center"/>
            <w:hideMark/>
          </w:tcPr>
          <w:p w:rsidR="00084DA8" w:rsidRPr="006C35E7" w:rsidRDefault="00084DA8" w:rsidP="009812AC">
            <w:pPr>
              <w:jc w:val="center"/>
              <w:rPr>
                <w:rFonts w:ascii="Cambria" w:hAnsi="Cambria"/>
                <w:color w:val="000000"/>
                <w:sz w:val="20"/>
                <w:szCs w:val="20"/>
              </w:rPr>
            </w:pPr>
          </w:p>
        </w:tc>
        <w:tc>
          <w:tcPr>
            <w:tcW w:w="630" w:type="pct"/>
            <w:gridSpan w:val="2"/>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Erkek</w:t>
            </w:r>
          </w:p>
        </w:tc>
        <w:tc>
          <w:tcPr>
            <w:tcW w:w="245"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32</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39</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46</w:t>
            </w:r>
          </w:p>
        </w:tc>
        <w:tc>
          <w:tcPr>
            <w:tcW w:w="353"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4</w:t>
            </w:r>
          </w:p>
        </w:tc>
        <w:tc>
          <w:tcPr>
            <w:tcW w:w="776" w:type="pct"/>
            <w:tcBorders>
              <w:top w:val="nil"/>
              <w:left w:val="nil"/>
              <w:bottom w:val="nil"/>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125</w:t>
            </w:r>
          </w:p>
        </w:tc>
      </w:tr>
      <w:tr w:rsidR="00FD353B" w:rsidRPr="00084DA8" w:rsidTr="00A45BC7">
        <w:trPr>
          <w:trHeight w:val="300"/>
        </w:trPr>
        <w:tc>
          <w:tcPr>
            <w:tcW w:w="1127" w:type="pct"/>
            <w:vMerge/>
            <w:tcBorders>
              <w:top w:val="single" w:sz="4" w:space="0" w:color="auto"/>
              <w:left w:val="nil"/>
              <w:bottom w:val="single" w:sz="4" w:space="0" w:color="000000"/>
              <w:right w:val="nil"/>
            </w:tcBorders>
            <w:vAlign w:val="center"/>
            <w:hideMark/>
          </w:tcPr>
          <w:p w:rsidR="00084DA8" w:rsidRPr="006C35E7" w:rsidRDefault="00084DA8" w:rsidP="009812AC">
            <w:pPr>
              <w:jc w:val="center"/>
              <w:rPr>
                <w:rFonts w:ascii="Cambria" w:hAnsi="Cambria"/>
                <w:color w:val="000000"/>
                <w:sz w:val="20"/>
                <w:szCs w:val="20"/>
              </w:rPr>
            </w:pPr>
          </w:p>
        </w:tc>
        <w:tc>
          <w:tcPr>
            <w:tcW w:w="808" w:type="pct"/>
            <w:gridSpan w:val="2"/>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Toplam</w:t>
            </w:r>
          </w:p>
        </w:tc>
        <w:tc>
          <w:tcPr>
            <w:tcW w:w="630" w:type="pct"/>
            <w:gridSpan w:val="2"/>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p>
        </w:tc>
        <w:tc>
          <w:tcPr>
            <w:tcW w:w="245" w:type="pct"/>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7</w:t>
            </w:r>
          </w:p>
        </w:tc>
        <w:tc>
          <w:tcPr>
            <w:tcW w:w="353" w:type="pct"/>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61</w:t>
            </w:r>
          </w:p>
        </w:tc>
        <w:tc>
          <w:tcPr>
            <w:tcW w:w="353" w:type="pct"/>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66</w:t>
            </w:r>
          </w:p>
        </w:tc>
        <w:tc>
          <w:tcPr>
            <w:tcW w:w="353" w:type="pct"/>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89</w:t>
            </w:r>
          </w:p>
        </w:tc>
        <w:tc>
          <w:tcPr>
            <w:tcW w:w="353" w:type="pct"/>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11</w:t>
            </w:r>
          </w:p>
        </w:tc>
        <w:tc>
          <w:tcPr>
            <w:tcW w:w="776" w:type="pct"/>
            <w:tcBorders>
              <w:top w:val="nil"/>
              <w:left w:val="nil"/>
              <w:bottom w:val="single" w:sz="4" w:space="0" w:color="auto"/>
              <w:right w:val="nil"/>
            </w:tcBorders>
            <w:shd w:val="clear" w:color="auto" w:fill="auto"/>
            <w:noWrap/>
            <w:vAlign w:val="center"/>
            <w:hideMark/>
          </w:tcPr>
          <w:p w:rsidR="00084DA8" w:rsidRPr="006C35E7" w:rsidRDefault="00084DA8" w:rsidP="009812AC">
            <w:pPr>
              <w:jc w:val="center"/>
              <w:rPr>
                <w:rFonts w:ascii="Cambria" w:hAnsi="Cambria"/>
                <w:color w:val="000000"/>
                <w:sz w:val="20"/>
                <w:szCs w:val="20"/>
              </w:rPr>
            </w:pPr>
            <w:r w:rsidRPr="006C35E7">
              <w:rPr>
                <w:rFonts w:ascii="Cambria" w:hAnsi="Cambria"/>
                <w:color w:val="000000"/>
                <w:sz w:val="20"/>
                <w:szCs w:val="20"/>
              </w:rPr>
              <w:t>234</w:t>
            </w:r>
          </w:p>
        </w:tc>
      </w:tr>
    </w:tbl>
    <w:p w:rsidR="00084DA8" w:rsidRPr="00084DA8" w:rsidRDefault="00084DA8" w:rsidP="00084DA8">
      <w:pPr>
        <w:pStyle w:val="NParag"/>
        <w:tabs>
          <w:tab w:val="left" w:pos="675"/>
        </w:tabs>
        <w:spacing w:before="0" w:after="0"/>
        <w:ind w:firstLine="0"/>
        <w:jc w:val="left"/>
        <w:rPr>
          <w:rFonts w:ascii="Cambria" w:hAnsi="Cambria"/>
          <w:b/>
        </w:rPr>
      </w:pPr>
    </w:p>
    <w:p w:rsidR="00084DA8" w:rsidRDefault="00084DA8" w:rsidP="007B5680">
      <w:pPr>
        <w:pStyle w:val="NParag"/>
        <w:tabs>
          <w:tab w:val="left" w:pos="675"/>
        </w:tabs>
        <w:spacing w:before="0" w:after="0"/>
        <w:rPr>
          <w:rFonts w:ascii="Cambria" w:hAnsi="Cambria"/>
        </w:rPr>
      </w:pPr>
      <w:r w:rsidRPr="00084DA8">
        <w:rPr>
          <w:rFonts w:ascii="Cambria" w:hAnsi="Cambria"/>
        </w:rPr>
        <w:t>Tablo 1’de çalışma grubu</w:t>
      </w:r>
      <w:r w:rsidR="0012392D">
        <w:rPr>
          <w:rFonts w:ascii="Cambria" w:hAnsi="Cambria"/>
        </w:rPr>
        <w:t xml:space="preserve"> </w:t>
      </w:r>
      <w:r w:rsidR="00F9721E">
        <w:rPr>
          <w:rFonts w:ascii="Cambria" w:hAnsi="Cambria"/>
        </w:rPr>
        <w:t>1</w:t>
      </w:r>
      <w:r w:rsidR="0012392D">
        <w:rPr>
          <w:rFonts w:ascii="Cambria" w:hAnsi="Cambria"/>
        </w:rPr>
        <w:t>’deki</w:t>
      </w:r>
      <w:r w:rsidRPr="00084DA8">
        <w:rPr>
          <w:rFonts w:ascii="Cambria" w:hAnsi="Cambria"/>
        </w:rPr>
        <w:t xml:space="preserve"> öğrencilerin cinsiyete göre dağılımı incelendiğinde %46.6’sının (n=109) kız, %53.4’ünün (n=125) erkek olduğu görülmektedir. Yaşa göre dağılım incelendiğinde katılımcıların %3’ünün (n=7) </w:t>
      </w:r>
      <w:r w:rsidR="00F9721E">
        <w:rPr>
          <w:rFonts w:ascii="Cambria" w:hAnsi="Cambria"/>
        </w:rPr>
        <w:t>yedi</w:t>
      </w:r>
      <w:r w:rsidRPr="00084DA8">
        <w:rPr>
          <w:rFonts w:ascii="Cambria" w:hAnsi="Cambria"/>
        </w:rPr>
        <w:t xml:space="preserve">, %26.1’inin (n=61) </w:t>
      </w:r>
      <w:r w:rsidR="00F9721E">
        <w:rPr>
          <w:rFonts w:ascii="Cambria" w:hAnsi="Cambria"/>
        </w:rPr>
        <w:t>sekiz</w:t>
      </w:r>
      <w:r w:rsidRPr="00084DA8">
        <w:rPr>
          <w:rFonts w:ascii="Cambria" w:hAnsi="Cambria"/>
        </w:rPr>
        <w:t xml:space="preserve">, %28.2’sinin (n=66) </w:t>
      </w:r>
      <w:r w:rsidR="00F9721E">
        <w:rPr>
          <w:rFonts w:ascii="Cambria" w:hAnsi="Cambria"/>
        </w:rPr>
        <w:t>dokuz</w:t>
      </w:r>
      <w:r w:rsidRPr="00084DA8">
        <w:rPr>
          <w:rFonts w:ascii="Cambria" w:hAnsi="Cambria"/>
        </w:rPr>
        <w:t xml:space="preserve">,  %38’inin (n=89) 10 ve %4.7’sinin (n=11) 11 yaşında olduğu belirlenmiştir. </w:t>
      </w:r>
      <w:r w:rsidR="007B5680">
        <w:rPr>
          <w:rFonts w:ascii="Cambria" w:hAnsi="Cambria"/>
        </w:rPr>
        <w:t>Sınıf düzeyine göre dağılım incelendiğinde</w:t>
      </w:r>
      <w:r w:rsidRPr="00084DA8">
        <w:rPr>
          <w:rFonts w:ascii="Cambria" w:hAnsi="Cambria"/>
        </w:rPr>
        <w:t xml:space="preserve"> öğrencilerin %33.8’i</w:t>
      </w:r>
      <w:r w:rsidR="007B5680">
        <w:rPr>
          <w:rFonts w:ascii="Cambria" w:hAnsi="Cambria"/>
        </w:rPr>
        <w:t>nin</w:t>
      </w:r>
      <w:r w:rsidRPr="00084DA8">
        <w:rPr>
          <w:rFonts w:ascii="Cambria" w:hAnsi="Cambria"/>
        </w:rPr>
        <w:t xml:space="preserve"> (n=79) 2. sınıfta, %30.8’i</w:t>
      </w:r>
      <w:r w:rsidR="007B5680">
        <w:rPr>
          <w:rFonts w:ascii="Cambria" w:hAnsi="Cambria"/>
        </w:rPr>
        <w:t>nin</w:t>
      </w:r>
      <w:r w:rsidRPr="00084DA8">
        <w:rPr>
          <w:rFonts w:ascii="Cambria" w:hAnsi="Cambria"/>
        </w:rPr>
        <w:t xml:space="preserve"> (n=72) 3. sınıfta ve %35.5’i</w:t>
      </w:r>
      <w:r w:rsidR="007B5680">
        <w:rPr>
          <w:rFonts w:ascii="Cambria" w:hAnsi="Cambria"/>
        </w:rPr>
        <w:t>nin</w:t>
      </w:r>
      <w:r w:rsidRPr="00084DA8">
        <w:rPr>
          <w:rFonts w:ascii="Cambria" w:hAnsi="Cambria"/>
        </w:rPr>
        <w:t xml:space="preserve"> (n=83) 4. sınıfta öğrenim gör</w:t>
      </w:r>
      <w:r w:rsidR="007B5680">
        <w:rPr>
          <w:rFonts w:ascii="Cambria" w:hAnsi="Cambria"/>
        </w:rPr>
        <w:t>düğü görülmektedir.</w:t>
      </w:r>
    </w:p>
    <w:p w:rsidR="00361F87" w:rsidRDefault="00361F87" w:rsidP="00834776">
      <w:pPr>
        <w:pStyle w:val="Heading2"/>
        <w:spacing w:before="120" w:after="120"/>
        <w:jc w:val="both"/>
        <w:rPr>
          <w:rFonts w:ascii="Cambria" w:eastAsia="Times New Roman" w:hAnsi="Cambria" w:cstheme="minorHAnsi"/>
          <w:b/>
          <w:color w:val="auto"/>
          <w:sz w:val="22"/>
          <w:szCs w:val="22"/>
        </w:rPr>
      </w:pPr>
      <w:r w:rsidRPr="00F729A2">
        <w:rPr>
          <w:rFonts w:ascii="Cambria" w:eastAsia="Times New Roman" w:hAnsi="Cambria" w:cstheme="minorHAnsi"/>
          <w:b/>
          <w:color w:val="auto"/>
          <w:sz w:val="22"/>
          <w:szCs w:val="22"/>
        </w:rPr>
        <w:t>Çalışma Grubu</w:t>
      </w:r>
      <w:r>
        <w:rPr>
          <w:rFonts w:ascii="Cambria" w:eastAsia="Times New Roman" w:hAnsi="Cambria" w:cstheme="minorHAnsi"/>
          <w:b/>
          <w:color w:val="auto"/>
          <w:sz w:val="22"/>
          <w:szCs w:val="22"/>
        </w:rPr>
        <w:t xml:space="preserve"> </w:t>
      </w:r>
      <w:r w:rsidR="00A71D98">
        <w:rPr>
          <w:rFonts w:ascii="Cambria" w:eastAsia="Times New Roman" w:hAnsi="Cambria" w:cstheme="minorHAnsi"/>
          <w:b/>
          <w:color w:val="auto"/>
          <w:sz w:val="22"/>
          <w:szCs w:val="22"/>
        </w:rPr>
        <w:t>2</w:t>
      </w:r>
    </w:p>
    <w:p w:rsidR="00361F87" w:rsidRDefault="002236E1" w:rsidP="00361F87">
      <w:pPr>
        <w:pStyle w:val="NParag"/>
        <w:tabs>
          <w:tab w:val="left" w:pos="675"/>
        </w:tabs>
        <w:spacing w:before="0" w:after="0"/>
        <w:rPr>
          <w:rFonts w:ascii="Cambria" w:hAnsi="Cambria" w:cstheme="minorHAnsi"/>
        </w:rPr>
      </w:pPr>
      <w:r>
        <w:rPr>
          <w:rFonts w:ascii="Cambria" w:hAnsi="Cambria" w:cstheme="minorHAnsi"/>
        </w:rPr>
        <w:t>Ö</w:t>
      </w:r>
      <w:r w:rsidR="00361F87" w:rsidRPr="00F729A2">
        <w:rPr>
          <w:rFonts w:ascii="Cambria" w:hAnsi="Cambria" w:cstheme="minorHAnsi"/>
        </w:rPr>
        <w:t>lçek formu</w:t>
      </w:r>
      <w:r w:rsidR="00361F87">
        <w:rPr>
          <w:rFonts w:ascii="Cambria" w:hAnsi="Cambria" w:cstheme="minorHAnsi"/>
        </w:rPr>
        <w:t xml:space="preserve">ndan elde edilen verilerin faktör yapısının doğrulanması amacıyla </w:t>
      </w:r>
      <w:r w:rsidR="009C3934">
        <w:rPr>
          <w:rFonts w:ascii="Cambria" w:hAnsi="Cambria" w:cstheme="minorHAnsi"/>
        </w:rPr>
        <w:t xml:space="preserve">Aydın ilinde yer alan okullarda öğrenim gören </w:t>
      </w:r>
      <w:r w:rsidR="00361F87">
        <w:rPr>
          <w:rFonts w:ascii="Cambria" w:hAnsi="Cambria" w:cstheme="minorHAnsi"/>
        </w:rPr>
        <w:t>2</w:t>
      </w:r>
      <w:r w:rsidR="009C3934">
        <w:rPr>
          <w:rFonts w:ascii="Cambria" w:hAnsi="Cambria" w:cstheme="minorHAnsi"/>
        </w:rPr>
        <w:t>2</w:t>
      </w:r>
      <w:r w:rsidR="002A62A8">
        <w:rPr>
          <w:rFonts w:ascii="Cambria" w:hAnsi="Cambria" w:cstheme="minorHAnsi"/>
        </w:rPr>
        <w:t>0</w:t>
      </w:r>
      <w:r w:rsidR="00361F87">
        <w:rPr>
          <w:rFonts w:ascii="Cambria" w:hAnsi="Cambria" w:cstheme="minorHAnsi"/>
        </w:rPr>
        <w:t xml:space="preserve"> ilkokul öğrencisine </w:t>
      </w:r>
      <w:r w:rsidR="0012392D">
        <w:rPr>
          <w:rFonts w:ascii="Cambria" w:hAnsi="Cambria" w:cstheme="minorHAnsi"/>
        </w:rPr>
        <w:t xml:space="preserve">ölçek </w:t>
      </w:r>
      <w:r w:rsidR="00361F87">
        <w:rPr>
          <w:rFonts w:ascii="Cambria" w:hAnsi="Cambria" w:cstheme="minorHAnsi"/>
        </w:rPr>
        <w:t>uygulanmıştır.</w:t>
      </w:r>
      <w:r w:rsidR="00DE09BA">
        <w:rPr>
          <w:rFonts w:ascii="Cambria" w:hAnsi="Cambria" w:cstheme="minorHAnsi"/>
        </w:rPr>
        <w:t xml:space="preserve"> Ölçek uygulanırken mümkün olduğunca fazla katılımcıya ulaşılmaya çalışılmıştır ve gruptaki çeşitliliğin fazla olmasına dikkat edilmiştir. </w:t>
      </w:r>
      <w:r w:rsidR="009C3934">
        <w:rPr>
          <w:rFonts w:ascii="Cambria" w:hAnsi="Cambria" w:cstheme="minorHAnsi"/>
        </w:rPr>
        <w:t>Doğrulayıcı faktör analizi yapılabilmesi için en az 100 katılımcıdan veri toplanması gerekmektedir (Kahn, 2006)</w:t>
      </w:r>
      <w:r>
        <w:rPr>
          <w:rFonts w:ascii="Cambria" w:hAnsi="Cambria" w:cstheme="minorHAnsi"/>
        </w:rPr>
        <w:t>. Çalışma grubu 2</w:t>
      </w:r>
      <w:r w:rsidR="00DE09BA">
        <w:rPr>
          <w:rFonts w:ascii="Cambria" w:hAnsi="Cambria" w:cstheme="minorHAnsi"/>
        </w:rPr>
        <w:t>’</w:t>
      </w:r>
      <w:r>
        <w:rPr>
          <w:rFonts w:ascii="Cambria" w:hAnsi="Cambria" w:cstheme="minorHAnsi"/>
        </w:rPr>
        <w:t>y</w:t>
      </w:r>
      <w:r w:rsidR="00DE09BA">
        <w:rPr>
          <w:rFonts w:ascii="Cambria" w:hAnsi="Cambria" w:cstheme="minorHAnsi"/>
        </w:rPr>
        <w:t xml:space="preserve">e ilişkin detaylı bilgiye Tablo </w:t>
      </w:r>
      <w:r w:rsidR="007B5680">
        <w:rPr>
          <w:rFonts w:ascii="Cambria" w:hAnsi="Cambria" w:cstheme="minorHAnsi"/>
        </w:rPr>
        <w:t>2</w:t>
      </w:r>
      <w:r w:rsidR="00DE09BA">
        <w:rPr>
          <w:rFonts w:ascii="Cambria" w:hAnsi="Cambria" w:cstheme="minorHAnsi"/>
        </w:rPr>
        <w:t>’</w:t>
      </w:r>
      <w:r w:rsidR="007B5680">
        <w:rPr>
          <w:rFonts w:ascii="Cambria" w:hAnsi="Cambria" w:cstheme="minorHAnsi"/>
        </w:rPr>
        <w:t>d</w:t>
      </w:r>
      <w:r w:rsidR="00DE09BA">
        <w:rPr>
          <w:rFonts w:ascii="Cambria" w:hAnsi="Cambria" w:cstheme="minorHAnsi"/>
        </w:rPr>
        <w:t>e yer verilmektedir.</w:t>
      </w:r>
    </w:p>
    <w:p w:rsidR="0012392D" w:rsidRDefault="0012392D" w:rsidP="0012392D">
      <w:pPr>
        <w:pStyle w:val="NParag"/>
        <w:spacing w:before="0" w:after="0"/>
        <w:ind w:firstLine="0"/>
        <w:rPr>
          <w:rFonts w:ascii="Cambria" w:hAnsi="Cambria"/>
          <w:b/>
        </w:rPr>
      </w:pPr>
    </w:p>
    <w:p w:rsidR="0012392D" w:rsidRPr="006C35E7" w:rsidRDefault="0012392D" w:rsidP="00834776">
      <w:pPr>
        <w:pStyle w:val="NParag"/>
        <w:spacing w:before="0" w:after="120"/>
        <w:ind w:firstLine="0"/>
        <w:rPr>
          <w:rFonts w:ascii="Cambria" w:hAnsi="Cambria"/>
          <w:i/>
          <w:sz w:val="20"/>
        </w:rPr>
      </w:pPr>
      <w:r w:rsidRPr="006C35E7">
        <w:rPr>
          <w:rFonts w:ascii="Cambria" w:hAnsi="Cambria"/>
          <w:b/>
          <w:sz w:val="20"/>
        </w:rPr>
        <w:t xml:space="preserve">Tablo </w:t>
      </w:r>
      <w:r w:rsidR="007B5680" w:rsidRPr="006C35E7">
        <w:rPr>
          <w:rFonts w:ascii="Cambria" w:hAnsi="Cambria"/>
          <w:b/>
          <w:sz w:val="20"/>
        </w:rPr>
        <w:t>2</w:t>
      </w:r>
      <w:r w:rsidRPr="006C35E7">
        <w:rPr>
          <w:rFonts w:ascii="Cambria" w:hAnsi="Cambria"/>
          <w:b/>
          <w:sz w:val="20"/>
        </w:rPr>
        <w:t>.</w:t>
      </w:r>
      <w:r w:rsidRPr="006C35E7">
        <w:rPr>
          <w:rFonts w:ascii="Cambria" w:hAnsi="Cambria"/>
          <w:i/>
          <w:sz w:val="20"/>
        </w:rPr>
        <w:t xml:space="preserve"> Çalışma grubu </w:t>
      </w:r>
      <w:r w:rsidR="002236E1" w:rsidRPr="006C35E7">
        <w:rPr>
          <w:rFonts w:ascii="Cambria" w:hAnsi="Cambria"/>
          <w:i/>
          <w:sz w:val="20"/>
        </w:rPr>
        <w:t>2</w:t>
      </w:r>
      <w:r w:rsidRPr="006C35E7">
        <w:rPr>
          <w:rFonts w:ascii="Cambria" w:hAnsi="Cambria"/>
          <w:i/>
          <w:sz w:val="20"/>
        </w:rPr>
        <w:t>’</w:t>
      </w:r>
      <w:r w:rsidR="002236E1" w:rsidRPr="006C35E7">
        <w:rPr>
          <w:rFonts w:ascii="Cambria" w:hAnsi="Cambria"/>
          <w:i/>
          <w:sz w:val="20"/>
        </w:rPr>
        <w:t>y</w:t>
      </w:r>
      <w:r w:rsidRPr="006C35E7">
        <w:rPr>
          <w:rFonts w:ascii="Cambria" w:hAnsi="Cambria"/>
          <w:i/>
          <w:sz w:val="20"/>
        </w:rPr>
        <w:t>e ilişkin betimsel istatistikler</w:t>
      </w:r>
    </w:p>
    <w:tbl>
      <w:tblPr>
        <w:tblW w:w="5000" w:type="pct"/>
        <w:tblCellMar>
          <w:left w:w="70" w:type="dxa"/>
          <w:right w:w="70" w:type="dxa"/>
        </w:tblCellMar>
        <w:tblLook w:val="04A0" w:firstRow="1" w:lastRow="0" w:firstColumn="1" w:lastColumn="0" w:noHBand="0" w:noVBand="1"/>
      </w:tblPr>
      <w:tblGrid>
        <w:gridCol w:w="2046"/>
        <w:gridCol w:w="978"/>
        <w:gridCol w:w="488"/>
        <w:gridCol w:w="383"/>
        <w:gridCol w:w="762"/>
        <w:gridCol w:w="445"/>
        <w:gridCol w:w="640"/>
        <w:gridCol w:w="642"/>
        <w:gridCol w:w="640"/>
        <w:gridCol w:w="640"/>
        <w:gridCol w:w="1408"/>
      </w:tblGrid>
      <w:tr w:rsidR="0012392D" w:rsidRPr="006C35E7" w:rsidTr="0012392D">
        <w:trPr>
          <w:trHeight w:val="300"/>
        </w:trPr>
        <w:tc>
          <w:tcPr>
            <w:tcW w:w="1127" w:type="pct"/>
            <w:vMerge w:val="restart"/>
            <w:tcBorders>
              <w:top w:val="single" w:sz="4" w:space="0" w:color="auto"/>
              <w:left w:val="nil"/>
              <w:bottom w:val="nil"/>
              <w:right w:val="nil"/>
            </w:tcBorders>
            <w:shd w:val="clear" w:color="auto" w:fill="auto"/>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Sınıf Düzeyi</w:t>
            </w:r>
          </w:p>
        </w:tc>
        <w:tc>
          <w:tcPr>
            <w:tcW w:w="539" w:type="pct"/>
            <w:tcBorders>
              <w:top w:val="single" w:sz="4" w:space="0" w:color="auto"/>
              <w:left w:val="nil"/>
              <w:bottom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480" w:type="pct"/>
            <w:gridSpan w:val="2"/>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color w:val="000000"/>
                <w:sz w:val="20"/>
                <w:szCs w:val="20"/>
              </w:rPr>
            </w:pPr>
          </w:p>
        </w:tc>
        <w:tc>
          <w:tcPr>
            <w:tcW w:w="420" w:type="pct"/>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color w:val="000000"/>
                <w:sz w:val="20"/>
                <w:szCs w:val="20"/>
              </w:rPr>
            </w:pPr>
          </w:p>
        </w:tc>
        <w:tc>
          <w:tcPr>
            <w:tcW w:w="245" w:type="pct"/>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sz w:val="20"/>
                <w:szCs w:val="20"/>
              </w:rPr>
            </w:pPr>
          </w:p>
        </w:tc>
        <w:tc>
          <w:tcPr>
            <w:tcW w:w="707" w:type="pct"/>
            <w:gridSpan w:val="2"/>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sz w:val="20"/>
                <w:szCs w:val="20"/>
              </w:rPr>
            </w:pPr>
            <w:r w:rsidRPr="006C35E7">
              <w:rPr>
                <w:rFonts w:ascii="Cambria" w:hAnsi="Cambria" w:cstheme="minorHAnsi"/>
                <w:sz w:val="20"/>
                <w:szCs w:val="20"/>
              </w:rPr>
              <w:t>Yaş</w:t>
            </w:r>
          </w:p>
        </w:tc>
        <w:tc>
          <w:tcPr>
            <w:tcW w:w="353" w:type="pct"/>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sz w:val="20"/>
                <w:szCs w:val="20"/>
              </w:rPr>
            </w:pPr>
          </w:p>
        </w:tc>
        <w:tc>
          <w:tcPr>
            <w:tcW w:w="353" w:type="pct"/>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sz w:val="20"/>
                <w:szCs w:val="20"/>
              </w:rPr>
            </w:pPr>
          </w:p>
        </w:tc>
        <w:tc>
          <w:tcPr>
            <w:tcW w:w="776" w:type="pct"/>
            <w:tcBorders>
              <w:top w:val="single" w:sz="4" w:space="0" w:color="auto"/>
              <w:left w:val="nil"/>
              <w:bottom w:val="nil"/>
            </w:tcBorders>
            <w:shd w:val="clear" w:color="auto" w:fill="auto"/>
            <w:vAlign w:val="center"/>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Toplam</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630" w:type="pct"/>
            <w:gridSpan w:val="2"/>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245"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7</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8</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9</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10</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11</w:t>
            </w:r>
          </w:p>
        </w:tc>
        <w:tc>
          <w:tcPr>
            <w:tcW w:w="776" w:type="pct"/>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r>
      <w:tr w:rsidR="0012392D" w:rsidRPr="006C35E7" w:rsidTr="0012392D">
        <w:trPr>
          <w:trHeight w:val="300"/>
        </w:trPr>
        <w:tc>
          <w:tcPr>
            <w:tcW w:w="1127" w:type="pct"/>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w:t>
            </w:r>
          </w:p>
        </w:tc>
        <w:tc>
          <w:tcPr>
            <w:tcW w:w="808" w:type="pct"/>
            <w:gridSpan w:val="2"/>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39</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776"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47</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Erkek</w:t>
            </w: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26</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6</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776"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34</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Toplam</w:t>
            </w: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6</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65</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10</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776"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81</w:t>
            </w:r>
          </w:p>
        </w:tc>
      </w:tr>
      <w:tr w:rsidR="0012392D" w:rsidRPr="006C35E7" w:rsidTr="0012392D">
        <w:trPr>
          <w:trHeight w:val="300"/>
        </w:trPr>
        <w:tc>
          <w:tcPr>
            <w:tcW w:w="1127" w:type="pct"/>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3</w:t>
            </w:r>
          </w:p>
        </w:tc>
        <w:tc>
          <w:tcPr>
            <w:tcW w:w="808" w:type="pct"/>
            <w:gridSpan w:val="2"/>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3</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17</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8</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776"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28</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Erkek</w:t>
            </w: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17</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10</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776"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28</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Toplam</w:t>
            </w: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34</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18</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776"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56</w:t>
            </w:r>
          </w:p>
        </w:tc>
      </w:tr>
      <w:tr w:rsidR="0012392D" w:rsidRPr="006C35E7" w:rsidTr="0012392D">
        <w:trPr>
          <w:trHeight w:val="300"/>
        </w:trPr>
        <w:tc>
          <w:tcPr>
            <w:tcW w:w="1127" w:type="pct"/>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w:t>
            </w:r>
          </w:p>
        </w:tc>
        <w:tc>
          <w:tcPr>
            <w:tcW w:w="808" w:type="pct"/>
            <w:gridSpan w:val="2"/>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single" w:sz="4" w:space="0" w:color="auto"/>
              <w:left w:val="nil"/>
              <w:bottom w:val="nil"/>
              <w:right w:val="nil"/>
            </w:tcBorders>
            <w:shd w:val="clear" w:color="auto" w:fill="auto"/>
            <w:noWrap/>
            <w:vAlign w:val="center"/>
            <w:hideMark/>
          </w:tcPr>
          <w:p w:rsidR="0012392D" w:rsidRPr="006C35E7" w:rsidRDefault="00C2750E" w:rsidP="0012392D">
            <w:pPr>
              <w:jc w:val="center"/>
              <w:rPr>
                <w:rFonts w:ascii="Cambria" w:hAnsi="Cambria" w:cstheme="minorHAnsi"/>
                <w:color w:val="000000"/>
                <w:sz w:val="20"/>
                <w:szCs w:val="20"/>
              </w:rPr>
            </w:pPr>
            <w:r w:rsidRPr="006C35E7">
              <w:rPr>
                <w:rFonts w:ascii="Cambria" w:hAnsi="Cambria" w:cstheme="minorHAnsi"/>
                <w:color w:val="000000"/>
                <w:sz w:val="20"/>
                <w:szCs w:val="20"/>
              </w:rPr>
              <w:t>29</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10</w:t>
            </w:r>
          </w:p>
        </w:tc>
        <w:tc>
          <w:tcPr>
            <w:tcW w:w="776" w:type="pct"/>
            <w:tcBorders>
              <w:top w:val="single" w:sz="4" w:space="0" w:color="auto"/>
              <w:left w:val="nil"/>
              <w:bottom w:val="nil"/>
              <w:right w:val="nil"/>
            </w:tcBorders>
            <w:shd w:val="clear" w:color="auto" w:fill="auto"/>
            <w:noWrap/>
            <w:vAlign w:val="center"/>
            <w:hideMark/>
          </w:tcPr>
          <w:p w:rsidR="0012392D" w:rsidRPr="006C35E7" w:rsidRDefault="00C2750E" w:rsidP="0012392D">
            <w:pPr>
              <w:jc w:val="center"/>
              <w:rPr>
                <w:rFonts w:ascii="Cambria" w:hAnsi="Cambria" w:cstheme="minorHAnsi"/>
                <w:color w:val="000000"/>
                <w:sz w:val="20"/>
                <w:szCs w:val="20"/>
              </w:rPr>
            </w:pPr>
            <w:r w:rsidRPr="006C35E7">
              <w:rPr>
                <w:rFonts w:ascii="Cambria" w:hAnsi="Cambria" w:cstheme="minorHAnsi"/>
                <w:color w:val="000000"/>
                <w:sz w:val="20"/>
                <w:szCs w:val="20"/>
              </w:rPr>
              <w:t>40</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Erkek</w:t>
            </w: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0</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28</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15</w:t>
            </w:r>
          </w:p>
        </w:tc>
        <w:tc>
          <w:tcPr>
            <w:tcW w:w="776"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43</w:t>
            </w:r>
          </w:p>
        </w:tc>
      </w:tr>
      <w:tr w:rsidR="0012392D" w:rsidRPr="006C35E7" w:rsidTr="0012392D">
        <w:trPr>
          <w:trHeight w:val="300"/>
        </w:trPr>
        <w:tc>
          <w:tcPr>
            <w:tcW w:w="1127" w:type="pct"/>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Toplam</w:t>
            </w: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58</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25</w:t>
            </w:r>
          </w:p>
        </w:tc>
        <w:tc>
          <w:tcPr>
            <w:tcW w:w="776" w:type="pct"/>
            <w:tcBorders>
              <w:top w:val="nil"/>
              <w:left w:val="nil"/>
              <w:bottom w:val="nil"/>
              <w:right w:val="nil"/>
            </w:tcBorders>
            <w:shd w:val="clear" w:color="auto" w:fill="auto"/>
            <w:noWrap/>
            <w:vAlign w:val="center"/>
            <w:hideMark/>
          </w:tcPr>
          <w:p w:rsidR="0012392D" w:rsidRPr="006C35E7" w:rsidRDefault="00C2750E" w:rsidP="0012392D">
            <w:pPr>
              <w:jc w:val="center"/>
              <w:rPr>
                <w:rFonts w:ascii="Cambria" w:hAnsi="Cambria" w:cstheme="minorHAnsi"/>
                <w:color w:val="000000"/>
                <w:sz w:val="20"/>
                <w:szCs w:val="20"/>
              </w:rPr>
            </w:pPr>
            <w:r w:rsidRPr="006C35E7">
              <w:rPr>
                <w:rFonts w:ascii="Cambria" w:hAnsi="Cambria" w:cstheme="minorHAnsi"/>
                <w:color w:val="000000"/>
                <w:sz w:val="20"/>
                <w:szCs w:val="20"/>
              </w:rPr>
              <w:t>83</w:t>
            </w:r>
          </w:p>
        </w:tc>
      </w:tr>
      <w:tr w:rsidR="0012392D" w:rsidRPr="006C35E7" w:rsidTr="0012392D">
        <w:trPr>
          <w:trHeight w:val="300"/>
        </w:trPr>
        <w:tc>
          <w:tcPr>
            <w:tcW w:w="1127" w:type="pct"/>
            <w:vMerge w:val="restart"/>
            <w:tcBorders>
              <w:top w:val="single" w:sz="4" w:space="0" w:color="auto"/>
              <w:left w:val="nil"/>
              <w:bottom w:val="single" w:sz="4" w:space="0" w:color="000000"/>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Toplam</w:t>
            </w:r>
          </w:p>
        </w:tc>
        <w:tc>
          <w:tcPr>
            <w:tcW w:w="808" w:type="pct"/>
            <w:gridSpan w:val="2"/>
            <w:vMerge w:val="restar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Cinsiyet</w:t>
            </w:r>
          </w:p>
        </w:tc>
        <w:tc>
          <w:tcPr>
            <w:tcW w:w="630" w:type="pct"/>
            <w:gridSpan w:val="2"/>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Kız</w:t>
            </w:r>
          </w:p>
        </w:tc>
        <w:tc>
          <w:tcPr>
            <w:tcW w:w="245"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5</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42</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21</w:t>
            </w:r>
          </w:p>
        </w:tc>
        <w:tc>
          <w:tcPr>
            <w:tcW w:w="353" w:type="pct"/>
            <w:tcBorders>
              <w:top w:val="single" w:sz="4" w:space="0" w:color="auto"/>
              <w:left w:val="nil"/>
              <w:bottom w:val="nil"/>
              <w:right w:val="nil"/>
            </w:tcBorders>
            <w:shd w:val="clear" w:color="auto" w:fill="auto"/>
            <w:noWrap/>
            <w:vAlign w:val="center"/>
            <w:hideMark/>
          </w:tcPr>
          <w:p w:rsidR="0012392D" w:rsidRPr="006C35E7" w:rsidRDefault="00C2750E" w:rsidP="0012392D">
            <w:pPr>
              <w:jc w:val="center"/>
              <w:rPr>
                <w:rFonts w:ascii="Cambria" w:hAnsi="Cambria" w:cstheme="minorHAnsi"/>
                <w:color w:val="000000"/>
                <w:sz w:val="20"/>
                <w:szCs w:val="20"/>
              </w:rPr>
            </w:pPr>
            <w:r w:rsidRPr="006C35E7">
              <w:rPr>
                <w:rFonts w:ascii="Cambria" w:hAnsi="Cambria" w:cstheme="minorHAnsi"/>
                <w:color w:val="000000"/>
                <w:sz w:val="20"/>
                <w:szCs w:val="20"/>
              </w:rPr>
              <w:t>37</w:t>
            </w:r>
          </w:p>
        </w:tc>
        <w:tc>
          <w:tcPr>
            <w:tcW w:w="353" w:type="pct"/>
            <w:tcBorders>
              <w:top w:val="single" w:sz="4" w:space="0" w:color="auto"/>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10</w:t>
            </w:r>
          </w:p>
        </w:tc>
        <w:tc>
          <w:tcPr>
            <w:tcW w:w="776" w:type="pct"/>
            <w:tcBorders>
              <w:top w:val="single" w:sz="4" w:space="0" w:color="auto"/>
              <w:left w:val="nil"/>
              <w:bottom w:val="nil"/>
              <w:right w:val="nil"/>
            </w:tcBorders>
            <w:shd w:val="clear" w:color="auto" w:fill="auto"/>
            <w:noWrap/>
            <w:vAlign w:val="center"/>
            <w:hideMark/>
          </w:tcPr>
          <w:p w:rsidR="0012392D" w:rsidRPr="006C35E7" w:rsidRDefault="0012392D" w:rsidP="007B5680">
            <w:pPr>
              <w:jc w:val="center"/>
              <w:rPr>
                <w:rFonts w:ascii="Cambria" w:hAnsi="Cambria" w:cstheme="minorHAnsi"/>
                <w:color w:val="000000"/>
                <w:sz w:val="20"/>
                <w:szCs w:val="20"/>
              </w:rPr>
            </w:pPr>
            <w:r w:rsidRPr="006C35E7">
              <w:rPr>
                <w:rFonts w:ascii="Cambria" w:hAnsi="Cambria" w:cstheme="minorHAnsi"/>
                <w:color w:val="000000"/>
                <w:sz w:val="20"/>
                <w:szCs w:val="20"/>
              </w:rPr>
              <w:t>11</w:t>
            </w:r>
            <w:r w:rsidR="007B5680" w:rsidRPr="006C35E7">
              <w:rPr>
                <w:rFonts w:ascii="Cambria" w:hAnsi="Cambria" w:cstheme="minorHAnsi"/>
                <w:color w:val="000000"/>
                <w:sz w:val="20"/>
                <w:szCs w:val="20"/>
              </w:rPr>
              <w:t>5</w:t>
            </w:r>
          </w:p>
        </w:tc>
      </w:tr>
      <w:tr w:rsidR="0012392D" w:rsidRPr="006C35E7" w:rsidTr="0012392D">
        <w:trPr>
          <w:trHeight w:val="300"/>
        </w:trPr>
        <w:tc>
          <w:tcPr>
            <w:tcW w:w="1127" w:type="pct"/>
            <w:vMerge/>
            <w:tcBorders>
              <w:top w:val="single" w:sz="4" w:space="0" w:color="auto"/>
              <w:left w:val="nil"/>
              <w:bottom w:val="single" w:sz="4" w:space="0" w:color="000000"/>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vMerge/>
            <w:tcBorders>
              <w:top w:val="single" w:sz="4" w:space="0" w:color="auto"/>
              <w:left w:val="nil"/>
              <w:bottom w:val="nil"/>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630" w:type="pct"/>
            <w:gridSpan w:val="2"/>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Erkek</w:t>
            </w:r>
          </w:p>
        </w:tc>
        <w:tc>
          <w:tcPr>
            <w:tcW w:w="245"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27</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23</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38</w:t>
            </w:r>
          </w:p>
        </w:tc>
        <w:tc>
          <w:tcPr>
            <w:tcW w:w="353"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15</w:t>
            </w:r>
          </w:p>
        </w:tc>
        <w:tc>
          <w:tcPr>
            <w:tcW w:w="776" w:type="pct"/>
            <w:tcBorders>
              <w:top w:val="nil"/>
              <w:left w:val="nil"/>
              <w:bottom w:val="nil"/>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105</w:t>
            </w:r>
          </w:p>
        </w:tc>
      </w:tr>
      <w:tr w:rsidR="0012392D" w:rsidRPr="006C35E7" w:rsidTr="0012392D">
        <w:trPr>
          <w:trHeight w:val="300"/>
        </w:trPr>
        <w:tc>
          <w:tcPr>
            <w:tcW w:w="1127" w:type="pct"/>
            <w:vMerge/>
            <w:tcBorders>
              <w:top w:val="single" w:sz="4" w:space="0" w:color="auto"/>
              <w:left w:val="nil"/>
              <w:bottom w:val="single" w:sz="4" w:space="0" w:color="000000"/>
              <w:right w:val="nil"/>
            </w:tcBorders>
            <w:vAlign w:val="center"/>
            <w:hideMark/>
          </w:tcPr>
          <w:p w:rsidR="0012392D" w:rsidRPr="006C35E7" w:rsidRDefault="0012392D" w:rsidP="0012392D">
            <w:pPr>
              <w:jc w:val="center"/>
              <w:rPr>
                <w:rFonts w:ascii="Cambria" w:hAnsi="Cambria" w:cstheme="minorHAnsi"/>
                <w:color w:val="000000"/>
                <w:sz w:val="20"/>
                <w:szCs w:val="20"/>
              </w:rPr>
            </w:pPr>
          </w:p>
        </w:tc>
        <w:tc>
          <w:tcPr>
            <w:tcW w:w="808" w:type="pct"/>
            <w:gridSpan w:val="2"/>
            <w:tcBorders>
              <w:top w:val="nil"/>
              <w:left w:val="nil"/>
              <w:bottom w:val="single" w:sz="4" w:space="0" w:color="auto"/>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Toplam</w:t>
            </w:r>
          </w:p>
        </w:tc>
        <w:tc>
          <w:tcPr>
            <w:tcW w:w="630" w:type="pct"/>
            <w:gridSpan w:val="2"/>
            <w:tcBorders>
              <w:top w:val="nil"/>
              <w:left w:val="nil"/>
              <w:bottom w:val="single" w:sz="4" w:space="0" w:color="auto"/>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p>
        </w:tc>
        <w:tc>
          <w:tcPr>
            <w:tcW w:w="245" w:type="pct"/>
            <w:tcBorders>
              <w:top w:val="nil"/>
              <w:left w:val="nil"/>
              <w:bottom w:val="single" w:sz="4" w:space="0" w:color="auto"/>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7</w:t>
            </w:r>
          </w:p>
        </w:tc>
        <w:tc>
          <w:tcPr>
            <w:tcW w:w="353" w:type="pct"/>
            <w:tcBorders>
              <w:top w:val="nil"/>
              <w:left w:val="nil"/>
              <w:bottom w:val="single" w:sz="4" w:space="0" w:color="auto"/>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69</w:t>
            </w:r>
          </w:p>
        </w:tc>
        <w:tc>
          <w:tcPr>
            <w:tcW w:w="353" w:type="pct"/>
            <w:tcBorders>
              <w:top w:val="nil"/>
              <w:left w:val="nil"/>
              <w:bottom w:val="single" w:sz="4" w:space="0" w:color="auto"/>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44</w:t>
            </w:r>
          </w:p>
        </w:tc>
        <w:tc>
          <w:tcPr>
            <w:tcW w:w="353" w:type="pct"/>
            <w:tcBorders>
              <w:top w:val="nil"/>
              <w:left w:val="nil"/>
              <w:bottom w:val="single" w:sz="4" w:space="0" w:color="auto"/>
              <w:right w:val="nil"/>
            </w:tcBorders>
            <w:shd w:val="clear" w:color="auto" w:fill="auto"/>
            <w:noWrap/>
            <w:vAlign w:val="center"/>
            <w:hideMark/>
          </w:tcPr>
          <w:p w:rsidR="0012392D" w:rsidRPr="006C35E7" w:rsidRDefault="00C2750E" w:rsidP="0012392D">
            <w:pPr>
              <w:jc w:val="center"/>
              <w:rPr>
                <w:rFonts w:ascii="Cambria" w:hAnsi="Cambria" w:cstheme="minorHAnsi"/>
                <w:color w:val="000000"/>
                <w:sz w:val="20"/>
                <w:szCs w:val="20"/>
              </w:rPr>
            </w:pPr>
            <w:r w:rsidRPr="006C35E7">
              <w:rPr>
                <w:rFonts w:ascii="Cambria" w:hAnsi="Cambria" w:cstheme="minorHAnsi"/>
                <w:color w:val="000000"/>
                <w:sz w:val="20"/>
                <w:szCs w:val="20"/>
              </w:rPr>
              <w:t>75</w:t>
            </w:r>
          </w:p>
        </w:tc>
        <w:tc>
          <w:tcPr>
            <w:tcW w:w="353" w:type="pct"/>
            <w:tcBorders>
              <w:top w:val="nil"/>
              <w:left w:val="nil"/>
              <w:bottom w:val="single" w:sz="4" w:space="0" w:color="auto"/>
              <w:right w:val="nil"/>
            </w:tcBorders>
            <w:shd w:val="clear" w:color="auto" w:fill="auto"/>
            <w:noWrap/>
            <w:vAlign w:val="center"/>
            <w:hideMark/>
          </w:tcPr>
          <w:p w:rsidR="0012392D" w:rsidRPr="006C35E7" w:rsidRDefault="0012392D" w:rsidP="0012392D">
            <w:pPr>
              <w:jc w:val="center"/>
              <w:rPr>
                <w:rFonts w:ascii="Cambria" w:hAnsi="Cambria" w:cstheme="minorHAnsi"/>
                <w:color w:val="000000"/>
                <w:sz w:val="20"/>
                <w:szCs w:val="20"/>
              </w:rPr>
            </w:pPr>
            <w:r w:rsidRPr="006C35E7">
              <w:rPr>
                <w:rFonts w:ascii="Cambria" w:hAnsi="Cambria" w:cstheme="minorHAnsi"/>
                <w:color w:val="000000"/>
                <w:sz w:val="20"/>
                <w:szCs w:val="20"/>
              </w:rPr>
              <w:t>25</w:t>
            </w:r>
          </w:p>
        </w:tc>
        <w:tc>
          <w:tcPr>
            <w:tcW w:w="776" w:type="pct"/>
            <w:tcBorders>
              <w:top w:val="nil"/>
              <w:left w:val="nil"/>
              <w:bottom w:val="single" w:sz="4" w:space="0" w:color="auto"/>
              <w:right w:val="nil"/>
            </w:tcBorders>
            <w:shd w:val="clear" w:color="auto" w:fill="auto"/>
            <w:noWrap/>
            <w:vAlign w:val="center"/>
            <w:hideMark/>
          </w:tcPr>
          <w:p w:rsidR="0012392D" w:rsidRPr="006C35E7" w:rsidRDefault="00C2750E" w:rsidP="0012392D">
            <w:pPr>
              <w:jc w:val="center"/>
              <w:rPr>
                <w:rFonts w:ascii="Cambria" w:hAnsi="Cambria" w:cstheme="minorHAnsi"/>
                <w:color w:val="000000"/>
                <w:sz w:val="20"/>
                <w:szCs w:val="20"/>
              </w:rPr>
            </w:pPr>
            <w:r w:rsidRPr="006C35E7">
              <w:rPr>
                <w:rFonts w:ascii="Cambria" w:hAnsi="Cambria" w:cstheme="minorHAnsi"/>
                <w:color w:val="000000"/>
                <w:sz w:val="20"/>
                <w:szCs w:val="20"/>
              </w:rPr>
              <w:t>220</w:t>
            </w:r>
          </w:p>
        </w:tc>
      </w:tr>
    </w:tbl>
    <w:p w:rsidR="0012392D" w:rsidRDefault="0012392D" w:rsidP="0012392D">
      <w:pPr>
        <w:pStyle w:val="NParag"/>
        <w:tabs>
          <w:tab w:val="left" w:pos="675"/>
        </w:tabs>
        <w:spacing w:before="0" w:after="0"/>
        <w:ind w:firstLine="0"/>
        <w:rPr>
          <w:rFonts w:ascii="Cambria" w:hAnsi="Cambria"/>
          <w:b/>
        </w:rPr>
      </w:pPr>
    </w:p>
    <w:p w:rsidR="001449A8" w:rsidRPr="009E7017" w:rsidRDefault="0012392D" w:rsidP="009E7017">
      <w:pPr>
        <w:pStyle w:val="NParag"/>
        <w:tabs>
          <w:tab w:val="left" w:pos="675"/>
        </w:tabs>
        <w:spacing w:before="0" w:after="0"/>
        <w:rPr>
          <w:rFonts w:ascii="Cambria" w:hAnsi="Cambria"/>
        </w:rPr>
      </w:pPr>
      <w:r w:rsidRPr="00084DA8">
        <w:rPr>
          <w:rFonts w:ascii="Cambria" w:hAnsi="Cambria"/>
        </w:rPr>
        <w:t xml:space="preserve">Tablo </w:t>
      </w:r>
      <w:r w:rsidR="007B5680">
        <w:rPr>
          <w:rFonts w:ascii="Cambria" w:hAnsi="Cambria"/>
        </w:rPr>
        <w:t>2’d</w:t>
      </w:r>
      <w:r w:rsidRPr="00084DA8">
        <w:rPr>
          <w:rFonts w:ascii="Cambria" w:hAnsi="Cambria"/>
        </w:rPr>
        <w:t>e çalışma grubu</w:t>
      </w:r>
      <w:r w:rsidR="00F9721E">
        <w:rPr>
          <w:rFonts w:ascii="Cambria" w:hAnsi="Cambria"/>
        </w:rPr>
        <w:t xml:space="preserve"> 2</w:t>
      </w:r>
      <w:r>
        <w:rPr>
          <w:rFonts w:ascii="Cambria" w:hAnsi="Cambria"/>
        </w:rPr>
        <w:t>’deki</w:t>
      </w:r>
      <w:r w:rsidRPr="00084DA8">
        <w:rPr>
          <w:rFonts w:ascii="Cambria" w:hAnsi="Cambria"/>
        </w:rPr>
        <w:t xml:space="preserve"> öğrencilerin cinsiyete göre dağılımı incelendiğinde %</w:t>
      </w:r>
      <w:r w:rsidR="007B5680">
        <w:rPr>
          <w:rFonts w:ascii="Cambria" w:hAnsi="Cambria"/>
        </w:rPr>
        <w:t>52.3’ünün (n=115</w:t>
      </w:r>
      <w:r>
        <w:rPr>
          <w:rFonts w:ascii="Cambria" w:hAnsi="Cambria"/>
        </w:rPr>
        <w:t>) kız, %47.</w:t>
      </w:r>
      <w:r w:rsidR="007B5680">
        <w:rPr>
          <w:rFonts w:ascii="Cambria" w:hAnsi="Cambria"/>
        </w:rPr>
        <w:t>7</w:t>
      </w:r>
      <w:r>
        <w:rPr>
          <w:rFonts w:ascii="Cambria" w:hAnsi="Cambria"/>
        </w:rPr>
        <w:t>’</w:t>
      </w:r>
      <w:r w:rsidR="007B5680">
        <w:rPr>
          <w:rFonts w:ascii="Cambria" w:hAnsi="Cambria"/>
        </w:rPr>
        <w:t>s</w:t>
      </w:r>
      <w:r>
        <w:rPr>
          <w:rFonts w:ascii="Cambria" w:hAnsi="Cambria"/>
        </w:rPr>
        <w:t>inin (n=105</w:t>
      </w:r>
      <w:r w:rsidRPr="00084DA8">
        <w:rPr>
          <w:rFonts w:ascii="Cambria" w:hAnsi="Cambria"/>
        </w:rPr>
        <w:t xml:space="preserve">) erkek olduğu görülmektedir. Yaşa göre </w:t>
      </w:r>
      <w:r w:rsidRPr="00084DA8">
        <w:rPr>
          <w:rFonts w:ascii="Cambria" w:hAnsi="Cambria"/>
        </w:rPr>
        <w:lastRenderedPageBreak/>
        <w:t>dağılım incelendiğinde katılımcıların %3</w:t>
      </w:r>
      <w:r w:rsidR="007B5680">
        <w:rPr>
          <w:rFonts w:ascii="Cambria" w:hAnsi="Cambria"/>
        </w:rPr>
        <w:t xml:space="preserve">.2’sinin (n=7) </w:t>
      </w:r>
      <w:r w:rsidR="00F9721E">
        <w:rPr>
          <w:rFonts w:ascii="Cambria" w:hAnsi="Cambria"/>
        </w:rPr>
        <w:t>yedi</w:t>
      </w:r>
      <w:r w:rsidR="007B5680">
        <w:rPr>
          <w:rFonts w:ascii="Cambria" w:hAnsi="Cambria"/>
        </w:rPr>
        <w:t>, %31.4</w:t>
      </w:r>
      <w:r w:rsidRPr="00084DA8">
        <w:rPr>
          <w:rFonts w:ascii="Cambria" w:hAnsi="Cambria"/>
        </w:rPr>
        <w:t>’</w:t>
      </w:r>
      <w:r w:rsidR="007B5680">
        <w:rPr>
          <w:rFonts w:ascii="Cambria" w:hAnsi="Cambria"/>
        </w:rPr>
        <w:t>ünü</w:t>
      </w:r>
      <w:r w:rsidRPr="00084DA8">
        <w:rPr>
          <w:rFonts w:ascii="Cambria" w:hAnsi="Cambria"/>
        </w:rPr>
        <w:t>n (n=6</w:t>
      </w:r>
      <w:r w:rsidR="007B5680">
        <w:rPr>
          <w:rFonts w:ascii="Cambria" w:hAnsi="Cambria"/>
        </w:rPr>
        <w:t xml:space="preserve">9) </w:t>
      </w:r>
      <w:r w:rsidR="00F9721E">
        <w:rPr>
          <w:rFonts w:ascii="Cambria" w:hAnsi="Cambria"/>
        </w:rPr>
        <w:t>sekiz</w:t>
      </w:r>
      <w:r w:rsidR="007B5680">
        <w:rPr>
          <w:rFonts w:ascii="Cambria" w:hAnsi="Cambria"/>
        </w:rPr>
        <w:t>, %20’sini</w:t>
      </w:r>
      <w:r w:rsidRPr="00084DA8">
        <w:rPr>
          <w:rFonts w:ascii="Cambria" w:hAnsi="Cambria"/>
        </w:rPr>
        <w:t>n (n=</w:t>
      </w:r>
      <w:r>
        <w:rPr>
          <w:rFonts w:ascii="Cambria" w:hAnsi="Cambria"/>
        </w:rPr>
        <w:t xml:space="preserve">44) </w:t>
      </w:r>
      <w:r w:rsidR="00F9721E">
        <w:rPr>
          <w:rFonts w:ascii="Cambria" w:hAnsi="Cambria"/>
        </w:rPr>
        <w:t>dokuz</w:t>
      </w:r>
      <w:r>
        <w:rPr>
          <w:rFonts w:ascii="Cambria" w:hAnsi="Cambria"/>
        </w:rPr>
        <w:t>,  %34.</w:t>
      </w:r>
      <w:r w:rsidR="007B5680">
        <w:rPr>
          <w:rFonts w:ascii="Cambria" w:hAnsi="Cambria"/>
        </w:rPr>
        <w:t>1’ini</w:t>
      </w:r>
      <w:r w:rsidRPr="00084DA8">
        <w:rPr>
          <w:rFonts w:ascii="Cambria" w:hAnsi="Cambria"/>
        </w:rPr>
        <w:t>n (n=</w:t>
      </w:r>
      <w:r w:rsidR="007B5680">
        <w:rPr>
          <w:rFonts w:ascii="Cambria" w:hAnsi="Cambria"/>
        </w:rPr>
        <w:t>75</w:t>
      </w:r>
      <w:r>
        <w:rPr>
          <w:rFonts w:ascii="Cambria" w:hAnsi="Cambria"/>
        </w:rPr>
        <w:t>) 10 ve %11.</w:t>
      </w:r>
      <w:r w:rsidR="007B5680">
        <w:rPr>
          <w:rFonts w:ascii="Cambria" w:hAnsi="Cambria"/>
        </w:rPr>
        <w:t>4</w:t>
      </w:r>
      <w:r>
        <w:rPr>
          <w:rFonts w:ascii="Cambria" w:hAnsi="Cambria"/>
        </w:rPr>
        <w:t>’ünü</w:t>
      </w:r>
      <w:r w:rsidRPr="00084DA8">
        <w:rPr>
          <w:rFonts w:ascii="Cambria" w:hAnsi="Cambria"/>
        </w:rPr>
        <w:t>n (n=</w:t>
      </w:r>
      <w:r>
        <w:rPr>
          <w:rFonts w:ascii="Cambria" w:hAnsi="Cambria"/>
        </w:rPr>
        <w:t>25</w:t>
      </w:r>
      <w:r w:rsidRPr="00084DA8">
        <w:rPr>
          <w:rFonts w:ascii="Cambria" w:hAnsi="Cambria"/>
        </w:rPr>
        <w:t xml:space="preserve">) 11 yaşında olduğu belirlenmiştir. </w:t>
      </w:r>
      <w:r w:rsidR="007B5680">
        <w:rPr>
          <w:rFonts w:ascii="Cambria" w:hAnsi="Cambria"/>
        </w:rPr>
        <w:t xml:space="preserve">Sınıf düzeyine göre dağılım incelendiğinde </w:t>
      </w:r>
      <w:r>
        <w:rPr>
          <w:rFonts w:ascii="Cambria" w:hAnsi="Cambria"/>
        </w:rPr>
        <w:t>öğrencilerin %36.</w:t>
      </w:r>
      <w:r w:rsidR="007B5680">
        <w:rPr>
          <w:rFonts w:ascii="Cambria" w:hAnsi="Cambria"/>
        </w:rPr>
        <w:t>8</w:t>
      </w:r>
      <w:r w:rsidRPr="00084DA8">
        <w:rPr>
          <w:rFonts w:ascii="Cambria" w:hAnsi="Cambria"/>
        </w:rPr>
        <w:t>’</w:t>
      </w:r>
      <w:r>
        <w:rPr>
          <w:rFonts w:ascii="Cambria" w:hAnsi="Cambria"/>
        </w:rPr>
        <w:t>i</w:t>
      </w:r>
      <w:r w:rsidR="007B5680">
        <w:rPr>
          <w:rFonts w:ascii="Cambria" w:hAnsi="Cambria"/>
        </w:rPr>
        <w:t>nin</w:t>
      </w:r>
      <w:r>
        <w:rPr>
          <w:rFonts w:ascii="Cambria" w:hAnsi="Cambria"/>
        </w:rPr>
        <w:t xml:space="preserve"> (n=81) 2. sınıfta, %25.</w:t>
      </w:r>
      <w:r w:rsidR="007B5680">
        <w:rPr>
          <w:rFonts w:ascii="Cambria" w:hAnsi="Cambria"/>
        </w:rPr>
        <w:t>5’inin</w:t>
      </w:r>
      <w:r>
        <w:rPr>
          <w:rFonts w:ascii="Cambria" w:hAnsi="Cambria"/>
        </w:rPr>
        <w:t xml:space="preserve"> (n=56) 3. sınıfta ve %3</w:t>
      </w:r>
      <w:r w:rsidR="007B5680">
        <w:rPr>
          <w:rFonts w:ascii="Cambria" w:hAnsi="Cambria"/>
        </w:rPr>
        <w:t>7.7</w:t>
      </w:r>
      <w:r>
        <w:rPr>
          <w:rFonts w:ascii="Cambria" w:hAnsi="Cambria"/>
        </w:rPr>
        <w:t>’</w:t>
      </w:r>
      <w:r w:rsidR="007B5680">
        <w:rPr>
          <w:rFonts w:ascii="Cambria" w:hAnsi="Cambria"/>
        </w:rPr>
        <w:t>s</w:t>
      </w:r>
      <w:r>
        <w:rPr>
          <w:rFonts w:ascii="Cambria" w:hAnsi="Cambria"/>
        </w:rPr>
        <w:t>i</w:t>
      </w:r>
      <w:r w:rsidR="007B5680">
        <w:rPr>
          <w:rFonts w:ascii="Cambria" w:hAnsi="Cambria"/>
        </w:rPr>
        <w:t>nin</w:t>
      </w:r>
      <w:r>
        <w:rPr>
          <w:rFonts w:ascii="Cambria" w:hAnsi="Cambria"/>
        </w:rPr>
        <w:t xml:space="preserve"> (n=8</w:t>
      </w:r>
      <w:r w:rsidR="007B5680">
        <w:rPr>
          <w:rFonts w:ascii="Cambria" w:hAnsi="Cambria"/>
        </w:rPr>
        <w:t>3</w:t>
      </w:r>
      <w:r w:rsidRPr="00084DA8">
        <w:rPr>
          <w:rFonts w:ascii="Cambria" w:hAnsi="Cambria"/>
        </w:rPr>
        <w:t xml:space="preserve">) 4. sınıfta öğrenim </w:t>
      </w:r>
      <w:r w:rsidR="007B5680">
        <w:rPr>
          <w:rFonts w:ascii="Cambria" w:hAnsi="Cambria"/>
        </w:rPr>
        <w:t>gördüğü görülmektedir.</w:t>
      </w:r>
    </w:p>
    <w:p w:rsidR="00396C9E" w:rsidRDefault="00396C9E" w:rsidP="002E60BE">
      <w:pPr>
        <w:pStyle w:val="NParag"/>
        <w:tabs>
          <w:tab w:val="left" w:pos="675"/>
        </w:tabs>
        <w:spacing w:before="120" w:after="120"/>
        <w:ind w:firstLine="0"/>
        <w:jc w:val="left"/>
        <w:rPr>
          <w:rFonts w:ascii="Cambria" w:hAnsi="Cambria"/>
          <w:b/>
        </w:rPr>
      </w:pPr>
      <w:r>
        <w:rPr>
          <w:rFonts w:ascii="Cambria" w:hAnsi="Cambria"/>
          <w:b/>
        </w:rPr>
        <w:t>Veri Toplama Aracı</w:t>
      </w:r>
    </w:p>
    <w:p w:rsidR="00396C9E" w:rsidRPr="00834776" w:rsidRDefault="00396C9E" w:rsidP="00396C9E">
      <w:pPr>
        <w:ind w:firstLine="567"/>
        <w:jc w:val="both"/>
        <w:rPr>
          <w:rFonts w:ascii="Cambria" w:hAnsi="Cambria" w:cstheme="minorHAnsi"/>
          <w:sz w:val="22"/>
          <w:szCs w:val="22"/>
        </w:rPr>
      </w:pPr>
      <w:r w:rsidRPr="00834776">
        <w:rPr>
          <w:rFonts w:ascii="Cambria" w:hAnsi="Cambria" w:cstheme="minorHAnsi"/>
          <w:sz w:val="22"/>
          <w:szCs w:val="22"/>
        </w:rPr>
        <w:t>Ölçek geliştirme sürecinde</w:t>
      </w:r>
      <w:r w:rsidR="000C3DF7" w:rsidRPr="00834776">
        <w:rPr>
          <w:rFonts w:ascii="Cambria" w:hAnsi="Cambria" w:cstheme="minorHAnsi"/>
          <w:sz w:val="22"/>
          <w:szCs w:val="22"/>
        </w:rPr>
        <w:t>,</w:t>
      </w:r>
      <w:r w:rsidRPr="00834776">
        <w:rPr>
          <w:rFonts w:ascii="Cambria" w:hAnsi="Cambria" w:cstheme="minorHAnsi"/>
          <w:sz w:val="22"/>
          <w:szCs w:val="22"/>
        </w:rPr>
        <w:t xml:space="preserve"> Cohen ve Swerdik (2009) tarafından sunulan </w:t>
      </w:r>
      <w:r w:rsidR="00003666" w:rsidRPr="00834776">
        <w:rPr>
          <w:rFonts w:ascii="Cambria" w:hAnsi="Cambria" w:cstheme="minorHAnsi"/>
          <w:sz w:val="22"/>
          <w:szCs w:val="22"/>
        </w:rPr>
        <w:t>beş</w:t>
      </w:r>
      <w:r w:rsidRPr="00834776">
        <w:rPr>
          <w:rFonts w:ascii="Cambria" w:hAnsi="Cambria" w:cstheme="minorHAnsi"/>
          <w:sz w:val="22"/>
          <w:szCs w:val="22"/>
        </w:rPr>
        <w:t xml:space="preserve"> aşamalı ölçek geliştirme prosedürü kullanılmıştır. Buna göre sırasıyla ölçeğin kavramsal yapısı belirlenmeli, ölçek yapılandırılmalı, ölçek uygulanmalı, madde analizleri yapılmalı ve test gözden geçirilmelidir (gerekli ise düzenleme yapılmalıdır). Kavramsal yapı belirlenirken ölçek neyi ölçüyor, ölçeğin amacı nedir, ölçeğe ihtiyaç var mıdır, ölçeği kim kullanacaktır, ölçek kime yöneliktir, ölçeğin kapsamı nedir, ölçek nasıl uygulanacaktır, ölçek için ideal format nedir gibi sorulara yanıt aranmaktadır. Ölçek yapılandırılırken ölçek türüne (sınıflama, sıralama, aralık ve </w:t>
      </w:r>
      <w:r w:rsidR="003904A6" w:rsidRPr="00834776">
        <w:rPr>
          <w:rFonts w:ascii="Cambria" w:hAnsi="Cambria" w:cstheme="minorHAnsi"/>
          <w:sz w:val="22"/>
          <w:szCs w:val="22"/>
        </w:rPr>
        <w:t>oran</w:t>
      </w:r>
      <w:r w:rsidRPr="00834776">
        <w:rPr>
          <w:rFonts w:ascii="Cambria" w:hAnsi="Cambria" w:cstheme="minorHAnsi"/>
          <w:sz w:val="22"/>
          <w:szCs w:val="22"/>
        </w:rPr>
        <w:t xml:space="preserve">) ve ölçekleme tekniğine karar verilmekte buna göre de maddeler yazılmaktadır. Ölçek uygulanması sırasında kesin bir kural olmamakla birlikte her bir madde için en az </w:t>
      </w:r>
      <w:r w:rsidR="00003666" w:rsidRPr="00834776">
        <w:rPr>
          <w:rFonts w:ascii="Cambria" w:hAnsi="Cambria" w:cstheme="minorHAnsi"/>
          <w:sz w:val="22"/>
          <w:szCs w:val="22"/>
        </w:rPr>
        <w:t>beş</w:t>
      </w:r>
      <w:r w:rsidRPr="00834776">
        <w:rPr>
          <w:rFonts w:ascii="Cambria" w:hAnsi="Cambria" w:cstheme="minorHAnsi"/>
          <w:sz w:val="22"/>
          <w:szCs w:val="22"/>
        </w:rPr>
        <w:t xml:space="preserve"> kişi olması kuralına (Cohen ve Swerdlik, 2009) dikkat edilerek ölçekler uygulanmaktadır. Madde analizi sürecinde faktör analizi, iç tutarlılık ve geçerlik incelenmektedir. Testin gözden geçirilmesi aşamasında bazı maddelerin silinmesi ya da yeniden yazılması işlemi gerçekleştirilmektedir.</w:t>
      </w:r>
    </w:p>
    <w:p w:rsidR="00396C9E" w:rsidRPr="00834776" w:rsidRDefault="00396C9E" w:rsidP="00AF1487">
      <w:pPr>
        <w:ind w:firstLine="567"/>
        <w:jc w:val="both"/>
        <w:rPr>
          <w:rFonts w:ascii="Cambria" w:hAnsi="Cambria" w:cstheme="minorHAnsi"/>
          <w:sz w:val="22"/>
          <w:szCs w:val="22"/>
        </w:rPr>
      </w:pPr>
      <w:r w:rsidRPr="00834776">
        <w:rPr>
          <w:rFonts w:ascii="Cambria" w:hAnsi="Cambria" w:cstheme="minorHAnsi"/>
          <w:sz w:val="22"/>
          <w:szCs w:val="22"/>
        </w:rPr>
        <w:t xml:space="preserve">“Çizgi Filmlerin İlkokul Öğrencilerinin Duyuşsal Özelliklerine Etkisi Ölçeği”nin </w:t>
      </w:r>
      <w:r w:rsidR="00890181" w:rsidRPr="00834776">
        <w:rPr>
          <w:rFonts w:ascii="Cambria" w:hAnsi="Cambria" w:cstheme="minorHAnsi"/>
          <w:sz w:val="22"/>
          <w:szCs w:val="22"/>
        </w:rPr>
        <w:t>geliştirilmesinde</w:t>
      </w:r>
      <w:r w:rsidRPr="00834776">
        <w:rPr>
          <w:rFonts w:ascii="Cambria" w:hAnsi="Cambria" w:cstheme="minorHAnsi"/>
          <w:sz w:val="22"/>
          <w:szCs w:val="22"/>
        </w:rPr>
        <w:t xml:space="preserve"> amaç çizgi filmlerin çocukların duyuşsal özelliklerine etkisini belirlemek</w:t>
      </w:r>
      <w:r w:rsidR="00B34A9D" w:rsidRPr="00834776">
        <w:rPr>
          <w:rFonts w:ascii="Cambria" w:hAnsi="Cambria" w:cstheme="minorHAnsi"/>
          <w:sz w:val="22"/>
          <w:szCs w:val="22"/>
        </w:rPr>
        <w:t>tir. H</w:t>
      </w:r>
      <w:r w:rsidRPr="00834776">
        <w:rPr>
          <w:rFonts w:ascii="Cambria" w:hAnsi="Cambria" w:cstheme="minorHAnsi"/>
          <w:sz w:val="22"/>
          <w:szCs w:val="22"/>
        </w:rPr>
        <w:t xml:space="preserve">edef kitle ilkokul öğrencileri ve ölçeği </w:t>
      </w:r>
      <w:r w:rsidR="000C3DF7" w:rsidRPr="00834776">
        <w:rPr>
          <w:rFonts w:ascii="Cambria" w:hAnsi="Cambria" w:cstheme="minorHAnsi"/>
          <w:sz w:val="22"/>
          <w:szCs w:val="22"/>
        </w:rPr>
        <w:t>uygulayacak</w:t>
      </w:r>
      <w:r w:rsidRPr="00834776">
        <w:rPr>
          <w:rFonts w:ascii="Cambria" w:hAnsi="Cambria" w:cstheme="minorHAnsi"/>
          <w:sz w:val="22"/>
          <w:szCs w:val="22"/>
        </w:rPr>
        <w:t xml:space="preserve"> kişilerin ilkokul öğretmenleri olacağı belirlendikten sonra öncelikle alanyazın incelenmiş ve konuya yönelik geçerliği ve güvenirliği belirlenmiş herhangi bir ölçek bulunmadığı görülmüştür. Uygulamanın nasıl yapılacağı planlanırken ilkokul öğrencilerinin ölçeğe kendilerinin mi tepki vereceği yoksa üçüncü bir kişinin yardımıyla mı ölçeğin dolduracağı konusu gündeme gelmiştir. Karar verilebilmesi için ilkokul öğrencileri üzerinde geliştirilen ölçekler incelenmiştir. Araştırmalarda (Erbil ve Kocabaş, 2015; Zayimoğlu Öztürk ve Coşkun, 2015) 2. ve 3. sınıftan itibaren öğrencilere ölçek uygulanabildiğinin görülmesi üzerine öğrencilerin ölçeğe katılıyorum (3), kararsızım (2) ve katılmıyorum (1) şeklinde tepkide bulunulması planlanarak </w:t>
      </w:r>
      <w:r w:rsidR="00B34A9D" w:rsidRPr="00834776">
        <w:rPr>
          <w:rFonts w:ascii="Cambria" w:hAnsi="Cambria" w:cstheme="minorHAnsi"/>
          <w:sz w:val="22"/>
          <w:szCs w:val="22"/>
        </w:rPr>
        <w:t>üç</w:t>
      </w:r>
      <w:r w:rsidRPr="00834776">
        <w:rPr>
          <w:rFonts w:ascii="Cambria" w:hAnsi="Cambria" w:cstheme="minorHAnsi"/>
          <w:sz w:val="22"/>
          <w:szCs w:val="22"/>
        </w:rPr>
        <w:t xml:space="preserve"> kategorili derecelendirme ölçeğiyle maddeler hazırlanmış</w:t>
      </w:r>
      <w:r w:rsidR="00B34A9D" w:rsidRPr="00834776">
        <w:rPr>
          <w:rFonts w:ascii="Cambria" w:hAnsi="Cambria" w:cstheme="minorHAnsi"/>
          <w:sz w:val="22"/>
          <w:szCs w:val="22"/>
        </w:rPr>
        <w:t>tır. Ölçek ilkokul öğrencilerin</w:t>
      </w:r>
      <w:r w:rsidRPr="00834776">
        <w:rPr>
          <w:rFonts w:ascii="Cambria" w:hAnsi="Cambria" w:cstheme="minorHAnsi"/>
          <w:sz w:val="22"/>
          <w:szCs w:val="22"/>
        </w:rPr>
        <w:t xml:space="preserve">e yönelik olduğundan daha fazla kategoriye sahip bir dereceleme ölçeği kullanılmamıştır. Ölçek türü sıralama olarak planlanmıştır. Giriş bölümünde bahsedilen konuyla ilgili yapılan araştırmalar incelenmiş ve bu araştırmalardan da yararlanarak çizgi filmlerin </w:t>
      </w:r>
      <w:r w:rsidR="00B34A9D" w:rsidRPr="00834776">
        <w:rPr>
          <w:rFonts w:ascii="Cambria" w:hAnsi="Cambria" w:cstheme="minorHAnsi"/>
          <w:sz w:val="22"/>
          <w:szCs w:val="22"/>
        </w:rPr>
        <w:t xml:space="preserve">ilkokul </w:t>
      </w:r>
      <w:r w:rsidRPr="00834776">
        <w:rPr>
          <w:rFonts w:ascii="Cambria" w:hAnsi="Cambria" w:cstheme="minorHAnsi"/>
          <w:sz w:val="22"/>
          <w:szCs w:val="22"/>
        </w:rPr>
        <w:t>öğrencilerin</w:t>
      </w:r>
      <w:r w:rsidR="00B34A9D" w:rsidRPr="00834776">
        <w:rPr>
          <w:rFonts w:ascii="Cambria" w:hAnsi="Cambria" w:cstheme="minorHAnsi"/>
          <w:sz w:val="22"/>
          <w:szCs w:val="22"/>
        </w:rPr>
        <w:t>in</w:t>
      </w:r>
      <w:r w:rsidRPr="00834776">
        <w:rPr>
          <w:rFonts w:ascii="Cambria" w:hAnsi="Cambria" w:cstheme="minorHAnsi"/>
          <w:sz w:val="22"/>
          <w:szCs w:val="22"/>
        </w:rPr>
        <w:t xml:space="preserve"> duyuşsal özellikleri üzerinde yarattığı etkiyi yansıtan, durumu açığa çıkarması olası maddeler yazılmıştır. Maddeler yazılırken bir maddede sadece bir özellik ölçülmesine ve ilkokul öğrencileri tarafından anlaşılabilir olmasına dikkat edilmiştir. Rastgele işaretlemenin önüne geçebilmek amacıyla ters puanlanan maddelere de yer verilmiştir. Uygulanmak üzere madde havuzundan araştırmacılar tarafından 18 madde seçilmiştir. Maddeler doktora mezunu </w:t>
      </w:r>
      <w:r w:rsidR="00CB3CBC" w:rsidRPr="00834776">
        <w:rPr>
          <w:rFonts w:ascii="Cambria" w:hAnsi="Cambria" w:cstheme="minorHAnsi"/>
          <w:sz w:val="22"/>
          <w:szCs w:val="22"/>
        </w:rPr>
        <w:t>iki</w:t>
      </w:r>
      <w:r w:rsidRPr="00834776">
        <w:rPr>
          <w:rFonts w:ascii="Cambria" w:hAnsi="Cambria" w:cstheme="minorHAnsi"/>
          <w:sz w:val="22"/>
          <w:szCs w:val="22"/>
        </w:rPr>
        <w:t xml:space="preserve"> ölçme ve değerlendirme uzmanına inceletilmiş ve bunun üzerine </w:t>
      </w:r>
      <w:r w:rsidR="00CB3CBC" w:rsidRPr="00834776">
        <w:rPr>
          <w:rFonts w:ascii="Cambria" w:hAnsi="Cambria" w:cstheme="minorHAnsi"/>
          <w:sz w:val="22"/>
          <w:szCs w:val="22"/>
        </w:rPr>
        <w:t>bir</w:t>
      </w:r>
      <w:r w:rsidRPr="00834776">
        <w:rPr>
          <w:rFonts w:ascii="Cambria" w:hAnsi="Cambria" w:cstheme="minorHAnsi"/>
          <w:sz w:val="22"/>
          <w:szCs w:val="22"/>
        </w:rPr>
        <w:t xml:space="preserve"> madde ölçekten çıkarılmıştır. Ardından ölçek anlaşılırlık ve kapsam açısından </w:t>
      </w:r>
      <w:r w:rsidR="00CB3CBC" w:rsidRPr="00834776">
        <w:rPr>
          <w:rFonts w:ascii="Cambria" w:hAnsi="Cambria" w:cstheme="minorHAnsi"/>
          <w:sz w:val="22"/>
          <w:szCs w:val="22"/>
        </w:rPr>
        <w:t>üç</w:t>
      </w:r>
      <w:r w:rsidRPr="00834776">
        <w:rPr>
          <w:rFonts w:ascii="Cambria" w:hAnsi="Cambria" w:cstheme="minorHAnsi"/>
          <w:sz w:val="22"/>
          <w:szCs w:val="22"/>
        </w:rPr>
        <w:t xml:space="preserve"> sınıf öğretmenine ve </w:t>
      </w:r>
      <w:r w:rsidR="00CB3CBC" w:rsidRPr="00834776">
        <w:rPr>
          <w:rFonts w:ascii="Cambria" w:hAnsi="Cambria" w:cstheme="minorHAnsi"/>
          <w:sz w:val="22"/>
          <w:szCs w:val="22"/>
        </w:rPr>
        <w:t>bir</w:t>
      </w:r>
      <w:r w:rsidRPr="00834776">
        <w:rPr>
          <w:rFonts w:ascii="Cambria" w:hAnsi="Cambria" w:cstheme="minorHAnsi"/>
          <w:sz w:val="22"/>
          <w:szCs w:val="22"/>
        </w:rPr>
        <w:t xml:space="preserve"> rehberlik ve psikolojik danışmanlık uzmanına inceletilmiş ve bu doğrultuda da maddeler üzerinde değişiklikler (anlaşılırlığın arttırılması) yapılmıştır. </w:t>
      </w:r>
      <w:r w:rsidR="00243C76" w:rsidRPr="00834776">
        <w:rPr>
          <w:rFonts w:ascii="Cambria" w:hAnsi="Cambria" w:cstheme="minorHAnsi"/>
          <w:sz w:val="22"/>
          <w:szCs w:val="22"/>
        </w:rPr>
        <w:t xml:space="preserve">Uygulamalar </w:t>
      </w:r>
      <w:r w:rsidR="00AF1487" w:rsidRPr="00834776">
        <w:rPr>
          <w:rFonts w:ascii="Cambria" w:hAnsi="Cambria" w:cstheme="minorHAnsi"/>
          <w:sz w:val="22"/>
          <w:szCs w:val="22"/>
        </w:rPr>
        <w:t>sonrasında</w:t>
      </w:r>
      <w:r w:rsidR="00243C76" w:rsidRPr="00834776">
        <w:rPr>
          <w:rFonts w:ascii="Cambria" w:hAnsi="Cambria" w:cstheme="minorHAnsi"/>
          <w:sz w:val="22"/>
          <w:szCs w:val="22"/>
        </w:rPr>
        <w:t xml:space="preserve"> bir maddenin öğrenciler tarafından yeterince anlaşılamadığı fark edi</w:t>
      </w:r>
      <w:r w:rsidR="00AF1487" w:rsidRPr="00834776">
        <w:rPr>
          <w:rFonts w:ascii="Cambria" w:hAnsi="Cambria" w:cstheme="minorHAnsi"/>
          <w:sz w:val="22"/>
          <w:szCs w:val="22"/>
        </w:rPr>
        <w:t>lmiş</w:t>
      </w:r>
      <w:r w:rsidR="00243C76" w:rsidRPr="00834776">
        <w:rPr>
          <w:rFonts w:ascii="Cambria" w:hAnsi="Cambria" w:cstheme="minorHAnsi"/>
          <w:sz w:val="22"/>
          <w:szCs w:val="22"/>
        </w:rPr>
        <w:t xml:space="preserve"> rehberlik ve psikolojik danışmanlık uzmanının </w:t>
      </w:r>
      <w:r w:rsidR="00805CCA" w:rsidRPr="00834776">
        <w:rPr>
          <w:rFonts w:ascii="Cambria" w:hAnsi="Cambria" w:cstheme="minorHAnsi"/>
          <w:sz w:val="22"/>
          <w:szCs w:val="22"/>
        </w:rPr>
        <w:t xml:space="preserve">tekrar </w:t>
      </w:r>
      <w:r w:rsidR="00243C76" w:rsidRPr="00834776">
        <w:rPr>
          <w:rFonts w:ascii="Cambria" w:hAnsi="Cambria" w:cstheme="minorHAnsi"/>
          <w:sz w:val="22"/>
          <w:szCs w:val="22"/>
        </w:rPr>
        <w:t xml:space="preserve">görüşü alınarak </w:t>
      </w:r>
      <w:r w:rsidR="00AF1487" w:rsidRPr="00834776">
        <w:rPr>
          <w:rFonts w:ascii="Cambria" w:hAnsi="Cambria" w:cstheme="minorHAnsi"/>
          <w:sz w:val="22"/>
          <w:szCs w:val="22"/>
        </w:rPr>
        <w:t xml:space="preserve">bu </w:t>
      </w:r>
      <w:r w:rsidR="00243C76" w:rsidRPr="00834776">
        <w:rPr>
          <w:rFonts w:ascii="Cambria" w:hAnsi="Cambria" w:cstheme="minorHAnsi"/>
          <w:sz w:val="22"/>
          <w:szCs w:val="22"/>
        </w:rPr>
        <w:t>madde ölçekten çıkarılmıştır.</w:t>
      </w:r>
      <w:r w:rsidR="00AF1487" w:rsidRPr="00834776">
        <w:rPr>
          <w:rFonts w:ascii="Cambria" w:hAnsi="Cambria" w:cstheme="minorHAnsi"/>
          <w:sz w:val="22"/>
          <w:szCs w:val="22"/>
        </w:rPr>
        <w:t xml:space="preserve"> Uzmanlardan gelen dönütler incelendiğinde ölçeğin kapsamı temsil edebilecek nitelikte olduğu sonucuna ulaşılmaktadır.</w:t>
      </w:r>
    </w:p>
    <w:p w:rsidR="009870C4" w:rsidRPr="00834776" w:rsidRDefault="009870C4" w:rsidP="009870C4">
      <w:pPr>
        <w:pStyle w:val="NParag"/>
        <w:tabs>
          <w:tab w:val="left" w:pos="675"/>
        </w:tabs>
        <w:spacing w:before="120" w:after="120"/>
        <w:ind w:firstLine="0"/>
        <w:jc w:val="left"/>
        <w:rPr>
          <w:rFonts w:ascii="Cambria" w:hAnsi="Cambria"/>
          <w:b/>
        </w:rPr>
      </w:pPr>
      <w:r w:rsidRPr="00834776">
        <w:rPr>
          <w:rFonts w:ascii="Cambria" w:hAnsi="Cambria"/>
          <w:b/>
        </w:rPr>
        <w:t>Verilerin Toplanması</w:t>
      </w:r>
    </w:p>
    <w:p w:rsidR="009870C4" w:rsidRPr="00834776" w:rsidRDefault="009870C4" w:rsidP="009870C4">
      <w:pPr>
        <w:ind w:firstLine="567"/>
        <w:jc w:val="both"/>
        <w:rPr>
          <w:rFonts w:ascii="Cambria" w:hAnsi="Cambria"/>
          <w:sz w:val="22"/>
          <w:szCs w:val="22"/>
        </w:rPr>
      </w:pPr>
      <w:r w:rsidRPr="00834776">
        <w:rPr>
          <w:rFonts w:ascii="Cambria" w:hAnsi="Cambria"/>
          <w:sz w:val="22"/>
          <w:szCs w:val="22"/>
        </w:rPr>
        <w:t xml:space="preserve">Veriler tek oturumda elde edilmiş olup </w:t>
      </w:r>
      <w:r w:rsidR="006A10B7" w:rsidRPr="00834776">
        <w:rPr>
          <w:rFonts w:ascii="Cambria" w:hAnsi="Cambria"/>
          <w:sz w:val="22"/>
          <w:szCs w:val="22"/>
        </w:rPr>
        <w:t>her iki uygulama da</w:t>
      </w:r>
      <w:r w:rsidRPr="00834776">
        <w:rPr>
          <w:rFonts w:ascii="Cambria" w:hAnsi="Cambria"/>
          <w:sz w:val="22"/>
          <w:szCs w:val="22"/>
        </w:rPr>
        <w:t xml:space="preserve"> yaklaşık olarak 20 dakika sürmüştür. Uygulama sırasında verilerin bireysel olarak değerlendirilmeyeceği, araştırmaya katılımın gönüllü olduğu belirtilmiştir. Katılımcılardan maddeleri içtenlikle, dikkatle ve boş bırakmadan yanıtlamaları istenmiştir.</w:t>
      </w:r>
    </w:p>
    <w:p w:rsidR="009870C4" w:rsidRPr="00834776" w:rsidRDefault="009870C4" w:rsidP="009870C4">
      <w:pPr>
        <w:ind w:firstLine="567"/>
        <w:jc w:val="both"/>
        <w:rPr>
          <w:rFonts w:ascii="Cambria" w:hAnsi="Cambria"/>
          <w:b/>
          <w:sz w:val="22"/>
          <w:szCs w:val="22"/>
        </w:rPr>
      </w:pPr>
    </w:p>
    <w:p w:rsidR="0012392D" w:rsidRPr="00834776" w:rsidRDefault="002E60BE" w:rsidP="002E60BE">
      <w:pPr>
        <w:pStyle w:val="NParag"/>
        <w:tabs>
          <w:tab w:val="left" w:pos="675"/>
        </w:tabs>
        <w:spacing w:before="120" w:after="120"/>
        <w:ind w:firstLine="0"/>
        <w:jc w:val="left"/>
        <w:rPr>
          <w:rFonts w:ascii="Cambria" w:hAnsi="Cambria"/>
          <w:b/>
        </w:rPr>
      </w:pPr>
      <w:r w:rsidRPr="00834776">
        <w:rPr>
          <w:rFonts w:ascii="Cambria" w:hAnsi="Cambria"/>
          <w:b/>
        </w:rPr>
        <w:t>Verilerin Analizi</w:t>
      </w:r>
    </w:p>
    <w:p w:rsidR="002E60BE" w:rsidRPr="00834776" w:rsidRDefault="002E60BE" w:rsidP="002E60BE">
      <w:pPr>
        <w:pStyle w:val="NParag"/>
        <w:tabs>
          <w:tab w:val="left" w:pos="675"/>
        </w:tabs>
        <w:spacing w:before="0" w:after="0"/>
        <w:rPr>
          <w:rFonts w:ascii="Cambria" w:hAnsi="Cambria"/>
        </w:rPr>
      </w:pPr>
      <w:r w:rsidRPr="00834776">
        <w:rPr>
          <w:rFonts w:ascii="Cambria" w:hAnsi="Cambria"/>
        </w:rPr>
        <w:lastRenderedPageBreak/>
        <w:t>Veriler SPSS 22</w:t>
      </w:r>
      <w:r w:rsidR="008C04B7" w:rsidRPr="00834776">
        <w:rPr>
          <w:rFonts w:ascii="Cambria" w:hAnsi="Cambria"/>
        </w:rPr>
        <w:t>, Mplus 7</w:t>
      </w:r>
      <w:r w:rsidR="00F169DF" w:rsidRPr="00834776">
        <w:rPr>
          <w:rFonts w:ascii="Cambria" w:hAnsi="Cambria"/>
        </w:rPr>
        <w:t xml:space="preserve"> (</w:t>
      </w:r>
      <w:r w:rsidR="00D60751" w:rsidRPr="00834776">
        <w:rPr>
          <w:rFonts w:ascii="Cambria" w:hAnsi="Cambria"/>
        </w:rPr>
        <w:t>Muthén</w:t>
      </w:r>
      <w:r w:rsidR="00F169DF" w:rsidRPr="00834776">
        <w:rPr>
          <w:rFonts w:ascii="Cambria" w:hAnsi="Cambria"/>
        </w:rPr>
        <w:t xml:space="preserve"> ve </w:t>
      </w:r>
      <w:r w:rsidR="00D60751" w:rsidRPr="00834776">
        <w:rPr>
          <w:rFonts w:ascii="Cambria" w:hAnsi="Cambria"/>
        </w:rPr>
        <w:t>Muthén</w:t>
      </w:r>
      <w:r w:rsidR="00F169DF" w:rsidRPr="00834776">
        <w:rPr>
          <w:rFonts w:ascii="Cambria" w:hAnsi="Cambria"/>
        </w:rPr>
        <w:t>, 2012)</w:t>
      </w:r>
      <w:r w:rsidRPr="00834776">
        <w:rPr>
          <w:rFonts w:ascii="Cambria" w:hAnsi="Cambria"/>
        </w:rPr>
        <w:t xml:space="preserve"> ve Factor 10.5 (Lorenzo-Seva ve Ferrando, 201</w:t>
      </w:r>
      <w:r w:rsidR="00A95938" w:rsidRPr="00834776">
        <w:rPr>
          <w:rFonts w:ascii="Cambria" w:hAnsi="Cambria"/>
        </w:rPr>
        <w:t>3</w:t>
      </w:r>
      <w:r w:rsidRPr="00834776">
        <w:rPr>
          <w:rFonts w:ascii="Cambria" w:hAnsi="Cambria"/>
        </w:rPr>
        <w:t xml:space="preserve">) paket programları kullanılarak analiz edilmiştir. Veriler analiz edilmeden önce kayıp veriler incelenmiştir. </w:t>
      </w:r>
      <w:r w:rsidR="001B5C2B" w:rsidRPr="00834776">
        <w:rPr>
          <w:rFonts w:ascii="Cambria" w:hAnsi="Cambria"/>
        </w:rPr>
        <w:t xml:space="preserve">Çalışma grubu </w:t>
      </w:r>
      <w:r w:rsidR="00B34A9D" w:rsidRPr="00834776">
        <w:rPr>
          <w:rFonts w:ascii="Cambria" w:hAnsi="Cambria"/>
        </w:rPr>
        <w:t>1’</w:t>
      </w:r>
      <w:r w:rsidR="001B5C2B" w:rsidRPr="00834776">
        <w:rPr>
          <w:rFonts w:ascii="Cambria" w:hAnsi="Cambria"/>
        </w:rPr>
        <w:t>de i</w:t>
      </w:r>
      <w:r w:rsidRPr="00834776">
        <w:rPr>
          <w:rFonts w:ascii="Cambria" w:hAnsi="Cambria"/>
        </w:rPr>
        <w:t>ki kişinin</w:t>
      </w:r>
      <w:r w:rsidR="001B5C2B" w:rsidRPr="00834776">
        <w:rPr>
          <w:rFonts w:ascii="Cambria" w:hAnsi="Cambria"/>
        </w:rPr>
        <w:t xml:space="preserve"> ve çalışma grubu </w:t>
      </w:r>
      <w:r w:rsidR="00B34A9D" w:rsidRPr="00834776">
        <w:rPr>
          <w:rFonts w:ascii="Cambria" w:hAnsi="Cambria"/>
        </w:rPr>
        <w:t>2’</w:t>
      </w:r>
      <w:r w:rsidR="001B5C2B" w:rsidRPr="00834776">
        <w:rPr>
          <w:rFonts w:ascii="Cambria" w:hAnsi="Cambria"/>
        </w:rPr>
        <w:t>de bir kişinin</w:t>
      </w:r>
      <w:r w:rsidRPr="00834776">
        <w:rPr>
          <w:rFonts w:ascii="Cambria" w:hAnsi="Cambria"/>
        </w:rPr>
        <w:t xml:space="preserve"> verilerinde kayıp olduğunun tespit edilmesi ve kayıp veri oranının oldukça düşük olması nedeniyle bu kişiler araştırma kapsamı dışında bırakılmıştır. </w:t>
      </w:r>
      <w:r w:rsidR="00F30942" w:rsidRPr="00834776">
        <w:rPr>
          <w:rFonts w:ascii="Cambria" w:hAnsi="Cambria"/>
        </w:rPr>
        <w:t xml:space="preserve">Çalışma grubu </w:t>
      </w:r>
      <w:r w:rsidR="00B34A9D" w:rsidRPr="00834776">
        <w:rPr>
          <w:rFonts w:ascii="Cambria" w:hAnsi="Cambria"/>
        </w:rPr>
        <w:t>1</w:t>
      </w:r>
      <w:r w:rsidR="00F30942" w:rsidRPr="00834776">
        <w:rPr>
          <w:rFonts w:ascii="Cambria" w:hAnsi="Cambria"/>
        </w:rPr>
        <w:t xml:space="preserve"> verileri üzerinde o</w:t>
      </w:r>
      <w:r w:rsidRPr="00834776">
        <w:rPr>
          <w:rFonts w:ascii="Cambria" w:hAnsi="Cambria"/>
        </w:rPr>
        <w:t>lumsuz puanlanan maddelerin dönüştürülmesinin ardından ölçeğin faktör yapısını belirlemek amacıyla Factor 10.5 programıyla açımlayıcı faktör analizi (AFA) yapılmış, faktör çıkarma yöntemi olarak temel bileşenler analizi kullanılmış, verilerin faktör analizine uygunluğunu saptamak amacıyla, Kaiser-Meyer Olkin (KMO) katsayısı hesaplanmış ve Bartlett Küresellik Testi (Bartlett’s Test of Sphericity ) uygulanmıştır. Temel bileşenler analizi çok sayıda değişkenden (madde) daha az sayıda bileşen (boyut) elde etmek amacıyla kullanılmaktadır (Tabachnick ve Fidell, 2013). Barlett Küresellik Testi değişkenler arası korelasyonun varlığını incelemektedir (Hair</w:t>
      </w:r>
      <w:r w:rsidR="000A7292" w:rsidRPr="00834776">
        <w:rPr>
          <w:rFonts w:ascii="Cambria" w:hAnsi="Cambria"/>
        </w:rPr>
        <w:t>, Black, Babin ve Anderson</w:t>
      </w:r>
      <w:r w:rsidRPr="00834776">
        <w:rPr>
          <w:rFonts w:ascii="Cambria" w:hAnsi="Cambria"/>
        </w:rPr>
        <w:t xml:space="preserve">, 2014). KMO katsayısı ise maddelerin ortak varyansını ölçmek amacıyla kullanılmaktadır (Beavers, Lounsbury, Richards, Huck, Skolits ve Esquivel, 2013). Boyut sayısına karar vermek için en küçük ortalamalı kısmi korelasyon [Minimum Average Partial (MAP)] (Velicer, 1976) testi sonuçlarından yararlanılmıştır. Derecelendirme ölçeği </w:t>
      </w:r>
      <w:r w:rsidR="00B34A9D" w:rsidRPr="00834776">
        <w:rPr>
          <w:rFonts w:ascii="Cambria" w:hAnsi="Cambria"/>
        </w:rPr>
        <w:t>üç</w:t>
      </w:r>
      <w:r w:rsidRPr="00834776">
        <w:rPr>
          <w:rFonts w:ascii="Cambria" w:hAnsi="Cambria"/>
        </w:rPr>
        <w:t xml:space="preserve">lü olduğundan açımlayıcı faktör analizi gerçekleştirilirken polikorik korelasyon matrisinden yararlanılmıştır. </w:t>
      </w:r>
      <w:r w:rsidR="008C04B7" w:rsidRPr="00834776">
        <w:rPr>
          <w:rFonts w:ascii="Cambria" w:hAnsi="Cambria"/>
        </w:rPr>
        <w:t>Boyut</w:t>
      </w:r>
      <w:r w:rsidRPr="00834776">
        <w:rPr>
          <w:rFonts w:ascii="Cambria" w:hAnsi="Cambria"/>
        </w:rPr>
        <w:t xml:space="preserve"> yapısını daha kolay yorumlamak ve daha anlamlı faktör çözümleri elde etmek amacıyla döndürme tekniği uygulanmıştır. Döndürme teknikleri </w:t>
      </w:r>
      <w:r w:rsidR="008C04B7" w:rsidRPr="00834776">
        <w:rPr>
          <w:rFonts w:ascii="Cambria" w:hAnsi="Cambria"/>
        </w:rPr>
        <w:t>boyutlardaki</w:t>
      </w:r>
      <w:r w:rsidRPr="00834776">
        <w:rPr>
          <w:rFonts w:ascii="Cambria" w:hAnsi="Cambria"/>
        </w:rPr>
        <w:t xml:space="preserve"> ikilikleri önleyen bir yapıdadır. Tabachnick ve Fidell (2013) </w:t>
      </w:r>
      <w:r w:rsidR="008C04B7" w:rsidRPr="00834776">
        <w:rPr>
          <w:rFonts w:ascii="Cambria" w:hAnsi="Cambria"/>
        </w:rPr>
        <w:t>boyutlar</w:t>
      </w:r>
      <w:r w:rsidRPr="00834776">
        <w:rPr>
          <w:rFonts w:ascii="Cambria" w:hAnsi="Cambria"/>
        </w:rPr>
        <w:t xml:space="preserve"> arasında ilişki bulunduğunda eğik döndürme yöntemlerinin kullanılmasını önermektedir. Bu yönde boyutlar arası ilişki incelenmiş ve orta düzeyde bir ilişkinin bulunmasıyla eğik döndürme yöntemlerinden </w:t>
      </w:r>
      <w:r w:rsidR="001B5C2B" w:rsidRPr="00834776">
        <w:rPr>
          <w:rFonts w:ascii="Cambria" w:hAnsi="Cambria"/>
        </w:rPr>
        <w:t>PROMIN</w:t>
      </w:r>
      <w:r w:rsidRPr="00834776">
        <w:rPr>
          <w:rFonts w:ascii="Cambria" w:hAnsi="Cambria"/>
        </w:rPr>
        <w:t xml:space="preserve"> kullanılmıştır. P</w:t>
      </w:r>
      <w:r w:rsidR="001B5C2B" w:rsidRPr="00834776">
        <w:rPr>
          <w:rFonts w:ascii="Cambria" w:hAnsi="Cambria"/>
        </w:rPr>
        <w:t>ROMIN</w:t>
      </w:r>
      <w:r w:rsidRPr="00834776">
        <w:rPr>
          <w:rFonts w:ascii="Cambria" w:hAnsi="Cambria"/>
        </w:rPr>
        <w:t xml:space="preserve"> yöntemi veri basit ya da karmaşık olduğunda kullanılabilen ve bu durumlarda bilinen eğik döndürme yöntemlerinden (promax, direct oblimin) daha iyi sonuçlar üretebilen bir tekniktir (Lorenzo-Seva, 1999). </w:t>
      </w:r>
      <w:r w:rsidR="009646F2" w:rsidRPr="00834776">
        <w:rPr>
          <w:rFonts w:ascii="Cambria" w:hAnsi="Cambria"/>
        </w:rPr>
        <w:t xml:space="preserve">Ayrıca araştırmada çalışma grubu </w:t>
      </w:r>
      <w:r w:rsidR="00B34A9D" w:rsidRPr="00834776">
        <w:rPr>
          <w:rFonts w:ascii="Cambria" w:hAnsi="Cambria"/>
        </w:rPr>
        <w:t>1</w:t>
      </w:r>
      <w:r w:rsidR="009646F2" w:rsidRPr="00834776">
        <w:rPr>
          <w:rFonts w:ascii="Cambria" w:hAnsi="Cambria"/>
        </w:rPr>
        <w:t xml:space="preserve"> verileri üzerinde madde ölçek korelasyonları ve alt grup-üst grup yöntemine dayalı madde analizleri gerçekleştirilmiştir. </w:t>
      </w:r>
      <w:r w:rsidRPr="00834776">
        <w:rPr>
          <w:rFonts w:ascii="Cambria" w:hAnsi="Cambria"/>
        </w:rPr>
        <w:t xml:space="preserve">Elde edilen veriler üzerinde güvenirliğe kanıt sağlamak amacıyla </w:t>
      </w:r>
      <w:r w:rsidR="00F30942" w:rsidRPr="00834776">
        <w:rPr>
          <w:rFonts w:ascii="Cambria" w:hAnsi="Cambria"/>
        </w:rPr>
        <w:t xml:space="preserve">çalışma grubu </w:t>
      </w:r>
      <w:r w:rsidR="00B34A9D" w:rsidRPr="00834776">
        <w:rPr>
          <w:rFonts w:ascii="Cambria" w:hAnsi="Cambria"/>
        </w:rPr>
        <w:t>1</w:t>
      </w:r>
      <w:r w:rsidR="00F30942" w:rsidRPr="00834776">
        <w:rPr>
          <w:rFonts w:ascii="Cambria" w:hAnsi="Cambria"/>
        </w:rPr>
        <w:t xml:space="preserve"> verileri üzerinde </w:t>
      </w:r>
      <w:r w:rsidRPr="00834776">
        <w:rPr>
          <w:rFonts w:ascii="Cambria" w:hAnsi="Cambria"/>
        </w:rPr>
        <w:t>her bir boyut için Cronbach Alfa, boyutların tamamı için Tabakalı Alfa</w:t>
      </w:r>
      <w:r w:rsidR="00193753" w:rsidRPr="00834776">
        <w:rPr>
          <w:rFonts w:ascii="Cambria" w:hAnsi="Cambria"/>
        </w:rPr>
        <w:t>, McDonald Omega</w:t>
      </w:r>
      <w:r w:rsidR="00F83F41" w:rsidRPr="00834776">
        <w:rPr>
          <w:rFonts w:ascii="Cambria" w:hAnsi="Cambria"/>
        </w:rPr>
        <w:t xml:space="preserve"> </w:t>
      </w:r>
      <w:r w:rsidR="008C04B7" w:rsidRPr="00834776">
        <w:rPr>
          <w:rFonts w:ascii="Cambria" w:hAnsi="Cambria"/>
        </w:rPr>
        <w:t>ve</w:t>
      </w:r>
      <w:r w:rsidRPr="00834776">
        <w:rPr>
          <w:rFonts w:ascii="Cambria" w:hAnsi="Cambria"/>
        </w:rPr>
        <w:t xml:space="preserve"> Armor Teta katsayıları hesaplanmıştır.</w:t>
      </w:r>
      <w:r w:rsidR="001B5C2B" w:rsidRPr="00834776">
        <w:rPr>
          <w:rFonts w:ascii="Cambria" w:hAnsi="Cambria"/>
        </w:rPr>
        <w:t xml:space="preserve"> Deneme uygulamasının tamamlanmasının ardından çalışma grubu </w:t>
      </w:r>
      <w:r w:rsidR="00B34A9D" w:rsidRPr="00834776">
        <w:rPr>
          <w:rFonts w:ascii="Cambria" w:hAnsi="Cambria"/>
        </w:rPr>
        <w:t xml:space="preserve">2 </w:t>
      </w:r>
      <w:r w:rsidR="001B5C2B" w:rsidRPr="00834776">
        <w:rPr>
          <w:rFonts w:ascii="Cambria" w:hAnsi="Cambria"/>
        </w:rPr>
        <w:t xml:space="preserve">verileri üzerinde doğrulayıcı faktör analizi gerçekleştirilmiştir. Doğrulayıcı faktör analizi polikorik korelasyon matrisine dayalı olarak gerçekleştirilmiş olup yöntem olarak </w:t>
      </w:r>
      <w:r w:rsidR="00CB3CBC" w:rsidRPr="00834776">
        <w:rPr>
          <w:rFonts w:ascii="Cambria" w:hAnsi="Cambria"/>
        </w:rPr>
        <w:t>güçlü</w:t>
      </w:r>
      <w:r w:rsidR="00947E9F" w:rsidRPr="00834776">
        <w:rPr>
          <w:rFonts w:ascii="Cambria" w:hAnsi="Cambria"/>
        </w:rPr>
        <w:t xml:space="preserve"> (robust) ağırlıklı en küçük kareler (robust weighted least square-</w:t>
      </w:r>
      <w:r w:rsidR="001B5C2B" w:rsidRPr="00834776">
        <w:rPr>
          <w:rFonts w:ascii="Cambria" w:hAnsi="Cambria"/>
        </w:rPr>
        <w:t>WLSMV</w:t>
      </w:r>
      <w:r w:rsidR="00947E9F" w:rsidRPr="00834776">
        <w:rPr>
          <w:rFonts w:ascii="Cambria" w:hAnsi="Cambria"/>
        </w:rPr>
        <w:t>)</w:t>
      </w:r>
      <w:r w:rsidR="001B5C2B" w:rsidRPr="00834776">
        <w:rPr>
          <w:rFonts w:ascii="Cambria" w:hAnsi="Cambria"/>
        </w:rPr>
        <w:t xml:space="preserve"> kullanılmıştır.</w:t>
      </w:r>
      <w:r w:rsidR="003825E5" w:rsidRPr="00834776">
        <w:rPr>
          <w:rFonts w:ascii="Cambria" w:hAnsi="Cambria"/>
        </w:rPr>
        <w:t xml:space="preserve"> </w:t>
      </w:r>
      <w:r w:rsidR="00E65690" w:rsidRPr="00834776">
        <w:rPr>
          <w:rFonts w:ascii="Cambria" w:hAnsi="Cambria"/>
        </w:rPr>
        <w:t>Yöntemin seçiminde Li (2015) tarafından gerçekleştirilen simülasyon çalışmasından yararlanılmıştır. Li (2015) i</w:t>
      </w:r>
      <w:r w:rsidR="003825E5" w:rsidRPr="00834776">
        <w:rPr>
          <w:rFonts w:ascii="Cambria" w:hAnsi="Cambria"/>
        </w:rPr>
        <w:t xml:space="preserve">ki </w:t>
      </w:r>
      <w:r w:rsidR="00AB5A7C" w:rsidRPr="00834776">
        <w:rPr>
          <w:rFonts w:ascii="Cambria" w:hAnsi="Cambria"/>
        </w:rPr>
        <w:t>boyutlu yapılarda ve</w:t>
      </w:r>
      <w:r w:rsidR="003825E5" w:rsidRPr="00834776">
        <w:rPr>
          <w:rFonts w:ascii="Cambria" w:hAnsi="Cambria"/>
        </w:rPr>
        <w:t xml:space="preserve"> sıralama ölçeğindeki verilerde </w:t>
      </w:r>
      <w:r w:rsidR="00E65690" w:rsidRPr="00834776">
        <w:rPr>
          <w:rFonts w:ascii="Cambria" w:hAnsi="Cambria"/>
        </w:rPr>
        <w:t xml:space="preserve">farklı örneklem büyüklükleri ve kategori sayıları altında WLSMV’nin neredeyse her koşulda </w:t>
      </w:r>
      <w:r w:rsidR="00B34A9D" w:rsidRPr="00834776">
        <w:rPr>
          <w:rFonts w:ascii="Cambria" w:hAnsi="Cambria"/>
        </w:rPr>
        <w:t>güçlü</w:t>
      </w:r>
      <w:r w:rsidR="00E65690" w:rsidRPr="00834776">
        <w:rPr>
          <w:rFonts w:ascii="Cambria" w:hAnsi="Cambria"/>
        </w:rPr>
        <w:t xml:space="preserve"> en çok olabilirlik (robust maximum likelihood-MLR) yönteminden </w:t>
      </w:r>
      <w:r w:rsidR="003825E5" w:rsidRPr="00834776">
        <w:rPr>
          <w:rFonts w:ascii="Cambria" w:hAnsi="Cambria"/>
        </w:rPr>
        <w:t>daha doğr</w:t>
      </w:r>
      <w:r w:rsidR="00E65690" w:rsidRPr="00834776">
        <w:rPr>
          <w:rFonts w:ascii="Cambria" w:hAnsi="Cambria"/>
        </w:rPr>
        <w:t>u ve daha az yanlı sonuçlar verdiğini ve dağılım şartı aramadığını belirtmiştir.</w:t>
      </w:r>
      <w:r w:rsidR="001251BE" w:rsidRPr="00834776">
        <w:rPr>
          <w:rFonts w:ascii="Cambria" w:hAnsi="Cambria"/>
        </w:rPr>
        <w:t xml:space="preserve"> Doğrulayıcı faktör analizi sonucunda model veri uyumu incelenirken </w:t>
      </w:r>
      <w:r w:rsidR="00140295" w:rsidRPr="00834776">
        <w:rPr>
          <w:rFonts w:ascii="Cambria" w:hAnsi="Cambria"/>
        </w:rPr>
        <w:t>χ</w:t>
      </w:r>
      <w:r w:rsidR="00140295" w:rsidRPr="00834776">
        <w:rPr>
          <w:rFonts w:ascii="Cambria" w:hAnsi="Cambria"/>
          <w:vertAlign w:val="superscript"/>
        </w:rPr>
        <w:t>2</w:t>
      </w:r>
      <w:r w:rsidR="001251BE" w:rsidRPr="00834776">
        <w:rPr>
          <w:rFonts w:ascii="Cambria" w:hAnsi="Cambria"/>
        </w:rPr>
        <w:t>/sd</w:t>
      </w:r>
      <w:r w:rsidR="00140295" w:rsidRPr="00834776">
        <w:rPr>
          <w:rFonts w:ascii="Cambria" w:hAnsi="Cambria"/>
        </w:rPr>
        <w:t xml:space="preserve"> (Kikare değeri/serbestlik derecesi)</w:t>
      </w:r>
      <w:r w:rsidR="001251BE" w:rsidRPr="00834776">
        <w:rPr>
          <w:rFonts w:ascii="Cambria" w:hAnsi="Cambria"/>
        </w:rPr>
        <w:t>, RMSEA (Root Mean Square Error of Approximation – Hata ortalamalarının karekökü), NNFI (Non-normed Fit Index - Normlaştırılmamış Uyum İndeksi) ve CFI (Comparative Fit Index – Karşılaştırmalı Uyum İndeksi) gibi indeksler kullanılmıştır.</w:t>
      </w:r>
    </w:p>
    <w:p w:rsidR="000F6587" w:rsidRPr="00834776" w:rsidRDefault="000F6587" w:rsidP="00834776">
      <w:pPr>
        <w:pStyle w:val="Heading2"/>
        <w:spacing w:before="240" w:after="240"/>
        <w:jc w:val="center"/>
        <w:rPr>
          <w:rFonts w:ascii="Cambria" w:hAnsi="Cambria" w:cstheme="minorHAnsi"/>
          <w:b/>
          <w:color w:val="auto"/>
          <w:sz w:val="22"/>
          <w:szCs w:val="22"/>
        </w:rPr>
      </w:pPr>
      <w:r w:rsidRPr="00834776">
        <w:rPr>
          <w:rFonts w:ascii="Cambria" w:hAnsi="Cambria" w:cstheme="minorHAnsi"/>
          <w:b/>
          <w:color w:val="auto"/>
          <w:sz w:val="22"/>
          <w:szCs w:val="22"/>
        </w:rPr>
        <w:t>BULGULAR</w:t>
      </w:r>
    </w:p>
    <w:p w:rsidR="00FD353B" w:rsidRPr="00834776" w:rsidRDefault="00537BEA" w:rsidP="00FD353B">
      <w:pPr>
        <w:spacing w:after="120"/>
        <w:rPr>
          <w:rFonts w:ascii="Cambria" w:hAnsi="Cambria"/>
          <w:b/>
          <w:color w:val="000000" w:themeColor="text1"/>
          <w:sz w:val="22"/>
          <w:szCs w:val="22"/>
        </w:rPr>
      </w:pPr>
      <w:r w:rsidRPr="00834776">
        <w:rPr>
          <w:rFonts w:ascii="Cambria" w:hAnsi="Cambria"/>
          <w:b/>
          <w:color w:val="000000" w:themeColor="text1"/>
          <w:sz w:val="22"/>
          <w:szCs w:val="22"/>
        </w:rPr>
        <w:t xml:space="preserve">Ölçek Verilerinin </w:t>
      </w:r>
      <w:r w:rsidR="0063216E" w:rsidRPr="00834776">
        <w:rPr>
          <w:rFonts w:ascii="Cambria" w:hAnsi="Cambria"/>
          <w:b/>
          <w:color w:val="000000" w:themeColor="text1"/>
          <w:sz w:val="22"/>
          <w:szCs w:val="22"/>
        </w:rPr>
        <w:t>Yap</w:t>
      </w:r>
      <w:r w:rsidR="0010418F" w:rsidRPr="00834776">
        <w:rPr>
          <w:rFonts w:ascii="Cambria" w:hAnsi="Cambria"/>
          <w:b/>
          <w:color w:val="000000" w:themeColor="text1"/>
          <w:sz w:val="22"/>
          <w:szCs w:val="22"/>
        </w:rPr>
        <w:t>ı Geçerliğine İlişkin Bulgular</w:t>
      </w:r>
    </w:p>
    <w:p w:rsidR="00FD353B" w:rsidRPr="00834776" w:rsidRDefault="00FD353B" w:rsidP="00AE5FAC">
      <w:pPr>
        <w:ind w:firstLine="567"/>
        <w:jc w:val="both"/>
        <w:rPr>
          <w:rFonts w:ascii="Cambria" w:hAnsi="Cambria"/>
          <w:color w:val="000000" w:themeColor="text1"/>
          <w:sz w:val="22"/>
          <w:szCs w:val="22"/>
        </w:rPr>
      </w:pPr>
      <w:r w:rsidRPr="00834776">
        <w:rPr>
          <w:rFonts w:ascii="Cambria" w:hAnsi="Cambria"/>
          <w:color w:val="000000" w:themeColor="text1"/>
          <w:sz w:val="22"/>
          <w:szCs w:val="22"/>
        </w:rPr>
        <w:lastRenderedPageBreak/>
        <w:t>Araştırmada yapı geçerliğini belirlemek üzere açımlayıcı faktör analizi yapılmıştır. Verilerin temel bileşenler analizine uygunluğunu test etmek amacıyla yapılan Barlett Küresellik Testi .001 (p=.000) düzeyinde manidar sonuçlar vermiştir ve KMO katsayısı ise .7</w:t>
      </w:r>
      <w:r w:rsidR="004A377F" w:rsidRPr="00834776">
        <w:rPr>
          <w:rFonts w:ascii="Cambria" w:hAnsi="Cambria"/>
          <w:color w:val="000000" w:themeColor="text1"/>
          <w:sz w:val="22"/>
          <w:szCs w:val="22"/>
        </w:rPr>
        <w:t>49</w:t>
      </w:r>
      <w:r w:rsidRPr="00834776">
        <w:rPr>
          <w:rFonts w:ascii="Cambria" w:hAnsi="Cambria"/>
          <w:color w:val="000000" w:themeColor="text1"/>
          <w:sz w:val="22"/>
          <w:szCs w:val="22"/>
        </w:rPr>
        <w:t xml:space="preserve"> bulunmuştur. KMO için hesaplanan bu değer orta düzeyde ortak varyansı göstermektedir (Beavers vd., 2013). Tabachnic</w:t>
      </w:r>
      <w:r w:rsidR="00CD39B6" w:rsidRPr="00834776">
        <w:rPr>
          <w:rFonts w:ascii="Cambria" w:hAnsi="Cambria"/>
          <w:color w:val="000000" w:themeColor="text1"/>
          <w:sz w:val="22"/>
          <w:szCs w:val="22"/>
        </w:rPr>
        <w:t>k</w:t>
      </w:r>
      <w:r w:rsidRPr="00834776">
        <w:rPr>
          <w:rFonts w:ascii="Cambria" w:hAnsi="Cambria"/>
          <w:color w:val="000000" w:themeColor="text1"/>
          <w:sz w:val="22"/>
          <w:szCs w:val="22"/>
        </w:rPr>
        <w:t xml:space="preserve"> ve Fidell (2013)’e göre iyi bir faktör analizi için KMO değerinin .60 ve üzerinde olması gereklidir. Bartlett testinin ise manidar sonuçlar vermesi beklenmektedir (Pett, Lackey, Sullivan, 2003).</w:t>
      </w:r>
      <w:r w:rsidR="009414E1" w:rsidRPr="00834776">
        <w:rPr>
          <w:rFonts w:ascii="Cambria" w:hAnsi="Cambria"/>
          <w:sz w:val="22"/>
          <w:szCs w:val="22"/>
        </w:rPr>
        <w:t xml:space="preserve"> Temel bileşenler faktör çıkarma yöntemiyle yürütülen AFA ve PROMIN döndürme tekniği sonucunda belirlenen faktörlere yük değeri vermeyen 2 madde (8. ve 17. maddeler) ve her iki faktöre yük veren 1 (10. madde) madde ölçekten çıkarılmıştır.</w:t>
      </w:r>
    </w:p>
    <w:p w:rsidR="00FD353B" w:rsidRPr="00834776" w:rsidRDefault="00FD353B" w:rsidP="00AE5FAC">
      <w:pPr>
        <w:ind w:firstLine="567"/>
        <w:jc w:val="both"/>
        <w:rPr>
          <w:rFonts w:ascii="Cambria" w:hAnsi="Cambria"/>
          <w:color w:val="000000" w:themeColor="text1"/>
          <w:sz w:val="22"/>
          <w:szCs w:val="22"/>
        </w:rPr>
      </w:pPr>
      <w:r w:rsidRPr="00834776">
        <w:rPr>
          <w:rFonts w:ascii="Cambria" w:hAnsi="Cambria"/>
          <w:color w:val="000000" w:themeColor="text1"/>
          <w:sz w:val="22"/>
          <w:szCs w:val="22"/>
        </w:rPr>
        <w:t>Madde toplam korelasyonu düşük</w:t>
      </w:r>
      <w:r w:rsidR="00036531" w:rsidRPr="00834776">
        <w:rPr>
          <w:rFonts w:ascii="Cambria" w:hAnsi="Cambria"/>
          <w:color w:val="000000" w:themeColor="text1"/>
          <w:sz w:val="22"/>
          <w:szCs w:val="22"/>
        </w:rPr>
        <w:t xml:space="preserve"> (14. madde)</w:t>
      </w:r>
      <w:r w:rsidRPr="00834776">
        <w:rPr>
          <w:rFonts w:ascii="Cambria" w:hAnsi="Cambria"/>
          <w:color w:val="000000" w:themeColor="text1"/>
          <w:sz w:val="22"/>
          <w:szCs w:val="22"/>
        </w:rPr>
        <w:t xml:space="preserve">, </w:t>
      </w:r>
      <w:r w:rsidR="00036531" w:rsidRPr="00834776">
        <w:rPr>
          <w:rFonts w:ascii="Cambria" w:hAnsi="Cambria"/>
          <w:color w:val="000000" w:themeColor="text1"/>
          <w:sz w:val="22"/>
          <w:szCs w:val="22"/>
        </w:rPr>
        <w:t xml:space="preserve">uygulama sonucu öğrenciler tarafından anlaşılmadığı fark edilen (3. madde), </w:t>
      </w:r>
      <w:r w:rsidRPr="00834776">
        <w:rPr>
          <w:rFonts w:ascii="Cambria" w:hAnsi="Cambria"/>
          <w:color w:val="000000" w:themeColor="text1"/>
          <w:sz w:val="22"/>
          <w:szCs w:val="22"/>
        </w:rPr>
        <w:t>faktör yükü .30’un altında</w:t>
      </w:r>
      <w:r w:rsidR="00036531" w:rsidRPr="00834776">
        <w:rPr>
          <w:rFonts w:ascii="Cambria" w:hAnsi="Cambria"/>
          <w:color w:val="000000" w:themeColor="text1"/>
          <w:sz w:val="22"/>
          <w:szCs w:val="22"/>
        </w:rPr>
        <w:t xml:space="preserve"> (8. ve 17. maddeler)</w:t>
      </w:r>
      <w:r w:rsidRPr="00834776">
        <w:rPr>
          <w:rFonts w:ascii="Cambria" w:hAnsi="Cambria"/>
          <w:color w:val="000000" w:themeColor="text1"/>
          <w:sz w:val="22"/>
          <w:szCs w:val="22"/>
        </w:rPr>
        <w:t xml:space="preserve"> ve her iki faktöre yük veren maddeler </w:t>
      </w:r>
      <w:r w:rsidR="00036531" w:rsidRPr="00834776">
        <w:rPr>
          <w:rFonts w:ascii="Cambria" w:hAnsi="Cambria"/>
          <w:color w:val="000000" w:themeColor="text1"/>
          <w:sz w:val="22"/>
          <w:szCs w:val="22"/>
        </w:rPr>
        <w:t>(10. madde)</w:t>
      </w:r>
      <w:r w:rsidRPr="00834776">
        <w:rPr>
          <w:rFonts w:ascii="Cambria" w:hAnsi="Cambria"/>
          <w:color w:val="000000" w:themeColor="text1"/>
          <w:sz w:val="22"/>
          <w:szCs w:val="22"/>
        </w:rPr>
        <w:t xml:space="preserve"> çıkarıldıktan sonra yapılan faktör analizinde Barlett Küresellik Testi .001 düzeyinde manidar sonuçlar vermiştir. KMO katsayısı ise .7</w:t>
      </w:r>
      <w:r w:rsidR="00061B37" w:rsidRPr="00834776">
        <w:rPr>
          <w:rFonts w:ascii="Cambria" w:hAnsi="Cambria"/>
          <w:color w:val="000000" w:themeColor="text1"/>
          <w:sz w:val="22"/>
          <w:szCs w:val="22"/>
        </w:rPr>
        <w:t>68</w:t>
      </w:r>
      <w:r w:rsidRPr="00834776">
        <w:rPr>
          <w:rFonts w:ascii="Cambria" w:hAnsi="Cambria"/>
          <w:color w:val="000000" w:themeColor="text1"/>
          <w:sz w:val="22"/>
          <w:szCs w:val="22"/>
        </w:rPr>
        <w:t xml:space="preserve"> bulunmuştur. Bu değer .80 değerine oldukça yakın olup maddelerin ortak varyansının önemli düzeyde olduğunu göstermektedir (Beavers vd., 2013). Bu sonuçlar ölçekten elde edilen verilerin faktörleşebilirliğini göstermektedir. Tablo 3’te maddelerin faktör yükleri ile faktörlerin özdeğerleri ve varyansı açıklama miktarlarına yer verilmiştir.</w:t>
      </w:r>
    </w:p>
    <w:p w:rsidR="00DC41BD" w:rsidRPr="00551B39" w:rsidRDefault="00DC41BD" w:rsidP="00FD353B">
      <w:pPr>
        <w:rPr>
          <w:rFonts w:ascii="Cambria" w:hAnsi="Cambria"/>
          <w:color w:val="000000" w:themeColor="text1"/>
          <w:sz w:val="16"/>
        </w:rPr>
      </w:pPr>
    </w:p>
    <w:p w:rsidR="00FD353B" w:rsidRPr="006C35E7" w:rsidRDefault="00FD353B" w:rsidP="00834776">
      <w:pPr>
        <w:spacing w:after="120"/>
        <w:rPr>
          <w:rFonts w:ascii="Cambria" w:hAnsi="Cambria"/>
          <w:i/>
          <w:color w:val="000000" w:themeColor="text1"/>
          <w:sz w:val="20"/>
        </w:rPr>
      </w:pPr>
      <w:r w:rsidRPr="006C35E7">
        <w:rPr>
          <w:rFonts w:ascii="Cambria" w:hAnsi="Cambria"/>
          <w:b/>
          <w:color w:val="000000" w:themeColor="text1"/>
          <w:sz w:val="20"/>
        </w:rPr>
        <w:t>Tablo 3.</w:t>
      </w:r>
      <w:r w:rsidRPr="006C35E7">
        <w:rPr>
          <w:rFonts w:ascii="Cambria" w:hAnsi="Cambria"/>
          <w:i/>
          <w:color w:val="000000" w:themeColor="text1"/>
          <w:sz w:val="20"/>
        </w:rPr>
        <w:t xml:space="preserve"> Açımlayıcı Faktör Analizi Sonuçları</w:t>
      </w:r>
    </w:p>
    <w:tbl>
      <w:tblPr>
        <w:tblW w:w="5000" w:type="pct"/>
        <w:tblBorders>
          <w:top w:val="single" w:sz="4" w:space="0" w:color="auto"/>
          <w:bottom w:val="single" w:sz="4" w:space="0" w:color="auto"/>
        </w:tblBorders>
        <w:tblLook w:val="04A0" w:firstRow="1" w:lastRow="0" w:firstColumn="1" w:lastColumn="0" w:noHBand="0" w:noVBand="1"/>
      </w:tblPr>
      <w:tblGrid>
        <w:gridCol w:w="4772"/>
        <w:gridCol w:w="1591"/>
        <w:gridCol w:w="1355"/>
        <w:gridCol w:w="1354"/>
      </w:tblGrid>
      <w:tr w:rsidR="00FD353B" w:rsidRPr="00FF6A1E" w:rsidTr="00F32B7E">
        <w:trPr>
          <w:trHeight w:val="330"/>
        </w:trPr>
        <w:tc>
          <w:tcPr>
            <w:tcW w:w="2630" w:type="pct"/>
            <w:tcBorders>
              <w:bottom w:val="single" w:sz="4" w:space="0" w:color="auto"/>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bottom w:val="single" w:sz="4" w:space="0" w:color="auto"/>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Maddeler</w:t>
            </w:r>
            <w:proofErr w:type="spellEnd"/>
          </w:p>
        </w:tc>
        <w:tc>
          <w:tcPr>
            <w:tcW w:w="747" w:type="pct"/>
            <w:tcBorders>
              <w:bottom w:val="single" w:sz="4" w:space="0" w:color="auto"/>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Boyut</w:t>
            </w:r>
            <w:proofErr w:type="spellEnd"/>
            <w:r w:rsidRPr="00FF6A1E">
              <w:rPr>
                <w:rFonts w:ascii="Cambria" w:hAnsi="Cambria"/>
                <w:color w:val="000000" w:themeColor="text1"/>
                <w:sz w:val="20"/>
                <w:szCs w:val="20"/>
                <w:lang w:val="en-US"/>
              </w:rPr>
              <w:t xml:space="preserve"> 1</w:t>
            </w:r>
          </w:p>
        </w:tc>
        <w:tc>
          <w:tcPr>
            <w:tcW w:w="746" w:type="pct"/>
            <w:tcBorders>
              <w:bottom w:val="single" w:sz="4" w:space="0" w:color="auto"/>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Boyut</w:t>
            </w:r>
            <w:proofErr w:type="spellEnd"/>
            <w:r w:rsidRPr="00FF6A1E">
              <w:rPr>
                <w:rFonts w:ascii="Cambria" w:hAnsi="Cambria"/>
                <w:color w:val="000000" w:themeColor="text1"/>
                <w:sz w:val="20"/>
                <w:szCs w:val="20"/>
                <w:lang w:val="en-US"/>
              </w:rPr>
              <w:t xml:space="preserve"> 2</w:t>
            </w:r>
          </w:p>
        </w:tc>
      </w:tr>
      <w:tr w:rsidR="00FD353B" w:rsidRPr="00FF6A1E" w:rsidTr="00F32B7E">
        <w:trPr>
          <w:trHeight w:val="320"/>
        </w:trPr>
        <w:tc>
          <w:tcPr>
            <w:tcW w:w="2630" w:type="pct"/>
            <w:vMerge w:val="restart"/>
            <w:tcBorders>
              <w:top w:val="single" w:sz="4" w:space="0" w:color="auto"/>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Boyut</w:t>
            </w:r>
            <w:proofErr w:type="spellEnd"/>
            <w:r w:rsidRPr="00FF6A1E">
              <w:rPr>
                <w:rFonts w:ascii="Cambria" w:hAnsi="Cambria"/>
                <w:color w:val="000000" w:themeColor="text1"/>
                <w:sz w:val="20"/>
                <w:szCs w:val="20"/>
                <w:lang w:val="en-US"/>
              </w:rPr>
              <w:t xml:space="preserve"> 1: </w:t>
            </w:r>
            <w:proofErr w:type="spellStart"/>
            <w:r w:rsidRPr="00FF6A1E">
              <w:rPr>
                <w:rFonts w:ascii="Cambria" w:hAnsi="Cambria"/>
                <w:color w:val="000000" w:themeColor="text1"/>
                <w:sz w:val="20"/>
                <w:szCs w:val="20"/>
                <w:lang w:val="en-US"/>
              </w:rPr>
              <w:t>Gelişim</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Sağlama</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ve</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İyilik</w:t>
            </w:r>
            <w:proofErr w:type="spellEnd"/>
          </w:p>
        </w:tc>
        <w:tc>
          <w:tcPr>
            <w:tcW w:w="877" w:type="pct"/>
            <w:tcBorders>
              <w:top w:val="single" w:sz="4" w:space="0" w:color="auto"/>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M4</w:t>
            </w:r>
          </w:p>
        </w:tc>
        <w:tc>
          <w:tcPr>
            <w:tcW w:w="747" w:type="pct"/>
            <w:tcBorders>
              <w:top w:val="single" w:sz="4" w:space="0" w:color="auto"/>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w:t>
            </w:r>
            <w:r w:rsidR="0024297D" w:rsidRPr="00FF6A1E">
              <w:rPr>
                <w:rFonts w:ascii="Cambria" w:hAnsi="Cambria"/>
                <w:color w:val="000000" w:themeColor="text1"/>
                <w:sz w:val="20"/>
                <w:szCs w:val="20"/>
                <w:lang w:val="en-US"/>
              </w:rPr>
              <w:t>677</w:t>
            </w:r>
          </w:p>
        </w:tc>
        <w:tc>
          <w:tcPr>
            <w:tcW w:w="746" w:type="pct"/>
            <w:tcBorders>
              <w:top w:val="single" w:sz="4" w:space="0" w:color="auto"/>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0.177</w:t>
            </w:r>
          </w:p>
        </w:tc>
      </w:tr>
      <w:tr w:rsidR="00FD353B" w:rsidRPr="00FF6A1E" w:rsidTr="00F32B7E">
        <w:trPr>
          <w:trHeight w:val="278"/>
        </w:trPr>
        <w:tc>
          <w:tcPr>
            <w:tcW w:w="2630" w:type="pct"/>
            <w:vMerge/>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M5</w:t>
            </w:r>
          </w:p>
        </w:tc>
        <w:tc>
          <w:tcPr>
            <w:tcW w:w="747"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0.85</w:t>
            </w:r>
            <w:r w:rsidR="0024297D" w:rsidRPr="00FF6A1E">
              <w:rPr>
                <w:rFonts w:ascii="Cambria" w:hAnsi="Cambria"/>
                <w:color w:val="000000" w:themeColor="text1"/>
                <w:sz w:val="20"/>
                <w:szCs w:val="20"/>
                <w:lang w:val="en-US"/>
              </w:rPr>
              <w:t>6</w:t>
            </w:r>
          </w:p>
        </w:tc>
        <w:tc>
          <w:tcPr>
            <w:tcW w:w="746"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-0.240</w:t>
            </w:r>
          </w:p>
        </w:tc>
      </w:tr>
      <w:tr w:rsidR="00FD353B" w:rsidRPr="00FF6A1E" w:rsidTr="00F32B7E">
        <w:trPr>
          <w:trHeight w:val="282"/>
        </w:trPr>
        <w:tc>
          <w:tcPr>
            <w:tcW w:w="2630" w:type="pct"/>
            <w:vMerge/>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M6</w:t>
            </w:r>
          </w:p>
        </w:tc>
        <w:tc>
          <w:tcPr>
            <w:tcW w:w="747"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0.785</w:t>
            </w:r>
          </w:p>
        </w:tc>
        <w:tc>
          <w:tcPr>
            <w:tcW w:w="746"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0.056</w:t>
            </w:r>
          </w:p>
        </w:tc>
      </w:tr>
      <w:tr w:rsidR="00FD353B" w:rsidRPr="00FF6A1E" w:rsidTr="00F32B7E">
        <w:trPr>
          <w:trHeight w:val="282"/>
        </w:trPr>
        <w:tc>
          <w:tcPr>
            <w:tcW w:w="2630" w:type="pct"/>
            <w:vMerge/>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M7</w:t>
            </w:r>
          </w:p>
        </w:tc>
        <w:tc>
          <w:tcPr>
            <w:tcW w:w="747"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0.6</w:t>
            </w:r>
            <w:r w:rsidR="0024297D" w:rsidRPr="00FF6A1E">
              <w:rPr>
                <w:rFonts w:ascii="Cambria" w:hAnsi="Cambria"/>
                <w:color w:val="000000" w:themeColor="text1"/>
                <w:sz w:val="20"/>
                <w:szCs w:val="20"/>
                <w:lang w:val="en-US"/>
              </w:rPr>
              <w:t>08</w:t>
            </w:r>
          </w:p>
        </w:tc>
        <w:tc>
          <w:tcPr>
            <w:tcW w:w="746"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0.224</w:t>
            </w:r>
          </w:p>
        </w:tc>
      </w:tr>
      <w:tr w:rsidR="00FD353B" w:rsidRPr="00FF6A1E" w:rsidTr="00F32B7E">
        <w:trPr>
          <w:trHeight w:val="286"/>
        </w:trPr>
        <w:tc>
          <w:tcPr>
            <w:tcW w:w="2630" w:type="pct"/>
            <w:vMerge/>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M13</w:t>
            </w:r>
          </w:p>
        </w:tc>
        <w:tc>
          <w:tcPr>
            <w:tcW w:w="747"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0.81</w:t>
            </w:r>
            <w:r w:rsidR="0024297D" w:rsidRPr="00FF6A1E">
              <w:rPr>
                <w:rFonts w:ascii="Cambria" w:hAnsi="Cambria"/>
                <w:color w:val="000000" w:themeColor="text1"/>
                <w:sz w:val="20"/>
                <w:szCs w:val="20"/>
                <w:lang w:val="en-US"/>
              </w:rPr>
              <w:t>0</w:t>
            </w:r>
          </w:p>
        </w:tc>
        <w:tc>
          <w:tcPr>
            <w:tcW w:w="746"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0.031</w:t>
            </w:r>
          </w:p>
        </w:tc>
      </w:tr>
      <w:tr w:rsidR="00FD353B" w:rsidRPr="00FF6A1E" w:rsidTr="00F32B7E">
        <w:trPr>
          <w:trHeight w:val="290"/>
        </w:trPr>
        <w:tc>
          <w:tcPr>
            <w:tcW w:w="2630" w:type="pct"/>
            <w:vMerge w:val="restart"/>
            <w:tcBorders>
              <w:top w:val="single" w:sz="4" w:space="0" w:color="auto"/>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Boyut</w:t>
            </w:r>
            <w:proofErr w:type="spellEnd"/>
            <w:r w:rsidRPr="00FF6A1E">
              <w:rPr>
                <w:rFonts w:ascii="Cambria" w:hAnsi="Cambria"/>
                <w:color w:val="000000" w:themeColor="text1"/>
                <w:sz w:val="20"/>
                <w:szCs w:val="20"/>
                <w:lang w:val="en-US"/>
              </w:rPr>
              <w:t xml:space="preserve"> 2: </w:t>
            </w:r>
            <w:proofErr w:type="spellStart"/>
            <w:r w:rsidRPr="00FF6A1E">
              <w:rPr>
                <w:rFonts w:ascii="Cambria" w:hAnsi="Cambria"/>
                <w:color w:val="000000" w:themeColor="text1"/>
                <w:sz w:val="20"/>
                <w:szCs w:val="20"/>
                <w:lang w:val="en-US"/>
              </w:rPr>
              <w:t>Şiddet</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Eğilimi</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ve</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Güç</w:t>
            </w:r>
            <w:proofErr w:type="spellEnd"/>
          </w:p>
        </w:tc>
        <w:tc>
          <w:tcPr>
            <w:tcW w:w="877" w:type="pct"/>
            <w:tcBorders>
              <w:top w:val="single" w:sz="4" w:space="0" w:color="auto"/>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M1</w:t>
            </w:r>
          </w:p>
        </w:tc>
        <w:tc>
          <w:tcPr>
            <w:tcW w:w="747" w:type="pct"/>
            <w:tcBorders>
              <w:top w:val="single" w:sz="4" w:space="0" w:color="auto"/>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-0.219</w:t>
            </w:r>
          </w:p>
        </w:tc>
        <w:tc>
          <w:tcPr>
            <w:tcW w:w="746" w:type="pct"/>
            <w:tcBorders>
              <w:top w:val="single" w:sz="4" w:space="0" w:color="auto"/>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0.7</w:t>
            </w:r>
            <w:r w:rsidR="0024297D" w:rsidRPr="00FF6A1E">
              <w:rPr>
                <w:rFonts w:ascii="Cambria" w:hAnsi="Cambria"/>
                <w:color w:val="000000" w:themeColor="text1"/>
                <w:sz w:val="20"/>
                <w:szCs w:val="20"/>
                <w:lang w:val="en-US"/>
              </w:rPr>
              <w:t>69</w:t>
            </w:r>
          </w:p>
        </w:tc>
      </w:tr>
      <w:tr w:rsidR="00FD353B" w:rsidRPr="00FF6A1E" w:rsidTr="00F32B7E">
        <w:trPr>
          <w:trHeight w:val="280"/>
        </w:trPr>
        <w:tc>
          <w:tcPr>
            <w:tcW w:w="2630" w:type="pct"/>
            <w:vMerge/>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M2</w:t>
            </w:r>
          </w:p>
        </w:tc>
        <w:tc>
          <w:tcPr>
            <w:tcW w:w="747"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-0.267</w:t>
            </w:r>
          </w:p>
        </w:tc>
        <w:tc>
          <w:tcPr>
            <w:tcW w:w="746"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w:t>
            </w:r>
            <w:r w:rsidR="0024297D" w:rsidRPr="00FF6A1E">
              <w:rPr>
                <w:rFonts w:ascii="Cambria" w:hAnsi="Cambria"/>
                <w:color w:val="000000" w:themeColor="text1"/>
                <w:sz w:val="20"/>
                <w:szCs w:val="20"/>
                <w:lang w:val="en-US"/>
              </w:rPr>
              <w:t>853</w:t>
            </w:r>
          </w:p>
        </w:tc>
      </w:tr>
      <w:tr w:rsidR="00FD353B" w:rsidRPr="00FF6A1E" w:rsidTr="00F32B7E">
        <w:trPr>
          <w:trHeight w:val="318"/>
        </w:trPr>
        <w:tc>
          <w:tcPr>
            <w:tcW w:w="2630" w:type="pct"/>
            <w:vMerge/>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M9</w:t>
            </w:r>
          </w:p>
        </w:tc>
        <w:tc>
          <w:tcPr>
            <w:tcW w:w="747"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0.001</w:t>
            </w:r>
          </w:p>
        </w:tc>
        <w:tc>
          <w:tcPr>
            <w:tcW w:w="746"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w:t>
            </w:r>
            <w:r w:rsidR="0024297D" w:rsidRPr="00FF6A1E">
              <w:rPr>
                <w:rFonts w:ascii="Cambria" w:hAnsi="Cambria"/>
                <w:color w:val="000000" w:themeColor="text1"/>
                <w:sz w:val="20"/>
                <w:szCs w:val="20"/>
                <w:lang w:val="en-US"/>
              </w:rPr>
              <w:t>750</w:t>
            </w:r>
          </w:p>
        </w:tc>
      </w:tr>
      <w:tr w:rsidR="00FD353B" w:rsidRPr="00FF6A1E" w:rsidTr="00F32B7E">
        <w:trPr>
          <w:trHeight w:val="276"/>
        </w:trPr>
        <w:tc>
          <w:tcPr>
            <w:tcW w:w="2630" w:type="pct"/>
            <w:vMerge/>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M11</w:t>
            </w:r>
          </w:p>
        </w:tc>
        <w:tc>
          <w:tcPr>
            <w:tcW w:w="747"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0.246</w:t>
            </w:r>
          </w:p>
        </w:tc>
        <w:tc>
          <w:tcPr>
            <w:tcW w:w="746"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0.56</w:t>
            </w:r>
            <w:r w:rsidR="0024297D" w:rsidRPr="00FF6A1E">
              <w:rPr>
                <w:rFonts w:ascii="Cambria" w:hAnsi="Cambria"/>
                <w:color w:val="000000" w:themeColor="text1"/>
                <w:sz w:val="20"/>
                <w:szCs w:val="20"/>
                <w:lang w:val="en-US"/>
              </w:rPr>
              <w:t>5</w:t>
            </w:r>
          </w:p>
        </w:tc>
      </w:tr>
      <w:tr w:rsidR="00FD353B" w:rsidRPr="00FF6A1E" w:rsidTr="00F32B7E">
        <w:trPr>
          <w:trHeight w:val="276"/>
        </w:trPr>
        <w:tc>
          <w:tcPr>
            <w:tcW w:w="2630" w:type="pct"/>
            <w:vMerge/>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M12</w:t>
            </w:r>
          </w:p>
        </w:tc>
        <w:tc>
          <w:tcPr>
            <w:tcW w:w="747" w:type="pct"/>
            <w:tcBorders>
              <w:top w:val="nil"/>
              <w:bottom w:val="nil"/>
            </w:tcBorders>
            <w:shd w:val="clear" w:color="auto" w:fill="auto"/>
            <w:vAlign w:val="center"/>
          </w:tcPr>
          <w:p w:rsidR="00FD353B" w:rsidRPr="00FF6A1E" w:rsidRDefault="0024297D"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-0.105</w:t>
            </w:r>
          </w:p>
        </w:tc>
        <w:tc>
          <w:tcPr>
            <w:tcW w:w="746" w:type="pct"/>
            <w:tcBorders>
              <w:top w:val="nil"/>
              <w:bottom w:val="nil"/>
            </w:tcBorders>
            <w:shd w:val="clear" w:color="auto" w:fill="auto"/>
            <w:vAlign w:val="center"/>
          </w:tcPr>
          <w:p w:rsidR="00FD353B" w:rsidRPr="00FF6A1E" w:rsidRDefault="00FD353B" w:rsidP="0024297D">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w:t>
            </w:r>
            <w:r w:rsidR="0024297D" w:rsidRPr="00FF6A1E">
              <w:rPr>
                <w:rFonts w:ascii="Cambria" w:hAnsi="Cambria"/>
                <w:color w:val="000000" w:themeColor="text1"/>
                <w:sz w:val="20"/>
                <w:szCs w:val="20"/>
                <w:lang w:val="en-US"/>
              </w:rPr>
              <w:t>824</w:t>
            </w:r>
          </w:p>
        </w:tc>
      </w:tr>
      <w:tr w:rsidR="00FD353B" w:rsidRPr="00FF6A1E" w:rsidTr="00F32B7E">
        <w:trPr>
          <w:trHeight w:val="280"/>
        </w:trPr>
        <w:tc>
          <w:tcPr>
            <w:tcW w:w="2630" w:type="pct"/>
            <w:vMerge/>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M15</w:t>
            </w:r>
          </w:p>
        </w:tc>
        <w:tc>
          <w:tcPr>
            <w:tcW w:w="747" w:type="pct"/>
            <w:tcBorders>
              <w:top w:val="nil"/>
              <w:bottom w:val="nil"/>
            </w:tcBorders>
            <w:shd w:val="clear" w:color="auto" w:fill="auto"/>
            <w:vAlign w:val="center"/>
          </w:tcPr>
          <w:p w:rsidR="00FD353B" w:rsidRPr="00FF6A1E" w:rsidRDefault="006E5B53"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0.102</w:t>
            </w:r>
          </w:p>
        </w:tc>
        <w:tc>
          <w:tcPr>
            <w:tcW w:w="746" w:type="pct"/>
            <w:tcBorders>
              <w:top w:val="nil"/>
              <w:bottom w:val="nil"/>
            </w:tcBorders>
            <w:shd w:val="clear" w:color="auto" w:fill="auto"/>
            <w:vAlign w:val="center"/>
          </w:tcPr>
          <w:p w:rsidR="00FD353B" w:rsidRPr="00FF6A1E" w:rsidRDefault="00FD353B" w:rsidP="006E5B53">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w:t>
            </w:r>
            <w:r w:rsidR="006E5B53" w:rsidRPr="00FF6A1E">
              <w:rPr>
                <w:rFonts w:ascii="Cambria" w:hAnsi="Cambria"/>
                <w:color w:val="000000" w:themeColor="text1"/>
                <w:sz w:val="20"/>
                <w:szCs w:val="20"/>
                <w:lang w:val="en-US"/>
              </w:rPr>
              <w:t>740</w:t>
            </w:r>
          </w:p>
        </w:tc>
      </w:tr>
      <w:tr w:rsidR="00FD353B" w:rsidRPr="00FF6A1E" w:rsidTr="00F32B7E">
        <w:trPr>
          <w:trHeight w:val="47"/>
        </w:trPr>
        <w:tc>
          <w:tcPr>
            <w:tcW w:w="2630" w:type="pct"/>
            <w:vMerge/>
            <w:tcBorders>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
        </w:tc>
        <w:tc>
          <w:tcPr>
            <w:tcW w:w="877" w:type="pct"/>
            <w:tcBorders>
              <w:top w:val="nil"/>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M16</w:t>
            </w:r>
          </w:p>
        </w:tc>
        <w:tc>
          <w:tcPr>
            <w:tcW w:w="747" w:type="pct"/>
            <w:tcBorders>
              <w:top w:val="nil"/>
              <w:bottom w:val="nil"/>
            </w:tcBorders>
            <w:shd w:val="clear" w:color="auto" w:fill="auto"/>
            <w:vAlign w:val="center"/>
          </w:tcPr>
          <w:p w:rsidR="00FD353B" w:rsidRPr="00FF6A1E" w:rsidRDefault="006E5B53"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0.188</w:t>
            </w:r>
          </w:p>
        </w:tc>
        <w:tc>
          <w:tcPr>
            <w:tcW w:w="746" w:type="pct"/>
            <w:tcBorders>
              <w:top w:val="nil"/>
              <w:bottom w:val="nil"/>
            </w:tcBorders>
            <w:shd w:val="clear" w:color="auto" w:fill="auto"/>
            <w:vAlign w:val="center"/>
          </w:tcPr>
          <w:p w:rsidR="00FD353B" w:rsidRPr="00FF6A1E" w:rsidRDefault="00FD353B" w:rsidP="006E5B53">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0.5</w:t>
            </w:r>
            <w:r w:rsidR="006E5B53" w:rsidRPr="00FF6A1E">
              <w:rPr>
                <w:rFonts w:ascii="Cambria" w:hAnsi="Cambria"/>
                <w:color w:val="000000" w:themeColor="text1"/>
                <w:sz w:val="20"/>
                <w:szCs w:val="20"/>
                <w:lang w:val="en-US"/>
              </w:rPr>
              <w:t>29</w:t>
            </w:r>
          </w:p>
        </w:tc>
      </w:tr>
      <w:tr w:rsidR="00FD353B" w:rsidRPr="00FF6A1E" w:rsidTr="00F32B7E">
        <w:trPr>
          <w:trHeight w:val="330"/>
        </w:trPr>
        <w:tc>
          <w:tcPr>
            <w:tcW w:w="3507" w:type="pct"/>
            <w:gridSpan w:val="2"/>
            <w:tcBorders>
              <w:top w:val="single" w:sz="4" w:space="0" w:color="auto"/>
              <w:bottom w:val="nil"/>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Özdeğer</w:t>
            </w:r>
            <w:proofErr w:type="spellEnd"/>
          </w:p>
        </w:tc>
        <w:tc>
          <w:tcPr>
            <w:tcW w:w="747" w:type="pct"/>
            <w:tcBorders>
              <w:top w:val="single" w:sz="4" w:space="0" w:color="auto"/>
              <w:bottom w:val="nil"/>
            </w:tcBorders>
            <w:shd w:val="clear" w:color="auto" w:fill="auto"/>
            <w:vAlign w:val="center"/>
          </w:tcPr>
          <w:p w:rsidR="00FD353B" w:rsidRPr="00FF6A1E" w:rsidRDefault="002D59B2"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4.966</w:t>
            </w:r>
          </w:p>
        </w:tc>
        <w:tc>
          <w:tcPr>
            <w:tcW w:w="746" w:type="pct"/>
            <w:tcBorders>
              <w:top w:val="single" w:sz="4" w:space="0" w:color="auto"/>
              <w:bottom w:val="nil"/>
            </w:tcBorders>
            <w:shd w:val="clear" w:color="auto" w:fill="auto"/>
            <w:vAlign w:val="center"/>
          </w:tcPr>
          <w:p w:rsidR="00FD353B" w:rsidRPr="00FF6A1E" w:rsidRDefault="002D59B2"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1.911</w:t>
            </w:r>
          </w:p>
        </w:tc>
      </w:tr>
      <w:tr w:rsidR="00FD353B" w:rsidRPr="00FF6A1E" w:rsidTr="00F32B7E">
        <w:trPr>
          <w:trHeight w:val="47"/>
        </w:trPr>
        <w:tc>
          <w:tcPr>
            <w:tcW w:w="3507" w:type="pct"/>
            <w:gridSpan w:val="2"/>
            <w:tcBorders>
              <w:top w:val="nil"/>
              <w:bottom w:val="single" w:sz="4" w:space="0" w:color="auto"/>
            </w:tcBorders>
            <w:shd w:val="clear" w:color="auto" w:fill="auto"/>
            <w:vAlign w:val="center"/>
          </w:tcPr>
          <w:p w:rsidR="00FD353B" w:rsidRPr="00FF6A1E" w:rsidRDefault="00FD353B" w:rsidP="009812AC">
            <w:pPr>
              <w:jc w:val="center"/>
              <w:rPr>
                <w:rFonts w:ascii="Cambria" w:hAnsi="Cambria"/>
                <w:color w:val="000000" w:themeColor="text1"/>
                <w:sz w:val="20"/>
                <w:szCs w:val="20"/>
                <w:lang w:val="en-US"/>
              </w:rPr>
            </w:pPr>
            <w:proofErr w:type="spellStart"/>
            <w:r w:rsidRPr="00FF6A1E">
              <w:rPr>
                <w:rFonts w:ascii="Cambria" w:hAnsi="Cambria"/>
                <w:color w:val="000000" w:themeColor="text1"/>
                <w:sz w:val="20"/>
                <w:szCs w:val="20"/>
                <w:lang w:val="en-US"/>
              </w:rPr>
              <w:t>Açıklanan</w:t>
            </w:r>
            <w:proofErr w:type="spellEnd"/>
            <w:r w:rsidRPr="00FF6A1E">
              <w:rPr>
                <w:rFonts w:ascii="Cambria" w:hAnsi="Cambria"/>
                <w:color w:val="000000" w:themeColor="text1"/>
                <w:sz w:val="20"/>
                <w:szCs w:val="20"/>
                <w:lang w:val="en-US"/>
              </w:rPr>
              <w:t xml:space="preserve"> </w:t>
            </w:r>
            <w:proofErr w:type="spellStart"/>
            <w:r w:rsidRPr="00FF6A1E">
              <w:rPr>
                <w:rFonts w:ascii="Cambria" w:hAnsi="Cambria"/>
                <w:color w:val="000000" w:themeColor="text1"/>
                <w:sz w:val="20"/>
                <w:szCs w:val="20"/>
                <w:lang w:val="en-US"/>
              </w:rPr>
              <w:t>Varyans</w:t>
            </w:r>
            <w:proofErr w:type="spellEnd"/>
          </w:p>
        </w:tc>
        <w:tc>
          <w:tcPr>
            <w:tcW w:w="747" w:type="pct"/>
            <w:tcBorders>
              <w:top w:val="nil"/>
              <w:bottom w:val="single" w:sz="4" w:space="0" w:color="auto"/>
            </w:tcBorders>
            <w:shd w:val="clear" w:color="auto" w:fill="auto"/>
            <w:vAlign w:val="center"/>
          </w:tcPr>
          <w:p w:rsidR="00FD353B" w:rsidRPr="00FF6A1E" w:rsidRDefault="00E81635"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41.380</w:t>
            </w:r>
          </w:p>
        </w:tc>
        <w:tc>
          <w:tcPr>
            <w:tcW w:w="746" w:type="pct"/>
            <w:tcBorders>
              <w:top w:val="nil"/>
              <w:bottom w:val="single" w:sz="4" w:space="0" w:color="auto"/>
            </w:tcBorders>
            <w:shd w:val="clear" w:color="auto" w:fill="auto"/>
            <w:vAlign w:val="center"/>
          </w:tcPr>
          <w:p w:rsidR="00FD353B" w:rsidRPr="00FF6A1E" w:rsidRDefault="00E81635" w:rsidP="009812AC">
            <w:pPr>
              <w:jc w:val="center"/>
              <w:rPr>
                <w:rFonts w:ascii="Cambria" w:hAnsi="Cambria"/>
                <w:color w:val="000000" w:themeColor="text1"/>
                <w:sz w:val="20"/>
                <w:szCs w:val="20"/>
                <w:lang w:val="en-US"/>
              </w:rPr>
            </w:pPr>
            <w:r w:rsidRPr="00FF6A1E">
              <w:rPr>
                <w:rFonts w:ascii="Cambria" w:hAnsi="Cambria"/>
                <w:color w:val="000000" w:themeColor="text1"/>
                <w:sz w:val="20"/>
                <w:szCs w:val="20"/>
                <w:lang w:val="en-US"/>
              </w:rPr>
              <w:t>15.923</w:t>
            </w:r>
          </w:p>
        </w:tc>
      </w:tr>
    </w:tbl>
    <w:p w:rsidR="00FD353B" w:rsidRPr="00551B39" w:rsidRDefault="00FD353B" w:rsidP="00FD353B">
      <w:pPr>
        <w:rPr>
          <w:rFonts w:ascii="Cambria" w:hAnsi="Cambria"/>
          <w:color w:val="000000" w:themeColor="text1"/>
          <w:sz w:val="16"/>
        </w:rPr>
      </w:pPr>
    </w:p>
    <w:p w:rsidR="00FD353B" w:rsidRPr="00834776" w:rsidRDefault="00FD353B" w:rsidP="00834776">
      <w:pPr>
        <w:ind w:firstLine="567"/>
        <w:jc w:val="both"/>
        <w:rPr>
          <w:rFonts w:ascii="Cambria" w:hAnsi="Cambria"/>
          <w:color w:val="000000" w:themeColor="text1"/>
          <w:sz w:val="22"/>
        </w:rPr>
      </w:pPr>
      <w:r w:rsidRPr="00834776">
        <w:rPr>
          <w:rFonts w:ascii="Cambria" w:hAnsi="Cambria"/>
          <w:color w:val="000000" w:themeColor="text1"/>
          <w:sz w:val="22"/>
        </w:rPr>
        <w:t xml:space="preserve">Tablo 3 incelendiğinde öz değeri </w:t>
      </w:r>
      <w:r w:rsidR="00601373" w:rsidRPr="00834776">
        <w:rPr>
          <w:rFonts w:ascii="Cambria" w:hAnsi="Cambria"/>
          <w:color w:val="000000" w:themeColor="text1"/>
          <w:sz w:val="22"/>
        </w:rPr>
        <w:t>bir</w:t>
      </w:r>
      <w:r w:rsidRPr="00834776">
        <w:rPr>
          <w:rFonts w:ascii="Cambria" w:hAnsi="Cambria"/>
          <w:color w:val="000000" w:themeColor="text1"/>
          <w:sz w:val="22"/>
        </w:rPr>
        <w:t xml:space="preserve">den büyük olan </w:t>
      </w:r>
      <w:r w:rsidR="00601373" w:rsidRPr="00834776">
        <w:rPr>
          <w:rFonts w:ascii="Cambria" w:hAnsi="Cambria"/>
          <w:color w:val="000000" w:themeColor="text1"/>
          <w:sz w:val="22"/>
        </w:rPr>
        <w:t>iki</w:t>
      </w:r>
      <w:r w:rsidRPr="00834776">
        <w:rPr>
          <w:rFonts w:ascii="Cambria" w:hAnsi="Cambria"/>
          <w:color w:val="000000" w:themeColor="text1"/>
          <w:sz w:val="22"/>
        </w:rPr>
        <w:t xml:space="preserve"> </w:t>
      </w:r>
      <w:r w:rsidR="006A121C" w:rsidRPr="00834776">
        <w:rPr>
          <w:rFonts w:ascii="Cambria" w:hAnsi="Cambria"/>
          <w:color w:val="000000" w:themeColor="text1"/>
          <w:sz w:val="22"/>
        </w:rPr>
        <w:t>boyutlu</w:t>
      </w:r>
      <w:r w:rsidRPr="00834776">
        <w:rPr>
          <w:rFonts w:ascii="Cambria" w:hAnsi="Cambria"/>
          <w:color w:val="000000" w:themeColor="text1"/>
          <w:sz w:val="22"/>
        </w:rPr>
        <w:t xml:space="preserve"> bir yapının elde edildiği görülmektedir. Bu </w:t>
      </w:r>
      <w:r w:rsidR="00E81635" w:rsidRPr="00834776">
        <w:rPr>
          <w:rFonts w:ascii="Cambria" w:hAnsi="Cambria"/>
          <w:color w:val="000000" w:themeColor="text1"/>
          <w:sz w:val="22"/>
        </w:rPr>
        <w:t>iki</w:t>
      </w:r>
      <w:r w:rsidRPr="00834776">
        <w:rPr>
          <w:rFonts w:ascii="Cambria" w:hAnsi="Cambria"/>
          <w:color w:val="000000" w:themeColor="text1"/>
          <w:sz w:val="22"/>
        </w:rPr>
        <w:t xml:space="preserve"> </w:t>
      </w:r>
      <w:r w:rsidR="006A121C" w:rsidRPr="00834776">
        <w:rPr>
          <w:rFonts w:ascii="Cambria" w:hAnsi="Cambria"/>
          <w:color w:val="000000" w:themeColor="text1"/>
          <w:sz w:val="22"/>
        </w:rPr>
        <w:t>boyutun</w:t>
      </w:r>
      <w:r w:rsidR="00E81635" w:rsidRPr="00834776">
        <w:rPr>
          <w:rFonts w:ascii="Cambria" w:hAnsi="Cambria"/>
          <w:color w:val="000000" w:themeColor="text1"/>
          <w:sz w:val="22"/>
        </w:rPr>
        <w:t xml:space="preserve"> açıkladığı toplam varyans %57.303</w:t>
      </w:r>
      <w:r w:rsidRPr="00834776">
        <w:rPr>
          <w:rFonts w:ascii="Cambria" w:hAnsi="Cambria"/>
          <w:color w:val="000000" w:themeColor="text1"/>
          <w:sz w:val="22"/>
        </w:rPr>
        <w:t>’d</w:t>
      </w:r>
      <w:r w:rsidR="00E81635" w:rsidRPr="00834776">
        <w:rPr>
          <w:rFonts w:ascii="Cambria" w:hAnsi="Cambria"/>
          <w:color w:val="000000" w:themeColor="text1"/>
          <w:sz w:val="22"/>
        </w:rPr>
        <w:t>ü</w:t>
      </w:r>
      <w:r w:rsidRPr="00834776">
        <w:rPr>
          <w:rFonts w:ascii="Cambria" w:hAnsi="Cambria"/>
          <w:color w:val="000000" w:themeColor="text1"/>
          <w:sz w:val="22"/>
        </w:rPr>
        <w:t xml:space="preserve">r. </w:t>
      </w:r>
      <w:r w:rsidR="00E81635" w:rsidRPr="00834776">
        <w:rPr>
          <w:rFonts w:ascii="Cambria" w:hAnsi="Cambria"/>
          <w:color w:val="000000" w:themeColor="text1"/>
          <w:sz w:val="22"/>
        </w:rPr>
        <w:t xml:space="preserve">Ölçekler için kabul edilebilir </w:t>
      </w:r>
      <w:r w:rsidRPr="00834776">
        <w:rPr>
          <w:rFonts w:ascii="Cambria" w:hAnsi="Cambria"/>
          <w:color w:val="000000" w:themeColor="text1"/>
          <w:sz w:val="22"/>
        </w:rPr>
        <w:t xml:space="preserve">varyans açıklama oranı </w:t>
      </w:r>
      <w:r w:rsidR="00E81635" w:rsidRPr="00834776">
        <w:rPr>
          <w:rFonts w:ascii="Cambria" w:hAnsi="Cambria"/>
          <w:color w:val="000000" w:themeColor="text1"/>
          <w:sz w:val="22"/>
        </w:rPr>
        <w:t xml:space="preserve">%50 </w:t>
      </w:r>
      <w:r w:rsidRPr="00834776">
        <w:rPr>
          <w:rFonts w:ascii="Cambria" w:hAnsi="Cambria"/>
          <w:color w:val="000000" w:themeColor="text1"/>
          <w:sz w:val="22"/>
        </w:rPr>
        <w:t xml:space="preserve">olarak belirtilmektedir (Beavers vd., 2013). </w:t>
      </w:r>
      <w:r w:rsidR="00601373" w:rsidRPr="00834776">
        <w:rPr>
          <w:rFonts w:ascii="Cambria" w:hAnsi="Cambria"/>
          <w:color w:val="000000" w:themeColor="text1"/>
          <w:sz w:val="22"/>
        </w:rPr>
        <w:t>Beş</w:t>
      </w:r>
      <w:r w:rsidRPr="00834776">
        <w:rPr>
          <w:rFonts w:ascii="Cambria" w:hAnsi="Cambria"/>
          <w:color w:val="000000" w:themeColor="text1"/>
          <w:sz w:val="22"/>
        </w:rPr>
        <w:t xml:space="preserve"> maddeden oluşan .6</w:t>
      </w:r>
      <w:r w:rsidR="00A53692" w:rsidRPr="00834776">
        <w:rPr>
          <w:rFonts w:ascii="Cambria" w:hAnsi="Cambria"/>
          <w:color w:val="000000" w:themeColor="text1"/>
          <w:sz w:val="22"/>
        </w:rPr>
        <w:t>08</w:t>
      </w:r>
      <w:r w:rsidRPr="00834776">
        <w:rPr>
          <w:rFonts w:ascii="Cambria" w:hAnsi="Cambria"/>
          <w:color w:val="000000" w:themeColor="text1"/>
          <w:sz w:val="22"/>
        </w:rPr>
        <w:t xml:space="preserve"> ile .85</w:t>
      </w:r>
      <w:r w:rsidR="00A53692" w:rsidRPr="00834776">
        <w:rPr>
          <w:rFonts w:ascii="Cambria" w:hAnsi="Cambria"/>
          <w:color w:val="000000" w:themeColor="text1"/>
          <w:sz w:val="22"/>
        </w:rPr>
        <w:t>6</w:t>
      </w:r>
      <w:r w:rsidRPr="00834776">
        <w:rPr>
          <w:rFonts w:ascii="Cambria" w:hAnsi="Cambria"/>
          <w:color w:val="000000" w:themeColor="text1"/>
          <w:sz w:val="22"/>
        </w:rPr>
        <w:t xml:space="preserve"> aralığında faktör yüklerine sahip ilk </w:t>
      </w:r>
      <w:r w:rsidR="006A121C" w:rsidRPr="00834776">
        <w:rPr>
          <w:rFonts w:ascii="Cambria" w:hAnsi="Cambria"/>
          <w:color w:val="000000" w:themeColor="text1"/>
          <w:sz w:val="22"/>
        </w:rPr>
        <w:t>boyut</w:t>
      </w:r>
      <w:r w:rsidR="00A53692" w:rsidRPr="00834776">
        <w:rPr>
          <w:rFonts w:ascii="Cambria" w:hAnsi="Cambria"/>
          <w:color w:val="000000" w:themeColor="text1"/>
          <w:sz w:val="22"/>
        </w:rPr>
        <w:t xml:space="preserve"> varyansın %41.3</w:t>
      </w:r>
      <w:r w:rsidRPr="00834776">
        <w:rPr>
          <w:rFonts w:ascii="Cambria" w:hAnsi="Cambria"/>
          <w:color w:val="000000" w:themeColor="text1"/>
          <w:sz w:val="22"/>
        </w:rPr>
        <w:t xml:space="preserve">80’ini ve </w:t>
      </w:r>
      <w:r w:rsidR="00DE71B0" w:rsidRPr="00834776">
        <w:rPr>
          <w:rFonts w:ascii="Cambria" w:hAnsi="Cambria"/>
          <w:color w:val="000000" w:themeColor="text1"/>
          <w:sz w:val="22"/>
        </w:rPr>
        <w:t>yedi</w:t>
      </w:r>
      <w:r w:rsidRPr="00834776">
        <w:rPr>
          <w:rFonts w:ascii="Cambria" w:hAnsi="Cambria"/>
          <w:color w:val="000000" w:themeColor="text1"/>
          <w:sz w:val="22"/>
        </w:rPr>
        <w:t xml:space="preserve"> maddeden oluşan .5</w:t>
      </w:r>
      <w:r w:rsidR="00A53692" w:rsidRPr="00834776">
        <w:rPr>
          <w:rFonts w:ascii="Cambria" w:hAnsi="Cambria"/>
          <w:color w:val="000000" w:themeColor="text1"/>
          <w:sz w:val="22"/>
        </w:rPr>
        <w:t>29</w:t>
      </w:r>
      <w:r w:rsidRPr="00834776">
        <w:rPr>
          <w:rFonts w:ascii="Cambria" w:hAnsi="Cambria"/>
          <w:color w:val="000000" w:themeColor="text1"/>
          <w:sz w:val="22"/>
        </w:rPr>
        <w:t xml:space="preserve"> ile .</w:t>
      </w:r>
      <w:r w:rsidR="00A53692" w:rsidRPr="00834776">
        <w:rPr>
          <w:rFonts w:ascii="Cambria" w:hAnsi="Cambria"/>
          <w:color w:val="000000" w:themeColor="text1"/>
          <w:sz w:val="22"/>
        </w:rPr>
        <w:t>853</w:t>
      </w:r>
      <w:r w:rsidRPr="00834776">
        <w:rPr>
          <w:rFonts w:ascii="Cambria" w:hAnsi="Cambria"/>
          <w:color w:val="000000" w:themeColor="text1"/>
          <w:sz w:val="22"/>
        </w:rPr>
        <w:t xml:space="preserve"> arasında faktör yüklerine sahip ikinci </w:t>
      </w:r>
      <w:r w:rsidR="006A121C" w:rsidRPr="00834776">
        <w:rPr>
          <w:rFonts w:ascii="Cambria" w:hAnsi="Cambria"/>
          <w:color w:val="000000" w:themeColor="text1"/>
          <w:sz w:val="22"/>
        </w:rPr>
        <w:t>boyut</w:t>
      </w:r>
      <w:r w:rsidRPr="00834776">
        <w:rPr>
          <w:rFonts w:ascii="Cambria" w:hAnsi="Cambria"/>
          <w:color w:val="000000" w:themeColor="text1"/>
          <w:sz w:val="22"/>
        </w:rPr>
        <w:t xml:space="preserve"> ise varyansın %1</w:t>
      </w:r>
      <w:r w:rsidR="00A53692" w:rsidRPr="00834776">
        <w:rPr>
          <w:rFonts w:ascii="Cambria" w:hAnsi="Cambria"/>
          <w:color w:val="000000" w:themeColor="text1"/>
          <w:sz w:val="22"/>
        </w:rPr>
        <w:t>5</w:t>
      </w:r>
      <w:r w:rsidRPr="00834776">
        <w:rPr>
          <w:rFonts w:ascii="Cambria" w:hAnsi="Cambria"/>
          <w:color w:val="000000" w:themeColor="text1"/>
          <w:sz w:val="22"/>
        </w:rPr>
        <w:t>.</w:t>
      </w:r>
      <w:r w:rsidR="00A53692" w:rsidRPr="00834776">
        <w:rPr>
          <w:rFonts w:ascii="Cambria" w:hAnsi="Cambria"/>
          <w:color w:val="000000" w:themeColor="text1"/>
          <w:sz w:val="22"/>
        </w:rPr>
        <w:t>923’ünü</w:t>
      </w:r>
      <w:r w:rsidRPr="00834776">
        <w:rPr>
          <w:rFonts w:ascii="Cambria" w:hAnsi="Cambria"/>
          <w:color w:val="000000" w:themeColor="text1"/>
          <w:sz w:val="22"/>
        </w:rPr>
        <w:t xml:space="preserve"> açıklamaktadır. Stevens (2009)’a göre madde faktör yük değerleri .40’ın üzerinde olmalıdır. Sonuçlar bu kriterleri destekler niteliktedir.</w:t>
      </w:r>
      <w:r w:rsidR="00F77C7A" w:rsidRPr="00834776">
        <w:rPr>
          <w:rFonts w:ascii="Cambria" w:hAnsi="Cambria"/>
          <w:color w:val="000000" w:themeColor="text1"/>
          <w:sz w:val="22"/>
        </w:rPr>
        <w:t xml:space="preserve"> Beş maddeden oluşan ilk boyut “Gelişim Sağlama ve İyilik”, yedi maddeden oluşan ikinci boyut ise “Şiddet Eğilimi ve Güç” olarak adlandırılmıştır.</w:t>
      </w:r>
    </w:p>
    <w:p w:rsidR="00FD353B" w:rsidRPr="00834776" w:rsidRDefault="00537BEA" w:rsidP="00834776">
      <w:pPr>
        <w:spacing w:before="120" w:after="120"/>
        <w:rPr>
          <w:rFonts w:ascii="Cambria" w:hAnsi="Cambria"/>
          <w:b/>
          <w:color w:val="000000" w:themeColor="text1"/>
          <w:sz w:val="22"/>
        </w:rPr>
      </w:pPr>
      <w:r w:rsidRPr="00834776">
        <w:rPr>
          <w:rFonts w:ascii="Cambria" w:hAnsi="Cambria"/>
          <w:b/>
          <w:color w:val="000000" w:themeColor="text1"/>
          <w:sz w:val="22"/>
        </w:rPr>
        <w:t xml:space="preserve">Ölçek Verilerinin </w:t>
      </w:r>
      <w:r w:rsidR="0063216E" w:rsidRPr="00834776">
        <w:rPr>
          <w:rFonts w:ascii="Cambria" w:hAnsi="Cambria"/>
          <w:b/>
          <w:color w:val="000000" w:themeColor="text1"/>
          <w:sz w:val="22"/>
        </w:rPr>
        <w:t>Madde Geçerliğine İlişkin Bulgular 1</w:t>
      </w:r>
    </w:p>
    <w:p w:rsidR="00FD353B" w:rsidRDefault="00A4473D" w:rsidP="00834776">
      <w:pPr>
        <w:ind w:firstLine="567"/>
        <w:jc w:val="both"/>
        <w:rPr>
          <w:rFonts w:ascii="Cambria" w:hAnsi="Cambria"/>
          <w:color w:val="000000" w:themeColor="text1"/>
          <w:sz w:val="22"/>
        </w:rPr>
      </w:pPr>
      <w:r w:rsidRPr="00834776">
        <w:rPr>
          <w:rFonts w:ascii="Cambria" w:hAnsi="Cambria"/>
          <w:color w:val="000000" w:themeColor="text1"/>
          <w:sz w:val="22"/>
        </w:rPr>
        <w:t>H</w:t>
      </w:r>
      <w:r w:rsidR="00FD353B" w:rsidRPr="00834776">
        <w:rPr>
          <w:rFonts w:ascii="Cambria" w:hAnsi="Cambria"/>
          <w:color w:val="000000" w:themeColor="text1"/>
          <w:sz w:val="22"/>
        </w:rPr>
        <w:t xml:space="preserve">er bir maddeden elde edilen puanlarla ölçek boyutlarından alınan toplam puan arasındaki düzeltilmiş korelasyonlar incelenmiştir. </w:t>
      </w:r>
      <w:r w:rsidR="009414E1" w:rsidRPr="00834776">
        <w:rPr>
          <w:rFonts w:ascii="Cambria" w:hAnsi="Cambria"/>
          <w:sz w:val="22"/>
        </w:rPr>
        <w:t xml:space="preserve">Madde ölçek </w:t>
      </w:r>
      <w:r w:rsidR="00874D2E" w:rsidRPr="00834776">
        <w:rPr>
          <w:rFonts w:ascii="Cambria" w:hAnsi="Cambria"/>
          <w:sz w:val="22"/>
        </w:rPr>
        <w:t>korelasyonlarına dayalı olarak boyutlarla</w:t>
      </w:r>
      <w:r w:rsidR="009414E1" w:rsidRPr="00834776">
        <w:rPr>
          <w:rFonts w:ascii="Cambria" w:hAnsi="Cambria"/>
          <w:sz w:val="22"/>
        </w:rPr>
        <w:t xml:space="preserve"> .30’un altında ilişki gösteren 1 madde (14. madde) ölçekten çıkarılmıştır.</w:t>
      </w:r>
      <w:r w:rsidR="009414E1" w:rsidRPr="00834776">
        <w:rPr>
          <w:sz w:val="22"/>
        </w:rPr>
        <w:t xml:space="preserve"> </w:t>
      </w:r>
      <w:r w:rsidR="00FD353B" w:rsidRPr="00834776">
        <w:rPr>
          <w:rFonts w:ascii="Cambria" w:hAnsi="Cambria"/>
          <w:color w:val="000000" w:themeColor="text1"/>
          <w:sz w:val="22"/>
        </w:rPr>
        <w:t>Her bir boyutta yer alan maddeler için düzeltilmiş madde ölçek korelasyonu değerleri Tablo 4’te gösterilmiştir.</w:t>
      </w:r>
    </w:p>
    <w:p w:rsidR="00834776" w:rsidRDefault="00834776" w:rsidP="00834776">
      <w:pPr>
        <w:ind w:firstLine="567"/>
        <w:jc w:val="both"/>
        <w:rPr>
          <w:rFonts w:ascii="Cambria" w:hAnsi="Cambria"/>
          <w:color w:val="000000" w:themeColor="text1"/>
          <w:sz w:val="22"/>
        </w:rPr>
      </w:pPr>
    </w:p>
    <w:p w:rsidR="00834776" w:rsidRDefault="00834776" w:rsidP="00834776">
      <w:pPr>
        <w:ind w:firstLine="567"/>
        <w:jc w:val="both"/>
        <w:rPr>
          <w:rFonts w:ascii="Cambria" w:hAnsi="Cambria"/>
          <w:color w:val="000000" w:themeColor="text1"/>
          <w:sz w:val="22"/>
        </w:rPr>
      </w:pPr>
    </w:p>
    <w:p w:rsidR="00834776" w:rsidRDefault="00834776" w:rsidP="00834776">
      <w:pPr>
        <w:ind w:firstLine="567"/>
        <w:jc w:val="both"/>
        <w:rPr>
          <w:rFonts w:ascii="Cambria" w:hAnsi="Cambria"/>
          <w:color w:val="000000" w:themeColor="text1"/>
          <w:sz w:val="22"/>
        </w:rPr>
      </w:pPr>
    </w:p>
    <w:p w:rsidR="00834776" w:rsidRDefault="00834776" w:rsidP="00834776">
      <w:pPr>
        <w:ind w:firstLine="567"/>
        <w:jc w:val="both"/>
        <w:rPr>
          <w:rFonts w:ascii="Cambria" w:hAnsi="Cambria"/>
          <w:color w:val="000000" w:themeColor="text1"/>
          <w:sz w:val="22"/>
        </w:rPr>
      </w:pPr>
    </w:p>
    <w:p w:rsidR="00834776" w:rsidRDefault="00834776" w:rsidP="00834776">
      <w:pPr>
        <w:ind w:firstLine="567"/>
        <w:jc w:val="both"/>
        <w:rPr>
          <w:rFonts w:ascii="Cambria" w:hAnsi="Cambria"/>
          <w:color w:val="000000" w:themeColor="text1"/>
          <w:sz w:val="22"/>
        </w:rPr>
      </w:pPr>
    </w:p>
    <w:p w:rsidR="00834776" w:rsidRDefault="00834776" w:rsidP="00834776">
      <w:pPr>
        <w:ind w:firstLine="567"/>
        <w:jc w:val="both"/>
        <w:rPr>
          <w:rFonts w:ascii="Cambria" w:hAnsi="Cambria"/>
          <w:color w:val="000000" w:themeColor="text1"/>
          <w:sz w:val="22"/>
        </w:rPr>
      </w:pPr>
    </w:p>
    <w:p w:rsidR="00834776" w:rsidRPr="00834776" w:rsidRDefault="00834776" w:rsidP="00834776">
      <w:pPr>
        <w:ind w:firstLine="567"/>
        <w:jc w:val="both"/>
        <w:rPr>
          <w:sz w:val="22"/>
        </w:rPr>
      </w:pPr>
    </w:p>
    <w:p w:rsidR="00FD353B" w:rsidRPr="00551B39" w:rsidRDefault="00FD353B" w:rsidP="00DA110F">
      <w:pPr>
        <w:rPr>
          <w:rFonts w:ascii="Cambria" w:hAnsi="Cambria"/>
          <w:color w:val="000000" w:themeColor="text1"/>
          <w:sz w:val="16"/>
        </w:rPr>
      </w:pPr>
    </w:p>
    <w:p w:rsidR="00FD353B" w:rsidRPr="00DA110F" w:rsidRDefault="00FD353B" w:rsidP="00834776">
      <w:pPr>
        <w:spacing w:after="120"/>
        <w:rPr>
          <w:rFonts w:ascii="Cambria" w:hAnsi="Cambria"/>
          <w:i/>
          <w:color w:val="000000" w:themeColor="text1"/>
          <w:sz w:val="20"/>
        </w:rPr>
      </w:pPr>
      <w:r w:rsidRPr="00DA110F">
        <w:rPr>
          <w:rFonts w:ascii="Cambria" w:hAnsi="Cambria"/>
          <w:b/>
          <w:color w:val="000000" w:themeColor="text1"/>
          <w:sz w:val="20"/>
        </w:rPr>
        <w:t>Tablo 4.</w:t>
      </w:r>
      <w:r w:rsidRPr="00DA110F">
        <w:rPr>
          <w:rFonts w:ascii="Cambria" w:hAnsi="Cambria"/>
          <w:i/>
          <w:color w:val="000000" w:themeColor="text1"/>
          <w:sz w:val="20"/>
        </w:rPr>
        <w:t xml:space="preserve"> Düzeltilmiş madde ölçek korelasyonları</w:t>
      </w:r>
    </w:p>
    <w:tbl>
      <w:tblPr>
        <w:tblW w:w="5000" w:type="pct"/>
        <w:jc w:val="center"/>
        <w:tblBorders>
          <w:top w:val="single" w:sz="4" w:space="0" w:color="auto"/>
          <w:bottom w:val="single" w:sz="4" w:space="0" w:color="auto"/>
        </w:tblBorders>
        <w:tblLook w:val="04A0" w:firstRow="1" w:lastRow="0" w:firstColumn="1" w:lastColumn="0" w:noHBand="0" w:noVBand="1"/>
      </w:tblPr>
      <w:tblGrid>
        <w:gridCol w:w="2277"/>
        <w:gridCol w:w="2259"/>
        <w:gridCol w:w="2277"/>
        <w:gridCol w:w="2259"/>
      </w:tblGrid>
      <w:tr w:rsidR="00FD353B" w:rsidRPr="00FD353B" w:rsidTr="00FD353B">
        <w:trPr>
          <w:jc w:val="center"/>
        </w:trPr>
        <w:tc>
          <w:tcPr>
            <w:tcW w:w="2500" w:type="pct"/>
            <w:gridSpan w:val="2"/>
            <w:tcBorders>
              <w:bottom w:val="single" w:sz="4" w:space="0" w:color="auto"/>
            </w:tcBorders>
            <w:shd w:val="clear" w:color="auto" w:fill="auto"/>
            <w:vAlign w:val="center"/>
          </w:tcPr>
          <w:p w:rsidR="00FD353B" w:rsidRPr="00FD353B" w:rsidRDefault="00FD353B" w:rsidP="009812AC">
            <w:pPr>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w:t>
            </w:r>
            <w:proofErr w:type="spellEnd"/>
            <w:r w:rsidRPr="00FD353B">
              <w:rPr>
                <w:rFonts w:ascii="Cambria" w:hAnsi="Cambria"/>
                <w:color w:val="000000" w:themeColor="text1"/>
                <w:sz w:val="20"/>
                <w:lang w:val="en-US"/>
              </w:rPr>
              <w:t xml:space="preserve"> 1</w:t>
            </w:r>
          </w:p>
        </w:tc>
        <w:tc>
          <w:tcPr>
            <w:tcW w:w="2500" w:type="pct"/>
            <w:gridSpan w:val="2"/>
            <w:tcBorders>
              <w:bottom w:val="single" w:sz="4" w:space="0" w:color="auto"/>
            </w:tcBorders>
            <w:shd w:val="clear" w:color="auto" w:fill="auto"/>
            <w:vAlign w:val="center"/>
          </w:tcPr>
          <w:p w:rsidR="00FD353B" w:rsidRPr="00FD353B" w:rsidRDefault="00FD353B" w:rsidP="009812AC">
            <w:pPr>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w:t>
            </w:r>
            <w:proofErr w:type="spellEnd"/>
            <w:r w:rsidRPr="00FD353B">
              <w:rPr>
                <w:rFonts w:ascii="Cambria" w:hAnsi="Cambria"/>
                <w:color w:val="000000" w:themeColor="text1"/>
                <w:sz w:val="20"/>
                <w:lang w:val="en-US"/>
              </w:rPr>
              <w:t xml:space="preserve"> 2</w:t>
            </w:r>
          </w:p>
        </w:tc>
      </w:tr>
      <w:tr w:rsidR="00FD353B" w:rsidRPr="00FD353B" w:rsidTr="00FD353B">
        <w:trPr>
          <w:jc w:val="center"/>
        </w:trPr>
        <w:tc>
          <w:tcPr>
            <w:tcW w:w="1255" w:type="pct"/>
            <w:tcBorders>
              <w:bottom w:val="single" w:sz="4" w:space="0" w:color="auto"/>
            </w:tcBorders>
            <w:shd w:val="clear" w:color="auto" w:fill="auto"/>
            <w:vAlign w:val="center"/>
          </w:tcPr>
          <w:p w:rsidR="00FD353B" w:rsidRPr="00FD353B" w:rsidRDefault="00FD353B" w:rsidP="009812AC">
            <w:pPr>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Madde</w:t>
            </w:r>
            <w:proofErr w:type="spellEnd"/>
          </w:p>
        </w:tc>
        <w:tc>
          <w:tcPr>
            <w:tcW w:w="1245" w:type="pct"/>
            <w:tcBorders>
              <w:bottom w:val="single" w:sz="4" w:space="0" w:color="auto"/>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r</w:t>
            </w:r>
          </w:p>
        </w:tc>
        <w:tc>
          <w:tcPr>
            <w:tcW w:w="1255" w:type="pct"/>
            <w:tcBorders>
              <w:bottom w:val="single" w:sz="4" w:space="0" w:color="auto"/>
            </w:tcBorders>
            <w:shd w:val="clear" w:color="auto" w:fill="auto"/>
            <w:vAlign w:val="center"/>
          </w:tcPr>
          <w:p w:rsidR="00FD353B" w:rsidRPr="00FD353B" w:rsidRDefault="00FD353B" w:rsidP="009812AC">
            <w:pPr>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Madde</w:t>
            </w:r>
            <w:proofErr w:type="spellEnd"/>
          </w:p>
        </w:tc>
        <w:tc>
          <w:tcPr>
            <w:tcW w:w="1245" w:type="pct"/>
            <w:tcBorders>
              <w:bottom w:val="single" w:sz="4" w:space="0" w:color="auto"/>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r</w:t>
            </w:r>
          </w:p>
        </w:tc>
      </w:tr>
      <w:tr w:rsidR="00FD353B" w:rsidRPr="00FD353B" w:rsidTr="00FD353B">
        <w:trPr>
          <w:jc w:val="center"/>
        </w:trPr>
        <w:tc>
          <w:tcPr>
            <w:tcW w:w="1255" w:type="pct"/>
            <w:tcBorders>
              <w:top w:val="single" w:sz="4" w:space="0" w:color="auto"/>
              <w:bottom w:val="nil"/>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4</w:t>
            </w:r>
          </w:p>
        </w:tc>
        <w:tc>
          <w:tcPr>
            <w:tcW w:w="1245" w:type="pct"/>
            <w:tcBorders>
              <w:top w:val="single" w:sz="4" w:space="0" w:color="auto"/>
              <w:bottom w:val="nil"/>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.490</w:t>
            </w:r>
          </w:p>
        </w:tc>
        <w:tc>
          <w:tcPr>
            <w:tcW w:w="1255" w:type="pct"/>
            <w:tcBorders>
              <w:top w:val="single" w:sz="4" w:space="0" w:color="auto"/>
              <w:bottom w:val="nil"/>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1</w:t>
            </w:r>
          </w:p>
        </w:tc>
        <w:tc>
          <w:tcPr>
            <w:tcW w:w="1245" w:type="pct"/>
            <w:tcBorders>
              <w:top w:val="single" w:sz="4" w:space="0" w:color="auto"/>
              <w:bottom w:val="nil"/>
            </w:tcBorders>
            <w:shd w:val="clear" w:color="auto" w:fill="auto"/>
            <w:vAlign w:val="center"/>
          </w:tcPr>
          <w:p w:rsidR="00FD353B" w:rsidRPr="00FD353B" w:rsidRDefault="00FD353B" w:rsidP="005C501F">
            <w:pPr>
              <w:jc w:val="center"/>
              <w:rPr>
                <w:rFonts w:ascii="Cambria" w:hAnsi="Cambria"/>
                <w:color w:val="000000" w:themeColor="text1"/>
                <w:sz w:val="20"/>
                <w:lang w:val="en-US"/>
              </w:rPr>
            </w:pPr>
            <w:r w:rsidRPr="00FD353B">
              <w:rPr>
                <w:rFonts w:ascii="Cambria" w:hAnsi="Cambria"/>
                <w:color w:val="000000" w:themeColor="text1"/>
                <w:sz w:val="20"/>
                <w:lang w:val="en-US"/>
              </w:rPr>
              <w:t>.</w:t>
            </w:r>
            <w:r w:rsidR="005C501F">
              <w:rPr>
                <w:rFonts w:ascii="Cambria" w:hAnsi="Cambria"/>
                <w:color w:val="000000" w:themeColor="text1"/>
                <w:sz w:val="20"/>
                <w:lang w:val="en-US"/>
              </w:rPr>
              <w:t>396</w:t>
            </w:r>
          </w:p>
        </w:tc>
      </w:tr>
      <w:tr w:rsidR="00FD353B" w:rsidRPr="00FD353B" w:rsidTr="00FD353B">
        <w:trPr>
          <w:jc w:val="center"/>
        </w:trPr>
        <w:tc>
          <w:tcPr>
            <w:tcW w:w="1255" w:type="pct"/>
            <w:tcBorders>
              <w:top w:val="nil"/>
              <w:bottom w:val="nil"/>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5</w:t>
            </w:r>
          </w:p>
        </w:tc>
        <w:tc>
          <w:tcPr>
            <w:tcW w:w="1245" w:type="pct"/>
            <w:tcBorders>
              <w:top w:val="nil"/>
              <w:bottom w:val="nil"/>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.440</w:t>
            </w:r>
          </w:p>
        </w:tc>
        <w:tc>
          <w:tcPr>
            <w:tcW w:w="1255" w:type="pct"/>
            <w:tcBorders>
              <w:top w:val="nil"/>
              <w:bottom w:val="nil"/>
            </w:tcBorders>
            <w:shd w:val="clear" w:color="auto" w:fill="auto"/>
            <w:vAlign w:val="center"/>
          </w:tcPr>
          <w:p w:rsidR="00FD353B" w:rsidRPr="00FD353B" w:rsidRDefault="00FD353B" w:rsidP="009812AC">
            <w:pPr>
              <w:jc w:val="center"/>
              <w:rPr>
                <w:rFonts w:ascii="Cambria" w:hAnsi="Cambria"/>
                <w:color w:val="000000" w:themeColor="text1"/>
                <w:sz w:val="20"/>
                <w:lang w:val="en-US"/>
              </w:rPr>
            </w:pPr>
            <w:r w:rsidRPr="00FD353B">
              <w:rPr>
                <w:rFonts w:ascii="Cambria" w:hAnsi="Cambria"/>
                <w:color w:val="000000" w:themeColor="text1"/>
                <w:sz w:val="20"/>
                <w:lang w:val="en-US"/>
              </w:rPr>
              <w:t>2</w:t>
            </w:r>
          </w:p>
        </w:tc>
        <w:tc>
          <w:tcPr>
            <w:tcW w:w="1245" w:type="pct"/>
            <w:tcBorders>
              <w:top w:val="nil"/>
              <w:bottom w:val="nil"/>
            </w:tcBorders>
            <w:shd w:val="clear" w:color="auto" w:fill="auto"/>
            <w:vAlign w:val="center"/>
          </w:tcPr>
          <w:p w:rsidR="00FD353B" w:rsidRPr="00FD353B" w:rsidRDefault="005C501F" w:rsidP="009812AC">
            <w:pPr>
              <w:jc w:val="center"/>
              <w:rPr>
                <w:rFonts w:ascii="Cambria" w:hAnsi="Cambria"/>
                <w:color w:val="000000" w:themeColor="text1"/>
                <w:sz w:val="20"/>
                <w:lang w:val="en-US"/>
              </w:rPr>
            </w:pPr>
            <w:r>
              <w:rPr>
                <w:rFonts w:ascii="Cambria" w:hAnsi="Cambria"/>
                <w:color w:val="000000" w:themeColor="text1"/>
                <w:sz w:val="20"/>
                <w:lang w:val="en-US"/>
              </w:rPr>
              <w:t>.472</w:t>
            </w:r>
          </w:p>
        </w:tc>
      </w:tr>
      <w:tr w:rsidR="00203F4D" w:rsidRPr="00FD353B" w:rsidTr="00FD353B">
        <w:trPr>
          <w:jc w:val="center"/>
        </w:trPr>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6</w:t>
            </w:r>
          </w:p>
        </w:tc>
        <w:tc>
          <w:tcPr>
            <w:tcW w:w="124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.563</w:t>
            </w:r>
          </w:p>
        </w:tc>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9</w:t>
            </w:r>
          </w:p>
        </w:tc>
        <w:tc>
          <w:tcPr>
            <w:tcW w:w="1245" w:type="pct"/>
            <w:tcBorders>
              <w:top w:val="nil"/>
              <w:bottom w:val="nil"/>
            </w:tcBorders>
            <w:shd w:val="clear" w:color="auto" w:fill="auto"/>
            <w:vAlign w:val="center"/>
          </w:tcPr>
          <w:p w:rsidR="00203F4D" w:rsidRPr="00FD353B" w:rsidRDefault="005C501F" w:rsidP="00203F4D">
            <w:pPr>
              <w:jc w:val="center"/>
              <w:rPr>
                <w:rFonts w:ascii="Cambria" w:hAnsi="Cambria"/>
                <w:color w:val="000000" w:themeColor="text1"/>
                <w:sz w:val="20"/>
                <w:lang w:val="en-US"/>
              </w:rPr>
            </w:pPr>
            <w:r>
              <w:rPr>
                <w:rFonts w:ascii="Cambria" w:hAnsi="Cambria"/>
                <w:color w:val="000000" w:themeColor="text1"/>
                <w:sz w:val="20"/>
                <w:lang w:val="en-US"/>
              </w:rPr>
              <w:t>.491</w:t>
            </w:r>
          </w:p>
        </w:tc>
      </w:tr>
      <w:tr w:rsidR="00203F4D" w:rsidRPr="00FD353B" w:rsidTr="00FD353B">
        <w:trPr>
          <w:jc w:val="center"/>
        </w:trPr>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7</w:t>
            </w:r>
          </w:p>
        </w:tc>
        <w:tc>
          <w:tcPr>
            <w:tcW w:w="124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.479</w:t>
            </w:r>
          </w:p>
        </w:tc>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11</w:t>
            </w:r>
          </w:p>
        </w:tc>
        <w:tc>
          <w:tcPr>
            <w:tcW w:w="1245" w:type="pct"/>
            <w:tcBorders>
              <w:top w:val="nil"/>
              <w:bottom w:val="nil"/>
            </w:tcBorders>
            <w:shd w:val="clear" w:color="auto" w:fill="auto"/>
            <w:vAlign w:val="center"/>
          </w:tcPr>
          <w:p w:rsidR="00203F4D" w:rsidRPr="00FD353B" w:rsidRDefault="005C501F" w:rsidP="00203F4D">
            <w:pPr>
              <w:jc w:val="center"/>
              <w:rPr>
                <w:rFonts w:ascii="Cambria" w:hAnsi="Cambria"/>
                <w:color w:val="000000" w:themeColor="text1"/>
                <w:sz w:val="20"/>
                <w:lang w:val="en-US"/>
              </w:rPr>
            </w:pPr>
            <w:r>
              <w:rPr>
                <w:rFonts w:ascii="Cambria" w:hAnsi="Cambria"/>
                <w:color w:val="000000" w:themeColor="text1"/>
                <w:sz w:val="20"/>
                <w:lang w:val="en-US"/>
              </w:rPr>
              <w:t>.450</w:t>
            </w:r>
          </w:p>
        </w:tc>
      </w:tr>
      <w:tr w:rsidR="00203F4D" w:rsidRPr="00FD353B" w:rsidTr="00FD353B">
        <w:trPr>
          <w:jc w:val="center"/>
        </w:trPr>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13</w:t>
            </w:r>
          </w:p>
        </w:tc>
        <w:tc>
          <w:tcPr>
            <w:tcW w:w="124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.441</w:t>
            </w:r>
          </w:p>
        </w:tc>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12</w:t>
            </w:r>
          </w:p>
        </w:tc>
        <w:tc>
          <w:tcPr>
            <w:tcW w:w="1245" w:type="pct"/>
            <w:tcBorders>
              <w:top w:val="nil"/>
              <w:bottom w:val="nil"/>
            </w:tcBorders>
            <w:shd w:val="clear" w:color="auto" w:fill="auto"/>
            <w:vAlign w:val="center"/>
          </w:tcPr>
          <w:p w:rsidR="00203F4D" w:rsidRPr="00FD353B" w:rsidRDefault="005C501F" w:rsidP="00203F4D">
            <w:pPr>
              <w:jc w:val="center"/>
              <w:rPr>
                <w:rFonts w:ascii="Cambria" w:hAnsi="Cambria"/>
                <w:color w:val="000000" w:themeColor="text1"/>
                <w:sz w:val="20"/>
                <w:lang w:val="en-US"/>
              </w:rPr>
            </w:pPr>
            <w:r>
              <w:rPr>
                <w:rFonts w:ascii="Cambria" w:hAnsi="Cambria"/>
                <w:color w:val="000000" w:themeColor="text1"/>
                <w:sz w:val="20"/>
                <w:lang w:val="en-US"/>
              </w:rPr>
              <w:t>.511</w:t>
            </w:r>
          </w:p>
        </w:tc>
      </w:tr>
      <w:tr w:rsidR="00203F4D" w:rsidRPr="00FD353B" w:rsidTr="00203F4D">
        <w:trPr>
          <w:jc w:val="center"/>
        </w:trPr>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p>
        </w:tc>
        <w:tc>
          <w:tcPr>
            <w:tcW w:w="124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p>
        </w:tc>
        <w:tc>
          <w:tcPr>
            <w:tcW w:w="1255" w:type="pct"/>
            <w:tcBorders>
              <w:top w:val="nil"/>
              <w:bottom w:val="nil"/>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15</w:t>
            </w:r>
          </w:p>
        </w:tc>
        <w:tc>
          <w:tcPr>
            <w:tcW w:w="1245" w:type="pct"/>
            <w:tcBorders>
              <w:top w:val="nil"/>
              <w:bottom w:val="nil"/>
            </w:tcBorders>
            <w:shd w:val="clear" w:color="auto" w:fill="auto"/>
            <w:vAlign w:val="center"/>
          </w:tcPr>
          <w:p w:rsidR="00203F4D" w:rsidRPr="00FD353B" w:rsidRDefault="005C501F" w:rsidP="00203F4D">
            <w:pPr>
              <w:jc w:val="center"/>
              <w:rPr>
                <w:rFonts w:ascii="Cambria" w:hAnsi="Cambria"/>
                <w:color w:val="000000" w:themeColor="text1"/>
                <w:sz w:val="20"/>
                <w:lang w:val="en-US"/>
              </w:rPr>
            </w:pPr>
            <w:r>
              <w:rPr>
                <w:rFonts w:ascii="Cambria" w:hAnsi="Cambria"/>
                <w:color w:val="000000" w:themeColor="text1"/>
                <w:sz w:val="20"/>
                <w:lang w:val="en-US"/>
              </w:rPr>
              <w:t>.559</w:t>
            </w:r>
          </w:p>
        </w:tc>
      </w:tr>
      <w:tr w:rsidR="00203F4D" w:rsidRPr="00FD353B" w:rsidTr="00203F4D">
        <w:trPr>
          <w:jc w:val="center"/>
        </w:trPr>
        <w:tc>
          <w:tcPr>
            <w:tcW w:w="1255" w:type="pct"/>
            <w:tcBorders>
              <w:top w:val="nil"/>
              <w:bottom w:val="single" w:sz="4" w:space="0" w:color="auto"/>
            </w:tcBorders>
            <w:shd w:val="clear" w:color="auto" w:fill="auto"/>
            <w:vAlign w:val="center"/>
          </w:tcPr>
          <w:p w:rsidR="00203F4D" w:rsidRPr="00FD353B" w:rsidRDefault="00203F4D" w:rsidP="00203F4D">
            <w:pPr>
              <w:jc w:val="center"/>
              <w:rPr>
                <w:rFonts w:ascii="Cambria" w:hAnsi="Cambria"/>
                <w:color w:val="000000" w:themeColor="text1"/>
                <w:sz w:val="20"/>
                <w:lang w:val="en-US"/>
              </w:rPr>
            </w:pPr>
          </w:p>
        </w:tc>
        <w:tc>
          <w:tcPr>
            <w:tcW w:w="1245" w:type="pct"/>
            <w:tcBorders>
              <w:top w:val="nil"/>
              <w:bottom w:val="single" w:sz="4" w:space="0" w:color="auto"/>
            </w:tcBorders>
            <w:shd w:val="clear" w:color="auto" w:fill="auto"/>
            <w:vAlign w:val="center"/>
          </w:tcPr>
          <w:p w:rsidR="00203F4D" w:rsidRPr="00FD353B" w:rsidRDefault="00203F4D" w:rsidP="00203F4D">
            <w:pPr>
              <w:jc w:val="center"/>
              <w:rPr>
                <w:rFonts w:ascii="Cambria" w:hAnsi="Cambria"/>
                <w:color w:val="000000" w:themeColor="text1"/>
                <w:sz w:val="20"/>
                <w:lang w:val="en-US"/>
              </w:rPr>
            </w:pPr>
          </w:p>
        </w:tc>
        <w:tc>
          <w:tcPr>
            <w:tcW w:w="1255" w:type="pct"/>
            <w:tcBorders>
              <w:top w:val="nil"/>
              <w:bottom w:val="single" w:sz="4" w:space="0" w:color="auto"/>
            </w:tcBorders>
            <w:shd w:val="clear" w:color="auto" w:fill="auto"/>
            <w:vAlign w:val="center"/>
          </w:tcPr>
          <w:p w:rsidR="00203F4D" w:rsidRPr="00FD353B" w:rsidRDefault="00203F4D" w:rsidP="00203F4D">
            <w:pPr>
              <w:jc w:val="center"/>
              <w:rPr>
                <w:rFonts w:ascii="Cambria" w:hAnsi="Cambria"/>
                <w:color w:val="000000" w:themeColor="text1"/>
                <w:sz w:val="20"/>
                <w:lang w:val="en-US"/>
              </w:rPr>
            </w:pPr>
            <w:r w:rsidRPr="00FD353B">
              <w:rPr>
                <w:rFonts w:ascii="Cambria" w:hAnsi="Cambria"/>
                <w:color w:val="000000" w:themeColor="text1"/>
                <w:sz w:val="20"/>
                <w:lang w:val="en-US"/>
              </w:rPr>
              <w:t>16</w:t>
            </w:r>
          </w:p>
        </w:tc>
        <w:tc>
          <w:tcPr>
            <w:tcW w:w="1245" w:type="pct"/>
            <w:tcBorders>
              <w:top w:val="nil"/>
              <w:bottom w:val="single" w:sz="4" w:space="0" w:color="auto"/>
            </w:tcBorders>
            <w:shd w:val="clear" w:color="auto" w:fill="auto"/>
            <w:vAlign w:val="center"/>
          </w:tcPr>
          <w:p w:rsidR="00203F4D" w:rsidRPr="00FD353B" w:rsidRDefault="005C501F" w:rsidP="00203F4D">
            <w:pPr>
              <w:jc w:val="center"/>
              <w:rPr>
                <w:rFonts w:ascii="Cambria" w:hAnsi="Cambria"/>
                <w:color w:val="000000" w:themeColor="text1"/>
                <w:sz w:val="20"/>
                <w:lang w:val="en-US"/>
              </w:rPr>
            </w:pPr>
            <w:r>
              <w:rPr>
                <w:rFonts w:ascii="Cambria" w:hAnsi="Cambria"/>
                <w:color w:val="000000" w:themeColor="text1"/>
                <w:sz w:val="20"/>
                <w:lang w:val="en-US"/>
              </w:rPr>
              <w:t>.402</w:t>
            </w:r>
          </w:p>
        </w:tc>
      </w:tr>
    </w:tbl>
    <w:p w:rsidR="00FD353B" w:rsidRPr="00FD353B" w:rsidRDefault="00FD353B" w:rsidP="00DA110F">
      <w:pPr>
        <w:rPr>
          <w:rFonts w:ascii="Cambria" w:hAnsi="Cambria"/>
          <w:color w:val="000000" w:themeColor="text1"/>
        </w:rPr>
      </w:pPr>
    </w:p>
    <w:p w:rsidR="00DA110F" w:rsidRPr="00834776" w:rsidRDefault="00FD353B" w:rsidP="00A97176">
      <w:pPr>
        <w:ind w:firstLine="567"/>
        <w:jc w:val="both"/>
        <w:rPr>
          <w:rFonts w:ascii="Cambria" w:hAnsi="Cambria"/>
          <w:color w:val="000000" w:themeColor="text1"/>
          <w:sz w:val="22"/>
        </w:rPr>
      </w:pPr>
      <w:r w:rsidRPr="00834776">
        <w:rPr>
          <w:rFonts w:ascii="Cambria" w:hAnsi="Cambria"/>
          <w:color w:val="000000" w:themeColor="text1"/>
          <w:sz w:val="22"/>
        </w:rPr>
        <w:t>Madde ölçek korelasyon katsayılarının boyut 1 için .440 ile .563 ve boyut 2 için .3</w:t>
      </w:r>
      <w:r w:rsidR="00874D2E" w:rsidRPr="00834776">
        <w:rPr>
          <w:rFonts w:ascii="Cambria" w:hAnsi="Cambria"/>
          <w:color w:val="000000" w:themeColor="text1"/>
          <w:sz w:val="22"/>
        </w:rPr>
        <w:t>96</w:t>
      </w:r>
      <w:r w:rsidRPr="00834776">
        <w:rPr>
          <w:rFonts w:ascii="Cambria" w:hAnsi="Cambria"/>
          <w:color w:val="000000" w:themeColor="text1"/>
          <w:sz w:val="22"/>
        </w:rPr>
        <w:t xml:space="preserve"> ile .5</w:t>
      </w:r>
      <w:r w:rsidR="00874D2E" w:rsidRPr="00834776">
        <w:rPr>
          <w:rFonts w:ascii="Cambria" w:hAnsi="Cambria"/>
          <w:color w:val="000000" w:themeColor="text1"/>
          <w:sz w:val="22"/>
        </w:rPr>
        <w:t>59</w:t>
      </w:r>
      <w:r w:rsidRPr="00834776">
        <w:rPr>
          <w:rFonts w:ascii="Cambria" w:hAnsi="Cambria"/>
          <w:color w:val="000000" w:themeColor="text1"/>
          <w:sz w:val="22"/>
        </w:rPr>
        <w:t xml:space="preserve"> arasında değişmekte olduğu görülmüştür. Buna göre her bir maddenin boyutlardan alınacak toplam puanlarla orta düzeyde bir ilişki iç</w:t>
      </w:r>
      <w:r w:rsidR="00A97176" w:rsidRPr="00834776">
        <w:rPr>
          <w:rFonts w:ascii="Cambria" w:hAnsi="Cambria"/>
          <w:color w:val="000000" w:themeColor="text1"/>
          <w:sz w:val="22"/>
        </w:rPr>
        <w:t>erisinde olduğu belirtilebilir.</w:t>
      </w:r>
    </w:p>
    <w:p w:rsidR="00FD353B" w:rsidRPr="00834776" w:rsidRDefault="00537BEA" w:rsidP="00A97176">
      <w:pPr>
        <w:spacing w:before="120" w:after="120"/>
        <w:rPr>
          <w:rFonts w:ascii="Cambria" w:hAnsi="Cambria"/>
          <w:b/>
          <w:color w:val="000000" w:themeColor="text1"/>
          <w:sz w:val="22"/>
        </w:rPr>
      </w:pPr>
      <w:r w:rsidRPr="00834776">
        <w:rPr>
          <w:rFonts w:ascii="Cambria" w:hAnsi="Cambria"/>
          <w:b/>
          <w:color w:val="000000" w:themeColor="text1"/>
          <w:sz w:val="22"/>
        </w:rPr>
        <w:t xml:space="preserve">Ölçek Verilerinin </w:t>
      </w:r>
      <w:r w:rsidR="00FD353B" w:rsidRPr="00834776">
        <w:rPr>
          <w:rFonts w:ascii="Cambria" w:hAnsi="Cambria"/>
          <w:b/>
          <w:color w:val="000000" w:themeColor="text1"/>
          <w:sz w:val="22"/>
        </w:rPr>
        <w:t>Madde Geçerliği</w:t>
      </w:r>
      <w:r w:rsidR="0063216E" w:rsidRPr="00834776">
        <w:rPr>
          <w:rFonts w:ascii="Cambria" w:hAnsi="Cambria"/>
          <w:b/>
          <w:color w:val="000000" w:themeColor="text1"/>
          <w:sz w:val="22"/>
        </w:rPr>
        <w:t>ne İlişkin Bulgular 2</w:t>
      </w:r>
    </w:p>
    <w:p w:rsidR="00FD353B" w:rsidRPr="00834776" w:rsidRDefault="00FD353B" w:rsidP="00834776">
      <w:pPr>
        <w:ind w:firstLine="567"/>
        <w:jc w:val="both"/>
        <w:rPr>
          <w:rFonts w:ascii="Cambria" w:hAnsi="Cambria"/>
          <w:color w:val="000000" w:themeColor="text1"/>
          <w:sz w:val="22"/>
        </w:rPr>
      </w:pPr>
      <w:r w:rsidRPr="00834776">
        <w:rPr>
          <w:rFonts w:ascii="Cambria" w:hAnsi="Cambria"/>
          <w:color w:val="000000" w:themeColor="text1"/>
          <w:sz w:val="22"/>
        </w:rPr>
        <w:t>Alt grup - üst grup ortalamalarının karşılaştırılmasına dayalı madde analizi sürecinde en düşük puana sahip %27’lik kesim (63 katılımcı) alt grup, en yüksek puana sahip %27’lik kesim (63 katılımcı) ise üst grup şeklinde tanımlanmıştır. Her bir madde için üst gruptan ve alt gruptan elde edilen puan ortalamaları arasındaki fark ilişkisiz örneklemler için t testi ile incelenmiş ve sonuçlar Tablo 5’de özetlenmiştir.</w:t>
      </w:r>
    </w:p>
    <w:p w:rsidR="00FD353B" w:rsidRPr="00DA110F" w:rsidRDefault="00FD353B" w:rsidP="00834776">
      <w:pPr>
        <w:spacing w:before="120" w:after="120"/>
        <w:rPr>
          <w:rFonts w:ascii="Cambria" w:hAnsi="Cambria"/>
          <w:i/>
          <w:color w:val="000000" w:themeColor="text1"/>
          <w:sz w:val="20"/>
        </w:rPr>
      </w:pPr>
      <w:r w:rsidRPr="00DA110F">
        <w:rPr>
          <w:rFonts w:ascii="Cambria" w:hAnsi="Cambria"/>
          <w:b/>
          <w:color w:val="000000" w:themeColor="text1"/>
          <w:sz w:val="20"/>
        </w:rPr>
        <w:t>Tablo 5.</w:t>
      </w:r>
      <w:r w:rsidRPr="00DA110F">
        <w:rPr>
          <w:rFonts w:ascii="Cambria" w:hAnsi="Cambria"/>
          <w:i/>
          <w:color w:val="000000" w:themeColor="text1"/>
          <w:sz w:val="20"/>
        </w:rPr>
        <w:t xml:space="preserve"> </w:t>
      </w:r>
      <w:r w:rsidRPr="00DA110F">
        <w:rPr>
          <w:rFonts w:ascii="Cambria" w:hAnsi="Cambria"/>
          <w:i/>
          <w:color w:val="000000" w:themeColor="text1"/>
          <w:sz w:val="20"/>
          <w:lang w:val="en-US"/>
        </w:rPr>
        <w:t xml:space="preserve">Alt </w:t>
      </w:r>
      <w:proofErr w:type="spellStart"/>
      <w:r w:rsidRPr="00DA110F">
        <w:rPr>
          <w:rFonts w:ascii="Cambria" w:hAnsi="Cambria"/>
          <w:i/>
          <w:color w:val="000000" w:themeColor="text1"/>
          <w:sz w:val="20"/>
          <w:lang w:val="en-US"/>
        </w:rPr>
        <w:t>Grup</w:t>
      </w:r>
      <w:proofErr w:type="spellEnd"/>
      <w:r w:rsidRPr="00DA110F">
        <w:rPr>
          <w:rFonts w:ascii="Cambria" w:hAnsi="Cambria"/>
          <w:i/>
          <w:color w:val="000000" w:themeColor="text1"/>
          <w:sz w:val="20"/>
          <w:lang w:val="en-US"/>
        </w:rPr>
        <w:t xml:space="preserve"> – </w:t>
      </w:r>
      <w:proofErr w:type="spellStart"/>
      <w:r w:rsidRPr="00DA110F">
        <w:rPr>
          <w:rFonts w:ascii="Cambria" w:hAnsi="Cambria"/>
          <w:i/>
          <w:color w:val="000000" w:themeColor="text1"/>
          <w:sz w:val="20"/>
          <w:lang w:val="en-US"/>
        </w:rPr>
        <w:t>üst</w:t>
      </w:r>
      <w:proofErr w:type="spellEnd"/>
      <w:r w:rsidRPr="00DA110F">
        <w:rPr>
          <w:rFonts w:ascii="Cambria" w:hAnsi="Cambria"/>
          <w:i/>
          <w:color w:val="000000" w:themeColor="text1"/>
          <w:sz w:val="20"/>
          <w:lang w:val="en-US"/>
        </w:rPr>
        <w:t xml:space="preserve"> </w:t>
      </w:r>
      <w:proofErr w:type="spellStart"/>
      <w:r w:rsidRPr="00DA110F">
        <w:rPr>
          <w:rFonts w:ascii="Cambria" w:hAnsi="Cambria"/>
          <w:i/>
          <w:color w:val="000000" w:themeColor="text1"/>
          <w:sz w:val="20"/>
          <w:lang w:val="en-US"/>
        </w:rPr>
        <w:t>grup</w:t>
      </w:r>
      <w:proofErr w:type="spellEnd"/>
      <w:r w:rsidRPr="00DA110F">
        <w:rPr>
          <w:rFonts w:ascii="Cambria" w:hAnsi="Cambria"/>
          <w:i/>
          <w:color w:val="000000" w:themeColor="text1"/>
          <w:sz w:val="20"/>
          <w:lang w:val="en-US"/>
        </w:rPr>
        <w:t xml:space="preserve"> </w:t>
      </w:r>
      <w:proofErr w:type="spellStart"/>
      <w:r w:rsidRPr="00DA110F">
        <w:rPr>
          <w:rFonts w:ascii="Cambria" w:hAnsi="Cambria"/>
          <w:i/>
          <w:color w:val="000000" w:themeColor="text1"/>
          <w:sz w:val="20"/>
          <w:lang w:val="en-US"/>
        </w:rPr>
        <w:t>ortalamalarına</w:t>
      </w:r>
      <w:proofErr w:type="spellEnd"/>
      <w:r w:rsidRPr="00DA110F">
        <w:rPr>
          <w:rFonts w:ascii="Cambria" w:hAnsi="Cambria"/>
          <w:i/>
          <w:color w:val="000000" w:themeColor="text1"/>
          <w:sz w:val="20"/>
          <w:lang w:val="en-US"/>
        </w:rPr>
        <w:t xml:space="preserve"> </w:t>
      </w:r>
      <w:proofErr w:type="spellStart"/>
      <w:r w:rsidRPr="00DA110F">
        <w:rPr>
          <w:rFonts w:ascii="Cambria" w:hAnsi="Cambria"/>
          <w:i/>
          <w:color w:val="000000" w:themeColor="text1"/>
          <w:sz w:val="20"/>
          <w:lang w:val="en-US"/>
        </w:rPr>
        <w:t>ilişkin</w:t>
      </w:r>
      <w:proofErr w:type="spellEnd"/>
      <w:r w:rsidRPr="00DA110F">
        <w:rPr>
          <w:rFonts w:ascii="Cambria" w:hAnsi="Cambria"/>
          <w:i/>
          <w:color w:val="000000" w:themeColor="text1"/>
          <w:sz w:val="20"/>
          <w:lang w:val="en-US"/>
        </w:rPr>
        <w:t xml:space="preserve"> </w:t>
      </w:r>
      <w:proofErr w:type="spellStart"/>
      <w:r w:rsidRPr="00DA110F">
        <w:rPr>
          <w:rFonts w:ascii="Cambria" w:hAnsi="Cambria"/>
          <w:i/>
          <w:color w:val="000000" w:themeColor="text1"/>
          <w:sz w:val="20"/>
          <w:lang w:val="en-US"/>
        </w:rPr>
        <w:t>bağımsız</w:t>
      </w:r>
      <w:proofErr w:type="spellEnd"/>
      <w:r w:rsidRPr="00DA110F">
        <w:rPr>
          <w:rFonts w:ascii="Cambria" w:hAnsi="Cambria"/>
          <w:i/>
          <w:color w:val="000000" w:themeColor="text1"/>
          <w:sz w:val="20"/>
          <w:lang w:val="en-US"/>
        </w:rPr>
        <w:t xml:space="preserve"> </w:t>
      </w:r>
      <w:proofErr w:type="spellStart"/>
      <w:r w:rsidRPr="00DA110F">
        <w:rPr>
          <w:rFonts w:ascii="Cambria" w:hAnsi="Cambria"/>
          <w:i/>
          <w:color w:val="000000" w:themeColor="text1"/>
          <w:sz w:val="20"/>
          <w:lang w:val="en-US"/>
        </w:rPr>
        <w:t>örneklemler</w:t>
      </w:r>
      <w:proofErr w:type="spellEnd"/>
      <w:r w:rsidRPr="00DA110F">
        <w:rPr>
          <w:rFonts w:ascii="Cambria" w:hAnsi="Cambria"/>
          <w:i/>
          <w:color w:val="000000" w:themeColor="text1"/>
          <w:sz w:val="20"/>
          <w:lang w:val="en-US"/>
        </w:rPr>
        <w:t xml:space="preserve"> t </w:t>
      </w:r>
      <w:proofErr w:type="spellStart"/>
      <w:r w:rsidRPr="00DA110F">
        <w:rPr>
          <w:rFonts w:ascii="Cambria" w:hAnsi="Cambria"/>
          <w:i/>
          <w:color w:val="000000" w:themeColor="text1"/>
          <w:sz w:val="20"/>
          <w:lang w:val="en-US"/>
        </w:rPr>
        <w:t>testi</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2167"/>
        <w:gridCol w:w="2088"/>
        <w:gridCol w:w="2549"/>
        <w:gridCol w:w="2268"/>
      </w:tblGrid>
      <w:tr w:rsidR="00FD353B" w:rsidRPr="00FD353B" w:rsidTr="00884FA4">
        <w:tc>
          <w:tcPr>
            <w:tcW w:w="2345" w:type="pct"/>
            <w:gridSpan w:val="2"/>
            <w:shd w:val="clear" w:color="auto" w:fill="auto"/>
            <w:vAlign w:val="center"/>
          </w:tcPr>
          <w:p w:rsidR="00FD353B" w:rsidRPr="00FD353B" w:rsidRDefault="00FD353B" w:rsidP="009812AC">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w:t>
            </w:r>
            <w:proofErr w:type="spellEnd"/>
            <w:r w:rsidRPr="00FD353B">
              <w:rPr>
                <w:rFonts w:ascii="Cambria" w:hAnsi="Cambria"/>
                <w:color w:val="000000" w:themeColor="text1"/>
                <w:sz w:val="20"/>
                <w:lang w:val="en-US"/>
              </w:rPr>
              <w:t xml:space="preserve"> 1</w:t>
            </w:r>
          </w:p>
        </w:tc>
        <w:tc>
          <w:tcPr>
            <w:tcW w:w="2655" w:type="pct"/>
            <w:gridSpan w:val="2"/>
            <w:shd w:val="clear" w:color="auto" w:fill="auto"/>
            <w:vAlign w:val="center"/>
          </w:tcPr>
          <w:p w:rsidR="00FD353B" w:rsidRPr="00FD353B" w:rsidRDefault="00FD353B" w:rsidP="009812AC">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w:t>
            </w:r>
            <w:proofErr w:type="spellEnd"/>
            <w:r w:rsidRPr="00FD353B">
              <w:rPr>
                <w:rFonts w:ascii="Cambria" w:hAnsi="Cambria"/>
                <w:color w:val="000000" w:themeColor="text1"/>
                <w:sz w:val="20"/>
                <w:lang w:val="en-US"/>
              </w:rPr>
              <w:t xml:space="preserve"> 2</w:t>
            </w:r>
          </w:p>
        </w:tc>
      </w:tr>
      <w:tr w:rsidR="00FD353B" w:rsidRPr="00FD353B" w:rsidTr="00884FA4">
        <w:tc>
          <w:tcPr>
            <w:tcW w:w="1194"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proofErr w:type="spellStart"/>
            <w:r w:rsidRPr="00FD353B">
              <w:rPr>
                <w:rFonts w:ascii="Cambria" w:hAnsi="Cambria"/>
                <w:color w:val="000000" w:themeColor="text1"/>
                <w:sz w:val="20"/>
                <w:lang w:val="en-US"/>
              </w:rPr>
              <w:t>Madde</w:t>
            </w:r>
            <w:proofErr w:type="spellEnd"/>
            <w:r w:rsidRPr="00FD353B">
              <w:rPr>
                <w:rFonts w:ascii="Cambria" w:hAnsi="Cambria"/>
                <w:color w:val="000000" w:themeColor="text1"/>
                <w:sz w:val="20"/>
                <w:lang w:val="en-US"/>
              </w:rPr>
              <w:t xml:space="preserve"> No</w:t>
            </w:r>
          </w:p>
        </w:tc>
        <w:tc>
          <w:tcPr>
            <w:tcW w:w="1151"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t</w:t>
            </w:r>
          </w:p>
        </w:tc>
        <w:tc>
          <w:tcPr>
            <w:tcW w:w="1405"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proofErr w:type="spellStart"/>
            <w:r w:rsidRPr="00FD353B">
              <w:rPr>
                <w:rFonts w:ascii="Cambria" w:hAnsi="Cambria"/>
                <w:color w:val="000000" w:themeColor="text1"/>
                <w:sz w:val="20"/>
                <w:lang w:val="en-US"/>
              </w:rPr>
              <w:t>Madde</w:t>
            </w:r>
            <w:proofErr w:type="spellEnd"/>
            <w:r w:rsidRPr="00FD353B">
              <w:rPr>
                <w:rFonts w:ascii="Cambria" w:hAnsi="Cambria"/>
                <w:color w:val="000000" w:themeColor="text1"/>
                <w:sz w:val="20"/>
                <w:lang w:val="en-US"/>
              </w:rPr>
              <w:t xml:space="preserve"> No</w:t>
            </w:r>
          </w:p>
        </w:tc>
        <w:tc>
          <w:tcPr>
            <w:tcW w:w="1250"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t</w:t>
            </w:r>
          </w:p>
        </w:tc>
      </w:tr>
      <w:tr w:rsidR="00FD353B" w:rsidRPr="00FD353B" w:rsidTr="00884FA4">
        <w:tc>
          <w:tcPr>
            <w:tcW w:w="1194"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4</w:t>
            </w:r>
          </w:p>
        </w:tc>
        <w:tc>
          <w:tcPr>
            <w:tcW w:w="1151" w:type="pct"/>
            <w:shd w:val="clear" w:color="auto" w:fill="auto"/>
            <w:vAlign w:val="center"/>
          </w:tcPr>
          <w:p w:rsidR="00FD353B" w:rsidRPr="00FD353B" w:rsidRDefault="006D694E" w:rsidP="006D694E">
            <w:pPr>
              <w:contextualSpacing/>
              <w:jc w:val="right"/>
              <w:rPr>
                <w:rFonts w:ascii="Cambria" w:hAnsi="Cambria"/>
                <w:color w:val="000000" w:themeColor="text1"/>
                <w:sz w:val="20"/>
                <w:lang w:val="en-US"/>
              </w:rPr>
            </w:pPr>
            <w:r>
              <w:rPr>
                <w:rFonts w:ascii="Cambria" w:hAnsi="Cambria"/>
                <w:color w:val="000000" w:themeColor="text1"/>
                <w:sz w:val="20"/>
                <w:lang w:val="en-US"/>
              </w:rPr>
              <w:t>-7.625*</w:t>
            </w:r>
          </w:p>
        </w:tc>
        <w:tc>
          <w:tcPr>
            <w:tcW w:w="1405"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1</w:t>
            </w:r>
          </w:p>
        </w:tc>
        <w:tc>
          <w:tcPr>
            <w:tcW w:w="1250" w:type="pct"/>
            <w:shd w:val="clear" w:color="auto" w:fill="auto"/>
            <w:vAlign w:val="center"/>
          </w:tcPr>
          <w:p w:rsidR="00FD353B" w:rsidRPr="00FD353B" w:rsidRDefault="006D694E" w:rsidP="006D694E">
            <w:pPr>
              <w:contextualSpacing/>
              <w:jc w:val="right"/>
              <w:rPr>
                <w:rFonts w:ascii="Cambria" w:hAnsi="Cambria"/>
                <w:color w:val="000000" w:themeColor="text1"/>
                <w:sz w:val="20"/>
                <w:lang w:val="en-US"/>
              </w:rPr>
            </w:pPr>
            <w:r>
              <w:rPr>
                <w:rFonts w:ascii="Cambria" w:hAnsi="Cambria"/>
                <w:color w:val="000000" w:themeColor="text1"/>
                <w:sz w:val="20"/>
                <w:lang w:val="en-US"/>
              </w:rPr>
              <w:t>-6.474*</w:t>
            </w:r>
          </w:p>
        </w:tc>
      </w:tr>
      <w:tr w:rsidR="00FD353B" w:rsidRPr="00FD353B" w:rsidTr="00884FA4">
        <w:tc>
          <w:tcPr>
            <w:tcW w:w="1194"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5</w:t>
            </w:r>
          </w:p>
        </w:tc>
        <w:tc>
          <w:tcPr>
            <w:tcW w:w="1151" w:type="pct"/>
            <w:shd w:val="clear" w:color="auto" w:fill="auto"/>
            <w:vAlign w:val="center"/>
          </w:tcPr>
          <w:p w:rsidR="00FD353B" w:rsidRPr="00FD353B" w:rsidRDefault="006D694E" w:rsidP="006D694E">
            <w:pPr>
              <w:contextualSpacing/>
              <w:jc w:val="right"/>
              <w:rPr>
                <w:rFonts w:ascii="Cambria" w:hAnsi="Cambria"/>
                <w:color w:val="000000" w:themeColor="text1"/>
                <w:sz w:val="20"/>
                <w:lang w:val="en-US"/>
              </w:rPr>
            </w:pPr>
            <w:r>
              <w:rPr>
                <w:rFonts w:ascii="Cambria" w:hAnsi="Cambria"/>
                <w:color w:val="000000" w:themeColor="text1"/>
                <w:sz w:val="20"/>
                <w:lang w:val="en-US"/>
              </w:rPr>
              <w:t>-5.372*</w:t>
            </w:r>
          </w:p>
        </w:tc>
        <w:tc>
          <w:tcPr>
            <w:tcW w:w="1405" w:type="pct"/>
            <w:shd w:val="clear" w:color="auto" w:fill="auto"/>
            <w:vAlign w:val="center"/>
          </w:tcPr>
          <w:p w:rsidR="00FD353B" w:rsidRPr="00FD353B" w:rsidRDefault="00FD353B" w:rsidP="006D694E">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2</w:t>
            </w:r>
          </w:p>
        </w:tc>
        <w:tc>
          <w:tcPr>
            <w:tcW w:w="1250" w:type="pct"/>
            <w:shd w:val="clear" w:color="auto" w:fill="auto"/>
            <w:vAlign w:val="center"/>
          </w:tcPr>
          <w:p w:rsidR="00FD353B" w:rsidRPr="00FD353B" w:rsidRDefault="006D694E" w:rsidP="006D694E">
            <w:pPr>
              <w:contextualSpacing/>
              <w:jc w:val="right"/>
              <w:rPr>
                <w:rFonts w:ascii="Cambria" w:hAnsi="Cambria"/>
                <w:color w:val="000000" w:themeColor="text1"/>
                <w:sz w:val="20"/>
                <w:lang w:val="en-US"/>
              </w:rPr>
            </w:pPr>
            <w:r>
              <w:rPr>
                <w:rFonts w:ascii="Cambria" w:hAnsi="Cambria"/>
                <w:color w:val="000000" w:themeColor="text1"/>
                <w:sz w:val="20"/>
                <w:lang w:val="en-US"/>
              </w:rPr>
              <w:t>-11.844*</w:t>
            </w:r>
          </w:p>
        </w:tc>
      </w:tr>
      <w:tr w:rsidR="00EB15B4" w:rsidRPr="00FD353B" w:rsidTr="00884FA4">
        <w:tc>
          <w:tcPr>
            <w:tcW w:w="1194"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6</w:t>
            </w:r>
          </w:p>
        </w:tc>
        <w:tc>
          <w:tcPr>
            <w:tcW w:w="1151"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-8.078*</w:t>
            </w:r>
          </w:p>
        </w:tc>
        <w:tc>
          <w:tcPr>
            <w:tcW w:w="1405"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9</w:t>
            </w:r>
          </w:p>
        </w:tc>
        <w:tc>
          <w:tcPr>
            <w:tcW w:w="1250"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-11.749*</w:t>
            </w:r>
          </w:p>
        </w:tc>
      </w:tr>
      <w:tr w:rsidR="00EB15B4" w:rsidRPr="00FD353B" w:rsidTr="00884FA4">
        <w:tc>
          <w:tcPr>
            <w:tcW w:w="1194"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7</w:t>
            </w:r>
          </w:p>
        </w:tc>
        <w:tc>
          <w:tcPr>
            <w:tcW w:w="1151"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-9.899*</w:t>
            </w:r>
          </w:p>
        </w:tc>
        <w:tc>
          <w:tcPr>
            <w:tcW w:w="1405"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11</w:t>
            </w:r>
          </w:p>
        </w:tc>
        <w:tc>
          <w:tcPr>
            <w:tcW w:w="1250"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-8.738*</w:t>
            </w:r>
          </w:p>
        </w:tc>
      </w:tr>
      <w:tr w:rsidR="00EB15B4" w:rsidRPr="00FD353B" w:rsidTr="00884FA4">
        <w:tc>
          <w:tcPr>
            <w:tcW w:w="1194"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13</w:t>
            </w:r>
          </w:p>
        </w:tc>
        <w:tc>
          <w:tcPr>
            <w:tcW w:w="1151"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-6.965*</w:t>
            </w:r>
          </w:p>
        </w:tc>
        <w:tc>
          <w:tcPr>
            <w:tcW w:w="1405"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12</w:t>
            </w:r>
          </w:p>
        </w:tc>
        <w:tc>
          <w:tcPr>
            <w:tcW w:w="1250"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-13.744*</w:t>
            </w:r>
          </w:p>
        </w:tc>
      </w:tr>
      <w:tr w:rsidR="00EB15B4" w:rsidRPr="00FD353B" w:rsidTr="00884FA4">
        <w:tc>
          <w:tcPr>
            <w:tcW w:w="1194" w:type="pct"/>
            <w:shd w:val="clear" w:color="auto" w:fill="auto"/>
            <w:vAlign w:val="center"/>
          </w:tcPr>
          <w:p w:rsidR="00EB15B4" w:rsidRPr="00FD353B" w:rsidRDefault="00EB15B4" w:rsidP="00EB15B4">
            <w:pPr>
              <w:contextualSpacing/>
              <w:jc w:val="center"/>
              <w:rPr>
                <w:rFonts w:ascii="Cambria" w:hAnsi="Cambria"/>
                <w:color w:val="000000" w:themeColor="text1"/>
                <w:sz w:val="20"/>
                <w:lang w:val="en-US"/>
              </w:rPr>
            </w:pPr>
          </w:p>
        </w:tc>
        <w:tc>
          <w:tcPr>
            <w:tcW w:w="1151" w:type="pct"/>
            <w:shd w:val="clear" w:color="auto" w:fill="auto"/>
            <w:vAlign w:val="center"/>
          </w:tcPr>
          <w:p w:rsidR="00EB15B4" w:rsidRPr="00FD353B" w:rsidRDefault="00EB15B4" w:rsidP="00EB15B4">
            <w:pPr>
              <w:contextualSpacing/>
              <w:jc w:val="center"/>
              <w:rPr>
                <w:rFonts w:ascii="Cambria" w:hAnsi="Cambria"/>
                <w:color w:val="000000" w:themeColor="text1"/>
                <w:sz w:val="20"/>
                <w:lang w:val="en-US"/>
              </w:rPr>
            </w:pPr>
          </w:p>
        </w:tc>
        <w:tc>
          <w:tcPr>
            <w:tcW w:w="1405"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15</w:t>
            </w:r>
          </w:p>
        </w:tc>
        <w:tc>
          <w:tcPr>
            <w:tcW w:w="1250"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-13.313*</w:t>
            </w:r>
          </w:p>
        </w:tc>
      </w:tr>
      <w:tr w:rsidR="00EB15B4" w:rsidRPr="00FD353B" w:rsidTr="00884FA4">
        <w:trPr>
          <w:trHeight w:val="80"/>
        </w:trPr>
        <w:tc>
          <w:tcPr>
            <w:tcW w:w="1194" w:type="pct"/>
            <w:shd w:val="clear" w:color="auto" w:fill="auto"/>
            <w:vAlign w:val="center"/>
          </w:tcPr>
          <w:p w:rsidR="00EB15B4" w:rsidRPr="00FD353B" w:rsidRDefault="00EB15B4" w:rsidP="00EB15B4">
            <w:pPr>
              <w:contextualSpacing/>
              <w:jc w:val="center"/>
              <w:rPr>
                <w:rFonts w:ascii="Cambria" w:hAnsi="Cambria"/>
                <w:color w:val="000000" w:themeColor="text1"/>
                <w:sz w:val="20"/>
                <w:lang w:val="en-US"/>
              </w:rPr>
            </w:pPr>
          </w:p>
        </w:tc>
        <w:tc>
          <w:tcPr>
            <w:tcW w:w="1151" w:type="pct"/>
            <w:shd w:val="clear" w:color="auto" w:fill="auto"/>
            <w:vAlign w:val="center"/>
          </w:tcPr>
          <w:p w:rsidR="00EB15B4" w:rsidRPr="00FD353B" w:rsidRDefault="00EB15B4" w:rsidP="00EB15B4">
            <w:pPr>
              <w:contextualSpacing/>
              <w:jc w:val="center"/>
              <w:rPr>
                <w:rFonts w:ascii="Cambria" w:hAnsi="Cambria"/>
                <w:color w:val="000000" w:themeColor="text1"/>
                <w:sz w:val="20"/>
                <w:lang w:val="en-US"/>
              </w:rPr>
            </w:pPr>
          </w:p>
        </w:tc>
        <w:tc>
          <w:tcPr>
            <w:tcW w:w="1405"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sidRPr="00FD353B">
              <w:rPr>
                <w:rFonts w:ascii="Cambria" w:hAnsi="Cambria"/>
                <w:color w:val="000000" w:themeColor="text1"/>
                <w:sz w:val="20"/>
                <w:lang w:val="en-US"/>
              </w:rPr>
              <w:t>16</w:t>
            </w:r>
          </w:p>
        </w:tc>
        <w:tc>
          <w:tcPr>
            <w:tcW w:w="1250" w:type="pct"/>
            <w:shd w:val="clear" w:color="auto" w:fill="auto"/>
            <w:vAlign w:val="center"/>
          </w:tcPr>
          <w:p w:rsidR="00EB15B4" w:rsidRPr="00FD353B" w:rsidRDefault="00EB15B4" w:rsidP="00EB15B4">
            <w:pPr>
              <w:contextualSpacing/>
              <w:jc w:val="right"/>
              <w:rPr>
                <w:rFonts w:ascii="Cambria" w:hAnsi="Cambria"/>
                <w:color w:val="000000" w:themeColor="text1"/>
                <w:sz w:val="20"/>
                <w:lang w:val="en-US"/>
              </w:rPr>
            </w:pPr>
            <w:r>
              <w:rPr>
                <w:rFonts w:ascii="Cambria" w:hAnsi="Cambria"/>
                <w:color w:val="000000" w:themeColor="text1"/>
                <w:sz w:val="20"/>
                <w:lang w:val="en-US"/>
              </w:rPr>
              <w:t>-8.101*</w:t>
            </w:r>
          </w:p>
        </w:tc>
      </w:tr>
    </w:tbl>
    <w:p w:rsidR="00FD353B" w:rsidRPr="00FD353B" w:rsidRDefault="006D694E" w:rsidP="009812AC">
      <w:pPr>
        <w:contextualSpacing/>
        <w:rPr>
          <w:rFonts w:ascii="Cambria" w:hAnsi="Cambria"/>
          <w:color w:val="000000" w:themeColor="text1"/>
          <w:sz w:val="20"/>
        </w:rPr>
      </w:pPr>
      <w:r>
        <w:rPr>
          <w:rFonts w:ascii="Cambria" w:hAnsi="Cambria"/>
          <w:color w:val="000000" w:themeColor="text1"/>
          <w:sz w:val="20"/>
        </w:rPr>
        <w:t>* p&lt;.05</w:t>
      </w:r>
    </w:p>
    <w:p w:rsidR="00FD353B" w:rsidRPr="00834776" w:rsidRDefault="00FD353B" w:rsidP="00AE5FAC">
      <w:pPr>
        <w:ind w:firstLine="567"/>
        <w:contextualSpacing/>
        <w:jc w:val="both"/>
        <w:rPr>
          <w:rFonts w:ascii="Cambria" w:hAnsi="Cambria"/>
          <w:color w:val="000000" w:themeColor="text1"/>
          <w:sz w:val="22"/>
        </w:rPr>
      </w:pPr>
      <w:r w:rsidRPr="00834776">
        <w:rPr>
          <w:rFonts w:ascii="Cambria" w:hAnsi="Cambria"/>
          <w:color w:val="000000" w:themeColor="text1"/>
          <w:sz w:val="22"/>
        </w:rPr>
        <w:t>Tablo 5 incelendiğinde; 1</w:t>
      </w:r>
      <w:r w:rsidR="00441FC0" w:rsidRPr="00834776">
        <w:rPr>
          <w:rFonts w:ascii="Cambria" w:hAnsi="Cambria"/>
          <w:color w:val="000000" w:themeColor="text1"/>
          <w:sz w:val="22"/>
        </w:rPr>
        <w:t>2</w:t>
      </w:r>
      <w:r w:rsidRPr="00834776">
        <w:rPr>
          <w:rFonts w:ascii="Cambria" w:hAnsi="Cambria"/>
          <w:color w:val="000000" w:themeColor="text1"/>
          <w:sz w:val="22"/>
        </w:rPr>
        <w:t xml:space="preserve"> maddeden oluşan ölçekte, bağımsız örneklemler t testi sonuçları her bir madde için anlamlıdır (p&lt;.0</w:t>
      </w:r>
      <w:r w:rsidR="00441FC0" w:rsidRPr="00834776">
        <w:rPr>
          <w:rFonts w:ascii="Cambria" w:hAnsi="Cambria"/>
          <w:color w:val="000000" w:themeColor="text1"/>
          <w:sz w:val="22"/>
        </w:rPr>
        <w:t>5</w:t>
      </w:r>
      <w:r w:rsidRPr="00834776">
        <w:rPr>
          <w:rFonts w:ascii="Cambria" w:hAnsi="Cambria"/>
          <w:color w:val="000000" w:themeColor="text1"/>
          <w:sz w:val="22"/>
        </w:rPr>
        <w:t>). Buna göre her bir maddenin ayırt ediciliğinin bulunduğunu söylemek mümkündür. Ölçek maddelerinin t değerleri boyut 1 için -5.372 i</w:t>
      </w:r>
      <w:r w:rsidR="00441FC0" w:rsidRPr="00834776">
        <w:rPr>
          <w:rFonts w:ascii="Cambria" w:hAnsi="Cambria"/>
          <w:color w:val="000000" w:themeColor="text1"/>
          <w:sz w:val="22"/>
        </w:rPr>
        <w:t>le -9.899 ve boyut 2 için -6.474</w:t>
      </w:r>
      <w:r w:rsidRPr="00834776">
        <w:rPr>
          <w:rFonts w:ascii="Cambria" w:hAnsi="Cambria"/>
          <w:color w:val="000000" w:themeColor="text1"/>
          <w:sz w:val="22"/>
        </w:rPr>
        <w:t xml:space="preserve"> ile -13.744 arasında değişmektedir.</w:t>
      </w:r>
    </w:p>
    <w:p w:rsidR="00FD353B" w:rsidRPr="00834776" w:rsidRDefault="00FD353B" w:rsidP="00FD353B">
      <w:pPr>
        <w:spacing w:before="120" w:after="120"/>
        <w:rPr>
          <w:rFonts w:ascii="Cambria" w:hAnsi="Cambria"/>
          <w:b/>
          <w:color w:val="000000" w:themeColor="text1"/>
          <w:sz w:val="22"/>
        </w:rPr>
      </w:pPr>
      <w:proofErr w:type="spellStart"/>
      <w:r w:rsidRPr="00834776">
        <w:rPr>
          <w:rFonts w:ascii="Cambria" w:hAnsi="Cambria"/>
          <w:b/>
          <w:color w:val="000000" w:themeColor="text1"/>
          <w:sz w:val="22"/>
          <w:lang w:val="en-US"/>
        </w:rPr>
        <w:t>Ölçek</w:t>
      </w:r>
      <w:proofErr w:type="spellEnd"/>
      <w:r w:rsidRPr="00834776">
        <w:rPr>
          <w:rFonts w:ascii="Cambria" w:hAnsi="Cambria"/>
          <w:b/>
          <w:color w:val="000000" w:themeColor="text1"/>
          <w:sz w:val="22"/>
          <w:lang w:val="en-US"/>
        </w:rPr>
        <w:t xml:space="preserve"> </w:t>
      </w:r>
      <w:proofErr w:type="spellStart"/>
      <w:r w:rsidRPr="00834776">
        <w:rPr>
          <w:rFonts w:ascii="Cambria" w:hAnsi="Cambria"/>
          <w:b/>
          <w:color w:val="000000" w:themeColor="text1"/>
          <w:sz w:val="22"/>
          <w:lang w:val="en-US"/>
        </w:rPr>
        <w:t>Verilerinin</w:t>
      </w:r>
      <w:proofErr w:type="spellEnd"/>
      <w:r w:rsidRPr="00834776">
        <w:rPr>
          <w:rFonts w:ascii="Cambria" w:hAnsi="Cambria"/>
          <w:b/>
          <w:color w:val="000000" w:themeColor="text1"/>
          <w:sz w:val="22"/>
          <w:lang w:val="en-US"/>
        </w:rPr>
        <w:t xml:space="preserve"> </w:t>
      </w:r>
      <w:proofErr w:type="spellStart"/>
      <w:r w:rsidRPr="00834776">
        <w:rPr>
          <w:rFonts w:ascii="Cambria" w:hAnsi="Cambria"/>
          <w:b/>
          <w:color w:val="000000" w:themeColor="text1"/>
          <w:sz w:val="22"/>
          <w:lang w:val="en-US"/>
        </w:rPr>
        <w:t>Güvenirliğine</w:t>
      </w:r>
      <w:proofErr w:type="spellEnd"/>
      <w:r w:rsidRPr="00834776">
        <w:rPr>
          <w:rFonts w:ascii="Cambria" w:hAnsi="Cambria"/>
          <w:b/>
          <w:color w:val="000000" w:themeColor="text1"/>
          <w:sz w:val="22"/>
          <w:lang w:val="en-US"/>
        </w:rPr>
        <w:t xml:space="preserve"> </w:t>
      </w:r>
      <w:proofErr w:type="spellStart"/>
      <w:r w:rsidRPr="00834776">
        <w:rPr>
          <w:rFonts w:ascii="Cambria" w:hAnsi="Cambria"/>
          <w:b/>
          <w:color w:val="000000" w:themeColor="text1"/>
          <w:sz w:val="22"/>
          <w:lang w:val="en-US"/>
        </w:rPr>
        <w:t>İlişkin</w:t>
      </w:r>
      <w:proofErr w:type="spellEnd"/>
      <w:r w:rsidRPr="00834776">
        <w:rPr>
          <w:rFonts w:ascii="Cambria" w:hAnsi="Cambria"/>
          <w:b/>
          <w:color w:val="000000" w:themeColor="text1"/>
          <w:sz w:val="22"/>
          <w:lang w:val="en-US"/>
        </w:rPr>
        <w:t xml:space="preserve"> </w:t>
      </w:r>
      <w:proofErr w:type="spellStart"/>
      <w:r w:rsidRPr="00834776">
        <w:rPr>
          <w:rFonts w:ascii="Cambria" w:hAnsi="Cambria"/>
          <w:b/>
          <w:color w:val="000000" w:themeColor="text1"/>
          <w:sz w:val="22"/>
          <w:lang w:val="en-US"/>
        </w:rPr>
        <w:t>Bulgular</w:t>
      </w:r>
      <w:proofErr w:type="spellEnd"/>
      <w:r w:rsidRPr="00834776">
        <w:rPr>
          <w:rFonts w:ascii="Cambria" w:hAnsi="Cambria"/>
          <w:b/>
          <w:color w:val="000000" w:themeColor="text1"/>
          <w:sz w:val="22"/>
        </w:rPr>
        <w:t xml:space="preserve"> </w:t>
      </w:r>
    </w:p>
    <w:p w:rsidR="00FD353B" w:rsidRPr="00834776" w:rsidRDefault="00FD353B" w:rsidP="00834776">
      <w:pPr>
        <w:ind w:firstLine="567"/>
        <w:contextualSpacing/>
        <w:jc w:val="both"/>
        <w:rPr>
          <w:rFonts w:ascii="Cambria" w:hAnsi="Cambria"/>
          <w:color w:val="000000" w:themeColor="text1"/>
          <w:sz w:val="22"/>
        </w:rPr>
      </w:pPr>
      <w:r w:rsidRPr="00834776">
        <w:rPr>
          <w:rFonts w:ascii="Cambria" w:hAnsi="Cambria"/>
          <w:color w:val="000000" w:themeColor="text1"/>
          <w:sz w:val="22"/>
        </w:rPr>
        <w:t>Araştırmada ölçekten elde edilen verilerin güvenirliğine kanıt sağlamak amacıyla Cronbach Alfa katsayıları hesaplanmıştır. Tablo 6’da her bir boyuta ve ölçeğin tamamına ilişkin Cronbach Alfa katsayılarına yer verilmiştir.</w:t>
      </w:r>
    </w:p>
    <w:p w:rsidR="00FD353B" w:rsidRPr="00DA110F" w:rsidRDefault="00FD353B" w:rsidP="00834776">
      <w:pPr>
        <w:spacing w:before="120" w:after="120"/>
        <w:rPr>
          <w:rFonts w:ascii="Cambria" w:hAnsi="Cambria"/>
          <w:i/>
          <w:color w:val="000000" w:themeColor="text1"/>
          <w:sz w:val="20"/>
        </w:rPr>
      </w:pPr>
      <w:r w:rsidRPr="00DA110F">
        <w:rPr>
          <w:rFonts w:ascii="Cambria" w:hAnsi="Cambria"/>
          <w:b/>
          <w:color w:val="000000" w:themeColor="text1"/>
          <w:sz w:val="20"/>
        </w:rPr>
        <w:t>Tablo 6.</w:t>
      </w:r>
      <w:r w:rsidRPr="00DA110F">
        <w:rPr>
          <w:rFonts w:ascii="Cambria" w:hAnsi="Cambria"/>
          <w:i/>
          <w:color w:val="000000" w:themeColor="text1"/>
          <w:sz w:val="20"/>
        </w:rPr>
        <w:t xml:space="preserve"> Ölçeğin tamamı ve her bir faktör için hesaplanan Cronbach Alfa Katsayıları</w:t>
      </w:r>
    </w:p>
    <w:tbl>
      <w:tblPr>
        <w:tblW w:w="5000" w:type="pct"/>
        <w:tblBorders>
          <w:top w:val="single" w:sz="4" w:space="0" w:color="auto"/>
          <w:bottom w:val="single" w:sz="4" w:space="0" w:color="auto"/>
        </w:tblBorders>
        <w:tblLook w:val="04A0" w:firstRow="1" w:lastRow="0" w:firstColumn="1" w:lastColumn="0" w:noHBand="0" w:noVBand="1"/>
      </w:tblPr>
      <w:tblGrid>
        <w:gridCol w:w="1591"/>
        <w:gridCol w:w="2219"/>
        <w:gridCol w:w="5262"/>
      </w:tblGrid>
      <w:tr w:rsidR="009812AC" w:rsidRPr="00FD353B" w:rsidTr="006F4849">
        <w:tc>
          <w:tcPr>
            <w:tcW w:w="877" w:type="pct"/>
            <w:tcBorders>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Boyutlar</w:t>
            </w:r>
            <w:proofErr w:type="spellEnd"/>
          </w:p>
        </w:tc>
        <w:tc>
          <w:tcPr>
            <w:tcW w:w="1223" w:type="pct"/>
            <w:tcBorders>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Madde</w:t>
            </w:r>
            <w:proofErr w:type="spellEnd"/>
            <w:r w:rsidRPr="00FD353B">
              <w:rPr>
                <w:rFonts w:ascii="Cambria" w:hAnsi="Cambria"/>
                <w:color w:val="000000" w:themeColor="text1"/>
                <w:sz w:val="20"/>
                <w:lang w:val="en-US"/>
              </w:rPr>
              <w:t xml:space="preserve"> </w:t>
            </w:r>
            <w:proofErr w:type="spellStart"/>
            <w:r w:rsidRPr="00FD353B">
              <w:rPr>
                <w:rFonts w:ascii="Cambria" w:hAnsi="Cambria"/>
                <w:color w:val="000000" w:themeColor="text1"/>
                <w:sz w:val="20"/>
                <w:lang w:val="en-US"/>
              </w:rPr>
              <w:t>Sayısı</w:t>
            </w:r>
            <w:proofErr w:type="spellEnd"/>
          </w:p>
        </w:tc>
        <w:tc>
          <w:tcPr>
            <w:tcW w:w="2900" w:type="pct"/>
            <w:tcBorders>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 xml:space="preserve">Cronbach Alfa </w:t>
            </w:r>
            <w:proofErr w:type="spellStart"/>
            <w:r w:rsidRPr="00FD353B">
              <w:rPr>
                <w:rFonts w:ascii="Cambria" w:hAnsi="Cambria"/>
                <w:color w:val="000000" w:themeColor="text1"/>
                <w:sz w:val="20"/>
                <w:lang w:val="en-US"/>
              </w:rPr>
              <w:t>İç</w:t>
            </w:r>
            <w:proofErr w:type="spellEnd"/>
            <w:r w:rsidRPr="00FD353B">
              <w:rPr>
                <w:rFonts w:ascii="Cambria" w:hAnsi="Cambria"/>
                <w:color w:val="000000" w:themeColor="text1"/>
                <w:sz w:val="20"/>
                <w:lang w:val="en-US"/>
              </w:rPr>
              <w:t xml:space="preserve"> </w:t>
            </w:r>
            <w:proofErr w:type="spellStart"/>
            <w:r w:rsidRPr="00FD353B">
              <w:rPr>
                <w:rFonts w:ascii="Cambria" w:hAnsi="Cambria"/>
                <w:color w:val="000000" w:themeColor="text1"/>
                <w:sz w:val="20"/>
                <w:lang w:val="en-US"/>
              </w:rPr>
              <w:t>Tutarlık</w:t>
            </w:r>
            <w:proofErr w:type="spellEnd"/>
            <w:r w:rsidRPr="00FD353B">
              <w:rPr>
                <w:rFonts w:ascii="Cambria" w:hAnsi="Cambria"/>
                <w:color w:val="000000" w:themeColor="text1"/>
                <w:sz w:val="20"/>
                <w:lang w:val="en-US"/>
              </w:rPr>
              <w:t xml:space="preserve"> </w:t>
            </w:r>
            <w:proofErr w:type="spellStart"/>
            <w:r w:rsidRPr="00FD353B">
              <w:rPr>
                <w:rFonts w:ascii="Cambria" w:hAnsi="Cambria"/>
                <w:color w:val="000000" w:themeColor="text1"/>
                <w:sz w:val="20"/>
                <w:lang w:val="en-US"/>
              </w:rPr>
              <w:t>Katsayısı</w:t>
            </w:r>
            <w:proofErr w:type="spellEnd"/>
          </w:p>
        </w:tc>
      </w:tr>
      <w:tr w:rsidR="009812AC" w:rsidRPr="00FD353B" w:rsidTr="006F4849">
        <w:tc>
          <w:tcPr>
            <w:tcW w:w="877" w:type="pct"/>
            <w:tcBorders>
              <w:top w:val="single" w:sz="4" w:space="0" w:color="auto"/>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w:t>
            </w:r>
            <w:proofErr w:type="spellEnd"/>
            <w:r w:rsidRPr="00FD353B">
              <w:rPr>
                <w:rFonts w:ascii="Cambria" w:hAnsi="Cambria"/>
                <w:color w:val="000000" w:themeColor="text1"/>
                <w:sz w:val="20"/>
                <w:lang w:val="en-US"/>
              </w:rPr>
              <w:t xml:space="preserve"> 1</w:t>
            </w:r>
          </w:p>
        </w:tc>
        <w:tc>
          <w:tcPr>
            <w:tcW w:w="1223" w:type="pct"/>
            <w:tcBorders>
              <w:top w:val="single" w:sz="4" w:space="0" w:color="auto"/>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5</w:t>
            </w:r>
          </w:p>
        </w:tc>
        <w:tc>
          <w:tcPr>
            <w:tcW w:w="2900" w:type="pct"/>
            <w:tcBorders>
              <w:top w:val="single" w:sz="4" w:space="0" w:color="auto"/>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.72</w:t>
            </w:r>
          </w:p>
        </w:tc>
      </w:tr>
      <w:tr w:rsidR="009812AC" w:rsidRPr="00FD353B" w:rsidTr="006F4849">
        <w:tc>
          <w:tcPr>
            <w:tcW w:w="877" w:type="pct"/>
            <w:tcBorders>
              <w:top w:val="nil"/>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Boyut</w:t>
            </w:r>
            <w:proofErr w:type="spellEnd"/>
            <w:r w:rsidRPr="00FD353B">
              <w:rPr>
                <w:rFonts w:ascii="Cambria" w:hAnsi="Cambria"/>
                <w:color w:val="000000" w:themeColor="text1"/>
                <w:sz w:val="20"/>
                <w:lang w:val="en-US"/>
              </w:rPr>
              <w:t xml:space="preserve"> 2</w:t>
            </w:r>
          </w:p>
        </w:tc>
        <w:tc>
          <w:tcPr>
            <w:tcW w:w="1223" w:type="pct"/>
            <w:tcBorders>
              <w:top w:val="nil"/>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8</w:t>
            </w:r>
          </w:p>
        </w:tc>
        <w:tc>
          <w:tcPr>
            <w:tcW w:w="2900" w:type="pct"/>
            <w:tcBorders>
              <w:top w:val="nil"/>
              <w:bottom w:val="nil"/>
            </w:tcBorders>
            <w:shd w:val="clear" w:color="auto" w:fill="auto"/>
            <w:vAlign w:val="center"/>
          </w:tcPr>
          <w:p w:rsidR="00FD353B" w:rsidRPr="00FD353B" w:rsidRDefault="00373BC6" w:rsidP="002C39A6">
            <w:pPr>
              <w:contextualSpacing/>
              <w:jc w:val="center"/>
              <w:rPr>
                <w:rFonts w:ascii="Cambria" w:hAnsi="Cambria"/>
                <w:color w:val="000000" w:themeColor="text1"/>
                <w:sz w:val="20"/>
                <w:lang w:val="en-US"/>
              </w:rPr>
            </w:pPr>
            <w:r>
              <w:rPr>
                <w:rFonts w:ascii="Cambria" w:hAnsi="Cambria"/>
                <w:color w:val="000000" w:themeColor="text1"/>
                <w:sz w:val="20"/>
                <w:lang w:val="en-US"/>
              </w:rPr>
              <w:t>.75</w:t>
            </w:r>
          </w:p>
        </w:tc>
      </w:tr>
      <w:tr w:rsidR="009812AC" w:rsidRPr="00FD353B" w:rsidTr="006F4849">
        <w:tc>
          <w:tcPr>
            <w:tcW w:w="877" w:type="pct"/>
            <w:tcBorders>
              <w:top w:val="nil"/>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Toplam</w:t>
            </w:r>
            <w:proofErr w:type="spellEnd"/>
          </w:p>
        </w:tc>
        <w:tc>
          <w:tcPr>
            <w:tcW w:w="1223" w:type="pct"/>
            <w:tcBorders>
              <w:top w:val="nil"/>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13</w:t>
            </w:r>
          </w:p>
        </w:tc>
        <w:tc>
          <w:tcPr>
            <w:tcW w:w="2900" w:type="pct"/>
            <w:tcBorders>
              <w:top w:val="nil"/>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.78</w:t>
            </w:r>
          </w:p>
        </w:tc>
      </w:tr>
    </w:tbl>
    <w:p w:rsidR="00FD353B" w:rsidRPr="00FD353B" w:rsidRDefault="00FD353B" w:rsidP="00FD353B">
      <w:pPr>
        <w:contextualSpacing/>
        <w:rPr>
          <w:rFonts w:ascii="Cambria" w:hAnsi="Cambria"/>
          <w:color w:val="000000" w:themeColor="text1"/>
        </w:rPr>
      </w:pPr>
    </w:p>
    <w:p w:rsidR="00FD353B" w:rsidRPr="00834776" w:rsidRDefault="00FD353B" w:rsidP="00042276">
      <w:pPr>
        <w:ind w:firstLine="567"/>
        <w:contextualSpacing/>
        <w:jc w:val="both"/>
        <w:rPr>
          <w:rFonts w:ascii="Cambria" w:hAnsi="Cambria"/>
          <w:color w:val="000000" w:themeColor="text1"/>
          <w:sz w:val="22"/>
        </w:rPr>
      </w:pPr>
      <w:r w:rsidRPr="00834776">
        <w:rPr>
          <w:rFonts w:ascii="Cambria" w:hAnsi="Cambria"/>
          <w:color w:val="000000" w:themeColor="text1"/>
          <w:sz w:val="22"/>
        </w:rPr>
        <w:lastRenderedPageBreak/>
        <w:t>Güvenirlik kanıtı belirlemek amacıyla hesaplanan Cronbach Alpha katsayısı ölçeğin tamamı için .78, ilk boyut i</w:t>
      </w:r>
      <w:r w:rsidR="00373BC6" w:rsidRPr="00834776">
        <w:rPr>
          <w:rFonts w:ascii="Cambria" w:hAnsi="Cambria"/>
          <w:color w:val="000000" w:themeColor="text1"/>
          <w:sz w:val="22"/>
        </w:rPr>
        <w:t>çin .72 ve ikinci boyut için .75</w:t>
      </w:r>
      <w:r w:rsidRPr="00834776">
        <w:rPr>
          <w:rFonts w:ascii="Cambria" w:hAnsi="Cambria"/>
          <w:color w:val="000000" w:themeColor="text1"/>
          <w:sz w:val="22"/>
        </w:rPr>
        <w:t xml:space="preserve"> olarak bulunmuştur. Cortina </w:t>
      </w:r>
      <w:r w:rsidR="005C5F76" w:rsidRPr="00834776">
        <w:rPr>
          <w:rFonts w:ascii="Cambria" w:hAnsi="Cambria"/>
          <w:color w:val="000000" w:themeColor="text1"/>
          <w:sz w:val="22"/>
        </w:rPr>
        <w:t xml:space="preserve">(1993) </w:t>
      </w:r>
      <w:r w:rsidRPr="00834776">
        <w:rPr>
          <w:rFonts w:ascii="Cambria" w:hAnsi="Cambria"/>
          <w:color w:val="000000" w:themeColor="text1"/>
          <w:sz w:val="22"/>
        </w:rPr>
        <w:t>ve Schmitt (1996) Cronbach Alpha katsayısının .70 üzerinde olmasının yeterli olacağını belirtmiştir.</w:t>
      </w:r>
    </w:p>
    <w:p w:rsidR="00DA110F" w:rsidRPr="00E83E41" w:rsidRDefault="00FD353B" w:rsidP="00E83E41">
      <w:pPr>
        <w:ind w:firstLine="567"/>
        <w:contextualSpacing/>
        <w:jc w:val="both"/>
        <w:rPr>
          <w:rFonts w:ascii="Cambria" w:hAnsi="Cambria"/>
          <w:color w:val="000000" w:themeColor="text1"/>
          <w:sz w:val="22"/>
        </w:rPr>
      </w:pPr>
      <w:r w:rsidRPr="00834776">
        <w:rPr>
          <w:rFonts w:ascii="Cambria" w:hAnsi="Cambria"/>
          <w:color w:val="000000" w:themeColor="text1"/>
          <w:sz w:val="22"/>
        </w:rPr>
        <w:t xml:space="preserve">Birden fazla boyut olması sebebiyle her bir boyut için Cronbach Alfa katsayısının hesaplanmasının yanı sıra birden fazla </w:t>
      </w:r>
      <w:r w:rsidR="000455B0" w:rsidRPr="00834776">
        <w:rPr>
          <w:rFonts w:ascii="Cambria" w:hAnsi="Cambria"/>
          <w:color w:val="000000" w:themeColor="text1"/>
          <w:sz w:val="22"/>
        </w:rPr>
        <w:t>boyut</w:t>
      </w:r>
      <w:r w:rsidRPr="00834776">
        <w:rPr>
          <w:rFonts w:ascii="Cambria" w:hAnsi="Cambria"/>
          <w:color w:val="000000" w:themeColor="text1"/>
          <w:sz w:val="22"/>
        </w:rPr>
        <w:t xml:space="preserve"> için tek bir güvenirlik katsayısı elde etmek için tabakalı alfa</w:t>
      </w:r>
      <w:r w:rsidR="00B80FB9" w:rsidRPr="00834776">
        <w:rPr>
          <w:rFonts w:ascii="Cambria" w:hAnsi="Cambria"/>
          <w:color w:val="000000" w:themeColor="text1"/>
          <w:sz w:val="22"/>
        </w:rPr>
        <w:t xml:space="preserve"> (Cronbach, Schonemann ve McKie, 1965)</w:t>
      </w:r>
      <w:r w:rsidRPr="00834776">
        <w:rPr>
          <w:rFonts w:ascii="Cambria" w:hAnsi="Cambria"/>
          <w:color w:val="000000" w:themeColor="text1"/>
          <w:sz w:val="22"/>
        </w:rPr>
        <w:t xml:space="preserve"> katsayısı hesaplanmıştır. Tabakalı alfa katsayısı .81 bulunmuştur. Ayrıca ölçme işleminin konjenerik olması (ortalama, standart sapma ve kovaryansların farklı dolayısıyla faktör yüklerinin eşit olmaması)</w:t>
      </w:r>
      <w:r w:rsidR="00900855" w:rsidRPr="00834776">
        <w:rPr>
          <w:rFonts w:ascii="Cambria" w:hAnsi="Cambria"/>
          <w:color w:val="000000" w:themeColor="text1"/>
          <w:sz w:val="22"/>
        </w:rPr>
        <w:t xml:space="preserve"> sebebiyle </w:t>
      </w:r>
      <w:r w:rsidR="002709DC" w:rsidRPr="00834776">
        <w:rPr>
          <w:rFonts w:ascii="Cambria" w:hAnsi="Cambria"/>
          <w:color w:val="000000" w:themeColor="text1"/>
          <w:sz w:val="22"/>
        </w:rPr>
        <w:t xml:space="preserve">Armor’un θ </w:t>
      </w:r>
      <w:r w:rsidR="00900855" w:rsidRPr="00834776">
        <w:rPr>
          <w:rFonts w:ascii="Cambria" w:hAnsi="Cambria"/>
          <w:color w:val="000000" w:themeColor="text1"/>
          <w:sz w:val="22"/>
        </w:rPr>
        <w:t>katsayısı incelenmiştir ve .87 güvenirlik değeri elde edilmiştir (</w:t>
      </w:r>
      <w:r w:rsidR="002709DC" w:rsidRPr="00834776">
        <w:rPr>
          <w:rFonts w:ascii="Cambria" w:hAnsi="Cambria"/>
          <w:color w:val="000000" w:themeColor="text1"/>
          <w:sz w:val="22"/>
        </w:rPr>
        <w:t xml:space="preserve">Armor, 1973; </w:t>
      </w:r>
      <w:r w:rsidR="00900855" w:rsidRPr="00834776">
        <w:rPr>
          <w:rFonts w:ascii="Cambria" w:hAnsi="Cambria"/>
          <w:color w:val="000000" w:themeColor="text1"/>
          <w:sz w:val="22"/>
        </w:rPr>
        <w:t>Yurdugül, 2006; Zinbarg, Revelle, Yovel ve Li, 2005). Cronbach Alfa katsayısı</w:t>
      </w:r>
      <w:r w:rsidRPr="00834776">
        <w:rPr>
          <w:rFonts w:ascii="Cambria" w:hAnsi="Cambria"/>
          <w:color w:val="000000" w:themeColor="text1"/>
          <w:sz w:val="22"/>
        </w:rPr>
        <w:t xml:space="preserve"> ölçümlerin paralel (ortalama, standart sapma ve kovaryansların eşitliği dolayısıyla faktör yüklerinin eşitliği) olduğunu varsayma</w:t>
      </w:r>
      <w:r w:rsidR="00900855" w:rsidRPr="00834776">
        <w:rPr>
          <w:rFonts w:ascii="Cambria" w:hAnsi="Cambria"/>
          <w:color w:val="000000" w:themeColor="text1"/>
          <w:sz w:val="22"/>
        </w:rPr>
        <w:t>kta</w:t>
      </w:r>
      <w:r w:rsidRPr="00834776">
        <w:rPr>
          <w:rFonts w:ascii="Cambria" w:hAnsi="Cambria"/>
          <w:color w:val="000000" w:themeColor="text1"/>
          <w:sz w:val="22"/>
        </w:rPr>
        <w:t xml:space="preserve"> ve konjenerik ölçmelerde güvenirliği old</w:t>
      </w:r>
      <w:r w:rsidR="00900855" w:rsidRPr="00834776">
        <w:rPr>
          <w:rFonts w:ascii="Cambria" w:hAnsi="Cambria"/>
          <w:color w:val="000000" w:themeColor="text1"/>
          <w:sz w:val="22"/>
        </w:rPr>
        <w:t xml:space="preserve">uğundan daha düşük kestirilmektedir. </w:t>
      </w:r>
      <w:r w:rsidR="00095ADC" w:rsidRPr="00834776">
        <w:rPr>
          <w:rFonts w:ascii="Cambria" w:hAnsi="Cambria"/>
          <w:color w:val="000000" w:themeColor="text1"/>
          <w:sz w:val="22"/>
        </w:rPr>
        <w:t>Ayrıca konjenerik ölçümler için tanımlanan</w:t>
      </w:r>
      <w:r w:rsidR="00460727" w:rsidRPr="00834776">
        <w:rPr>
          <w:rFonts w:ascii="Cambria" w:hAnsi="Cambria"/>
          <w:color w:val="000000" w:themeColor="text1"/>
          <w:sz w:val="22"/>
        </w:rPr>
        <w:t xml:space="preserve"> </w:t>
      </w:r>
      <w:r w:rsidR="00095ADC" w:rsidRPr="00834776">
        <w:rPr>
          <w:rFonts w:ascii="Cambria" w:hAnsi="Cambria"/>
          <w:color w:val="000000" w:themeColor="text1"/>
          <w:sz w:val="22"/>
        </w:rPr>
        <w:t>McDonald’ın (</w:t>
      </w:r>
      <w:r w:rsidR="00D60751" w:rsidRPr="00834776">
        <w:rPr>
          <w:rFonts w:ascii="Cambria" w:hAnsi="Cambria"/>
          <w:color w:val="000000" w:themeColor="text1"/>
          <w:sz w:val="22"/>
        </w:rPr>
        <w:t>1999</w:t>
      </w:r>
      <w:r w:rsidR="00095ADC" w:rsidRPr="00834776">
        <w:rPr>
          <w:rFonts w:ascii="Cambria" w:hAnsi="Cambria"/>
          <w:color w:val="000000" w:themeColor="text1"/>
          <w:sz w:val="22"/>
        </w:rPr>
        <w:t>) Omega katsayısı hesaplanmıştır. McDonald Omega katsayısı .87 bulunmuştur. Tablo 7’de farklı güvenirlik katsayılarına il</w:t>
      </w:r>
      <w:r w:rsidR="00E83E41">
        <w:rPr>
          <w:rFonts w:ascii="Cambria" w:hAnsi="Cambria"/>
          <w:color w:val="000000" w:themeColor="text1"/>
          <w:sz w:val="22"/>
        </w:rPr>
        <w:t>işkin sonuçlar özetlenmektedir.</w:t>
      </w:r>
    </w:p>
    <w:p w:rsidR="00FD353B" w:rsidRPr="00DA110F" w:rsidRDefault="00FD353B" w:rsidP="00E83E41">
      <w:pPr>
        <w:spacing w:before="120" w:after="120"/>
        <w:rPr>
          <w:rFonts w:ascii="Cambria" w:hAnsi="Cambria"/>
          <w:i/>
          <w:color w:val="000000" w:themeColor="text1"/>
          <w:sz w:val="20"/>
        </w:rPr>
      </w:pPr>
      <w:r w:rsidRPr="00DA110F">
        <w:rPr>
          <w:rFonts w:ascii="Cambria" w:hAnsi="Cambria"/>
          <w:b/>
          <w:color w:val="000000" w:themeColor="text1"/>
          <w:sz w:val="20"/>
        </w:rPr>
        <w:t>Tablo 7.</w:t>
      </w:r>
      <w:r w:rsidR="00DA110F" w:rsidRPr="00DA110F">
        <w:rPr>
          <w:rFonts w:ascii="Cambria" w:hAnsi="Cambria"/>
          <w:i/>
          <w:color w:val="000000" w:themeColor="text1"/>
          <w:sz w:val="20"/>
        </w:rPr>
        <w:t xml:space="preserve"> Güvenirlik k</w:t>
      </w:r>
      <w:r w:rsidRPr="00DA110F">
        <w:rPr>
          <w:rFonts w:ascii="Cambria" w:hAnsi="Cambria"/>
          <w:i/>
          <w:color w:val="000000" w:themeColor="text1"/>
          <w:sz w:val="20"/>
        </w:rPr>
        <w:t>atsayıları</w:t>
      </w:r>
    </w:p>
    <w:tbl>
      <w:tblPr>
        <w:tblW w:w="5000" w:type="pct"/>
        <w:tblBorders>
          <w:top w:val="single" w:sz="4" w:space="0" w:color="auto"/>
          <w:bottom w:val="single" w:sz="4" w:space="0" w:color="auto"/>
        </w:tblBorders>
        <w:tblLook w:val="04A0" w:firstRow="1" w:lastRow="0" w:firstColumn="1" w:lastColumn="0" w:noHBand="0" w:noVBand="1"/>
      </w:tblPr>
      <w:tblGrid>
        <w:gridCol w:w="4529"/>
        <w:gridCol w:w="4543"/>
      </w:tblGrid>
      <w:tr w:rsidR="00FD353B" w:rsidRPr="00FD353B" w:rsidTr="002C39A6">
        <w:tc>
          <w:tcPr>
            <w:tcW w:w="2496" w:type="pct"/>
            <w:tcBorders>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Teknik</w:t>
            </w:r>
            <w:proofErr w:type="spellEnd"/>
          </w:p>
        </w:tc>
        <w:tc>
          <w:tcPr>
            <w:tcW w:w="2504" w:type="pct"/>
            <w:tcBorders>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Güvenirlik</w:t>
            </w:r>
            <w:proofErr w:type="spellEnd"/>
            <w:r w:rsidRPr="00FD353B">
              <w:rPr>
                <w:rFonts w:ascii="Cambria" w:hAnsi="Cambria"/>
                <w:color w:val="000000" w:themeColor="text1"/>
                <w:sz w:val="20"/>
                <w:lang w:val="en-US"/>
              </w:rPr>
              <w:t xml:space="preserve"> </w:t>
            </w:r>
            <w:proofErr w:type="spellStart"/>
            <w:r w:rsidRPr="00FD353B">
              <w:rPr>
                <w:rFonts w:ascii="Cambria" w:hAnsi="Cambria"/>
                <w:color w:val="000000" w:themeColor="text1"/>
                <w:sz w:val="20"/>
                <w:lang w:val="en-US"/>
              </w:rPr>
              <w:t>Değeri</w:t>
            </w:r>
            <w:proofErr w:type="spellEnd"/>
          </w:p>
        </w:tc>
      </w:tr>
      <w:tr w:rsidR="00FD353B" w:rsidRPr="00FD353B" w:rsidTr="002C39A6">
        <w:tc>
          <w:tcPr>
            <w:tcW w:w="2496" w:type="pct"/>
            <w:tcBorders>
              <w:top w:val="single" w:sz="4" w:space="0" w:color="auto"/>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Cronbach Alfa</w:t>
            </w:r>
          </w:p>
        </w:tc>
        <w:tc>
          <w:tcPr>
            <w:tcW w:w="2504" w:type="pct"/>
            <w:tcBorders>
              <w:top w:val="single" w:sz="4" w:space="0" w:color="auto"/>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.78</w:t>
            </w:r>
          </w:p>
        </w:tc>
      </w:tr>
      <w:tr w:rsidR="00FD353B" w:rsidRPr="00FD353B" w:rsidTr="002C39A6">
        <w:tc>
          <w:tcPr>
            <w:tcW w:w="2496" w:type="pct"/>
            <w:tcBorders>
              <w:top w:val="nil"/>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proofErr w:type="spellStart"/>
            <w:r w:rsidRPr="00FD353B">
              <w:rPr>
                <w:rFonts w:ascii="Cambria" w:hAnsi="Cambria"/>
                <w:color w:val="000000" w:themeColor="text1"/>
                <w:sz w:val="20"/>
                <w:lang w:val="en-US"/>
              </w:rPr>
              <w:t>Tabakalı</w:t>
            </w:r>
            <w:proofErr w:type="spellEnd"/>
            <w:r w:rsidRPr="00FD353B">
              <w:rPr>
                <w:rFonts w:ascii="Cambria" w:hAnsi="Cambria"/>
                <w:color w:val="000000" w:themeColor="text1"/>
                <w:sz w:val="20"/>
                <w:lang w:val="en-US"/>
              </w:rPr>
              <w:t xml:space="preserve"> Alfa</w:t>
            </w:r>
          </w:p>
        </w:tc>
        <w:tc>
          <w:tcPr>
            <w:tcW w:w="2504" w:type="pct"/>
            <w:tcBorders>
              <w:top w:val="nil"/>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.81</w:t>
            </w:r>
          </w:p>
        </w:tc>
      </w:tr>
      <w:tr w:rsidR="00FD353B" w:rsidRPr="00FD353B" w:rsidTr="000455B0">
        <w:tc>
          <w:tcPr>
            <w:tcW w:w="2496" w:type="pct"/>
            <w:tcBorders>
              <w:top w:val="nil"/>
              <w:bottom w:val="nil"/>
            </w:tcBorders>
            <w:shd w:val="clear" w:color="auto" w:fill="auto"/>
            <w:vAlign w:val="center"/>
          </w:tcPr>
          <w:p w:rsidR="00FD353B" w:rsidRPr="00FD353B" w:rsidRDefault="00D27828" w:rsidP="00D27828">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 xml:space="preserve">Armor </w:t>
            </w:r>
            <w:proofErr w:type="spellStart"/>
            <w:r w:rsidRPr="00FD353B">
              <w:rPr>
                <w:rFonts w:ascii="Cambria" w:hAnsi="Cambria"/>
                <w:color w:val="000000" w:themeColor="text1"/>
                <w:sz w:val="20"/>
                <w:lang w:val="en-US"/>
              </w:rPr>
              <w:t>Teta</w:t>
            </w:r>
            <w:proofErr w:type="spellEnd"/>
            <w:r w:rsidRPr="00FD353B">
              <w:rPr>
                <w:rFonts w:ascii="Cambria" w:hAnsi="Cambria"/>
                <w:color w:val="000000" w:themeColor="text1"/>
                <w:sz w:val="20"/>
                <w:lang w:val="en-US"/>
              </w:rPr>
              <w:t xml:space="preserve"> </w:t>
            </w:r>
          </w:p>
        </w:tc>
        <w:tc>
          <w:tcPr>
            <w:tcW w:w="2504" w:type="pct"/>
            <w:tcBorders>
              <w:top w:val="nil"/>
              <w:bottom w:val="nil"/>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.87</w:t>
            </w:r>
          </w:p>
        </w:tc>
      </w:tr>
      <w:tr w:rsidR="00FD353B" w:rsidRPr="00FD353B" w:rsidTr="000455B0">
        <w:tc>
          <w:tcPr>
            <w:tcW w:w="2496" w:type="pct"/>
            <w:tcBorders>
              <w:top w:val="nil"/>
              <w:bottom w:val="single" w:sz="4" w:space="0" w:color="auto"/>
            </w:tcBorders>
            <w:shd w:val="clear" w:color="auto" w:fill="auto"/>
            <w:vAlign w:val="center"/>
          </w:tcPr>
          <w:p w:rsidR="00FD353B" w:rsidRPr="00FD353B" w:rsidRDefault="00D27828"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McDonald Omega</w:t>
            </w:r>
          </w:p>
        </w:tc>
        <w:tc>
          <w:tcPr>
            <w:tcW w:w="2504" w:type="pct"/>
            <w:tcBorders>
              <w:top w:val="nil"/>
              <w:bottom w:val="single" w:sz="4" w:space="0" w:color="auto"/>
            </w:tcBorders>
            <w:shd w:val="clear" w:color="auto" w:fill="auto"/>
            <w:vAlign w:val="center"/>
          </w:tcPr>
          <w:p w:rsidR="00FD353B" w:rsidRPr="00FD353B" w:rsidRDefault="00FD353B" w:rsidP="002C39A6">
            <w:pPr>
              <w:contextualSpacing/>
              <w:jc w:val="center"/>
              <w:rPr>
                <w:rFonts w:ascii="Cambria" w:hAnsi="Cambria"/>
                <w:color w:val="000000" w:themeColor="text1"/>
                <w:sz w:val="20"/>
                <w:lang w:val="en-US"/>
              </w:rPr>
            </w:pPr>
            <w:r w:rsidRPr="00FD353B">
              <w:rPr>
                <w:rFonts w:ascii="Cambria" w:hAnsi="Cambria"/>
                <w:color w:val="000000" w:themeColor="text1"/>
                <w:sz w:val="20"/>
                <w:lang w:val="en-US"/>
              </w:rPr>
              <w:t>.87</w:t>
            </w:r>
          </w:p>
        </w:tc>
      </w:tr>
    </w:tbl>
    <w:p w:rsidR="00FD353B" w:rsidRDefault="00FD353B" w:rsidP="00FD353B">
      <w:pPr>
        <w:ind w:firstLine="567"/>
        <w:contextualSpacing/>
        <w:rPr>
          <w:rFonts w:ascii="Cambria" w:hAnsi="Cambria"/>
          <w:color w:val="000000" w:themeColor="text1"/>
        </w:rPr>
      </w:pPr>
    </w:p>
    <w:p w:rsidR="00FD353B" w:rsidRPr="00E83E41" w:rsidRDefault="00FD353B" w:rsidP="00AE5FAC">
      <w:pPr>
        <w:ind w:firstLine="567"/>
        <w:jc w:val="both"/>
        <w:rPr>
          <w:rFonts w:ascii="Cambria" w:hAnsi="Cambria"/>
          <w:color w:val="000000" w:themeColor="text1"/>
          <w:sz w:val="22"/>
        </w:rPr>
      </w:pPr>
      <w:r w:rsidRPr="00E83E41">
        <w:rPr>
          <w:rFonts w:ascii="Cambria" w:hAnsi="Cambria"/>
          <w:color w:val="000000" w:themeColor="text1"/>
          <w:sz w:val="22"/>
        </w:rPr>
        <w:t xml:space="preserve">Tablo 7 incelendiğinde en düşük güvenirlik değerinin Cronbach Alfa tarafından sunulduğu görülmektedir. Bu katsayı faktör yüklerinin eşit olmaması nedeniyle güvenirliği olduğundan düşük </w:t>
      </w:r>
      <w:r w:rsidR="000455B0" w:rsidRPr="00E83E41">
        <w:rPr>
          <w:rFonts w:ascii="Cambria" w:hAnsi="Cambria"/>
          <w:color w:val="000000" w:themeColor="text1"/>
          <w:sz w:val="22"/>
        </w:rPr>
        <w:t>kestirmiş</w:t>
      </w:r>
      <w:r w:rsidRPr="00E83E41">
        <w:rPr>
          <w:rFonts w:ascii="Cambria" w:hAnsi="Cambria"/>
          <w:color w:val="000000" w:themeColor="text1"/>
          <w:sz w:val="22"/>
        </w:rPr>
        <w:t xml:space="preserve"> olabilir.</w:t>
      </w:r>
      <w:r w:rsidR="000455B0" w:rsidRPr="00E83E41">
        <w:rPr>
          <w:rFonts w:ascii="Cambria" w:hAnsi="Cambria"/>
          <w:color w:val="000000" w:themeColor="text1"/>
          <w:sz w:val="22"/>
        </w:rPr>
        <w:t xml:space="preserve"> Güvenirlik yorumlanırken bir katsayı yerine birden fazla katsayıdan yararlanmak hatalı sonuçlara ulaşılmasını engelleyecektir. Bunun nedeni güvenirlik katsayılarının verinin </w:t>
      </w:r>
      <w:r w:rsidR="00F83F41" w:rsidRPr="00E83E41">
        <w:rPr>
          <w:rFonts w:ascii="Cambria" w:hAnsi="Cambria"/>
          <w:color w:val="000000" w:themeColor="text1"/>
          <w:sz w:val="22"/>
        </w:rPr>
        <w:t>özelliğine göre</w:t>
      </w:r>
      <w:r w:rsidR="003C5106" w:rsidRPr="00E83E41">
        <w:rPr>
          <w:rFonts w:ascii="Cambria" w:hAnsi="Cambria"/>
          <w:color w:val="000000" w:themeColor="text1"/>
          <w:sz w:val="22"/>
        </w:rPr>
        <w:t xml:space="preserve"> (paralel </w:t>
      </w:r>
      <w:r w:rsidR="00F83F41" w:rsidRPr="00E83E41">
        <w:rPr>
          <w:rFonts w:ascii="Cambria" w:hAnsi="Cambria"/>
          <w:color w:val="000000" w:themeColor="text1"/>
          <w:sz w:val="22"/>
        </w:rPr>
        <w:t>ya da konjenerik</w:t>
      </w:r>
      <w:r w:rsidR="003C5106" w:rsidRPr="00E83E41">
        <w:rPr>
          <w:rFonts w:ascii="Cambria" w:hAnsi="Cambria"/>
          <w:color w:val="000000" w:themeColor="text1"/>
          <w:sz w:val="22"/>
        </w:rPr>
        <w:t>, tek boyutlu ya da çok boyutlu</w:t>
      </w:r>
      <w:r w:rsidR="00F83F41" w:rsidRPr="00E83E41">
        <w:rPr>
          <w:rFonts w:ascii="Cambria" w:hAnsi="Cambria"/>
          <w:color w:val="000000" w:themeColor="text1"/>
          <w:sz w:val="22"/>
        </w:rPr>
        <w:t>)</w:t>
      </w:r>
      <w:r w:rsidR="000455B0" w:rsidRPr="00E83E41">
        <w:rPr>
          <w:rFonts w:ascii="Cambria" w:hAnsi="Cambria"/>
          <w:color w:val="000000" w:themeColor="text1"/>
          <w:sz w:val="22"/>
        </w:rPr>
        <w:t xml:space="preserve"> olduğundan düşük ya da yüksek kestirim yapabilmesidir.</w:t>
      </w:r>
      <w:r w:rsidRPr="00E83E41">
        <w:rPr>
          <w:rFonts w:ascii="Cambria" w:hAnsi="Cambria"/>
          <w:color w:val="000000" w:themeColor="text1"/>
          <w:sz w:val="22"/>
        </w:rPr>
        <w:t xml:space="preserve"> </w:t>
      </w:r>
      <w:r w:rsidR="000455B0" w:rsidRPr="00E83E41">
        <w:rPr>
          <w:rFonts w:ascii="Cambria" w:hAnsi="Cambria"/>
          <w:color w:val="000000" w:themeColor="text1"/>
          <w:sz w:val="22"/>
        </w:rPr>
        <w:t>Sonuçta</w:t>
      </w:r>
      <w:r w:rsidR="00F83F41" w:rsidRPr="00E83E41">
        <w:rPr>
          <w:rFonts w:ascii="Cambria" w:hAnsi="Cambria"/>
          <w:color w:val="000000" w:themeColor="text1"/>
          <w:sz w:val="22"/>
        </w:rPr>
        <w:t>,</w:t>
      </w:r>
      <w:r w:rsidR="000455B0" w:rsidRPr="00E83E41">
        <w:rPr>
          <w:rFonts w:ascii="Cambria" w:hAnsi="Cambria"/>
          <w:color w:val="000000" w:themeColor="text1"/>
          <w:sz w:val="22"/>
        </w:rPr>
        <w:t xml:space="preserve"> güvenirlik değerlerinin .78 ile .87 arasında değiştiği görülmektedir. </w:t>
      </w:r>
    </w:p>
    <w:p w:rsidR="001B5C2B" w:rsidRPr="00E83E41" w:rsidRDefault="00537BEA" w:rsidP="001B5C2B">
      <w:pPr>
        <w:spacing w:before="120" w:after="120"/>
        <w:rPr>
          <w:rFonts w:ascii="Cambria" w:hAnsi="Cambria"/>
          <w:b/>
          <w:color w:val="000000" w:themeColor="text1"/>
          <w:sz w:val="22"/>
        </w:rPr>
      </w:pPr>
      <w:r w:rsidRPr="00E83E41">
        <w:rPr>
          <w:rFonts w:ascii="Cambria" w:hAnsi="Cambria"/>
          <w:b/>
          <w:color w:val="000000" w:themeColor="text1"/>
          <w:sz w:val="22"/>
        </w:rPr>
        <w:t>Ölçek Verilerinin</w:t>
      </w:r>
      <w:r w:rsidRPr="00E83E41">
        <w:rPr>
          <w:rFonts w:ascii="Cambria" w:hAnsi="Cambria"/>
          <w:b/>
          <w:color w:val="000000" w:themeColor="text1"/>
          <w:sz w:val="22"/>
          <w:lang w:val="en-US"/>
        </w:rPr>
        <w:t xml:space="preserve"> </w:t>
      </w:r>
      <w:proofErr w:type="spellStart"/>
      <w:r w:rsidR="0063216E" w:rsidRPr="00E83E41">
        <w:rPr>
          <w:rFonts w:ascii="Cambria" w:hAnsi="Cambria"/>
          <w:b/>
          <w:color w:val="000000" w:themeColor="text1"/>
          <w:sz w:val="22"/>
          <w:lang w:val="en-US"/>
        </w:rPr>
        <w:t>Yapı</w:t>
      </w:r>
      <w:proofErr w:type="spellEnd"/>
      <w:r w:rsidR="0063216E" w:rsidRPr="00E83E41">
        <w:rPr>
          <w:rFonts w:ascii="Cambria" w:hAnsi="Cambria"/>
          <w:b/>
          <w:color w:val="000000" w:themeColor="text1"/>
          <w:sz w:val="22"/>
          <w:lang w:val="en-US"/>
        </w:rPr>
        <w:t xml:space="preserve"> </w:t>
      </w:r>
      <w:proofErr w:type="spellStart"/>
      <w:r w:rsidR="0063216E" w:rsidRPr="00E83E41">
        <w:rPr>
          <w:rFonts w:ascii="Cambria" w:hAnsi="Cambria"/>
          <w:b/>
          <w:color w:val="000000" w:themeColor="text1"/>
          <w:sz w:val="22"/>
          <w:lang w:val="en-US"/>
        </w:rPr>
        <w:t>Geçerliğine</w:t>
      </w:r>
      <w:proofErr w:type="spellEnd"/>
      <w:r w:rsidR="0063216E" w:rsidRPr="00E83E41">
        <w:rPr>
          <w:rFonts w:ascii="Cambria" w:hAnsi="Cambria"/>
          <w:b/>
          <w:color w:val="000000" w:themeColor="text1"/>
          <w:sz w:val="22"/>
          <w:lang w:val="en-US"/>
        </w:rPr>
        <w:t xml:space="preserve"> </w:t>
      </w:r>
      <w:proofErr w:type="spellStart"/>
      <w:r w:rsidR="0063216E" w:rsidRPr="00E83E41">
        <w:rPr>
          <w:rFonts w:ascii="Cambria" w:hAnsi="Cambria"/>
          <w:b/>
          <w:color w:val="000000" w:themeColor="text1"/>
          <w:sz w:val="22"/>
          <w:lang w:val="en-US"/>
        </w:rPr>
        <w:t>İlişkin</w:t>
      </w:r>
      <w:proofErr w:type="spellEnd"/>
      <w:r w:rsidR="0063216E" w:rsidRPr="00E83E41">
        <w:rPr>
          <w:rFonts w:ascii="Cambria" w:hAnsi="Cambria"/>
          <w:b/>
          <w:color w:val="000000" w:themeColor="text1"/>
          <w:sz w:val="22"/>
          <w:lang w:val="en-US"/>
        </w:rPr>
        <w:t xml:space="preserve"> </w:t>
      </w:r>
      <w:proofErr w:type="spellStart"/>
      <w:r w:rsidR="00A61531" w:rsidRPr="00E83E41">
        <w:rPr>
          <w:rFonts w:ascii="Cambria" w:hAnsi="Cambria"/>
          <w:b/>
          <w:color w:val="000000" w:themeColor="text1"/>
          <w:sz w:val="22"/>
          <w:lang w:val="en-US"/>
        </w:rPr>
        <w:t>Ek</w:t>
      </w:r>
      <w:proofErr w:type="spellEnd"/>
      <w:r w:rsidR="00A61531" w:rsidRPr="00E83E41">
        <w:rPr>
          <w:rFonts w:ascii="Cambria" w:hAnsi="Cambria"/>
          <w:b/>
          <w:color w:val="000000" w:themeColor="text1"/>
          <w:sz w:val="22"/>
          <w:lang w:val="en-US"/>
        </w:rPr>
        <w:t xml:space="preserve"> </w:t>
      </w:r>
      <w:proofErr w:type="spellStart"/>
      <w:r w:rsidR="00A61531" w:rsidRPr="00E83E41">
        <w:rPr>
          <w:rFonts w:ascii="Cambria" w:hAnsi="Cambria"/>
          <w:b/>
          <w:color w:val="000000" w:themeColor="text1"/>
          <w:sz w:val="22"/>
          <w:lang w:val="en-US"/>
        </w:rPr>
        <w:t>Bulgular</w:t>
      </w:r>
      <w:proofErr w:type="spellEnd"/>
    </w:p>
    <w:p w:rsidR="00F01C00" w:rsidRPr="00E83E41" w:rsidRDefault="001B5C2B" w:rsidP="008F6BC6">
      <w:pPr>
        <w:ind w:firstLine="567"/>
        <w:contextualSpacing/>
        <w:jc w:val="both"/>
        <w:rPr>
          <w:rFonts w:ascii="Cambria" w:hAnsi="Cambria"/>
          <w:color w:val="000000" w:themeColor="text1"/>
          <w:sz w:val="22"/>
        </w:rPr>
      </w:pPr>
      <w:r w:rsidRPr="00E83E41">
        <w:rPr>
          <w:rFonts w:ascii="Cambria" w:hAnsi="Cambria"/>
          <w:color w:val="000000" w:themeColor="text1"/>
          <w:sz w:val="22"/>
        </w:rPr>
        <w:t xml:space="preserve">Araştırmada ölçekten elde edilen verilerin </w:t>
      </w:r>
      <w:r w:rsidR="002F0940" w:rsidRPr="00E83E41">
        <w:rPr>
          <w:rFonts w:ascii="Cambria" w:hAnsi="Cambria"/>
          <w:color w:val="000000" w:themeColor="text1"/>
          <w:sz w:val="22"/>
        </w:rPr>
        <w:t xml:space="preserve">yapı geçerliğine ilişkin kanıt sunmak ve </w:t>
      </w:r>
      <w:r w:rsidR="00316444" w:rsidRPr="00E83E41">
        <w:rPr>
          <w:rFonts w:ascii="Cambria" w:hAnsi="Cambria"/>
          <w:color w:val="000000" w:themeColor="text1"/>
          <w:sz w:val="22"/>
        </w:rPr>
        <w:t xml:space="preserve">boyut </w:t>
      </w:r>
      <w:r w:rsidR="002F0940" w:rsidRPr="00E83E41">
        <w:rPr>
          <w:rFonts w:ascii="Cambria" w:hAnsi="Cambria"/>
          <w:color w:val="000000" w:themeColor="text1"/>
          <w:sz w:val="22"/>
        </w:rPr>
        <w:t>yapısının doğrulanıp doğrulanmadığını belirlemek amacıyla doğrulayıcı faktör analizi gerçekleştirilmiştir.</w:t>
      </w:r>
      <w:r w:rsidR="00F01C00" w:rsidRPr="00E83E41">
        <w:rPr>
          <w:rFonts w:ascii="Cambria" w:hAnsi="Cambria"/>
          <w:color w:val="000000" w:themeColor="text1"/>
          <w:sz w:val="22"/>
        </w:rPr>
        <w:t xml:space="preserve"> Model veri uyum indeksleri Tablo 8’de gösterilmektedir.</w:t>
      </w:r>
    </w:p>
    <w:p w:rsidR="00F01C00" w:rsidRDefault="00F01C00" w:rsidP="00F01C00">
      <w:pPr>
        <w:contextualSpacing/>
        <w:jc w:val="both"/>
        <w:rPr>
          <w:rFonts w:ascii="Cambria" w:hAnsi="Cambria"/>
          <w:b/>
          <w:color w:val="000000" w:themeColor="text1"/>
        </w:rPr>
      </w:pPr>
    </w:p>
    <w:p w:rsidR="00F01C00" w:rsidRPr="00E27F1C" w:rsidRDefault="00F01C00" w:rsidP="00F01C00">
      <w:pPr>
        <w:contextualSpacing/>
        <w:jc w:val="both"/>
        <w:rPr>
          <w:rFonts w:ascii="Cambria" w:hAnsi="Cambria"/>
          <w:color w:val="000000" w:themeColor="text1"/>
          <w:sz w:val="20"/>
          <w:szCs w:val="20"/>
        </w:rPr>
      </w:pPr>
      <w:r w:rsidRPr="00E27F1C">
        <w:rPr>
          <w:rFonts w:ascii="Cambria" w:hAnsi="Cambria"/>
          <w:b/>
          <w:color w:val="000000" w:themeColor="text1"/>
          <w:sz w:val="20"/>
          <w:szCs w:val="20"/>
        </w:rPr>
        <w:t>Tablo 8.</w:t>
      </w:r>
      <w:r w:rsidRPr="00E27F1C">
        <w:rPr>
          <w:rFonts w:ascii="Cambria" w:hAnsi="Cambria"/>
          <w:color w:val="000000" w:themeColor="text1"/>
          <w:sz w:val="20"/>
          <w:szCs w:val="20"/>
        </w:rPr>
        <w:t xml:space="preserve"> </w:t>
      </w:r>
      <w:r w:rsidRPr="00E27F1C">
        <w:rPr>
          <w:rFonts w:ascii="Cambria" w:hAnsi="Cambria"/>
          <w:i/>
          <w:color w:val="000000" w:themeColor="text1"/>
          <w:sz w:val="20"/>
          <w:szCs w:val="20"/>
        </w:rPr>
        <w:t>Doğrulayıcı faktör analizi uyum indeksleri</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1470"/>
        <w:gridCol w:w="680"/>
        <w:gridCol w:w="1109"/>
        <w:gridCol w:w="1341"/>
        <w:gridCol w:w="1043"/>
        <w:gridCol w:w="929"/>
      </w:tblGrid>
      <w:tr w:rsidR="00F01C00" w:rsidRPr="00E27F1C" w:rsidTr="00A71D98">
        <w:tc>
          <w:tcPr>
            <w:tcW w:w="1378" w:type="pct"/>
            <w:tcBorders>
              <w:bottom w:val="single" w:sz="4" w:space="0" w:color="auto"/>
            </w:tcBorders>
            <w:vAlign w:val="center"/>
          </w:tcPr>
          <w:p w:rsidR="00F01C00" w:rsidRPr="00E27F1C" w:rsidRDefault="00F01C00" w:rsidP="00A71D98">
            <w:pPr>
              <w:contextualSpacing/>
              <w:jc w:val="both"/>
              <w:rPr>
                <w:rFonts w:ascii="Cambria" w:hAnsi="Cambria"/>
                <w:color w:val="000000" w:themeColor="text1"/>
                <w:sz w:val="20"/>
                <w:szCs w:val="20"/>
              </w:rPr>
            </w:pPr>
            <w:r w:rsidRPr="00E27F1C">
              <w:rPr>
                <w:rFonts w:ascii="Cambria" w:hAnsi="Cambria"/>
                <w:color w:val="000000" w:themeColor="text1"/>
                <w:sz w:val="20"/>
                <w:szCs w:val="20"/>
              </w:rPr>
              <w:t>Model</w:t>
            </w:r>
          </w:p>
        </w:tc>
        <w:tc>
          <w:tcPr>
            <w:tcW w:w="810" w:type="pct"/>
            <w:tcBorders>
              <w:bottom w:val="single" w:sz="4" w:space="0" w:color="auto"/>
            </w:tcBorders>
            <w:vAlign w:val="center"/>
          </w:tcPr>
          <w:p w:rsidR="00F01C00" w:rsidRPr="00E27F1C" w:rsidRDefault="00F01C00"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Χ</w:t>
            </w:r>
            <w:r w:rsidRPr="00E27F1C">
              <w:rPr>
                <w:rFonts w:ascii="Cambria" w:hAnsi="Cambria"/>
                <w:color w:val="000000" w:themeColor="text1"/>
                <w:sz w:val="20"/>
                <w:szCs w:val="20"/>
                <w:vertAlign w:val="superscript"/>
              </w:rPr>
              <w:t>2</w:t>
            </w:r>
          </w:p>
        </w:tc>
        <w:tc>
          <w:tcPr>
            <w:tcW w:w="375" w:type="pct"/>
            <w:tcBorders>
              <w:bottom w:val="single" w:sz="4" w:space="0" w:color="auto"/>
            </w:tcBorders>
            <w:vAlign w:val="center"/>
          </w:tcPr>
          <w:p w:rsidR="00F01C00" w:rsidRPr="00E27F1C" w:rsidRDefault="00F01C00"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sd</w:t>
            </w:r>
          </w:p>
        </w:tc>
        <w:tc>
          <w:tcPr>
            <w:tcW w:w="611" w:type="pct"/>
            <w:tcBorders>
              <w:bottom w:val="single" w:sz="4" w:space="0" w:color="auto"/>
            </w:tcBorders>
            <w:vAlign w:val="center"/>
          </w:tcPr>
          <w:p w:rsidR="00F01C00" w:rsidRPr="00E27F1C" w:rsidRDefault="00F01C00"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Χ</w:t>
            </w:r>
            <w:r w:rsidRPr="00E27F1C">
              <w:rPr>
                <w:rFonts w:ascii="Cambria" w:hAnsi="Cambria"/>
                <w:color w:val="000000" w:themeColor="text1"/>
                <w:sz w:val="20"/>
                <w:szCs w:val="20"/>
                <w:vertAlign w:val="superscript"/>
              </w:rPr>
              <w:t>2</w:t>
            </w:r>
            <w:r w:rsidRPr="00E27F1C">
              <w:rPr>
                <w:rFonts w:ascii="Cambria" w:hAnsi="Cambria"/>
                <w:color w:val="000000" w:themeColor="text1"/>
                <w:sz w:val="20"/>
                <w:szCs w:val="20"/>
              </w:rPr>
              <w:t>/sd</w:t>
            </w:r>
          </w:p>
        </w:tc>
        <w:tc>
          <w:tcPr>
            <w:tcW w:w="739" w:type="pct"/>
            <w:tcBorders>
              <w:bottom w:val="single" w:sz="4" w:space="0" w:color="auto"/>
            </w:tcBorders>
            <w:vAlign w:val="center"/>
          </w:tcPr>
          <w:p w:rsidR="00F01C00" w:rsidRPr="00E27F1C" w:rsidRDefault="00F01C00"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RMSEA</w:t>
            </w:r>
          </w:p>
        </w:tc>
        <w:tc>
          <w:tcPr>
            <w:tcW w:w="575" w:type="pct"/>
            <w:tcBorders>
              <w:bottom w:val="single" w:sz="4" w:space="0" w:color="auto"/>
            </w:tcBorders>
            <w:vAlign w:val="center"/>
          </w:tcPr>
          <w:p w:rsidR="00F01C00" w:rsidRPr="00E27F1C" w:rsidRDefault="00F01C00"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NNFI</w:t>
            </w:r>
          </w:p>
        </w:tc>
        <w:tc>
          <w:tcPr>
            <w:tcW w:w="512" w:type="pct"/>
            <w:tcBorders>
              <w:bottom w:val="single" w:sz="4" w:space="0" w:color="auto"/>
            </w:tcBorders>
            <w:vAlign w:val="center"/>
          </w:tcPr>
          <w:p w:rsidR="00F01C00" w:rsidRPr="00E27F1C" w:rsidRDefault="00F01C00"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CFI</w:t>
            </w:r>
          </w:p>
        </w:tc>
      </w:tr>
      <w:tr w:rsidR="00F01C00" w:rsidRPr="00E27F1C" w:rsidTr="00A71D98">
        <w:tc>
          <w:tcPr>
            <w:tcW w:w="1378" w:type="pct"/>
            <w:tcBorders>
              <w:top w:val="single" w:sz="4" w:space="0" w:color="auto"/>
              <w:bottom w:val="single" w:sz="4" w:space="0" w:color="auto"/>
            </w:tcBorders>
            <w:vAlign w:val="center"/>
          </w:tcPr>
          <w:p w:rsidR="00F01C00" w:rsidRPr="00E27F1C" w:rsidRDefault="00F01C00" w:rsidP="00A71D98">
            <w:pPr>
              <w:contextualSpacing/>
              <w:jc w:val="both"/>
              <w:rPr>
                <w:rFonts w:ascii="Cambria" w:hAnsi="Cambria"/>
                <w:color w:val="000000" w:themeColor="text1"/>
                <w:sz w:val="20"/>
                <w:szCs w:val="20"/>
              </w:rPr>
            </w:pPr>
            <w:r w:rsidRPr="00E27F1C">
              <w:rPr>
                <w:rFonts w:ascii="Cambria" w:hAnsi="Cambria"/>
                <w:color w:val="000000" w:themeColor="text1"/>
                <w:sz w:val="20"/>
                <w:szCs w:val="20"/>
              </w:rPr>
              <w:t>İki boyutlu yapı</w:t>
            </w:r>
          </w:p>
        </w:tc>
        <w:tc>
          <w:tcPr>
            <w:tcW w:w="810" w:type="pct"/>
            <w:tcBorders>
              <w:top w:val="single" w:sz="4" w:space="0" w:color="auto"/>
              <w:bottom w:val="single" w:sz="4" w:space="0" w:color="auto"/>
            </w:tcBorders>
            <w:vAlign w:val="center"/>
          </w:tcPr>
          <w:p w:rsidR="00F01C00" w:rsidRPr="00E27F1C" w:rsidRDefault="00D75A61"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96.337</w:t>
            </w:r>
          </w:p>
        </w:tc>
        <w:tc>
          <w:tcPr>
            <w:tcW w:w="375" w:type="pct"/>
            <w:tcBorders>
              <w:top w:val="single" w:sz="4" w:space="0" w:color="auto"/>
              <w:bottom w:val="single" w:sz="4" w:space="0" w:color="auto"/>
            </w:tcBorders>
            <w:vAlign w:val="center"/>
          </w:tcPr>
          <w:p w:rsidR="00F01C00" w:rsidRPr="00E27F1C" w:rsidRDefault="00D75A61"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53</w:t>
            </w:r>
          </w:p>
        </w:tc>
        <w:tc>
          <w:tcPr>
            <w:tcW w:w="611" w:type="pct"/>
            <w:tcBorders>
              <w:top w:val="single" w:sz="4" w:space="0" w:color="auto"/>
              <w:bottom w:val="single" w:sz="4" w:space="0" w:color="auto"/>
            </w:tcBorders>
            <w:vAlign w:val="center"/>
          </w:tcPr>
          <w:p w:rsidR="00F01C00" w:rsidRPr="00E27F1C" w:rsidRDefault="00D75A61" w:rsidP="00A71D98">
            <w:pPr>
              <w:contextualSpacing/>
              <w:jc w:val="center"/>
              <w:rPr>
                <w:rFonts w:ascii="Cambria" w:hAnsi="Cambria"/>
                <w:color w:val="000000" w:themeColor="text1"/>
                <w:sz w:val="20"/>
                <w:szCs w:val="20"/>
              </w:rPr>
            </w:pPr>
            <w:r w:rsidRPr="00E27F1C">
              <w:rPr>
                <w:rFonts w:ascii="Cambria" w:hAnsi="Cambria"/>
                <w:color w:val="000000" w:themeColor="text1"/>
                <w:sz w:val="20"/>
                <w:szCs w:val="20"/>
              </w:rPr>
              <w:t>1.818</w:t>
            </w:r>
          </w:p>
        </w:tc>
        <w:tc>
          <w:tcPr>
            <w:tcW w:w="739" w:type="pct"/>
            <w:tcBorders>
              <w:top w:val="single" w:sz="4" w:space="0" w:color="auto"/>
              <w:bottom w:val="single" w:sz="4" w:space="0" w:color="auto"/>
            </w:tcBorders>
            <w:vAlign w:val="center"/>
          </w:tcPr>
          <w:p w:rsidR="00F01C00" w:rsidRPr="00E27F1C" w:rsidRDefault="00F01C00" w:rsidP="00D75A61">
            <w:pPr>
              <w:contextualSpacing/>
              <w:jc w:val="center"/>
              <w:rPr>
                <w:rFonts w:ascii="Cambria" w:hAnsi="Cambria"/>
                <w:color w:val="000000" w:themeColor="text1"/>
                <w:sz w:val="20"/>
                <w:szCs w:val="20"/>
              </w:rPr>
            </w:pPr>
            <w:r w:rsidRPr="00E27F1C">
              <w:rPr>
                <w:rFonts w:ascii="Cambria" w:hAnsi="Cambria"/>
                <w:color w:val="000000" w:themeColor="text1"/>
                <w:sz w:val="20"/>
                <w:szCs w:val="20"/>
              </w:rPr>
              <w:t>.0</w:t>
            </w:r>
            <w:r w:rsidR="00D75A61" w:rsidRPr="00E27F1C">
              <w:rPr>
                <w:rFonts w:ascii="Cambria" w:hAnsi="Cambria"/>
                <w:color w:val="000000" w:themeColor="text1"/>
                <w:sz w:val="20"/>
                <w:szCs w:val="20"/>
              </w:rPr>
              <w:t>61</w:t>
            </w:r>
          </w:p>
        </w:tc>
        <w:tc>
          <w:tcPr>
            <w:tcW w:w="575" w:type="pct"/>
            <w:tcBorders>
              <w:top w:val="single" w:sz="4" w:space="0" w:color="auto"/>
              <w:bottom w:val="single" w:sz="4" w:space="0" w:color="auto"/>
            </w:tcBorders>
            <w:vAlign w:val="center"/>
          </w:tcPr>
          <w:p w:rsidR="00F01C00" w:rsidRPr="00E27F1C" w:rsidRDefault="00F01C00" w:rsidP="00D75A61">
            <w:pPr>
              <w:contextualSpacing/>
              <w:jc w:val="center"/>
              <w:rPr>
                <w:rFonts w:ascii="Cambria" w:hAnsi="Cambria"/>
                <w:color w:val="000000" w:themeColor="text1"/>
                <w:sz w:val="20"/>
                <w:szCs w:val="20"/>
              </w:rPr>
            </w:pPr>
            <w:r w:rsidRPr="00E27F1C">
              <w:rPr>
                <w:rFonts w:ascii="Cambria" w:hAnsi="Cambria"/>
                <w:color w:val="000000" w:themeColor="text1"/>
                <w:sz w:val="20"/>
                <w:szCs w:val="20"/>
              </w:rPr>
              <w:t>.</w:t>
            </w:r>
            <w:r w:rsidR="00D75A61" w:rsidRPr="00E27F1C">
              <w:rPr>
                <w:rFonts w:ascii="Cambria" w:hAnsi="Cambria"/>
                <w:color w:val="000000" w:themeColor="text1"/>
                <w:sz w:val="20"/>
                <w:szCs w:val="20"/>
              </w:rPr>
              <w:t>926</w:t>
            </w:r>
          </w:p>
        </w:tc>
        <w:tc>
          <w:tcPr>
            <w:tcW w:w="512" w:type="pct"/>
            <w:tcBorders>
              <w:top w:val="single" w:sz="4" w:space="0" w:color="auto"/>
              <w:bottom w:val="single" w:sz="4" w:space="0" w:color="auto"/>
            </w:tcBorders>
            <w:vAlign w:val="center"/>
          </w:tcPr>
          <w:p w:rsidR="00F01C00" w:rsidRPr="00E27F1C" w:rsidRDefault="00F01C00" w:rsidP="00D75A61">
            <w:pPr>
              <w:contextualSpacing/>
              <w:jc w:val="center"/>
              <w:rPr>
                <w:rFonts w:ascii="Cambria" w:hAnsi="Cambria"/>
                <w:color w:val="000000" w:themeColor="text1"/>
                <w:sz w:val="20"/>
                <w:szCs w:val="20"/>
              </w:rPr>
            </w:pPr>
            <w:r w:rsidRPr="00E27F1C">
              <w:rPr>
                <w:rFonts w:ascii="Cambria" w:hAnsi="Cambria"/>
                <w:color w:val="000000" w:themeColor="text1"/>
                <w:sz w:val="20"/>
                <w:szCs w:val="20"/>
              </w:rPr>
              <w:t>.</w:t>
            </w:r>
            <w:r w:rsidR="00D75A61" w:rsidRPr="00E27F1C">
              <w:rPr>
                <w:rFonts w:ascii="Cambria" w:hAnsi="Cambria"/>
                <w:color w:val="000000" w:themeColor="text1"/>
                <w:sz w:val="20"/>
                <w:szCs w:val="20"/>
              </w:rPr>
              <w:t>941</w:t>
            </w:r>
          </w:p>
        </w:tc>
      </w:tr>
    </w:tbl>
    <w:p w:rsidR="00F01C00" w:rsidRDefault="00F01C00" w:rsidP="00F01C00">
      <w:pPr>
        <w:contextualSpacing/>
        <w:jc w:val="both"/>
        <w:rPr>
          <w:rFonts w:ascii="Cambria" w:hAnsi="Cambria"/>
          <w:color w:val="000000" w:themeColor="text1"/>
        </w:rPr>
      </w:pPr>
    </w:p>
    <w:p w:rsidR="003C5106" w:rsidRPr="00E83E41" w:rsidRDefault="00F01C00" w:rsidP="00E83E41">
      <w:pPr>
        <w:ind w:firstLine="567"/>
        <w:contextualSpacing/>
        <w:jc w:val="both"/>
        <w:rPr>
          <w:rFonts w:ascii="Cambria" w:hAnsi="Cambria"/>
          <w:color w:val="000000" w:themeColor="text1"/>
          <w:sz w:val="22"/>
        </w:rPr>
      </w:pPr>
      <w:r w:rsidRPr="00E83E41">
        <w:rPr>
          <w:rFonts w:ascii="Cambria" w:hAnsi="Cambria"/>
          <w:color w:val="000000" w:themeColor="text1"/>
          <w:sz w:val="22"/>
        </w:rPr>
        <w:t>Tablo 8’de yer alan uyum indeksleri incelendiğinde, Χ</w:t>
      </w:r>
      <w:r w:rsidRPr="00E83E41">
        <w:rPr>
          <w:rFonts w:ascii="Cambria" w:hAnsi="Cambria"/>
          <w:color w:val="000000" w:themeColor="text1"/>
          <w:sz w:val="22"/>
          <w:vertAlign w:val="superscript"/>
        </w:rPr>
        <w:t>2</w:t>
      </w:r>
      <w:r w:rsidRPr="00E83E41">
        <w:rPr>
          <w:rFonts w:ascii="Cambria" w:hAnsi="Cambria"/>
          <w:color w:val="000000" w:themeColor="text1"/>
          <w:sz w:val="22"/>
        </w:rPr>
        <w:t>/sd değeri (</w:t>
      </w:r>
      <w:r w:rsidR="00AF4692" w:rsidRPr="00E83E41">
        <w:rPr>
          <w:rFonts w:ascii="Cambria" w:hAnsi="Cambria"/>
          <w:color w:val="000000" w:themeColor="text1"/>
          <w:sz w:val="22"/>
        </w:rPr>
        <w:t>1.818</w:t>
      </w:r>
      <w:r w:rsidRPr="00E83E41">
        <w:rPr>
          <w:rFonts w:ascii="Cambria" w:hAnsi="Cambria"/>
          <w:color w:val="000000" w:themeColor="text1"/>
          <w:sz w:val="22"/>
        </w:rPr>
        <w:t>&lt;2.500, p=.00&lt;.05) modelde mükemmel bir uyum bulunduğunu göstermektedir (Kline, 2011). RMSEA değeri .0</w:t>
      </w:r>
      <w:r w:rsidR="00AF4692" w:rsidRPr="00E83E41">
        <w:rPr>
          <w:rFonts w:ascii="Cambria" w:hAnsi="Cambria"/>
          <w:color w:val="000000" w:themeColor="text1"/>
          <w:sz w:val="22"/>
        </w:rPr>
        <w:t>61</w:t>
      </w:r>
      <w:r w:rsidRPr="00E83E41">
        <w:rPr>
          <w:rFonts w:ascii="Cambria" w:hAnsi="Cambria"/>
          <w:color w:val="000000" w:themeColor="text1"/>
          <w:sz w:val="22"/>
        </w:rPr>
        <w:t xml:space="preserve"> bulunmuştur ve RMSEA değerinin &lt;.08 olması modeldeki iyi uyuma işaret etmektedir (Jöreskog ve Sörbom, 1993). NNFI değeri .</w:t>
      </w:r>
      <w:r w:rsidR="00AF4692" w:rsidRPr="00E83E41">
        <w:rPr>
          <w:rFonts w:ascii="Cambria" w:hAnsi="Cambria"/>
          <w:color w:val="000000" w:themeColor="text1"/>
          <w:sz w:val="22"/>
        </w:rPr>
        <w:t>926</w:t>
      </w:r>
      <w:r w:rsidRPr="00E83E41">
        <w:rPr>
          <w:rFonts w:ascii="Cambria" w:hAnsi="Cambria"/>
          <w:color w:val="000000" w:themeColor="text1"/>
          <w:sz w:val="22"/>
        </w:rPr>
        <w:t xml:space="preserve"> ve CFI değeri .</w:t>
      </w:r>
      <w:r w:rsidR="00AF4692" w:rsidRPr="00E83E41">
        <w:rPr>
          <w:rFonts w:ascii="Cambria" w:hAnsi="Cambria"/>
          <w:color w:val="000000" w:themeColor="text1"/>
          <w:sz w:val="22"/>
        </w:rPr>
        <w:t>941</w:t>
      </w:r>
      <w:r w:rsidR="00372DB3" w:rsidRPr="00E83E41">
        <w:rPr>
          <w:rFonts w:ascii="Cambria" w:hAnsi="Cambria"/>
          <w:color w:val="000000" w:themeColor="text1"/>
          <w:sz w:val="22"/>
        </w:rPr>
        <w:t xml:space="preserve"> bulunmuştur. Bu değerler (NNFI ve CFI) 0 ile 1 arasında değer almakta ve bu değerlerin</w:t>
      </w:r>
      <w:r w:rsidRPr="00E83E41">
        <w:rPr>
          <w:rFonts w:ascii="Cambria" w:hAnsi="Cambria"/>
          <w:color w:val="000000" w:themeColor="text1"/>
          <w:sz w:val="22"/>
        </w:rPr>
        <w:t xml:space="preserve"> 1’e yaklaşması model veri uyumunun arttığını göstermektedir</w:t>
      </w:r>
      <w:r w:rsidR="00C75CE3" w:rsidRPr="00E83E41">
        <w:rPr>
          <w:rFonts w:ascii="Cambria" w:hAnsi="Cambria"/>
          <w:color w:val="000000" w:themeColor="text1"/>
          <w:sz w:val="22"/>
        </w:rPr>
        <w:t xml:space="preserve"> (Raykov ve Marcoulides, 2006; Schumacker ve Lomax, 2010)</w:t>
      </w:r>
      <w:r w:rsidRPr="00E83E41">
        <w:rPr>
          <w:rFonts w:ascii="Cambria" w:hAnsi="Cambria"/>
          <w:color w:val="000000" w:themeColor="text1"/>
          <w:sz w:val="22"/>
        </w:rPr>
        <w:t>.</w:t>
      </w:r>
      <w:r w:rsidR="00EE7490" w:rsidRPr="00E83E41">
        <w:rPr>
          <w:rFonts w:ascii="Cambria" w:hAnsi="Cambria"/>
          <w:color w:val="000000" w:themeColor="text1"/>
          <w:sz w:val="22"/>
        </w:rPr>
        <w:t xml:space="preserve"> NNFI değerinin .90 ve .95’e yakın olması iyi bir uyum olduğunu göstermektedir (Schumacker ve Lomax, 2010). </w:t>
      </w:r>
      <w:r w:rsidR="00F31B6D" w:rsidRPr="00E83E41">
        <w:rPr>
          <w:rFonts w:ascii="Cambria" w:hAnsi="Cambria"/>
          <w:color w:val="000000" w:themeColor="text1"/>
          <w:sz w:val="22"/>
        </w:rPr>
        <w:t xml:space="preserve">CFI indeksinin </w:t>
      </w:r>
      <w:r w:rsidR="00C75CE3" w:rsidRPr="00E83E41">
        <w:rPr>
          <w:rFonts w:ascii="Cambria" w:hAnsi="Cambria"/>
          <w:color w:val="000000" w:themeColor="text1"/>
          <w:sz w:val="22"/>
        </w:rPr>
        <w:t xml:space="preserve">ise </w:t>
      </w:r>
      <w:r w:rsidR="00F31B6D" w:rsidRPr="00E83E41">
        <w:rPr>
          <w:rFonts w:ascii="Cambria" w:hAnsi="Cambria"/>
          <w:color w:val="000000" w:themeColor="text1"/>
          <w:sz w:val="22"/>
        </w:rPr>
        <w:t>.90’ın üzerinde olması kabul edilebilirdir (</w:t>
      </w:r>
      <w:r w:rsidR="001473CC" w:rsidRPr="00E83E41">
        <w:rPr>
          <w:rFonts w:ascii="Cambria" w:hAnsi="Cambria"/>
          <w:color w:val="000000" w:themeColor="text1"/>
          <w:sz w:val="22"/>
        </w:rPr>
        <w:t>Di</w:t>
      </w:r>
      <w:r w:rsidR="004601FC" w:rsidRPr="00E83E41">
        <w:rPr>
          <w:rFonts w:ascii="Cambria" w:hAnsi="Cambria"/>
          <w:color w:val="000000" w:themeColor="text1"/>
          <w:sz w:val="22"/>
        </w:rPr>
        <w:t>L</w:t>
      </w:r>
      <w:r w:rsidR="001473CC" w:rsidRPr="00E83E41">
        <w:rPr>
          <w:rFonts w:ascii="Cambria" w:hAnsi="Cambria"/>
          <w:color w:val="000000" w:themeColor="text1"/>
          <w:sz w:val="22"/>
        </w:rPr>
        <w:t>alla</w:t>
      </w:r>
      <w:r w:rsidR="00F31B6D" w:rsidRPr="00E83E41">
        <w:rPr>
          <w:rFonts w:ascii="Cambria" w:hAnsi="Cambria"/>
          <w:color w:val="000000" w:themeColor="text1"/>
          <w:sz w:val="22"/>
        </w:rPr>
        <w:t>, 2000</w:t>
      </w:r>
      <w:r w:rsidR="00EC40B7" w:rsidRPr="00E83E41">
        <w:rPr>
          <w:rFonts w:ascii="Cambria" w:hAnsi="Cambria"/>
          <w:color w:val="000000" w:themeColor="text1"/>
          <w:sz w:val="22"/>
        </w:rPr>
        <w:t>; Westland, 2015</w:t>
      </w:r>
      <w:r w:rsidR="00F31B6D" w:rsidRPr="00E83E41">
        <w:rPr>
          <w:rFonts w:ascii="Cambria" w:hAnsi="Cambria"/>
          <w:color w:val="000000" w:themeColor="text1"/>
          <w:sz w:val="22"/>
        </w:rPr>
        <w:t>).</w:t>
      </w:r>
      <w:r w:rsidRPr="00E83E41">
        <w:rPr>
          <w:rFonts w:ascii="Cambria" w:hAnsi="Cambria"/>
          <w:color w:val="000000" w:themeColor="text1"/>
          <w:sz w:val="22"/>
        </w:rPr>
        <w:t xml:space="preserve"> Uyum indeksleri genel olarak incelendiğinde model veri uyumunun sağlandığı belirtilebilir. </w:t>
      </w:r>
      <w:r w:rsidR="00316444" w:rsidRPr="00E83E41">
        <w:rPr>
          <w:rFonts w:ascii="Cambria" w:hAnsi="Cambria"/>
          <w:color w:val="000000" w:themeColor="text1"/>
          <w:sz w:val="22"/>
        </w:rPr>
        <w:t>Doğrulayıcı faktör analizi sonu</w:t>
      </w:r>
      <w:r w:rsidRPr="00E83E41">
        <w:rPr>
          <w:rFonts w:ascii="Cambria" w:hAnsi="Cambria"/>
          <w:color w:val="000000" w:themeColor="text1"/>
          <w:sz w:val="22"/>
        </w:rPr>
        <w:t>cunda ulaşılan λ (lambda) katsayıları (standardize faktör yükleri) ve R</w:t>
      </w:r>
      <w:r w:rsidRPr="00E83E41">
        <w:rPr>
          <w:rFonts w:ascii="Cambria" w:hAnsi="Cambria"/>
          <w:color w:val="000000" w:themeColor="text1"/>
          <w:sz w:val="22"/>
          <w:vertAlign w:val="superscript"/>
        </w:rPr>
        <w:t xml:space="preserve">2 </w:t>
      </w:r>
      <w:r w:rsidRPr="00E83E41">
        <w:rPr>
          <w:rFonts w:ascii="Cambria" w:hAnsi="Cambria"/>
          <w:color w:val="000000" w:themeColor="text1"/>
          <w:sz w:val="22"/>
        </w:rPr>
        <w:t>(çoklu korelasyon kareleri) değerleri Tablo 9’da gösterilmiştir.</w:t>
      </w:r>
    </w:p>
    <w:p w:rsidR="003C5106" w:rsidRPr="00E27F1C" w:rsidRDefault="003C5106" w:rsidP="00E83E41">
      <w:pPr>
        <w:spacing w:before="120" w:after="120"/>
        <w:rPr>
          <w:rFonts w:ascii="Cambria" w:hAnsi="Cambria"/>
          <w:i/>
          <w:color w:val="000000" w:themeColor="text1"/>
          <w:sz w:val="20"/>
          <w:szCs w:val="20"/>
        </w:rPr>
      </w:pPr>
      <w:r w:rsidRPr="00E27F1C">
        <w:rPr>
          <w:rFonts w:ascii="Cambria" w:hAnsi="Cambria"/>
          <w:b/>
          <w:color w:val="000000" w:themeColor="text1"/>
          <w:sz w:val="20"/>
          <w:szCs w:val="20"/>
        </w:rPr>
        <w:t xml:space="preserve">Tablo </w:t>
      </w:r>
      <w:r w:rsidR="00F01C00" w:rsidRPr="00E27F1C">
        <w:rPr>
          <w:rFonts w:ascii="Cambria" w:hAnsi="Cambria"/>
          <w:b/>
          <w:color w:val="000000" w:themeColor="text1"/>
          <w:sz w:val="20"/>
          <w:szCs w:val="20"/>
        </w:rPr>
        <w:t>9</w:t>
      </w:r>
      <w:r w:rsidRPr="00E27F1C">
        <w:rPr>
          <w:rFonts w:ascii="Cambria" w:hAnsi="Cambria"/>
          <w:b/>
          <w:color w:val="000000" w:themeColor="text1"/>
          <w:sz w:val="20"/>
          <w:szCs w:val="20"/>
        </w:rPr>
        <w:t>.</w:t>
      </w:r>
      <w:r w:rsidRPr="00E27F1C">
        <w:rPr>
          <w:rFonts w:ascii="Cambria" w:hAnsi="Cambria"/>
          <w:i/>
          <w:color w:val="000000" w:themeColor="text1"/>
          <w:sz w:val="20"/>
          <w:szCs w:val="20"/>
        </w:rPr>
        <w:t xml:space="preserve"> Doğrulayıcı faktör </w:t>
      </w:r>
      <w:r w:rsidR="00F01C00" w:rsidRPr="00E27F1C">
        <w:rPr>
          <w:rFonts w:ascii="Cambria" w:hAnsi="Cambria"/>
          <w:i/>
          <w:color w:val="000000" w:themeColor="text1"/>
          <w:sz w:val="20"/>
          <w:szCs w:val="20"/>
        </w:rPr>
        <w:t>analizi sonucunda elde edilen λ</w:t>
      </w:r>
      <w:r w:rsidRPr="00E27F1C">
        <w:rPr>
          <w:rFonts w:ascii="Cambria" w:hAnsi="Cambria"/>
          <w:i/>
          <w:color w:val="000000" w:themeColor="text1"/>
          <w:sz w:val="20"/>
          <w:szCs w:val="20"/>
        </w:rPr>
        <w:t xml:space="preserve"> ve R</w:t>
      </w:r>
      <w:r w:rsidRPr="00E27F1C">
        <w:rPr>
          <w:rFonts w:ascii="Cambria" w:hAnsi="Cambria"/>
          <w:i/>
          <w:color w:val="000000" w:themeColor="text1"/>
          <w:sz w:val="20"/>
          <w:szCs w:val="20"/>
          <w:vertAlign w:val="superscript"/>
        </w:rPr>
        <w:t>2</w:t>
      </w:r>
      <w:r w:rsidRPr="00E27F1C">
        <w:rPr>
          <w:rFonts w:ascii="Cambria" w:hAnsi="Cambria"/>
          <w:i/>
          <w:color w:val="000000" w:themeColor="text1"/>
          <w:sz w:val="20"/>
          <w:szCs w:val="20"/>
        </w:rPr>
        <w:t xml:space="preserve"> değerleri</w:t>
      </w:r>
    </w:p>
    <w:tbl>
      <w:tblPr>
        <w:tblW w:w="5000" w:type="pct"/>
        <w:tblBorders>
          <w:top w:val="single" w:sz="4" w:space="0" w:color="auto"/>
          <w:bottom w:val="single" w:sz="4" w:space="0" w:color="auto"/>
        </w:tblBorders>
        <w:tblLook w:val="04A0" w:firstRow="1" w:lastRow="0" w:firstColumn="1" w:lastColumn="0" w:noHBand="0" w:noVBand="1"/>
      </w:tblPr>
      <w:tblGrid>
        <w:gridCol w:w="3256"/>
        <w:gridCol w:w="1421"/>
        <w:gridCol w:w="3720"/>
        <w:gridCol w:w="675"/>
      </w:tblGrid>
      <w:tr w:rsidR="003C5106" w:rsidRPr="00E27F1C" w:rsidTr="00035D7B">
        <w:tc>
          <w:tcPr>
            <w:tcW w:w="1795" w:type="pct"/>
            <w:tcBorders>
              <w:bottom w:val="single" w:sz="4" w:space="0" w:color="auto"/>
            </w:tcBorders>
          </w:tcPr>
          <w:p w:rsidR="003C5106" w:rsidRPr="00E27F1C" w:rsidRDefault="003C5106" w:rsidP="00A71D98">
            <w:pPr>
              <w:contextualSpacing/>
              <w:jc w:val="center"/>
              <w:rPr>
                <w:rFonts w:ascii="Cambria" w:hAnsi="Cambria"/>
                <w:color w:val="000000" w:themeColor="text1"/>
                <w:sz w:val="20"/>
                <w:szCs w:val="20"/>
                <w:lang w:val="en-US"/>
              </w:rPr>
            </w:pPr>
            <w:proofErr w:type="spellStart"/>
            <w:r w:rsidRPr="00E27F1C">
              <w:rPr>
                <w:rFonts w:ascii="Cambria" w:hAnsi="Cambria"/>
                <w:color w:val="000000" w:themeColor="text1"/>
                <w:sz w:val="20"/>
                <w:szCs w:val="20"/>
                <w:lang w:val="en-US"/>
              </w:rPr>
              <w:t>Boyutlar</w:t>
            </w:r>
            <w:proofErr w:type="spellEnd"/>
          </w:p>
        </w:tc>
        <w:tc>
          <w:tcPr>
            <w:tcW w:w="783" w:type="pct"/>
            <w:tcBorders>
              <w:bottom w:val="single" w:sz="4" w:space="0" w:color="auto"/>
            </w:tcBorders>
            <w:shd w:val="clear" w:color="auto" w:fill="auto"/>
            <w:vAlign w:val="center"/>
          </w:tcPr>
          <w:p w:rsidR="003C5106" w:rsidRPr="00E27F1C" w:rsidRDefault="003C5106" w:rsidP="003C5106">
            <w:pPr>
              <w:contextualSpacing/>
              <w:jc w:val="center"/>
              <w:rPr>
                <w:rFonts w:ascii="Cambria" w:hAnsi="Cambria"/>
                <w:color w:val="000000" w:themeColor="text1"/>
                <w:sz w:val="20"/>
                <w:szCs w:val="20"/>
                <w:lang w:val="en-US"/>
              </w:rPr>
            </w:pPr>
            <w:proofErr w:type="spellStart"/>
            <w:r w:rsidRPr="00E27F1C">
              <w:rPr>
                <w:rFonts w:ascii="Cambria" w:hAnsi="Cambria"/>
                <w:color w:val="000000" w:themeColor="text1"/>
                <w:sz w:val="20"/>
                <w:szCs w:val="20"/>
                <w:lang w:val="en-US"/>
              </w:rPr>
              <w:t>Maddeler</w:t>
            </w:r>
            <w:proofErr w:type="spellEnd"/>
          </w:p>
        </w:tc>
        <w:tc>
          <w:tcPr>
            <w:tcW w:w="2050" w:type="pct"/>
            <w:tcBorders>
              <w:bottom w:val="single" w:sz="4" w:space="0" w:color="auto"/>
            </w:tcBorders>
            <w:shd w:val="clear" w:color="auto" w:fill="auto"/>
            <w:vAlign w:val="center"/>
          </w:tcPr>
          <w:p w:rsidR="003C5106" w:rsidRPr="00E27F1C" w:rsidRDefault="00F01C00" w:rsidP="00A71D9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λ</w:t>
            </w:r>
          </w:p>
        </w:tc>
        <w:tc>
          <w:tcPr>
            <w:tcW w:w="372" w:type="pct"/>
            <w:tcBorders>
              <w:bottom w:val="single" w:sz="4" w:space="0" w:color="auto"/>
            </w:tcBorders>
          </w:tcPr>
          <w:p w:rsidR="003C5106" w:rsidRPr="00E27F1C" w:rsidRDefault="003C5106" w:rsidP="00A71D9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R</w:t>
            </w:r>
            <w:r w:rsidRPr="00E27F1C">
              <w:rPr>
                <w:rFonts w:ascii="Cambria" w:hAnsi="Cambria"/>
                <w:color w:val="000000" w:themeColor="text1"/>
                <w:sz w:val="20"/>
                <w:szCs w:val="20"/>
                <w:vertAlign w:val="superscript"/>
                <w:lang w:val="en-US"/>
              </w:rPr>
              <w:t>2</w:t>
            </w:r>
          </w:p>
        </w:tc>
      </w:tr>
      <w:tr w:rsidR="006D51F8" w:rsidRPr="00E27F1C" w:rsidTr="00035D7B">
        <w:tc>
          <w:tcPr>
            <w:tcW w:w="1795" w:type="pct"/>
            <w:vMerge w:val="restart"/>
            <w:tcBorders>
              <w:top w:val="single" w:sz="4" w:space="0" w:color="auto"/>
            </w:tcBorders>
            <w:vAlign w:val="center"/>
          </w:tcPr>
          <w:p w:rsidR="006D51F8" w:rsidRPr="00E27F1C" w:rsidRDefault="006D51F8" w:rsidP="006D51F8">
            <w:pPr>
              <w:contextualSpacing/>
              <w:jc w:val="center"/>
              <w:rPr>
                <w:rFonts w:ascii="Cambria" w:hAnsi="Cambria"/>
                <w:color w:val="000000" w:themeColor="text1"/>
                <w:sz w:val="20"/>
                <w:szCs w:val="20"/>
                <w:lang w:val="en-US"/>
              </w:rPr>
            </w:pPr>
            <w:proofErr w:type="spellStart"/>
            <w:r w:rsidRPr="00E27F1C">
              <w:rPr>
                <w:rFonts w:ascii="Cambria" w:hAnsi="Cambria"/>
                <w:color w:val="000000" w:themeColor="text1"/>
                <w:sz w:val="20"/>
                <w:szCs w:val="20"/>
                <w:lang w:val="en-US"/>
              </w:rPr>
              <w:lastRenderedPageBreak/>
              <w:t>Gelişim</w:t>
            </w:r>
            <w:proofErr w:type="spellEnd"/>
            <w:r w:rsidRPr="00E27F1C">
              <w:rPr>
                <w:rFonts w:ascii="Cambria" w:hAnsi="Cambria"/>
                <w:color w:val="000000" w:themeColor="text1"/>
                <w:sz w:val="20"/>
                <w:szCs w:val="20"/>
                <w:lang w:val="en-US"/>
              </w:rPr>
              <w:t xml:space="preserve"> </w:t>
            </w:r>
            <w:proofErr w:type="spellStart"/>
            <w:r w:rsidRPr="00E27F1C">
              <w:rPr>
                <w:rFonts w:ascii="Cambria" w:hAnsi="Cambria"/>
                <w:color w:val="000000" w:themeColor="text1"/>
                <w:sz w:val="20"/>
                <w:szCs w:val="20"/>
                <w:lang w:val="en-US"/>
              </w:rPr>
              <w:t>Sağlama</w:t>
            </w:r>
            <w:proofErr w:type="spellEnd"/>
            <w:r w:rsidRPr="00E27F1C">
              <w:rPr>
                <w:rFonts w:ascii="Cambria" w:hAnsi="Cambria"/>
                <w:color w:val="000000" w:themeColor="text1"/>
                <w:sz w:val="20"/>
                <w:szCs w:val="20"/>
                <w:lang w:val="en-US"/>
              </w:rPr>
              <w:t xml:space="preserve"> </w:t>
            </w:r>
            <w:proofErr w:type="spellStart"/>
            <w:r w:rsidRPr="00E27F1C">
              <w:rPr>
                <w:rFonts w:ascii="Cambria" w:hAnsi="Cambria"/>
                <w:color w:val="000000" w:themeColor="text1"/>
                <w:sz w:val="20"/>
                <w:szCs w:val="20"/>
                <w:lang w:val="en-US"/>
              </w:rPr>
              <w:t>ve</w:t>
            </w:r>
            <w:proofErr w:type="spellEnd"/>
            <w:r w:rsidRPr="00E27F1C">
              <w:rPr>
                <w:rFonts w:ascii="Cambria" w:hAnsi="Cambria"/>
                <w:color w:val="000000" w:themeColor="text1"/>
                <w:sz w:val="20"/>
                <w:szCs w:val="20"/>
                <w:lang w:val="en-US"/>
              </w:rPr>
              <w:t xml:space="preserve"> </w:t>
            </w:r>
            <w:proofErr w:type="spellStart"/>
            <w:r w:rsidRPr="00E27F1C">
              <w:rPr>
                <w:rFonts w:ascii="Cambria" w:hAnsi="Cambria"/>
                <w:color w:val="000000" w:themeColor="text1"/>
                <w:sz w:val="20"/>
                <w:szCs w:val="20"/>
                <w:lang w:val="en-US"/>
              </w:rPr>
              <w:t>İyilik</w:t>
            </w:r>
            <w:proofErr w:type="spellEnd"/>
          </w:p>
        </w:tc>
        <w:tc>
          <w:tcPr>
            <w:tcW w:w="783" w:type="pct"/>
            <w:tcBorders>
              <w:top w:val="single" w:sz="4" w:space="0" w:color="auto"/>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M4</w:t>
            </w:r>
          </w:p>
        </w:tc>
        <w:tc>
          <w:tcPr>
            <w:tcW w:w="2050" w:type="pct"/>
            <w:tcBorders>
              <w:top w:val="single" w:sz="4" w:space="0" w:color="auto"/>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.636</w:t>
            </w:r>
            <w:r w:rsidR="006D51F8" w:rsidRPr="00E27F1C">
              <w:rPr>
                <w:rFonts w:ascii="Cambria" w:hAnsi="Cambria"/>
                <w:color w:val="000000" w:themeColor="text1"/>
                <w:sz w:val="20"/>
                <w:szCs w:val="20"/>
                <w:lang w:val="en-US"/>
              </w:rPr>
              <w:t>*</w:t>
            </w:r>
          </w:p>
        </w:tc>
        <w:tc>
          <w:tcPr>
            <w:tcW w:w="372" w:type="pct"/>
            <w:tcBorders>
              <w:top w:val="single" w:sz="4" w:space="0" w:color="auto"/>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.40</w:t>
            </w:r>
            <w:r w:rsidR="00E64857" w:rsidRPr="00E27F1C">
              <w:rPr>
                <w:rFonts w:ascii="Cambria" w:hAnsi="Cambria"/>
                <w:color w:val="000000" w:themeColor="text1"/>
                <w:sz w:val="20"/>
                <w:szCs w:val="20"/>
                <w:lang w:val="en-US"/>
              </w:rPr>
              <w:t>4</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M5</w:t>
            </w:r>
          </w:p>
        </w:tc>
        <w:tc>
          <w:tcPr>
            <w:tcW w:w="2050"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w:t>
            </w:r>
            <w:r w:rsidR="00F97B63" w:rsidRPr="00E27F1C">
              <w:rPr>
                <w:rFonts w:ascii="Cambria" w:hAnsi="Cambria"/>
                <w:color w:val="000000" w:themeColor="text1"/>
                <w:sz w:val="20"/>
                <w:szCs w:val="20"/>
                <w:lang w:val="en-US"/>
              </w:rPr>
              <w:t>467</w:t>
            </w:r>
            <w:r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.2</w:t>
            </w:r>
            <w:r w:rsidR="00E64857" w:rsidRPr="00E27F1C">
              <w:rPr>
                <w:rFonts w:ascii="Cambria" w:hAnsi="Cambria"/>
                <w:color w:val="000000" w:themeColor="text1"/>
                <w:sz w:val="20"/>
                <w:szCs w:val="20"/>
                <w:lang w:val="en-US"/>
              </w:rPr>
              <w:t>18</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 xml:space="preserve">M6 </w:t>
            </w:r>
          </w:p>
        </w:tc>
        <w:tc>
          <w:tcPr>
            <w:tcW w:w="2050" w:type="pct"/>
            <w:tcBorders>
              <w:top w:val="nil"/>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.903</w:t>
            </w:r>
            <w:r w:rsidR="006D51F8"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.8</w:t>
            </w:r>
            <w:r w:rsidR="00E64857" w:rsidRPr="00E27F1C">
              <w:rPr>
                <w:rFonts w:ascii="Cambria" w:hAnsi="Cambria"/>
                <w:color w:val="000000" w:themeColor="text1"/>
                <w:sz w:val="20"/>
                <w:szCs w:val="20"/>
                <w:lang w:val="en-US"/>
              </w:rPr>
              <w:t>15</w:t>
            </w:r>
            <w:r w:rsidR="00F01C00" w:rsidRPr="00E27F1C">
              <w:rPr>
                <w:rFonts w:ascii="Cambria" w:hAnsi="Cambria"/>
                <w:color w:val="000000" w:themeColor="text1"/>
                <w:sz w:val="20"/>
                <w:szCs w:val="20"/>
                <w:lang w:val="en-US"/>
              </w:rPr>
              <w:t>*</w:t>
            </w:r>
          </w:p>
        </w:tc>
      </w:tr>
      <w:tr w:rsidR="006D51F8" w:rsidRPr="00E27F1C" w:rsidTr="00035D7B">
        <w:trPr>
          <w:trHeight w:val="70"/>
        </w:trPr>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M7</w:t>
            </w:r>
          </w:p>
        </w:tc>
        <w:tc>
          <w:tcPr>
            <w:tcW w:w="2050"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w:t>
            </w:r>
            <w:r w:rsidR="00F97B63" w:rsidRPr="00E27F1C">
              <w:rPr>
                <w:rFonts w:ascii="Cambria" w:hAnsi="Cambria"/>
                <w:color w:val="000000" w:themeColor="text1"/>
                <w:sz w:val="20"/>
                <w:szCs w:val="20"/>
                <w:lang w:val="en-US"/>
              </w:rPr>
              <w:t>442</w:t>
            </w:r>
            <w:r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.195</w:t>
            </w:r>
            <w:r w:rsidR="00F01C00" w:rsidRPr="00E27F1C">
              <w:rPr>
                <w:rFonts w:ascii="Cambria" w:hAnsi="Cambria"/>
                <w:color w:val="000000" w:themeColor="text1"/>
                <w:sz w:val="20"/>
                <w:szCs w:val="20"/>
                <w:lang w:val="en-US"/>
              </w:rPr>
              <w:t>*</w:t>
            </w:r>
          </w:p>
        </w:tc>
      </w:tr>
      <w:tr w:rsidR="006D51F8" w:rsidRPr="00E27F1C" w:rsidTr="00035D7B">
        <w:tc>
          <w:tcPr>
            <w:tcW w:w="1795" w:type="pct"/>
            <w:vMerge/>
            <w:tcBorders>
              <w:bottom w:val="single" w:sz="4" w:space="0" w:color="auto"/>
            </w:tcBorders>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single" w:sz="4" w:space="0" w:color="auto"/>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M13</w:t>
            </w:r>
          </w:p>
        </w:tc>
        <w:tc>
          <w:tcPr>
            <w:tcW w:w="2050" w:type="pct"/>
            <w:tcBorders>
              <w:top w:val="nil"/>
              <w:bottom w:val="single" w:sz="4" w:space="0" w:color="auto"/>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.867</w:t>
            </w:r>
            <w:r w:rsidR="006D51F8" w:rsidRPr="00E27F1C">
              <w:rPr>
                <w:rFonts w:ascii="Cambria" w:hAnsi="Cambria"/>
                <w:color w:val="000000" w:themeColor="text1"/>
                <w:sz w:val="20"/>
                <w:szCs w:val="20"/>
                <w:lang w:val="en-US"/>
              </w:rPr>
              <w:t>*</w:t>
            </w:r>
          </w:p>
        </w:tc>
        <w:tc>
          <w:tcPr>
            <w:tcW w:w="372" w:type="pct"/>
            <w:tcBorders>
              <w:top w:val="nil"/>
              <w:bottom w:val="single" w:sz="4" w:space="0" w:color="auto"/>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.7</w:t>
            </w:r>
            <w:r w:rsidR="00E64857" w:rsidRPr="00E27F1C">
              <w:rPr>
                <w:rFonts w:ascii="Cambria" w:hAnsi="Cambria"/>
                <w:color w:val="000000" w:themeColor="text1"/>
                <w:sz w:val="20"/>
                <w:szCs w:val="20"/>
                <w:lang w:val="en-US"/>
              </w:rPr>
              <w:t>52</w:t>
            </w:r>
            <w:r w:rsidR="00F01C00" w:rsidRPr="00E27F1C">
              <w:rPr>
                <w:rFonts w:ascii="Cambria" w:hAnsi="Cambria"/>
                <w:color w:val="000000" w:themeColor="text1"/>
                <w:sz w:val="20"/>
                <w:szCs w:val="20"/>
                <w:lang w:val="en-US"/>
              </w:rPr>
              <w:t>*</w:t>
            </w:r>
          </w:p>
        </w:tc>
      </w:tr>
      <w:tr w:rsidR="006D51F8" w:rsidRPr="00E27F1C" w:rsidTr="00035D7B">
        <w:tc>
          <w:tcPr>
            <w:tcW w:w="1795" w:type="pct"/>
            <w:vMerge w:val="restart"/>
            <w:tcBorders>
              <w:top w:val="single" w:sz="4" w:space="0" w:color="auto"/>
            </w:tcBorders>
            <w:vAlign w:val="center"/>
          </w:tcPr>
          <w:p w:rsidR="006D51F8" w:rsidRPr="00E27F1C" w:rsidRDefault="006D51F8" w:rsidP="006D51F8">
            <w:pPr>
              <w:contextualSpacing/>
              <w:jc w:val="center"/>
              <w:rPr>
                <w:rFonts w:ascii="Cambria" w:hAnsi="Cambria"/>
                <w:color w:val="000000" w:themeColor="text1"/>
                <w:sz w:val="20"/>
                <w:szCs w:val="20"/>
                <w:lang w:val="en-US"/>
              </w:rPr>
            </w:pPr>
            <w:proofErr w:type="spellStart"/>
            <w:r w:rsidRPr="00E27F1C">
              <w:rPr>
                <w:rFonts w:ascii="Cambria" w:hAnsi="Cambria"/>
                <w:color w:val="000000" w:themeColor="text1"/>
                <w:sz w:val="20"/>
                <w:szCs w:val="20"/>
                <w:lang w:val="en-US"/>
              </w:rPr>
              <w:t>Şiddet</w:t>
            </w:r>
            <w:proofErr w:type="spellEnd"/>
            <w:r w:rsidRPr="00E27F1C">
              <w:rPr>
                <w:rFonts w:ascii="Cambria" w:hAnsi="Cambria"/>
                <w:color w:val="000000" w:themeColor="text1"/>
                <w:sz w:val="20"/>
                <w:szCs w:val="20"/>
                <w:lang w:val="en-US"/>
              </w:rPr>
              <w:t xml:space="preserve"> </w:t>
            </w:r>
            <w:proofErr w:type="spellStart"/>
            <w:r w:rsidRPr="00E27F1C">
              <w:rPr>
                <w:rFonts w:ascii="Cambria" w:hAnsi="Cambria"/>
                <w:color w:val="000000" w:themeColor="text1"/>
                <w:sz w:val="20"/>
                <w:szCs w:val="20"/>
                <w:lang w:val="en-US"/>
              </w:rPr>
              <w:t>Eğilimi</w:t>
            </w:r>
            <w:proofErr w:type="spellEnd"/>
            <w:r w:rsidRPr="00E27F1C">
              <w:rPr>
                <w:rFonts w:ascii="Cambria" w:hAnsi="Cambria"/>
                <w:color w:val="000000" w:themeColor="text1"/>
                <w:sz w:val="20"/>
                <w:szCs w:val="20"/>
                <w:lang w:val="en-US"/>
              </w:rPr>
              <w:t xml:space="preserve"> </w:t>
            </w:r>
            <w:proofErr w:type="spellStart"/>
            <w:r w:rsidRPr="00E27F1C">
              <w:rPr>
                <w:rFonts w:ascii="Cambria" w:hAnsi="Cambria"/>
                <w:color w:val="000000" w:themeColor="text1"/>
                <w:sz w:val="20"/>
                <w:szCs w:val="20"/>
                <w:lang w:val="en-US"/>
              </w:rPr>
              <w:t>ve</w:t>
            </w:r>
            <w:proofErr w:type="spellEnd"/>
            <w:r w:rsidRPr="00E27F1C">
              <w:rPr>
                <w:rFonts w:ascii="Cambria" w:hAnsi="Cambria"/>
                <w:color w:val="000000" w:themeColor="text1"/>
                <w:sz w:val="20"/>
                <w:szCs w:val="20"/>
                <w:lang w:val="en-US"/>
              </w:rPr>
              <w:t xml:space="preserve"> </w:t>
            </w:r>
            <w:proofErr w:type="spellStart"/>
            <w:r w:rsidRPr="00E27F1C">
              <w:rPr>
                <w:rFonts w:ascii="Cambria" w:hAnsi="Cambria"/>
                <w:color w:val="000000" w:themeColor="text1"/>
                <w:sz w:val="20"/>
                <w:szCs w:val="20"/>
                <w:lang w:val="en-US"/>
              </w:rPr>
              <w:t>Güç</w:t>
            </w:r>
            <w:proofErr w:type="spellEnd"/>
          </w:p>
        </w:tc>
        <w:tc>
          <w:tcPr>
            <w:tcW w:w="783" w:type="pct"/>
            <w:tcBorders>
              <w:top w:val="single" w:sz="4" w:space="0" w:color="auto"/>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M1</w:t>
            </w:r>
          </w:p>
        </w:tc>
        <w:tc>
          <w:tcPr>
            <w:tcW w:w="2050" w:type="pct"/>
            <w:tcBorders>
              <w:top w:val="single" w:sz="4" w:space="0" w:color="auto"/>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.457</w:t>
            </w:r>
            <w:r w:rsidR="006D51F8" w:rsidRPr="00E27F1C">
              <w:rPr>
                <w:rFonts w:ascii="Cambria" w:hAnsi="Cambria"/>
                <w:color w:val="000000" w:themeColor="text1"/>
                <w:sz w:val="20"/>
                <w:szCs w:val="20"/>
                <w:lang w:val="en-US"/>
              </w:rPr>
              <w:t>*</w:t>
            </w:r>
          </w:p>
        </w:tc>
        <w:tc>
          <w:tcPr>
            <w:tcW w:w="372" w:type="pct"/>
            <w:tcBorders>
              <w:top w:val="single" w:sz="4" w:space="0" w:color="auto"/>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.2</w:t>
            </w:r>
            <w:r w:rsidR="00E64857" w:rsidRPr="00E27F1C">
              <w:rPr>
                <w:rFonts w:ascii="Cambria" w:hAnsi="Cambria"/>
                <w:color w:val="000000" w:themeColor="text1"/>
                <w:sz w:val="20"/>
                <w:szCs w:val="20"/>
                <w:lang w:val="en-US"/>
              </w:rPr>
              <w:t>09</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M2</w:t>
            </w:r>
          </w:p>
        </w:tc>
        <w:tc>
          <w:tcPr>
            <w:tcW w:w="2050" w:type="pct"/>
            <w:tcBorders>
              <w:top w:val="nil"/>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.597</w:t>
            </w:r>
            <w:r w:rsidR="006D51F8"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.3</w:t>
            </w:r>
            <w:r w:rsidR="00E64857" w:rsidRPr="00E27F1C">
              <w:rPr>
                <w:rFonts w:ascii="Cambria" w:hAnsi="Cambria"/>
                <w:color w:val="000000" w:themeColor="text1"/>
                <w:sz w:val="20"/>
                <w:szCs w:val="20"/>
                <w:lang w:val="en-US"/>
              </w:rPr>
              <w:t>56</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M9</w:t>
            </w:r>
          </w:p>
        </w:tc>
        <w:tc>
          <w:tcPr>
            <w:tcW w:w="2050" w:type="pct"/>
            <w:tcBorders>
              <w:top w:val="nil"/>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.588</w:t>
            </w:r>
            <w:r w:rsidR="006D51F8"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.3</w:t>
            </w:r>
            <w:r w:rsidR="00E64857" w:rsidRPr="00E27F1C">
              <w:rPr>
                <w:rFonts w:ascii="Cambria" w:hAnsi="Cambria"/>
                <w:color w:val="000000" w:themeColor="text1"/>
                <w:sz w:val="20"/>
                <w:szCs w:val="20"/>
                <w:lang w:val="en-US"/>
              </w:rPr>
              <w:t>46</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M11</w:t>
            </w:r>
          </w:p>
        </w:tc>
        <w:tc>
          <w:tcPr>
            <w:tcW w:w="2050" w:type="pct"/>
            <w:tcBorders>
              <w:top w:val="nil"/>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.779</w:t>
            </w:r>
            <w:r w:rsidR="006D51F8"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.6</w:t>
            </w:r>
            <w:r w:rsidR="00E64857" w:rsidRPr="00E27F1C">
              <w:rPr>
                <w:rFonts w:ascii="Cambria" w:hAnsi="Cambria"/>
                <w:color w:val="000000" w:themeColor="text1"/>
                <w:sz w:val="20"/>
                <w:szCs w:val="20"/>
                <w:lang w:val="en-US"/>
              </w:rPr>
              <w:t>07</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M12</w:t>
            </w:r>
          </w:p>
        </w:tc>
        <w:tc>
          <w:tcPr>
            <w:tcW w:w="2050" w:type="pct"/>
            <w:tcBorders>
              <w:top w:val="nil"/>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.796</w:t>
            </w:r>
            <w:r w:rsidR="006D51F8"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.6</w:t>
            </w:r>
            <w:r w:rsidR="00E64857" w:rsidRPr="00E27F1C">
              <w:rPr>
                <w:rFonts w:ascii="Cambria" w:hAnsi="Cambria"/>
                <w:color w:val="000000" w:themeColor="text1"/>
                <w:sz w:val="20"/>
                <w:szCs w:val="20"/>
                <w:lang w:val="en-US"/>
              </w:rPr>
              <w:t>3</w:t>
            </w:r>
            <w:r w:rsidRPr="00E27F1C">
              <w:rPr>
                <w:rFonts w:ascii="Cambria" w:hAnsi="Cambria"/>
                <w:color w:val="000000" w:themeColor="text1"/>
                <w:sz w:val="20"/>
                <w:szCs w:val="20"/>
                <w:lang w:val="en-US"/>
              </w:rPr>
              <w:t>3</w:t>
            </w:r>
            <w:r w:rsidR="00F01C00" w:rsidRPr="00E27F1C">
              <w:rPr>
                <w:rFonts w:ascii="Cambria" w:hAnsi="Cambria"/>
                <w:color w:val="000000" w:themeColor="text1"/>
                <w:sz w:val="20"/>
                <w:szCs w:val="20"/>
                <w:lang w:val="en-US"/>
              </w:rPr>
              <w:t>*</w:t>
            </w:r>
          </w:p>
        </w:tc>
      </w:tr>
      <w:tr w:rsidR="006D51F8" w:rsidRPr="00E27F1C" w:rsidTr="00035D7B">
        <w:tc>
          <w:tcPr>
            <w:tcW w:w="1795" w:type="pct"/>
            <w:vMerge/>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nil"/>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M16</w:t>
            </w:r>
          </w:p>
        </w:tc>
        <w:tc>
          <w:tcPr>
            <w:tcW w:w="2050" w:type="pct"/>
            <w:tcBorders>
              <w:top w:val="nil"/>
              <w:bottom w:val="nil"/>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.611</w:t>
            </w:r>
            <w:r w:rsidR="006D51F8" w:rsidRPr="00E27F1C">
              <w:rPr>
                <w:rFonts w:ascii="Cambria" w:hAnsi="Cambria"/>
                <w:color w:val="000000" w:themeColor="text1"/>
                <w:sz w:val="20"/>
                <w:szCs w:val="20"/>
                <w:lang w:val="en-US"/>
              </w:rPr>
              <w:t>*</w:t>
            </w:r>
          </w:p>
        </w:tc>
        <w:tc>
          <w:tcPr>
            <w:tcW w:w="372" w:type="pct"/>
            <w:tcBorders>
              <w:top w:val="nil"/>
              <w:bottom w:val="nil"/>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.3</w:t>
            </w:r>
            <w:r w:rsidR="00E64857" w:rsidRPr="00E27F1C">
              <w:rPr>
                <w:rFonts w:ascii="Cambria" w:hAnsi="Cambria"/>
                <w:color w:val="000000" w:themeColor="text1"/>
                <w:sz w:val="20"/>
                <w:szCs w:val="20"/>
                <w:lang w:val="en-US"/>
              </w:rPr>
              <w:t>73</w:t>
            </w:r>
            <w:r w:rsidR="00F01C00" w:rsidRPr="00E27F1C">
              <w:rPr>
                <w:rFonts w:ascii="Cambria" w:hAnsi="Cambria"/>
                <w:color w:val="000000" w:themeColor="text1"/>
                <w:sz w:val="20"/>
                <w:szCs w:val="20"/>
                <w:lang w:val="en-US"/>
              </w:rPr>
              <w:t>*</w:t>
            </w:r>
          </w:p>
        </w:tc>
      </w:tr>
      <w:tr w:rsidR="006D51F8" w:rsidRPr="00E27F1C" w:rsidTr="00035D7B">
        <w:tc>
          <w:tcPr>
            <w:tcW w:w="1795" w:type="pct"/>
            <w:vMerge/>
            <w:tcBorders>
              <w:bottom w:val="single" w:sz="4" w:space="0" w:color="auto"/>
            </w:tcBorders>
          </w:tcPr>
          <w:p w:rsidR="006D51F8" w:rsidRPr="00E27F1C" w:rsidRDefault="006D51F8" w:rsidP="006D51F8">
            <w:pPr>
              <w:contextualSpacing/>
              <w:jc w:val="center"/>
              <w:rPr>
                <w:rFonts w:ascii="Cambria" w:hAnsi="Cambria"/>
                <w:color w:val="000000" w:themeColor="text1"/>
                <w:sz w:val="20"/>
                <w:szCs w:val="20"/>
                <w:lang w:val="en-US"/>
              </w:rPr>
            </w:pPr>
          </w:p>
        </w:tc>
        <w:tc>
          <w:tcPr>
            <w:tcW w:w="783" w:type="pct"/>
            <w:tcBorders>
              <w:top w:val="nil"/>
              <w:bottom w:val="single" w:sz="4" w:space="0" w:color="auto"/>
            </w:tcBorders>
            <w:shd w:val="clear" w:color="auto" w:fill="auto"/>
            <w:vAlign w:val="center"/>
          </w:tcPr>
          <w:p w:rsidR="006D51F8" w:rsidRPr="00E27F1C" w:rsidRDefault="006D51F8"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M17</w:t>
            </w:r>
          </w:p>
        </w:tc>
        <w:tc>
          <w:tcPr>
            <w:tcW w:w="2050" w:type="pct"/>
            <w:tcBorders>
              <w:top w:val="nil"/>
              <w:bottom w:val="single" w:sz="4" w:space="0" w:color="auto"/>
            </w:tcBorders>
            <w:shd w:val="clear" w:color="auto" w:fill="auto"/>
            <w:vAlign w:val="center"/>
          </w:tcPr>
          <w:p w:rsidR="006D51F8" w:rsidRPr="00E27F1C" w:rsidRDefault="00F97B63" w:rsidP="006D51F8">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.654</w:t>
            </w:r>
            <w:r w:rsidR="006D51F8" w:rsidRPr="00E27F1C">
              <w:rPr>
                <w:rFonts w:ascii="Cambria" w:hAnsi="Cambria"/>
                <w:color w:val="000000" w:themeColor="text1"/>
                <w:sz w:val="20"/>
                <w:szCs w:val="20"/>
                <w:lang w:val="en-US"/>
              </w:rPr>
              <w:t>*</w:t>
            </w:r>
          </w:p>
        </w:tc>
        <w:tc>
          <w:tcPr>
            <w:tcW w:w="372" w:type="pct"/>
            <w:tcBorders>
              <w:top w:val="nil"/>
              <w:bottom w:val="single" w:sz="4" w:space="0" w:color="auto"/>
            </w:tcBorders>
          </w:tcPr>
          <w:p w:rsidR="006D51F8" w:rsidRPr="00E27F1C" w:rsidRDefault="006D51F8" w:rsidP="00E64857">
            <w:pPr>
              <w:contextualSpacing/>
              <w:jc w:val="center"/>
              <w:rPr>
                <w:rFonts w:ascii="Cambria" w:hAnsi="Cambria"/>
                <w:color w:val="000000" w:themeColor="text1"/>
                <w:sz w:val="20"/>
                <w:szCs w:val="20"/>
                <w:lang w:val="en-US"/>
              </w:rPr>
            </w:pPr>
            <w:r w:rsidRPr="00E27F1C">
              <w:rPr>
                <w:rFonts w:ascii="Cambria" w:hAnsi="Cambria"/>
                <w:color w:val="000000" w:themeColor="text1"/>
                <w:sz w:val="20"/>
                <w:szCs w:val="20"/>
                <w:lang w:val="en-US"/>
              </w:rPr>
              <w:t>.42</w:t>
            </w:r>
            <w:r w:rsidR="00E64857" w:rsidRPr="00E27F1C">
              <w:rPr>
                <w:rFonts w:ascii="Cambria" w:hAnsi="Cambria"/>
                <w:color w:val="000000" w:themeColor="text1"/>
                <w:sz w:val="20"/>
                <w:szCs w:val="20"/>
                <w:lang w:val="en-US"/>
              </w:rPr>
              <w:t>8</w:t>
            </w:r>
            <w:r w:rsidR="00F01C00" w:rsidRPr="00E27F1C">
              <w:rPr>
                <w:rFonts w:ascii="Cambria" w:hAnsi="Cambria"/>
                <w:color w:val="000000" w:themeColor="text1"/>
                <w:sz w:val="20"/>
                <w:szCs w:val="20"/>
                <w:lang w:val="en-US"/>
              </w:rPr>
              <w:t>*</w:t>
            </w:r>
          </w:p>
        </w:tc>
      </w:tr>
    </w:tbl>
    <w:p w:rsidR="008F6BC6" w:rsidRPr="00E27F1C" w:rsidRDefault="006D51F8" w:rsidP="008F6BC6">
      <w:pPr>
        <w:contextualSpacing/>
        <w:jc w:val="both"/>
        <w:rPr>
          <w:rFonts w:ascii="Cambria" w:hAnsi="Cambria"/>
          <w:color w:val="000000" w:themeColor="text1"/>
          <w:sz w:val="20"/>
        </w:rPr>
      </w:pPr>
      <w:r w:rsidRPr="00E27F1C">
        <w:rPr>
          <w:rFonts w:ascii="Cambria" w:hAnsi="Cambria"/>
          <w:color w:val="000000" w:themeColor="text1"/>
          <w:sz w:val="20"/>
        </w:rPr>
        <w:t>*p&lt;.05</w:t>
      </w:r>
    </w:p>
    <w:p w:rsidR="006D51F8" w:rsidRDefault="006D51F8" w:rsidP="006D51F8">
      <w:pPr>
        <w:contextualSpacing/>
        <w:jc w:val="both"/>
        <w:rPr>
          <w:rFonts w:ascii="Cambria" w:hAnsi="Cambria"/>
          <w:color w:val="000000" w:themeColor="text1"/>
        </w:rPr>
      </w:pPr>
    </w:p>
    <w:p w:rsidR="00316444" w:rsidRPr="00E83E41" w:rsidRDefault="006D51F8" w:rsidP="00F01C00">
      <w:pPr>
        <w:ind w:firstLine="567"/>
        <w:contextualSpacing/>
        <w:jc w:val="both"/>
        <w:rPr>
          <w:rFonts w:ascii="Cambria" w:hAnsi="Cambria"/>
          <w:color w:val="000000" w:themeColor="text1"/>
          <w:sz w:val="22"/>
        </w:rPr>
      </w:pPr>
      <w:r w:rsidRPr="00E83E41">
        <w:rPr>
          <w:rFonts w:ascii="Cambria" w:hAnsi="Cambria"/>
          <w:color w:val="000000" w:themeColor="text1"/>
          <w:sz w:val="22"/>
        </w:rPr>
        <w:t xml:space="preserve">Tablo </w:t>
      </w:r>
      <w:r w:rsidR="00F01C00" w:rsidRPr="00E83E41">
        <w:rPr>
          <w:rFonts w:ascii="Cambria" w:hAnsi="Cambria"/>
          <w:color w:val="000000" w:themeColor="text1"/>
          <w:sz w:val="22"/>
        </w:rPr>
        <w:t>9</w:t>
      </w:r>
      <w:r w:rsidRPr="00E83E41">
        <w:rPr>
          <w:rFonts w:ascii="Cambria" w:hAnsi="Cambria"/>
          <w:color w:val="000000" w:themeColor="text1"/>
          <w:sz w:val="22"/>
        </w:rPr>
        <w:t>’d</w:t>
      </w:r>
      <w:r w:rsidR="00F01C00" w:rsidRPr="00E83E41">
        <w:rPr>
          <w:rFonts w:ascii="Cambria" w:hAnsi="Cambria"/>
          <w:color w:val="000000" w:themeColor="text1"/>
          <w:sz w:val="22"/>
        </w:rPr>
        <w:t>a</w:t>
      </w:r>
      <w:r w:rsidRPr="00E83E41">
        <w:rPr>
          <w:rFonts w:ascii="Cambria" w:hAnsi="Cambria"/>
          <w:color w:val="000000" w:themeColor="text1"/>
          <w:sz w:val="22"/>
        </w:rPr>
        <w:t xml:space="preserve"> yer alan </w:t>
      </w:r>
      <w:r w:rsidR="00F01C00" w:rsidRPr="00E83E41">
        <w:rPr>
          <w:rFonts w:ascii="Cambria" w:hAnsi="Cambria"/>
          <w:color w:val="000000" w:themeColor="text1"/>
          <w:sz w:val="22"/>
        </w:rPr>
        <w:t xml:space="preserve">λ </w:t>
      </w:r>
      <w:r w:rsidRPr="00E83E41">
        <w:rPr>
          <w:rFonts w:ascii="Cambria" w:hAnsi="Cambria"/>
          <w:color w:val="000000" w:themeColor="text1"/>
          <w:sz w:val="22"/>
        </w:rPr>
        <w:t>ve R</w:t>
      </w:r>
      <w:r w:rsidRPr="00E83E41">
        <w:rPr>
          <w:rFonts w:ascii="Cambria" w:hAnsi="Cambria"/>
          <w:color w:val="000000" w:themeColor="text1"/>
          <w:sz w:val="22"/>
          <w:vertAlign w:val="superscript"/>
        </w:rPr>
        <w:t>2</w:t>
      </w:r>
      <w:r w:rsidRPr="00E83E41">
        <w:rPr>
          <w:rFonts w:ascii="Cambria" w:hAnsi="Cambria"/>
          <w:color w:val="000000" w:themeColor="text1"/>
          <w:sz w:val="22"/>
        </w:rPr>
        <w:t xml:space="preserve"> değerleri incelendiğinde elde edilen değerlerin tamamının .05 düzeyinde anlamlı olduğu görülmektedir. </w:t>
      </w:r>
      <w:r w:rsidR="00622B49" w:rsidRPr="00E83E41">
        <w:rPr>
          <w:rFonts w:ascii="Cambria" w:hAnsi="Cambria"/>
          <w:color w:val="000000" w:themeColor="text1"/>
          <w:sz w:val="22"/>
        </w:rPr>
        <w:t>Faktör yükleri gelişim sağlama ve iyilik boyutunda .442 ile .</w:t>
      </w:r>
      <w:r w:rsidR="00873A71" w:rsidRPr="00E83E41">
        <w:rPr>
          <w:rFonts w:ascii="Cambria" w:hAnsi="Cambria"/>
          <w:color w:val="000000" w:themeColor="text1"/>
          <w:sz w:val="22"/>
        </w:rPr>
        <w:t>903</w:t>
      </w:r>
      <w:r w:rsidR="00622B49" w:rsidRPr="00E83E41">
        <w:rPr>
          <w:rFonts w:ascii="Cambria" w:hAnsi="Cambria"/>
          <w:color w:val="000000" w:themeColor="text1"/>
          <w:sz w:val="22"/>
        </w:rPr>
        <w:t>, şiddet eğilimi ve güç boyutunda .</w:t>
      </w:r>
      <w:r w:rsidR="00503CD9" w:rsidRPr="00E83E41">
        <w:rPr>
          <w:rFonts w:ascii="Cambria" w:hAnsi="Cambria"/>
          <w:color w:val="000000" w:themeColor="text1"/>
          <w:sz w:val="22"/>
        </w:rPr>
        <w:t>4</w:t>
      </w:r>
      <w:r w:rsidR="00873A71" w:rsidRPr="00E83E41">
        <w:rPr>
          <w:rFonts w:ascii="Cambria" w:hAnsi="Cambria"/>
          <w:color w:val="000000" w:themeColor="text1"/>
          <w:sz w:val="22"/>
        </w:rPr>
        <w:t>57</w:t>
      </w:r>
      <w:r w:rsidR="00622B49" w:rsidRPr="00E83E41">
        <w:rPr>
          <w:rFonts w:ascii="Cambria" w:hAnsi="Cambria"/>
          <w:color w:val="000000" w:themeColor="text1"/>
          <w:sz w:val="22"/>
        </w:rPr>
        <w:t xml:space="preserve"> ile .</w:t>
      </w:r>
      <w:r w:rsidR="00873A71" w:rsidRPr="00E83E41">
        <w:rPr>
          <w:rFonts w:ascii="Cambria" w:hAnsi="Cambria"/>
          <w:color w:val="000000" w:themeColor="text1"/>
          <w:sz w:val="22"/>
        </w:rPr>
        <w:t>796</w:t>
      </w:r>
      <w:r w:rsidR="00622B49" w:rsidRPr="00E83E41">
        <w:rPr>
          <w:rFonts w:ascii="Cambria" w:hAnsi="Cambria"/>
          <w:color w:val="000000" w:themeColor="text1"/>
          <w:sz w:val="22"/>
        </w:rPr>
        <w:t xml:space="preserve"> arasında değişmektedir. </w:t>
      </w:r>
      <w:r w:rsidR="008F6BC6" w:rsidRPr="00E83E41">
        <w:rPr>
          <w:rFonts w:ascii="Cambria" w:hAnsi="Cambria"/>
          <w:color w:val="000000" w:themeColor="text1"/>
          <w:sz w:val="22"/>
        </w:rPr>
        <w:t xml:space="preserve">Doğrulayıcı faktör analizi sonucunda </w:t>
      </w:r>
      <w:r w:rsidR="00F01C00" w:rsidRPr="00E83E41">
        <w:rPr>
          <w:rFonts w:ascii="Cambria" w:hAnsi="Cambria"/>
          <w:color w:val="000000" w:themeColor="text1"/>
          <w:sz w:val="22"/>
        </w:rPr>
        <w:t>iki boyutlu yapının doğrulandığı bulunmuştur.</w:t>
      </w:r>
    </w:p>
    <w:p w:rsidR="00496BBA" w:rsidRPr="00496BBA" w:rsidRDefault="00496BBA" w:rsidP="00E83E41">
      <w:pPr>
        <w:spacing w:before="240" w:after="240"/>
        <w:jc w:val="center"/>
        <w:rPr>
          <w:rFonts w:ascii="Cambria" w:hAnsi="Cambria"/>
          <w:b/>
        </w:rPr>
      </w:pPr>
      <w:r w:rsidRPr="00496BBA">
        <w:rPr>
          <w:rFonts w:ascii="Cambria" w:hAnsi="Cambria"/>
          <w:b/>
        </w:rPr>
        <w:t>TARTIŞMA ve SONUÇ</w:t>
      </w:r>
    </w:p>
    <w:p w:rsidR="00166A60" w:rsidRPr="00E83E41" w:rsidRDefault="00DC6363" w:rsidP="000734B4">
      <w:pPr>
        <w:ind w:firstLine="567"/>
        <w:jc w:val="both"/>
        <w:rPr>
          <w:rFonts w:ascii="Cambria" w:hAnsi="Cambria"/>
          <w:sz w:val="22"/>
        </w:rPr>
      </w:pPr>
      <w:r w:rsidRPr="00E83E41">
        <w:rPr>
          <w:rFonts w:ascii="Cambria" w:hAnsi="Cambria"/>
          <w:sz w:val="22"/>
        </w:rPr>
        <w:t>Araştırmada, çizgi filmlerin çocukluk çağındaki ilkokul öğrencilerinin duyuşsal özellikleri üzerindeki etkilerini ortaya çıkarmayı am</w:t>
      </w:r>
      <w:r w:rsidR="00A10EAD" w:rsidRPr="00E83E41">
        <w:rPr>
          <w:rFonts w:ascii="Cambria" w:hAnsi="Cambria"/>
          <w:sz w:val="22"/>
        </w:rPr>
        <w:t>açlayan bir ölçek geliştirilmiştir</w:t>
      </w:r>
      <w:r w:rsidRPr="00E83E41">
        <w:rPr>
          <w:rFonts w:ascii="Cambria" w:hAnsi="Cambria"/>
          <w:sz w:val="22"/>
        </w:rPr>
        <w:t xml:space="preserve">. </w:t>
      </w:r>
      <w:r w:rsidR="00667379" w:rsidRPr="00E83E41">
        <w:rPr>
          <w:rFonts w:ascii="Cambria" w:hAnsi="Cambria"/>
          <w:sz w:val="22"/>
        </w:rPr>
        <w:t>Üç</w:t>
      </w:r>
      <w:r w:rsidRPr="00E83E41">
        <w:rPr>
          <w:rFonts w:ascii="Cambria" w:hAnsi="Cambria"/>
          <w:sz w:val="22"/>
        </w:rPr>
        <w:t xml:space="preserve"> kategorili derecelendirmeye sahip 1</w:t>
      </w:r>
      <w:r w:rsidR="006617F7" w:rsidRPr="00E83E41">
        <w:rPr>
          <w:rFonts w:ascii="Cambria" w:hAnsi="Cambria"/>
          <w:sz w:val="22"/>
        </w:rPr>
        <w:t>7</w:t>
      </w:r>
      <w:r w:rsidRPr="00E83E41">
        <w:rPr>
          <w:rFonts w:ascii="Cambria" w:hAnsi="Cambria"/>
          <w:sz w:val="22"/>
        </w:rPr>
        <w:t xml:space="preserve"> maddeden oluşan ölçek </w:t>
      </w:r>
      <w:r w:rsidR="006617F7" w:rsidRPr="00E83E41">
        <w:rPr>
          <w:rFonts w:ascii="Cambria" w:hAnsi="Cambria"/>
          <w:sz w:val="22"/>
        </w:rPr>
        <w:t>bir maddeni</w:t>
      </w:r>
      <w:r w:rsidR="00124C34" w:rsidRPr="00E83E41">
        <w:rPr>
          <w:rFonts w:ascii="Cambria" w:hAnsi="Cambria"/>
          <w:sz w:val="22"/>
        </w:rPr>
        <w:t>n öğrenciler tarafından anlaşıl</w:t>
      </w:r>
      <w:r w:rsidR="006617F7" w:rsidRPr="00E83E41">
        <w:rPr>
          <w:rFonts w:ascii="Cambria" w:hAnsi="Cambria"/>
          <w:sz w:val="22"/>
        </w:rPr>
        <w:t xml:space="preserve">maması, </w:t>
      </w:r>
      <w:r w:rsidR="00124C34" w:rsidRPr="00E83E41">
        <w:rPr>
          <w:rFonts w:ascii="Cambria" w:hAnsi="Cambria"/>
          <w:sz w:val="22"/>
        </w:rPr>
        <w:t xml:space="preserve">üç maddenin </w:t>
      </w:r>
      <w:r w:rsidRPr="00E83E41">
        <w:rPr>
          <w:rFonts w:ascii="Cambria" w:hAnsi="Cambria"/>
          <w:sz w:val="22"/>
        </w:rPr>
        <w:t xml:space="preserve">açımlayıcı faktör analizi ve </w:t>
      </w:r>
      <w:r w:rsidR="00124C34" w:rsidRPr="00E83E41">
        <w:rPr>
          <w:rFonts w:ascii="Cambria" w:hAnsi="Cambria"/>
          <w:sz w:val="22"/>
        </w:rPr>
        <w:t xml:space="preserve">bir maddenin </w:t>
      </w:r>
      <w:r w:rsidRPr="00E83E41">
        <w:rPr>
          <w:rFonts w:ascii="Cambria" w:hAnsi="Cambria"/>
          <w:sz w:val="22"/>
        </w:rPr>
        <w:t xml:space="preserve">madde ölçek korelasyonlarının hesaplanması sonucunda </w:t>
      </w:r>
      <w:r w:rsidR="00124C34" w:rsidRPr="00E83E41">
        <w:rPr>
          <w:rFonts w:ascii="Cambria" w:hAnsi="Cambria"/>
          <w:sz w:val="22"/>
        </w:rPr>
        <w:t xml:space="preserve">çıkarılmasıyla </w:t>
      </w:r>
      <w:r w:rsidRPr="00E83E41">
        <w:rPr>
          <w:rFonts w:ascii="Cambria" w:hAnsi="Cambria"/>
          <w:sz w:val="22"/>
        </w:rPr>
        <w:t>1</w:t>
      </w:r>
      <w:r w:rsidR="001C7291" w:rsidRPr="00E83E41">
        <w:rPr>
          <w:rFonts w:ascii="Cambria" w:hAnsi="Cambria"/>
          <w:sz w:val="22"/>
        </w:rPr>
        <w:t>2</w:t>
      </w:r>
      <w:r w:rsidRPr="00E83E41">
        <w:rPr>
          <w:rFonts w:ascii="Cambria" w:hAnsi="Cambria"/>
          <w:sz w:val="22"/>
        </w:rPr>
        <w:t xml:space="preserve"> maddeye düşürülmüştür. </w:t>
      </w:r>
      <w:r w:rsidR="00B40A03" w:rsidRPr="00E83E41">
        <w:rPr>
          <w:rFonts w:ascii="Cambria" w:hAnsi="Cambria"/>
          <w:sz w:val="22"/>
        </w:rPr>
        <w:t>Açımlayıcı faktör analizi sonucunda ilk boyutun açıkladığı varyans ikici boyutun açıkladığı varyanstan oldukça yüksek</w:t>
      </w:r>
      <w:r w:rsidR="000734B4" w:rsidRPr="00E83E41">
        <w:rPr>
          <w:rFonts w:ascii="Cambria" w:hAnsi="Cambria"/>
          <w:sz w:val="22"/>
        </w:rPr>
        <w:t xml:space="preserve"> bulunmuştur</w:t>
      </w:r>
      <w:r w:rsidR="00B40A03" w:rsidRPr="00E83E41">
        <w:rPr>
          <w:rFonts w:ascii="Cambria" w:hAnsi="Cambria"/>
          <w:sz w:val="22"/>
        </w:rPr>
        <w:t xml:space="preserve">. Bu durumun boyutlar arasındaki ilişkiden kaynaklandığı düşünülmektedir. Nitekim MAP testi sonuçları iki boyutlu </w:t>
      </w:r>
      <w:r w:rsidR="000734B4" w:rsidRPr="00E83E41">
        <w:rPr>
          <w:rFonts w:ascii="Cambria" w:hAnsi="Cambria"/>
          <w:sz w:val="22"/>
        </w:rPr>
        <w:t xml:space="preserve">bir </w:t>
      </w:r>
      <w:r w:rsidR="00B40A03" w:rsidRPr="00E83E41">
        <w:rPr>
          <w:rFonts w:ascii="Cambria" w:hAnsi="Cambria"/>
          <w:sz w:val="22"/>
        </w:rPr>
        <w:t xml:space="preserve">yapıya işaret etmektedir. </w:t>
      </w:r>
      <w:r w:rsidR="00034C73" w:rsidRPr="00E83E41">
        <w:rPr>
          <w:rFonts w:ascii="Cambria" w:hAnsi="Cambria"/>
          <w:sz w:val="22"/>
        </w:rPr>
        <w:t>İki</w:t>
      </w:r>
      <w:r w:rsidRPr="00E83E41">
        <w:rPr>
          <w:rFonts w:ascii="Cambria" w:hAnsi="Cambria"/>
          <w:sz w:val="22"/>
        </w:rPr>
        <w:t xml:space="preserve"> boyuttan oluşan ölçekte, madde geçerlikleri madde ölçek korelasyonları ve alt grup-üst grup ortalamalarının karşılaştırılmasına dayalı yöntemle araştırılmıştır. Alanyazında özellikle çizgi filmlerin öğrencilerin duyuşsal özelliklerine etkisine ilişkin geçerliği ve güvenirliği belirlenmiş benzer bir ölçek bulunmadığından dış ölçüt geçerliğine bakılamamıştır. </w:t>
      </w:r>
      <w:r w:rsidR="006B5F6E" w:rsidRPr="00E83E41">
        <w:rPr>
          <w:rFonts w:ascii="Cambria" w:hAnsi="Cambria"/>
          <w:sz w:val="22"/>
        </w:rPr>
        <w:t>Bu yüzden s</w:t>
      </w:r>
      <w:r w:rsidRPr="00E83E41">
        <w:rPr>
          <w:rFonts w:ascii="Cambria" w:hAnsi="Cambria"/>
          <w:sz w:val="22"/>
        </w:rPr>
        <w:t xml:space="preserve">adece iç ölçüte dayalı geçerlik sonuçlarına yer verilmiştir. Güvenirliğe katkı sağlamak amacıyla ölçeğin geneli ve boyutlar için Cronbach Alfa katsayıları hesaplanmıştır. </w:t>
      </w:r>
      <w:r w:rsidR="00B40A03" w:rsidRPr="00E83E41">
        <w:rPr>
          <w:rFonts w:ascii="Cambria" w:hAnsi="Cambria"/>
          <w:sz w:val="22"/>
        </w:rPr>
        <w:t xml:space="preserve">Beş maddeden oluşan “Gelişim Sağlama ve İyilik” boyutuna ait Cronbach alfa katsayısı daha fazla varyans açıklamasına rağmen, yedi maddeden oluşan “Şiddet Eğilimi ve Güç” boyutuna ait Cronbach alfa katsayısından düşük bulunmuştur. Bu durumun Cronbach alfa katsayısının madde sayısından etkilenmesinden kaynaklı olduğu düşünülmektedir. </w:t>
      </w:r>
      <w:r w:rsidRPr="00E83E41">
        <w:rPr>
          <w:rFonts w:ascii="Cambria" w:hAnsi="Cambria"/>
          <w:sz w:val="22"/>
        </w:rPr>
        <w:t>Bu güvenirlik katsayısına ek olarak birden fazla boyuttan oluşan ölçeklerde hesaplanması önerilen Tabakalı Alfa, paralel ölçme gerektirmeyen Armor Teta ve konjenerik ölçmeler için önerilen McDonald Omega katsayıları güvenirlik katsayısı olarak sunulmuştur.</w:t>
      </w:r>
      <w:r w:rsidR="006B5F6E" w:rsidRPr="00E83E41">
        <w:rPr>
          <w:rFonts w:ascii="Cambria" w:hAnsi="Cambria"/>
          <w:sz w:val="22"/>
        </w:rPr>
        <w:t xml:space="preserve"> Ölçeğin boyut yapısını doğrulamak amacıyla doğrulayıcı faktör analizi gerçekleştirilmiştir. Doğrulayıcı faktör analizi sonuçları </w:t>
      </w:r>
      <w:r w:rsidR="00A7598C" w:rsidRPr="00E83E41">
        <w:rPr>
          <w:rFonts w:ascii="Cambria" w:hAnsi="Cambria"/>
          <w:sz w:val="22"/>
        </w:rPr>
        <w:t>faktör yapısının doğrulandığını</w:t>
      </w:r>
      <w:r w:rsidR="006B5F6E" w:rsidRPr="00E83E41">
        <w:rPr>
          <w:rFonts w:ascii="Cambria" w:hAnsi="Cambria"/>
          <w:sz w:val="22"/>
        </w:rPr>
        <w:t xml:space="preserve"> göstermektedir.</w:t>
      </w:r>
      <w:r w:rsidRPr="00E83E41">
        <w:rPr>
          <w:rFonts w:ascii="Cambria" w:hAnsi="Cambria"/>
          <w:sz w:val="22"/>
        </w:rPr>
        <w:t xml:space="preserve"> Sonuçta; ölçeğin, çizgi filmlerin ilkokul öğrencileri üzerindeki etkilerini ölçmede geçerli ve güvenilir veriler üretebilen bir ölçme aracı olduğu sonucuna ulaşılmıştır. </w:t>
      </w:r>
      <w:r w:rsidR="001E5831" w:rsidRPr="00E83E41">
        <w:rPr>
          <w:rFonts w:ascii="Cambria" w:hAnsi="Cambria"/>
          <w:sz w:val="22"/>
        </w:rPr>
        <w:t>İki</w:t>
      </w:r>
      <w:r w:rsidRPr="00E83E41">
        <w:rPr>
          <w:rFonts w:ascii="Cambria" w:hAnsi="Cambria"/>
          <w:sz w:val="22"/>
        </w:rPr>
        <w:t xml:space="preserve"> boyuttan oluşan ölçekteki boyutlar faktörlerde yer alan maddeler incelenerek “Gelişim Sağlama ve İyilik” ile “Şiddet Eğilimi ve Güç” olarak adlandırılmıştır. Ölçekte “Şiddet Eğilimi ve Gü</w:t>
      </w:r>
      <w:r w:rsidR="005B1F0F" w:rsidRPr="00E83E41">
        <w:rPr>
          <w:rFonts w:ascii="Cambria" w:hAnsi="Cambria"/>
          <w:sz w:val="22"/>
        </w:rPr>
        <w:t>ç” boyutunda yer alan 1., 2.</w:t>
      </w:r>
      <w:r w:rsidRPr="00E83E41">
        <w:rPr>
          <w:rFonts w:ascii="Cambria" w:hAnsi="Cambria"/>
          <w:sz w:val="22"/>
        </w:rPr>
        <w:t xml:space="preserve">, 9., 11., 12., 15. ve 16. maddelerin, puanlanırken ters çevrilmesi gerekmektedir. Ölçekten yüksek puan almak çizgi filmlerin duyuşsal özellikler üzerindeki olumlu etkilerine işaret etmektedir. </w:t>
      </w:r>
      <w:r w:rsidR="000734B4" w:rsidRPr="00E83E41">
        <w:rPr>
          <w:rFonts w:ascii="Cambria" w:hAnsi="Cambria"/>
          <w:sz w:val="22"/>
        </w:rPr>
        <w:t xml:space="preserve">İlk boyutta alınan yüksek puan öğrencinin çizgi filmlerden yararlanarak kendini geliştirdiğini ve iyilik yapma isteğinin arttığını gösterirken, ikinci boyuttan alınan yüksek puan öğrencinin şiddet eğilimi ve buna işaret eden güç olgusundan uzaklaştığını göstermektedir. </w:t>
      </w:r>
      <w:r w:rsidRPr="00E83E41">
        <w:rPr>
          <w:rFonts w:ascii="Cambria" w:hAnsi="Cambria"/>
          <w:sz w:val="22"/>
        </w:rPr>
        <w:t>Ölçek boyut bazında değerlendirilmelidir. Araştırma sonuçları doğrultusunda ölçeğin farklı okul ve şehirlerde uygulanması ve ölçme değişmezliği çalışma</w:t>
      </w:r>
      <w:r w:rsidR="006B5F6E" w:rsidRPr="00E83E41">
        <w:rPr>
          <w:rFonts w:ascii="Cambria" w:hAnsi="Cambria"/>
          <w:sz w:val="22"/>
        </w:rPr>
        <w:t>larının yapılması önerilebilir.</w:t>
      </w:r>
      <w:r w:rsidR="00634951" w:rsidRPr="00E83E41">
        <w:rPr>
          <w:rFonts w:ascii="Cambria" w:hAnsi="Cambria"/>
          <w:sz w:val="22"/>
        </w:rPr>
        <w:t xml:space="preserve"> Örneğin cinsiyete dayalı bir ölçme değişmezliği çalışması gerçekleştirilebilir. </w:t>
      </w:r>
    </w:p>
    <w:p w:rsidR="008F784F" w:rsidRPr="008F784F" w:rsidRDefault="008F784F" w:rsidP="00E83E41">
      <w:pPr>
        <w:spacing w:before="240" w:after="240"/>
        <w:rPr>
          <w:rFonts w:ascii="Cambria" w:hAnsi="Cambria"/>
          <w:b/>
        </w:rPr>
      </w:pPr>
      <w:r w:rsidRPr="008F784F">
        <w:rPr>
          <w:rFonts w:ascii="Cambria" w:hAnsi="Cambria"/>
          <w:b/>
        </w:rPr>
        <w:lastRenderedPageBreak/>
        <w:t>KAYNAKÇA</w:t>
      </w:r>
    </w:p>
    <w:p w:rsidR="00E20527" w:rsidRPr="00E83E41" w:rsidRDefault="0012019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Aksaçlı</w:t>
      </w:r>
      <w:r w:rsidR="00E20527" w:rsidRPr="00E83E41">
        <w:rPr>
          <w:rFonts w:ascii="Cambria" w:hAnsi="Cambria"/>
          <w:sz w:val="20"/>
          <w:szCs w:val="20"/>
        </w:rPr>
        <w:t>o</w:t>
      </w:r>
      <w:r w:rsidRPr="00E83E41">
        <w:rPr>
          <w:rFonts w:ascii="Cambria" w:hAnsi="Cambria"/>
          <w:sz w:val="20"/>
          <w:szCs w:val="20"/>
        </w:rPr>
        <w:t>ğ</w:t>
      </w:r>
      <w:r w:rsidR="00E20527" w:rsidRPr="00E83E41">
        <w:rPr>
          <w:rFonts w:ascii="Cambria" w:hAnsi="Cambria"/>
          <w:sz w:val="20"/>
          <w:szCs w:val="20"/>
        </w:rPr>
        <w:t xml:space="preserve">lu, A. </w:t>
      </w:r>
      <w:r w:rsidR="00805CCA" w:rsidRPr="00E83E41">
        <w:rPr>
          <w:rFonts w:ascii="Cambria" w:hAnsi="Cambria"/>
          <w:sz w:val="20"/>
          <w:szCs w:val="20"/>
        </w:rPr>
        <w:t>&amp;</w:t>
      </w:r>
      <w:r w:rsidR="00E20527" w:rsidRPr="00E83E41">
        <w:rPr>
          <w:rFonts w:ascii="Cambria" w:hAnsi="Cambria"/>
          <w:sz w:val="20"/>
          <w:szCs w:val="20"/>
        </w:rPr>
        <w:t xml:space="preserve"> Yılmaz, B. (2007). Öğrencilerin televizyon izlemeleri ve bilgisayar kullanmalarının okuma alışkanlıkları üzerine etkisi. </w:t>
      </w:r>
      <w:r w:rsidR="00E20527" w:rsidRPr="00E83E41">
        <w:rPr>
          <w:rFonts w:ascii="Cambria" w:hAnsi="Cambria"/>
          <w:i/>
          <w:sz w:val="20"/>
          <w:szCs w:val="20"/>
        </w:rPr>
        <w:t>Türk Kütüphaneciliği, 21</w:t>
      </w:r>
      <w:r w:rsidR="00E20527" w:rsidRPr="00E83E41">
        <w:rPr>
          <w:rFonts w:ascii="Cambria" w:hAnsi="Cambria"/>
          <w:sz w:val="20"/>
          <w:szCs w:val="20"/>
        </w:rPr>
        <w:t>(1), 3-28.</w:t>
      </w:r>
    </w:p>
    <w:p w:rsidR="00210BCC" w:rsidRPr="00E83E41" w:rsidRDefault="00210BCC"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Aral, N., Ceylan, R. </w:t>
      </w:r>
      <w:r w:rsidR="007E474D" w:rsidRPr="00E83E41">
        <w:rPr>
          <w:rFonts w:ascii="Cambria" w:hAnsi="Cambria"/>
          <w:sz w:val="20"/>
          <w:szCs w:val="20"/>
        </w:rPr>
        <w:t>&amp;</w:t>
      </w:r>
      <w:r w:rsidRPr="00E83E41">
        <w:rPr>
          <w:rFonts w:ascii="Cambria" w:hAnsi="Cambria"/>
          <w:sz w:val="20"/>
          <w:szCs w:val="20"/>
        </w:rPr>
        <w:t xml:space="preserve"> Bıçakçı, M. Y. (2011). Çocukların televizyon seyretme alışkanlıklarının yaş ve cinsiyete göre incelenmesi. </w:t>
      </w:r>
      <w:r w:rsidRPr="00E83E41">
        <w:rPr>
          <w:rFonts w:ascii="Cambria" w:hAnsi="Cambria"/>
          <w:i/>
          <w:sz w:val="20"/>
          <w:szCs w:val="20"/>
        </w:rPr>
        <w:t>Kastamonu Eğitim Dergisi, 19</w:t>
      </w:r>
      <w:r w:rsidRPr="00E83E41">
        <w:rPr>
          <w:rFonts w:ascii="Cambria" w:hAnsi="Cambria"/>
          <w:sz w:val="20"/>
          <w:szCs w:val="20"/>
        </w:rPr>
        <w:t>(2), 489-498</w:t>
      </w:r>
      <w:r w:rsidR="000442C3" w:rsidRPr="00E83E41">
        <w:rPr>
          <w:rFonts w:ascii="Cambria" w:hAnsi="Cambria"/>
          <w:sz w:val="20"/>
          <w:szCs w:val="20"/>
        </w:rPr>
        <w:t>.</w:t>
      </w:r>
    </w:p>
    <w:p w:rsidR="00B41123" w:rsidRPr="00E83E41" w:rsidRDefault="00B4112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Armor, D. (1973). Theta reliability and factor scaling. </w:t>
      </w:r>
      <w:r w:rsidRPr="00E83E41">
        <w:rPr>
          <w:rFonts w:ascii="Cambria" w:hAnsi="Cambria"/>
          <w:i/>
          <w:sz w:val="20"/>
          <w:szCs w:val="20"/>
        </w:rPr>
        <w:t>Sociological Methodology, 5</w:t>
      </w:r>
      <w:r w:rsidRPr="00E83E41">
        <w:rPr>
          <w:rFonts w:ascii="Cambria" w:hAnsi="Cambria"/>
          <w:sz w:val="20"/>
          <w:szCs w:val="20"/>
        </w:rPr>
        <w:t xml:space="preserve">, 17-50. doi:10.2307/270831 </w:t>
      </w:r>
    </w:p>
    <w:p w:rsidR="003E463C" w:rsidRPr="00E83E41" w:rsidRDefault="003E463C"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Arnas, Y. A. </w:t>
      </w:r>
      <w:r w:rsidR="007E474D" w:rsidRPr="00E83E41">
        <w:rPr>
          <w:rFonts w:ascii="Cambria" w:hAnsi="Cambria"/>
          <w:sz w:val="20"/>
          <w:szCs w:val="20"/>
        </w:rPr>
        <w:t>&amp;</w:t>
      </w:r>
      <w:r w:rsidRPr="00E83E41">
        <w:rPr>
          <w:rFonts w:ascii="Cambria" w:hAnsi="Cambria"/>
          <w:sz w:val="20"/>
          <w:szCs w:val="20"/>
        </w:rPr>
        <w:t xml:space="preserve"> Erden, Ş. (2006). </w:t>
      </w:r>
      <w:r w:rsidRPr="00E83E41">
        <w:rPr>
          <w:rFonts w:ascii="Cambria" w:hAnsi="Cambria"/>
          <w:i/>
          <w:sz w:val="20"/>
          <w:szCs w:val="20"/>
        </w:rPr>
        <w:t>Çizgi filmlerdeki şiddet unsurlarının incelenmesi</w:t>
      </w:r>
      <w:r w:rsidRPr="00E83E41">
        <w:rPr>
          <w:rFonts w:ascii="Cambria" w:hAnsi="Cambria"/>
          <w:sz w:val="20"/>
          <w:szCs w:val="20"/>
        </w:rPr>
        <w:t>. Marmara Üniversitesi Atatürk Eğitim Fakültesi 1. Uluslararası Okul Öncesi Eğitim Kongresi Bildiri Kitabı III. Cilt. İstanbul: Ya-Pa.</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Arslan, A. (2004). Bir sosyolojik olgu olarak televizyon. </w:t>
      </w:r>
      <w:r w:rsidRPr="00E83E41">
        <w:rPr>
          <w:rFonts w:ascii="Cambria" w:hAnsi="Cambria"/>
          <w:i/>
          <w:sz w:val="20"/>
          <w:szCs w:val="20"/>
        </w:rPr>
        <w:t>Uluslararası İnsan Bilimleri Dergisi, 1</w:t>
      </w:r>
      <w:r w:rsidRPr="00E83E41">
        <w:rPr>
          <w:rFonts w:ascii="Cambria" w:hAnsi="Cambria"/>
          <w:sz w:val="20"/>
          <w:szCs w:val="20"/>
        </w:rPr>
        <w:t>(1), 1-17.</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Beavers, A. S., Lounsbury, J. W., Richards, J. </w:t>
      </w:r>
      <w:r w:rsidR="007E474D" w:rsidRPr="00E83E41">
        <w:rPr>
          <w:rFonts w:ascii="Cambria" w:hAnsi="Cambria"/>
          <w:sz w:val="20"/>
          <w:szCs w:val="20"/>
        </w:rPr>
        <w:t xml:space="preserve">K., Huck, S. W., Skolits, G. J., &amp; </w:t>
      </w:r>
      <w:r w:rsidRPr="00E83E41">
        <w:rPr>
          <w:rFonts w:ascii="Cambria" w:hAnsi="Cambria"/>
          <w:sz w:val="20"/>
          <w:szCs w:val="20"/>
        </w:rPr>
        <w:t xml:space="preserve">Esquivel, L. (2013). Practical considerations for using exploratory factor analysis in educational research. </w:t>
      </w:r>
      <w:r w:rsidRPr="00E83E41">
        <w:rPr>
          <w:rFonts w:ascii="Cambria" w:hAnsi="Cambria"/>
          <w:i/>
          <w:sz w:val="20"/>
          <w:szCs w:val="20"/>
        </w:rPr>
        <w:t>Practical Assessment, Research and Evaluation, 18</w:t>
      </w:r>
      <w:r w:rsidRPr="00E83E41">
        <w:rPr>
          <w:rFonts w:ascii="Cambria" w:hAnsi="Cambria"/>
          <w:sz w:val="20"/>
          <w:szCs w:val="20"/>
        </w:rPr>
        <w:t>(6), 1-13.</w:t>
      </w:r>
      <w:r w:rsidR="008F7291" w:rsidRPr="00E83E41">
        <w:rPr>
          <w:rFonts w:ascii="Cambria" w:hAnsi="Cambria"/>
          <w:sz w:val="20"/>
          <w:szCs w:val="20"/>
        </w:rPr>
        <w:t xml:space="preserve"> </w:t>
      </w:r>
    </w:p>
    <w:p w:rsidR="00B52E04" w:rsidRPr="00E83E41" w:rsidRDefault="00B52E04"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Bushman, B. J.</w:t>
      </w:r>
      <w:r w:rsidR="007E474D" w:rsidRPr="00E83E41">
        <w:rPr>
          <w:rFonts w:ascii="Cambria" w:hAnsi="Cambria"/>
          <w:sz w:val="20"/>
          <w:szCs w:val="20"/>
        </w:rPr>
        <w:t>, &amp;</w:t>
      </w:r>
      <w:r w:rsidRPr="00E83E41">
        <w:rPr>
          <w:rFonts w:ascii="Cambria" w:hAnsi="Cambria"/>
          <w:sz w:val="20"/>
          <w:szCs w:val="20"/>
        </w:rPr>
        <w:t xml:space="preserve"> Huesmann, L. R. (2001). </w:t>
      </w:r>
      <w:r w:rsidRPr="00E83E41">
        <w:rPr>
          <w:rFonts w:ascii="Cambria" w:hAnsi="Cambria"/>
          <w:i/>
          <w:sz w:val="20"/>
          <w:szCs w:val="20"/>
        </w:rPr>
        <w:t>Effects of televised violence on aggression</w:t>
      </w:r>
      <w:r w:rsidRPr="00E83E41">
        <w:rPr>
          <w:rFonts w:ascii="Cambria" w:hAnsi="Cambria"/>
          <w:sz w:val="20"/>
          <w:szCs w:val="20"/>
        </w:rPr>
        <w:t>. In D. G. Singer and J. L. Singer (Eds.), Handbook of children and the media (pp. 223-254). Thousand Oaks, CA: Sage.</w:t>
      </w:r>
    </w:p>
    <w:p w:rsidR="0075745D" w:rsidRPr="00E83E41" w:rsidRDefault="0075745D"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Büyüköztürk, Ş., Kılıç Çakmak, E., Akgün, Ö. E., Karadeniz, Ş. &amp; Demirel, F. (2012). </w:t>
      </w:r>
      <w:r w:rsidRPr="00E83E41">
        <w:rPr>
          <w:rFonts w:ascii="Cambria" w:hAnsi="Cambria"/>
          <w:i/>
          <w:sz w:val="20"/>
          <w:szCs w:val="20"/>
        </w:rPr>
        <w:t>Bilimsel araştırma yöntemleri</w:t>
      </w:r>
      <w:r w:rsidRPr="00E83E41">
        <w:rPr>
          <w:rFonts w:ascii="Cambria" w:hAnsi="Cambria"/>
          <w:sz w:val="20"/>
          <w:szCs w:val="20"/>
        </w:rPr>
        <w:t xml:space="preserve"> (12. Baskı). Ankara: Pegem.</w:t>
      </w:r>
    </w:p>
    <w:p w:rsidR="00EF3812" w:rsidRPr="00E83E41" w:rsidRDefault="00EF3812"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Cohen R. J.</w:t>
      </w:r>
      <w:r w:rsidR="007E474D" w:rsidRPr="00E83E41">
        <w:rPr>
          <w:rFonts w:ascii="Cambria" w:hAnsi="Cambria"/>
          <w:sz w:val="20"/>
          <w:szCs w:val="20"/>
        </w:rPr>
        <w:t xml:space="preserve">, &amp; </w:t>
      </w:r>
      <w:r w:rsidRPr="00E83E41">
        <w:rPr>
          <w:rFonts w:ascii="Cambria" w:hAnsi="Cambria"/>
          <w:sz w:val="20"/>
          <w:szCs w:val="20"/>
        </w:rPr>
        <w:t xml:space="preserve">Swerdlik M. E. (2009). </w:t>
      </w:r>
      <w:r w:rsidRPr="00E83E41">
        <w:rPr>
          <w:rFonts w:ascii="Cambria" w:hAnsi="Cambria"/>
          <w:i/>
          <w:sz w:val="20"/>
          <w:szCs w:val="20"/>
        </w:rPr>
        <w:t>Psychological testing and assessment: An introduction to tests and measurement</w:t>
      </w:r>
      <w:r w:rsidRPr="00E83E41">
        <w:rPr>
          <w:rFonts w:ascii="Cambria" w:hAnsi="Cambria"/>
          <w:sz w:val="20"/>
          <w:szCs w:val="20"/>
        </w:rPr>
        <w:t xml:space="preserve"> (7th edition). Boston: McGraw-Hill.</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Cortina, J. M. (1993). What is coefficient alpha? An examination of theory and applications. </w:t>
      </w:r>
      <w:r w:rsidRPr="00E83E41">
        <w:rPr>
          <w:rFonts w:ascii="Cambria" w:hAnsi="Cambria"/>
          <w:i/>
          <w:sz w:val="20"/>
          <w:szCs w:val="20"/>
        </w:rPr>
        <w:t>The Journal of Applied Psychology, 78</w:t>
      </w:r>
      <w:r w:rsidRPr="00E83E41">
        <w:rPr>
          <w:rFonts w:ascii="Cambria" w:hAnsi="Cambria"/>
          <w:sz w:val="20"/>
          <w:szCs w:val="20"/>
        </w:rPr>
        <w:t>(1), 98-104, doi:10.1037/0021-9010.78.1.98</w:t>
      </w:r>
    </w:p>
    <w:p w:rsidR="00B80FB9" w:rsidRPr="00E83E41" w:rsidRDefault="00B80FB9"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Cronbach, L. J., Schonemann, P.</w:t>
      </w:r>
      <w:r w:rsidR="007E474D" w:rsidRPr="00E83E41">
        <w:rPr>
          <w:rFonts w:ascii="Cambria" w:hAnsi="Cambria"/>
          <w:sz w:val="20"/>
          <w:szCs w:val="20"/>
        </w:rPr>
        <w:t>,</w:t>
      </w:r>
      <w:r w:rsidRPr="00E83E41">
        <w:rPr>
          <w:rFonts w:ascii="Cambria" w:hAnsi="Cambria"/>
          <w:sz w:val="20"/>
          <w:szCs w:val="20"/>
        </w:rPr>
        <w:t xml:space="preserve"> &amp; McKie, D. (1965). Alpha coefficients for stratified-parallel tests. </w:t>
      </w:r>
      <w:r w:rsidRPr="00E83E41">
        <w:rPr>
          <w:rFonts w:ascii="Cambria" w:hAnsi="Cambria"/>
          <w:i/>
          <w:sz w:val="20"/>
          <w:szCs w:val="20"/>
        </w:rPr>
        <w:t>Educational and Psychological Measurement, 25</w:t>
      </w:r>
      <w:r w:rsidRPr="00E83E41">
        <w:rPr>
          <w:rFonts w:ascii="Cambria" w:hAnsi="Cambria"/>
          <w:sz w:val="20"/>
          <w:szCs w:val="20"/>
        </w:rPr>
        <w:t>(2), 291–312, https://doi.org/10.1177/001316446502500201</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Çalışkan Ülkü, E. </w:t>
      </w:r>
      <w:r w:rsidR="007E474D" w:rsidRPr="00E83E41">
        <w:rPr>
          <w:rFonts w:ascii="Cambria" w:hAnsi="Cambria"/>
          <w:sz w:val="20"/>
          <w:szCs w:val="20"/>
        </w:rPr>
        <w:t>&amp;</w:t>
      </w:r>
      <w:r w:rsidRPr="00E83E41">
        <w:rPr>
          <w:rFonts w:ascii="Cambria" w:hAnsi="Cambria"/>
          <w:sz w:val="20"/>
          <w:szCs w:val="20"/>
        </w:rPr>
        <w:t xml:space="preserve"> Demir, M. K. (2013). Kitle iletişim araçlarının öğrencilerin sınıf içi davranışlarına etkisi. </w:t>
      </w:r>
      <w:r w:rsidRPr="00E83E41">
        <w:rPr>
          <w:rFonts w:ascii="Cambria" w:hAnsi="Cambria"/>
          <w:i/>
          <w:sz w:val="20"/>
          <w:szCs w:val="20"/>
        </w:rPr>
        <w:t>International Journal of Social Science, 6</w:t>
      </w:r>
      <w:r w:rsidRPr="00E83E41">
        <w:rPr>
          <w:rFonts w:ascii="Cambria" w:hAnsi="Cambria"/>
          <w:sz w:val="20"/>
          <w:szCs w:val="20"/>
        </w:rPr>
        <w:t>(1), 587-608.</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Çamlıbel İrkin, A. (2012). </w:t>
      </w:r>
      <w:r w:rsidRPr="00E83E41">
        <w:rPr>
          <w:rFonts w:ascii="Cambria" w:hAnsi="Cambria"/>
          <w:i/>
          <w:sz w:val="20"/>
          <w:szCs w:val="20"/>
        </w:rPr>
        <w:t>Çocukların gelişim süreci ve televizyonun etkileri</w:t>
      </w:r>
      <w:r w:rsidR="00293A0A" w:rsidRPr="00E83E41">
        <w:rPr>
          <w:rFonts w:ascii="Cambria" w:hAnsi="Cambria"/>
          <w:sz w:val="20"/>
          <w:szCs w:val="20"/>
        </w:rPr>
        <w:t xml:space="preserve">, Uzmanlık tezi, </w:t>
      </w:r>
      <w:r w:rsidRPr="00E83E41">
        <w:rPr>
          <w:rFonts w:ascii="Cambria" w:hAnsi="Cambria"/>
          <w:sz w:val="20"/>
          <w:szCs w:val="20"/>
        </w:rPr>
        <w:t>Radyo Televizyon Üst Kurulu, Ankara.</w:t>
      </w:r>
    </w:p>
    <w:p w:rsidR="00AB647C" w:rsidRPr="00E83E41" w:rsidRDefault="00AB647C"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Demirel, Ö. (2005). </w:t>
      </w:r>
      <w:r w:rsidRPr="00E83E41">
        <w:rPr>
          <w:rFonts w:ascii="Cambria" w:hAnsi="Cambria"/>
          <w:i/>
          <w:sz w:val="20"/>
          <w:szCs w:val="20"/>
        </w:rPr>
        <w:t>Kuramdan uygulamaya eğitimde program geliştirme</w:t>
      </w:r>
      <w:r w:rsidRPr="00E83E41">
        <w:rPr>
          <w:rFonts w:ascii="Cambria" w:hAnsi="Cambria"/>
          <w:sz w:val="20"/>
          <w:szCs w:val="20"/>
        </w:rPr>
        <w:t>. Ankara: Pegem.</w:t>
      </w:r>
    </w:p>
    <w:p w:rsidR="004601FC" w:rsidRPr="00E83E41" w:rsidRDefault="004601FC"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DiLalla, L. F. (2000). Structural equation modeling: Uses and issues. </w:t>
      </w:r>
      <w:r w:rsidR="00A21733" w:rsidRPr="00E83E41">
        <w:rPr>
          <w:rFonts w:ascii="Cambria" w:hAnsi="Cambria"/>
          <w:sz w:val="20"/>
          <w:szCs w:val="20"/>
        </w:rPr>
        <w:t xml:space="preserve">H. E. A. Tinsley ve S. D. Brown (Ed.), </w:t>
      </w:r>
      <w:r w:rsidR="00A21733" w:rsidRPr="00E83E41">
        <w:rPr>
          <w:rFonts w:ascii="Cambria" w:hAnsi="Cambria"/>
          <w:i/>
          <w:sz w:val="20"/>
          <w:szCs w:val="20"/>
        </w:rPr>
        <w:t>Handbook of applied multivariate statistics and mathematical modeling</w:t>
      </w:r>
      <w:r w:rsidR="00A21733" w:rsidRPr="00E83E41">
        <w:rPr>
          <w:rFonts w:ascii="Cambria" w:hAnsi="Cambria"/>
          <w:sz w:val="20"/>
          <w:szCs w:val="20"/>
        </w:rPr>
        <w:t xml:space="preserve"> içinde. </w:t>
      </w:r>
      <w:r w:rsidR="00EA6D7C" w:rsidRPr="00E83E41">
        <w:rPr>
          <w:rFonts w:ascii="Cambria" w:hAnsi="Cambria"/>
          <w:sz w:val="20"/>
          <w:szCs w:val="20"/>
        </w:rPr>
        <w:t xml:space="preserve">California: </w:t>
      </w:r>
      <w:r w:rsidR="00A21733" w:rsidRPr="00E83E41">
        <w:rPr>
          <w:rFonts w:ascii="Cambria" w:hAnsi="Cambria"/>
          <w:sz w:val="20"/>
          <w:szCs w:val="20"/>
        </w:rPr>
        <w:t>Elsevier Science &amp; Technology Book.</w:t>
      </w:r>
    </w:p>
    <w:p w:rsidR="005D4863" w:rsidRPr="00E83E41" w:rsidRDefault="005D486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Doğutaş, A. (2013). The influence of media violence on children. </w:t>
      </w:r>
      <w:r w:rsidRPr="00E83E41">
        <w:rPr>
          <w:rFonts w:ascii="Cambria" w:hAnsi="Cambria"/>
          <w:i/>
          <w:sz w:val="20"/>
          <w:szCs w:val="20"/>
        </w:rPr>
        <w:t>Bartin University Journal of Faculty of Education, 2</w:t>
      </w:r>
      <w:r w:rsidRPr="00E83E41">
        <w:rPr>
          <w:rFonts w:ascii="Cambria" w:hAnsi="Cambria"/>
          <w:sz w:val="20"/>
          <w:szCs w:val="20"/>
        </w:rPr>
        <w:t>(1), 107 – 126, doi: 10.14686/201312021</w:t>
      </w:r>
    </w:p>
    <w:p w:rsidR="00DE3BF8" w:rsidRPr="00E83E41" w:rsidRDefault="00DE3BF8" w:rsidP="00E83E41">
      <w:pPr>
        <w:spacing w:before="120" w:after="120"/>
        <w:ind w:left="567" w:hanging="567"/>
        <w:rPr>
          <w:rFonts w:ascii="Cambria" w:hAnsi="Cambria"/>
          <w:sz w:val="20"/>
          <w:szCs w:val="20"/>
        </w:rPr>
      </w:pPr>
      <w:r w:rsidRPr="00E83E41">
        <w:rPr>
          <w:rFonts w:ascii="Cambria" w:hAnsi="Cambria"/>
          <w:sz w:val="20"/>
          <w:szCs w:val="20"/>
        </w:rPr>
        <w:t xml:space="preserve">Erbil, D. G. </w:t>
      </w:r>
      <w:r w:rsidR="007E474D" w:rsidRPr="00E83E41">
        <w:rPr>
          <w:rFonts w:ascii="Cambria" w:hAnsi="Cambria"/>
          <w:sz w:val="20"/>
          <w:szCs w:val="20"/>
        </w:rPr>
        <w:t>&amp;</w:t>
      </w:r>
      <w:r w:rsidRPr="00E83E41">
        <w:rPr>
          <w:rFonts w:ascii="Cambria" w:hAnsi="Cambria"/>
          <w:sz w:val="20"/>
          <w:szCs w:val="20"/>
        </w:rPr>
        <w:t xml:space="preserve"> Kocabaş, A. (2017). İlkokul 3. sınıf öğrencileri için bir ölçek geliştirme çalışması: Demokratik tutum ölçeği. </w:t>
      </w:r>
      <w:r w:rsidRPr="00E83E41">
        <w:rPr>
          <w:rFonts w:ascii="Cambria" w:hAnsi="Cambria"/>
          <w:i/>
          <w:sz w:val="20"/>
          <w:szCs w:val="20"/>
        </w:rPr>
        <w:t>Kastamonu Eğitim Dergisi, 25</w:t>
      </w:r>
      <w:r w:rsidRPr="00E83E41">
        <w:rPr>
          <w:rFonts w:ascii="Cambria" w:hAnsi="Cambria"/>
          <w:sz w:val="20"/>
          <w:szCs w:val="20"/>
        </w:rPr>
        <w:t>(1), 221-232.</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Erden, M. (1998). </w:t>
      </w:r>
      <w:r w:rsidRPr="00E83E41">
        <w:rPr>
          <w:rFonts w:ascii="Cambria" w:hAnsi="Cambria"/>
          <w:i/>
          <w:sz w:val="20"/>
          <w:szCs w:val="20"/>
        </w:rPr>
        <w:t>Eğitimde program değerlendirme</w:t>
      </w:r>
      <w:r w:rsidRPr="00E83E41">
        <w:rPr>
          <w:rFonts w:ascii="Cambria" w:hAnsi="Cambria"/>
          <w:sz w:val="20"/>
          <w:szCs w:val="20"/>
        </w:rPr>
        <w:t>. Ankara: Anı.</w:t>
      </w:r>
    </w:p>
    <w:p w:rsidR="000E53E0" w:rsidRPr="00E83E41" w:rsidRDefault="000E53E0"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Erkuş, A. (2012). </w:t>
      </w:r>
      <w:r w:rsidRPr="00E83E41">
        <w:rPr>
          <w:rFonts w:ascii="Cambria" w:hAnsi="Cambria"/>
          <w:i/>
          <w:sz w:val="20"/>
          <w:szCs w:val="20"/>
        </w:rPr>
        <w:t>Psikolojide ölçme ve ölçek geliştirme I</w:t>
      </w:r>
      <w:r w:rsidRPr="00E83E41">
        <w:rPr>
          <w:rFonts w:ascii="Cambria" w:hAnsi="Cambria"/>
          <w:sz w:val="20"/>
          <w:szCs w:val="20"/>
        </w:rPr>
        <w:t>. Ankara: Pegem.</w:t>
      </w:r>
    </w:p>
    <w:p w:rsidR="00D47FE7" w:rsidRPr="00E83E41" w:rsidRDefault="00D47FE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Evra, J. V. (2009). </w:t>
      </w:r>
      <w:r w:rsidRPr="00E83E41">
        <w:rPr>
          <w:rFonts w:ascii="Cambria" w:hAnsi="Cambria"/>
          <w:i/>
          <w:sz w:val="20"/>
          <w:szCs w:val="20"/>
        </w:rPr>
        <w:t>Television and child development</w:t>
      </w:r>
      <w:r w:rsidRPr="00E83E41">
        <w:rPr>
          <w:rFonts w:ascii="Cambria" w:hAnsi="Cambria"/>
          <w:sz w:val="20"/>
          <w:szCs w:val="20"/>
        </w:rPr>
        <w:t>. New York: Routledge.</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Hair, J.</w:t>
      </w:r>
      <w:r w:rsidR="007E474D" w:rsidRPr="00E83E41">
        <w:rPr>
          <w:rFonts w:ascii="Cambria" w:hAnsi="Cambria"/>
          <w:sz w:val="20"/>
          <w:szCs w:val="20"/>
        </w:rPr>
        <w:t xml:space="preserve"> F., Black, W. C., Babin, B. J., &amp; </w:t>
      </w:r>
      <w:r w:rsidRPr="00E83E41">
        <w:rPr>
          <w:rFonts w:ascii="Cambria" w:hAnsi="Cambria"/>
          <w:sz w:val="20"/>
          <w:szCs w:val="20"/>
        </w:rPr>
        <w:t xml:space="preserve">Anderson, R. E. (2014). </w:t>
      </w:r>
      <w:r w:rsidRPr="00E83E41">
        <w:rPr>
          <w:rFonts w:ascii="Cambria" w:hAnsi="Cambria"/>
          <w:i/>
          <w:sz w:val="20"/>
          <w:szCs w:val="20"/>
        </w:rPr>
        <w:t>Multivariate data analysis</w:t>
      </w:r>
      <w:r w:rsidRPr="00E83E41">
        <w:rPr>
          <w:rFonts w:ascii="Cambria" w:hAnsi="Cambria"/>
          <w:sz w:val="20"/>
          <w:szCs w:val="20"/>
        </w:rPr>
        <w:t xml:space="preserve"> (7th edition). </w:t>
      </w:r>
      <w:r w:rsidR="00FA7213" w:rsidRPr="00E83E41">
        <w:rPr>
          <w:rFonts w:ascii="Cambria" w:hAnsi="Cambria"/>
          <w:sz w:val="20"/>
          <w:szCs w:val="20"/>
        </w:rPr>
        <w:t>Essex</w:t>
      </w:r>
      <w:r w:rsidRPr="00E83E41">
        <w:rPr>
          <w:rFonts w:ascii="Cambria" w:hAnsi="Cambria"/>
          <w:sz w:val="20"/>
          <w:szCs w:val="20"/>
        </w:rPr>
        <w:t>: Pearson.</w:t>
      </w:r>
    </w:p>
    <w:p w:rsidR="00FD0ED6" w:rsidRPr="00E83E41" w:rsidRDefault="00FD0ED6"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İpşir, D. (2002). Sınıf yönetiminde öğrencilerle sağlıklı iletişim kurabilmenin ve olumlu sınıf ortamı yaratmanın rolleri. </w:t>
      </w:r>
      <w:r w:rsidRPr="00E83E41">
        <w:rPr>
          <w:rFonts w:ascii="Cambria" w:hAnsi="Cambria"/>
          <w:i/>
          <w:sz w:val="20"/>
          <w:szCs w:val="20"/>
        </w:rPr>
        <w:t>Milli Eğitim Dergisi, 153</w:t>
      </w:r>
      <w:r w:rsidRPr="00E83E41">
        <w:rPr>
          <w:rFonts w:ascii="Cambria" w:hAnsi="Cambria"/>
          <w:sz w:val="20"/>
          <w:szCs w:val="20"/>
        </w:rPr>
        <w:t>.</w:t>
      </w:r>
      <w:r w:rsidR="00293A0A" w:rsidRPr="00E83E41">
        <w:rPr>
          <w:rFonts w:ascii="Cambria" w:hAnsi="Cambria"/>
          <w:sz w:val="20"/>
          <w:szCs w:val="20"/>
        </w:rPr>
        <w:t xml:space="preserve"> </w:t>
      </w:r>
      <w:hyperlink r:id="rId7" w:history="1">
        <w:r w:rsidR="00195490" w:rsidRPr="00E83E41">
          <w:rPr>
            <w:rStyle w:val="Hyperlink"/>
            <w:rFonts w:ascii="Cambria" w:hAnsi="Cambria"/>
            <w:sz w:val="20"/>
            <w:szCs w:val="20"/>
          </w:rPr>
          <w:t>http://dhgm.meb.gov.tr/yayimlar/dergiler/milli_egitim_dergisi/153-154/ipsir.htm</w:t>
        </w:r>
      </w:hyperlink>
      <w:r w:rsidR="00195490" w:rsidRPr="00E83E41">
        <w:rPr>
          <w:rFonts w:ascii="Cambria" w:hAnsi="Cambria"/>
          <w:sz w:val="20"/>
          <w:szCs w:val="20"/>
        </w:rPr>
        <w:t xml:space="preserve"> adresinden 01.08.2017 tarihinde</w:t>
      </w:r>
      <w:r w:rsidR="00293A0A" w:rsidRPr="00E83E41">
        <w:rPr>
          <w:rFonts w:ascii="Cambria" w:hAnsi="Cambria"/>
          <w:sz w:val="20"/>
          <w:szCs w:val="20"/>
        </w:rPr>
        <w:t xml:space="preserve"> erişilmiştir.</w:t>
      </w:r>
    </w:p>
    <w:p w:rsidR="00F768AF" w:rsidRPr="00E83E41" w:rsidRDefault="00F768AF"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lastRenderedPageBreak/>
        <w:t>Jöreskog, K. G.</w:t>
      </w:r>
      <w:r w:rsidR="007E474D" w:rsidRPr="00E83E41">
        <w:rPr>
          <w:rFonts w:ascii="Cambria" w:hAnsi="Cambria"/>
          <w:sz w:val="20"/>
          <w:szCs w:val="20"/>
        </w:rPr>
        <w:t>, &amp;</w:t>
      </w:r>
      <w:r w:rsidRPr="00E83E41">
        <w:rPr>
          <w:rFonts w:ascii="Cambria" w:hAnsi="Cambria"/>
          <w:sz w:val="20"/>
          <w:szCs w:val="20"/>
        </w:rPr>
        <w:t xml:space="preserve"> Sörbom, D. (1993). </w:t>
      </w:r>
      <w:r w:rsidRPr="00E83E41">
        <w:rPr>
          <w:rFonts w:ascii="Cambria" w:hAnsi="Cambria"/>
          <w:i/>
          <w:sz w:val="20"/>
          <w:szCs w:val="20"/>
        </w:rPr>
        <w:t>Lisrel 8: Structural equation modeling with the simples command language</w:t>
      </w:r>
      <w:r w:rsidRPr="00E83E41">
        <w:rPr>
          <w:rFonts w:ascii="Cambria" w:hAnsi="Cambria"/>
          <w:sz w:val="20"/>
          <w:szCs w:val="20"/>
        </w:rPr>
        <w:t>. Lincolnwood: Scientific Software International.</w:t>
      </w:r>
    </w:p>
    <w:p w:rsidR="00AF6036" w:rsidRPr="00E83E41" w:rsidRDefault="00AF6036"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Kahn, J. H. (2006). Factor analysis in counseling pschology research, training, and practice: Principles, advances, and application. </w:t>
      </w:r>
      <w:r w:rsidRPr="00E83E41">
        <w:rPr>
          <w:rFonts w:ascii="Cambria" w:hAnsi="Cambria"/>
          <w:i/>
          <w:sz w:val="20"/>
          <w:szCs w:val="20"/>
        </w:rPr>
        <w:t>The Counseling Psychologist, 34</w:t>
      </w:r>
      <w:r w:rsidRPr="00E83E41">
        <w:rPr>
          <w:rFonts w:ascii="Cambria" w:hAnsi="Cambria"/>
          <w:sz w:val="20"/>
          <w:szCs w:val="20"/>
        </w:rPr>
        <w:t>(5), 684-718.</w:t>
      </w:r>
    </w:p>
    <w:p w:rsidR="007F2C9F" w:rsidRPr="00E83E41" w:rsidRDefault="007F2C9F"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Karaca, Y., Pekyaman, A. </w:t>
      </w:r>
      <w:r w:rsidR="007E474D" w:rsidRPr="00E83E41">
        <w:rPr>
          <w:rFonts w:ascii="Cambria" w:hAnsi="Cambria"/>
          <w:sz w:val="20"/>
          <w:szCs w:val="20"/>
        </w:rPr>
        <w:t>&amp;</w:t>
      </w:r>
      <w:r w:rsidRPr="00E83E41">
        <w:rPr>
          <w:rFonts w:ascii="Cambria" w:hAnsi="Cambria"/>
          <w:sz w:val="20"/>
          <w:szCs w:val="20"/>
        </w:rPr>
        <w:t xml:space="preserve"> Güney, H. (2007). Ebeveynlerin televizyon reklam içeriklerinin çocuklar üzerindeki etkilerini etik açıdan algılamalarına yönelik bir araştırma. </w:t>
      </w:r>
      <w:r w:rsidRPr="00E83E41">
        <w:rPr>
          <w:rFonts w:ascii="Cambria" w:hAnsi="Cambria"/>
          <w:i/>
          <w:sz w:val="20"/>
          <w:szCs w:val="20"/>
        </w:rPr>
        <w:t>Sosyal Bilimler Dergisi, 9</w:t>
      </w:r>
      <w:r w:rsidRPr="00E83E41">
        <w:rPr>
          <w:rFonts w:ascii="Cambria" w:hAnsi="Cambria"/>
          <w:sz w:val="20"/>
          <w:szCs w:val="20"/>
        </w:rPr>
        <w:t>(2), 233-250.</w:t>
      </w:r>
    </w:p>
    <w:p w:rsidR="003B5A1C" w:rsidRPr="00E83E41" w:rsidRDefault="003B5A1C"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Kirsh, S. J. (2006). Cartoon violence and aggression in youth. </w:t>
      </w:r>
      <w:r w:rsidRPr="00E83E41">
        <w:rPr>
          <w:rFonts w:ascii="Cambria" w:hAnsi="Cambria"/>
          <w:i/>
          <w:sz w:val="20"/>
          <w:szCs w:val="20"/>
        </w:rPr>
        <w:t>Aggression and Violent Behavior, 11</w:t>
      </w:r>
      <w:r w:rsidRPr="00E83E41">
        <w:rPr>
          <w:rFonts w:ascii="Cambria" w:hAnsi="Cambria"/>
          <w:sz w:val="20"/>
          <w:szCs w:val="20"/>
        </w:rPr>
        <w:t>, 547-557, doi:10.1016/j.avb.2005.10.002</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Kline, R. B. (2011). </w:t>
      </w:r>
      <w:r w:rsidRPr="00E83E41">
        <w:rPr>
          <w:rFonts w:ascii="Cambria" w:hAnsi="Cambria"/>
          <w:i/>
          <w:sz w:val="20"/>
          <w:szCs w:val="20"/>
        </w:rPr>
        <w:t>Principles and practice of structural equation modeling</w:t>
      </w:r>
      <w:r w:rsidRPr="00E83E41">
        <w:rPr>
          <w:rFonts w:ascii="Cambria" w:hAnsi="Cambria"/>
          <w:sz w:val="20"/>
          <w:szCs w:val="20"/>
        </w:rPr>
        <w:t xml:space="preserve"> (3</w:t>
      </w:r>
      <w:r w:rsidR="00500BE3" w:rsidRPr="00E83E41">
        <w:rPr>
          <w:rFonts w:ascii="Cambria" w:hAnsi="Cambria"/>
          <w:sz w:val="20"/>
          <w:szCs w:val="20"/>
        </w:rPr>
        <w:t>th</w:t>
      </w:r>
      <w:r w:rsidRPr="00E83E41">
        <w:rPr>
          <w:rFonts w:ascii="Cambria" w:hAnsi="Cambria"/>
          <w:sz w:val="20"/>
          <w:szCs w:val="20"/>
        </w:rPr>
        <w:t xml:space="preserve"> </w:t>
      </w:r>
      <w:r w:rsidR="00500BE3" w:rsidRPr="00E83E41">
        <w:rPr>
          <w:rFonts w:ascii="Cambria" w:hAnsi="Cambria"/>
          <w:sz w:val="20"/>
          <w:szCs w:val="20"/>
        </w:rPr>
        <w:t>edition</w:t>
      </w:r>
      <w:r w:rsidR="007E474D" w:rsidRPr="00E83E41">
        <w:rPr>
          <w:rFonts w:ascii="Cambria" w:hAnsi="Cambria"/>
          <w:sz w:val="20"/>
          <w:szCs w:val="20"/>
        </w:rPr>
        <w:t>). New York: The Guilford</w:t>
      </w:r>
      <w:r w:rsidRPr="00E83E41">
        <w:rPr>
          <w:rFonts w:ascii="Cambria" w:hAnsi="Cambria"/>
          <w:sz w:val="20"/>
          <w:szCs w:val="20"/>
        </w:rPr>
        <w:t>.</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Ledingham, J. E., Ledingham, C. A.</w:t>
      </w:r>
      <w:r w:rsidR="007E474D" w:rsidRPr="00E83E41">
        <w:rPr>
          <w:rFonts w:ascii="Cambria" w:hAnsi="Cambria"/>
          <w:sz w:val="20"/>
          <w:szCs w:val="20"/>
        </w:rPr>
        <w:t>,</w:t>
      </w:r>
      <w:r w:rsidRPr="00E83E41">
        <w:rPr>
          <w:rFonts w:ascii="Cambria" w:hAnsi="Cambria"/>
          <w:sz w:val="20"/>
          <w:szCs w:val="20"/>
        </w:rPr>
        <w:t xml:space="preserve"> </w:t>
      </w:r>
      <w:r w:rsidR="007E474D" w:rsidRPr="00E83E41">
        <w:rPr>
          <w:rFonts w:ascii="Cambria" w:hAnsi="Cambria"/>
          <w:sz w:val="20"/>
          <w:szCs w:val="20"/>
        </w:rPr>
        <w:t>&amp;</w:t>
      </w:r>
      <w:r w:rsidRPr="00E83E41">
        <w:rPr>
          <w:rFonts w:ascii="Cambria" w:hAnsi="Cambria"/>
          <w:sz w:val="20"/>
          <w:szCs w:val="20"/>
        </w:rPr>
        <w:t xml:space="preserve"> Richardson, J. E. (199</w:t>
      </w:r>
      <w:r w:rsidR="00B81C5E" w:rsidRPr="00E83E41">
        <w:rPr>
          <w:rFonts w:ascii="Cambria" w:hAnsi="Cambria"/>
          <w:sz w:val="20"/>
          <w:szCs w:val="20"/>
        </w:rPr>
        <w:t>4</w:t>
      </w:r>
      <w:r w:rsidRPr="00E83E41">
        <w:rPr>
          <w:rFonts w:ascii="Cambria" w:hAnsi="Cambria"/>
          <w:sz w:val="20"/>
          <w:szCs w:val="20"/>
        </w:rPr>
        <w:t xml:space="preserve">). </w:t>
      </w:r>
      <w:r w:rsidRPr="00E83E41">
        <w:rPr>
          <w:rFonts w:ascii="Cambria" w:hAnsi="Cambria"/>
          <w:i/>
          <w:sz w:val="20"/>
          <w:szCs w:val="20"/>
        </w:rPr>
        <w:t xml:space="preserve">The effects of media violence on children. </w:t>
      </w:r>
      <w:r w:rsidRPr="00E83E41">
        <w:rPr>
          <w:rFonts w:ascii="Cambria" w:hAnsi="Cambria"/>
          <w:sz w:val="20"/>
          <w:szCs w:val="20"/>
        </w:rPr>
        <w:t>National Clearinghouse on Family Violence. Family Violence Prevention Division, Health, Canada.</w:t>
      </w:r>
    </w:p>
    <w:p w:rsidR="00B71F63" w:rsidRPr="00E83E41" w:rsidRDefault="00B71F6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Li, C. H. (2015). Confirmatory factor analysis with ordinal data: Comparing robust maximum likelihood and diagonally weighted least squares. </w:t>
      </w:r>
      <w:r w:rsidR="00B12EE5" w:rsidRPr="00E83E41">
        <w:rPr>
          <w:rFonts w:ascii="Cambria" w:hAnsi="Cambria"/>
          <w:i/>
          <w:sz w:val="20"/>
          <w:szCs w:val="20"/>
        </w:rPr>
        <w:t>Behavior Research Methods</w:t>
      </w:r>
      <w:r w:rsidRPr="00E83E41">
        <w:rPr>
          <w:rFonts w:ascii="Cambria" w:hAnsi="Cambria"/>
          <w:i/>
          <w:sz w:val="20"/>
          <w:szCs w:val="20"/>
        </w:rPr>
        <w:t>, 48</w:t>
      </w:r>
      <w:r w:rsidRPr="00E83E41">
        <w:rPr>
          <w:rFonts w:ascii="Cambria" w:hAnsi="Cambria"/>
          <w:sz w:val="20"/>
          <w:szCs w:val="20"/>
        </w:rPr>
        <w:t>(3), 936-49, doi: 10.3758/s13428-015-0619-7.</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Lorenzo-Seva, U. (1999)</w:t>
      </w:r>
      <w:r w:rsidR="0077415B" w:rsidRPr="00E83E41">
        <w:rPr>
          <w:rFonts w:ascii="Cambria" w:hAnsi="Cambria"/>
          <w:sz w:val="20"/>
          <w:szCs w:val="20"/>
        </w:rPr>
        <w:t>.</w:t>
      </w:r>
      <w:r w:rsidRPr="00E83E41">
        <w:rPr>
          <w:rFonts w:ascii="Cambria" w:hAnsi="Cambria"/>
          <w:sz w:val="20"/>
          <w:szCs w:val="20"/>
        </w:rPr>
        <w:t xml:space="preserve"> Promin: A method for oblique factor rotation. </w:t>
      </w:r>
      <w:r w:rsidRPr="00E83E41">
        <w:rPr>
          <w:rFonts w:ascii="Cambria" w:hAnsi="Cambria"/>
          <w:i/>
          <w:sz w:val="20"/>
          <w:szCs w:val="20"/>
        </w:rPr>
        <w:t>Multivariate Behavioral Research, 34</w:t>
      </w:r>
      <w:r w:rsidRPr="00E83E41">
        <w:rPr>
          <w:rFonts w:ascii="Cambria" w:hAnsi="Cambria"/>
          <w:sz w:val="20"/>
          <w:szCs w:val="20"/>
        </w:rPr>
        <w:t>(3), 347-365, doi: 10.1207/S15327906MBR3403_3</w:t>
      </w:r>
    </w:p>
    <w:p w:rsidR="00525F41" w:rsidRPr="00E83E41" w:rsidRDefault="00525F41"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Lorenzo-Seva, U.</w:t>
      </w:r>
      <w:r w:rsidR="007E474D" w:rsidRPr="00E83E41">
        <w:rPr>
          <w:rFonts w:ascii="Cambria" w:hAnsi="Cambria"/>
          <w:sz w:val="20"/>
          <w:szCs w:val="20"/>
        </w:rPr>
        <w:t>,</w:t>
      </w:r>
      <w:r w:rsidRPr="00E83E41">
        <w:rPr>
          <w:rFonts w:ascii="Cambria" w:hAnsi="Cambria"/>
          <w:sz w:val="20"/>
          <w:szCs w:val="20"/>
        </w:rPr>
        <w:t xml:space="preserve"> &amp; Ferrando, P. J. (2013). </w:t>
      </w:r>
      <w:r w:rsidRPr="00E83E41">
        <w:rPr>
          <w:rFonts w:ascii="Cambria" w:hAnsi="Cambria"/>
          <w:i/>
          <w:sz w:val="20"/>
          <w:szCs w:val="20"/>
        </w:rPr>
        <w:t>Factor v9.20 manual of the program</w:t>
      </w:r>
      <w:r w:rsidRPr="00E83E41">
        <w:rPr>
          <w:rFonts w:ascii="Cambria" w:hAnsi="Cambria"/>
          <w:sz w:val="20"/>
          <w:szCs w:val="20"/>
        </w:rPr>
        <w:t>. Universitat Rovira i Virgili, Departament de Psicologia, Tarragona, Spain.</w:t>
      </w:r>
    </w:p>
    <w:p w:rsidR="001D7352" w:rsidRPr="00E83E41" w:rsidRDefault="001D7352"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Mariani, L. (1999, March). </w:t>
      </w:r>
      <w:r w:rsidRPr="00E83E41">
        <w:rPr>
          <w:rFonts w:ascii="Cambria" w:hAnsi="Cambria"/>
          <w:i/>
          <w:sz w:val="20"/>
          <w:szCs w:val="20"/>
        </w:rPr>
        <w:t>Probing the hidden curriculum: Teachers’ students’ beliefs and attitudes</w:t>
      </w:r>
      <w:r w:rsidRPr="00E83E41">
        <w:rPr>
          <w:rFonts w:ascii="Cambria" w:hAnsi="Cambria"/>
          <w:sz w:val="20"/>
          <w:szCs w:val="20"/>
        </w:rPr>
        <w:t>. Paper presented at the British Council 18th National Conference for Teachers of English. Palermo, Italy.</w:t>
      </w:r>
    </w:p>
    <w:p w:rsidR="00F51642" w:rsidRPr="00E83E41" w:rsidRDefault="00F51642"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McDonald, R. P. (1999). </w:t>
      </w:r>
      <w:r w:rsidRPr="00E83E41">
        <w:rPr>
          <w:rFonts w:ascii="Cambria" w:hAnsi="Cambria"/>
          <w:i/>
          <w:sz w:val="20"/>
          <w:szCs w:val="20"/>
        </w:rPr>
        <w:t>Test theory: A unified treatment</w:t>
      </w:r>
      <w:r w:rsidRPr="00E83E41">
        <w:rPr>
          <w:rFonts w:ascii="Cambria" w:hAnsi="Cambria"/>
          <w:sz w:val="20"/>
          <w:szCs w:val="20"/>
        </w:rPr>
        <w:t xml:space="preserve">. Mahwah, NJ: Erlbaum. </w:t>
      </w:r>
    </w:p>
    <w:p w:rsidR="00F169DF" w:rsidRPr="00E83E41" w:rsidRDefault="00F169DF"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Muthén, L. </w:t>
      </w:r>
      <w:r w:rsidR="007E474D" w:rsidRPr="00E83E41">
        <w:rPr>
          <w:rFonts w:ascii="Cambria" w:hAnsi="Cambria"/>
          <w:sz w:val="20"/>
          <w:szCs w:val="20"/>
        </w:rPr>
        <w:t xml:space="preserve">K., &amp; </w:t>
      </w:r>
      <w:r w:rsidRPr="00E83E41">
        <w:rPr>
          <w:rFonts w:ascii="Cambria" w:hAnsi="Cambria"/>
          <w:sz w:val="20"/>
          <w:szCs w:val="20"/>
        </w:rPr>
        <w:t xml:space="preserve">Muthén, B. O. (2012). </w:t>
      </w:r>
      <w:r w:rsidRPr="00E83E41">
        <w:rPr>
          <w:rFonts w:ascii="Cambria" w:hAnsi="Cambria"/>
          <w:i/>
          <w:sz w:val="20"/>
          <w:szCs w:val="20"/>
        </w:rPr>
        <w:t>Mplus user’s guide</w:t>
      </w:r>
      <w:r w:rsidRPr="00E83E41">
        <w:rPr>
          <w:rFonts w:ascii="Cambria" w:hAnsi="Cambria"/>
          <w:sz w:val="20"/>
          <w:szCs w:val="20"/>
        </w:rPr>
        <w:t xml:space="preserve"> (seventh edition). Los Angeles, CA: Muthén &amp; Muthén.</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Oruç, C., Tecim, E. </w:t>
      </w:r>
      <w:r w:rsidR="007E474D" w:rsidRPr="00E83E41">
        <w:rPr>
          <w:rFonts w:ascii="Cambria" w:hAnsi="Cambria"/>
          <w:sz w:val="20"/>
          <w:szCs w:val="20"/>
        </w:rPr>
        <w:t>&amp;</w:t>
      </w:r>
      <w:r w:rsidRPr="00E83E41">
        <w:rPr>
          <w:rFonts w:ascii="Cambria" w:hAnsi="Cambria"/>
          <w:sz w:val="20"/>
          <w:szCs w:val="20"/>
        </w:rPr>
        <w:t xml:space="preserve"> Özyürek, H. (2011). Okul öncesi dönem çocuğunun kişilik gelişiminde rol modellik ve çizgi filmler. </w:t>
      </w:r>
      <w:r w:rsidRPr="00E83E41">
        <w:rPr>
          <w:rFonts w:ascii="Cambria" w:hAnsi="Cambria"/>
          <w:i/>
          <w:sz w:val="20"/>
          <w:szCs w:val="20"/>
        </w:rPr>
        <w:t>Ekev Akademi Dergisi, 15</w:t>
      </w:r>
      <w:r w:rsidRPr="00E83E41">
        <w:rPr>
          <w:rFonts w:ascii="Cambria" w:hAnsi="Cambria"/>
          <w:sz w:val="20"/>
          <w:szCs w:val="20"/>
        </w:rPr>
        <w:t>(48), 281-297.</w:t>
      </w:r>
    </w:p>
    <w:p w:rsidR="00510673" w:rsidRPr="00E83E41" w:rsidRDefault="0051067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Peters, K. M.</w:t>
      </w:r>
      <w:r w:rsidR="007E474D" w:rsidRPr="00E83E41">
        <w:rPr>
          <w:rFonts w:ascii="Cambria" w:hAnsi="Cambria"/>
          <w:sz w:val="20"/>
          <w:szCs w:val="20"/>
        </w:rPr>
        <w:t>, &amp;</w:t>
      </w:r>
      <w:r w:rsidRPr="00E83E41">
        <w:rPr>
          <w:rFonts w:ascii="Cambria" w:hAnsi="Cambria"/>
          <w:sz w:val="20"/>
          <w:szCs w:val="20"/>
        </w:rPr>
        <w:t xml:space="preserve"> Blumberg, F. C. (2002). Cartoon violence: Is it as detrimental to preschoolers as we think? </w:t>
      </w:r>
      <w:r w:rsidRPr="00E83E41">
        <w:rPr>
          <w:rFonts w:ascii="Cambria" w:hAnsi="Cambria"/>
          <w:i/>
          <w:sz w:val="20"/>
          <w:szCs w:val="20"/>
        </w:rPr>
        <w:t>Early Childhood Education Journal, 29</w:t>
      </w:r>
      <w:r w:rsidRPr="00E83E41">
        <w:rPr>
          <w:rFonts w:ascii="Cambria" w:hAnsi="Cambria"/>
          <w:sz w:val="20"/>
          <w:szCs w:val="20"/>
        </w:rPr>
        <w:t>(3), 143-148, https://doi.org/10.1023/A:1014576307194</w:t>
      </w:r>
    </w:p>
    <w:p w:rsidR="00E20527" w:rsidRPr="00E83E41" w:rsidRDefault="007E474D"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Pett, M. A., Lackey, N. R., &amp; </w:t>
      </w:r>
      <w:r w:rsidR="00E20527" w:rsidRPr="00E83E41">
        <w:rPr>
          <w:rFonts w:ascii="Cambria" w:hAnsi="Cambria"/>
          <w:sz w:val="20"/>
          <w:szCs w:val="20"/>
        </w:rPr>
        <w:t xml:space="preserve">Sullivan, J. J. (2003). </w:t>
      </w:r>
      <w:r w:rsidR="00E20527" w:rsidRPr="00E83E41">
        <w:rPr>
          <w:rFonts w:ascii="Cambria" w:hAnsi="Cambria"/>
          <w:i/>
          <w:sz w:val="20"/>
          <w:szCs w:val="20"/>
        </w:rPr>
        <w:t>Making sense of factor analysis: The use of factor analysis for instrument development in health care research</w:t>
      </w:r>
      <w:r w:rsidR="00E20527" w:rsidRPr="00E83E41">
        <w:rPr>
          <w:rFonts w:ascii="Cambria" w:hAnsi="Cambria"/>
          <w:sz w:val="20"/>
          <w:szCs w:val="20"/>
        </w:rPr>
        <w:t>. California: Sage.</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Radyo Televizyon Üst Kurulu. (2005). </w:t>
      </w:r>
      <w:r w:rsidRPr="00E83E41">
        <w:rPr>
          <w:rFonts w:ascii="Cambria" w:hAnsi="Cambria"/>
          <w:i/>
          <w:sz w:val="20"/>
          <w:szCs w:val="20"/>
        </w:rPr>
        <w:t>Televizyon programlarındaki şiddet içeriğinin, müstehcenliğin ve mahremiyet ihlâllerinin izleyicilerin ruh sağlığı üzerindeki olumsuz etkileri</w:t>
      </w:r>
      <w:r w:rsidRPr="00E83E41">
        <w:rPr>
          <w:rFonts w:ascii="Cambria" w:hAnsi="Cambria"/>
          <w:sz w:val="20"/>
          <w:szCs w:val="20"/>
        </w:rPr>
        <w:t>. Ankara: RTÜK.</w:t>
      </w:r>
    </w:p>
    <w:p w:rsidR="00D72375" w:rsidRPr="00E83E41" w:rsidRDefault="00D72375"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Raykov, T., &amp; </w:t>
      </w:r>
      <w:r w:rsidR="00B137E4" w:rsidRPr="00E83E41">
        <w:rPr>
          <w:rFonts w:ascii="Cambria" w:hAnsi="Cambria"/>
          <w:sz w:val="20"/>
          <w:szCs w:val="20"/>
        </w:rPr>
        <w:t>Marcoulides, G. A. (2006). A first course in structural equation modeling (2nd ed.). New Jersey: Lawrence Erlbaum Associates, Inc.</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Sarı, M. (2007). </w:t>
      </w:r>
      <w:r w:rsidRPr="00E83E41">
        <w:rPr>
          <w:rFonts w:ascii="Cambria" w:hAnsi="Cambria"/>
          <w:i/>
          <w:sz w:val="20"/>
          <w:szCs w:val="20"/>
        </w:rPr>
        <w:t>Demokratik değerlerin kazanımı sürecinde</w:t>
      </w:r>
      <w:r w:rsidR="00AC511A" w:rsidRPr="00E83E41">
        <w:rPr>
          <w:rFonts w:ascii="Cambria" w:hAnsi="Cambria"/>
          <w:i/>
          <w:sz w:val="20"/>
          <w:szCs w:val="20"/>
        </w:rPr>
        <w:t xml:space="preserve"> örtük program: Düşük ve yüksek </w:t>
      </w:r>
      <w:r w:rsidRPr="00E83E41">
        <w:rPr>
          <w:rFonts w:ascii="Cambria" w:hAnsi="Cambria"/>
          <w:i/>
          <w:sz w:val="20"/>
          <w:szCs w:val="20"/>
        </w:rPr>
        <w:t>okul yaşam kalitesine sahip iki ilköğretim okulunda nitel bir çalışma</w:t>
      </w:r>
      <w:r w:rsidR="00F35FEF" w:rsidRPr="00E83E41">
        <w:rPr>
          <w:rFonts w:ascii="Cambria" w:hAnsi="Cambria"/>
          <w:sz w:val="20"/>
          <w:szCs w:val="20"/>
        </w:rPr>
        <w:t>, Doktora Tezi,</w:t>
      </w:r>
      <w:r w:rsidRPr="00E83E41">
        <w:rPr>
          <w:rFonts w:ascii="Cambria" w:hAnsi="Cambria"/>
          <w:sz w:val="20"/>
          <w:szCs w:val="20"/>
        </w:rPr>
        <w:t xml:space="preserve"> Çukurova Üniversitesi</w:t>
      </w:r>
      <w:r w:rsidR="00AC511A" w:rsidRPr="00E83E41">
        <w:rPr>
          <w:rFonts w:ascii="Cambria" w:hAnsi="Cambria"/>
          <w:sz w:val="20"/>
          <w:szCs w:val="20"/>
        </w:rPr>
        <w:t>,</w:t>
      </w:r>
      <w:r w:rsidRPr="00E83E41">
        <w:rPr>
          <w:rFonts w:ascii="Cambria" w:hAnsi="Cambria"/>
          <w:sz w:val="20"/>
          <w:szCs w:val="20"/>
        </w:rPr>
        <w:t xml:space="preserve"> Adana.</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Schmitt, N. (1996). Uses and abuses of coefficient alpha. </w:t>
      </w:r>
      <w:r w:rsidRPr="00E83E41">
        <w:rPr>
          <w:rFonts w:ascii="Cambria" w:hAnsi="Cambria"/>
          <w:i/>
          <w:sz w:val="20"/>
          <w:szCs w:val="20"/>
        </w:rPr>
        <w:t>Psychological Assessment, 8</w:t>
      </w:r>
      <w:r w:rsidRPr="00E83E41">
        <w:rPr>
          <w:rFonts w:ascii="Cambria" w:hAnsi="Cambria"/>
          <w:sz w:val="20"/>
          <w:szCs w:val="20"/>
        </w:rPr>
        <w:t>, 350-353.</w:t>
      </w:r>
    </w:p>
    <w:p w:rsidR="00B32183" w:rsidRPr="00E83E41" w:rsidRDefault="00B3218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Schumacker, R. E.</w:t>
      </w:r>
      <w:r w:rsidR="00D72375" w:rsidRPr="00E83E41">
        <w:rPr>
          <w:rFonts w:ascii="Cambria" w:hAnsi="Cambria"/>
          <w:sz w:val="20"/>
          <w:szCs w:val="20"/>
        </w:rPr>
        <w:t>,</w:t>
      </w:r>
      <w:r w:rsidRPr="00E83E41">
        <w:rPr>
          <w:rFonts w:ascii="Cambria" w:hAnsi="Cambria"/>
          <w:sz w:val="20"/>
          <w:szCs w:val="20"/>
        </w:rPr>
        <w:t xml:space="preserve"> &amp; Lomax, R. G. (2010). </w:t>
      </w:r>
      <w:r w:rsidRPr="00E83E41">
        <w:rPr>
          <w:rFonts w:ascii="Cambria" w:hAnsi="Cambria"/>
          <w:i/>
          <w:sz w:val="20"/>
          <w:szCs w:val="20"/>
        </w:rPr>
        <w:t>A beginner’s guide to structural equation modeling</w:t>
      </w:r>
      <w:r w:rsidRPr="00E83E41">
        <w:rPr>
          <w:rFonts w:ascii="Cambria" w:hAnsi="Cambria"/>
          <w:sz w:val="20"/>
          <w:szCs w:val="20"/>
        </w:rPr>
        <w:t xml:space="preserve"> (3th edition). USA: Routledge.</w:t>
      </w:r>
    </w:p>
    <w:p w:rsidR="000615C5" w:rsidRPr="00E83E41" w:rsidRDefault="000615C5"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Singer, D. G.</w:t>
      </w:r>
      <w:r w:rsidR="007E474D" w:rsidRPr="00E83E41">
        <w:rPr>
          <w:rFonts w:ascii="Cambria" w:hAnsi="Cambria"/>
          <w:sz w:val="20"/>
          <w:szCs w:val="20"/>
        </w:rPr>
        <w:t>, &amp;</w:t>
      </w:r>
      <w:r w:rsidRPr="00E83E41">
        <w:rPr>
          <w:rFonts w:ascii="Cambria" w:hAnsi="Cambria"/>
          <w:sz w:val="20"/>
          <w:szCs w:val="20"/>
        </w:rPr>
        <w:t xml:space="preserve"> Singer, J. L. (1998). Developing critical viewing skills and media literacy in children. </w:t>
      </w:r>
      <w:r w:rsidRPr="00E83E41">
        <w:rPr>
          <w:rFonts w:ascii="Cambria" w:hAnsi="Cambria"/>
          <w:i/>
          <w:sz w:val="20"/>
          <w:szCs w:val="20"/>
        </w:rPr>
        <w:t>Political and Social Science, 557</w:t>
      </w:r>
      <w:r w:rsidRPr="00E83E41">
        <w:rPr>
          <w:rFonts w:ascii="Cambria" w:hAnsi="Cambria"/>
          <w:sz w:val="20"/>
          <w:szCs w:val="20"/>
        </w:rPr>
        <w:t>(1), 164-179, https://doi.org/10.1177/0002716298557000013</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Stevens, J. (2009). </w:t>
      </w:r>
      <w:r w:rsidRPr="00E83E41">
        <w:rPr>
          <w:rFonts w:ascii="Cambria" w:hAnsi="Cambria"/>
          <w:i/>
          <w:sz w:val="20"/>
          <w:szCs w:val="20"/>
        </w:rPr>
        <w:t>Applied multivariate statistics for the social sciences</w:t>
      </w:r>
      <w:r w:rsidRPr="00E83E41">
        <w:rPr>
          <w:rFonts w:ascii="Cambria" w:hAnsi="Cambria"/>
          <w:sz w:val="20"/>
          <w:szCs w:val="20"/>
        </w:rPr>
        <w:t xml:space="preserve"> (5th edition). New York: Taylor &amp; Francis.</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Şirin, M. (1998). </w:t>
      </w:r>
      <w:r w:rsidRPr="00E83E41">
        <w:rPr>
          <w:rFonts w:ascii="Cambria" w:hAnsi="Cambria"/>
          <w:i/>
          <w:sz w:val="20"/>
          <w:szCs w:val="20"/>
        </w:rPr>
        <w:t>Televizyon, çocuk ve aile</w:t>
      </w:r>
      <w:r w:rsidRPr="00E83E41">
        <w:rPr>
          <w:rFonts w:ascii="Cambria" w:hAnsi="Cambria"/>
          <w:sz w:val="20"/>
          <w:szCs w:val="20"/>
        </w:rPr>
        <w:t>. İstanbul: İz.</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Tabachnick, B. G.</w:t>
      </w:r>
      <w:r w:rsidR="007E474D" w:rsidRPr="00E83E41">
        <w:rPr>
          <w:rFonts w:ascii="Cambria" w:hAnsi="Cambria"/>
          <w:sz w:val="20"/>
          <w:szCs w:val="20"/>
        </w:rPr>
        <w:t>,</w:t>
      </w:r>
      <w:r w:rsidRPr="00E83E41">
        <w:rPr>
          <w:rFonts w:ascii="Cambria" w:hAnsi="Cambria"/>
          <w:sz w:val="20"/>
          <w:szCs w:val="20"/>
        </w:rPr>
        <w:t xml:space="preserve"> </w:t>
      </w:r>
      <w:r w:rsidR="007E474D" w:rsidRPr="00E83E41">
        <w:rPr>
          <w:rFonts w:ascii="Cambria" w:hAnsi="Cambria"/>
          <w:sz w:val="20"/>
          <w:szCs w:val="20"/>
        </w:rPr>
        <w:t xml:space="preserve">&amp; </w:t>
      </w:r>
      <w:r w:rsidRPr="00E83E41">
        <w:rPr>
          <w:rFonts w:ascii="Cambria" w:hAnsi="Cambria"/>
          <w:sz w:val="20"/>
          <w:szCs w:val="20"/>
        </w:rPr>
        <w:t xml:space="preserve">Fidell, L. S. (2013). </w:t>
      </w:r>
      <w:r w:rsidRPr="00E83E41">
        <w:rPr>
          <w:rFonts w:ascii="Cambria" w:hAnsi="Cambria"/>
          <w:i/>
          <w:sz w:val="20"/>
          <w:szCs w:val="20"/>
        </w:rPr>
        <w:t>Using Multivariate Statistics</w:t>
      </w:r>
      <w:r w:rsidRPr="00E83E41">
        <w:rPr>
          <w:rFonts w:ascii="Cambria" w:hAnsi="Cambria"/>
          <w:sz w:val="20"/>
          <w:szCs w:val="20"/>
        </w:rPr>
        <w:t xml:space="preserve"> (6th ed).  Boston: Pearson.</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lastRenderedPageBreak/>
        <w:t xml:space="preserve">Tüzün, Ü. (2002). Gelişen iletişim araçlarının çocuk ve gençlerin etkileşimi üzerine etkisi. </w:t>
      </w:r>
      <w:r w:rsidRPr="00E83E41">
        <w:rPr>
          <w:rFonts w:ascii="Cambria" w:hAnsi="Cambria"/>
          <w:i/>
          <w:sz w:val="20"/>
          <w:szCs w:val="20"/>
        </w:rPr>
        <w:t>Düşünen Adam Dergisi, 15</w:t>
      </w:r>
      <w:r w:rsidRPr="00E83E41">
        <w:rPr>
          <w:rFonts w:ascii="Cambria" w:hAnsi="Cambria"/>
          <w:sz w:val="20"/>
          <w:szCs w:val="20"/>
        </w:rPr>
        <w:t>(1), 46-50.</w:t>
      </w:r>
    </w:p>
    <w:p w:rsidR="00E20527"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Velicer, W. F. (1976). Determining the number of components from the matrix of partial correlations. </w:t>
      </w:r>
      <w:r w:rsidRPr="00E83E41">
        <w:rPr>
          <w:rFonts w:ascii="Cambria" w:hAnsi="Cambria"/>
          <w:i/>
          <w:sz w:val="20"/>
          <w:szCs w:val="20"/>
        </w:rPr>
        <w:t>Psychometrika, 41</w:t>
      </w:r>
      <w:r w:rsidRPr="00E83E41">
        <w:rPr>
          <w:rFonts w:ascii="Cambria" w:hAnsi="Cambria"/>
          <w:sz w:val="20"/>
          <w:szCs w:val="20"/>
        </w:rPr>
        <w:t>, 321-327.</w:t>
      </w:r>
    </w:p>
    <w:p w:rsidR="0065713D" w:rsidRPr="00E83E41" w:rsidRDefault="00E20527"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Yavuzer, H. (2013). </w:t>
      </w:r>
      <w:r w:rsidRPr="00E83E41">
        <w:rPr>
          <w:rFonts w:ascii="Cambria" w:hAnsi="Cambria"/>
          <w:i/>
          <w:sz w:val="20"/>
          <w:szCs w:val="20"/>
        </w:rPr>
        <w:t>Okul çağı çocuğu</w:t>
      </w:r>
      <w:r w:rsidRPr="00E83E41">
        <w:rPr>
          <w:rFonts w:ascii="Cambria" w:hAnsi="Cambria"/>
          <w:sz w:val="20"/>
          <w:szCs w:val="20"/>
        </w:rPr>
        <w:t xml:space="preserve"> (16. Baskı)</w:t>
      </w:r>
      <w:r w:rsidR="00120193" w:rsidRPr="00E83E41">
        <w:rPr>
          <w:rFonts w:ascii="Cambria" w:hAnsi="Cambria"/>
          <w:sz w:val="20"/>
          <w:szCs w:val="20"/>
        </w:rPr>
        <w:t>.</w:t>
      </w:r>
      <w:r w:rsidRPr="00E83E41">
        <w:rPr>
          <w:rFonts w:ascii="Cambria" w:hAnsi="Cambria"/>
          <w:sz w:val="20"/>
          <w:szCs w:val="20"/>
        </w:rPr>
        <w:t xml:space="preserve"> İstanbul: Remzi.</w:t>
      </w:r>
    </w:p>
    <w:p w:rsidR="00630296" w:rsidRPr="00E83E41" w:rsidRDefault="00630296"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Yurdugül, H. (2006). Paralel, eşdeğer ve konjenerik ölçmelerde güvenirlik katsayılarının karşılaştırılması. </w:t>
      </w:r>
      <w:r w:rsidRPr="00E83E41">
        <w:rPr>
          <w:rFonts w:ascii="Cambria" w:hAnsi="Cambria"/>
          <w:i/>
          <w:sz w:val="20"/>
          <w:szCs w:val="20"/>
        </w:rPr>
        <w:t>Ankara Üniversitesi Eğitim Bilimleri Fakültesi Dergisi, 39</w:t>
      </w:r>
      <w:r w:rsidRPr="00E83E41">
        <w:rPr>
          <w:rFonts w:ascii="Cambria" w:hAnsi="Cambria"/>
          <w:sz w:val="20"/>
          <w:szCs w:val="20"/>
        </w:rPr>
        <w:t>(1), 15-37.</w:t>
      </w:r>
    </w:p>
    <w:p w:rsidR="00231E93" w:rsidRPr="00E83E41" w:rsidRDefault="00231E93"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Westland, J. C. (2015). </w:t>
      </w:r>
      <w:r w:rsidRPr="00E83E41">
        <w:rPr>
          <w:rFonts w:ascii="Cambria" w:hAnsi="Cambria"/>
          <w:i/>
          <w:sz w:val="20"/>
          <w:szCs w:val="20"/>
        </w:rPr>
        <w:t>Structural equation models  from paths to networks</w:t>
      </w:r>
      <w:r w:rsidRPr="00E83E41">
        <w:rPr>
          <w:rFonts w:ascii="Cambria" w:hAnsi="Cambria"/>
          <w:sz w:val="20"/>
          <w:szCs w:val="20"/>
        </w:rPr>
        <w:t xml:space="preserve">. Switzerland: Springer.                    </w:t>
      </w:r>
    </w:p>
    <w:p w:rsidR="00EF45FE" w:rsidRPr="00E83E41" w:rsidRDefault="00EF45FE"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 xml:space="preserve">Zayimoğlu Öztürk, F. </w:t>
      </w:r>
      <w:r w:rsidR="007E474D" w:rsidRPr="00E83E41">
        <w:rPr>
          <w:rFonts w:ascii="Cambria" w:hAnsi="Cambria"/>
          <w:sz w:val="20"/>
          <w:szCs w:val="20"/>
        </w:rPr>
        <w:t>&amp;</w:t>
      </w:r>
      <w:r w:rsidRPr="00E83E41">
        <w:rPr>
          <w:rFonts w:ascii="Cambria" w:hAnsi="Cambria"/>
          <w:sz w:val="20"/>
          <w:szCs w:val="20"/>
        </w:rPr>
        <w:t xml:space="preserve"> Coşkun, M. (2015). Hayat bilgisi dersine yönelik bir tutum ölçeğinin geliştirilmesi: Geçerlik ve güvenirlik çalışması. </w:t>
      </w:r>
      <w:r w:rsidRPr="00E83E41">
        <w:rPr>
          <w:rFonts w:ascii="Cambria" w:hAnsi="Cambria"/>
          <w:i/>
          <w:sz w:val="20"/>
          <w:szCs w:val="20"/>
        </w:rPr>
        <w:t>Uluslararası Türk Eğitim Bilimleri Dergisi, 2015</w:t>
      </w:r>
      <w:r w:rsidRPr="00E83E41">
        <w:rPr>
          <w:rFonts w:ascii="Cambria" w:hAnsi="Cambria"/>
          <w:sz w:val="20"/>
          <w:szCs w:val="20"/>
        </w:rPr>
        <w:t>(4), 239-251.</w:t>
      </w:r>
    </w:p>
    <w:p w:rsidR="00EF45FE" w:rsidRPr="00E83E41" w:rsidRDefault="006F24C6" w:rsidP="00E83E41">
      <w:pPr>
        <w:autoSpaceDE w:val="0"/>
        <w:autoSpaceDN w:val="0"/>
        <w:adjustRightInd w:val="0"/>
        <w:spacing w:before="120" w:after="120"/>
        <w:ind w:left="567" w:hanging="567"/>
        <w:jc w:val="both"/>
        <w:rPr>
          <w:rFonts w:ascii="Cambria" w:hAnsi="Cambria"/>
          <w:sz w:val="20"/>
          <w:szCs w:val="20"/>
        </w:rPr>
      </w:pPr>
      <w:r w:rsidRPr="00E83E41">
        <w:rPr>
          <w:rFonts w:ascii="Cambria" w:hAnsi="Cambria"/>
          <w:sz w:val="20"/>
          <w:szCs w:val="20"/>
        </w:rPr>
        <w:t>Zinbarg, R. E., Revelle, W., Yovel, I.</w:t>
      </w:r>
      <w:r w:rsidR="007E474D" w:rsidRPr="00E83E41">
        <w:rPr>
          <w:rFonts w:ascii="Cambria" w:hAnsi="Cambria"/>
          <w:sz w:val="20"/>
          <w:szCs w:val="20"/>
        </w:rPr>
        <w:t xml:space="preserve">, &amp; </w:t>
      </w:r>
      <w:r w:rsidRPr="00E83E41">
        <w:rPr>
          <w:rFonts w:ascii="Cambria" w:hAnsi="Cambria"/>
          <w:sz w:val="20"/>
          <w:szCs w:val="20"/>
        </w:rPr>
        <w:t xml:space="preserve">Li, W. (2005). Cronbach’s α, Revelle’s, β and McDonalds ω: Their relations with each other and two alternative conceptualizations of reliability. </w:t>
      </w:r>
      <w:r w:rsidRPr="00E83E41">
        <w:rPr>
          <w:rFonts w:ascii="Cambria" w:hAnsi="Cambria"/>
          <w:i/>
          <w:sz w:val="20"/>
          <w:szCs w:val="20"/>
        </w:rPr>
        <w:t>Psychometrika, 70</w:t>
      </w:r>
      <w:r w:rsidRPr="00E83E41">
        <w:rPr>
          <w:rFonts w:ascii="Cambria" w:hAnsi="Cambria"/>
          <w:sz w:val="20"/>
          <w:szCs w:val="20"/>
        </w:rPr>
        <w:t>(1), 123-133, doi: 10.1007/s1</w:t>
      </w:r>
      <w:bookmarkStart w:id="0" w:name="_GoBack"/>
      <w:bookmarkEnd w:id="0"/>
      <w:r w:rsidRPr="00E83E41">
        <w:rPr>
          <w:rFonts w:ascii="Cambria" w:hAnsi="Cambria"/>
          <w:sz w:val="20"/>
          <w:szCs w:val="20"/>
        </w:rPr>
        <w:t>1336-003-0974-7</w:t>
      </w:r>
    </w:p>
    <w:sectPr w:rsidR="00EF45FE" w:rsidRPr="00E83E41" w:rsidSect="00834776">
      <w:headerReference w:type="even" r:id="rId8"/>
      <w:footerReference w:type="default" r:id="rId9"/>
      <w:headerReference w:type="first" r:id="rId10"/>
      <w:footerReference w:type="first" r:id="rId11"/>
      <w:footnotePr>
        <w:numRestart w:val="eachPage"/>
      </w:footnotePr>
      <w:pgSz w:w="11906" w:h="16838"/>
      <w:pgMar w:top="1417" w:right="1417" w:bottom="1417" w:left="1417" w:header="708" w:footer="708" w:gutter="0"/>
      <w:pgNumType w:start="130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16F" w:rsidRDefault="007C416F" w:rsidP="0071079E">
      <w:r>
        <w:separator/>
      </w:r>
    </w:p>
  </w:endnote>
  <w:endnote w:type="continuationSeparator" w:id="0">
    <w:p w:rsidR="007C416F" w:rsidRDefault="007C416F"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834776" w:rsidRPr="0079400F" w:rsidRDefault="00834776" w:rsidP="0079400F">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79400F" w:rsidRPr="0079400F">
          <w:rPr>
            <w:rFonts w:ascii="Cambria" w:hAnsi="Cambria"/>
            <w:b/>
            <w:bCs/>
            <w:noProof/>
            <w:sz w:val="20"/>
            <w:szCs w:val="20"/>
          </w:rPr>
          <w:t>1305</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UYSAL &amp; </w:t>
        </w:r>
        <w:proofErr w:type="gramStart"/>
        <w:r>
          <w:rPr>
            <w:rFonts w:ascii="Cambria" w:hAnsi="Cambria"/>
            <w:color w:val="767171" w:themeColor="background2" w:themeShade="80"/>
            <w:sz w:val="16"/>
            <w:szCs w:val="16"/>
          </w:rPr>
          <w:t xml:space="preserve">SARIÇA          </w:t>
        </w:r>
        <w:r w:rsidRPr="00834776">
          <w:rPr>
            <w:rFonts w:ascii="Garamond" w:hAnsi="Garamond"/>
            <w:color w:val="595959" w:themeColor="text1" w:themeTint="A6"/>
            <w:sz w:val="16"/>
            <w:szCs w:val="16"/>
          </w:rPr>
          <w:t>Çizgi</w:t>
        </w:r>
        <w:proofErr w:type="gramEnd"/>
        <w:r w:rsidRPr="00834776">
          <w:rPr>
            <w:rFonts w:ascii="Garamond" w:hAnsi="Garamond"/>
            <w:color w:val="595959" w:themeColor="text1" w:themeTint="A6"/>
            <w:sz w:val="16"/>
            <w:szCs w:val="16"/>
          </w:rPr>
          <w:t xml:space="preserve"> Filmlerin İlkokul Öğrencilerinin Duyuşsal Özelliklerine Etkisine Yönelik Bir Ölçek Geliştirme Çalışması</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76" w:rsidRDefault="00834776" w:rsidP="00834776"/>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834776" w:rsidRPr="00C71F46" w:rsidTr="00834776">
      <w:trPr>
        <w:trHeight w:val="365"/>
      </w:trPr>
      <w:tc>
        <w:tcPr>
          <w:tcW w:w="9498" w:type="dxa"/>
        </w:tcPr>
        <w:p w:rsidR="00834776" w:rsidRPr="002B18B3" w:rsidRDefault="00834776" w:rsidP="0083477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02.08.2017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20.11.2017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834776" w:rsidRPr="00834776" w:rsidRDefault="00834776" w:rsidP="008347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16F" w:rsidRDefault="007C416F" w:rsidP="0071079E">
      <w:r>
        <w:separator/>
      </w:r>
    </w:p>
  </w:footnote>
  <w:footnote w:type="continuationSeparator" w:id="0">
    <w:p w:rsidR="007C416F" w:rsidRDefault="007C416F" w:rsidP="0071079E">
      <w:r>
        <w:continuationSeparator/>
      </w:r>
    </w:p>
  </w:footnote>
  <w:footnote w:id="1">
    <w:p w:rsidR="00834776" w:rsidRDefault="00834776">
      <w:pPr>
        <w:pStyle w:val="FootnoteText"/>
      </w:pPr>
      <w:r>
        <w:rPr>
          <w:rStyle w:val="FootnoteReference"/>
        </w:rPr>
        <w:footnoteRef/>
      </w:r>
      <w:r>
        <w:t xml:space="preserve"> </w:t>
      </w:r>
      <w:r w:rsidRPr="0079400F">
        <w:rPr>
          <w:rFonts w:ascii="Cambria" w:hAnsi="Cambria"/>
          <w:sz w:val="18"/>
          <w:szCs w:val="24"/>
        </w:rPr>
        <w:t>Bu çalışma 3. Ulusal Eğitim Programları ve Öğretim kongresinde sözlü bildiri olarak sunulmuştur</w:t>
      </w:r>
      <w:r w:rsidR="0079400F" w:rsidRPr="0079400F">
        <w:rPr>
          <w:rFonts w:ascii="Cambria" w:hAnsi="Cambria"/>
          <w:sz w:val="18"/>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76" w:rsidRDefault="00834776"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834776" w:rsidRDefault="008347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76" w:rsidRDefault="00834776"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776" w:rsidRPr="002E0037" w:rsidRDefault="00834776" w:rsidP="00834776">
                              <w:pPr>
                                <w:rPr>
                                  <w:rFonts w:ascii="Calibri" w:hAnsi="Calibri" w:cs="Calibri"/>
                                  <w:sz w:val="18"/>
                                  <w:szCs w:val="20"/>
                                </w:rPr>
                              </w:pPr>
                              <w:r w:rsidRPr="002E0037">
                                <w:rPr>
                                  <w:rFonts w:ascii="Calibri" w:hAnsi="Calibri" w:cs="Calibri"/>
                                  <w:sz w:val="18"/>
                                  <w:szCs w:val="20"/>
                                </w:rPr>
                                <w:t>Elementary Education Online, 2018; 17</w:t>
                              </w:r>
                              <w:r w:rsidR="00B34CB3">
                                <w:rPr>
                                  <w:rFonts w:ascii="Calibri" w:hAnsi="Calibri" w:cs="Calibri"/>
                                  <w:sz w:val="18"/>
                                  <w:szCs w:val="20"/>
                                </w:rPr>
                                <w:t>(3): pp. 1302-1316</w:t>
                              </w:r>
                            </w:p>
                            <w:p w:rsidR="00834776" w:rsidRPr="002E0037" w:rsidRDefault="00834776" w:rsidP="00834776">
                              <w:pPr>
                                <w:rPr>
                                  <w:rFonts w:ascii="Calibri" w:hAnsi="Calibri" w:cs="Calibri"/>
                                  <w:color w:val="0000FF"/>
                                  <w:sz w:val="18"/>
                                  <w:szCs w:val="20"/>
                                  <w:u w:val="single"/>
                                </w:rPr>
                              </w:pPr>
                              <w:r w:rsidRPr="002E0037">
                                <w:rPr>
                                  <w:rFonts w:ascii="Calibri" w:hAnsi="Calibri" w:cs="Calibri"/>
                                  <w:sz w:val="18"/>
                                  <w:szCs w:val="20"/>
                                </w:rPr>
                                <w:t>İlköğretim Online, 2018; 17</w:t>
                              </w:r>
                              <w:r w:rsidR="00B34CB3">
                                <w:rPr>
                                  <w:rFonts w:ascii="Calibri" w:hAnsi="Calibri" w:cs="Calibri"/>
                                  <w:sz w:val="18"/>
                                  <w:szCs w:val="20"/>
                                </w:rPr>
                                <w:t>(3): s.1302-1316</w:t>
                              </w:r>
                              <w:r w:rsidRPr="002E0037">
                                <w:rPr>
                                  <w:rFonts w:ascii="Calibri" w:hAnsi="Calibri" w:cs="Calibri"/>
                                  <w:sz w:val="18"/>
                                  <w:szCs w:val="20"/>
                                </w:rPr>
                                <w:t>. [Online]:</w:t>
                              </w:r>
                              <w:r w:rsidRPr="002E0037">
                                <w:rPr>
                                  <w:rFonts w:ascii="Calibri" w:hAnsi="Calibri" w:cs="Calibri"/>
                                  <w:b/>
                                  <w:bCs/>
                                  <w:sz w:val="18"/>
                                  <w:szCs w:val="20"/>
                                </w:rPr>
                                <w:t xml:space="preserve"> </w:t>
                              </w:r>
                              <w:hyperlink r:id="rId1" w:history="1">
                                <w:r w:rsidRPr="002E0037">
                                  <w:rPr>
                                    <w:rFonts w:ascii="Calibri" w:hAnsi="Calibri" w:cs="Calibri"/>
                                    <w:color w:val="0000FF"/>
                                    <w:sz w:val="18"/>
                                    <w:szCs w:val="20"/>
                                    <w:u w:val="single"/>
                                  </w:rPr>
                                  <w:t>http://ilkogretim-online.org.tr</w:t>
                                </w:r>
                              </w:hyperlink>
                            </w:p>
                            <w:p w:rsidR="00834776" w:rsidRPr="00834776" w:rsidRDefault="007C416F" w:rsidP="000F5FB8">
                              <w:pPr>
                                <w:rPr>
                                  <w:rStyle w:val="Hyperlink"/>
                                  <w:rFonts w:ascii="Calibri" w:hAnsi="Calibri" w:cs="Calibri"/>
                                  <w:color w:val="00B050"/>
                                  <w:sz w:val="18"/>
                                  <w:szCs w:val="20"/>
                                </w:rPr>
                              </w:pPr>
                              <w:hyperlink r:id="rId2" w:history="1">
                                <w:r w:rsidR="00834776" w:rsidRPr="002E0037">
                                  <w:rPr>
                                    <w:rFonts w:ascii="Calibri" w:hAnsi="Calibri"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834776" w:rsidRPr="002E0037" w:rsidRDefault="00834776" w:rsidP="00834776">
                        <w:pPr>
                          <w:rPr>
                            <w:rFonts w:ascii="Calibri" w:hAnsi="Calibri" w:cs="Calibri"/>
                            <w:sz w:val="18"/>
                            <w:szCs w:val="20"/>
                          </w:rPr>
                        </w:pPr>
                        <w:r w:rsidRPr="002E0037">
                          <w:rPr>
                            <w:rFonts w:ascii="Calibri" w:hAnsi="Calibri" w:cs="Calibri"/>
                            <w:sz w:val="18"/>
                            <w:szCs w:val="20"/>
                          </w:rPr>
                          <w:t>Elementary Education Online, 2018; 17</w:t>
                        </w:r>
                        <w:r w:rsidR="00B34CB3">
                          <w:rPr>
                            <w:rFonts w:ascii="Calibri" w:hAnsi="Calibri" w:cs="Calibri"/>
                            <w:sz w:val="18"/>
                            <w:szCs w:val="20"/>
                          </w:rPr>
                          <w:t>(3): pp. 1302-1316</w:t>
                        </w:r>
                      </w:p>
                      <w:p w:rsidR="00834776" w:rsidRPr="002E0037" w:rsidRDefault="00834776" w:rsidP="00834776">
                        <w:pPr>
                          <w:rPr>
                            <w:rFonts w:ascii="Calibri" w:hAnsi="Calibri" w:cs="Calibri"/>
                            <w:color w:val="0000FF"/>
                            <w:sz w:val="18"/>
                            <w:szCs w:val="20"/>
                            <w:u w:val="single"/>
                          </w:rPr>
                        </w:pPr>
                        <w:r w:rsidRPr="002E0037">
                          <w:rPr>
                            <w:rFonts w:ascii="Calibri" w:hAnsi="Calibri" w:cs="Calibri"/>
                            <w:sz w:val="18"/>
                            <w:szCs w:val="20"/>
                          </w:rPr>
                          <w:t>İlköğretim Online, 2018; 17</w:t>
                        </w:r>
                        <w:r w:rsidR="00B34CB3">
                          <w:rPr>
                            <w:rFonts w:ascii="Calibri" w:hAnsi="Calibri" w:cs="Calibri"/>
                            <w:sz w:val="18"/>
                            <w:szCs w:val="20"/>
                          </w:rPr>
                          <w:t>(3): s.1302-1316</w:t>
                        </w:r>
                        <w:r w:rsidRPr="002E0037">
                          <w:rPr>
                            <w:rFonts w:ascii="Calibri" w:hAnsi="Calibri" w:cs="Calibri"/>
                            <w:sz w:val="18"/>
                            <w:szCs w:val="20"/>
                          </w:rPr>
                          <w:t>. [Online]:</w:t>
                        </w:r>
                        <w:r w:rsidRPr="002E0037">
                          <w:rPr>
                            <w:rFonts w:ascii="Calibri" w:hAnsi="Calibri" w:cs="Calibri"/>
                            <w:b/>
                            <w:bCs/>
                            <w:sz w:val="18"/>
                            <w:szCs w:val="20"/>
                          </w:rPr>
                          <w:t xml:space="preserve"> </w:t>
                        </w:r>
                        <w:hyperlink r:id="rId4" w:history="1">
                          <w:r w:rsidRPr="002E0037">
                            <w:rPr>
                              <w:rFonts w:ascii="Calibri" w:hAnsi="Calibri" w:cs="Calibri"/>
                              <w:color w:val="0000FF"/>
                              <w:sz w:val="18"/>
                              <w:szCs w:val="20"/>
                              <w:u w:val="single"/>
                            </w:rPr>
                            <w:t>http://ilkogretim-online.org.tr</w:t>
                          </w:r>
                        </w:hyperlink>
                      </w:p>
                      <w:p w:rsidR="00834776" w:rsidRPr="00834776" w:rsidRDefault="00834776" w:rsidP="000F5FB8">
                        <w:pPr>
                          <w:rPr>
                            <w:rStyle w:val="Hyperlink"/>
                            <w:rFonts w:ascii="Calibri" w:hAnsi="Calibri" w:cs="Calibri"/>
                            <w:color w:val="00B050"/>
                            <w:sz w:val="18"/>
                            <w:szCs w:val="20"/>
                          </w:rPr>
                        </w:pPr>
                        <w:hyperlink r:id="rId5" w:history="1">
                          <w:r w:rsidRPr="002E0037">
                            <w:rPr>
                              <w:rFonts w:ascii="Calibri" w:hAnsi="Calibri"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834776" w:rsidRPr="00D531B7" w:rsidRDefault="00834776" w:rsidP="00D53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3666"/>
    <w:rsid w:val="00022B5E"/>
    <w:rsid w:val="000233ED"/>
    <w:rsid w:val="00034C73"/>
    <w:rsid w:val="00035D7B"/>
    <w:rsid w:val="00036531"/>
    <w:rsid w:val="0004041F"/>
    <w:rsid w:val="00042276"/>
    <w:rsid w:val="000442C3"/>
    <w:rsid w:val="000455B0"/>
    <w:rsid w:val="0005490C"/>
    <w:rsid w:val="00055715"/>
    <w:rsid w:val="000615C5"/>
    <w:rsid w:val="000618A6"/>
    <w:rsid w:val="00061B37"/>
    <w:rsid w:val="000671C9"/>
    <w:rsid w:val="000734B4"/>
    <w:rsid w:val="00080CAD"/>
    <w:rsid w:val="00081053"/>
    <w:rsid w:val="00084DA8"/>
    <w:rsid w:val="00091F04"/>
    <w:rsid w:val="00095ADC"/>
    <w:rsid w:val="000969C1"/>
    <w:rsid w:val="000A63BE"/>
    <w:rsid w:val="000A71AE"/>
    <w:rsid w:val="000A7292"/>
    <w:rsid w:val="000B1986"/>
    <w:rsid w:val="000C3DF7"/>
    <w:rsid w:val="000C5436"/>
    <w:rsid w:val="000E53E0"/>
    <w:rsid w:val="000E6105"/>
    <w:rsid w:val="000F1CA2"/>
    <w:rsid w:val="000F2D77"/>
    <w:rsid w:val="000F5FB8"/>
    <w:rsid w:val="000F6587"/>
    <w:rsid w:val="00101BB3"/>
    <w:rsid w:val="0010418F"/>
    <w:rsid w:val="001107A1"/>
    <w:rsid w:val="00120193"/>
    <w:rsid w:val="0012392D"/>
    <w:rsid w:val="00123ADC"/>
    <w:rsid w:val="00124C34"/>
    <w:rsid w:val="001251BE"/>
    <w:rsid w:val="001274EA"/>
    <w:rsid w:val="00133D8D"/>
    <w:rsid w:val="00140295"/>
    <w:rsid w:val="001449A8"/>
    <w:rsid w:val="001473CC"/>
    <w:rsid w:val="00150388"/>
    <w:rsid w:val="00166A60"/>
    <w:rsid w:val="00172278"/>
    <w:rsid w:val="00181E7B"/>
    <w:rsid w:val="00193753"/>
    <w:rsid w:val="00195490"/>
    <w:rsid w:val="00197234"/>
    <w:rsid w:val="00197D09"/>
    <w:rsid w:val="001B5C2B"/>
    <w:rsid w:val="001B5F40"/>
    <w:rsid w:val="001C39DA"/>
    <w:rsid w:val="001C7291"/>
    <w:rsid w:val="001D055F"/>
    <w:rsid w:val="001D3C6C"/>
    <w:rsid w:val="001D7352"/>
    <w:rsid w:val="001D74B6"/>
    <w:rsid w:val="001E5831"/>
    <w:rsid w:val="001F23BD"/>
    <w:rsid w:val="001F6DE4"/>
    <w:rsid w:val="00203F4D"/>
    <w:rsid w:val="00210BCC"/>
    <w:rsid w:val="002236E1"/>
    <w:rsid w:val="002313AC"/>
    <w:rsid w:val="00231E93"/>
    <w:rsid w:val="0024297D"/>
    <w:rsid w:val="00243C76"/>
    <w:rsid w:val="002467CE"/>
    <w:rsid w:val="00263138"/>
    <w:rsid w:val="0026711D"/>
    <w:rsid w:val="0027032E"/>
    <w:rsid w:val="002709DC"/>
    <w:rsid w:val="00280A8F"/>
    <w:rsid w:val="0028576A"/>
    <w:rsid w:val="00287960"/>
    <w:rsid w:val="00293A0A"/>
    <w:rsid w:val="00295AC4"/>
    <w:rsid w:val="002A62A8"/>
    <w:rsid w:val="002A7753"/>
    <w:rsid w:val="002B18B3"/>
    <w:rsid w:val="002C2752"/>
    <w:rsid w:val="002C39A6"/>
    <w:rsid w:val="002D5974"/>
    <w:rsid w:val="002D59B2"/>
    <w:rsid w:val="002E2C10"/>
    <w:rsid w:val="002E60BE"/>
    <w:rsid w:val="002F0527"/>
    <w:rsid w:val="002F0940"/>
    <w:rsid w:val="00316444"/>
    <w:rsid w:val="003279A8"/>
    <w:rsid w:val="00331C60"/>
    <w:rsid w:val="00361F87"/>
    <w:rsid w:val="00364742"/>
    <w:rsid w:val="00372A68"/>
    <w:rsid w:val="00372DB3"/>
    <w:rsid w:val="003732D0"/>
    <w:rsid w:val="00373BC6"/>
    <w:rsid w:val="003825E5"/>
    <w:rsid w:val="003904A6"/>
    <w:rsid w:val="00396C9E"/>
    <w:rsid w:val="003B5A1C"/>
    <w:rsid w:val="003B6DA7"/>
    <w:rsid w:val="003C5106"/>
    <w:rsid w:val="003C5800"/>
    <w:rsid w:val="003D4A01"/>
    <w:rsid w:val="003D7F6B"/>
    <w:rsid w:val="003E1196"/>
    <w:rsid w:val="003E194F"/>
    <w:rsid w:val="003E463C"/>
    <w:rsid w:val="003E4D67"/>
    <w:rsid w:val="003F21B2"/>
    <w:rsid w:val="00403B49"/>
    <w:rsid w:val="004110CD"/>
    <w:rsid w:val="00411A6F"/>
    <w:rsid w:val="00411CCE"/>
    <w:rsid w:val="00416E59"/>
    <w:rsid w:val="00423C35"/>
    <w:rsid w:val="004255D3"/>
    <w:rsid w:val="00426434"/>
    <w:rsid w:val="00433940"/>
    <w:rsid w:val="00441FC0"/>
    <w:rsid w:val="004601FC"/>
    <w:rsid w:val="00460727"/>
    <w:rsid w:val="004727B9"/>
    <w:rsid w:val="0048567A"/>
    <w:rsid w:val="00496BBA"/>
    <w:rsid w:val="004A377F"/>
    <w:rsid w:val="004A74ED"/>
    <w:rsid w:val="004B65DD"/>
    <w:rsid w:val="004B704B"/>
    <w:rsid w:val="004C0A14"/>
    <w:rsid w:val="004D324C"/>
    <w:rsid w:val="004F3046"/>
    <w:rsid w:val="004F39AA"/>
    <w:rsid w:val="004F76A9"/>
    <w:rsid w:val="00500BE3"/>
    <w:rsid w:val="00503CD9"/>
    <w:rsid w:val="005070B9"/>
    <w:rsid w:val="00510673"/>
    <w:rsid w:val="00520EE4"/>
    <w:rsid w:val="00525F41"/>
    <w:rsid w:val="00537BEA"/>
    <w:rsid w:val="00551B39"/>
    <w:rsid w:val="00552DA1"/>
    <w:rsid w:val="00560744"/>
    <w:rsid w:val="005650E0"/>
    <w:rsid w:val="00566907"/>
    <w:rsid w:val="00572FB1"/>
    <w:rsid w:val="00574A92"/>
    <w:rsid w:val="00583D66"/>
    <w:rsid w:val="00586E4C"/>
    <w:rsid w:val="00590B4A"/>
    <w:rsid w:val="005B1F0F"/>
    <w:rsid w:val="005B3935"/>
    <w:rsid w:val="005C27EC"/>
    <w:rsid w:val="005C3292"/>
    <w:rsid w:val="005C501F"/>
    <w:rsid w:val="005C5F76"/>
    <w:rsid w:val="005D4863"/>
    <w:rsid w:val="005D5E02"/>
    <w:rsid w:val="005E0D2F"/>
    <w:rsid w:val="00601373"/>
    <w:rsid w:val="0060231C"/>
    <w:rsid w:val="00605E20"/>
    <w:rsid w:val="00622B49"/>
    <w:rsid w:val="006251D2"/>
    <w:rsid w:val="00626026"/>
    <w:rsid w:val="00627A03"/>
    <w:rsid w:val="00630296"/>
    <w:rsid w:val="0063216E"/>
    <w:rsid w:val="0063313D"/>
    <w:rsid w:val="00634951"/>
    <w:rsid w:val="00655B41"/>
    <w:rsid w:val="0065713D"/>
    <w:rsid w:val="006617F7"/>
    <w:rsid w:val="00665502"/>
    <w:rsid w:val="00667379"/>
    <w:rsid w:val="00674918"/>
    <w:rsid w:val="00683367"/>
    <w:rsid w:val="00684BF8"/>
    <w:rsid w:val="00691306"/>
    <w:rsid w:val="006A10B7"/>
    <w:rsid w:val="006A121C"/>
    <w:rsid w:val="006A55F4"/>
    <w:rsid w:val="006A59CF"/>
    <w:rsid w:val="006B0FF5"/>
    <w:rsid w:val="006B5F6E"/>
    <w:rsid w:val="006C35E7"/>
    <w:rsid w:val="006D31B1"/>
    <w:rsid w:val="006D51F8"/>
    <w:rsid w:val="006D694E"/>
    <w:rsid w:val="006E13FF"/>
    <w:rsid w:val="006E5B53"/>
    <w:rsid w:val="006E76C6"/>
    <w:rsid w:val="006F24C6"/>
    <w:rsid w:val="006F2979"/>
    <w:rsid w:val="006F4849"/>
    <w:rsid w:val="00706037"/>
    <w:rsid w:val="0071079E"/>
    <w:rsid w:val="00720574"/>
    <w:rsid w:val="00724EF3"/>
    <w:rsid w:val="007375D4"/>
    <w:rsid w:val="00741C40"/>
    <w:rsid w:val="00742E11"/>
    <w:rsid w:val="00751DAB"/>
    <w:rsid w:val="00755138"/>
    <w:rsid w:val="0075745D"/>
    <w:rsid w:val="007678E7"/>
    <w:rsid w:val="0077415B"/>
    <w:rsid w:val="00775E18"/>
    <w:rsid w:val="007803B6"/>
    <w:rsid w:val="00781480"/>
    <w:rsid w:val="00783D78"/>
    <w:rsid w:val="0079400F"/>
    <w:rsid w:val="0079789C"/>
    <w:rsid w:val="007A0373"/>
    <w:rsid w:val="007A58BC"/>
    <w:rsid w:val="007A699D"/>
    <w:rsid w:val="007B5680"/>
    <w:rsid w:val="007C39DE"/>
    <w:rsid w:val="007C416F"/>
    <w:rsid w:val="007E474D"/>
    <w:rsid w:val="007F2C9F"/>
    <w:rsid w:val="00800628"/>
    <w:rsid w:val="00801B05"/>
    <w:rsid w:val="00803B01"/>
    <w:rsid w:val="00805CCA"/>
    <w:rsid w:val="008139ED"/>
    <w:rsid w:val="0082566D"/>
    <w:rsid w:val="00825C12"/>
    <w:rsid w:val="00831D02"/>
    <w:rsid w:val="00834776"/>
    <w:rsid w:val="008361C3"/>
    <w:rsid w:val="0087084A"/>
    <w:rsid w:val="00870C8D"/>
    <w:rsid w:val="00873A71"/>
    <w:rsid w:val="00874955"/>
    <w:rsid w:val="00874D2E"/>
    <w:rsid w:val="0088253B"/>
    <w:rsid w:val="00884FA4"/>
    <w:rsid w:val="00890181"/>
    <w:rsid w:val="00891E95"/>
    <w:rsid w:val="008A00E7"/>
    <w:rsid w:val="008A3479"/>
    <w:rsid w:val="008B11A4"/>
    <w:rsid w:val="008B6011"/>
    <w:rsid w:val="008B6266"/>
    <w:rsid w:val="008B7EFB"/>
    <w:rsid w:val="008C04B7"/>
    <w:rsid w:val="008C128A"/>
    <w:rsid w:val="008C1A18"/>
    <w:rsid w:val="008C2B1B"/>
    <w:rsid w:val="008D2697"/>
    <w:rsid w:val="008E3789"/>
    <w:rsid w:val="008F6BC6"/>
    <w:rsid w:val="008F7291"/>
    <w:rsid w:val="008F784F"/>
    <w:rsid w:val="00900855"/>
    <w:rsid w:val="00921ECD"/>
    <w:rsid w:val="009303FF"/>
    <w:rsid w:val="009312B7"/>
    <w:rsid w:val="009414E1"/>
    <w:rsid w:val="00943532"/>
    <w:rsid w:val="00947E9F"/>
    <w:rsid w:val="00956A13"/>
    <w:rsid w:val="009646F2"/>
    <w:rsid w:val="00970003"/>
    <w:rsid w:val="009727AC"/>
    <w:rsid w:val="009812AC"/>
    <w:rsid w:val="009870C4"/>
    <w:rsid w:val="00987FF3"/>
    <w:rsid w:val="0099327D"/>
    <w:rsid w:val="009A3416"/>
    <w:rsid w:val="009A3AC9"/>
    <w:rsid w:val="009B09D8"/>
    <w:rsid w:val="009B57B0"/>
    <w:rsid w:val="009B5EE5"/>
    <w:rsid w:val="009C0514"/>
    <w:rsid w:val="009C3934"/>
    <w:rsid w:val="009C6F0D"/>
    <w:rsid w:val="009C762F"/>
    <w:rsid w:val="009D147E"/>
    <w:rsid w:val="009D7269"/>
    <w:rsid w:val="009E1FE4"/>
    <w:rsid w:val="009E434E"/>
    <w:rsid w:val="009E7017"/>
    <w:rsid w:val="00A10EAD"/>
    <w:rsid w:val="00A11C85"/>
    <w:rsid w:val="00A154DF"/>
    <w:rsid w:val="00A174AF"/>
    <w:rsid w:val="00A21733"/>
    <w:rsid w:val="00A2677C"/>
    <w:rsid w:val="00A32249"/>
    <w:rsid w:val="00A42C10"/>
    <w:rsid w:val="00A4473D"/>
    <w:rsid w:val="00A455E1"/>
    <w:rsid w:val="00A45BC7"/>
    <w:rsid w:val="00A52A78"/>
    <w:rsid w:val="00A53692"/>
    <w:rsid w:val="00A61531"/>
    <w:rsid w:val="00A71D98"/>
    <w:rsid w:val="00A7598C"/>
    <w:rsid w:val="00A75A70"/>
    <w:rsid w:val="00A8443B"/>
    <w:rsid w:val="00A95938"/>
    <w:rsid w:val="00A95958"/>
    <w:rsid w:val="00A97176"/>
    <w:rsid w:val="00AA4812"/>
    <w:rsid w:val="00AB5A7C"/>
    <w:rsid w:val="00AB647C"/>
    <w:rsid w:val="00AB7349"/>
    <w:rsid w:val="00AC1852"/>
    <w:rsid w:val="00AC4D34"/>
    <w:rsid w:val="00AC511A"/>
    <w:rsid w:val="00AE4BDF"/>
    <w:rsid w:val="00AE5FAC"/>
    <w:rsid w:val="00AE6F03"/>
    <w:rsid w:val="00AF1487"/>
    <w:rsid w:val="00AF4692"/>
    <w:rsid w:val="00AF6036"/>
    <w:rsid w:val="00B12EE5"/>
    <w:rsid w:val="00B137E4"/>
    <w:rsid w:val="00B13D0D"/>
    <w:rsid w:val="00B24D00"/>
    <w:rsid w:val="00B32183"/>
    <w:rsid w:val="00B3228B"/>
    <w:rsid w:val="00B34A9D"/>
    <w:rsid w:val="00B34CB3"/>
    <w:rsid w:val="00B40A03"/>
    <w:rsid w:val="00B40F84"/>
    <w:rsid w:val="00B41123"/>
    <w:rsid w:val="00B43656"/>
    <w:rsid w:val="00B52E04"/>
    <w:rsid w:val="00B64253"/>
    <w:rsid w:val="00B71F63"/>
    <w:rsid w:val="00B80FB9"/>
    <w:rsid w:val="00B81C5E"/>
    <w:rsid w:val="00B9204E"/>
    <w:rsid w:val="00B97932"/>
    <w:rsid w:val="00B979EA"/>
    <w:rsid w:val="00BA3A82"/>
    <w:rsid w:val="00BB33C8"/>
    <w:rsid w:val="00BB3684"/>
    <w:rsid w:val="00BB3A59"/>
    <w:rsid w:val="00BE288A"/>
    <w:rsid w:val="00BF0147"/>
    <w:rsid w:val="00BF4180"/>
    <w:rsid w:val="00C23438"/>
    <w:rsid w:val="00C23705"/>
    <w:rsid w:val="00C2476E"/>
    <w:rsid w:val="00C2750E"/>
    <w:rsid w:val="00C34F7A"/>
    <w:rsid w:val="00C51F53"/>
    <w:rsid w:val="00C57899"/>
    <w:rsid w:val="00C63DF9"/>
    <w:rsid w:val="00C71F46"/>
    <w:rsid w:val="00C7542D"/>
    <w:rsid w:val="00C75CE3"/>
    <w:rsid w:val="00C80BD6"/>
    <w:rsid w:val="00C93B99"/>
    <w:rsid w:val="00C968AA"/>
    <w:rsid w:val="00CB3CBC"/>
    <w:rsid w:val="00CC0041"/>
    <w:rsid w:val="00CC0388"/>
    <w:rsid w:val="00CD137F"/>
    <w:rsid w:val="00CD39B6"/>
    <w:rsid w:val="00CD4140"/>
    <w:rsid w:val="00CE6200"/>
    <w:rsid w:val="00CF2F6E"/>
    <w:rsid w:val="00CF7696"/>
    <w:rsid w:val="00D05C3F"/>
    <w:rsid w:val="00D27828"/>
    <w:rsid w:val="00D43E23"/>
    <w:rsid w:val="00D45A9B"/>
    <w:rsid w:val="00D47FE7"/>
    <w:rsid w:val="00D531B7"/>
    <w:rsid w:val="00D60751"/>
    <w:rsid w:val="00D647A0"/>
    <w:rsid w:val="00D65137"/>
    <w:rsid w:val="00D67BC0"/>
    <w:rsid w:val="00D72375"/>
    <w:rsid w:val="00D7511D"/>
    <w:rsid w:val="00D75A61"/>
    <w:rsid w:val="00D760F8"/>
    <w:rsid w:val="00D775E6"/>
    <w:rsid w:val="00D83188"/>
    <w:rsid w:val="00D860DA"/>
    <w:rsid w:val="00D860E6"/>
    <w:rsid w:val="00D90BCF"/>
    <w:rsid w:val="00D9144B"/>
    <w:rsid w:val="00DA110F"/>
    <w:rsid w:val="00DA37E7"/>
    <w:rsid w:val="00DA3977"/>
    <w:rsid w:val="00DA7872"/>
    <w:rsid w:val="00DB5109"/>
    <w:rsid w:val="00DB6F77"/>
    <w:rsid w:val="00DC41BD"/>
    <w:rsid w:val="00DC6363"/>
    <w:rsid w:val="00DD5999"/>
    <w:rsid w:val="00DD5D90"/>
    <w:rsid w:val="00DD6221"/>
    <w:rsid w:val="00DD74AB"/>
    <w:rsid w:val="00DD7846"/>
    <w:rsid w:val="00DE09BA"/>
    <w:rsid w:val="00DE3290"/>
    <w:rsid w:val="00DE3BF8"/>
    <w:rsid w:val="00DE71B0"/>
    <w:rsid w:val="00DF1CB1"/>
    <w:rsid w:val="00E138F7"/>
    <w:rsid w:val="00E14047"/>
    <w:rsid w:val="00E15D9F"/>
    <w:rsid w:val="00E20527"/>
    <w:rsid w:val="00E24FA5"/>
    <w:rsid w:val="00E27F1C"/>
    <w:rsid w:val="00E319E4"/>
    <w:rsid w:val="00E3460F"/>
    <w:rsid w:val="00E43A49"/>
    <w:rsid w:val="00E47748"/>
    <w:rsid w:val="00E56AA9"/>
    <w:rsid w:val="00E61895"/>
    <w:rsid w:val="00E633E1"/>
    <w:rsid w:val="00E64857"/>
    <w:rsid w:val="00E6525F"/>
    <w:rsid w:val="00E65690"/>
    <w:rsid w:val="00E6785A"/>
    <w:rsid w:val="00E720B6"/>
    <w:rsid w:val="00E81635"/>
    <w:rsid w:val="00E83E41"/>
    <w:rsid w:val="00E9094B"/>
    <w:rsid w:val="00E9273A"/>
    <w:rsid w:val="00EA6D7C"/>
    <w:rsid w:val="00EB15B4"/>
    <w:rsid w:val="00EB71C0"/>
    <w:rsid w:val="00EC1C37"/>
    <w:rsid w:val="00EC40B7"/>
    <w:rsid w:val="00ED439D"/>
    <w:rsid w:val="00EE3A55"/>
    <w:rsid w:val="00EE7490"/>
    <w:rsid w:val="00EF2F26"/>
    <w:rsid w:val="00EF3812"/>
    <w:rsid w:val="00EF45FE"/>
    <w:rsid w:val="00EF679E"/>
    <w:rsid w:val="00F01C00"/>
    <w:rsid w:val="00F05FA4"/>
    <w:rsid w:val="00F1073C"/>
    <w:rsid w:val="00F169DF"/>
    <w:rsid w:val="00F30942"/>
    <w:rsid w:val="00F31B6D"/>
    <w:rsid w:val="00F32B7E"/>
    <w:rsid w:val="00F32F92"/>
    <w:rsid w:val="00F35FEF"/>
    <w:rsid w:val="00F36401"/>
    <w:rsid w:val="00F41462"/>
    <w:rsid w:val="00F42F41"/>
    <w:rsid w:val="00F51642"/>
    <w:rsid w:val="00F52AA1"/>
    <w:rsid w:val="00F729A2"/>
    <w:rsid w:val="00F768AF"/>
    <w:rsid w:val="00F77C7A"/>
    <w:rsid w:val="00F83F41"/>
    <w:rsid w:val="00F8738B"/>
    <w:rsid w:val="00F9721E"/>
    <w:rsid w:val="00F97B63"/>
    <w:rsid w:val="00FA037B"/>
    <w:rsid w:val="00FA7213"/>
    <w:rsid w:val="00FB1EF4"/>
    <w:rsid w:val="00FB5629"/>
    <w:rsid w:val="00FC6A4A"/>
    <w:rsid w:val="00FD0DDB"/>
    <w:rsid w:val="00FD0ED6"/>
    <w:rsid w:val="00FD353B"/>
    <w:rsid w:val="00FE069A"/>
    <w:rsid w:val="00FE1EBF"/>
    <w:rsid w:val="00FE610E"/>
    <w:rsid w:val="00FF12FA"/>
    <w:rsid w:val="00FF6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3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776"/>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unhideWhenUsed/>
    <w:qFormat/>
    <w:rsid w:val="009E43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434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E434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customStyle="1" w:styleId="NParag">
    <w:name w:val="NParag"/>
    <w:basedOn w:val="Normal"/>
    <w:rsid w:val="00084DA8"/>
    <w:pPr>
      <w:tabs>
        <w:tab w:val="left" w:pos="9072"/>
      </w:tabs>
      <w:spacing w:before="60" w:after="60"/>
      <w:ind w:firstLine="567"/>
      <w:jc w:val="both"/>
    </w:pPr>
  </w:style>
  <w:style w:type="character" w:styleId="FollowedHyperlink">
    <w:name w:val="FollowedHyperlink"/>
    <w:basedOn w:val="DefaultParagraphFont"/>
    <w:uiPriority w:val="99"/>
    <w:semiHidden/>
    <w:unhideWhenUsed/>
    <w:rsid w:val="00195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478501133">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224490951">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 w:id="20856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hgm.meb.gov.tr/yayimlar/dergiler/milli_egitim_dergisi/153-154/ipsi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E21E-8DA1-477D-9B11-9D883D7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7358</Words>
  <Characters>41947</Characters>
  <Application>Microsoft Office Word</Application>
  <DocSecurity>0</DocSecurity>
  <Lines>349</Lines>
  <Paragraphs>98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2018-08-08T14:40:00Z</dcterms:created>
  <dcterms:modified xsi:type="dcterms:W3CDTF">2018-10-01T17:25:00Z</dcterms:modified>
</cp:coreProperties>
</file>