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2184" w14:textId="77777777" w:rsidR="006D31B1" w:rsidRPr="00C319D0" w:rsidRDefault="00465B18" w:rsidP="006D31B1">
      <w:pPr>
        <w:rPr>
          <w:rFonts w:ascii="Cambria" w:hAnsi="Cambria"/>
          <w:sz w:val="32"/>
          <w:szCs w:val="32"/>
        </w:rPr>
      </w:pPr>
      <w:r w:rsidRPr="00C319D0">
        <w:rPr>
          <w:rFonts w:ascii="Cambria" w:hAnsi="Cambria"/>
          <w:sz w:val="32"/>
          <w:szCs w:val="32"/>
        </w:rPr>
        <w:t>Ortaokul Öğrencilerinin Matematik Öğrenme Yaklaşımları</w:t>
      </w:r>
      <w:r w:rsidR="00590160" w:rsidRPr="00C319D0">
        <w:rPr>
          <w:rFonts w:ascii="Cambria" w:hAnsi="Cambria"/>
          <w:sz w:val="32"/>
          <w:szCs w:val="32"/>
        </w:rPr>
        <w:t>nın Belirlenmesi</w:t>
      </w:r>
      <w:r w:rsidR="00432FA3" w:rsidRPr="00C319D0">
        <w:rPr>
          <w:rStyle w:val="FootnoteReference"/>
          <w:rFonts w:ascii="Cambria" w:hAnsi="Cambria"/>
          <w:sz w:val="32"/>
          <w:szCs w:val="32"/>
        </w:rPr>
        <w:footnoteReference w:id="1"/>
      </w:r>
    </w:p>
    <w:p w14:paraId="36C8A071" w14:textId="77777777" w:rsidR="006D31B1" w:rsidRPr="00C319D0" w:rsidRDefault="00590160" w:rsidP="006D31B1">
      <w:pPr>
        <w:rPr>
          <w:rFonts w:ascii="Cambria" w:hAnsi="Cambria"/>
          <w:sz w:val="32"/>
          <w:szCs w:val="32"/>
        </w:rPr>
      </w:pPr>
      <w:r w:rsidRPr="00C319D0">
        <w:rPr>
          <w:rFonts w:ascii="Cambria" w:hAnsi="Cambria"/>
          <w:sz w:val="32"/>
          <w:szCs w:val="32"/>
        </w:rPr>
        <w:t>Determining the Approaches to Learning Mathematics of Middle</w:t>
      </w:r>
      <w:r w:rsidR="00CD5049" w:rsidRPr="00C319D0">
        <w:rPr>
          <w:rFonts w:ascii="Cambria" w:hAnsi="Cambria"/>
          <w:sz w:val="32"/>
          <w:szCs w:val="32"/>
        </w:rPr>
        <w:t xml:space="preserve"> School Students</w:t>
      </w:r>
      <w:r w:rsidRPr="00C319D0">
        <w:rPr>
          <w:rFonts w:ascii="Cambria" w:hAnsi="Cambria"/>
          <w:sz w:val="32"/>
          <w:szCs w:val="32"/>
        </w:rPr>
        <w:t xml:space="preserve">  </w:t>
      </w:r>
      <w:r w:rsidR="00465B18" w:rsidRPr="00C319D0">
        <w:rPr>
          <w:rFonts w:ascii="Cambria" w:hAnsi="Cambria"/>
          <w:sz w:val="32"/>
          <w:szCs w:val="32"/>
        </w:rPr>
        <w:t xml:space="preserve"> </w:t>
      </w:r>
    </w:p>
    <w:p w14:paraId="49BFE093" w14:textId="15652F9F" w:rsidR="005070B9" w:rsidRPr="00613E8A" w:rsidRDefault="00613E8A" w:rsidP="005070B9">
      <w:pPr>
        <w:spacing w:after="0" w:line="240" w:lineRule="auto"/>
        <w:rPr>
          <w:rStyle w:val="Hyperlink"/>
          <w:rFonts w:ascii="Cambria" w:eastAsia="Calibri" w:hAnsi="Cambria"/>
          <w:color w:val="auto"/>
          <w:sz w:val="20"/>
          <w:szCs w:val="20"/>
          <w:u w:val="none"/>
        </w:rPr>
      </w:pPr>
      <w:r w:rsidRPr="00613E8A">
        <w:rPr>
          <w:rStyle w:val="Hyperlink"/>
          <w:rFonts w:ascii="Cambria" w:eastAsia="Calibri" w:hAnsi="Cambria"/>
          <w:b/>
          <w:color w:val="auto"/>
          <w:sz w:val="20"/>
          <w:szCs w:val="20"/>
          <w:u w:val="none"/>
        </w:rPr>
        <w:t>Sevda G</w:t>
      </w:r>
      <w:r w:rsidR="00502DF1">
        <w:rPr>
          <w:rStyle w:val="Hyperlink"/>
          <w:rFonts w:ascii="Cambria" w:eastAsia="Calibri" w:hAnsi="Cambria"/>
          <w:b/>
          <w:color w:val="auto"/>
          <w:sz w:val="20"/>
          <w:szCs w:val="20"/>
          <w:u w:val="none"/>
        </w:rPr>
        <w:t>ÖKTEPE YILDIZ</w:t>
      </w:r>
      <w:r w:rsidRPr="00613E8A">
        <w:rPr>
          <w:rStyle w:val="Hyperlink"/>
          <w:rFonts w:ascii="Cambria" w:eastAsia="Calibri" w:hAnsi="Cambria"/>
          <w:color w:val="auto"/>
          <w:sz w:val="20"/>
          <w:szCs w:val="20"/>
          <w:u w:val="none"/>
        </w:rPr>
        <w:t xml:space="preserve">, </w:t>
      </w:r>
      <w:r w:rsidRPr="00613E8A">
        <w:rPr>
          <w:rStyle w:val="Hyperlink"/>
          <w:rFonts w:ascii="Cambria" w:eastAsia="Calibri" w:hAnsi="Cambria"/>
          <w:i/>
          <w:color w:val="auto"/>
          <w:sz w:val="20"/>
          <w:szCs w:val="20"/>
          <w:u w:val="none"/>
        </w:rPr>
        <w:t xml:space="preserve">Yıldız Teknik Üniversitesi, </w:t>
      </w:r>
      <w:hyperlink r:id="rId8" w:history="1">
        <w:r w:rsidR="00131A48" w:rsidRPr="0053069E">
          <w:rPr>
            <w:rStyle w:val="Hyperlink"/>
            <w:rFonts w:ascii="Cambria" w:eastAsia="Calibri" w:hAnsi="Cambria"/>
            <w:i/>
            <w:sz w:val="20"/>
            <w:szCs w:val="20"/>
          </w:rPr>
          <w:t>goktepe@yildiz.edu.tr</w:t>
        </w:r>
      </w:hyperlink>
      <w:r w:rsidR="00131A48">
        <w:rPr>
          <w:rStyle w:val="Hyperlink"/>
          <w:rFonts w:ascii="Cambria" w:eastAsia="Calibri" w:hAnsi="Cambria"/>
          <w:i/>
          <w:color w:val="auto"/>
          <w:sz w:val="20"/>
          <w:szCs w:val="20"/>
          <w:u w:val="none"/>
        </w:rPr>
        <w:t xml:space="preserve"> </w:t>
      </w:r>
    </w:p>
    <w:p w14:paraId="5FF1095F" w14:textId="06BB87DC" w:rsidR="00613E8A" w:rsidRPr="00613E8A" w:rsidRDefault="00613E8A" w:rsidP="005070B9">
      <w:pPr>
        <w:spacing w:after="0" w:line="240" w:lineRule="auto"/>
        <w:rPr>
          <w:rStyle w:val="Hyperlink"/>
          <w:rFonts w:ascii="Cambria" w:eastAsia="Calibri" w:hAnsi="Cambria"/>
          <w:color w:val="auto"/>
          <w:sz w:val="20"/>
          <w:szCs w:val="20"/>
          <w:u w:val="none"/>
        </w:rPr>
      </w:pPr>
      <w:r w:rsidRPr="00613E8A">
        <w:rPr>
          <w:rStyle w:val="Hyperlink"/>
          <w:rFonts w:ascii="Cambria" w:eastAsia="Calibri" w:hAnsi="Cambria"/>
          <w:b/>
          <w:color w:val="auto"/>
          <w:sz w:val="20"/>
          <w:szCs w:val="20"/>
          <w:u w:val="none"/>
        </w:rPr>
        <w:t>Ahmet Şükrü Ö</w:t>
      </w:r>
      <w:r w:rsidR="00502DF1">
        <w:rPr>
          <w:rStyle w:val="Hyperlink"/>
          <w:rFonts w:ascii="Cambria" w:eastAsia="Calibri" w:hAnsi="Cambria"/>
          <w:b/>
          <w:color w:val="auto"/>
          <w:sz w:val="20"/>
          <w:szCs w:val="20"/>
          <w:u w:val="none"/>
        </w:rPr>
        <w:t>ZDEMİR</w:t>
      </w:r>
      <w:r w:rsidRPr="00613E8A">
        <w:rPr>
          <w:rStyle w:val="Hyperlink"/>
          <w:rFonts w:ascii="Cambria" w:eastAsia="Calibri" w:hAnsi="Cambria"/>
          <w:color w:val="auto"/>
          <w:sz w:val="20"/>
          <w:szCs w:val="20"/>
          <w:u w:val="none"/>
        </w:rPr>
        <w:t xml:space="preserve">, </w:t>
      </w:r>
      <w:r w:rsidRPr="00613E8A">
        <w:rPr>
          <w:rStyle w:val="Hyperlink"/>
          <w:rFonts w:ascii="Cambria" w:eastAsia="Calibri" w:hAnsi="Cambria"/>
          <w:i/>
          <w:color w:val="auto"/>
          <w:sz w:val="20"/>
          <w:szCs w:val="20"/>
          <w:u w:val="none"/>
        </w:rPr>
        <w:t>Marmara Üniversite</w:t>
      </w:r>
      <w:r w:rsidR="00131A48">
        <w:rPr>
          <w:rStyle w:val="Hyperlink"/>
          <w:rFonts w:ascii="Cambria" w:eastAsia="Calibri" w:hAnsi="Cambria"/>
          <w:i/>
          <w:color w:val="auto"/>
          <w:sz w:val="20"/>
          <w:szCs w:val="20"/>
          <w:u w:val="none"/>
        </w:rPr>
        <w:t xml:space="preserve">si, </w:t>
      </w:r>
      <w:hyperlink r:id="rId9" w:history="1">
        <w:r w:rsidR="00131A48" w:rsidRPr="0053069E">
          <w:rPr>
            <w:rStyle w:val="Hyperlink"/>
            <w:rFonts w:ascii="Cambria" w:eastAsia="Calibri" w:hAnsi="Cambria"/>
            <w:i/>
            <w:sz w:val="20"/>
            <w:szCs w:val="20"/>
          </w:rPr>
          <w:t>ahmet.ozdemir@marmara.edu.tr</w:t>
        </w:r>
      </w:hyperlink>
      <w:r w:rsidR="00131A48">
        <w:rPr>
          <w:rStyle w:val="Hyperlink"/>
          <w:rFonts w:ascii="Cambria" w:eastAsia="Calibri" w:hAnsi="Cambria"/>
          <w:i/>
          <w:color w:val="auto"/>
          <w:sz w:val="20"/>
          <w:szCs w:val="20"/>
          <w:u w:val="none"/>
        </w:rPr>
        <w:t xml:space="preserve"> </w:t>
      </w:r>
    </w:p>
    <w:p w14:paraId="611732DA" w14:textId="77777777" w:rsidR="000F5FB8" w:rsidRPr="00C319D0"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C319D0" w14:paraId="1D3EB55E" w14:textId="77777777" w:rsidTr="005070B9">
        <w:trPr>
          <w:trHeight w:val="2494"/>
          <w:jc w:val="center"/>
        </w:trPr>
        <w:tc>
          <w:tcPr>
            <w:tcW w:w="9214" w:type="dxa"/>
            <w:tcBorders>
              <w:bottom w:val="single" w:sz="2" w:space="0" w:color="auto"/>
            </w:tcBorders>
          </w:tcPr>
          <w:p w14:paraId="5206D206" w14:textId="77777777" w:rsidR="005070B9" w:rsidRPr="00C319D0" w:rsidRDefault="005070B9" w:rsidP="005070B9">
            <w:pPr>
              <w:jc w:val="both"/>
              <w:rPr>
                <w:rFonts w:ascii="Cambria" w:hAnsi="Cambria" w:cs="Times New Roman"/>
                <w:sz w:val="20"/>
                <w:szCs w:val="20"/>
              </w:rPr>
            </w:pPr>
            <w:r w:rsidRPr="00C319D0">
              <w:rPr>
                <w:rFonts w:ascii="Cambria" w:hAnsi="Cambria" w:cs="Times New Roman"/>
                <w:b/>
                <w:sz w:val="20"/>
                <w:szCs w:val="20"/>
              </w:rPr>
              <w:t>Öz</w:t>
            </w:r>
            <w:r w:rsidR="00FD0DDB" w:rsidRPr="00C319D0">
              <w:rPr>
                <w:rFonts w:ascii="Cambria" w:hAnsi="Cambria" w:cs="Times New Roman"/>
                <w:b/>
                <w:sz w:val="20"/>
                <w:szCs w:val="20"/>
              </w:rPr>
              <w:t>.</w:t>
            </w:r>
            <w:r w:rsidRPr="00C319D0">
              <w:rPr>
                <w:rFonts w:ascii="Cambria" w:hAnsi="Cambria" w:cs="Times New Roman"/>
                <w:b/>
                <w:sz w:val="20"/>
                <w:szCs w:val="20"/>
              </w:rPr>
              <w:t xml:space="preserve"> </w:t>
            </w:r>
            <w:r w:rsidR="00465B18" w:rsidRPr="00C319D0">
              <w:rPr>
                <w:rFonts w:ascii="Cambria" w:hAnsi="Cambria" w:cs="Times New Roman"/>
                <w:sz w:val="20"/>
                <w:szCs w:val="20"/>
              </w:rPr>
              <w:t xml:space="preserve">Çalışmanın amacı öğrencilerin matematik dersindeki öğrenme yaklaşımlarını belirlemeye yarayan bir ölçme aracı geliştirmek ve geliştirilen ölçek aracılığıyla ortaokul öğrencilerinin matematiği öğrenme yaklaşımlarını incelemektir. Bu araştırma hem bir ölçek geliştirme çalışması olup geliştirilen Matematik Öğrenme Yaklaşımları Ölçeği’nin geçerlik ve güvenilirlik çalışmalarını sunmaktadır hem de betimsel bir çalışma olup öğrencilerin matematik dersindeki öğrenme yaklaşımlarını araştırmaktadır. Araştırma 790 ortaokul öğrencisi ile gerçekleştirilmiştir. Açımlayıcı faktör analizi ile öğrencilerin öğrenme yaklaşımları için 3 faktör ortaya çıkmıştır: derinlemesine, yüzeysel ve stratejik. Doğrulayıcı faktör analizi ile bu üç faktör ile uyum gösteren bir model elde edilmiştir. Ölçeğin tümüne ait Cronbach alfa güvenirlik katsayısı .789 olarak bulunmuştur. Gerçekleştirilen analizler 33 maddeden ve 3 faktörden oluşan Matematik Öğrenme Yaklaşımları Ölçeği’nin geçerli ve güvenilir bir ölçek olduğunu göstermektedir. Ayrıca çalışmaya katılan ortaokul öğrencilerinin (6, 7 ve 8. sınıf) matematik öğrenme yaklaşımları sınıf düzeylerine göre anlamlı farklılık göstermektedir. </w:t>
            </w:r>
          </w:p>
          <w:p w14:paraId="6AB4218B" w14:textId="77777777" w:rsidR="005070B9" w:rsidRPr="00C319D0" w:rsidRDefault="005070B9" w:rsidP="005070B9">
            <w:pPr>
              <w:jc w:val="both"/>
              <w:rPr>
                <w:rFonts w:ascii="Cambria" w:hAnsi="Cambria" w:cs="Times New Roman"/>
                <w:b/>
                <w:sz w:val="20"/>
                <w:szCs w:val="20"/>
              </w:rPr>
            </w:pPr>
          </w:p>
          <w:p w14:paraId="1B77CAE2" w14:textId="77777777" w:rsidR="00465B18" w:rsidRPr="00C319D0" w:rsidRDefault="00FD0DDB" w:rsidP="002A33D3">
            <w:pPr>
              <w:jc w:val="both"/>
              <w:rPr>
                <w:rFonts w:ascii="Cambria" w:hAnsi="Cambria" w:cs="Times New Roman"/>
                <w:sz w:val="20"/>
                <w:szCs w:val="20"/>
              </w:rPr>
            </w:pPr>
            <w:r w:rsidRPr="00C319D0">
              <w:rPr>
                <w:rFonts w:ascii="Cambria" w:hAnsi="Cambria" w:cs="Times New Roman"/>
                <w:b/>
                <w:sz w:val="20"/>
                <w:szCs w:val="20"/>
              </w:rPr>
              <w:t>Anahtar Sözcük</w:t>
            </w:r>
            <w:r w:rsidR="005070B9" w:rsidRPr="00C319D0">
              <w:rPr>
                <w:rFonts w:ascii="Cambria" w:hAnsi="Cambria" w:cs="Times New Roman"/>
                <w:b/>
                <w:sz w:val="20"/>
                <w:szCs w:val="20"/>
              </w:rPr>
              <w:t xml:space="preserve">ler: </w:t>
            </w:r>
            <w:r w:rsidR="00465B18" w:rsidRPr="00C319D0">
              <w:rPr>
                <w:rFonts w:ascii="Cambria" w:hAnsi="Cambria" w:cs="Times New Roman"/>
                <w:sz w:val="20"/>
                <w:szCs w:val="20"/>
              </w:rPr>
              <w:t xml:space="preserve">Matematik öğrenme yaklaşımları, ölçek geliştirme, geçerlik, güvenirlik, ortaokul öğrencileri </w:t>
            </w:r>
          </w:p>
          <w:p w14:paraId="5DAEFD77" w14:textId="77777777" w:rsidR="00465B18" w:rsidRPr="00C319D0" w:rsidRDefault="00465B18" w:rsidP="002A33D3">
            <w:pPr>
              <w:jc w:val="both"/>
              <w:rPr>
                <w:rFonts w:ascii="Cambria" w:hAnsi="Cambria" w:cs="Times New Roman"/>
                <w:sz w:val="20"/>
                <w:szCs w:val="20"/>
              </w:rPr>
            </w:pPr>
          </w:p>
        </w:tc>
      </w:tr>
      <w:tr w:rsidR="000F5FB8" w:rsidRPr="00C319D0" w14:paraId="6A682616" w14:textId="77777777" w:rsidTr="005070B9">
        <w:trPr>
          <w:trHeight w:val="2287"/>
          <w:jc w:val="center"/>
        </w:trPr>
        <w:tc>
          <w:tcPr>
            <w:tcW w:w="9214" w:type="dxa"/>
            <w:tcBorders>
              <w:top w:val="single" w:sz="2" w:space="0" w:color="auto"/>
            </w:tcBorders>
          </w:tcPr>
          <w:p w14:paraId="09C0A9A6" w14:textId="77777777" w:rsidR="000F5FB8" w:rsidRPr="00C319D0" w:rsidRDefault="000F5FB8" w:rsidP="002A33D3">
            <w:pPr>
              <w:jc w:val="both"/>
              <w:rPr>
                <w:rFonts w:ascii="Cambria" w:hAnsi="Cambria" w:cs="Times New Roman"/>
                <w:b/>
                <w:sz w:val="20"/>
                <w:szCs w:val="20"/>
              </w:rPr>
            </w:pPr>
          </w:p>
          <w:p w14:paraId="3F38F842" w14:textId="322256BE" w:rsidR="005070B9" w:rsidRPr="00C319D0" w:rsidRDefault="00FD0DDB" w:rsidP="005070B9">
            <w:pPr>
              <w:spacing w:after="160" w:line="259" w:lineRule="auto"/>
              <w:jc w:val="both"/>
              <w:rPr>
                <w:rFonts w:ascii="Cambria" w:hAnsi="Cambria" w:cs="Times New Roman"/>
                <w:sz w:val="20"/>
                <w:szCs w:val="20"/>
                <w:lang w:val="en-US"/>
              </w:rPr>
            </w:pPr>
            <w:r w:rsidRPr="00C319D0">
              <w:rPr>
                <w:rFonts w:ascii="Cambria" w:hAnsi="Cambria" w:cs="Times New Roman"/>
                <w:b/>
                <w:sz w:val="20"/>
                <w:szCs w:val="20"/>
                <w:lang w:val="en-US"/>
              </w:rPr>
              <w:t>Abstract.</w:t>
            </w:r>
            <w:r w:rsidR="005070B9" w:rsidRPr="00C319D0">
              <w:rPr>
                <w:rFonts w:ascii="Cambria" w:hAnsi="Cambria" w:cs="Times New Roman"/>
                <w:sz w:val="20"/>
                <w:szCs w:val="20"/>
                <w:lang w:val="en-US"/>
              </w:rPr>
              <w:t xml:space="preserve"> </w:t>
            </w:r>
            <w:r w:rsidR="00463574" w:rsidRPr="00C319D0">
              <w:rPr>
                <w:rFonts w:ascii="Cambria" w:hAnsi="Cambria" w:cs="Times New Roman"/>
                <w:sz w:val="20"/>
                <w:szCs w:val="20"/>
                <w:lang w:val="en-US"/>
              </w:rPr>
              <w:t xml:space="preserve">The </w:t>
            </w:r>
            <w:r w:rsidR="00465B18" w:rsidRPr="00C319D0">
              <w:rPr>
                <w:rFonts w:ascii="Cambria" w:hAnsi="Cambria" w:cs="Times New Roman"/>
                <w:sz w:val="20"/>
                <w:szCs w:val="20"/>
                <w:lang w:val="en-US"/>
              </w:rPr>
              <w:t xml:space="preserve">aim of this research was to develop an instrument for determining </w:t>
            </w:r>
            <w:r w:rsidR="0012631D" w:rsidRPr="00C319D0">
              <w:rPr>
                <w:rFonts w:ascii="Cambria" w:hAnsi="Cambria" w:cs="Times New Roman"/>
                <w:sz w:val="20"/>
                <w:szCs w:val="20"/>
                <w:lang w:val="en-US"/>
              </w:rPr>
              <w:t>the approaches to learning mathematics of middle school students</w:t>
            </w:r>
            <w:r w:rsidR="00F368E5" w:rsidRPr="00C319D0">
              <w:rPr>
                <w:rFonts w:ascii="Cambria" w:hAnsi="Cambria" w:cs="Times New Roman"/>
                <w:sz w:val="20"/>
                <w:szCs w:val="20"/>
                <w:lang w:val="en-US"/>
              </w:rPr>
              <w:t>.</w:t>
            </w:r>
            <w:r w:rsidR="0012631D" w:rsidRPr="00C319D0">
              <w:rPr>
                <w:rFonts w:ascii="Cambria" w:hAnsi="Cambria" w:cs="Times New Roman"/>
                <w:sz w:val="20"/>
                <w:szCs w:val="20"/>
                <w:lang w:val="en-US"/>
              </w:rPr>
              <w:t xml:space="preserve"> </w:t>
            </w:r>
            <w:r w:rsidR="00465B18" w:rsidRPr="00C319D0">
              <w:rPr>
                <w:rFonts w:ascii="Cambria" w:hAnsi="Cambria" w:cs="Times New Roman"/>
                <w:sz w:val="20"/>
                <w:szCs w:val="20"/>
                <w:lang w:val="en-US"/>
              </w:rPr>
              <w:t>This research was a scale development study and presented the validity and reliability studies of the Approaches to Learning Mathematics Scale as well as a descriptive study and investigated the learning approaches of students</w:t>
            </w:r>
            <w:r w:rsidR="00502DF1">
              <w:rPr>
                <w:rFonts w:ascii="Cambria" w:hAnsi="Cambria" w:cs="Times New Roman"/>
                <w:sz w:val="20"/>
                <w:szCs w:val="20"/>
                <w:lang w:val="en-US"/>
              </w:rPr>
              <w:t>.</w:t>
            </w:r>
            <w:r w:rsidR="00465B18" w:rsidRPr="00C319D0">
              <w:rPr>
                <w:rFonts w:ascii="Cambria" w:hAnsi="Cambria" w:cs="Times New Roman"/>
                <w:sz w:val="20"/>
                <w:szCs w:val="20"/>
                <w:lang w:val="en-US"/>
              </w:rPr>
              <w:t xml:space="preserve"> The participants were 790 </w:t>
            </w:r>
            <w:r w:rsidR="00502DF1">
              <w:rPr>
                <w:rFonts w:ascii="Cambria" w:hAnsi="Cambria" w:cs="Times New Roman"/>
                <w:sz w:val="20"/>
                <w:szCs w:val="20"/>
                <w:lang w:val="en-US"/>
              </w:rPr>
              <w:t>middle</w:t>
            </w:r>
            <w:r w:rsidR="00465B18" w:rsidRPr="00C319D0">
              <w:rPr>
                <w:rFonts w:ascii="Cambria" w:hAnsi="Cambria" w:cs="Times New Roman"/>
                <w:sz w:val="20"/>
                <w:szCs w:val="20"/>
                <w:lang w:val="en-US"/>
              </w:rPr>
              <w:t xml:space="preserve"> school students</w:t>
            </w:r>
            <w:r w:rsidR="00502DF1">
              <w:rPr>
                <w:rFonts w:ascii="Cambria" w:hAnsi="Cambria" w:cs="Times New Roman"/>
                <w:sz w:val="20"/>
                <w:szCs w:val="20"/>
                <w:lang w:val="en-US"/>
              </w:rPr>
              <w:t>.</w:t>
            </w:r>
            <w:r w:rsidR="00465B18" w:rsidRPr="00C319D0">
              <w:rPr>
                <w:rFonts w:ascii="Cambria" w:hAnsi="Cambria" w:cs="Times New Roman"/>
                <w:sz w:val="20"/>
                <w:szCs w:val="20"/>
                <w:lang w:val="en-US"/>
              </w:rPr>
              <w:t xml:space="preserve"> </w:t>
            </w:r>
            <w:r w:rsidR="00AA3D6F" w:rsidRPr="00C319D0">
              <w:rPr>
                <w:rFonts w:ascii="Cambria" w:hAnsi="Cambria" w:cs="Times New Roman"/>
                <w:sz w:val="20"/>
                <w:szCs w:val="20"/>
                <w:lang w:val="en-US"/>
              </w:rPr>
              <w:t>Exploratory factor analysis revealed three factors for students' approaches to learning: deep, surface and strategic. Confirmatory factor analysis confirmed that these three factors constituted a model-with good fit. The Cronbach’s alpha reliability coefficient for the whole of the scale was found to be .789. The results showed that Approaches to Learning Mathematics Scale, consisting of 33 items and 3 factors, was a valid and reliable scale. In addition, findings indicated that there were significant differences between the students’ approaches to learning mathematics according to their grade levels.</w:t>
            </w:r>
          </w:p>
          <w:p w14:paraId="0798C33D" w14:textId="77777777" w:rsidR="005070B9" w:rsidRPr="00C319D0" w:rsidRDefault="005070B9" w:rsidP="005070B9">
            <w:pPr>
              <w:tabs>
                <w:tab w:val="left" w:pos="3227"/>
              </w:tabs>
              <w:rPr>
                <w:rFonts w:ascii="Cambria" w:hAnsi="Cambria" w:cs="Times New Roman"/>
                <w:b/>
                <w:sz w:val="20"/>
                <w:szCs w:val="20"/>
                <w:lang w:val="en-US"/>
              </w:rPr>
            </w:pPr>
          </w:p>
          <w:p w14:paraId="0A86A4AD" w14:textId="77777777" w:rsidR="000F5FB8" w:rsidRPr="00C319D0" w:rsidRDefault="005070B9" w:rsidP="005070B9">
            <w:pPr>
              <w:tabs>
                <w:tab w:val="left" w:pos="3227"/>
              </w:tabs>
              <w:rPr>
                <w:rFonts w:ascii="Cambria" w:hAnsi="Cambria" w:cs="Times New Roman"/>
                <w:sz w:val="20"/>
                <w:szCs w:val="20"/>
              </w:rPr>
            </w:pPr>
            <w:r w:rsidRPr="00C319D0">
              <w:rPr>
                <w:rFonts w:ascii="Cambria" w:hAnsi="Cambria" w:cs="Times New Roman"/>
                <w:b/>
                <w:sz w:val="20"/>
                <w:szCs w:val="20"/>
                <w:lang w:val="en-US"/>
              </w:rPr>
              <w:t>Keywords:</w:t>
            </w:r>
            <w:r w:rsidRPr="00C319D0">
              <w:rPr>
                <w:rFonts w:ascii="Cambria" w:hAnsi="Cambria" w:cs="Times New Roman"/>
                <w:sz w:val="20"/>
                <w:szCs w:val="20"/>
                <w:lang w:val="en-US"/>
              </w:rPr>
              <w:t xml:space="preserve"> </w:t>
            </w:r>
            <w:r w:rsidR="00465B18" w:rsidRPr="00C319D0">
              <w:rPr>
                <w:rFonts w:ascii="Cambria" w:hAnsi="Cambria" w:cs="Times New Roman"/>
                <w:sz w:val="20"/>
                <w:szCs w:val="20"/>
                <w:lang w:val="en-US"/>
              </w:rPr>
              <w:t xml:space="preserve">Approaches to learning mathematics, scale development, validity, reliability, </w:t>
            </w:r>
            <w:r w:rsidR="00F368E5" w:rsidRPr="00C319D0">
              <w:rPr>
                <w:rFonts w:ascii="Cambria" w:hAnsi="Cambria" w:cs="Times New Roman"/>
                <w:sz w:val="20"/>
                <w:szCs w:val="20"/>
                <w:lang w:val="en-US"/>
              </w:rPr>
              <w:t>middle</w:t>
            </w:r>
            <w:r w:rsidR="00465B18" w:rsidRPr="00C319D0">
              <w:rPr>
                <w:rFonts w:ascii="Cambria" w:hAnsi="Cambria" w:cs="Times New Roman"/>
                <w:sz w:val="20"/>
                <w:szCs w:val="20"/>
                <w:lang w:val="en-US"/>
              </w:rPr>
              <w:t xml:space="preserve"> school students</w:t>
            </w:r>
          </w:p>
        </w:tc>
      </w:tr>
    </w:tbl>
    <w:p w14:paraId="3889FE66" w14:textId="77777777" w:rsidR="00B40F84" w:rsidRPr="00C319D0" w:rsidRDefault="00B40F84" w:rsidP="00D9144B">
      <w:pPr>
        <w:pStyle w:val="Default"/>
        <w:rPr>
          <w:rFonts w:ascii="Times New Roman" w:hAnsi="Times New Roman" w:cs="Times New Roman"/>
          <w:b/>
          <w:bCs/>
          <w:sz w:val="20"/>
          <w:szCs w:val="20"/>
        </w:rPr>
      </w:pPr>
    </w:p>
    <w:p w14:paraId="20F151D1" w14:textId="77777777" w:rsidR="00BB3A59" w:rsidRPr="00C319D0" w:rsidRDefault="00BB3A59" w:rsidP="00D9144B">
      <w:pPr>
        <w:pStyle w:val="Default"/>
        <w:rPr>
          <w:rFonts w:ascii="Times New Roman" w:hAnsi="Times New Roman" w:cs="Times New Roman"/>
          <w:b/>
          <w:bCs/>
          <w:sz w:val="20"/>
          <w:szCs w:val="20"/>
        </w:rPr>
      </w:pPr>
    </w:p>
    <w:p w14:paraId="64DC92B2" w14:textId="77777777" w:rsidR="008C2B1B" w:rsidRPr="00C319D0" w:rsidRDefault="008C2B1B">
      <w:pPr>
        <w:rPr>
          <w:rFonts w:ascii="Times New Roman" w:eastAsiaTheme="majorEastAsia" w:hAnsi="Times New Roman" w:cs="Times New Roman"/>
          <w:b/>
          <w:sz w:val="24"/>
          <w:szCs w:val="24"/>
        </w:rPr>
      </w:pPr>
      <w:r w:rsidRPr="00C319D0">
        <w:rPr>
          <w:rFonts w:ascii="Times New Roman" w:hAnsi="Times New Roman" w:cs="Times New Roman"/>
          <w:b/>
          <w:sz w:val="24"/>
          <w:szCs w:val="24"/>
        </w:rPr>
        <w:br w:type="page"/>
      </w:r>
    </w:p>
    <w:p w14:paraId="7CF49359" w14:textId="77777777" w:rsidR="005070B9" w:rsidRPr="00C319D0" w:rsidRDefault="005070B9" w:rsidP="000F6587">
      <w:pPr>
        <w:spacing w:after="0" w:line="240" w:lineRule="auto"/>
        <w:jc w:val="center"/>
        <w:rPr>
          <w:rFonts w:ascii="Cambria" w:hAnsi="Cambria"/>
          <w:b/>
        </w:rPr>
      </w:pPr>
      <w:r w:rsidRPr="00C319D0">
        <w:rPr>
          <w:rFonts w:ascii="Cambria" w:hAnsi="Cambria"/>
          <w:b/>
        </w:rPr>
        <w:lastRenderedPageBreak/>
        <w:t>SUMMARY</w:t>
      </w:r>
    </w:p>
    <w:p w14:paraId="4DC5B19F" w14:textId="77777777" w:rsidR="005070B9" w:rsidRPr="00C319D0" w:rsidRDefault="005070B9" w:rsidP="000F6587">
      <w:pPr>
        <w:spacing w:before="100" w:beforeAutospacing="1" w:after="100" w:afterAutospacing="1" w:line="240" w:lineRule="auto"/>
        <w:jc w:val="both"/>
        <w:rPr>
          <w:rFonts w:ascii="Cambria" w:hAnsi="Cambria"/>
          <w:b/>
          <w:lang w:val="en-US"/>
        </w:rPr>
      </w:pPr>
      <w:r w:rsidRPr="00C319D0">
        <w:rPr>
          <w:rFonts w:ascii="Cambria" w:hAnsi="Cambria"/>
          <w:b/>
          <w:lang w:val="en-US"/>
        </w:rPr>
        <w:t>Introduction</w:t>
      </w:r>
    </w:p>
    <w:p w14:paraId="343BF701" w14:textId="77777777" w:rsidR="00DE5037" w:rsidRPr="00C319D0" w:rsidRDefault="008C4FE3" w:rsidP="00DE5037">
      <w:pPr>
        <w:tabs>
          <w:tab w:val="left" w:pos="9072"/>
        </w:tabs>
        <w:spacing w:after="0" w:line="240" w:lineRule="auto"/>
        <w:ind w:firstLine="567"/>
        <w:jc w:val="both"/>
        <w:rPr>
          <w:rFonts w:ascii="Cambria" w:hAnsi="Cambria"/>
          <w:lang w:val="en-US"/>
        </w:rPr>
      </w:pPr>
      <w:r w:rsidRPr="00C319D0">
        <w:rPr>
          <w:rFonts w:ascii="Cambria" w:hAnsi="Cambria"/>
          <w:lang w:val="en-US"/>
        </w:rPr>
        <w:t>In mat</w:t>
      </w:r>
      <w:r w:rsidR="007107E6" w:rsidRPr="00C319D0">
        <w:rPr>
          <w:rFonts w:ascii="Cambria" w:hAnsi="Cambria"/>
          <w:lang w:val="en-US"/>
        </w:rPr>
        <w:t>h</w:t>
      </w:r>
      <w:r w:rsidRPr="00C319D0">
        <w:rPr>
          <w:rFonts w:ascii="Cambria" w:hAnsi="Cambria"/>
          <w:lang w:val="en-US"/>
        </w:rPr>
        <w:t xml:space="preserve">ematics education studies, researchers have reached the conclusion that not all of the students have the same learning approaches. </w:t>
      </w:r>
      <w:r w:rsidR="004E6DE8" w:rsidRPr="00C319D0">
        <w:rPr>
          <w:rFonts w:ascii="Cambria" w:hAnsi="Cambria"/>
          <w:lang w:val="en-US"/>
        </w:rPr>
        <w:t xml:space="preserve">Learning approach is defined as the individual differences in the affecting individual when a learning situation is encountered. </w:t>
      </w:r>
      <w:r w:rsidR="00955F55" w:rsidRPr="00C319D0">
        <w:rPr>
          <w:rFonts w:ascii="Cambria" w:hAnsi="Cambria"/>
          <w:lang w:val="en-US"/>
        </w:rPr>
        <w:t xml:space="preserve">There are very few researches that developed or used scales that determine approaches to learning mathematics. Furthermore, no study has been found on the development of a scale that examines the learning approaches of students at </w:t>
      </w:r>
      <w:r w:rsidR="00F368E5" w:rsidRPr="00C319D0">
        <w:rPr>
          <w:rFonts w:ascii="Cambria" w:hAnsi="Cambria"/>
          <w:lang w:val="en-US"/>
        </w:rPr>
        <w:t>middle</w:t>
      </w:r>
      <w:r w:rsidR="00955F55" w:rsidRPr="00C319D0">
        <w:rPr>
          <w:rFonts w:ascii="Cambria" w:hAnsi="Cambria"/>
          <w:lang w:val="en-US"/>
        </w:rPr>
        <w:t xml:space="preserve"> school level in mathematics. It is thought that this study will contribute to the literature as it </w:t>
      </w:r>
      <w:proofErr w:type="gramStart"/>
      <w:r w:rsidR="00955F55" w:rsidRPr="00C319D0">
        <w:rPr>
          <w:rFonts w:ascii="Cambria" w:hAnsi="Cambria"/>
          <w:lang w:val="en-US"/>
        </w:rPr>
        <w:t>include</w:t>
      </w:r>
      <w:proofErr w:type="gramEnd"/>
      <w:r w:rsidR="00955F55" w:rsidRPr="00C319D0">
        <w:rPr>
          <w:rFonts w:ascii="Cambria" w:hAnsi="Cambria"/>
          <w:lang w:val="en-US"/>
        </w:rPr>
        <w:t xml:space="preserve"> 3 types of learning approach (deep, surface and strategic) and especially develop for </w:t>
      </w:r>
      <w:r w:rsidR="00F368E5" w:rsidRPr="00C319D0">
        <w:rPr>
          <w:rFonts w:ascii="Cambria" w:hAnsi="Cambria"/>
          <w:lang w:val="en-US"/>
        </w:rPr>
        <w:t>middle</w:t>
      </w:r>
      <w:r w:rsidR="00955F55" w:rsidRPr="00C319D0">
        <w:rPr>
          <w:rFonts w:ascii="Cambria" w:hAnsi="Cambria"/>
          <w:lang w:val="en-US"/>
        </w:rPr>
        <w:t xml:space="preserve"> school students in mathematics course. </w:t>
      </w:r>
      <w:r w:rsidR="004313D7" w:rsidRPr="00C319D0">
        <w:rPr>
          <w:rFonts w:ascii="Cambria" w:hAnsi="Cambria"/>
          <w:lang w:val="en-US"/>
        </w:rPr>
        <w:t>The first aim of this research is to develop an instrument for determining the approaches to learning mathematics</w:t>
      </w:r>
      <w:r w:rsidR="006C289C" w:rsidRPr="00C319D0">
        <w:rPr>
          <w:rFonts w:ascii="Cambria" w:hAnsi="Cambria"/>
          <w:lang w:val="en-US"/>
        </w:rPr>
        <w:t xml:space="preserve"> of middle school students</w:t>
      </w:r>
      <w:r w:rsidR="004313D7" w:rsidRPr="00C319D0">
        <w:rPr>
          <w:rFonts w:ascii="Cambria" w:hAnsi="Cambria"/>
          <w:lang w:val="en-US"/>
        </w:rPr>
        <w:t xml:space="preserve">. The second aim is </w:t>
      </w:r>
      <w:r w:rsidR="00014C1B" w:rsidRPr="00C319D0">
        <w:rPr>
          <w:rFonts w:ascii="Cambria" w:hAnsi="Cambria"/>
          <w:lang w:val="en-US"/>
        </w:rPr>
        <w:t xml:space="preserve">to </w:t>
      </w:r>
      <w:r w:rsidR="000B62C0" w:rsidRPr="00C319D0">
        <w:rPr>
          <w:rFonts w:ascii="Cambria" w:hAnsi="Cambria"/>
          <w:lang w:val="en-US"/>
        </w:rPr>
        <w:t xml:space="preserve">determine the preference levels </w:t>
      </w:r>
      <w:r w:rsidR="004313D7" w:rsidRPr="00C319D0">
        <w:rPr>
          <w:rFonts w:ascii="Cambria" w:hAnsi="Cambria"/>
          <w:lang w:val="en-US"/>
        </w:rPr>
        <w:t xml:space="preserve">of </w:t>
      </w:r>
      <w:r w:rsidR="006C289C" w:rsidRPr="00C319D0">
        <w:rPr>
          <w:rFonts w:ascii="Cambria" w:hAnsi="Cambria"/>
          <w:lang w:val="en-US"/>
        </w:rPr>
        <w:t>middle</w:t>
      </w:r>
      <w:r w:rsidR="004313D7" w:rsidRPr="00C319D0">
        <w:rPr>
          <w:rFonts w:ascii="Cambria" w:hAnsi="Cambria"/>
          <w:lang w:val="en-US"/>
        </w:rPr>
        <w:t xml:space="preserve"> school students</w:t>
      </w:r>
      <w:r w:rsidR="000B62C0" w:rsidRPr="00C319D0">
        <w:rPr>
          <w:rFonts w:ascii="Cambria" w:hAnsi="Cambria"/>
          <w:lang w:val="en-US"/>
        </w:rPr>
        <w:t>’ approaches</w:t>
      </w:r>
      <w:r w:rsidR="004313D7" w:rsidRPr="00C319D0">
        <w:rPr>
          <w:rFonts w:ascii="Cambria" w:hAnsi="Cambria"/>
          <w:lang w:val="en-US"/>
        </w:rPr>
        <w:t xml:space="preserve"> to learning mathematics and </w:t>
      </w:r>
      <w:r w:rsidR="000B62C0" w:rsidRPr="00C319D0">
        <w:rPr>
          <w:rFonts w:ascii="Cambria" w:hAnsi="Cambria"/>
          <w:lang w:val="en-US"/>
        </w:rPr>
        <w:t xml:space="preserve">to find out whether their approaches to learning display any significant difference according to </w:t>
      </w:r>
      <w:r w:rsidR="007107E6" w:rsidRPr="00C319D0">
        <w:rPr>
          <w:rFonts w:ascii="Cambria" w:hAnsi="Cambria"/>
          <w:lang w:val="en-US"/>
        </w:rPr>
        <w:t xml:space="preserve">their </w:t>
      </w:r>
      <w:r w:rsidR="000B62C0" w:rsidRPr="00C319D0">
        <w:rPr>
          <w:rFonts w:ascii="Cambria" w:hAnsi="Cambria"/>
          <w:lang w:val="en-US"/>
        </w:rPr>
        <w:t xml:space="preserve">level of grades. </w:t>
      </w:r>
      <w:r w:rsidR="004313D7" w:rsidRPr="00C319D0">
        <w:rPr>
          <w:rFonts w:ascii="Cambria" w:hAnsi="Cambria"/>
          <w:lang w:val="en-US"/>
        </w:rPr>
        <w:t>For this purpose, answers to the following questions are sought:</w:t>
      </w:r>
    </w:p>
    <w:p w14:paraId="7B7FBDD2" w14:textId="77777777" w:rsidR="00DE5037" w:rsidRPr="00C319D0" w:rsidRDefault="004313D7" w:rsidP="00DE5037">
      <w:pPr>
        <w:tabs>
          <w:tab w:val="left" w:pos="9072"/>
        </w:tabs>
        <w:spacing w:after="0" w:line="240" w:lineRule="auto"/>
        <w:ind w:firstLine="567"/>
        <w:jc w:val="both"/>
        <w:rPr>
          <w:rFonts w:ascii="Cambria" w:hAnsi="Cambria"/>
          <w:lang w:val="en-US"/>
        </w:rPr>
      </w:pPr>
      <w:r w:rsidRPr="00C319D0">
        <w:rPr>
          <w:rFonts w:ascii="Cambria" w:hAnsi="Cambria"/>
          <w:lang w:val="en-US"/>
        </w:rPr>
        <w:t xml:space="preserve">Is the Approaches to Learning Mathematics Scale developed for </w:t>
      </w:r>
      <w:r w:rsidR="006C289C" w:rsidRPr="00C319D0">
        <w:rPr>
          <w:rFonts w:ascii="Cambria" w:hAnsi="Cambria"/>
          <w:lang w:val="en-US"/>
        </w:rPr>
        <w:t>middle</w:t>
      </w:r>
      <w:r w:rsidRPr="00C319D0">
        <w:rPr>
          <w:rFonts w:ascii="Cambria" w:hAnsi="Cambria"/>
          <w:lang w:val="en-US"/>
        </w:rPr>
        <w:t xml:space="preserve"> school students a valid and reliable measurement instrument? </w:t>
      </w:r>
    </w:p>
    <w:p w14:paraId="6EA22709" w14:textId="77777777" w:rsidR="00DE5037" w:rsidRPr="00C319D0" w:rsidRDefault="007D14A4" w:rsidP="00DE5037">
      <w:pPr>
        <w:tabs>
          <w:tab w:val="left" w:pos="9072"/>
        </w:tabs>
        <w:spacing w:after="0" w:line="240" w:lineRule="auto"/>
        <w:ind w:firstLine="567"/>
        <w:jc w:val="both"/>
        <w:rPr>
          <w:rFonts w:ascii="Cambria" w:hAnsi="Cambria"/>
          <w:lang w:val="en-US"/>
        </w:rPr>
      </w:pPr>
      <w:r w:rsidRPr="00C319D0">
        <w:rPr>
          <w:rFonts w:ascii="Cambria" w:hAnsi="Cambria"/>
          <w:lang w:val="en-US"/>
        </w:rPr>
        <w:t xml:space="preserve">Which </w:t>
      </w:r>
      <w:r w:rsidR="006C289C" w:rsidRPr="00C319D0">
        <w:rPr>
          <w:rFonts w:ascii="Cambria" w:hAnsi="Cambria"/>
          <w:lang w:val="en-US"/>
        </w:rPr>
        <w:t xml:space="preserve">learning </w:t>
      </w:r>
      <w:r w:rsidRPr="00C319D0">
        <w:rPr>
          <w:rFonts w:ascii="Cambria" w:hAnsi="Cambria"/>
          <w:lang w:val="en-US"/>
        </w:rPr>
        <w:t xml:space="preserve">approach </w:t>
      </w:r>
      <w:r w:rsidR="004313D7" w:rsidRPr="00C319D0">
        <w:rPr>
          <w:rFonts w:ascii="Cambria" w:hAnsi="Cambria"/>
          <w:lang w:val="en-US"/>
        </w:rPr>
        <w:t xml:space="preserve">do </w:t>
      </w:r>
      <w:r w:rsidR="006C289C" w:rsidRPr="00C319D0">
        <w:rPr>
          <w:rFonts w:ascii="Cambria" w:hAnsi="Cambria"/>
          <w:lang w:val="en-US"/>
        </w:rPr>
        <w:t>middle</w:t>
      </w:r>
      <w:r w:rsidR="004313D7" w:rsidRPr="00C319D0">
        <w:rPr>
          <w:rFonts w:ascii="Cambria" w:hAnsi="Cambria"/>
          <w:lang w:val="en-US"/>
        </w:rPr>
        <w:t xml:space="preserve"> school students prefer in mathematics course? </w:t>
      </w:r>
    </w:p>
    <w:p w14:paraId="5DC066F3" w14:textId="77777777" w:rsidR="005070B9" w:rsidRPr="00C319D0" w:rsidRDefault="007D14A4" w:rsidP="00DE5037">
      <w:pPr>
        <w:tabs>
          <w:tab w:val="left" w:pos="9072"/>
        </w:tabs>
        <w:spacing w:after="0" w:line="240" w:lineRule="auto"/>
        <w:ind w:firstLine="567"/>
        <w:jc w:val="both"/>
        <w:rPr>
          <w:rFonts w:ascii="Cambria" w:hAnsi="Cambria"/>
          <w:lang w:val="en-US"/>
        </w:rPr>
      </w:pPr>
      <w:r w:rsidRPr="00C319D0">
        <w:rPr>
          <w:rFonts w:ascii="Cambria" w:hAnsi="Cambria"/>
          <w:lang w:val="en-US"/>
        </w:rPr>
        <w:t xml:space="preserve">Is there a statistically significant difference between </w:t>
      </w:r>
      <w:r w:rsidR="006C289C" w:rsidRPr="00C319D0">
        <w:rPr>
          <w:rFonts w:ascii="Cambria" w:hAnsi="Cambria"/>
          <w:lang w:val="en-US"/>
        </w:rPr>
        <w:t>middle</w:t>
      </w:r>
      <w:r w:rsidRPr="00C319D0">
        <w:rPr>
          <w:rFonts w:ascii="Cambria" w:hAnsi="Cambria"/>
          <w:lang w:val="en-US"/>
        </w:rPr>
        <w:t xml:space="preserve"> school students’ approaches to learning</w:t>
      </w:r>
      <w:r w:rsidR="00014C1B" w:rsidRPr="00C319D0">
        <w:rPr>
          <w:rFonts w:ascii="Cambria" w:hAnsi="Cambria"/>
          <w:lang w:val="en-US"/>
        </w:rPr>
        <w:t xml:space="preserve"> mathematics</w:t>
      </w:r>
      <w:r w:rsidRPr="00C319D0">
        <w:rPr>
          <w:rFonts w:ascii="Cambria" w:hAnsi="Cambria"/>
          <w:lang w:val="en-US"/>
        </w:rPr>
        <w:t xml:space="preserve"> according to their </w:t>
      </w:r>
      <w:r w:rsidR="007839A8" w:rsidRPr="00C319D0">
        <w:rPr>
          <w:rFonts w:ascii="Cambria" w:hAnsi="Cambria"/>
          <w:lang w:val="en-US"/>
        </w:rPr>
        <w:t>grade</w:t>
      </w:r>
      <w:r w:rsidR="00014C1B" w:rsidRPr="00C319D0">
        <w:rPr>
          <w:rFonts w:ascii="Cambria" w:hAnsi="Cambria"/>
          <w:lang w:val="en-US"/>
        </w:rPr>
        <w:t xml:space="preserve"> levels</w:t>
      </w:r>
      <w:r w:rsidRPr="00C319D0">
        <w:rPr>
          <w:rFonts w:ascii="Cambria" w:hAnsi="Cambria"/>
          <w:lang w:val="en-US"/>
        </w:rPr>
        <w:t>?</w:t>
      </w:r>
    </w:p>
    <w:p w14:paraId="393A5AA9" w14:textId="77777777" w:rsidR="005070B9" w:rsidRPr="00C319D0"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C319D0">
        <w:rPr>
          <w:rFonts w:ascii="Cambria" w:hAnsi="Cambria"/>
          <w:b/>
          <w:color w:val="000000"/>
          <w:lang w:val="en-US"/>
        </w:rPr>
        <w:t>Method</w:t>
      </w:r>
    </w:p>
    <w:p w14:paraId="0EB4CBD5" w14:textId="77A571B3" w:rsidR="00DE5037" w:rsidRPr="00C319D0" w:rsidRDefault="004E6DE8" w:rsidP="000B62C0">
      <w:pPr>
        <w:tabs>
          <w:tab w:val="left" w:pos="9072"/>
        </w:tabs>
        <w:spacing w:after="0" w:line="240" w:lineRule="auto"/>
        <w:ind w:firstLine="567"/>
        <w:jc w:val="both"/>
        <w:rPr>
          <w:rFonts w:ascii="Cambria" w:hAnsi="Cambria"/>
          <w:lang w:val="en-US"/>
        </w:rPr>
      </w:pPr>
      <w:r w:rsidRPr="00C319D0">
        <w:rPr>
          <w:rFonts w:ascii="Cambria" w:hAnsi="Cambria"/>
          <w:lang w:val="en-US"/>
        </w:rPr>
        <w:t xml:space="preserve">Descriptive method was used to evaluate </w:t>
      </w:r>
      <w:r w:rsidR="00E623EC">
        <w:rPr>
          <w:rFonts w:ascii="Cambria" w:hAnsi="Cambria"/>
          <w:lang w:val="en-US"/>
        </w:rPr>
        <w:t>students’</w:t>
      </w:r>
      <w:r w:rsidRPr="00C319D0">
        <w:rPr>
          <w:rFonts w:ascii="Cambria" w:hAnsi="Cambria"/>
          <w:lang w:val="en-US"/>
        </w:rPr>
        <w:t xml:space="preserve"> approaches to learning in terms of grade levels. </w:t>
      </w:r>
      <w:r w:rsidR="007107E6" w:rsidRPr="00C319D0">
        <w:rPr>
          <w:rFonts w:ascii="Cambria" w:hAnsi="Cambria"/>
          <w:lang w:val="en-US"/>
        </w:rPr>
        <w:t>The participants we</w:t>
      </w:r>
      <w:r w:rsidR="007839A8" w:rsidRPr="00C319D0">
        <w:rPr>
          <w:rFonts w:ascii="Cambria" w:hAnsi="Cambria"/>
          <w:lang w:val="en-US"/>
        </w:rPr>
        <w:t xml:space="preserve">re 790 </w:t>
      </w:r>
      <w:r w:rsidR="006C289C" w:rsidRPr="00C319D0">
        <w:rPr>
          <w:rFonts w:ascii="Cambria" w:hAnsi="Cambria"/>
          <w:lang w:val="en-US"/>
        </w:rPr>
        <w:t>middle</w:t>
      </w:r>
      <w:r w:rsidR="007839A8" w:rsidRPr="00C319D0">
        <w:rPr>
          <w:rFonts w:ascii="Cambria" w:hAnsi="Cambria"/>
          <w:lang w:val="en-US"/>
        </w:rPr>
        <w:t xml:space="preserve"> school students from different schools in Istanbul.</w:t>
      </w:r>
      <w:r w:rsidR="00DE5037" w:rsidRPr="00C319D0">
        <w:rPr>
          <w:rFonts w:ascii="Cambria" w:hAnsi="Cambria"/>
          <w:lang w:val="en-US"/>
        </w:rPr>
        <w:t xml:space="preserve"> </w:t>
      </w:r>
      <w:r w:rsidR="002A33D3" w:rsidRPr="00C319D0">
        <w:rPr>
          <w:rFonts w:ascii="Cambria" w:hAnsi="Cambria"/>
          <w:lang w:val="en-US"/>
        </w:rPr>
        <w:t>Exp</w:t>
      </w:r>
      <w:r w:rsidR="000B62C0" w:rsidRPr="00C319D0">
        <w:rPr>
          <w:rFonts w:ascii="Cambria" w:hAnsi="Cambria"/>
          <w:lang w:val="en-US"/>
        </w:rPr>
        <w:t>l</w:t>
      </w:r>
      <w:r w:rsidR="002A33D3" w:rsidRPr="00C319D0">
        <w:rPr>
          <w:rFonts w:ascii="Cambria" w:hAnsi="Cambria"/>
          <w:lang w:val="en-US"/>
        </w:rPr>
        <w:t xml:space="preserve">oratory and confirmatory factor </w:t>
      </w:r>
      <w:r w:rsidR="007107E6" w:rsidRPr="00C319D0">
        <w:rPr>
          <w:rFonts w:ascii="Cambria" w:hAnsi="Cambria"/>
          <w:lang w:val="en-US"/>
        </w:rPr>
        <w:t>analyses were</w:t>
      </w:r>
      <w:r w:rsidR="002A33D3" w:rsidRPr="00C319D0">
        <w:rPr>
          <w:rFonts w:ascii="Cambria" w:hAnsi="Cambria"/>
          <w:lang w:val="en-US"/>
        </w:rPr>
        <w:t xml:space="preserve"> performed to determine </w:t>
      </w:r>
      <w:r w:rsidR="00167AA2" w:rsidRPr="00C319D0">
        <w:rPr>
          <w:rFonts w:ascii="Cambria" w:hAnsi="Cambria"/>
          <w:lang w:val="en-US"/>
        </w:rPr>
        <w:t xml:space="preserve">the scale’s construct validity. </w:t>
      </w:r>
      <w:r w:rsidR="00955F55" w:rsidRPr="00C319D0">
        <w:rPr>
          <w:rFonts w:ascii="Cambria" w:hAnsi="Cambria"/>
          <w:lang w:val="en-US"/>
        </w:rPr>
        <w:t>For reliability studies of the scale, Cronbach</w:t>
      </w:r>
      <w:r w:rsidR="001E5125" w:rsidRPr="00C319D0">
        <w:rPr>
          <w:rFonts w:ascii="Cambria" w:hAnsi="Cambria"/>
          <w:lang w:val="en-US"/>
        </w:rPr>
        <w:t>’s</w:t>
      </w:r>
      <w:r w:rsidR="00955F55" w:rsidRPr="00C319D0">
        <w:rPr>
          <w:rFonts w:ascii="Cambria" w:hAnsi="Cambria"/>
          <w:lang w:val="en-US"/>
        </w:rPr>
        <w:t xml:space="preserve"> alpha and test</w:t>
      </w:r>
      <w:r w:rsidR="007839A8" w:rsidRPr="00C319D0">
        <w:rPr>
          <w:rFonts w:ascii="Cambria" w:hAnsi="Cambria"/>
          <w:lang w:val="en-US"/>
        </w:rPr>
        <w:t>-</w:t>
      </w:r>
      <w:r w:rsidR="00955F55" w:rsidRPr="00C319D0">
        <w:rPr>
          <w:rFonts w:ascii="Cambria" w:hAnsi="Cambria"/>
          <w:lang w:val="en-US"/>
        </w:rPr>
        <w:t>retest coefficients were calcu</w:t>
      </w:r>
      <w:r w:rsidR="007107E6" w:rsidRPr="00C319D0">
        <w:rPr>
          <w:rFonts w:ascii="Cambria" w:hAnsi="Cambria"/>
          <w:lang w:val="en-US"/>
        </w:rPr>
        <w:t xml:space="preserve">lated. Independent variables </w:t>
      </w:r>
      <w:r w:rsidR="007839A8" w:rsidRPr="00C319D0">
        <w:rPr>
          <w:rFonts w:ascii="Cambria" w:hAnsi="Cambria"/>
          <w:lang w:val="en-US"/>
        </w:rPr>
        <w:t xml:space="preserve">of </w:t>
      </w:r>
      <w:r w:rsidR="00955F55" w:rsidRPr="00C319D0">
        <w:rPr>
          <w:rFonts w:ascii="Cambria" w:hAnsi="Cambria"/>
          <w:lang w:val="en-US"/>
        </w:rPr>
        <w:t>the study were grade levels, dependent variables were</w:t>
      </w:r>
      <w:r w:rsidR="007839A8" w:rsidRPr="00C319D0">
        <w:rPr>
          <w:rFonts w:ascii="Cambria" w:hAnsi="Cambria"/>
          <w:lang w:val="en-US"/>
        </w:rPr>
        <w:t xml:space="preserve"> scores of </w:t>
      </w:r>
      <w:r w:rsidR="00955F55" w:rsidRPr="00C319D0">
        <w:rPr>
          <w:rFonts w:ascii="Cambria" w:hAnsi="Cambria"/>
          <w:lang w:val="en-US"/>
        </w:rPr>
        <w:t>ap</w:t>
      </w:r>
      <w:r w:rsidR="007839A8" w:rsidRPr="00C319D0">
        <w:rPr>
          <w:rFonts w:ascii="Cambria" w:hAnsi="Cambria"/>
          <w:lang w:val="en-US"/>
        </w:rPr>
        <w:t>proaches to learning mathematics scale (deep</w:t>
      </w:r>
      <w:r w:rsidR="00955F55" w:rsidRPr="00C319D0">
        <w:rPr>
          <w:rFonts w:ascii="Cambria" w:hAnsi="Cambria"/>
          <w:lang w:val="en-US"/>
        </w:rPr>
        <w:t xml:space="preserve">, </w:t>
      </w:r>
      <w:r w:rsidR="007839A8" w:rsidRPr="00C319D0">
        <w:rPr>
          <w:rFonts w:ascii="Cambria" w:hAnsi="Cambria"/>
          <w:lang w:val="en-US"/>
        </w:rPr>
        <w:t>surface and strategic</w:t>
      </w:r>
      <w:r w:rsidR="00955F55" w:rsidRPr="00C319D0">
        <w:rPr>
          <w:rFonts w:ascii="Cambria" w:hAnsi="Cambria"/>
          <w:lang w:val="en-US"/>
        </w:rPr>
        <w:t>). One-way MANOVA test was applied in the analysis of the data.</w:t>
      </w:r>
      <w:r w:rsidR="007839A8" w:rsidRPr="00C319D0">
        <w:rPr>
          <w:rFonts w:ascii="Cambria" w:hAnsi="Cambria"/>
          <w:lang w:val="en-US"/>
        </w:rPr>
        <w:t xml:space="preserve"> </w:t>
      </w:r>
    </w:p>
    <w:p w14:paraId="48FC53F7" w14:textId="77777777" w:rsidR="005070B9" w:rsidRPr="00C319D0" w:rsidRDefault="005070B9" w:rsidP="00DE5037">
      <w:pPr>
        <w:tabs>
          <w:tab w:val="left" w:pos="9072"/>
        </w:tabs>
        <w:spacing w:before="100" w:beforeAutospacing="1" w:after="100" w:afterAutospacing="1" w:line="240" w:lineRule="auto"/>
        <w:jc w:val="both"/>
        <w:rPr>
          <w:rFonts w:ascii="Cambria" w:hAnsi="Cambria"/>
          <w:b/>
          <w:color w:val="000000"/>
          <w:lang w:val="en-US"/>
        </w:rPr>
      </w:pPr>
      <w:r w:rsidRPr="00C319D0">
        <w:rPr>
          <w:rFonts w:ascii="Cambria" w:hAnsi="Cambria"/>
          <w:b/>
          <w:color w:val="000000"/>
          <w:lang w:val="en-US"/>
        </w:rPr>
        <w:t>Results</w:t>
      </w:r>
    </w:p>
    <w:p w14:paraId="132DFD4E" w14:textId="77777777" w:rsidR="00EF5613" w:rsidRPr="00C319D0" w:rsidRDefault="007107E6" w:rsidP="007107E6">
      <w:pPr>
        <w:tabs>
          <w:tab w:val="left" w:pos="9072"/>
        </w:tabs>
        <w:spacing w:after="0" w:line="240" w:lineRule="auto"/>
        <w:ind w:firstLine="567"/>
        <w:jc w:val="both"/>
        <w:rPr>
          <w:rFonts w:ascii="Cambria" w:hAnsi="Cambria"/>
          <w:lang w:val="en-US"/>
        </w:rPr>
      </w:pPr>
      <w:r w:rsidRPr="00C319D0">
        <w:rPr>
          <w:rFonts w:ascii="Cambria" w:hAnsi="Cambria"/>
          <w:lang w:val="en-US"/>
        </w:rPr>
        <w:t>There we</w:t>
      </w:r>
      <w:r w:rsidR="00EF5613" w:rsidRPr="00C319D0">
        <w:rPr>
          <w:rFonts w:ascii="Cambria" w:hAnsi="Cambria"/>
          <w:lang w:val="en-US"/>
        </w:rPr>
        <w:t>re 3 sub</w:t>
      </w:r>
      <w:r w:rsidRPr="00C319D0">
        <w:rPr>
          <w:rFonts w:ascii="Cambria" w:hAnsi="Cambria"/>
          <w:lang w:val="en-US"/>
        </w:rPr>
        <w:t>-</w:t>
      </w:r>
      <w:r w:rsidR="00EF5613" w:rsidRPr="00C319D0">
        <w:rPr>
          <w:rFonts w:ascii="Cambria" w:hAnsi="Cambria"/>
          <w:lang w:val="en-US"/>
        </w:rPr>
        <w:t>dimensions named as deep, strategic and surface learning approaches in accordance with theore</w:t>
      </w:r>
      <w:r w:rsidR="00F26F76" w:rsidRPr="00C319D0">
        <w:rPr>
          <w:rFonts w:ascii="Cambria" w:hAnsi="Cambria"/>
          <w:lang w:val="en-US"/>
        </w:rPr>
        <w:t>tical framework with exploratory</w:t>
      </w:r>
      <w:r w:rsidR="00EF5613" w:rsidRPr="00C319D0">
        <w:rPr>
          <w:rFonts w:ascii="Cambria" w:hAnsi="Cambria"/>
          <w:lang w:val="en-US"/>
        </w:rPr>
        <w:t xml:space="preserve"> factor analysis of the scale.</w:t>
      </w:r>
      <w:r w:rsidR="00F26F76" w:rsidRPr="00C319D0">
        <w:rPr>
          <w:rFonts w:ascii="Cambria" w:hAnsi="Cambria"/>
          <w:lang w:val="en-US"/>
        </w:rPr>
        <w:t xml:space="preserve"> </w:t>
      </w:r>
      <w:r w:rsidRPr="00C319D0">
        <w:rPr>
          <w:rFonts w:ascii="Cambria" w:hAnsi="Cambria"/>
          <w:lang w:val="en-US"/>
        </w:rPr>
        <w:t>Confirmatory factor analysis confirmed that these three factors constituted a model-with good fit (</w:t>
      </w:r>
      <w:r w:rsidRPr="00C319D0">
        <w:rPr>
          <w:rFonts w:ascii="Cambria" w:hAnsi="Cambria"/>
          <w:i/>
          <w:lang w:val="en-US"/>
        </w:rPr>
        <w:t>X</w:t>
      </w:r>
      <w:r w:rsidRPr="00C319D0">
        <w:rPr>
          <w:rFonts w:ascii="Cambria" w:hAnsi="Cambria"/>
          <w:vertAlign w:val="superscript"/>
          <w:lang w:val="en-US"/>
        </w:rPr>
        <w:t>2</w:t>
      </w:r>
      <w:r w:rsidRPr="00C319D0">
        <w:rPr>
          <w:rFonts w:ascii="Cambria" w:hAnsi="Cambria"/>
          <w:lang w:val="en-US"/>
        </w:rPr>
        <w:t xml:space="preserve">=1970.98, sd=492, p&lt;.01). </w:t>
      </w:r>
      <w:r w:rsidR="00EF5613" w:rsidRPr="00C319D0">
        <w:rPr>
          <w:rFonts w:ascii="Cambria" w:hAnsi="Cambria"/>
          <w:lang w:val="en-US"/>
        </w:rPr>
        <w:t>The factor loadings of the scale items varied between .323 and .713</w:t>
      </w:r>
      <w:r w:rsidR="001E5125" w:rsidRPr="00C319D0">
        <w:rPr>
          <w:rFonts w:ascii="Cambria" w:hAnsi="Cambria"/>
          <w:lang w:val="en-US"/>
        </w:rPr>
        <w:t xml:space="preserve">. These values reached acceptable levels. </w:t>
      </w:r>
      <w:r w:rsidR="00EF5613" w:rsidRPr="00C319D0">
        <w:rPr>
          <w:rFonts w:ascii="Cambria" w:hAnsi="Cambria"/>
          <w:lang w:val="en-US"/>
        </w:rPr>
        <w:t>The corrected item-total correlations of the scale items ranged between .360 and .608</w:t>
      </w:r>
      <w:r w:rsidRPr="00C319D0">
        <w:rPr>
          <w:rFonts w:ascii="Cambria" w:hAnsi="Cambria"/>
          <w:lang w:val="en-US"/>
        </w:rPr>
        <w:t>.  T</w:t>
      </w:r>
      <w:r w:rsidR="00EF5613" w:rsidRPr="00C319D0">
        <w:rPr>
          <w:rFonts w:ascii="Cambria" w:hAnsi="Cambria"/>
          <w:lang w:val="en-US"/>
        </w:rPr>
        <w:t xml:space="preserve">hese results provided evidences of the distinctiveness of the items. </w:t>
      </w:r>
      <w:r w:rsidR="00F26F76" w:rsidRPr="00C319D0">
        <w:rPr>
          <w:rFonts w:ascii="Cambria" w:hAnsi="Cambria"/>
          <w:lang w:val="en-US"/>
        </w:rPr>
        <w:t>The Cronbach</w:t>
      </w:r>
      <w:r w:rsidRPr="00C319D0">
        <w:rPr>
          <w:rFonts w:ascii="Cambria" w:hAnsi="Cambria"/>
          <w:lang w:val="en-US"/>
        </w:rPr>
        <w:t>’s</w:t>
      </w:r>
      <w:r w:rsidR="00F26F76" w:rsidRPr="00C319D0">
        <w:rPr>
          <w:rFonts w:ascii="Cambria" w:hAnsi="Cambria"/>
          <w:lang w:val="en-US"/>
        </w:rPr>
        <w:t xml:space="preserve"> alpha reliability coefficient</w:t>
      </w:r>
      <w:r w:rsidRPr="00C319D0">
        <w:rPr>
          <w:rFonts w:ascii="Cambria" w:hAnsi="Cambria"/>
          <w:lang w:val="en-US"/>
        </w:rPr>
        <w:t xml:space="preserve">s of deep, surface and strategic </w:t>
      </w:r>
      <w:r w:rsidR="001E5125" w:rsidRPr="00C319D0">
        <w:rPr>
          <w:rFonts w:ascii="Cambria" w:hAnsi="Cambria"/>
          <w:lang w:val="en-US"/>
        </w:rPr>
        <w:t xml:space="preserve">sub-dimensions were, respectively, .838, .789 and .837; </w:t>
      </w:r>
      <w:r w:rsidR="00F26F76" w:rsidRPr="00C319D0">
        <w:rPr>
          <w:rFonts w:ascii="Cambria" w:hAnsi="Cambria"/>
          <w:lang w:val="en-US"/>
        </w:rPr>
        <w:t>the whole scale</w:t>
      </w:r>
      <w:r w:rsidR="001E5125" w:rsidRPr="00C319D0">
        <w:rPr>
          <w:rFonts w:ascii="Cambria" w:hAnsi="Cambria"/>
          <w:lang w:val="en-US"/>
        </w:rPr>
        <w:t>’s alpha</w:t>
      </w:r>
      <w:r w:rsidR="00F26F76" w:rsidRPr="00C319D0">
        <w:rPr>
          <w:rFonts w:ascii="Cambria" w:hAnsi="Cambria"/>
          <w:lang w:val="en-US"/>
        </w:rPr>
        <w:t xml:space="preserve"> was</w:t>
      </w:r>
      <w:r w:rsidR="001E5125" w:rsidRPr="00C319D0">
        <w:rPr>
          <w:rFonts w:ascii="Cambria" w:hAnsi="Cambria"/>
          <w:lang w:val="en-US"/>
        </w:rPr>
        <w:t xml:space="preserve"> .789. These results confirmed that the “Approaches to Learning Mathematics Scale” wa</w:t>
      </w:r>
      <w:r w:rsidR="00F26F76" w:rsidRPr="00C319D0">
        <w:rPr>
          <w:rFonts w:ascii="Cambria" w:hAnsi="Cambria"/>
          <w:lang w:val="en-US"/>
        </w:rPr>
        <w:t xml:space="preserve">s a valid and reliable measurement instrument for </w:t>
      </w:r>
      <w:r w:rsidR="006C289C" w:rsidRPr="00C319D0">
        <w:rPr>
          <w:rFonts w:ascii="Cambria" w:hAnsi="Cambria"/>
          <w:lang w:val="en-US"/>
        </w:rPr>
        <w:t>middle</w:t>
      </w:r>
      <w:r w:rsidR="00F26F76" w:rsidRPr="00C319D0">
        <w:rPr>
          <w:rFonts w:ascii="Cambria" w:hAnsi="Cambria"/>
          <w:lang w:val="en-US"/>
        </w:rPr>
        <w:t xml:space="preserve"> school students (grades 6, 7, 8). </w:t>
      </w:r>
    </w:p>
    <w:p w14:paraId="665B5341" w14:textId="77777777" w:rsidR="005070B9" w:rsidRPr="00C319D0" w:rsidRDefault="00536A91" w:rsidP="007107E6">
      <w:pPr>
        <w:tabs>
          <w:tab w:val="left" w:pos="9072"/>
        </w:tabs>
        <w:spacing w:after="0" w:line="240" w:lineRule="auto"/>
        <w:ind w:firstLine="567"/>
        <w:jc w:val="both"/>
        <w:rPr>
          <w:rFonts w:ascii="Cambria" w:hAnsi="Cambria"/>
          <w:lang w:val="en-US"/>
        </w:rPr>
      </w:pPr>
      <w:r w:rsidRPr="00C319D0">
        <w:rPr>
          <w:rFonts w:ascii="Cambria" w:hAnsi="Cambria"/>
          <w:lang w:val="en-US"/>
        </w:rPr>
        <w:t>In add</w:t>
      </w:r>
      <w:r w:rsidR="001E5125" w:rsidRPr="00C319D0">
        <w:rPr>
          <w:rFonts w:ascii="Cambria" w:hAnsi="Cambria"/>
          <w:lang w:val="en-US"/>
        </w:rPr>
        <w:t>ition, in this study, using the</w:t>
      </w:r>
      <w:r w:rsidRPr="00C319D0">
        <w:rPr>
          <w:rFonts w:ascii="Cambria" w:hAnsi="Cambria"/>
          <w:lang w:val="en-US"/>
        </w:rPr>
        <w:t xml:space="preserve"> Approaches to Learning Mathematics Scale, </w:t>
      </w:r>
      <w:r w:rsidR="006C289C" w:rsidRPr="00C319D0">
        <w:rPr>
          <w:rFonts w:ascii="Cambria" w:hAnsi="Cambria"/>
          <w:lang w:val="en-US"/>
        </w:rPr>
        <w:t>middle</w:t>
      </w:r>
      <w:r w:rsidRPr="00C319D0">
        <w:rPr>
          <w:rFonts w:ascii="Cambria" w:hAnsi="Cambria"/>
          <w:lang w:val="en-US"/>
        </w:rPr>
        <w:t xml:space="preserve"> school students' preference for </w:t>
      </w:r>
      <w:r w:rsidR="001E5125" w:rsidRPr="00C319D0">
        <w:rPr>
          <w:rFonts w:ascii="Cambria" w:hAnsi="Cambria"/>
          <w:lang w:val="en-US"/>
        </w:rPr>
        <w:t>learning mathematics</w:t>
      </w:r>
      <w:r w:rsidRPr="00C319D0">
        <w:rPr>
          <w:rFonts w:ascii="Cambria" w:hAnsi="Cambria"/>
          <w:lang w:val="en-US"/>
        </w:rPr>
        <w:t xml:space="preserve"> and their comparison according to their levels of grade were investigated. The results show</w:t>
      </w:r>
      <w:r w:rsidR="001E5125" w:rsidRPr="00C319D0">
        <w:rPr>
          <w:rFonts w:ascii="Cambria" w:hAnsi="Cambria"/>
          <w:lang w:val="en-US"/>
        </w:rPr>
        <w:t>ed</w:t>
      </w:r>
      <w:r w:rsidRPr="00C319D0">
        <w:rPr>
          <w:rFonts w:ascii="Cambria" w:hAnsi="Cambria"/>
          <w:lang w:val="en-US"/>
        </w:rPr>
        <w:t xml:space="preserve"> that students</w:t>
      </w:r>
      <w:r w:rsidR="00221200" w:rsidRPr="00C319D0">
        <w:rPr>
          <w:rFonts w:ascii="Cambria" w:hAnsi="Cambria"/>
          <w:lang w:val="en-US"/>
        </w:rPr>
        <w:t xml:space="preserve">’ references for both deep and strategic approach to learning mathematics were quite </w:t>
      </w:r>
      <w:r w:rsidRPr="00C319D0">
        <w:rPr>
          <w:rFonts w:ascii="Cambria" w:hAnsi="Cambria"/>
          <w:lang w:val="en-US"/>
        </w:rPr>
        <w:t xml:space="preserve">above </w:t>
      </w:r>
      <w:r w:rsidR="00221200" w:rsidRPr="00C319D0">
        <w:rPr>
          <w:rFonts w:ascii="Cambria" w:hAnsi="Cambria"/>
          <w:lang w:val="en-US"/>
        </w:rPr>
        <w:t>average</w:t>
      </w:r>
      <w:r w:rsidRPr="00C319D0">
        <w:rPr>
          <w:rFonts w:ascii="Cambria" w:hAnsi="Cambria"/>
          <w:lang w:val="en-US"/>
        </w:rPr>
        <w:t xml:space="preserve">. </w:t>
      </w:r>
      <w:r w:rsidR="00CD0BC4" w:rsidRPr="00C319D0">
        <w:rPr>
          <w:rFonts w:ascii="Cambria" w:hAnsi="Cambria"/>
          <w:lang w:val="en-US"/>
        </w:rPr>
        <w:t>The surface</w:t>
      </w:r>
      <w:r w:rsidR="001E5125" w:rsidRPr="00C319D0">
        <w:rPr>
          <w:rFonts w:ascii="Cambria" w:hAnsi="Cambria"/>
          <w:lang w:val="en-US"/>
        </w:rPr>
        <w:t xml:space="preserve"> learning approach scores we</w:t>
      </w:r>
      <w:r w:rsidR="00CD0BC4" w:rsidRPr="00C319D0">
        <w:rPr>
          <w:rFonts w:ascii="Cambria" w:hAnsi="Cambria"/>
          <w:lang w:val="en-US"/>
        </w:rPr>
        <w:t xml:space="preserve">re at a moderate level. There was </w:t>
      </w:r>
      <w:r w:rsidR="001E5125" w:rsidRPr="00C319D0">
        <w:rPr>
          <w:rFonts w:ascii="Cambria" w:hAnsi="Cambria"/>
          <w:lang w:val="en-US"/>
        </w:rPr>
        <w:t xml:space="preserve">a </w:t>
      </w:r>
      <w:r w:rsidR="00CD0BC4" w:rsidRPr="00C319D0">
        <w:rPr>
          <w:rFonts w:ascii="Cambria" w:hAnsi="Cambria"/>
          <w:lang w:val="en-US"/>
        </w:rPr>
        <w:t>significant difference between the students’ preferences for deep and strategic approaches to learning mathematics according to variable of grade levels</w:t>
      </w:r>
      <w:r w:rsidR="00160E41" w:rsidRPr="00C319D0">
        <w:rPr>
          <w:rFonts w:ascii="Cambria" w:hAnsi="Cambria"/>
          <w:lang w:val="en-US"/>
        </w:rPr>
        <w:t>. 6</w:t>
      </w:r>
      <w:r w:rsidR="00160E41" w:rsidRPr="00C319D0">
        <w:rPr>
          <w:rFonts w:ascii="Cambria" w:hAnsi="Cambria"/>
          <w:vertAlign w:val="superscript"/>
          <w:lang w:val="en-US"/>
        </w:rPr>
        <w:t>th</w:t>
      </w:r>
      <w:r w:rsidR="00160E41" w:rsidRPr="00C319D0">
        <w:rPr>
          <w:rFonts w:ascii="Cambria" w:hAnsi="Cambria"/>
          <w:lang w:val="en-US"/>
        </w:rPr>
        <w:t xml:space="preserve"> grade students preferred deep approach more than 7</w:t>
      </w:r>
      <w:r w:rsidR="00160E41" w:rsidRPr="00C319D0">
        <w:rPr>
          <w:rFonts w:ascii="Cambria" w:hAnsi="Cambria"/>
          <w:vertAlign w:val="superscript"/>
          <w:lang w:val="en-US"/>
        </w:rPr>
        <w:t>th</w:t>
      </w:r>
      <w:r w:rsidR="00160E41" w:rsidRPr="00C319D0">
        <w:rPr>
          <w:rFonts w:ascii="Cambria" w:hAnsi="Cambria"/>
          <w:lang w:val="en-US"/>
        </w:rPr>
        <w:t xml:space="preserve"> and 8</w:t>
      </w:r>
      <w:r w:rsidR="00160E41" w:rsidRPr="00C319D0">
        <w:rPr>
          <w:rFonts w:ascii="Cambria" w:hAnsi="Cambria"/>
          <w:vertAlign w:val="superscript"/>
          <w:lang w:val="en-US"/>
        </w:rPr>
        <w:t>th</w:t>
      </w:r>
      <w:r w:rsidR="00160E41" w:rsidRPr="00C319D0">
        <w:rPr>
          <w:rFonts w:ascii="Cambria" w:hAnsi="Cambria"/>
          <w:lang w:val="en-US"/>
        </w:rPr>
        <w:t xml:space="preserve"> grade students. These findings were similar to the findings obtained for strategic approach to learning </w:t>
      </w:r>
      <w:r w:rsidR="00160E41" w:rsidRPr="00C319D0">
        <w:rPr>
          <w:rFonts w:ascii="Cambria" w:hAnsi="Cambria"/>
          <w:lang w:val="en-US"/>
        </w:rPr>
        <w:lastRenderedPageBreak/>
        <w:t xml:space="preserve">sub-dimension. It was found the students did not display a significant difference in their approaches to learning according to levels of grade in surface learning approach sub-dimension. </w:t>
      </w:r>
    </w:p>
    <w:p w14:paraId="5895CE1C" w14:textId="77777777" w:rsidR="005070B9" w:rsidRPr="00C319D0" w:rsidRDefault="00FD0DDB" w:rsidP="000F6587">
      <w:pPr>
        <w:tabs>
          <w:tab w:val="left" w:pos="9072"/>
        </w:tabs>
        <w:spacing w:before="100" w:beforeAutospacing="1" w:after="100" w:afterAutospacing="1" w:line="240" w:lineRule="auto"/>
        <w:jc w:val="both"/>
        <w:rPr>
          <w:rFonts w:ascii="Cambria" w:hAnsi="Cambria"/>
          <w:b/>
          <w:color w:val="000000"/>
          <w:lang w:val="en-US"/>
        </w:rPr>
      </w:pPr>
      <w:r w:rsidRPr="00C319D0">
        <w:rPr>
          <w:rFonts w:ascii="Cambria" w:hAnsi="Cambria"/>
          <w:b/>
          <w:bCs/>
          <w:lang w:val="en-US"/>
        </w:rPr>
        <w:t xml:space="preserve">Discussion </w:t>
      </w:r>
      <w:r w:rsidR="005070B9" w:rsidRPr="00C319D0">
        <w:rPr>
          <w:rFonts w:ascii="Cambria" w:hAnsi="Cambria"/>
          <w:b/>
          <w:bCs/>
          <w:lang w:val="en-US"/>
        </w:rPr>
        <w:t xml:space="preserve">and </w:t>
      </w:r>
      <w:r w:rsidRPr="00C319D0">
        <w:rPr>
          <w:rFonts w:ascii="Cambria" w:hAnsi="Cambria"/>
          <w:b/>
          <w:bCs/>
          <w:lang w:val="en-US"/>
        </w:rPr>
        <w:t>Conclusio</w:t>
      </w:r>
      <w:r w:rsidR="00160E41" w:rsidRPr="00C319D0">
        <w:rPr>
          <w:rFonts w:ascii="Cambria" w:hAnsi="Cambria"/>
          <w:b/>
          <w:bCs/>
          <w:lang w:val="en-US"/>
        </w:rPr>
        <w:t>n</w:t>
      </w:r>
    </w:p>
    <w:p w14:paraId="0610FECA" w14:textId="77777777" w:rsidR="00694DDE" w:rsidRPr="00C319D0" w:rsidRDefault="00605557" w:rsidP="00694DDE">
      <w:pPr>
        <w:tabs>
          <w:tab w:val="left" w:pos="9072"/>
        </w:tabs>
        <w:spacing w:after="0" w:line="240" w:lineRule="auto"/>
        <w:ind w:firstLine="567"/>
        <w:jc w:val="both"/>
        <w:rPr>
          <w:rFonts w:ascii="Cambria" w:eastAsia="Times New Roman" w:hAnsi="Cambria" w:cs="Times New Roman"/>
          <w:bCs/>
          <w:lang w:eastAsia="tr-TR"/>
        </w:rPr>
      </w:pPr>
      <w:r w:rsidRPr="00C319D0">
        <w:rPr>
          <w:rFonts w:ascii="Cambria" w:hAnsi="Cambria"/>
          <w:bCs/>
          <w:lang w:val="en-US"/>
        </w:rPr>
        <w:t>According to obtained results from the study, s</w:t>
      </w:r>
      <w:r w:rsidR="0071338A" w:rsidRPr="00C319D0">
        <w:rPr>
          <w:rFonts w:ascii="Cambria" w:hAnsi="Cambria"/>
          <w:bCs/>
          <w:lang w:val="en-US"/>
        </w:rPr>
        <w:t xml:space="preserve">tudents preferred deep and strategic learning approaches more clearly than surface learning approaches. </w:t>
      </w:r>
      <w:r w:rsidR="00783BB4" w:rsidRPr="00C319D0">
        <w:rPr>
          <w:rFonts w:ascii="Cambria" w:hAnsi="Cambria"/>
          <w:bCs/>
          <w:lang w:val="en-US"/>
        </w:rPr>
        <w:t xml:space="preserve">In the sample in which the study was conducted, the learning environments may be appropriate to adopt an approach that reflects the characteristics of the </w:t>
      </w:r>
      <w:r w:rsidR="00694DDE" w:rsidRPr="00C319D0">
        <w:rPr>
          <w:rFonts w:ascii="Cambria" w:hAnsi="Cambria"/>
          <w:bCs/>
          <w:lang w:val="en-US"/>
        </w:rPr>
        <w:t>deep</w:t>
      </w:r>
      <w:r w:rsidR="00783BB4" w:rsidRPr="00C319D0">
        <w:rPr>
          <w:rFonts w:ascii="Cambria" w:hAnsi="Cambria"/>
          <w:bCs/>
          <w:lang w:val="en-US"/>
        </w:rPr>
        <w:t xml:space="preserve"> and strategic learning. </w:t>
      </w:r>
      <w:r w:rsidR="00783BB4" w:rsidRPr="00C319D0">
        <w:rPr>
          <w:rFonts w:ascii="Cambria" w:eastAsia="Times New Roman" w:hAnsi="Cambria" w:cs="Times New Roman"/>
          <w:bCs/>
          <w:lang w:eastAsia="tr-TR"/>
        </w:rPr>
        <w:t>The worries of the students about exams, the difficulty of the mathematics course may</w:t>
      </w:r>
      <w:r w:rsidR="00865846" w:rsidRPr="00C319D0">
        <w:rPr>
          <w:rFonts w:ascii="Cambria" w:eastAsia="Times New Roman" w:hAnsi="Cambria" w:cs="Times New Roman"/>
          <w:bCs/>
          <w:lang w:eastAsia="tr-TR"/>
        </w:rPr>
        <w:t xml:space="preserve"> also</w:t>
      </w:r>
      <w:r w:rsidR="00783BB4" w:rsidRPr="00C319D0">
        <w:rPr>
          <w:rFonts w:ascii="Cambria" w:eastAsia="Times New Roman" w:hAnsi="Cambria" w:cs="Times New Roman"/>
          <w:bCs/>
          <w:lang w:eastAsia="tr-TR"/>
        </w:rPr>
        <w:t xml:space="preserve"> cause them to prefer the strategic learning </w:t>
      </w:r>
      <w:r w:rsidR="00694DDE" w:rsidRPr="00C319D0">
        <w:rPr>
          <w:rFonts w:ascii="Cambria" w:eastAsia="Times New Roman" w:hAnsi="Cambria" w:cs="Times New Roman"/>
          <w:bCs/>
          <w:lang w:eastAsia="tr-TR"/>
        </w:rPr>
        <w:t xml:space="preserve">approach. </w:t>
      </w:r>
    </w:p>
    <w:p w14:paraId="550B2D19" w14:textId="22E09CAC" w:rsidR="00020AF5" w:rsidRPr="00C319D0" w:rsidRDefault="0071338A" w:rsidP="00694DDE">
      <w:pPr>
        <w:tabs>
          <w:tab w:val="left" w:pos="9072"/>
        </w:tabs>
        <w:spacing w:after="0" w:line="240" w:lineRule="auto"/>
        <w:ind w:firstLine="567"/>
        <w:jc w:val="both"/>
        <w:rPr>
          <w:rFonts w:ascii="Cambria" w:hAnsi="Cambria"/>
          <w:bCs/>
          <w:lang w:val="en-US"/>
        </w:rPr>
      </w:pPr>
      <w:r w:rsidRPr="00C319D0">
        <w:rPr>
          <w:rFonts w:ascii="Cambria" w:hAnsi="Cambria"/>
          <w:bCs/>
          <w:lang w:val="en-US"/>
        </w:rPr>
        <w:t xml:space="preserve">The validity and reliability studies of the </w:t>
      </w:r>
      <w:r w:rsidRPr="00C319D0">
        <w:rPr>
          <w:rFonts w:ascii="Cambria" w:hAnsi="Cambria"/>
          <w:lang w:val="en-US"/>
        </w:rPr>
        <w:t>Approaches to Learning Mathematics Scale</w:t>
      </w:r>
      <w:r w:rsidRPr="00C319D0">
        <w:rPr>
          <w:rFonts w:ascii="Cambria" w:hAnsi="Cambria"/>
          <w:bCs/>
          <w:lang w:val="en-US"/>
        </w:rPr>
        <w:t xml:space="preserve"> were carried out in various forms. Criteria-related validity </w:t>
      </w:r>
      <w:r w:rsidR="00E623EC">
        <w:rPr>
          <w:rFonts w:ascii="Cambria" w:hAnsi="Cambria"/>
          <w:bCs/>
          <w:lang w:val="en-US"/>
        </w:rPr>
        <w:t>analysis</w:t>
      </w:r>
      <w:r w:rsidRPr="00C319D0">
        <w:rPr>
          <w:rFonts w:ascii="Cambria" w:hAnsi="Cambria"/>
          <w:bCs/>
          <w:lang w:val="en-US"/>
        </w:rPr>
        <w:t xml:space="preserve"> can also be added</w:t>
      </w:r>
      <w:r w:rsidR="00E623EC">
        <w:rPr>
          <w:rFonts w:ascii="Cambria" w:hAnsi="Cambria"/>
          <w:bCs/>
          <w:lang w:val="en-US"/>
        </w:rPr>
        <w:t xml:space="preserve">. </w:t>
      </w:r>
      <w:r w:rsidRPr="00C319D0">
        <w:rPr>
          <w:rFonts w:ascii="Cambria" w:hAnsi="Cambria"/>
          <w:bCs/>
          <w:lang w:val="en-US"/>
        </w:rPr>
        <w:t xml:space="preserve"> Whether or not </w:t>
      </w:r>
      <w:r w:rsidR="00FB4E65" w:rsidRPr="00C319D0">
        <w:rPr>
          <w:rFonts w:ascii="Cambria" w:hAnsi="Cambria"/>
          <w:bCs/>
          <w:lang w:val="en-US"/>
        </w:rPr>
        <w:t>this</w:t>
      </w:r>
      <w:r w:rsidRPr="00C319D0">
        <w:rPr>
          <w:rFonts w:ascii="Cambria" w:hAnsi="Cambria"/>
          <w:bCs/>
          <w:lang w:val="en-US"/>
        </w:rPr>
        <w:t xml:space="preserve"> scale is suitable for high school students depends on the outcome of other studies on this area. </w:t>
      </w:r>
    </w:p>
    <w:p w14:paraId="28CE0E3F" w14:textId="77777777" w:rsidR="00020AF5" w:rsidRPr="00C319D0" w:rsidRDefault="00020AF5" w:rsidP="00020AF5">
      <w:pPr>
        <w:tabs>
          <w:tab w:val="left" w:pos="9072"/>
        </w:tabs>
        <w:spacing w:after="0" w:line="240" w:lineRule="auto"/>
        <w:ind w:firstLine="567"/>
        <w:jc w:val="both"/>
        <w:rPr>
          <w:rFonts w:ascii="Cambria" w:hAnsi="Cambria"/>
          <w:bCs/>
          <w:lang w:val="en-US"/>
        </w:rPr>
      </w:pPr>
      <w:r w:rsidRPr="00C319D0">
        <w:rPr>
          <w:rFonts w:ascii="Cambria" w:hAnsi="Cambria"/>
          <w:bCs/>
          <w:lang w:val="en-US"/>
        </w:rPr>
        <w:t xml:space="preserve">This study quantitatively examined the approaches to learning of </w:t>
      </w:r>
      <w:r w:rsidR="00FB4E65" w:rsidRPr="00C319D0">
        <w:rPr>
          <w:rFonts w:ascii="Cambria" w:hAnsi="Cambria"/>
          <w:bCs/>
          <w:lang w:val="en-US"/>
        </w:rPr>
        <w:t>middle</w:t>
      </w:r>
      <w:r w:rsidRPr="00C319D0">
        <w:rPr>
          <w:rFonts w:ascii="Cambria" w:hAnsi="Cambria"/>
          <w:bCs/>
          <w:lang w:val="en-US"/>
        </w:rPr>
        <w:t xml:space="preserve"> school students in mathematics course. A qualitative research can be suggested to have more detailed knowledge about the learning approaches of the students. </w:t>
      </w:r>
    </w:p>
    <w:p w14:paraId="04054B86" w14:textId="77777777" w:rsidR="005070B9" w:rsidRPr="00C319D0" w:rsidRDefault="005070B9" w:rsidP="000F5FB8">
      <w:pPr>
        <w:pStyle w:val="Heading2"/>
        <w:spacing w:before="120" w:after="120" w:line="240" w:lineRule="auto"/>
        <w:rPr>
          <w:rFonts w:ascii="Cambria" w:hAnsi="Cambria" w:cs="Times New Roman"/>
          <w:b/>
          <w:color w:val="auto"/>
          <w:sz w:val="22"/>
          <w:szCs w:val="22"/>
          <w:lang w:val="en-US"/>
        </w:rPr>
      </w:pPr>
    </w:p>
    <w:p w14:paraId="5A2F15D7" w14:textId="77777777" w:rsidR="000F6587" w:rsidRPr="00C319D0" w:rsidRDefault="000F6587">
      <w:pPr>
        <w:rPr>
          <w:rFonts w:ascii="Cambria" w:eastAsiaTheme="majorEastAsia" w:hAnsi="Cambria" w:cs="Times New Roman"/>
          <w:b/>
        </w:rPr>
      </w:pPr>
      <w:r w:rsidRPr="00C319D0">
        <w:rPr>
          <w:rFonts w:ascii="Cambria" w:hAnsi="Cambria" w:cs="Times New Roman"/>
          <w:b/>
        </w:rPr>
        <w:br w:type="page"/>
      </w:r>
    </w:p>
    <w:p w14:paraId="5B65C1DB" w14:textId="77777777" w:rsidR="000F6587" w:rsidRPr="00C319D0" w:rsidRDefault="000F6587" w:rsidP="000F6587">
      <w:pPr>
        <w:rPr>
          <w:rFonts w:ascii="Cambria" w:hAnsi="Cambria" w:cs="Times New Roman"/>
          <w:b/>
        </w:rPr>
      </w:pPr>
      <w:r w:rsidRPr="00C319D0">
        <w:rPr>
          <w:rFonts w:ascii="Cambria" w:hAnsi="Cambria" w:cs="Times New Roman"/>
          <w:b/>
        </w:rPr>
        <w:lastRenderedPageBreak/>
        <w:t>GİRİŞ</w:t>
      </w:r>
    </w:p>
    <w:p w14:paraId="69CAC5D9" w14:textId="6CF7FDCF" w:rsidR="003B021C" w:rsidRPr="00C319D0" w:rsidRDefault="00087CAB" w:rsidP="00613E8A">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E</w:t>
      </w:r>
      <w:r w:rsidR="00540F56" w:rsidRPr="00C319D0">
        <w:rPr>
          <w:rFonts w:ascii="Cambria" w:eastAsia="Times New Roman" w:hAnsi="Cambria" w:cs="Times New Roman"/>
          <w:color w:val="000000" w:themeColor="text1"/>
          <w:lang w:eastAsia="tr-TR"/>
        </w:rPr>
        <w:t xml:space="preserve">ğitim alanında yapılan çalışmalarda </w:t>
      </w:r>
      <w:r w:rsidRPr="00C319D0">
        <w:rPr>
          <w:rFonts w:ascii="Cambria" w:eastAsia="Times New Roman" w:hAnsi="Cambria" w:cs="Times New Roman"/>
          <w:color w:val="000000" w:themeColor="text1"/>
          <w:lang w:eastAsia="tr-TR"/>
        </w:rPr>
        <w:t>öğrenmenin nasıl gerçekleştiği en temel sorulardan birisidir. A</w:t>
      </w:r>
      <w:r w:rsidR="00540F56" w:rsidRPr="00C319D0">
        <w:rPr>
          <w:rFonts w:ascii="Cambria" w:eastAsia="Times New Roman" w:hAnsi="Cambria" w:cs="Times New Roman"/>
          <w:color w:val="000000" w:themeColor="text1"/>
          <w:lang w:eastAsia="tr-TR"/>
        </w:rPr>
        <w:t xml:space="preserve">raştırma sonuçları öğrencilerin her birinin öğrenmede farklı yollar izlediklerini ortaya koymuştur (Çolak </w:t>
      </w:r>
      <w:r w:rsidR="00502DF1">
        <w:rPr>
          <w:rFonts w:ascii="Cambria" w:eastAsia="Times New Roman" w:hAnsi="Cambria" w:cs="Times New Roman"/>
          <w:color w:val="000000" w:themeColor="text1"/>
          <w:lang w:eastAsia="tr-TR"/>
        </w:rPr>
        <w:t>&amp;</w:t>
      </w:r>
      <w:r w:rsidR="00540F56" w:rsidRPr="00C319D0">
        <w:rPr>
          <w:rFonts w:ascii="Cambria" w:eastAsia="Times New Roman" w:hAnsi="Cambria" w:cs="Times New Roman"/>
          <w:color w:val="000000" w:themeColor="text1"/>
          <w:lang w:eastAsia="tr-TR"/>
        </w:rPr>
        <w:t xml:space="preserve"> Fer, 2007) dolayısıyla bireysel farklılıklar öğrenmede önemli rol oynamaktadır (Koran </w:t>
      </w:r>
      <w:r w:rsidR="00502DF1">
        <w:rPr>
          <w:rFonts w:ascii="Cambria" w:eastAsia="Times New Roman" w:hAnsi="Cambria" w:cs="Times New Roman"/>
          <w:color w:val="000000" w:themeColor="text1"/>
          <w:lang w:eastAsia="tr-TR"/>
        </w:rPr>
        <w:t>&amp;</w:t>
      </w:r>
      <w:r w:rsidR="00540F56" w:rsidRPr="00C319D0">
        <w:rPr>
          <w:rFonts w:ascii="Cambria" w:eastAsia="Times New Roman" w:hAnsi="Cambria" w:cs="Times New Roman"/>
          <w:color w:val="000000" w:themeColor="text1"/>
          <w:lang w:eastAsia="tr-TR"/>
        </w:rPr>
        <w:t xml:space="preserve"> Koran, 1984). Bireysel </w:t>
      </w:r>
      <w:r w:rsidR="00DE2D49" w:rsidRPr="00C319D0">
        <w:rPr>
          <w:rFonts w:ascii="Cambria" w:eastAsia="Times New Roman" w:hAnsi="Cambria" w:cs="Times New Roman"/>
          <w:color w:val="000000" w:themeColor="text1"/>
          <w:lang w:eastAsia="tr-TR"/>
        </w:rPr>
        <w:t>farklı</w:t>
      </w:r>
      <w:r w:rsidR="00B428DA" w:rsidRPr="00C319D0">
        <w:rPr>
          <w:rFonts w:ascii="Cambria" w:eastAsia="Times New Roman" w:hAnsi="Cambria" w:cs="Times New Roman"/>
          <w:color w:val="000000" w:themeColor="text1"/>
          <w:lang w:eastAsia="tr-TR"/>
        </w:rPr>
        <w:t>lı</w:t>
      </w:r>
      <w:r w:rsidR="00DE2D49" w:rsidRPr="00C319D0">
        <w:rPr>
          <w:rFonts w:ascii="Cambria" w:eastAsia="Times New Roman" w:hAnsi="Cambria" w:cs="Times New Roman"/>
          <w:color w:val="000000" w:themeColor="text1"/>
          <w:lang w:eastAsia="tr-TR"/>
        </w:rPr>
        <w:t>kların</w:t>
      </w:r>
      <w:r w:rsidR="00540F56" w:rsidRPr="00C319D0">
        <w:rPr>
          <w:rFonts w:ascii="Cambria" w:eastAsia="Times New Roman" w:hAnsi="Cambria" w:cs="Times New Roman"/>
          <w:color w:val="000000" w:themeColor="text1"/>
          <w:lang w:eastAsia="tr-TR"/>
        </w:rPr>
        <w:t xml:space="preserve"> içerisinde öğrenme yaklaşımları, motivasyon, biliş ve kaygı gibi faktörler sayılabilir (Zhang, 2000). Öğrenme yaklaşımları dikkate alınması gereken önemli bireysel farklılıklardan biridir ve öğrencilerin motivasyonları</w:t>
      </w:r>
      <w:r w:rsidR="00061BB7" w:rsidRPr="00C319D0">
        <w:rPr>
          <w:rFonts w:ascii="Cambria" w:eastAsia="Times New Roman" w:hAnsi="Cambria" w:cs="Times New Roman"/>
          <w:color w:val="000000" w:themeColor="text1"/>
          <w:lang w:eastAsia="tr-TR"/>
        </w:rPr>
        <w:t>yla</w:t>
      </w:r>
      <w:r w:rsidR="008C0638" w:rsidRPr="00C319D0">
        <w:rPr>
          <w:rFonts w:ascii="Cambria" w:eastAsia="Times New Roman" w:hAnsi="Cambria" w:cs="Times New Roman"/>
          <w:color w:val="000000" w:themeColor="text1"/>
          <w:lang w:eastAsia="tr-TR"/>
        </w:rPr>
        <w:t>,</w:t>
      </w:r>
      <w:r w:rsidR="00061BB7" w:rsidRPr="00C319D0">
        <w:rPr>
          <w:rFonts w:ascii="Cambria" w:eastAsia="Times New Roman" w:hAnsi="Cambria" w:cs="Times New Roman"/>
          <w:color w:val="000000" w:themeColor="text1"/>
          <w:lang w:eastAsia="tr-TR"/>
        </w:rPr>
        <w:t xml:space="preserve"> </w:t>
      </w:r>
      <w:r w:rsidR="00540F56" w:rsidRPr="00C319D0">
        <w:rPr>
          <w:rFonts w:ascii="Cambria" w:eastAsia="Times New Roman" w:hAnsi="Cambria" w:cs="Times New Roman"/>
          <w:color w:val="000000" w:themeColor="text1"/>
          <w:lang w:eastAsia="tr-TR"/>
        </w:rPr>
        <w:t>öğrenirken kullandıkları kendileri için uygun stratejiler ile ilgilidir (Doğan, Atmaca</w:t>
      </w:r>
      <w:r w:rsidR="00502DF1">
        <w:rPr>
          <w:rFonts w:ascii="Cambria" w:eastAsia="Times New Roman" w:hAnsi="Cambria" w:cs="Times New Roman"/>
          <w:color w:val="000000" w:themeColor="text1"/>
          <w:lang w:eastAsia="tr-TR"/>
        </w:rPr>
        <w:t xml:space="preserve"> &amp;</w:t>
      </w:r>
      <w:r w:rsidR="00540F56" w:rsidRPr="00C319D0">
        <w:rPr>
          <w:rFonts w:ascii="Cambria" w:eastAsia="Times New Roman" w:hAnsi="Cambria" w:cs="Times New Roman"/>
          <w:color w:val="000000" w:themeColor="text1"/>
          <w:lang w:eastAsia="tr-TR"/>
        </w:rPr>
        <w:t xml:space="preserve"> Aslan Yolcu, 2012). </w:t>
      </w:r>
    </w:p>
    <w:p w14:paraId="23150720" w14:textId="77777777" w:rsidR="00061BB7" w:rsidRPr="00C319D0" w:rsidRDefault="00061BB7" w:rsidP="00061BB7">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Ekinci (2009) öğrenme yaklaşımlarının bireyin bir konuyu öğrenirken niyetine (anlam arama, ezberleme, başarılı olma isteği) bağlı olarak gösterdiği eğilimi belirttiğini ifade etmektedir. Diseth ve Martinsen (2003) öğrenme yaklaşımlarını bir öğrenme durumu ile karşılaşıldığında harekete geçiren etkendeki bireysel farklılıklar olarak tanımlamaktadır. </w:t>
      </w:r>
    </w:p>
    <w:p w14:paraId="78BF22AD" w14:textId="02AC380E" w:rsidR="00061BB7" w:rsidRPr="00C319D0" w:rsidRDefault="00061BB7" w:rsidP="00061BB7">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Özellikle 1970’li yıllardan itibaren öğrenme yaklaşımları ile ilgili çalışmalar artmaya başlamıştır. Marton ve Salj</w:t>
      </w:r>
      <w:r w:rsidR="00243702" w:rsidRPr="00C319D0">
        <w:rPr>
          <w:rFonts w:ascii="Cambria" w:eastAsia="Times New Roman" w:hAnsi="Cambria" w:cs="Times New Roman"/>
          <w:color w:val="000000" w:themeColor="text1"/>
          <w:lang w:eastAsia="tr-TR"/>
        </w:rPr>
        <w:t>o</w:t>
      </w:r>
      <w:r w:rsidRPr="00C319D0">
        <w:rPr>
          <w:rFonts w:ascii="Cambria" w:eastAsia="Times New Roman" w:hAnsi="Cambria" w:cs="Times New Roman"/>
          <w:color w:val="000000" w:themeColor="text1"/>
          <w:lang w:eastAsia="tr-TR"/>
        </w:rPr>
        <w:t xml:space="preserve"> (1976a, 1976b) öğrenme yaklaşımları çalışmalarına önderlik etmektedir. Öğrenme yaklaşımları kavramı ilk olarak, öğrencilerin bir okuma parçasını nasıl anladıkları ve öğrenme işine nasıl giriştikleri üzerine yaptıkları çalışmaları ile Marton ve Saljo tarafından ortaya konulmuştur (Biggs, Kember </w:t>
      </w:r>
      <w:r w:rsidR="00502DF1">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Leung, 2001). Araştırmacılar</w:t>
      </w:r>
      <w:r w:rsidR="00EB52BE">
        <w:rPr>
          <w:rFonts w:ascii="Cambria" w:eastAsia="Times New Roman" w:hAnsi="Cambria" w:cs="Times New Roman"/>
          <w:color w:val="000000" w:themeColor="text1"/>
          <w:lang w:eastAsia="tr-TR"/>
        </w:rPr>
        <w:t>,</w:t>
      </w:r>
      <w:r w:rsidRPr="00C319D0">
        <w:rPr>
          <w:rFonts w:ascii="Cambria" w:eastAsia="Times New Roman" w:hAnsi="Cambria" w:cs="Times New Roman"/>
          <w:color w:val="000000" w:themeColor="text1"/>
          <w:lang w:eastAsia="tr-TR"/>
        </w:rPr>
        <w:t xml:space="preserve"> </w:t>
      </w:r>
      <w:r w:rsidR="002E1EAA">
        <w:rPr>
          <w:rFonts w:ascii="Cambria" w:eastAsia="Times New Roman" w:hAnsi="Cambria" w:cs="Times New Roman"/>
          <w:color w:val="000000" w:themeColor="text1"/>
          <w:lang w:eastAsia="tr-TR"/>
        </w:rPr>
        <w:t>a</w:t>
      </w:r>
      <w:r w:rsidRPr="00C319D0">
        <w:rPr>
          <w:rFonts w:ascii="Cambria" w:eastAsia="Times New Roman" w:hAnsi="Cambria" w:cs="Times New Roman"/>
          <w:color w:val="000000" w:themeColor="text1"/>
          <w:lang w:eastAsia="tr-TR"/>
        </w:rPr>
        <w:t xml:space="preserve">raştırmanın sonunda derinlemesine ve yüzeysel olmak üzere iki tür öğrenme yaklaşımını ortaya koymuşlardır. Derinlemesine yaklaşımda öğrenciler verilen metindeki anlamı anlamaya çalışıp, içeriğe odaklanmıştır. Ayrıca yazarın görüşleri ile kendi bilgi ve deneyimlerini ilişkilendirerek aktif olarak iletişimde bulunmuşlardır. Yüzeysel yaklaşımda ise öğrenciler kendilerine yöneltileceğini bekledikleri soruları düşünüp ezbere öğrenme stratejisini kullanarak dikkatlerini okudukları metnin kendilerine önemli gelen noktalarına yöneltmişlerdir. (Ünal Çoban </w:t>
      </w:r>
      <w:r w:rsidR="00502DF1">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Ergin, 2008).  </w:t>
      </w:r>
      <w:r w:rsidR="003B79E2" w:rsidRPr="00C319D0">
        <w:rPr>
          <w:rFonts w:ascii="Cambria" w:eastAsia="Times New Roman" w:hAnsi="Cambria" w:cs="Times New Roman"/>
          <w:lang w:eastAsia="tr-TR"/>
        </w:rPr>
        <w:t xml:space="preserve">Marton ve </w:t>
      </w:r>
      <w:r w:rsidR="0003577D" w:rsidRPr="00C319D0">
        <w:rPr>
          <w:rFonts w:ascii="Cambria" w:eastAsia="Times New Roman" w:hAnsi="Cambria" w:cs="Times New Roman"/>
          <w:lang w:eastAsia="tr-TR"/>
        </w:rPr>
        <w:t>Saljo tarafından belirlenen</w:t>
      </w:r>
      <w:r w:rsidR="003B79E2" w:rsidRPr="00C319D0">
        <w:rPr>
          <w:rFonts w:ascii="Cambria" w:eastAsia="Times New Roman" w:hAnsi="Cambria" w:cs="Times New Roman"/>
          <w:lang w:eastAsia="tr-TR"/>
        </w:rPr>
        <w:t xml:space="preserve"> derinlemesine ve yüzeysel öğrenme yaklaşımı</w:t>
      </w:r>
      <w:r w:rsidR="00810E39">
        <w:rPr>
          <w:rFonts w:ascii="Cambria" w:eastAsia="Times New Roman" w:hAnsi="Cambria" w:cs="Times New Roman"/>
          <w:lang w:eastAsia="tr-TR"/>
        </w:rPr>
        <w:t xml:space="preserve"> türlerine </w:t>
      </w:r>
      <w:r w:rsidR="003B79E2" w:rsidRPr="00C319D0">
        <w:rPr>
          <w:rFonts w:ascii="Cambria" w:eastAsia="Times New Roman" w:hAnsi="Cambria" w:cs="Times New Roman"/>
          <w:lang w:eastAsia="tr-TR"/>
        </w:rPr>
        <w:t>araştırmacı</w:t>
      </w:r>
      <w:r w:rsidR="00810E39">
        <w:rPr>
          <w:rFonts w:ascii="Cambria" w:eastAsia="Times New Roman" w:hAnsi="Cambria" w:cs="Times New Roman"/>
          <w:lang w:eastAsia="tr-TR"/>
        </w:rPr>
        <w:t>lar</w:t>
      </w:r>
      <w:r w:rsidR="003B79E2" w:rsidRPr="00C319D0">
        <w:rPr>
          <w:rFonts w:ascii="Cambria" w:eastAsia="Times New Roman" w:hAnsi="Cambria" w:cs="Times New Roman"/>
          <w:lang w:eastAsia="tr-TR"/>
        </w:rPr>
        <w:t xml:space="preserve"> tarafından </w:t>
      </w:r>
      <w:r w:rsidR="00810E39">
        <w:rPr>
          <w:rFonts w:ascii="Cambria" w:eastAsia="Times New Roman" w:hAnsi="Cambria" w:cs="Times New Roman"/>
          <w:lang w:eastAsia="tr-TR"/>
        </w:rPr>
        <w:t>farklı öğrenme yaklaşımı türleri eklenmiştir.</w:t>
      </w:r>
      <w:r w:rsidR="003B79E2" w:rsidRPr="00C319D0">
        <w:rPr>
          <w:rFonts w:ascii="Cambria" w:eastAsia="Times New Roman" w:hAnsi="Cambria" w:cs="Times New Roman"/>
          <w:lang w:eastAsia="tr-TR"/>
        </w:rPr>
        <w:t xml:space="preserve"> </w:t>
      </w:r>
      <w:r w:rsidR="00810E39">
        <w:rPr>
          <w:rFonts w:ascii="Cambria" w:eastAsia="Times New Roman" w:hAnsi="Cambria" w:cs="Times New Roman"/>
          <w:lang w:eastAsia="tr-TR"/>
        </w:rPr>
        <w:t xml:space="preserve">Örneğin Biggs (1979) ve Entwistle ve Ramsden (1983) üçüncü öğrenme yaklaşımı türü olarak stratejik öğrenme yaklaşımını ortaya atmıştır. Biggs, Kember ve Leung </w:t>
      </w:r>
      <w:r w:rsidR="00280898">
        <w:rPr>
          <w:rFonts w:ascii="Cambria" w:eastAsia="Times New Roman" w:hAnsi="Cambria" w:cs="Times New Roman"/>
          <w:lang w:eastAsia="tr-TR"/>
        </w:rPr>
        <w:t xml:space="preserve">(2004) derinlemesine öğrenme yaklaşımı için derin motivasyon ve derin strateji; yüzeysel öğrenme yaklaşımı için yüzeysel motivasyon ve yüzeysel strateji alt boyutlarını eklemiştir. </w:t>
      </w:r>
    </w:p>
    <w:p w14:paraId="57A22EB2" w14:textId="01E2D171" w:rsidR="00540F56"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 Derinlemesine öğrenme yaklaşımında yeni karşılaşılan durumları eski bilgilerle ve tecrübelerle eleştirel olarak ilişkilendirerek anlamaya yönelme ve anlamaya odaklanma vardır (Ng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Ng, 1997). Örneğin matematik konuları için</w:t>
      </w:r>
      <w:r w:rsidR="00540F56" w:rsidRPr="00C319D0">
        <w:rPr>
          <w:rFonts w:ascii="Cambria" w:eastAsia="Times New Roman" w:hAnsi="Cambria" w:cs="Times New Roman"/>
          <w:color w:val="000000" w:themeColor="text1"/>
          <w:lang w:eastAsia="tr-TR"/>
        </w:rPr>
        <w:t xml:space="preserve"> ele alındığında derinlemesine öğrenme yaklaşımı</w:t>
      </w:r>
      <w:r w:rsidRPr="00C319D0">
        <w:rPr>
          <w:rFonts w:ascii="Cambria" w:eastAsia="Times New Roman" w:hAnsi="Cambria" w:cs="Times New Roman"/>
          <w:color w:val="000000" w:themeColor="text1"/>
          <w:lang w:eastAsia="tr-TR"/>
        </w:rPr>
        <w:t xml:space="preserve"> elde edilen bilginin nereden </w:t>
      </w:r>
      <w:r w:rsidRPr="00C319D0">
        <w:rPr>
          <w:rFonts w:ascii="Cambria" w:eastAsia="Times New Roman" w:hAnsi="Cambria" w:cs="Times New Roman"/>
          <w:lang w:eastAsia="tr-TR"/>
        </w:rPr>
        <w:t>geldiğini anlama</w:t>
      </w:r>
      <w:r w:rsidR="00061BB7" w:rsidRPr="00C319D0">
        <w:rPr>
          <w:rFonts w:ascii="Cambria" w:eastAsia="Times New Roman" w:hAnsi="Cambria" w:cs="Times New Roman"/>
          <w:lang w:eastAsia="tr-TR"/>
        </w:rPr>
        <w:t>k</w:t>
      </w:r>
      <w:r w:rsidRPr="00C319D0">
        <w:rPr>
          <w:rFonts w:ascii="Cambria" w:eastAsia="Times New Roman" w:hAnsi="Cambria" w:cs="Times New Roman"/>
          <w:lang w:eastAsia="tr-TR"/>
        </w:rPr>
        <w:t xml:space="preserve"> ve konunun kullanım alanlarını bilmek ve aralarında ilişki kurmaktır (Darlington, 2011).</w:t>
      </w:r>
      <w:r w:rsidRPr="00C319D0">
        <w:rPr>
          <w:rFonts w:ascii="Cambria" w:eastAsia="Times New Roman" w:hAnsi="Cambria" w:cs="Times New Roman"/>
          <w:color w:val="000000" w:themeColor="text1"/>
          <w:lang w:eastAsia="tr-TR"/>
        </w:rPr>
        <w:t xml:space="preserve"> Derinlemesine öğrenme yaklaşımına sahip olanlar öğrenecekleri konuya önem verirler ve öğrenmeye karşı pozitif tutuma sahiptirler (Biggs, 1999). </w:t>
      </w:r>
      <w:r w:rsidR="00061BB7" w:rsidRPr="00C319D0">
        <w:rPr>
          <w:rFonts w:ascii="Cambria" w:eastAsia="Times New Roman" w:hAnsi="Cambria" w:cs="Times New Roman"/>
          <w:color w:val="000000" w:themeColor="text1"/>
          <w:lang w:eastAsia="tr-TR"/>
        </w:rPr>
        <w:t>Byrne, Flood ve Willis (2001) derin</w:t>
      </w:r>
      <w:r w:rsidR="002A2A80">
        <w:rPr>
          <w:rFonts w:ascii="Cambria" w:eastAsia="Times New Roman" w:hAnsi="Cambria" w:cs="Times New Roman"/>
          <w:color w:val="000000" w:themeColor="text1"/>
          <w:lang w:eastAsia="tr-TR"/>
        </w:rPr>
        <w:t>lemesine</w:t>
      </w:r>
      <w:r w:rsidR="00061BB7" w:rsidRPr="00C319D0">
        <w:rPr>
          <w:rFonts w:ascii="Cambria" w:eastAsia="Times New Roman" w:hAnsi="Cambria" w:cs="Times New Roman"/>
          <w:color w:val="000000" w:themeColor="text1"/>
          <w:lang w:eastAsia="tr-TR"/>
        </w:rPr>
        <w:t xml:space="preserve"> öğrenme yaklaşımını öğrenmeye karşı istekli olma, konunun içeriği ile yoğun bir şekilde ilgilenme, önceden öğrenilen bilgiler ile yeni öğrenilen bilgiler arasında ilişki kurma, kavramları günlük hayat tecrübeleri ile ilişkilendirme, olaylar ile sonuçları arasında bağlantı kurma ve konunun mantığını inceleme eğilimi olarak tanımlamıştır. Derinlemesine öğrenen öğrenciler; öğrendikleri yeni bilgileri daha önceki bilgi ve deneyimleriyle ilişkilendirir (Offir, Lev </w:t>
      </w:r>
      <w:r w:rsidR="002A2A80">
        <w:rPr>
          <w:rFonts w:ascii="Cambria" w:eastAsia="Times New Roman" w:hAnsi="Cambria" w:cs="Times New Roman"/>
          <w:color w:val="000000" w:themeColor="text1"/>
          <w:lang w:eastAsia="tr-TR"/>
        </w:rPr>
        <w:t>&amp;</w:t>
      </w:r>
      <w:r w:rsidR="00061BB7" w:rsidRPr="00C319D0">
        <w:rPr>
          <w:rFonts w:ascii="Cambria" w:eastAsia="Times New Roman" w:hAnsi="Cambria" w:cs="Times New Roman"/>
          <w:color w:val="000000" w:themeColor="text1"/>
          <w:lang w:eastAsia="tr-TR"/>
        </w:rPr>
        <w:t xml:space="preserve"> Bezalel, 2008) öğrendikleri bilgilerden çıkarımlarda bulunur, elde ettiği sonuçları birbirleriyle ilişkilendirir ve kontrol eder. Elde ettiği ürünü eleştirel olarak gözden geçirir (Beattie, Collins </w:t>
      </w:r>
      <w:r w:rsidR="002A2A80">
        <w:rPr>
          <w:rFonts w:ascii="Cambria" w:eastAsia="Times New Roman" w:hAnsi="Cambria" w:cs="Times New Roman"/>
          <w:color w:val="000000" w:themeColor="text1"/>
          <w:lang w:eastAsia="tr-TR"/>
        </w:rPr>
        <w:t>&amp;</w:t>
      </w:r>
      <w:r w:rsidR="00061BB7" w:rsidRPr="00C319D0">
        <w:rPr>
          <w:rFonts w:ascii="Cambria" w:eastAsia="Times New Roman" w:hAnsi="Cambria" w:cs="Times New Roman"/>
          <w:color w:val="000000" w:themeColor="text1"/>
          <w:lang w:eastAsia="tr-TR"/>
        </w:rPr>
        <w:t xml:space="preserve"> McInnes, 1997) ve konunun uzmanları ile tartışır (Beydoğan, 2007). Öğreneceği konu ile ilgili etkinliklere aktif olarak katılır (Beydoğan, 2007) ve çalışmaktan zevk alır (Lucas, 2001).</w:t>
      </w:r>
    </w:p>
    <w:p w14:paraId="03E65994" w14:textId="14A55361" w:rsidR="003B021C" w:rsidRPr="00C319D0" w:rsidRDefault="00061BB7" w:rsidP="00061BB7">
      <w:pPr>
        <w:spacing w:after="0" w:line="240" w:lineRule="auto"/>
        <w:ind w:firstLine="567"/>
        <w:jc w:val="both"/>
        <w:rPr>
          <w:rFonts w:ascii="Cambria" w:eastAsia="Times New Roman" w:hAnsi="Cambria" w:cs="Times New Roman"/>
          <w:bCs/>
          <w:color w:val="000000" w:themeColor="text1"/>
          <w:lang w:eastAsia="tr-TR"/>
        </w:rPr>
      </w:pPr>
      <w:r w:rsidRPr="00C319D0">
        <w:rPr>
          <w:rFonts w:ascii="Cambria" w:eastAsia="Times New Roman" w:hAnsi="Cambria" w:cs="Times New Roman"/>
          <w:color w:val="000000" w:themeColor="text1"/>
          <w:lang w:eastAsia="tr-TR"/>
        </w:rPr>
        <w:t xml:space="preserve">Yüzeysel öğrenme yaklaşımında bir bilginin diğer bir bilgi ile ilişkisini düşünmeden ezberlemeye odaklanma vardır (Trigwell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Prosser, 1991). Öğrenenler dış faktörlerin etkisinden dolayı öğrenme etkinliklerini gerçekleştirirler (Ramsden, 2000), öğrenmeyi dışarıdan dayatılan bir görev olarak düşünürler (Lucas, 2001) ve etkinlik üst düzey bilişsel faaliyetleri gerektirse bile düşük düzeyli bilişsel faaliyetleri gerçekleştirmeye yatkındırlar (Biggs, 1999). </w:t>
      </w:r>
      <w:r w:rsidRPr="00C319D0">
        <w:rPr>
          <w:rFonts w:ascii="Cambria" w:eastAsia="Times New Roman" w:hAnsi="Cambria" w:cs="Times New Roman"/>
          <w:bCs/>
          <w:color w:val="000000" w:themeColor="text1"/>
          <w:lang w:eastAsia="tr-TR"/>
        </w:rPr>
        <w:t>Yüzeysel</w:t>
      </w:r>
      <w:r w:rsidRPr="00C319D0">
        <w:rPr>
          <w:rFonts w:ascii="Cambria" w:eastAsia="Times New Roman" w:hAnsi="Cambria" w:cs="Times New Roman"/>
          <w:color w:val="000000" w:themeColor="text1"/>
          <w:lang w:eastAsia="tr-TR"/>
        </w:rPr>
        <w:t xml:space="preserve"> </w:t>
      </w:r>
      <w:r w:rsidRPr="00C319D0">
        <w:rPr>
          <w:rFonts w:ascii="Cambria" w:eastAsia="Times New Roman" w:hAnsi="Cambria" w:cs="Times New Roman"/>
          <w:bCs/>
          <w:color w:val="000000" w:themeColor="text1"/>
          <w:lang w:eastAsia="tr-TR"/>
        </w:rPr>
        <w:t xml:space="preserve">öğrenme yaklaşımında verilen bir görevin gerektirdiklerini tamamlama eğilimi, sınavlarda geçmek için gerekli bilgiyi ezberleme, örnekleri kurallardan ayırt etmede başarısızlık, öğrenmeyi dışsal </w:t>
      </w:r>
      <w:r w:rsidRPr="00C319D0">
        <w:rPr>
          <w:rFonts w:ascii="Cambria" w:eastAsia="Times New Roman" w:hAnsi="Cambria" w:cs="Times New Roman"/>
          <w:bCs/>
          <w:color w:val="000000" w:themeColor="text1"/>
          <w:lang w:eastAsia="tr-TR"/>
        </w:rPr>
        <w:lastRenderedPageBreak/>
        <w:t>yükleme olarak düşünme, bütünlük kurmadan ayrı</w:t>
      </w:r>
      <w:r w:rsidRPr="00C319D0">
        <w:rPr>
          <w:rFonts w:ascii="Cambria" w:eastAsia="Times New Roman" w:hAnsi="Cambria" w:cs="Times New Roman"/>
          <w:color w:val="000000" w:themeColor="text1"/>
          <w:lang w:eastAsia="tr-TR"/>
        </w:rPr>
        <w:t xml:space="preserve"> </w:t>
      </w:r>
      <w:r w:rsidRPr="00C319D0">
        <w:rPr>
          <w:rFonts w:ascii="Cambria" w:eastAsia="Times New Roman" w:hAnsi="Cambria" w:cs="Times New Roman"/>
          <w:bCs/>
          <w:color w:val="000000" w:themeColor="text1"/>
          <w:lang w:eastAsia="tr-TR"/>
        </w:rPr>
        <w:t xml:space="preserve">ayrı parçalara odaklanma eğilimi vardır (Byrne, Flood </w:t>
      </w:r>
      <w:r w:rsidR="002A2A80">
        <w:rPr>
          <w:rFonts w:ascii="Cambria" w:eastAsia="Times New Roman" w:hAnsi="Cambria" w:cs="Times New Roman"/>
          <w:bCs/>
          <w:color w:val="000000" w:themeColor="text1"/>
          <w:lang w:eastAsia="tr-TR"/>
        </w:rPr>
        <w:t>&amp;</w:t>
      </w:r>
      <w:r w:rsidRPr="00C319D0">
        <w:rPr>
          <w:rFonts w:ascii="Cambria" w:eastAsia="Times New Roman" w:hAnsi="Cambria" w:cs="Times New Roman"/>
          <w:bCs/>
          <w:color w:val="000000" w:themeColor="text1"/>
          <w:lang w:eastAsia="tr-TR"/>
        </w:rPr>
        <w:t xml:space="preserve"> Willis, 2001). Yüzeysel öğrenme yaklaşımını tercih eden öğrenciler, verilen bir görevi yerine getirecek kadar çalışırlar, belirli bir amaca yönelik bilinçli bir çaba göstermezler, gereksiz bilgi parçacıkları ile fazla ilgilenirler, öğrendikleri arasında daha çok sıradan olan bilgi ve işlemleri hatırlarlar, yeni fikirleri yorumlamada zorluk çekerler, başarısızlık endişesi daha sık görülür (Beydoğan, 2007). Bu öğrenciler konuyu olduğu gibi birbirleriyle ilişkilendirmeden kopuk bilgiler şeklinde ezberlemeye çalışırlar, dersten geçmek için asgari notu almak onlar için yeterlidir (Ekinci, 2009). Dolayısıyla yüzeysel öğrenme yaklaşımını benimseyen öğrencilerin öğrenme çıktıları düşük nitelikli olabilmektedir (</w:t>
      </w:r>
      <w:r w:rsidRPr="00C319D0">
        <w:rPr>
          <w:rFonts w:ascii="Cambria" w:eastAsia="Times New Roman" w:hAnsi="Cambria" w:cs="Times New Roman"/>
          <w:color w:val="000000" w:themeColor="text1"/>
          <w:lang w:eastAsia="tr-TR"/>
        </w:rPr>
        <w:t xml:space="preserve">Trigwell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Prosser, 1991).</w:t>
      </w:r>
    </w:p>
    <w:p w14:paraId="3707405C" w14:textId="494CE360" w:rsidR="003B021C" w:rsidRPr="00C319D0" w:rsidRDefault="00E623EC" w:rsidP="003B021C">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D</w:t>
      </w:r>
      <w:r w:rsidR="003B021C" w:rsidRPr="00C319D0">
        <w:rPr>
          <w:rFonts w:ascii="Cambria" w:eastAsia="Times New Roman" w:hAnsi="Cambria" w:cs="Times New Roman"/>
          <w:color w:val="000000" w:themeColor="text1"/>
          <w:lang w:eastAsia="tr-TR"/>
        </w:rPr>
        <w:t xml:space="preserve">erinlemesine öğrenme yaklaşımı her öğrenci için daima en başarılı yaklaşımdır anlamına gelmemektedir (Lonka, Olkinuora </w:t>
      </w:r>
      <w:r w:rsidR="002A2A80">
        <w:rPr>
          <w:rFonts w:ascii="Cambria" w:eastAsia="Times New Roman" w:hAnsi="Cambria" w:cs="Times New Roman"/>
          <w:color w:val="000000" w:themeColor="text1"/>
          <w:lang w:eastAsia="tr-TR"/>
        </w:rPr>
        <w:t>&amp;</w:t>
      </w:r>
      <w:r w:rsidR="003B021C" w:rsidRPr="00C319D0">
        <w:rPr>
          <w:rFonts w:ascii="Cambria" w:eastAsia="Times New Roman" w:hAnsi="Cambria" w:cs="Times New Roman"/>
          <w:color w:val="000000" w:themeColor="text1"/>
          <w:lang w:eastAsia="tr-TR"/>
        </w:rPr>
        <w:t xml:space="preserve"> Makinen, 2004). Hatta yüzeysel öğrenme yaklaşımları içerisinde yer alan ezberleme teknikleri derinlemesine öğrenme için kullanılabilir (Entwistle, 1997). Örneğin matematikte bir teoremin tam olarak anlaşılması için teoremde geçen tanımların ezbere bilinmesi gerekebilir (Darlington, 2011).  Özel olarak bir öğrenci daha başarılı olmak için hem derinlemesine hem de yüzeysel öğrenme yaklaşımlarını eş zamanlı kullanabilir (Newble </w:t>
      </w:r>
      <w:r w:rsidR="002A2A80">
        <w:rPr>
          <w:rFonts w:ascii="Cambria" w:eastAsia="Times New Roman" w:hAnsi="Cambria" w:cs="Times New Roman"/>
          <w:color w:val="000000" w:themeColor="text1"/>
          <w:lang w:eastAsia="tr-TR"/>
        </w:rPr>
        <w:t>&amp;</w:t>
      </w:r>
      <w:r w:rsidR="003B021C" w:rsidRPr="00C319D0">
        <w:rPr>
          <w:rFonts w:ascii="Cambria" w:eastAsia="Times New Roman" w:hAnsi="Cambria" w:cs="Times New Roman"/>
          <w:color w:val="000000" w:themeColor="text1"/>
          <w:lang w:eastAsia="tr-TR"/>
        </w:rPr>
        <w:t xml:space="preserve"> Entwistle, 1986).</w:t>
      </w:r>
      <w:r w:rsidR="008C0638" w:rsidRPr="00C319D0">
        <w:rPr>
          <w:rFonts w:ascii="Cambria" w:eastAsia="Times New Roman" w:hAnsi="Cambria" w:cs="Times New Roman"/>
          <w:color w:val="000000" w:themeColor="text1"/>
          <w:lang w:eastAsia="tr-TR"/>
        </w:rPr>
        <w:t xml:space="preserve"> </w:t>
      </w:r>
      <w:r w:rsidR="00D64076" w:rsidRPr="00C319D0">
        <w:rPr>
          <w:rFonts w:ascii="Cambria" w:eastAsia="Times New Roman" w:hAnsi="Cambria" w:cs="Times New Roman"/>
          <w:color w:val="000000" w:themeColor="text1"/>
          <w:lang w:eastAsia="tr-TR"/>
        </w:rPr>
        <w:t xml:space="preserve">Bu düşünce doğrultusunda Ramsden (1979) “stratejik yaklaşım” olarak üçüncü yaklaşım türünü ortaya koymuştur. </w:t>
      </w:r>
    </w:p>
    <w:p w14:paraId="2C3CC8BD" w14:textId="353B5449" w:rsidR="00243702" w:rsidRPr="00C319D0" w:rsidRDefault="00865E43" w:rsidP="00865E43">
      <w:pPr>
        <w:spacing w:after="0" w:line="240" w:lineRule="auto"/>
        <w:ind w:firstLine="567"/>
        <w:jc w:val="both"/>
        <w:rPr>
          <w:rFonts w:ascii="Cambria" w:eastAsia="Times New Roman" w:hAnsi="Cambria" w:cs="Times New Roman"/>
          <w:bCs/>
          <w:color w:val="000000" w:themeColor="text1"/>
          <w:lang w:eastAsia="tr-TR"/>
        </w:rPr>
      </w:pPr>
      <w:r w:rsidRPr="00C319D0">
        <w:rPr>
          <w:rFonts w:ascii="Cambria" w:eastAsia="Times New Roman" w:hAnsi="Cambria" w:cs="Times New Roman"/>
          <w:color w:val="000000" w:themeColor="text1"/>
          <w:lang w:eastAsia="tr-TR"/>
        </w:rPr>
        <w:t xml:space="preserve">Stratejik öğrenme yaklaşımına yer veren farklı araştırmacılar bulunmaktadır (Biggs, 1979; Entwistle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Ramsden, 1983; Newble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Entwistle, 1986; Senemoğlu, 2011). Stratejik yaklaşım tipini kullanan öğrenciler en yüksek notu almak için hem derinsel hem de yüzeysel öğrenme yaklaşımlarını kullanırlar ve mesleki motivasyonlarının yanında rekabete dayalı motivasyonları da yüksektir (Entwistle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Tait, 1990). Stratejik öğrenenler derinlemesine öğrenenlerin zıttına öğrenmenin doğasından değil ortamdan etkilenerek öğrenme eğilimindedirler (Newble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Entwistle, 1986). Bu yaklaşımı benimseyen öğrenciler, akademik başarı şanslarını arttırmak için ipuçlarının bilincindedirler, değerlendirme kriterlerinin ve değerlendirmenin nasıl yapılacağının çok farkındadırlar (Heikkila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Lonka, 2006), zamanlarını en yüksek notu almayı sağlayacak şekilde organize ederler (McCune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Entwistle, 2000). </w:t>
      </w:r>
      <w:r w:rsidRPr="00C319D0">
        <w:rPr>
          <w:rFonts w:ascii="Cambria" w:eastAsia="Times New Roman" w:hAnsi="Cambria" w:cs="Times New Roman"/>
          <w:bCs/>
          <w:color w:val="000000" w:themeColor="text1"/>
          <w:lang w:eastAsia="tr-TR"/>
        </w:rPr>
        <w:t xml:space="preserve">Olabildiğince yüksek notlar almaya çabalarlar, çabalarını ısrarlı bir şekilde sürdürürler, öğrenmelerini kolaylaştıracak uygun materyalleri tercih ederler ve kullanırlar, çalışırken algılamalarını hızlandıracak kaynakları kullanırlar (Beydoğan, 2007). </w:t>
      </w:r>
      <w:r w:rsidRPr="00C319D0">
        <w:rPr>
          <w:rFonts w:ascii="Cambria" w:eastAsia="Times New Roman" w:hAnsi="Cambria" w:cs="Times New Roman"/>
          <w:color w:val="000000" w:themeColor="text1"/>
          <w:lang w:eastAsia="tr-TR"/>
        </w:rPr>
        <w:t xml:space="preserve">Stratejik öğrenme bulunulan bağlam doğrultusunda derinlemesine ya da yüzeysel öğrenme yaklaşımı aracılığıyla gerçekleşir. Yani stratejik öğrenme yaklaşımını tercih eden öğrenciler, hangi yaklaşım onların daha yüksek not almasını sağlıyorsa onu seçer (Makinen, 2003). Dolayısıyla stratejik öğrenme yaklaşımı bu iki temel öğrenme yaklaşımına ilave olarak bir çeşit “karma yaklaşım” dır </w:t>
      </w:r>
      <w:r w:rsidRPr="00C319D0">
        <w:rPr>
          <w:rFonts w:ascii="Cambria" w:eastAsia="Times New Roman" w:hAnsi="Cambria" w:cs="Times New Roman"/>
          <w:bCs/>
          <w:color w:val="000000" w:themeColor="text1"/>
          <w:lang w:eastAsia="tr-TR"/>
        </w:rPr>
        <w:t xml:space="preserve">(Gijbels, Van de Watering, Dochy </w:t>
      </w:r>
      <w:r w:rsidR="002A2A80">
        <w:rPr>
          <w:rFonts w:ascii="Cambria" w:eastAsia="Times New Roman" w:hAnsi="Cambria" w:cs="Times New Roman"/>
          <w:bCs/>
          <w:color w:val="000000" w:themeColor="text1"/>
          <w:lang w:eastAsia="tr-TR"/>
        </w:rPr>
        <w:t>&amp;</w:t>
      </w:r>
      <w:r w:rsidRPr="00C319D0">
        <w:rPr>
          <w:rFonts w:ascii="Cambria" w:eastAsia="Times New Roman" w:hAnsi="Cambria" w:cs="Times New Roman"/>
          <w:bCs/>
          <w:color w:val="000000" w:themeColor="text1"/>
          <w:lang w:eastAsia="tr-TR"/>
        </w:rPr>
        <w:t xml:space="preserve"> Van de Bossche, 2005). </w:t>
      </w:r>
    </w:p>
    <w:p w14:paraId="28F5FD6A" w14:textId="2BD14B16" w:rsidR="00232D55" w:rsidRPr="00C319D0" w:rsidRDefault="00B1747A" w:rsidP="00232D55">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Öğrenme yaklaşımlarının türlerinin yanında öğrencilerin öğrenme yaklaşımlarını etkileyen etmenler öğrenme yaklaşımları araştırmalarının üzerinde durduğu diğer konudur (İlhan, Çetin </w:t>
      </w:r>
      <w:r w:rsidR="002A2A80">
        <w:rPr>
          <w:rFonts w:ascii="Cambria" w:eastAsia="Times New Roman" w:hAnsi="Cambria" w:cs="Times New Roman"/>
          <w:color w:val="000000" w:themeColor="text1"/>
          <w:lang w:eastAsia="tr-TR"/>
        </w:rPr>
        <w:t xml:space="preserve">&amp; </w:t>
      </w:r>
      <w:r w:rsidRPr="00C319D0">
        <w:rPr>
          <w:rFonts w:ascii="Cambria" w:eastAsia="Times New Roman" w:hAnsi="Cambria" w:cs="Times New Roman"/>
          <w:color w:val="000000" w:themeColor="text1"/>
          <w:lang w:eastAsia="tr-TR"/>
        </w:rPr>
        <w:t>Kılıç, 2013).</w:t>
      </w:r>
      <w:r w:rsidR="000721E8" w:rsidRPr="00C319D0">
        <w:rPr>
          <w:rFonts w:ascii="Cambria" w:eastAsia="Times New Roman" w:hAnsi="Cambria" w:cs="Times New Roman"/>
          <w:color w:val="000000" w:themeColor="text1"/>
          <w:lang w:eastAsia="tr-TR"/>
        </w:rPr>
        <w:t xml:space="preserve"> </w:t>
      </w:r>
      <w:r w:rsidR="00B17588" w:rsidRPr="00C319D0">
        <w:rPr>
          <w:rFonts w:ascii="Cambria" w:eastAsia="Times New Roman" w:hAnsi="Cambria" w:cs="Times New Roman"/>
          <w:color w:val="000000" w:themeColor="text1"/>
          <w:lang w:eastAsia="tr-TR"/>
        </w:rPr>
        <w:t xml:space="preserve">Öğrenme yaklaşımları </w:t>
      </w:r>
      <w:r w:rsidR="008C0638" w:rsidRPr="00C319D0">
        <w:rPr>
          <w:rFonts w:ascii="Cambria" w:eastAsia="Times New Roman" w:hAnsi="Cambria" w:cs="Times New Roman"/>
          <w:color w:val="000000" w:themeColor="text1"/>
          <w:lang w:eastAsia="tr-TR"/>
        </w:rPr>
        <w:t>öğretmenin kullandığı öğretme yöntemlerine, öğrenciye karşı tutumuna, öğrencinin hazırbulunuşluk düzeyine ve konuya ilgi durumuna,  değerlendirilme biçimine bağlıdır ve bu etkenlerin tümü sonucunda oluşur (Ellez</w:t>
      </w:r>
      <w:r w:rsidR="00DE1E3B">
        <w:rPr>
          <w:rFonts w:ascii="Cambria" w:eastAsia="Times New Roman" w:hAnsi="Cambria" w:cs="Times New Roman"/>
          <w:color w:val="000000" w:themeColor="text1"/>
          <w:lang w:eastAsia="tr-TR"/>
        </w:rPr>
        <w:t xml:space="preserve"> </w:t>
      </w:r>
      <w:r w:rsidR="002A2A80">
        <w:rPr>
          <w:rFonts w:ascii="Cambria" w:eastAsia="Times New Roman" w:hAnsi="Cambria" w:cs="Times New Roman"/>
          <w:color w:val="000000" w:themeColor="text1"/>
          <w:lang w:eastAsia="tr-TR"/>
        </w:rPr>
        <w:t>&amp;</w:t>
      </w:r>
      <w:r w:rsidR="00DE1E3B">
        <w:rPr>
          <w:rFonts w:ascii="Cambria" w:eastAsia="Times New Roman" w:hAnsi="Cambria" w:cs="Times New Roman"/>
          <w:color w:val="000000" w:themeColor="text1"/>
          <w:lang w:eastAsia="tr-TR"/>
        </w:rPr>
        <w:t xml:space="preserve"> Sezgin</w:t>
      </w:r>
      <w:r w:rsidR="008C0638" w:rsidRPr="00C319D0">
        <w:rPr>
          <w:rFonts w:ascii="Cambria" w:eastAsia="Times New Roman" w:hAnsi="Cambria" w:cs="Times New Roman"/>
          <w:color w:val="000000" w:themeColor="text1"/>
          <w:lang w:eastAsia="tr-TR"/>
        </w:rPr>
        <w:t xml:space="preserve">, 2002). Bu açıdan bakıldığında öğrenme yaklaşımı değişmez bir özellik olarak görülmemelidir. Dolayısıyla öğrenme yaklaşımı öğrencinin öğrenme durumuna tepkisi olarak değerlendirilebilir (Entwistle </w:t>
      </w:r>
      <w:r w:rsidR="002A2A80">
        <w:rPr>
          <w:rFonts w:ascii="Cambria" w:eastAsia="Times New Roman" w:hAnsi="Cambria" w:cs="Times New Roman"/>
          <w:color w:val="000000" w:themeColor="text1"/>
          <w:lang w:eastAsia="tr-TR"/>
        </w:rPr>
        <w:t>&amp;</w:t>
      </w:r>
      <w:r w:rsidR="008C0638" w:rsidRPr="00C319D0">
        <w:rPr>
          <w:rFonts w:ascii="Cambria" w:eastAsia="Times New Roman" w:hAnsi="Cambria" w:cs="Times New Roman"/>
          <w:color w:val="000000" w:themeColor="text1"/>
          <w:lang w:eastAsia="tr-TR"/>
        </w:rPr>
        <w:t xml:space="preserve"> Ramsden, 1983). </w:t>
      </w:r>
    </w:p>
    <w:p w14:paraId="537534FA" w14:textId="6241E300" w:rsidR="00280898" w:rsidRDefault="00232D55" w:rsidP="00890786">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Öğrencilerin öğrenme yaklaşımları</w:t>
      </w:r>
      <w:r w:rsidR="00890786">
        <w:rPr>
          <w:rFonts w:ascii="Cambria" w:eastAsia="Times New Roman" w:hAnsi="Cambria" w:cs="Times New Roman"/>
          <w:color w:val="000000" w:themeColor="text1"/>
          <w:lang w:eastAsia="tr-TR"/>
        </w:rPr>
        <w:t>,</w:t>
      </w:r>
      <w:r>
        <w:rPr>
          <w:rFonts w:ascii="Cambria" w:eastAsia="Times New Roman" w:hAnsi="Cambria" w:cs="Times New Roman"/>
          <w:color w:val="000000" w:themeColor="text1"/>
          <w:lang w:eastAsia="tr-TR"/>
        </w:rPr>
        <w:t xml:space="preserve"> öğretmenin </w:t>
      </w:r>
      <w:r w:rsidR="00427C60">
        <w:rPr>
          <w:rFonts w:ascii="Cambria" w:eastAsia="Times New Roman" w:hAnsi="Cambria" w:cs="Times New Roman"/>
          <w:color w:val="000000" w:themeColor="text1"/>
          <w:lang w:eastAsia="tr-TR"/>
        </w:rPr>
        <w:t xml:space="preserve">derslerinde </w:t>
      </w:r>
      <w:r>
        <w:rPr>
          <w:rFonts w:ascii="Cambria" w:eastAsia="Times New Roman" w:hAnsi="Cambria" w:cs="Times New Roman"/>
          <w:color w:val="000000" w:themeColor="text1"/>
          <w:lang w:eastAsia="tr-TR"/>
        </w:rPr>
        <w:t xml:space="preserve">kullandığı öğretim </w:t>
      </w:r>
      <w:r w:rsidR="00890786">
        <w:rPr>
          <w:rFonts w:ascii="Cambria" w:eastAsia="Times New Roman" w:hAnsi="Cambria" w:cs="Times New Roman"/>
          <w:color w:val="000000" w:themeColor="text1"/>
          <w:lang w:eastAsia="tr-TR"/>
        </w:rPr>
        <w:t>yöntemleri ile ilişkilidir</w:t>
      </w:r>
      <w:r>
        <w:rPr>
          <w:rFonts w:ascii="Cambria" w:eastAsia="Times New Roman" w:hAnsi="Cambria" w:cs="Times New Roman"/>
          <w:color w:val="000000" w:themeColor="text1"/>
          <w:lang w:eastAsia="tr-TR"/>
        </w:rPr>
        <w:t xml:space="preserve"> (Ellez</w:t>
      </w:r>
      <w:r w:rsidR="00DE1E3B">
        <w:rPr>
          <w:rFonts w:ascii="Cambria" w:eastAsia="Times New Roman" w:hAnsi="Cambria" w:cs="Times New Roman"/>
          <w:color w:val="000000" w:themeColor="text1"/>
          <w:lang w:eastAsia="tr-TR"/>
        </w:rPr>
        <w:t xml:space="preserve"> </w:t>
      </w:r>
      <w:r w:rsidR="002A2A80">
        <w:rPr>
          <w:rFonts w:ascii="Cambria" w:eastAsia="Times New Roman" w:hAnsi="Cambria" w:cs="Times New Roman"/>
          <w:color w:val="000000" w:themeColor="text1"/>
          <w:lang w:eastAsia="tr-TR"/>
        </w:rPr>
        <w:t>&amp;</w:t>
      </w:r>
      <w:r w:rsidR="00DE1E3B">
        <w:rPr>
          <w:rFonts w:ascii="Cambria" w:eastAsia="Times New Roman" w:hAnsi="Cambria" w:cs="Times New Roman"/>
          <w:color w:val="000000" w:themeColor="text1"/>
          <w:lang w:eastAsia="tr-TR"/>
        </w:rPr>
        <w:t xml:space="preserve"> Sezgin</w:t>
      </w:r>
      <w:r>
        <w:rPr>
          <w:rFonts w:ascii="Cambria" w:eastAsia="Times New Roman" w:hAnsi="Cambria" w:cs="Times New Roman"/>
          <w:color w:val="000000" w:themeColor="text1"/>
          <w:lang w:eastAsia="tr-TR"/>
        </w:rPr>
        <w:t xml:space="preserve">, 2002). </w:t>
      </w:r>
      <w:r w:rsidR="00890786">
        <w:rPr>
          <w:rFonts w:ascii="Cambria" w:eastAsia="Times New Roman" w:hAnsi="Cambria" w:cs="Times New Roman"/>
          <w:color w:val="000000" w:themeColor="text1"/>
          <w:lang w:eastAsia="tr-TR"/>
        </w:rPr>
        <w:t>U</w:t>
      </w:r>
      <w:r w:rsidR="00890786" w:rsidRPr="00890786">
        <w:rPr>
          <w:rFonts w:ascii="Cambria" w:eastAsia="Times New Roman" w:hAnsi="Cambria" w:cs="Times New Roman"/>
          <w:color w:val="000000" w:themeColor="text1"/>
          <w:lang w:eastAsia="tr-TR"/>
        </w:rPr>
        <w:t xml:space="preserve">ygun </w:t>
      </w:r>
      <w:r w:rsidR="00890786">
        <w:rPr>
          <w:rFonts w:ascii="Cambria" w:eastAsia="Times New Roman" w:hAnsi="Cambria" w:cs="Times New Roman"/>
          <w:color w:val="000000" w:themeColor="text1"/>
          <w:lang w:eastAsia="tr-TR"/>
        </w:rPr>
        <w:t xml:space="preserve">öğretim </w:t>
      </w:r>
      <w:r w:rsidR="00890786" w:rsidRPr="00890786">
        <w:rPr>
          <w:rFonts w:ascii="Cambria" w:eastAsia="Times New Roman" w:hAnsi="Cambria" w:cs="Times New Roman"/>
          <w:color w:val="000000" w:themeColor="text1"/>
          <w:lang w:eastAsia="tr-TR"/>
        </w:rPr>
        <w:t>yöntem ve stratej</w:t>
      </w:r>
      <w:r w:rsidR="00890786">
        <w:rPr>
          <w:rFonts w:ascii="Cambria" w:eastAsia="Times New Roman" w:hAnsi="Cambria" w:cs="Times New Roman"/>
          <w:color w:val="000000" w:themeColor="text1"/>
          <w:lang w:eastAsia="tr-TR"/>
        </w:rPr>
        <w:t>ilerin kullanılması, nitelikli bir öğretimin gerç</w:t>
      </w:r>
      <w:r w:rsidR="00F367FD">
        <w:rPr>
          <w:rFonts w:ascii="Cambria" w:eastAsia="Times New Roman" w:hAnsi="Cambria" w:cs="Times New Roman"/>
          <w:color w:val="000000" w:themeColor="text1"/>
          <w:lang w:eastAsia="tr-TR"/>
        </w:rPr>
        <w:t>ekleş</w:t>
      </w:r>
      <w:r w:rsidR="00890786">
        <w:rPr>
          <w:rFonts w:ascii="Cambria" w:eastAsia="Times New Roman" w:hAnsi="Cambria" w:cs="Times New Roman"/>
          <w:color w:val="000000" w:themeColor="text1"/>
          <w:lang w:eastAsia="tr-TR"/>
        </w:rPr>
        <w:t>tirilmesi yani öğrenme ortamında etkinliklerin ve değerlendirme yöntemlerinin uygun şekilde işe koşulmasıyla öğrencilerin öğrenme yaklaşımları</w:t>
      </w:r>
      <w:r w:rsidR="00890786" w:rsidRPr="00890786">
        <w:rPr>
          <w:rFonts w:ascii="Cambria" w:eastAsia="Times New Roman" w:hAnsi="Cambria" w:cs="Times New Roman"/>
          <w:color w:val="000000" w:themeColor="text1"/>
          <w:lang w:eastAsia="tr-TR"/>
        </w:rPr>
        <w:t xml:space="preserve"> da değişkenlik gösterebi</w:t>
      </w:r>
      <w:r w:rsidR="00F367FD">
        <w:rPr>
          <w:rFonts w:ascii="Cambria" w:eastAsia="Times New Roman" w:hAnsi="Cambria" w:cs="Times New Roman"/>
          <w:color w:val="000000" w:themeColor="text1"/>
          <w:lang w:eastAsia="tr-TR"/>
        </w:rPr>
        <w:t>lmektedir (Beverley, 2005</w:t>
      </w:r>
      <w:r w:rsidR="00890786" w:rsidRPr="00890786">
        <w:rPr>
          <w:rFonts w:ascii="Cambria" w:eastAsia="Times New Roman" w:hAnsi="Cambria" w:cs="Times New Roman"/>
          <w:color w:val="000000" w:themeColor="text1"/>
          <w:lang w:eastAsia="tr-TR"/>
        </w:rPr>
        <w:t xml:space="preserve">). </w:t>
      </w:r>
      <w:r w:rsidR="00280898">
        <w:rPr>
          <w:rFonts w:ascii="Cambria" w:eastAsia="Times New Roman" w:hAnsi="Cambria" w:cs="Times New Roman"/>
          <w:color w:val="000000" w:themeColor="text1"/>
          <w:lang w:eastAsia="tr-TR"/>
        </w:rPr>
        <w:t xml:space="preserve">Öğrenciler bazı öğretim yöntemleri ve değerlendirme stratejileri kullanıldığında </w:t>
      </w:r>
      <w:r>
        <w:rPr>
          <w:rFonts w:ascii="Cambria" w:eastAsia="Times New Roman" w:hAnsi="Cambria" w:cs="Times New Roman"/>
          <w:color w:val="000000" w:themeColor="text1"/>
          <w:lang w:eastAsia="tr-TR"/>
        </w:rPr>
        <w:t xml:space="preserve">yüzeysel öğrenmeye yönlendirilebilirler ancak derinlemesine öğrenmeye yönlendirmek o kadar kolay olmayabilir (Ramsden, Beswick </w:t>
      </w:r>
      <w:r w:rsidR="002A2A80">
        <w:rPr>
          <w:rFonts w:ascii="Cambria" w:eastAsia="Times New Roman" w:hAnsi="Cambria" w:cs="Times New Roman"/>
          <w:color w:val="000000" w:themeColor="text1"/>
          <w:lang w:eastAsia="tr-TR"/>
        </w:rPr>
        <w:t>&amp;</w:t>
      </w:r>
      <w:r>
        <w:rPr>
          <w:rFonts w:ascii="Cambria" w:eastAsia="Times New Roman" w:hAnsi="Cambria" w:cs="Times New Roman"/>
          <w:color w:val="000000" w:themeColor="text1"/>
          <w:lang w:eastAsia="tr-TR"/>
        </w:rPr>
        <w:t xml:space="preserve"> Bowden, 1986). </w:t>
      </w:r>
      <w:r w:rsidR="00CD17B3">
        <w:rPr>
          <w:rFonts w:ascii="Cambria" w:eastAsia="Times New Roman" w:hAnsi="Cambria" w:cs="Times New Roman"/>
          <w:color w:val="000000" w:themeColor="text1"/>
          <w:lang w:eastAsia="tr-TR"/>
        </w:rPr>
        <w:t xml:space="preserve">Öğretim yöntemlerinin öğrencilerin öğrenme yaklaşımına etkisinini inceleyen araştırmalar bulunmaktadır. Sezgin Selçuk (2010) çalışmasında, fizik eğitiminde probleme dayalı öğrenmenin öğrencilerin öğrenme yaklaşımları üzerine etkisini araştırmıştır. Matematik öğretmenliği birinci sınıfta okuyan öğrenciler ile gerçekleştirdiği deneysel çalışmada araştırmacı kontrol grubunda derslerini geleneksel yönteme dayalı olarak yürütmüştür. Araştırmanın sonuçları probleme </w:t>
      </w:r>
      <w:r w:rsidR="00CD17B3">
        <w:rPr>
          <w:rFonts w:ascii="Cambria" w:eastAsia="Times New Roman" w:hAnsi="Cambria" w:cs="Times New Roman"/>
          <w:color w:val="000000" w:themeColor="text1"/>
          <w:lang w:eastAsia="tr-TR"/>
        </w:rPr>
        <w:lastRenderedPageBreak/>
        <w:t xml:space="preserve">dayalı öğretimin gerçekleştirildiği sınıftaki öğrencilerin derinlemesine öğrenme yaklaşımlarında artış olurken, yüzeysel öğrenme yaklaşımlarında değişiklik olmadığını göstermektedir. Diğer bir çalışmada Trigwell, Prosser ve Waterhouse (1999) farklı öğretim yöntemleri ile öğrenme yaklaşımları arasındaki ilişkiyi araştırmıştır. </w:t>
      </w:r>
      <w:r w:rsidR="007C77E9">
        <w:rPr>
          <w:rFonts w:ascii="Cambria" w:eastAsia="Times New Roman" w:hAnsi="Cambria" w:cs="Times New Roman"/>
          <w:color w:val="000000" w:themeColor="text1"/>
          <w:lang w:eastAsia="tr-TR"/>
        </w:rPr>
        <w:t xml:space="preserve">Araştırmanın sonuçlarına göre, sınıflarında benimsedikleri öğrenme yaklaşımlarını bilgiyi aktarma olarak tanımlayan öğretmenlerin derslerine giren öğrenciler yüzeysel yaklaşımı daha çok işe koşarken; kavramsal değişimlere odaklanan öğretim yöntemlerini benimseyen öğretmenlerin derslerine giren öğrenciler anlamlı bir şekilde derinlemesine öğrenme yaklaşımını daha çok işe koşmaktadır. Ayrıca Ramsden (2000) öğrenme yaklaşımlarının öğrencilerin hem önceki deneyimlerine hem de öğrenme ortamına bağlı olduğunu belirtip, bunları birbirinden ayırt etmenin zor olduğunu ifade etmektedir. </w:t>
      </w:r>
    </w:p>
    <w:p w14:paraId="0B562593" w14:textId="200C9F86" w:rsidR="00AD5059" w:rsidRDefault="00AD5059" w:rsidP="00756FE1">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Öğrenme ortamının durumsal özellikleri yani öğrenme sürecinde ortamın özellikleri de öğrencilerin öğrenme yaklaşımlarını etkilemektedir. Eğer öğrenciler öğrenme ortamı ile ilgili olumlu algıya sahip olurlarsa daha çok derinlemesine öğrenme yaklaşımını benimserken, olumsuz bir algıya sahip olduklarında yüzeysel öğrenme yaklaşımına yönelmektedirler (Richardson, 2003). </w:t>
      </w:r>
      <w:r w:rsidRPr="00C319D0">
        <w:rPr>
          <w:rFonts w:ascii="Cambria" w:eastAsia="Times New Roman" w:hAnsi="Cambria" w:cs="Times New Roman"/>
          <w:color w:val="000000" w:themeColor="text1"/>
          <w:lang w:eastAsia="tr-TR"/>
        </w:rPr>
        <w:t xml:space="preserve">Öğrencilerin öğrenme yaklaşımlarını etkileyen birçok değişken bulunmaktadır (Ekinci, 2009). Öğrenenin yaşı, cinsiyeti (Can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Boz, 2012), bireyin geçmiş yaşantıları, sınıf düzeyi, başarı düzeyi öğrenme yaklaşımlarını etkileyen etmenler arasındadır (Trigwell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Prosser, 1991; Cuthbert, 2005; Marton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Saljo, 1997). Yaşça büyük öğrenciler derinlemesine öğrenme yaklaşımını yaşça küçük olanlardan daha çok tercih ederken, yüzeysel öğrenme yaklaşımında tam tersi durum görülmektedir (Richardson, 1995; Sadler Smith, 1996). Öğrencilerin sınıf düzeyleri arttıkça, daha çok anlam aramaya meyillidirler, bilgiyi tekrarlama durumları daha az görülür (Senemoğlu, 2011)</w:t>
      </w:r>
      <w:r>
        <w:rPr>
          <w:rFonts w:ascii="Cambria" w:eastAsia="Times New Roman" w:hAnsi="Cambria" w:cs="Times New Roman"/>
          <w:color w:val="000000" w:themeColor="text1"/>
          <w:lang w:eastAsia="tr-TR"/>
        </w:rPr>
        <w:t>.</w:t>
      </w:r>
    </w:p>
    <w:p w14:paraId="660A062F" w14:textId="25DC693C" w:rsidR="004B03C4" w:rsidRPr="00C319D0" w:rsidRDefault="00D1474E" w:rsidP="00756FE1">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Sezgin Selçuk, Çalışkan ve Erol (2007) fizik öğretmen adayları ile gerçekleştirilen çalışmalarında sınıf düzeyleri yükseldikçe yüzeysel öğrenme yaklaşımının daha az, </w:t>
      </w:r>
      <w:r w:rsidRPr="002A2A80">
        <w:rPr>
          <w:rFonts w:ascii="Cambria" w:eastAsia="Times New Roman" w:hAnsi="Cambria" w:cs="Times New Roman"/>
          <w:color w:val="000000" w:themeColor="text1"/>
          <w:lang w:eastAsia="tr-TR"/>
        </w:rPr>
        <w:t>derin</w:t>
      </w:r>
      <w:r w:rsidR="002A2A80">
        <w:rPr>
          <w:rFonts w:ascii="Cambria" w:eastAsia="Times New Roman" w:hAnsi="Cambria" w:cs="Times New Roman"/>
          <w:color w:val="000000" w:themeColor="text1"/>
          <w:lang w:eastAsia="tr-TR"/>
        </w:rPr>
        <w:t>lemesine</w:t>
      </w:r>
      <w:r w:rsidRPr="00C319D0">
        <w:rPr>
          <w:rFonts w:ascii="Cambria" w:eastAsia="Times New Roman" w:hAnsi="Cambria" w:cs="Times New Roman"/>
          <w:color w:val="000000" w:themeColor="text1"/>
          <w:lang w:eastAsia="tr-TR"/>
        </w:rPr>
        <w:t xml:space="preserve"> yaklaşımının ise daha fazla tercih edildiği sonucuna ulaşmıştır. </w:t>
      </w:r>
      <w:r w:rsidR="001D48E2" w:rsidRPr="00C319D0">
        <w:rPr>
          <w:rFonts w:ascii="Cambria" w:eastAsia="Times New Roman" w:hAnsi="Cambria" w:cs="Times New Roman"/>
          <w:color w:val="000000" w:themeColor="text1"/>
          <w:lang w:eastAsia="tr-TR"/>
        </w:rPr>
        <w:t xml:space="preserve">Başka bir çalışmada üniversite öğrencilerin derinlemesine öğrenme yaklaşımına ilişkin ortalama puanları sınıf düzeyine göre anlamlı farklılık göstermezken, stratejik öğrenme yaklaşımımına ilişkin ortalama puanları ve yüzeysel öğrenme yaklaşımına ilişkin ortalama puanları sınıf düzeyine göre anlamlı farklılık göstermektedir. Stratejik ve yüzeysel öğrenme yaklaşımlarına göre birinci sınıfların puan ortalamaları daha yüksektir (Ekinci, 2009). Lisans öğrencileriyle yüksek lisans öğrencilerinin derinlemesine öğrenme yaklaşımları puan ortalamaları karşılaştırıldığında yüksek lisans öğrencilerinin lehine, yüzeysel öğrenme yaklaşımları puan ortalamaları arasında lisans oğrencileri lehine anlamlı fark bulunmuştur (Beşoluk </w:t>
      </w:r>
      <w:r w:rsidR="002A2A80">
        <w:rPr>
          <w:rFonts w:ascii="Cambria" w:eastAsia="Times New Roman" w:hAnsi="Cambria" w:cs="Times New Roman"/>
          <w:color w:val="000000" w:themeColor="text1"/>
          <w:lang w:eastAsia="tr-TR"/>
        </w:rPr>
        <w:t>&amp;</w:t>
      </w:r>
      <w:r w:rsidR="001D48E2" w:rsidRPr="00C319D0">
        <w:rPr>
          <w:rFonts w:ascii="Cambria" w:eastAsia="Times New Roman" w:hAnsi="Cambria" w:cs="Times New Roman"/>
          <w:color w:val="000000" w:themeColor="text1"/>
          <w:lang w:eastAsia="tr-TR"/>
        </w:rPr>
        <w:t xml:space="preserve"> Önder, 2010). Öğretmen adaylarının yüzeysel öğrenme yaklaşımları sınıf düzeylerine göre anlamlı farklılık göstermektedir. Eğitim fakültesi birinci sınıf öğrencilerinin yüzeysel öğrenme yaklaşımları puanları diğer sınıf düzeylerinden daha yüksektir. Derinlemesine ve stratejik öğrenme yaklaşımlarını tercih durumlarında ise anlamlı bir farklılık yoktur (Senemoğlu, 2011). </w:t>
      </w:r>
      <w:r w:rsidRPr="00C319D0">
        <w:rPr>
          <w:rFonts w:ascii="Cambria" w:eastAsia="Times New Roman" w:hAnsi="Cambria" w:cs="Times New Roman"/>
          <w:color w:val="000000" w:themeColor="text1"/>
          <w:lang w:eastAsia="tr-TR"/>
        </w:rPr>
        <w:t xml:space="preserve">Okul öncesi ve sınıf öğretmen adaylarının sınıf düzeyi değişkenine göre öğrenme yaklaşımları tercihlerinde sadece yüzeysel öğrenme yaklaşımında anlamlı farklılık vardır. Derinlemesine öğrenme ve stratejik öğrenme yaklaşımları tercihlerinde ise sınıf düzeyi değişkeni açısından anlamlı bir farklılık yoktur (Ozan, Köse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Gündoğdu, 2012). </w:t>
      </w:r>
      <w:r w:rsidR="001D48E2" w:rsidRPr="00C319D0">
        <w:rPr>
          <w:rFonts w:ascii="Cambria" w:eastAsia="Times New Roman" w:hAnsi="Cambria" w:cs="Times New Roman"/>
          <w:color w:val="000000" w:themeColor="text1"/>
          <w:lang w:eastAsia="tr-TR"/>
        </w:rPr>
        <w:t xml:space="preserve">Özet olarak farklı çalışmalarda öğrenme yaklaşımlarının sınıf değişkenine göre anlamlı farklıklıklar gösterdiği sonucuna ulaşılmıştır. </w:t>
      </w:r>
    </w:p>
    <w:p w14:paraId="299C1C22" w14:textId="19C730DA" w:rsidR="008C0638" w:rsidRPr="00C319D0" w:rsidRDefault="000721E8" w:rsidP="00756FE1">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Öğrencilerin öğrenme tercihlerini etkileyen diğer bir etken konu alanıdır (ör. matematik, fen, sosyal bilimler) (Smith </w:t>
      </w:r>
      <w:r w:rsidR="002A2A80">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Miller, 2005). Dolayısıyla öğrenciler bir derste derinlemesine öğrenme yaklaşımını benimserken diğer bir derste yüzeysel öğrenme yaklaşımını belirleyebilirler (Lucas, 2001). Bu bilgiden hareketle öğrencilerin öğrenme yaklaşımlarının genel olarak incelenmesi yerine </w:t>
      </w:r>
      <w:r w:rsidR="00B17588" w:rsidRPr="00C319D0">
        <w:rPr>
          <w:rFonts w:ascii="Cambria" w:eastAsia="Times New Roman" w:hAnsi="Cambria" w:cs="Times New Roman"/>
          <w:color w:val="000000" w:themeColor="text1"/>
          <w:lang w:eastAsia="tr-TR"/>
        </w:rPr>
        <w:t>bir alana özgü olarak değerlendirilmesinin öğrencilerin öğrenme yaklaşımları hakkında daha detaylı bilgiler verebileceği düşünü</w:t>
      </w:r>
      <w:r w:rsidR="004B03C4" w:rsidRPr="00C319D0">
        <w:rPr>
          <w:rFonts w:ascii="Cambria" w:eastAsia="Times New Roman" w:hAnsi="Cambria" w:cs="Times New Roman"/>
          <w:color w:val="000000" w:themeColor="text1"/>
          <w:lang w:eastAsia="tr-TR"/>
        </w:rPr>
        <w:t>lmektedir</w:t>
      </w:r>
      <w:r w:rsidR="00B17588" w:rsidRPr="00C319D0">
        <w:rPr>
          <w:rFonts w:ascii="Cambria" w:eastAsia="Times New Roman" w:hAnsi="Cambria" w:cs="Times New Roman"/>
          <w:color w:val="000000" w:themeColor="text1"/>
          <w:lang w:eastAsia="tr-TR"/>
        </w:rPr>
        <w:t xml:space="preserve"> (Entwistle, 1997). </w:t>
      </w:r>
    </w:p>
    <w:p w14:paraId="64EFFCC5" w14:textId="48F1FFA2" w:rsidR="008424A0"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Son yıllarda </w:t>
      </w:r>
      <w:r w:rsidR="000B4CFA" w:rsidRPr="00C319D0">
        <w:rPr>
          <w:rFonts w:ascii="Cambria" w:eastAsia="Times New Roman" w:hAnsi="Cambria" w:cs="Times New Roman"/>
          <w:color w:val="000000" w:themeColor="text1"/>
          <w:lang w:eastAsia="tr-TR"/>
        </w:rPr>
        <w:t>öğrenme yaklaşımlarının alana özgü incelenmesinin daha doğru bilgiler verebileceği</w:t>
      </w:r>
      <w:r w:rsidR="001325DC" w:rsidRPr="00C319D0">
        <w:rPr>
          <w:rFonts w:ascii="Cambria" w:eastAsia="Times New Roman" w:hAnsi="Cambria" w:cs="Times New Roman"/>
          <w:color w:val="000000" w:themeColor="text1"/>
          <w:lang w:eastAsia="tr-TR"/>
        </w:rPr>
        <w:t xml:space="preserve"> </w:t>
      </w:r>
      <w:r w:rsidR="00DE2D49" w:rsidRPr="00C319D0">
        <w:rPr>
          <w:rFonts w:ascii="Cambria" w:eastAsia="Times New Roman" w:hAnsi="Cambria" w:cs="Times New Roman"/>
          <w:color w:val="000000" w:themeColor="text1"/>
          <w:lang w:eastAsia="tr-TR"/>
        </w:rPr>
        <w:t>sonucundan hareketle</w:t>
      </w:r>
      <w:r w:rsidR="000B4CFA" w:rsidRPr="00C319D0">
        <w:rPr>
          <w:rFonts w:ascii="Cambria" w:eastAsia="Times New Roman" w:hAnsi="Cambria" w:cs="Times New Roman"/>
          <w:color w:val="000000" w:themeColor="text1"/>
          <w:lang w:eastAsia="tr-TR"/>
        </w:rPr>
        <w:t xml:space="preserve"> </w:t>
      </w:r>
      <w:r w:rsidR="008424A0" w:rsidRPr="00C319D0">
        <w:rPr>
          <w:rFonts w:ascii="Cambria" w:eastAsia="Times New Roman" w:hAnsi="Cambria" w:cs="Times New Roman"/>
          <w:color w:val="000000" w:themeColor="text1"/>
          <w:lang w:eastAsia="tr-TR"/>
        </w:rPr>
        <w:t xml:space="preserve">öğrencilerin </w:t>
      </w:r>
      <w:r w:rsidR="009A63D2" w:rsidRPr="00C319D0">
        <w:rPr>
          <w:rFonts w:ascii="Cambria" w:eastAsia="Times New Roman" w:hAnsi="Cambria" w:cs="Times New Roman"/>
          <w:color w:val="000000" w:themeColor="text1"/>
          <w:lang w:eastAsia="tr-TR"/>
        </w:rPr>
        <w:t>b</w:t>
      </w:r>
      <w:r w:rsidR="008424A0" w:rsidRPr="00C319D0">
        <w:rPr>
          <w:rFonts w:ascii="Cambria" w:eastAsia="Times New Roman" w:hAnsi="Cambria" w:cs="Times New Roman"/>
          <w:color w:val="000000" w:themeColor="text1"/>
          <w:lang w:eastAsia="tr-TR"/>
        </w:rPr>
        <w:t>ir disipline özgü öğrenme</w:t>
      </w:r>
      <w:r w:rsidR="009A63D2" w:rsidRPr="00C319D0">
        <w:rPr>
          <w:rFonts w:ascii="Cambria" w:eastAsia="Times New Roman" w:hAnsi="Cambria" w:cs="Times New Roman"/>
          <w:color w:val="000000" w:themeColor="text1"/>
          <w:lang w:eastAsia="tr-TR"/>
        </w:rPr>
        <w:t xml:space="preserve"> yaklaşımlarını inceleyen </w:t>
      </w:r>
      <w:r w:rsidR="000C0A26" w:rsidRPr="00C319D0">
        <w:rPr>
          <w:rFonts w:ascii="Cambria" w:eastAsia="Times New Roman" w:hAnsi="Cambria" w:cs="Times New Roman"/>
          <w:color w:val="000000" w:themeColor="text1"/>
          <w:lang w:eastAsia="tr-TR"/>
        </w:rPr>
        <w:t>çalışmalar mevcuttur</w:t>
      </w:r>
      <w:r w:rsidR="008424A0" w:rsidRPr="00C319D0">
        <w:rPr>
          <w:rFonts w:ascii="Cambria" w:eastAsia="Times New Roman" w:hAnsi="Cambria" w:cs="Times New Roman"/>
          <w:color w:val="000000" w:themeColor="text1"/>
          <w:lang w:eastAsia="tr-TR"/>
        </w:rPr>
        <w:t>. Ünal Çoban ve Ergin (2008</w:t>
      </w:r>
      <w:r w:rsidR="009A63D2" w:rsidRPr="00C319D0">
        <w:rPr>
          <w:rFonts w:ascii="Cambria" w:eastAsia="Times New Roman" w:hAnsi="Cambria" w:cs="Times New Roman"/>
          <w:color w:val="000000" w:themeColor="text1"/>
          <w:lang w:eastAsia="tr-TR"/>
        </w:rPr>
        <w:t xml:space="preserve">), Hacıeminoğlu, Yılmaz Tüzün ve Ertepınar (2009) </w:t>
      </w:r>
      <w:r w:rsidR="000B4CFA" w:rsidRPr="00C319D0">
        <w:rPr>
          <w:rFonts w:ascii="Cambria" w:eastAsia="Times New Roman" w:hAnsi="Cambria" w:cs="Times New Roman"/>
          <w:color w:val="000000" w:themeColor="text1"/>
          <w:lang w:eastAsia="tr-TR"/>
        </w:rPr>
        <w:t xml:space="preserve">ortaokul </w:t>
      </w:r>
      <w:r w:rsidR="00DD2097" w:rsidRPr="00C319D0">
        <w:rPr>
          <w:rFonts w:ascii="Cambria" w:eastAsia="Times New Roman" w:hAnsi="Cambria" w:cs="Times New Roman"/>
          <w:color w:val="000000" w:themeColor="text1"/>
          <w:lang w:eastAsia="tr-TR"/>
        </w:rPr>
        <w:t xml:space="preserve">öğrencilerin </w:t>
      </w:r>
      <w:r w:rsidR="000C0A26" w:rsidRPr="00C319D0">
        <w:rPr>
          <w:rFonts w:ascii="Cambria" w:eastAsia="Times New Roman" w:hAnsi="Cambria" w:cs="Times New Roman"/>
          <w:color w:val="000000" w:themeColor="text1"/>
          <w:lang w:eastAsia="tr-TR"/>
        </w:rPr>
        <w:t>feni öğrenme yaklaşımlarını incelemiştir</w:t>
      </w:r>
      <w:r w:rsidR="00DD2097" w:rsidRPr="00C319D0">
        <w:rPr>
          <w:rFonts w:ascii="Cambria" w:eastAsia="Times New Roman" w:hAnsi="Cambria" w:cs="Times New Roman"/>
          <w:color w:val="000000" w:themeColor="text1"/>
          <w:lang w:eastAsia="tr-TR"/>
        </w:rPr>
        <w:t>.</w:t>
      </w:r>
      <w:r w:rsidR="000B4CFA" w:rsidRPr="00C319D0">
        <w:rPr>
          <w:rFonts w:ascii="Cambria" w:eastAsia="Times New Roman" w:hAnsi="Cambria" w:cs="Times New Roman"/>
          <w:color w:val="000000" w:themeColor="text1"/>
          <w:lang w:eastAsia="tr-TR"/>
        </w:rPr>
        <w:t xml:space="preserve"> </w:t>
      </w:r>
      <w:r w:rsidR="001325DC" w:rsidRPr="00C319D0">
        <w:rPr>
          <w:rFonts w:ascii="Cambria" w:eastAsia="Times New Roman" w:hAnsi="Cambria" w:cs="Times New Roman"/>
          <w:color w:val="000000" w:themeColor="text1"/>
          <w:lang w:eastAsia="tr-TR"/>
        </w:rPr>
        <w:t xml:space="preserve">Gezer ve Şahin (2017) ortaokul öğrencilerinin sosyal bilgiler dersi öğrenme yaklaşımlarını ölçmek için Sosyal Bilgiler Öğrenme Yaklaşımları Ölçeği’ni geliştirmişlerdir. </w:t>
      </w:r>
      <w:r w:rsidR="000C0A26" w:rsidRPr="00C319D0">
        <w:rPr>
          <w:rFonts w:ascii="Cambria" w:eastAsia="Times New Roman" w:hAnsi="Cambria" w:cs="Times New Roman"/>
          <w:color w:val="000000" w:themeColor="text1"/>
          <w:lang w:eastAsia="tr-TR"/>
        </w:rPr>
        <w:t xml:space="preserve">Ayrıca </w:t>
      </w:r>
      <w:r w:rsidR="006E5F42" w:rsidRPr="00C319D0">
        <w:rPr>
          <w:rFonts w:ascii="Cambria" w:eastAsia="Times New Roman" w:hAnsi="Cambria" w:cs="Times New Roman"/>
          <w:color w:val="000000" w:themeColor="text1"/>
          <w:lang w:eastAsia="tr-TR"/>
        </w:rPr>
        <w:t>üniversite öğrencilerinin</w:t>
      </w:r>
      <w:r w:rsidR="00DD2097" w:rsidRPr="00C319D0">
        <w:rPr>
          <w:rFonts w:ascii="Cambria" w:eastAsia="Times New Roman" w:hAnsi="Cambria" w:cs="Times New Roman"/>
          <w:color w:val="000000" w:themeColor="text1"/>
          <w:lang w:eastAsia="tr-TR"/>
        </w:rPr>
        <w:t xml:space="preserve"> </w:t>
      </w:r>
      <w:r w:rsidR="00A832D3" w:rsidRPr="00C319D0">
        <w:rPr>
          <w:rFonts w:ascii="Cambria" w:eastAsia="Times New Roman" w:hAnsi="Cambria" w:cs="Times New Roman"/>
          <w:color w:val="000000" w:themeColor="text1"/>
          <w:lang w:eastAsia="tr-TR"/>
        </w:rPr>
        <w:lastRenderedPageBreak/>
        <w:t xml:space="preserve">matematik </w:t>
      </w:r>
      <w:r w:rsidR="00DD2097" w:rsidRPr="00C319D0">
        <w:rPr>
          <w:rFonts w:ascii="Cambria" w:eastAsia="Times New Roman" w:hAnsi="Cambria" w:cs="Times New Roman"/>
          <w:color w:val="000000" w:themeColor="text1"/>
          <w:lang w:eastAsia="tr-TR"/>
        </w:rPr>
        <w:t>öğrenme yaklaşımlarını</w:t>
      </w:r>
      <w:r w:rsidR="00A6302B" w:rsidRPr="00C319D0">
        <w:rPr>
          <w:rFonts w:ascii="Cambria" w:eastAsia="Times New Roman" w:hAnsi="Cambria" w:cs="Times New Roman"/>
          <w:color w:val="000000" w:themeColor="text1"/>
          <w:lang w:eastAsia="tr-TR"/>
        </w:rPr>
        <w:t xml:space="preserve"> inceleyen çalışmalar</w:t>
      </w:r>
      <w:r w:rsidR="00DD2097" w:rsidRPr="00C319D0">
        <w:rPr>
          <w:rFonts w:ascii="Cambria" w:eastAsia="Times New Roman" w:hAnsi="Cambria" w:cs="Times New Roman"/>
          <w:color w:val="000000" w:themeColor="text1"/>
          <w:lang w:eastAsia="tr-TR"/>
        </w:rPr>
        <w:t xml:space="preserve"> (</w:t>
      </w:r>
      <w:r w:rsidR="0050229F" w:rsidRPr="00C319D0">
        <w:rPr>
          <w:rFonts w:ascii="Cambria" w:eastAsia="Times New Roman" w:hAnsi="Cambria" w:cs="Times New Roman"/>
          <w:color w:val="000000" w:themeColor="text1"/>
          <w:lang w:eastAsia="tr-TR"/>
        </w:rPr>
        <w:t xml:space="preserve">Cano </w:t>
      </w:r>
      <w:r w:rsidR="002A2A80">
        <w:rPr>
          <w:rFonts w:ascii="Cambria" w:eastAsia="Times New Roman" w:hAnsi="Cambria" w:cs="Times New Roman"/>
          <w:color w:val="000000" w:themeColor="text1"/>
          <w:lang w:eastAsia="tr-TR"/>
        </w:rPr>
        <w:t>&amp;</w:t>
      </w:r>
      <w:r w:rsidR="0050229F" w:rsidRPr="00C319D0">
        <w:rPr>
          <w:rFonts w:ascii="Cambria" w:eastAsia="Times New Roman" w:hAnsi="Cambria" w:cs="Times New Roman"/>
          <w:color w:val="000000" w:themeColor="text1"/>
          <w:lang w:eastAsia="tr-TR"/>
        </w:rPr>
        <w:t xml:space="preserve"> Berben, 2009; </w:t>
      </w:r>
      <w:r w:rsidR="001B5430" w:rsidRPr="00C319D0">
        <w:rPr>
          <w:rFonts w:ascii="Cambria" w:eastAsia="Times New Roman" w:hAnsi="Cambria" w:cs="Times New Roman"/>
          <w:color w:val="000000" w:themeColor="text1"/>
          <w:lang w:eastAsia="tr-TR"/>
        </w:rPr>
        <w:t>Darlington, 2011</w:t>
      </w:r>
      <w:r w:rsidR="006E5F42" w:rsidRPr="00C319D0">
        <w:rPr>
          <w:rFonts w:ascii="Cambria" w:eastAsia="Times New Roman" w:hAnsi="Cambria" w:cs="Times New Roman"/>
          <w:color w:val="000000" w:themeColor="text1"/>
          <w:lang w:eastAsia="tr-TR"/>
        </w:rPr>
        <w:t xml:space="preserve">; Matic, Matic </w:t>
      </w:r>
      <w:r w:rsidR="002A2A80">
        <w:rPr>
          <w:rFonts w:ascii="Cambria" w:eastAsia="Times New Roman" w:hAnsi="Cambria" w:cs="Times New Roman"/>
          <w:color w:val="000000" w:themeColor="text1"/>
          <w:lang w:eastAsia="tr-TR"/>
        </w:rPr>
        <w:t>&amp;</w:t>
      </w:r>
      <w:r w:rsidR="006E5F42" w:rsidRPr="00C319D0">
        <w:rPr>
          <w:rFonts w:ascii="Cambria" w:eastAsia="Times New Roman" w:hAnsi="Cambria" w:cs="Times New Roman"/>
          <w:color w:val="000000" w:themeColor="text1"/>
          <w:lang w:eastAsia="tr-TR"/>
        </w:rPr>
        <w:t xml:space="preserve"> Katalenic, 2013</w:t>
      </w:r>
      <w:r w:rsidR="000C0A26" w:rsidRPr="00C319D0">
        <w:rPr>
          <w:rFonts w:ascii="Cambria" w:eastAsia="Times New Roman" w:hAnsi="Cambria" w:cs="Times New Roman"/>
          <w:color w:val="000000" w:themeColor="text1"/>
          <w:lang w:eastAsia="tr-TR"/>
        </w:rPr>
        <w:t xml:space="preserve">) literatürde yer almaktadır. </w:t>
      </w:r>
      <w:r w:rsidR="001D48E2" w:rsidRPr="00C319D0">
        <w:rPr>
          <w:rFonts w:ascii="Cambria" w:eastAsia="Times New Roman" w:hAnsi="Cambria" w:cs="Times New Roman"/>
          <w:color w:val="000000" w:themeColor="text1"/>
          <w:lang w:eastAsia="tr-TR"/>
        </w:rPr>
        <w:t>Sonuç</w:t>
      </w:r>
      <w:r w:rsidR="00DD2097" w:rsidRPr="00C319D0">
        <w:rPr>
          <w:rFonts w:ascii="Cambria" w:eastAsia="Times New Roman" w:hAnsi="Cambria" w:cs="Times New Roman"/>
          <w:color w:val="000000" w:themeColor="text1"/>
          <w:lang w:eastAsia="tr-TR"/>
        </w:rPr>
        <w:t xml:space="preserve"> olarak </w:t>
      </w:r>
      <w:r w:rsidR="00955D1A" w:rsidRPr="00C319D0">
        <w:rPr>
          <w:rFonts w:ascii="Cambria" w:eastAsia="Times New Roman" w:hAnsi="Cambria" w:cs="Times New Roman"/>
          <w:color w:val="000000" w:themeColor="text1"/>
          <w:lang w:eastAsia="tr-TR"/>
        </w:rPr>
        <w:t>öğrencilerin</w:t>
      </w:r>
      <w:r w:rsidR="000B4CFA" w:rsidRPr="00C319D0">
        <w:rPr>
          <w:rFonts w:ascii="Cambria" w:eastAsia="Times New Roman" w:hAnsi="Cambria" w:cs="Times New Roman"/>
          <w:color w:val="000000" w:themeColor="text1"/>
          <w:lang w:eastAsia="tr-TR"/>
        </w:rPr>
        <w:t xml:space="preserve"> bir alana </w:t>
      </w:r>
      <w:r w:rsidR="0003577D" w:rsidRPr="00C319D0">
        <w:rPr>
          <w:rFonts w:ascii="Cambria" w:eastAsia="Times New Roman" w:hAnsi="Cambria" w:cs="Times New Roman"/>
          <w:color w:val="000000" w:themeColor="text1"/>
          <w:lang w:eastAsia="tr-TR"/>
        </w:rPr>
        <w:t xml:space="preserve">özgü </w:t>
      </w:r>
      <w:r w:rsidR="00955D1A" w:rsidRPr="00C319D0">
        <w:rPr>
          <w:rFonts w:ascii="Cambria" w:eastAsia="Times New Roman" w:hAnsi="Cambria" w:cs="Times New Roman"/>
          <w:color w:val="000000" w:themeColor="text1"/>
          <w:lang w:eastAsia="tr-TR"/>
        </w:rPr>
        <w:t xml:space="preserve">öğrenme yaklaşımlarını inceleyen </w:t>
      </w:r>
      <w:r w:rsidR="000C0A26" w:rsidRPr="00C319D0">
        <w:rPr>
          <w:rFonts w:ascii="Cambria" w:eastAsia="Times New Roman" w:hAnsi="Cambria" w:cs="Times New Roman"/>
          <w:color w:val="000000" w:themeColor="text1"/>
          <w:lang w:eastAsia="tr-TR"/>
        </w:rPr>
        <w:t>araştırmalar</w:t>
      </w:r>
      <w:r w:rsidR="00955D1A" w:rsidRPr="00C319D0">
        <w:rPr>
          <w:rFonts w:ascii="Cambria" w:eastAsia="Times New Roman" w:hAnsi="Cambria" w:cs="Times New Roman"/>
          <w:color w:val="000000" w:themeColor="text1"/>
          <w:lang w:eastAsia="tr-TR"/>
        </w:rPr>
        <w:t xml:space="preserve"> bulunmaktadır. </w:t>
      </w:r>
    </w:p>
    <w:p w14:paraId="65C10926" w14:textId="51E3305D" w:rsidR="004B03C4" w:rsidRPr="00C319D0" w:rsidRDefault="00545095" w:rsidP="00545095">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Ünal </w:t>
      </w:r>
      <w:r w:rsidR="00D1474E" w:rsidRPr="00C319D0">
        <w:rPr>
          <w:rFonts w:ascii="Cambria" w:eastAsia="Times New Roman" w:hAnsi="Cambria" w:cs="Times New Roman"/>
          <w:color w:val="000000" w:themeColor="text1"/>
          <w:lang w:eastAsia="tr-TR"/>
        </w:rPr>
        <w:t>Çoban ve Ergin (2008)</w:t>
      </w:r>
      <w:r w:rsidR="00C90091">
        <w:rPr>
          <w:rFonts w:ascii="Cambria" w:eastAsia="Times New Roman" w:hAnsi="Cambria" w:cs="Times New Roman"/>
          <w:color w:val="000000" w:themeColor="text1"/>
          <w:lang w:eastAsia="tr-TR"/>
        </w:rPr>
        <w:t xml:space="preserve"> tarafından yapılan çalışmanın</w:t>
      </w:r>
      <w:r w:rsidR="00D1474E" w:rsidRPr="00C319D0">
        <w:rPr>
          <w:rFonts w:ascii="Cambria" w:eastAsia="Times New Roman" w:hAnsi="Cambria" w:cs="Times New Roman"/>
          <w:color w:val="000000" w:themeColor="text1"/>
          <w:lang w:eastAsia="tr-TR"/>
        </w:rPr>
        <w:t xml:space="preserve"> sonuçlarına göre yedinci ve sekizinci sınıf öğrencileri fen dersi için hem derinlemesine hem de yüzeysel öğrenme yaklaşımlarına sahiptir. </w:t>
      </w:r>
      <w:r w:rsidR="001E45CD" w:rsidRPr="00C319D0">
        <w:rPr>
          <w:rFonts w:ascii="Cambria" w:eastAsia="Times New Roman" w:hAnsi="Cambria" w:cs="Times New Roman"/>
          <w:color w:val="000000" w:themeColor="text1"/>
          <w:lang w:eastAsia="tr-TR"/>
        </w:rPr>
        <w:t>Ekinci (2009) üç üniversitenin farklı bölümlerinde eğitim görmekte olan 3428 öğrenci ile çalışmış ve öğ</w:t>
      </w:r>
      <w:r w:rsidR="00D1474E" w:rsidRPr="00C319D0">
        <w:rPr>
          <w:rFonts w:ascii="Cambria" w:eastAsia="Times New Roman" w:hAnsi="Cambria" w:cs="Times New Roman"/>
          <w:color w:val="000000" w:themeColor="text1"/>
          <w:lang w:eastAsia="tr-TR"/>
        </w:rPr>
        <w:t>rencilerin</w:t>
      </w:r>
      <w:r w:rsidR="001E45CD" w:rsidRPr="00C319D0">
        <w:rPr>
          <w:rFonts w:ascii="Cambria" w:eastAsia="Times New Roman" w:hAnsi="Cambria" w:cs="Times New Roman"/>
          <w:color w:val="000000" w:themeColor="text1"/>
          <w:lang w:eastAsia="tr-TR"/>
        </w:rPr>
        <w:t xml:space="preserve"> stratejik ö</w:t>
      </w:r>
      <w:r w:rsidR="00D1474E" w:rsidRPr="00C319D0">
        <w:rPr>
          <w:rFonts w:ascii="Cambria" w:eastAsia="Times New Roman" w:hAnsi="Cambria" w:cs="Times New Roman"/>
          <w:color w:val="000000" w:themeColor="text1"/>
          <w:lang w:eastAsia="tr-TR"/>
        </w:rPr>
        <w:t>ğrenme yaklaşı</w:t>
      </w:r>
      <w:r w:rsidR="001E45CD" w:rsidRPr="00C319D0">
        <w:rPr>
          <w:rFonts w:ascii="Cambria" w:eastAsia="Times New Roman" w:hAnsi="Cambria" w:cs="Times New Roman"/>
          <w:color w:val="000000" w:themeColor="text1"/>
          <w:lang w:eastAsia="tr-TR"/>
        </w:rPr>
        <w:t>mı</w:t>
      </w:r>
      <w:r w:rsidR="00EB52BE">
        <w:rPr>
          <w:rFonts w:ascii="Cambria" w:eastAsia="Times New Roman" w:hAnsi="Cambria" w:cs="Times New Roman"/>
          <w:color w:val="000000" w:themeColor="text1"/>
          <w:lang w:eastAsia="tr-TR"/>
        </w:rPr>
        <w:t>na</w:t>
      </w:r>
      <w:r w:rsidR="00D1474E" w:rsidRPr="00C319D0">
        <w:rPr>
          <w:rFonts w:ascii="Cambria" w:eastAsia="Times New Roman" w:hAnsi="Cambria" w:cs="Times New Roman"/>
          <w:color w:val="000000" w:themeColor="text1"/>
          <w:lang w:eastAsia="tr-TR"/>
        </w:rPr>
        <w:t xml:space="preserve"> ilişkin puanlarını</w:t>
      </w:r>
      <w:r w:rsidR="001E45CD" w:rsidRPr="00C319D0">
        <w:rPr>
          <w:rFonts w:ascii="Cambria" w:eastAsia="Times New Roman" w:hAnsi="Cambria" w:cs="Times New Roman"/>
          <w:color w:val="000000" w:themeColor="text1"/>
          <w:lang w:eastAsia="tr-TR"/>
        </w:rPr>
        <w:t>n yü</w:t>
      </w:r>
      <w:r w:rsidR="00D1474E" w:rsidRPr="00C319D0">
        <w:rPr>
          <w:rFonts w:ascii="Cambria" w:eastAsia="Times New Roman" w:hAnsi="Cambria" w:cs="Times New Roman"/>
          <w:color w:val="000000" w:themeColor="text1"/>
          <w:lang w:eastAsia="tr-TR"/>
        </w:rPr>
        <w:t>zeysel</w:t>
      </w:r>
      <w:r w:rsidR="001E45CD" w:rsidRPr="00C319D0">
        <w:rPr>
          <w:rFonts w:ascii="Cambria" w:eastAsia="Times New Roman" w:hAnsi="Cambria" w:cs="Times New Roman"/>
          <w:color w:val="000000" w:themeColor="text1"/>
          <w:lang w:eastAsia="tr-TR"/>
        </w:rPr>
        <w:t xml:space="preserve"> ö</w:t>
      </w:r>
      <w:r w:rsidR="00D1474E" w:rsidRPr="00C319D0">
        <w:rPr>
          <w:rFonts w:ascii="Cambria" w:eastAsia="Times New Roman" w:hAnsi="Cambria" w:cs="Times New Roman"/>
          <w:color w:val="000000" w:themeColor="text1"/>
          <w:lang w:eastAsia="tr-TR"/>
        </w:rPr>
        <w:t>ğrenme yaklaşımı puanları</w:t>
      </w:r>
      <w:r w:rsidR="001E45CD" w:rsidRPr="00C319D0">
        <w:rPr>
          <w:rFonts w:ascii="Cambria" w:eastAsia="Times New Roman" w:hAnsi="Cambria" w:cs="Times New Roman"/>
          <w:color w:val="000000" w:themeColor="text1"/>
          <w:lang w:eastAsia="tr-TR"/>
        </w:rPr>
        <w:t>ndan daha yü</w:t>
      </w:r>
      <w:r w:rsidR="00D1474E" w:rsidRPr="00C319D0">
        <w:rPr>
          <w:rFonts w:ascii="Cambria" w:eastAsia="Times New Roman" w:hAnsi="Cambria" w:cs="Times New Roman"/>
          <w:color w:val="000000" w:themeColor="text1"/>
          <w:lang w:eastAsia="tr-TR"/>
        </w:rPr>
        <w:t xml:space="preserve">ksek olduğu </w:t>
      </w:r>
      <w:r w:rsidR="001E45CD" w:rsidRPr="00C319D0">
        <w:rPr>
          <w:rFonts w:ascii="Cambria" w:eastAsia="Times New Roman" w:hAnsi="Cambria" w:cs="Times New Roman"/>
          <w:color w:val="000000" w:themeColor="text1"/>
          <w:lang w:eastAsia="tr-TR"/>
        </w:rPr>
        <w:t>sonucuna ulaşmıştır.</w:t>
      </w:r>
      <w:r w:rsidR="006364A1" w:rsidRPr="00C319D0">
        <w:rPr>
          <w:rFonts w:ascii="Cambria" w:eastAsia="Times New Roman" w:hAnsi="Cambria" w:cs="Times New Roman"/>
          <w:color w:val="000000" w:themeColor="text1"/>
          <w:lang w:eastAsia="tr-TR"/>
        </w:rPr>
        <w:t xml:space="preserve"> </w:t>
      </w:r>
      <w:r w:rsidR="00BA08FF" w:rsidRPr="00C319D0">
        <w:rPr>
          <w:rFonts w:ascii="Cambria" w:eastAsia="Times New Roman" w:hAnsi="Cambria" w:cs="Times New Roman"/>
          <w:bCs/>
          <w:color w:val="000000" w:themeColor="text1"/>
          <w:lang w:eastAsia="tr-TR"/>
        </w:rPr>
        <w:t xml:space="preserve">Senemoğlu (2011) tarafından gerçekleştirilen çalışmaya katılan Türk öğrenciler stratejik öğrenme yaklaşımını yüzeysel öğrenme yaklaşımından daha çok tercih etmektedirler. </w:t>
      </w:r>
      <w:r w:rsidR="006364A1" w:rsidRPr="00C319D0">
        <w:rPr>
          <w:rFonts w:ascii="Cambria" w:eastAsia="Times New Roman" w:hAnsi="Cambria" w:cs="Times New Roman"/>
          <w:color w:val="000000" w:themeColor="text1"/>
          <w:lang w:eastAsia="tr-TR"/>
        </w:rPr>
        <w:t xml:space="preserve">Matic, Matic ve Katalenic (2013) tarafından gerçekleştirilen çalışmanın sonuçlarına göre </w:t>
      </w:r>
      <w:r w:rsidR="00C1168D" w:rsidRPr="00C319D0">
        <w:rPr>
          <w:rFonts w:ascii="Cambria" w:eastAsia="Times New Roman" w:hAnsi="Cambria" w:cs="Times New Roman"/>
          <w:color w:val="000000" w:themeColor="text1"/>
          <w:lang w:eastAsia="tr-TR"/>
        </w:rPr>
        <w:t xml:space="preserve">mühendislik fakültesi birinci sınıf </w:t>
      </w:r>
      <w:r w:rsidR="006364A1" w:rsidRPr="00C319D0">
        <w:rPr>
          <w:rFonts w:ascii="Cambria" w:eastAsia="Times New Roman" w:hAnsi="Cambria" w:cs="Times New Roman"/>
          <w:color w:val="000000" w:themeColor="text1"/>
          <w:lang w:eastAsia="tr-TR"/>
        </w:rPr>
        <w:t xml:space="preserve">öğrencileri </w:t>
      </w:r>
      <w:r w:rsidR="00C1168D" w:rsidRPr="00C319D0">
        <w:rPr>
          <w:rFonts w:ascii="Cambria" w:eastAsia="Times New Roman" w:hAnsi="Cambria" w:cs="Times New Roman"/>
          <w:color w:val="000000" w:themeColor="text1"/>
          <w:lang w:eastAsia="tr-TR"/>
        </w:rPr>
        <w:t xml:space="preserve">zorunlu olarak aldıkları matematik derslerinde </w:t>
      </w:r>
      <w:r w:rsidR="006364A1" w:rsidRPr="00C319D0">
        <w:rPr>
          <w:rFonts w:ascii="Cambria" w:eastAsia="Times New Roman" w:hAnsi="Cambria" w:cs="Times New Roman"/>
          <w:color w:val="000000" w:themeColor="text1"/>
          <w:lang w:eastAsia="tr-TR"/>
        </w:rPr>
        <w:t xml:space="preserve">en çok stratejik sonra derinlemesine ve daha sonra da yüzeysel öğrenme yaklaşımını tercih etmektedirler. </w:t>
      </w:r>
    </w:p>
    <w:p w14:paraId="3988F31D" w14:textId="504110DA" w:rsidR="002B2721" w:rsidRPr="00C319D0" w:rsidRDefault="003B021C" w:rsidP="00545095">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Öğrenme yaklaşımları ile ilgili </w:t>
      </w:r>
      <w:r w:rsidR="00243702" w:rsidRPr="00C319D0">
        <w:rPr>
          <w:rFonts w:ascii="Cambria" w:eastAsia="Times New Roman" w:hAnsi="Cambria" w:cs="Times New Roman"/>
          <w:color w:val="000000" w:themeColor="text1"/>
          <w:lang w:eastAsia="tr-TR"/>
        </w:rPr>
        <w:t xml:space="preserve">yapılan araştırmalar </w:t>
      </w:r>
      <w:r w:rsidR="00D67502" w:rsidRPr="00C319D0">
        <w:rPr>
          <w:rFonts w:ascii="Cambria" w:eastAsia="Times New Roman" w:hAnsi="Cambria" w:cs="Times New Roman"/>
          <w:color w:val="000000" w:themeColor="text1"/>
          <w:lang w:eastAsia="tr-TR"/>
        </w:rPr>
        <w:t xml:space="preserve">yukarıda verilen çalışmalar </w:t>
      </w:r>
      <w:r w:rsidR="00243702" w:rsidRPr="00C319D0">
        <w:rPr>
          <w:rFonts w:ascii="Cambria" w:eastAsia="Times New Roman" w:hAnsi="Cambria" w:cs="Times New Roman"/>
          <w:color w:val="000000" w:themeColor="text1"/>
          <w:lang w:eastAsia="tr-TR"/>
        </w:rPr>
        <w:t xml:space="preserve">ile birlikte </w:t>
      </w:r>
      <w:r w:rsidR="00D67502" w:rsidRPr="00C319D0">
        <w:rPr>
          <w:rFonts w:ascii="Cambria" w:eastAsia="Times New Roman" w:hAnsi="Cambria" w:cs="Times New Roman"/>
          <w:color w:val="000000" w:themeColor="text1"/>
          <w:lang w:eastAsia="tr-TR"/>
        </w:rPr>
        <w:t xml:space="preserve">değerlendirildiğinde </w:t>
      </w:r>
      <w:r w:rsidR="00A6302B" w:rsidRPr="00C319D0">
        <w:rPr>
          <w:rFonts w:ascii="Cambria" w:eastAsia="Times New Roman" w:hAnsi="Cambria" w:cs="Times New Roman"/>
          <w:color w:val="000000" w:themeColor="text1"/>
          <w:lang w:eastAsia="tr-TR"/>
        </w:rPr>
        <w:t>öğrencilerin bir alana özgü öğrenme yaklaşımlarının incelendiği çalışmalar</w:t>
      </w:r>
      <w:r w:rsidR="00F6667E" w:rsidRPr="00C319D0">
        <w:rPr>
          <w:rFonts w:ascii="Cambria" w:eastAsia="Times New Roman" w:hAnsi="Cambria" w:cs="Times New Roman"/>
          <w:color w:val="000000" w:themeColor="text1"/>
          <w:lang w:eastAsia="tr-TR"/>
        </w:rPr>
        <w:t>ın</w:t>
      </w:r>
      <w:r w:rsidR="00A6302B" w:rsidRPr="00C319D0">
        <w:rPr>
          <w:rFonts w:ascii="Cambria" w:eastAsia="Times New Roman" w:hAnsi="Cambria" w:cs="Times New Roman"/>
          <w:color w:val="000000" w:themeColor="text1"/>
          <w:lang w:eastAsia="tr-TR"/>
        </w:rPr>
        <w:t xml:space="preserve"> bireylerin genel olarak öğrenme yaklaşımlarının incelendiği çalışmalara göre daha az olduğu sonucu ortaya çıkmaktadır. </w:t>
      </w:r>
      <w:r w:rsidR="00F6667E" w:rsidRPr="00C319D0">
        <w:rPr>
          <w:rFonts w:ascii="Cambria" w:eastAsia="Times New Roman" w:hAnsi="Cambria" w:cs="Times New Roman"/>
          <w:color w:val="000000" w:themeColor="text1"/>
          <w:lang w:eastAsia="tr-TR"/>
        </w:rPr>
        <w:t>M</w:t>
      </w:r>
      <w:r w:rsidRPr="00C319D0">
        <w:rPr>
          <w:rFonts w:ascii="Cambria" w:eastAsia="Times New Roman" w:hAnsi="Cambria" w:cs="Times New Roman"/>
          <w:color w:val="000000" w:themeColor="text1"/>
          <w:lang w:eastAsia="tr-TR"/>
        </w:rPr>
        <w:t xml:space="preserve">evcut çalışmalarda kullanılan öğrenme yaklaşımları ölçekleri çoğunlukla </w:t>
      </w:r>
      <w:r w:rsidR="00F6667E" w:rsidRPr="00C319D0">
        <w:rPr>
          <w:rFonts w:ascii="Cambria" w:eastAsia="Times New Roman" w:hAnsi="Cambria" w:cs="Times New Roman"/>
          <w:color w:val="000000" w:themeColor="text1"/>
          <w:lang w:eastAsia="tr-TR"/>
        </w:rPr>
        <w:t xml:space="preserve">farklı öğrenim kademesindeki </w:t>
      </w:r>
      <w:r w:rsidRPr="00C319D0">
        <w:rPr>
          <w:rFonts w:ascii="Cambria" w:eastAsia="Times New Roman" w:hAnsi="Cambria" w:cs="Times New Roman"/>
          <w:color w:val="000000" w:themeColor="text1"/>
          <w:lang w:eastAsia="tr-TR"/>
        </w:rPr>
        <w:t xml:space="preserve">bireylerin genel olarak öğrenme yaklaşımlarını </w:t>
      </w:r>
      <w:r w:rsidR="00CE6ED6" w:rsidRPr="00C319D0">
        <w:rPr>
          <w:rFonts w:ascii="Cambria" w:eastAsia="Times New Roman" w:hAnsi="Cambria" w:cs="Times New Roman"/>
          <w:color w:val="000000" w:themeColor="text1"/>
          <w:lang w:eastAsia="tr-TR"/>
        </w:rPr>
        <w:t>incelemektedir</w:t>
      </w:r>
      <w:r w:rsidR="00F6667E" w:rsidRPr="00C319D0">
        <w:rPr>
          <w:rFonts w:ascii="Cambria" w:eastAsia="Times New Roman" w:hAnsi="Cambria" w:cs="Times New Roman"/>
          <w:color w:val="000000" w:themeColor="text1"/>
          <w:lang w:eastAsia="tr-TR"/>
        </w:rPr>
        <w:t xml:space="preserve"> (ör.</w:t>
      </w:r>
      <w:r w:rsidR="00CE6ED6" w:rsidRPr="00C319D0">
        <w:rPr>
          <w:rFonts w:ascii="Cambria" w:eastAsia="Times New Roman" w:hAnsi="Cambria" w:cs="Times New Roman"/>
          <w:color w:val="000000" w:themeColor="text1"/>
          <w:lang w:eastAsia="tr-TR"/>
        </w:rPr>
        <w:t xml:space="preserve"> </w:t>
      </w:r>
      <w:r w:rsidR="0050229F" w:rsidRPr="00C319D0">
        <w:rPr>
          <w:rFonts w:ascii="Cambria" w:eastAsia="Times New Roman" w:hAnsi="Cambria" w:cs="Times New Roman"/>
          <w:color w:val="000000" w:themeColor="text1"/>
          <w:lang w:eastAsia="tr-TR"/>
        </w:rPr>
        <w:t xml:space="preserve">Ellez </w:t>
      </w:r>
      <w:r w:rsidR="00C90091">
        <w:rPr>
          <w:rFonts w:ascii="Cambria" w:eastAsia="Times New Roman" w:hAnsi="Cambria" w:cs="Times New Roman"/>
          <w:color w:val="000000" w:themeColor="text1"/>
          <w:lang w:eastAsia="tr-TR"/>
        </w:rPr>
        <w:t>&amp;</w:t>
      </w:r>
      <w:r w:rsidR="0050229F" w:rsidRPr="00C319D0">
        <w:rPr>
          <w:rFonts w:ascii="Cambria" w:eastAsia="Times New Roman" w:hAnsi="Cambria" w:cs="Times New Roman"/>
          <w:color w:val="000000" w:themeColor="text1"/>
          <w:lang w:eastAsia="tr-TR"/>
        </w:rPr>
        <w:t xml:space="preserve"> Sezgin, 2002; Evans,  Kirby </w:t>
      </w:r>
      <w:r w:rsidR="00C90091">
        <w:rPr>
          <w:rFonts w:ascii="Cambria" w:eastAsia="Times New Roman" w:hAnsi="Cambria" w:cs="Times New Roman"/>
          <w:color w:val="000000" w:themeColor="text1"/>
          <w:lang w:eastAsia="tr-TR"/>
        </w:rPr>
        <w:t>&amp;</w:t>
      </w:r>
      <w:r w:rsidR="0050229F" w:rsidRPr="00C319D0">
        <w:rPr>
          <w:rFonts w:ascii="Cambria" w:eastAsia="Times New Roman" w:hAnsi="Cambria" w:cs="Times New Roman"/>
          <w:color w:val="000000" w:themeColor="text1"/>
          <w:lang w:eastAsia="tr-TR"/>
        </w:rPr>
        <w:t xml:space="preserve"> Fabrigar, 2003; Cano, 2005; Cope </w:t>
      </w:r>
      <w:r w:rsidR="00C90091">
        <w:rPr>
          <w:rFonts w:ascii="Cambria" w:eastAsia="Times New Roman" w:hAnsi="Cambria" w:cs="Times New Roman"/>
          <w:color w:val="000000" w:themeColor="text1"/>
          <w:lang w:eastAsia="tr-TR"/>
        </w:rPr>
        <w:t>&amp;</w:t>
      </w:r>
      <w:r w:rsidR="0050229F" w:rsidRPr="00C319D0">
        <w:rPr>
          <w:rFonts w:ascii="Cambria" w:eastAsia="Times New Roman" w:hAnsi="Cambria" w:cs="Times New Roman"/>
          <w:color w:val="000000" w:themeColor="text1"/>
          <w:lang w:eastAsia="tr-TR"/>
        </w:rPr>
        <w:t xml:space="preserve"> Staehr,  2005; </w:t>
      </w:r>
      <w:r w:rsidR="003E23B1" w:rsidRPr="00C319D0">
        <w:rPr>
          <w:rFonts w:ascii="Cambria" w:eastAsia="Times New Roman" w:hAnsi="Cambria" w:cs="Times New Roman"/>
          <w:color w:val="000000" w:themeColor="text1"/>
          <w:lang w:eastAsia="tr-TR"/>
        </w:rPr>
        <w:t xml:space="preserve">Heikkila </w:t>
      </w:r>
      <w:r w:rsidR="00C90091">
        <w:rPr>
          <w:rFonts w:ascii="Cambria" w:eastAsia="Times New Roman" w:hAnsi="Cambria" w:cs="Times New Roman"/>
          <w:color w:val="000000" w:themeColor="text1"/>
          <w:lang w:eastAsia="tr-TR"/>
        </w:rPr>
        <w:t>&amp;</w:t>
      </w:r>
      <w:r w:rsidR="003E23B1" w:rsidRPr="00C319D0">
        <w:rPr>
          <w:rFonts w:ascii="Cambria" w:eastAsia="Times New Roman" w:hAnsi="Cambria" w:cs="Times New Roman"/>
          <w:color w:val="000000" w:themeColor="text1"/>
          <w:lang w:eastAsia="tr-TR"/>
        </w:rPr>
        <w:t xml:space="preserve"> Lonka, 2006; </w:t>
      </w:r>
      <w:r w:rsidR="0050229F" w:rsidRPr="00C319D0">
        <w:rPr>
          <w:rFonts w:ascii="Cambria" w:eastAsia="Times New Roman" w:hAnsi="Cambria" w:cs="Times New Roman"/>
          <w:color w:val="000000" w:themeColor="text1"/>
          <w:lang w:eastAsia="tr-TR"/>
        </w:rPr>
        <w:t xml:space="preserve">Çolak </w:t>
      </w:r>
      <w:r w:rsidR="00C90091">
        <w:rPr>
          <w:rFonts w:ascii="Cambria" w:eastAsia="Times New Roman" w:hAnsi="Cambria" w:cs="Times New Roman"/>
          <w:color w:val="000000" w:themeColor="text1"/>
          <w:lang w:eastAsia="tr-TR"/>
        </w:rPr>
        <w:t>&amp;</w:t>
      </w:r>
      <w:r w:rsidR="0050229F" w:rsidRPr="00C319D0">
        <w:rPr>
          <w:rFonts w:ascii="Cambria" w:eastAsia="Times New Roman" w:hAnsi="Cambria" w:cs="Times New Roman"/>
          <w:color w:val="000000" w:themeColor="text1"/>
          <w:lang w:eastAsia="tr-TR"/>
        </w:rPr>
        <w:t xml:space="preserve"> Fer, 2007; </w:t>
      </w:r>
      <w:r w:rsidR="003E23B1" w:rsidRPr="00C319D0">
        <w:rPr>
          <w:rFonts w:ascii="Cambria" w:eastAsia="Times New Roman" w:hAnsi="Cambria" w:cs="Times New Roman"/>
          <w:color w:val="000000" w:themeColor="text1"/>
          <w:lang w:eastAsia="tr-TR"/>
        </w:rPr>
        <w:t xml:space="preserve">Rodriguez </w:t>
      </w:r>
      <w:r w:rsidR="00C90091">
        <w:rPr>
          <w:rFonts w:ascii="Cambria" w:eastAsia="Times New Roman" w:hAnsi="Cambria" w:cs="Times New Roman"/>
          <w:color w:val="000000" w:themeColor="text1"/>
          <w:lang w:eastAsia="tr-TR"/>
        </w:rPr>
        <w:t>&amp;</w:t>
      </w:r>
      <w:r w:rsidR="003E23B1" w:rsidRPr="00C319D0">
        <w:rPr>
          <w:rFonts w:ascii="Cambria" w:eastAsia="Times New Roman" w:hAnsi="Cambria" w:cs="Times New Roman"/>
          <w:color w:val="000000" w:themeColor="text1"/>
          <w:lang w:eastAsia="tr-TR"/>
        </w:rPr>
        <w:t xml:space="preserve"> Cano, 2007; </w:t>
      </w:r>
      <w:r w:rsidR="00CE6ED6" w:rsidRPr="00C319D0">
        <w:rPr>
          <w:rFonts w:ascii="Cambria" w:eastAsia="Times New Roman" w:hAnsi="Cambria" w:cs="Times New Roman"/>
          <w:color w:val="000000" w:themeColor="text1"/>
          <w:lang w:eastAsia="tr-TR"/>
        </w:rPr>
        <w:t>Ekinci, 2009;</w:t>
      </w:r>
      <w:r w:rsidR="003E23B1" w:rsidRPr="00C319D0">
        <w:rPr>
          <w:rFonts w:ascii="Cambria" w:eastAsia="Times New Roman" w:hAnsi="Cambria" w:cs="Times New Roman"/>
          <w:color w:val="000000" w:themeColor="text1"/>
          <w:lang w:eastAsia="tr-TR"/>
        </w:rPr>
        <w:t xml:space="preserve"> Beşoluk </w:t>
      </w:r>
      <w:r w:rsidR="00C90091">
        <w:rPr>
          <w:rFonts w:ascii="Cambria" w:eastAsia="Times New Roman" w:hAnsi="Cambria" w:cs="Times New Roman"/>
          <w:color w:val="000000" w:themeColor="text1"/>
          <w:lang w:eastAsia="tr-TR"/>
        </w:rPr>
        <w:t>&amp;</w:t>
      </w:r>
      <w:r w:rsidR="003E23B1" w:rsidRPr="00C319D0">
        <w:rPr>
          <w:rFonts w:ascii="Cambria" w:eastAsia="Times New Roman" w:hAnsi="Cambria" w:cs="Times New Roman"/>
          <w:color w:val="000000" w:themeColor="text1"/>
          <w:lang w:eastAsia="tr-TR"/>
        </w:rPr>
        <w:t xml:space="preserve"> Önder, 2010; </w:t>
      </w:r>
      <w:r w:rsidR="00CE6ED6" w:rsidRPr="00C319D0">
        <w:rPr>
          <w:rFonts w:ascii="Cambria" w:eastAsia="Times New Roman" w:hAnsi="Cambria" w:cs="Times New Roman"/>
          <w:color w:val="000000" w:themeColor="text1"/>
          <w:lang w:eastAsia="tr-TR"/>
        </w:rPr>
        <w:t xml:space="preserve"> Senemoğlu, 2011; </w:t>
      </w:r>
      <w:r w:rsidR="00EF1DDC" w:rsidRPr="00C319D0">
        <w:rPr>
          <w:rFonts w:ascii="Cambria" w:eastAsia="Times New Roman" w:hAnsi="Cambria" w:cs="Times New Roman"/>
          <w:color w:val="000000" w:themeColor="text1"/>
          <w:lang w:eastAsia="tr-TR"/>
        </w:rPr>
        <w:t xml:space="preserve">Doğan, Atmaca </w:t>
      </w:r>
      <w:r w:rsidR="00C90091">
        <w:rPr>
          <w:rFonts w:ascii="Cambria" w:eastAsia="Times New Roman" w:hAnsi="Cambria" w:cs="Times New Roman"/>
          <w:color w:val="000000" w:themeColor="text1"/>
          <w:lang w:eastAsia="tr-TR"/>
        </w:rPr>
        <w:t>&amp;</w:t>
      </w:r>
      <w:r w:rsidR="00EF1DDC" w:rsidRPr="00C319D0">
        <w:rPr>
          <w:rFonts w:ascii="Cambria" w:eastAsia="Times New Roman" w:hAnsi="Cambria" w:cs="Times New Roman"/>
          <w:color w:val="000000" w:themeColor="text1"/>
          <w:lang w:eastAsia="tr-TR"/>
        </w:rPr>
        <w:t xml:space="preserve"> Aslan Yolcu</w:t>
      </w:r>
      <w:r w:rsidR="00EA48A6" w:rsidRPr="00C319D0">
        <w:rPr>
          <w:rFonts w:ascii="Cambria" w:eastAsia="Times New Roman" w:hAnsi="Cambria" w:cs="Times New Roman"/>
          <w:color w:val="000000" w:themeColor="text1"/>
          <w:lang w:eastAsia="tr-TR"/>
        </w:rPr>
        <w:t xml:space="preserve">, </w:t>
      </w:r>
      <w:r w:rsidR="00EF1DDC" w:rsidRPr="00C319D0">
        <w:rPr>
          <w:rFonts w:ascii="Cambria" w:eastAsia="Times New Roman" w:hAnsi="Cambria" w:cs="Times New Roman"/>
          <w:color w:val="000000" w:themeColor="text1"/>
          <w:lang w:eastAsia="tr-TR"/>
        </w:rPr>
        <w:t>2012</w:t>
      </w:r>
      <w:r w:rsidR="00EA48A6" w:rsidRPr="00C319D0">
        <w:rPr>
          <w:rFonts w:ascii="Cambria" w:eastAsia="Times New Roman" w:hAnsi="Cambria" w:cs="Times New Roman"/>
          <w:color w:val="000000" w:themeColor="text1"/>
          <w:lang w:eastAsia="tr-TR"/>
        </w:rPr>
        <w:t>).</w:t>
      </w:r>
      <w:r w:rsidR="00D67502" w:rsidRPr="00C319D0">
        <w:rPr>
          <w:rFonts w:ascii="Cambria" w:eastAsia="Times New Roman" w:hAnsi="Cambria" w:cs="Times New Roman"/>
          <w:color w:val="000000" w:themeColor="text1"/>
          <w:lang w:eastAsia="tr-TR"/>
        </w:rPr>
        <w:t xml:space="preserve"> </w:t>
      </w:r>
      <w:r w:rsidRPr="00C319D0">
        <w:rPr>
          <w:rFonts w:ascii="Cambria" w:eastAsia="Times New Roman" w:hAnsi="Cambria" w:cs="Times New Roman"/>
          <w:color w:val="000000" w:themeColor="text1"/>
          <w:lang w:eastAsia="tr-TR"/>
        </w:rPr>
        <w:t>Matematik dersine karşı öğrenme yaklaşımlarını belirleyen ölçeklerin geliştirildiği ya da kullanıldığı araştırmaların sayısı oldukça azdır</w:t>
      </w:r>
      <w:r w:rsidR="00EA48A6" w:rsidRPr="00C319D0">
        <w:rPr>
          <w:rFonts w:ascii="Cambria" w:eastAsia="Times New Roman" w:hAnsi="Cambria" w:cs="Times New Roman"/>
          <w:color w:val="000000" w:themeColor="text1"/>
          <w:lang w:eastAsia="tr-TR"/>
        </w:rPr>
        <w:t xml:space="preserve"> (ör. </w:t>
      </w:r>
      <w:r w:rsidR="003E23B1" w:rsidRPr="00C319D0">
        <w:rPr>
          <w:rFonts w:ascii="Cambria" w:eastAsia="Times New Roman" w:hAnsi="Cambria" w:cs="Times New Roman"/>
          <w:color w:val="000000" w:themeColor="text1"/>
          <w:lang w:eastAsia="tr-TR"/>
        </w:rPr>
        <w:t xml:space="preserve">Cano </w:t>
      </w:r>
      <w:r w:rsidR="00C90091">
        <w:rPr>
          <w:rFonts w:ascii="Cambria" w:eastAsia="Times New Roman" w:hAnsi="Cambria" w:cs="Times New Roman"/>
          <w:color w:val="000000" w:themeColor="text1"/>
          <w:lang w:eastAsia="tr-TR"/>
        </w:rPr>
        <w:t>&amp;</w:t>
      </w:r>
      <w:r w:rsidR="003E23B1" w:rsidRPr="00C319D0">
        <w:rPr>
          <w:rFonts w:ascii="Cambria" w:eastAsia="Times New Roman" w:hAnsi="Cambria" w:cs="Times New Roman"/>
          <w:color w:val="000000" w:themeColor="text1"/>
          <w:lang w:eastAsia="tr-TR"/>
        </w:rPr>
        <w:t xml:space="preserve"> Berben, 2009; </w:t>
      </w:r>
      <w:r w:rsidR="00EA48A6" w:rsidRPr="00C319D0">
        <w:rPr>
          <w:rFonts w:ascii="Cambria" w:eastAsia="Times New Roman" w:hAnsi="Cambria" w:cs="Times New Roman"/>
          <w:color w:val="000000" w:themeColor="text1"/>
          <w:lang w:eastAsia="tr-TR"/>
        </w:rPr>
        <w:t xml:space="preserve">Darlington, 2011; İlhan, Çetin </w:t>
      </w:r>
      <w:r w:rsidR="00C90091">
        <w:rPr>
          <w:rFonts w:ascii="Cambria" w:eastAsia="Times New Roman" w:hAnsi="Cambria" w:cs="Times New Roman"/>
          <w:color w:val="000000" w:themeColor="text1"/>
          <w:lang w:eastAsia="tr-TR"/>
        </w:rPr>
        <w:t>&amp;</w:t>
      </w:r>
      <w:r w:rsidR="00EA48A6" w:rsidRPr="00C319D0">
        <w:rPr>
          <w:rFonts w:ascii="Cambria" w:eastAsia="Times New Roman" w:hAnsi="Cambria" w:cs="Times New Roman"/>
          <w:color w:val="000000" w:themeColor="text1"/>
          <w:lang w:eastAsia="tr-TR"/>
        </w:rPr>
        <w:t xml:space="preserve"> Kılıç, 2013; </w:t>
      </w:r>
      <w:r w:rsidR="006E5F42" w:rsidRPr="00C319D0">
        <w:rPr>
          <w:rFonts w:ascii="Cambria" w:eastAsia="Times New Roman" w:hAnsi="Cambria" w:cs="Times New Roman"/>
          <w:color w:val="000000" w:themeColor="text1"/>
          <w:lang w:eastAsia="tr-TR"/>
        </w:rPr>
        <w:t xml:space="preserve">Matic, Matic </w:t>
      </w:r>
      <w:r w:rsidR="00C90091">
        <w:rPr>
          <w:rFonts w:ascii="Cambria" w:eastAsia="Times New Roman" w:hAnsi="Cambria" w:cs="Times New Roman"/>
          <w:color w:val="000000" w:themeColor="text1"/>
          <w:lang w:eastAsia="tr-TR"/>
        </w:rPr>
        <w:t>&amp;</w:t>
      </w:r>
      <w:r w:rsidR="006E5F42" w:rsidRPr="00C319D0">
        <w:rPr>
          <w:rFonts w:ascii="Cambria" w:eastAsia="Times New Roman" w:hAnsi="Cambria" w:cs="Times New Roman"/>
          <w:color w:val="000000" w:themeColor="text1"/>
          <w:lang w:eastAsia="tr-TR"/>
        </w:rPr>
        <w:t xml:space="preserve"> Katalenic, 2013) </w:t>
      </w:r>
      <w:r w:rsidR="00D03F04" w:rsidRPr="00C319D0">
        <w:rPr>
          <w:rFonts w:ascii="Cambria" w:eastAsia="Times New Roman" w:hAnsi="Cambria" w:cs="Times New Roman"/>
          <w:color w:val="000000" w:themeColor="text1"/>
          <w:lang w:eastAsia="tr-TR"/>
        </w:rPr>
        <w:t>ve bu çalışmalar lise ya da üniversite düzeyinde öğrenciler ile gerçekleştirilmiştir</w:t>
      </w:r>
      <w:r w:rsidR="006E5F42" w:rsidRPr="00C319D0">
        <w:rPr>
          <w:rFonts w:ascii="Cambria" w:eastAsia="Times New Roman" w:hAnsi="Cambria" w:cs="Times New Roman"/>
          <w:color w:val="000000" w:themeColor="text1"/>
          <w:lang w:eastAsia="tr-TR"/>
        </w:rPr>
        <w:t>.</w:t>
      </w:r>
      <w:r w:rsidR="00D03F04" w:rsidRPr="00C319D0">
        <w:rPr>
          <w:rFonts w:ascii="Cambria" w:eastAsia="Times New Roman" w:hAnsi="Cambria" w:cs="Times New Roman"/>
          <w:color w:val="000000" w:themeColor="text1"/>
          <w:lang w:eastAsia="tr-TR"/>
        </w:rPr>
        <w:t xml:space="preserve"> O</w:t>
      </w:r>
      <w:r w:rsidRPr="00C319D0">
        <w:rPr>
          <w:rFonts w:ascii="Cambria" w:eastAsia="Times New Roman" w:hAnsi="Cambria" w:cs="Times New Roman"/>
          <w:color w:val="000000" w:themeColor="text1"/>
          <w:lang w:eastAsia="tr-TR"/>
        </w:rPr>
        <w:t>rtaokul düzeyinde öğrencilerin matematik dersindeki öğrenme yaklaşımlarını inceleyen bir ölçeğin geliştirildiği çalışmaya rastlanmamıştır. Bu çalışma</w:t>
      </w:r>
      <w:r w:rsidR="002B2721" w:rsidRPr="00C319D0">
        <w:rPr>
          <w:rFonts w:ascii="Cambria" w:eastAsia="Times New Roman" w:hAnsi="Cambria" w:cs="Times New Roman"/>
          <w:color w:val="000000" w:themeColor="text1"/>
          <w:lang w:eastAsia="tr-TR"/>
        </w:rPr>
        <w:t xml:space="preserve"> ile özel olarak ortaokul öğrencilerinin matematik dersi ile ilgili öğrenme yaklaşımlarını incelemek amaçlandığından araştırmanın öğrenme yaklaşımları ile ilgili </w:t>
      </w:r>
      <w:r w:rsidRPr="00C319D0">
        <w:rPr>
          <w:rFonts w:ascii="Cambria" w:eastAsia="Times New Roman" w:hAnsi="Cambria" w:cs="Times New Roman"/>
          <w:color w:val="000000" w:themeColor="text1"/>
          <w:lang w:eastAsia="tr-TR"/>
        </w:rPr>
        <w:t>literatüre</w:t>
      </w:r>
      <w:r w:rsidR="002B2721" w:rsidRPr="00C319D0">
        <w:rPr>
          <w:rFonts w:ascii="Cambria" w:eastAsia="Times New Roman" w:hAnsi="Cambria" w:cs="Times New Roman"/>
          <w:color w:val="000000" w:themeColor="text1"/>
          <w:lang w:eastAsia="tr-TR"/>
        </w:rPr>
        <w:t xml:space="preserve"> ve matematik eğitimi çalışmalarına</w:t>
      </w:r>
      <w:r w:rsidRPr="00C319D0">
        <w:rPr>
          <w:rFonts w:ascii="Cambria" w:eastAsia="Times New Roman" w:hAnsi="Cambria" w:cs="Times New Roman"/>
          <w:color w:val="000000" w:themeColor="text1"/>
          <w:lang w:eastAsia="tr-TR"/>
        </w:rPr>
        <w:t xml:space="preserve"> katkı sağlayacağı düşünülmektedir. </w:t>
      </w:r>
    </w:p>
    <w:p w14:paraId="55E3601F" w14:textId="00FBCA06" w:rsidR="001D48E2" w:rsidRPr="00C319D0" w:rsidRDefault="002B2721" w:rsidP="00D44620">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Matematik eğitimi çalışmalarında araştırmacılar öğrencilerin tümünün aynı öğrenme yaklaşımını benimsemediği, farklı öğrenme yollarını tercih ettiği sonucuna ulaşmışlardır (İlhan, Çetin </w:t>
      </w:r>
      <w:r w:rsidR="00C90091">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Kılıç, 2013; Peker </w:t>
      </w:r>
      <w:r w:rsidR="00C90091">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Aydın, 2003; Yenilmez </w:t>
      </w:r>
      <w:r w:rsidR="00C90091">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Çakır, 2005).</w:t>
      </w:r>
      <w:r w:rsidR="009A2F6B" w:rsidRPr="00C319D0">
        <w:rPr>
          <w:rFonts w:ascii="Cambria" w:eastAsia="Times New Roman" w:hAnsi="Cambria" w:cs="Times New Roman"/>
          <w:color w:val="000000" w:themeColor="text1"/>
          <w:lang w:eastAsia="tr-TR"/>
        </w:rPr>
        <w:t xml:space="preserve"> </w:t>
      </w:r>
      <w:r w:rsidR="00352232" w:rsidRPr="00C319D0">
        <w:rPr>
          <w:rFonts w:ascii="Cambria" w:eastAsia="Times New Roman" w:hAnsi="Cambria" w:cs="Times New Roman"/>
          <w:color w:val="000000" w:themeColor="text1"/>
          <w:lang w:eastAsia="tr-TR"/>
        </w:rPr>
        <w:t>Öğrenenin yaşı ve sınıf düzeyi öğrenme yaklaşımlarını etkilemektedir. Öğrencilerin yaşları ve sınıf düzeyleri arttıkça anlamlı öğrenmeyi beraberinde getiren derinlemesine öğrenme yaklaşımın</w:t>
      </w:r>
      <w:r w:rsidR="001D48E2" w:rsidRPr="00C319D0">
        <w:rPr>
          <w:rFonts w:ascii="Cambria" w:eastAsia="Times New Roman" w:hAnsi="Cambria" w:cs="Times New Roman"/>
          <w:color w:val="000000" w:themeColor="text1"/>
          <w:lang w:eastAsia="tr-TR"/>
        </w:rPr>
        <w:t>ı daha çok tercih etmeleri, e</w:t>
      </w:r>
      <w:r w:rsidR="00352232" w:rsidRPr="00C319D0">
        <w:rPr>
          <w:rFonts w:ascii="Cambria" w:eastAsia="Times New Roman" w:hAnsi="Cambria" w:cs="Times New Roman"/>
          <w:color w:val="000000" w:themeColor="text1"/>
          <w:lang w:eastAsia="tr-TR"/>
        </w:rPr>
        <w:t>zbere öğrenmeyi gerek</w:t>
      </w:r>
      <w:r w:rsidR="00D44620" w:rsidRPr="00C319D0">
        <w:rPr>
          <w:rFonts w:ascii="Cambria" w:eastAsia="Times New Roman" w:hAnsi="Cambria" w:cs="Times New Roman"/>
          <w:color w:val="000000" w:themeColor="text1"/>
          <w:lang w:eastAsia="tr-TR"/>
        </w:rPr>
        <w:t>t</w:t>
      </w:r>
      <w:r w:rsidR="00352232" w:rsidRPr="00C319D0">
        <w:rPr>
          <w:rFonts w:ascii="Cambria" w:eastAsia="Times New Roman" w:hAnsi="Cambria" w:cs="Times New Roman"/>
          <w:color w:val="000000" w:themeColor="text1"/>
          <w:lang w:eastAsia="tr-TR"/>
        </w:rPr>
        <w:t>iren yüzeysel öğrenmeye da</w:t>
      </w:r>
      <w:r w:rsidR="001D48E2" w:rsidRPr="00C319D0">
        <w:rPr>
          <w:rFonts w:ascii="Cambria" w:eastAsia="Times New Roman" w:hAnsi="Cambria" w:cs="Times New Roman"/>
          <w:color w:val="000000" w:themeColor="text1"/>
          <w:lang w:eastAsia="tr-TR"/>
        </w:rPr>
        <w:t xml:space="preserve">ha az </w:t>
      </w:r>
      <w:r w:rsidR="00D44620" w:rsidRPr="00C319D0">
        <w:rPr>
          <w:rFonts w:ascii="Cambria" w:eastAsia="Times New Roman" w:hAnsi="Cambria" w:cs="Times New Roman"/>
          <w:color w:val="000000" w:themeColor="text1"/>
          <w:lang w:eastAsia="tr-TR"/>
        </w:rPr>
        <w:t xml:space="preserve">yönelmeleri istenen bir öğrenme çıktısıdır. Matematik öğretmenlerinin öğrencilerinin öğrenme yaklaşımları durumlarını göz önünde bulundurarak öğretim faaliyetleri içerisine girmesi etkili bir öğrenme ortamı sağlanmasında hem emek hem de zaman bakımından kazanç sağlayabilir. Örneğin eğer öğrencilerin önemli bir bölümü yüzeysel öğrenme yaklaşımına sahip ise öğretmen ezbere yönlendirecek çalışmalardan kaçınarak daha çok derinlemesine öğrenmeye yönlendirecek alternatif etkinliklerin sayısını arttırabilir. Dolayısıyla öğrenciler henüz ortaokul seviyesinde iken lise ya da üniversite gibi meslek tercihleri için önemli kararların verildiği öğretim seviyelerine geçilmeden öğrencilerin matematik dersini öğrenmeye karşı olan tercihlerinin belirlenmesi, matematik derslerinde öğrenme ortamlarının hazırlanmasında rehber olabilir. </w:t>
      </w:r>
      <w:r w:rsidR="008863AC" w:rsidRPr="00C319D0">
        <w:rPr>
          <w:rFonts w:ascii="Cambria" w:eastAsia="Times New Roman" w:hAnsi="Cambria" w:cs="Times New Roman"/>
          <w:color w:val="000000" w:themeColor="text1"/>
          <w:lang w:eastAsia="tr-TR"/>
        </w:rPr>
        <w:t>Mevcut çalışmanın ve öğrenme yaklaşımları ile ilgili matematik eğitimindeki diğer araştırmaların sonuçları e</w:t>
      </w:r>
      <w:r w:rsidRPr="00C319D0">
        <w:rPr>
          <w:rFonts w:ascii="Cambria" w:eastAsia="Times New Roman" w:hAnsi="Cambria" w:cs="Times New Roman"/>
          <w:color w:val="000000" w:themeColor="text1"/>
          <w:lang w:eastAsia="tr-TR"/>
        </w:rPr>
        <w:t xml:space="preserve">ğitim-öğretim faaliyetlerinde etkili bir şekilde </w:t>
      </w:r>
      <w:r w:rsidR="008863AC" w:rsidRPr="00C319D0">
        <w:rPr>
          <w:rFonts w:ascii="Cambria" w:eastAsia="Times New Roman" w:hAnsi="Cambria" w:cs="Times New Roman"/>
          <w:color w:val="000000" w:themeColor="text1"/>
          <w:lang w:eastAsia="tr-TR"/>
        </w:rPr>
        <w:t>değerlendirildiği</w:t>
      </w:r>
      <w:r w:rsidRPr="00C319D0">
        <w:rPr>
          <w:rFonts w:ascii="Cambria" w:eastAsia="Times New Roman" w:hAnsi="Cambria" w:cs="Times New Roman"/>
          <w:color w:val="000000" w:themeColor="text1"/>
          <w:lang w:eastAsia="tr-TR"/>
        </w:rPr>
        <w:t xml:space="preserve"> takdirde öğrencilere doğru yönlendirmeler yapılmasına ve matematik derslerinde öğretmenlerin kullandıkları öğretim yöntemlerini gözden geçirmesine imkân ver</w:t>
      </w:r>
      <w:r w:rsidR="00D90E96" w:rsidRPr="00C319D0">
        <w:rPr>
          <w:rFonts w:ascii="Cambria" w:eastAsia="Times New Roman" w:hAnsi="Cambria" w:cs="Times New Roman"/>
          <w:color w:val="000000" w:themeColor="text1"/>
          <w:lang w:eastAsia="tr-TR"/>
        </w:rPr>
        <w:t>ebilir.</w:t>
      </w:r>
      <w:r w:rsidR="00D1474E" w:rsidRPr="00C319D0">
        <w:rPr>
          <w:rFonts w:ascii="Cambria" w:eastAsia="Times New Roman" w:hAnsi="Cambria" w:cs="Times New Roman"/>
          <w:color w:val="000000" w:themeColor="text1"/>
          <w:lang w:eastAsia="tr-TR"/>
        </w:rPr>
        <w:t xml:space="preserve"> </w:t>
      </w:r>
    </w:p>
    <w:p w14:paraId="0EEB7522" w14:textId="77777777" w:rsidR="003B021C"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Bu çalışmanın birinci amacı öğrencilerin matematik dersindeki öğrenme yaklaşımlarını ölçmeye yarayan bir ölçme aracı geliştirmektir. İkinci amacı ise geliştirilen ölçek aracılığıyla ortaokul öğrencilerinin matematik öğrenme yaklaşımlarını tercih düzeylerini belirlemek ve sınıf düzeylerine</w:t>
      </w:r>
      <w:r w:rsidR="00AD4CE4" w:rsidRPr="00C319D0">
        <w:rPr>
          <w:rFonts w:ascii="Cambria" w:eastAsia="Times New Roman" w:hAnsi="Cambria" w:cs="Times New Roman"/>
          <w:color w:val="000000" w:themeColor="text1"/>
          <w:lang w:eastAsia="tr-TR"/>
        </w:rPr>
        <w:t xml:space="preserve"> </w:t>
      </w:r>
      <w:r w:rsidRPr="00C319D0">
        <w:rPr>
          <w:rFonts w:ascii="Cambria" w:eastAsia="Times New Roman" w:hAnsi="Cambria" w:cs="Times New Roman"/>
          <w:color w:val="000000" w:themeColor="text1"/>
          <w:lang w:eastAsia="tr-TR"/>
        </w:rPr>
        <w:t>göre anlamlı bir farklılık gösterip göstermediğini araştırmaktır. Bu amaçla aşağıdaki alt problemlere cevap aranmıştır:</w:t>
      </w:r>
    </w:p>
    <w:p w14:paraId="79F95418" w14:textId="77777777" w:rsidR="003B021C"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lastRenderedPageBreak/>
        <w:t>Ortaokul öğrencileri için geliştirilen Matematik Öğrenme Yaklaşımları Ölçeği (MÖYÖ) geçerli ve güvenilir bir ölçme aracı mıdır?</w:t>
      </w:r>
    </w:p>
    <w:p w14:paraId="6D1C0624" w14:textId="77777777" w:rsidR="003B021C"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Ortaokul öğrencileri matematik derslerinde hangi öğrenme yaklaşımını tercih etmektedirler?</w:t>
      </w:r>
    </w:p>
    <w:p w14:paraId="672482CB" w14:textId="77777777" w:rsidR="003B021C" w:rsidRPr="00C319D0" w:rsidRDefault="003B021C" w:rsidP="003B021C">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Sınıf düzeyi değişkeni bakımından ortaokul öğrencilerinin öğrenme yaklaşımları arasında anlamlı farklılıklar var mıdır?</w:t>
      </w:r>
    </w:p>
    <w:p w14:paraId="7EBA9F5A" w14:textId="77777777" w:rsidR="000F6587" w:rsidRPr="00C319D0" w:rsidRDefault="000F6587" w:rsidP="000F6587">
      <w:pPr>
        <w:pStyle w:val="Heading2"/>
        <w:spacing w:before="100" w:beforeAutospacing="1" w:after="100" w:afterAutospacing="1" w:line="240" w:lineRule="auto"/>
        <w:jc w:val="center"/>
        <w:rPr>
          <w:rFonts w:ascii="Cambria" w:hAnsi="Cambria" w:cstheme="minorHAnsi"/>
          <w:b/>
          <w:color w:val="auto"/>
          <w:sz w:val="22"/>
          <w:szCs w:val="22"/>
        </w:rPr>
      </w:pPr>
      <w:r w:rsidRPr="00C319D0">
        <w:rPr>
          <w:rFonts w:ascii="Cambria" w:hAnsi="Cambria" w:cstheme="minorHAnsi"/>
          <w:b/>
          <w:color w:val="auto"/>
          <w:sz w:val="22"/>
          <w:szCs w:val="22"/>
        </w:rPr>
        <w:t>YÖNTEM</w:t>
      </w:r>
    </w:p>
    <w:p w14:paraId="58803854" w14:textId="563EDFDF" w:rsidR="000F6587" w:rsidRPr="00C319D0" w:rsidRDefault="003B021C" w:rsidP="000F6587">
      <w:pPr>
        <w:spacing w:after="0" w:line="240" w:lineRule="auto"/>
        <w:ind w:firstLine="567"/>
        <w:jc w:val="both"/>
        <w:rPr>
          <w:rFonts w:ascii="Cambria" w:hAnsi="Cambria" w:cstheme="minorHAnsi"/>
        </w:rPr>
      </w:pPr>
      <w:r w:rsidRPr="00C319D0">
        <w:rPr>
          <w:rFonts w:ascii="Cambria" w:eastAsia="Times New Roman" w:hAnsi="Cambria" w:cstheme="minorHAnsi"/>
          <w:lang w:eastAsia="tr-TR"/>
        </w:rPr>
        <w:t>Bu araştırma ortaokul öğrencilerinin matematik öğrenme yaklaşımlarını tercih etme düzeylerini belirlemek amacıyla oluşturulan Matematik Öğrenme Yaklaşımları Ölçeği</w:t>
      </w:r>
      <w:r w:rsidR="00432FA3" w:rsidRPr="00C319D0">
        <w:rPr>
          <w:rFonts w:ascii="Cambria" w:eastAsia="Times New Roman" w:hAnsi="Cambria" w:cstheme="minorHAnsi"/>
          <w:lang w:eastAsia="tr-TR"/>
        </w:rPr>
        <w:t>’</w:t>
      </w:r>
      <w:r w:rsidRPr="00C319D0">
        <w:rPr>
          <w:rFonts w:ascii="Cambria" w:eastAsia="Times New Roman" w:hAnsi="Cambria" w:cstheme="minorHAnsi"/>
          <w:lang w:eastAsia="tr-TR"/>
        </w:rPr>
        <w:t>nin geçerlik ve güvenirlik çalışmalarını sunmaktadır. Ayrıca 6., 7. ve 8. sınıf düzeylerinde yer alan ortaokul öğrencilerinin</w:t>
      </w:r>
      <w:r w:rsidR="00EE1E4F" w:rsidRPr="00C319D0">
        <w:rPr>
          <w:rFonts w:ascii="Cambria" w:eastAsia="Times New Roman" w:hAnsi="Cambria" w:cstheme="minorHAnsi"/>
          <w:lang w:eastAsia="tr-TR"/>
        </w:rPr>
        <w:t xml:space="preserve"> tercih ettikleri</w:t>
      </w:r>
      <w:r w:rsidRPr="00C319D0">
        <w:rPr>
          <w:rFonts w:ascii="Cambria" w:eastAsia="Times New Roman" w:hAnsi="Cambria" w:cstheme="minorHAnsi"/>
          <w:lang w:eastAsia="tr-TR"/>
        </w:rPr>
        <w:t xml:space="preserve"> matematik öğrenme yaklaşımlarının</w:t>
      </w:r>
      <w:r w:rsidR="00EE1E4F" w:rsidRPr="00C319D0">
        <w:rPr>
          <w:rFonts w:ascii="Cambria" w:eastAsia="Times New Roman" w:hAnsi="Cambria" w:cstheme="minorHAnsi"/>
          <w:lang w:eastAsia="tr-TR"/>
        </w:rPr>
        <w:t xml:space="preserve"> ve </w:t>
      </w:r>
      <w:r w:rsidRPr="00C319D0">
        <w:rPr>
          <w:rFonts w:ascii="Cambria" w:eastAsia="Times New Roman" w:hAnsi="Cambria" w:cstheme="minorHAnsi"/>
          <w:lang w:eastAsia="tr-TR"/>
        </w:rPr>
        <w:t>sınıf değişkenine göre değişip değişmediğinin değerlendirildiği kısımda ise betimsel yöntem</w:t>
      </w:r>
      <w:r w:rsidR="00BB570A" w:rsidRPr="00C319D0">
        <w:rPr>
          <w:rFonts w:ascii="Cambria" w:eastAsia="Times New Roman" w:hAnsi="Cambria" w:cstheme="minorHAnsi"/>
          <w:lang w:eastAsia="tr-TR"/>
        </w:rPr>
        <w:t xml:space="preserve"> ve genel tarama modeli</w:t>
      </w:r>
      <w:r w:rsidRPr="00C319D0">
        <w:rPr>
          <w:rFonts w:ascii="Cambria" w:eastAsia="Times New Roman" w:hAnsi="Cambria" w:cstheme="minorHAnsi"/>
          <w:lang w:eastAsia="tr-TR"/>
        </w:rPr>
        <w:t xml:space="preserve"> kullanılmıştır</w:t>
      </w:r>
      <w:r w:rsidR="00C90091">
        <w:rPr>
          <w:rFonts w:ascii="Cambria" w:hAnsi="Cambria" w:cstheme="minorHAnsi"/>
        </w:rPr>
        <w:t xml:space="preserve"> </w:t>
      </w:r>
      <w:r w:rsidR="00223798" w:rsidRPr="00C319D0">
        <w:rPr>
          <w:rFonts w:ascii="Cambria" w:hAnsi="Cambria" w:cstheme="minorHAnsi"/>
        </w:rPr>
        <w:t xml:space="preserve">(Sönmez </w:t>
      </w:r>
      <w:r w:rsidR="00C90091">
        <w:rPr>
          <w:rFonts w:ascii="Cambria" w:hAnsi="Cambria" w:cstheme="minorHAnsi"/>
        </w:rPr>
        <w:t>&amp;</w:t>
      </w:r>
      <w:r w:rsidR="00223798" w:rsidRPr="00C319D0">
        <w:rPr>
          <w:rFonts w:ascii="Cambria" w:hAnsi="Cambria" w:cstheme="minorHAnsi"/>
        </w:rPr>
        <w:t xml:space="preserve"> Alacapınar, 2014</w:t>
      </w:r>
      <w:r w:rsidR="00C90091">
        <w:rPr>
          <w:rFonts w:ascii="Cambria" w:hAnsi="Cambria" w:cstheme="minorHAnsi"/>
        </w:rPr>
        <w:t xml:space="preserve">; </w:t>
      </w:r>
      <w:r w:rsidR="00113766" w:rsidRPr="00C319D0">
        <w:rPr>
          <w:rFonts w:ascii="Cambria" w:hAnsi="Cambria" w:cstheme="minorHAnsi"/>
        </w:rPr>
        <w:t xml:space="preserve">Büyüköztürk, Kılıç Çakmak, Akgün, Karadeniz </w:t>
      </w:r>
      <w:r w:rsidR="00C90091">
        <w:rPr>
          <w:rFonts w:ascii="Cambria" w:hAnsi="Cambria" w:cstheme="minorHAnsi"/>
        </w:rPr>
        <w:t>&amp;</w:t>
      </w:r>
      <w:r w:rsidR="00113766" w:rsidRPr="00C319D0">
        <w:rPr>
          <w:rFonts w:ascii="Cambria" w:hAnsi="Cambria" w:cstheme="minorHAnsi"/>
        </w:rPr>
        <w:t xml:space="preserve"> Demirel, 2011)</w:t>
      </w:r>
      <w:r w:rsidR="00C90091">
        <w:rPr>
          <w:rFonts w:ascii="Cambria" w:hAnsi="Cambria" w:cstheme="minorHAnsi"/>
        </w:rPr>
        <w:t>.</w:t>
      </w:r>
      <w:r w:rsidR="006922BA" w:rsidRPr="00C319D0">
        <w:rPr>
          <w:rFonts w:ascii="Cambria" w:hAnsi="Cambria" w:cstheme="minorHAnsi"/>
        </w:rPr>
        <w:t xml:space="preserve"> Tarama modellerinde araştırmaya konu olan bireyler kendi koşulları içerisinde tanımlanmaya çalışılarak özellikleri belirlenir</w:t>
      </w:r>
      <w:r w:rsidR="00BB570A" w:rsidRPr="00C319D0">
        <w:rPr>
          <w:rFonts w:ascii="Cambria" w:hAnsi="Cambria" w:cstheme="minorHAnsi"/>
        </w:rPr>
        <w:t xml:space="preserve"> (Köse, 2013</w:t>
      </w:r>
      <w:r w:rsidR="00C90091">
        <w:rPr>
          <w:rFonts w:ascii="Cambria" w:hAnsi="Cambria" w:cstheme="minorHAnsi"/>
        </w:rPr>
        <w:t>).</w:t>
      </w:r>
    </w:p>
    <w:p w14:paraId="49FDD970" w14:textId="246EC3B1" w:rsidR="00B428DA" w:rsidRPr="00C319D0" w:rsidRDefault="00B428DA" w:rsidP="00B428DA">
      <w:pPr>
        <w:spacing w:after="0" w:line="240" w:lineRule="auto"/>
        <w:ind w:firstLine="567"/>
        <w:jc w:val="both"/>
        <w:rPr>
          <w:rFonts w:ascii="Cambria" w:hAnsi="Cambria" w:cstheme="minorHAnsi"/>
        </w:rPr>
      </w:pPr>
      <w:r w:rsidRPr="00C319D0">
        <w:rPr>
          <w:rFonts w:ascii="Cambria" w:hAnsi="Cambria" w:cstheme="minorHAnsi"/>
        </w:rPr>
        <w:t xml:space="preserve">Matematik </w:t>
      </w:r>
      <w:r w:rsidR="00AC5548">
        <w:rPr>
          <w:rFonts w:ascii="Cambria" w:hAnsi="Cambria" w:cstheme="minorHAnsi"/>
        </w:rPr>
        <w:t>Ö</w:t>
      </w:r>
      <w:r w:rsidRPr="00C319D0">
        <w:rPr>
          <w:rFonts w:ascii="Cambria" w:hAnsi="Cambria" w:cstheme="minorHAnsi"/>
        </w:rPr>
        <w:t xml:space="preserve">ğrenme </w:t>
      </w:r>
      <w:r w:rsidR="00AC5548">
        <w:rPr>
          <w:rFonts w:ascii="Cambria" w:hAnsi="Cambria" w:cstheme="minorHAnsi"/>
        </w:rPr>
        <w:t>Y</w:t>
      </w:r>
      <w:r w:rsidRPr="00C319D0">
        <w:rPr>
          <w:rFonts w:ascii="Cambria" w:hAnsi="Cambria" w:cstheme="minorHAnsi"/>
        </w:rPr>
        <w:t xml:space="preserve">aklaşımları </w:t>
      </w:r>
      <w:r w:rsidR="00AC5548">
        <w:rPr>
          <w:rFonts w:ascii="Cambria" w:hAnsi="Cambria" w:cstheme="minorHAnsi"/>
        </w:rPr>
        <w:t>Ö</w:t>
      </w:r>
      <w:r w:rsidRPr="00C319D0">
        <w:rPr>
          <w:rFonts w:ascii="Cambria" w:hAnsi="Cambria" w:cstheme="minorHAnsi"/>
        </w:rPr>
        <w:t>lçeği</w:t>
      </w:r>
      <w:r w:rsidR="00AC5548">
        <w:rPr>
          <w:rFonts w:ascii="Cambria" w:hAnsi="Cambria" w:cstheme="minorHAnsi"/>
        </w:rPr>
        <w:t>’</w:t>
      </w:r>
      <w:r w:rsidRPr="00C319D0">
        <w:rPr>
          <w:rFonts w:ascii="Cambria" w:hAnsi="Cambria" w:cstheme="minorHAnsi"/>
        </w:rPr>
        <w:t xml:space="preserve">nin ilk halini oluşturmak için öğrenme yaklaşımları ile ilgili çalışmalar incelenmiştir. Öğrenme yaklaşımları ile ilgili çeşitli ölçek geliştirme çalışmalarından yararlanılarak (ör. Tait, Entwistle </w:t>
      </w:r>
      <w:r w:rsidR="00C90091">
        <w:rPr>
          <w:rFonts w:ascii="Cambria" w:hAnsi="Cambria" w:cstheme="minorHAnsi"/>
        </w:rPr>
        <w:t>&amp;</w:t>
      </w:r>
      <w:r w:rsidRPr="00C319D0">
        <w:rPr>
          <w:rFonts w:ascii="Cambria" w:hAnsi="Cambria" w:cstheme="minorHAnsi"/>
        </w:rPr>
        <w:t xml:space="preserve"> McCune, 1998, Senemoğlu, 2011;  Darlington, 2011; İlhan, Çetin </w:t>
      </w:r>
      <w:r w:rsidR="00C90091">
        <w:rPr>
          <w:rFonts w:ascii="Cambria" w:hAnsi="Cambria" w:cstheme="minorHAnsi"/>
        </w:rPr>
        <w:t>&amp;</w:t>
      </w:r>
      <w:r w:rsidRPr="00C319D0">
        <w:rPr>
          <w:rFonts w:ascii="Cambria" w:hAnsi="Cambria" w:cstheme="minorHAnsi"/>
        </w:rPr>
        <w:t xml:space="preserve"> Kılıç, 2013; Özkan </w:t>
      </w:r>
      <w:r w:rsidR="00C90091">
        <w:rPr>
          <w:rFonts w:ascii="Cambria" w:hAnsi="Cambria" w:cstheme="minorHAnsi"/>
        </w:rPr>
        <w:t>&amp;</w:t>
      </w:r>
      <w:r w:rsidRPr="00C319D0">
        <w:rPr>
          <w:rFonts w:ascii="Cambria" w:hAnsi="Cambria" w:cstheme="minorHAnsi"/>
        </w:rPr>
        <w:t xml:space="preserve"> Sezgin Selçuk, 2014) 68 maddeden oluşan bir madde havuzu oluşturulmuştur. Madde havuzundaki maddelerden 20 tanesi yüzeysel öğrenme yaklaşımı ile 24 madde derinlemesine öğrenme yaklaşımı ile ve 24 madde stratejik öğrenme yaklaşımı ile ilgilidir. Yüzeysel öğrenme yaklaşımı için sınırlandırma, </w:t>
      </w:r>
      <w:r w:rsidRPr="00C90091">
        <w:rPr>
          <w:rFonts w:ascii="Cambria" w:hAnsi="Cambria" w:cstheme="minorHAnsi"/>
        </w:rPr>
        <w:t>ili</w:t>
      </w:r>
      <w:r w:rsidR="00C90091">
        <w:rPr>
          <w:rFonts w:ascii="Cambria" w:hAnsi="Cambria" w:cstheme="minorHAnsi"/>
        </w:rPr>
        <w:t>ş</w:t>
      </w:r>
      <w:r w:rsidRPr="00C90091">
        <w:rPr>
          <w:rFonts w:ascii="Cambria" w:hAnsi="Cambria" w:cstheme="minorHAnsi"/>
        </w:rPr>
        <w:t>kilendirmeden</w:t>
      </w:r>
      <w:r w:rsidRPr="00C319D0">
        <w:rPr>
          <w:rFonts w:ascii="Cambria" w:hAnsi="Cambria" w:cstheme="minorHAnsi"/>
        </w:rPr>
        <w:t xml:space="preserve"> ezberleme, başarısızlık korkusu, amaçsızlık başlıkları, derinlemesine öğrenme yaklaşımı için anlam arama, düşünceleri ilişkilendirme, ilişki arama, motive olma, düşüncelerle ilgilenme başlıkları, stratejik öğrenme yaklaşımı için düzenli çalışma, zaman yönetimi, değerlendirmeye yönelik çalışma, başarma, etkililiği izleme başlıkları altında maddeler oluşturulmuştur. Bu başlıklar Tait, Entwistle ve McCune (1998) tarafından geliştirilen ASSIST Öğrenme Yaklaşımları ve Çalışma Becerileri Ölçeği’nde ve Senemoğlu (2011) tarafından gerçekleştirilen ölçeğin Türkçe uyarlamasında yer almaktadır. Bu ölçeklerde yer alan maddeler öğrencilerin öğrenme yaklaşımlarını genel olarak incelemektedir. Matematik Öğrenme Yaklaşımları Ölçeği için maddeler özel olarak matematik disiplinine uygun olarak hazırlanmaya çalışılmıştır. Ayrıca farklı öğrenme yaklaşımları ölçekleri de incelenerek (ör. Darlington, 2011; İlhan, Çetin </w:t>
      </w:r>
      <w:r w:rsidR="00C90091">
        <w:rPr>
          <w:rFonts w:ascii="Cambria" w:hAnsi="Cambria" w:cstheme="minorHAnsi"/>
        </w:rPr>
        <w:t>&amp;</w:t>
      </w:r>
      <w:r w:rsidRPr="00C319D0">
        <w:rPr>
          <w:rFonts w:ascii="Cambria" w:hAnsi="Cambria" w:cstheme="minorHAnsi"/>
        </w:rPr>
        <w:t xml:space="preserve"> Kılıç, 2013; Özkan </w:t>
      </w:r>
      <w:r w:rsidR="00C90091">
        <w:rPr>
          <w:rFonts w:ascii="Cambria" w:hAnsi="Cambria" w:cstheme="minorHAnsi"/>
        </w:rPr>
        <w:t>&amp;</w:t>
      </w:r>
      <w:r w:rsidRPr="00C319D0">
        <w:rPr>
          <w:rFonts w:ascii="Cambria" w:hAnsi="Cambria" w:cstheme="minorHAnsi"/>
        </w:rPr>
        <w:t xml:space="preserve"> Sezgin Selçuk, 2014) bu ölçeklerde bulunmayan maddeler de geliştirilen ölçeğin madde havuzuna eklenmiştir. Bazı uzmanların görüşleri doğrultusunda bu ölçeklerde bulunmayan maddeler de eklenmiştir. Ölçeğin madde havuzunda yer alan maddelere örnekler şu şekilde verilebilir: “Matematiksel konuların büyük kısmını ezberlemeyi tercih ederim.”, “Çoğunlukla matematik dersini başaramayacağımı düşünürüm ve endişe duyarım.” maddeleri yüzeysel öğrenme yaklaşımını, “Matematik dersinde bir konuyu anlamadıysam bu beni rahatsız eder.”, “Bir matematik problemini çözerken tam olarak ne sorulmak istendiğini anlamaya çalışırım.” maddeleri derinlemesine öğrenme yaklaşımını, “Matematik sınavlarına genel olarak düzenli bir şekilde hazırlanırım.”, “Gün içerisinde mutlaka matematik çalışmaya zaman ayırırım.” maddeleri stratejik öğrenme yaklaşımını yansıtmaktadır. Ölçekte yer alan ifadeler kesinlikle katılmıyorum=1, katılmıyorum=2, kararsızım=3, katılıyorum=4, kesinlikle katılıyorum=5 şeklinde 5’li likert formdadır.  68 maddeden oluşan form, uzman görüşleri alınmak üzere matematik eğitimi alanında çalışmaları bulunan 4 matematik eğitimi uzmanına, 3 matematik öğretmenine, öğrenme yaklaşımları ile ilgili çalışmaları bulunan 1 doktora öğrencisine ve 1 eğitim programları ve öğretim alanında uzmana gönderilmiştir. Toplam 9 uzman tarafından geliştirilen ölçme aracı değerlendirilmiştir. Uzmanlar maddeleri maddelerin ifade edilişi, maddelerin öğrenme yaklaşımının verilen boyutlarına uygunluğu ve seviyeye uygunluk olmak üzere 3 ayrı açıdan değerlendirmişlerdir. Ayrıca her bir madde için “Varsa getirilebilecek diğer öneriler” şeklinde açık uçlu sorudan oluşan bir kısım bulunmaktadır. Dolayısıyla uzman görüş formları sadece alınan üçlü değerlendirmelere göre nicel olarak değerlendirilmemiş aynı zamanda varsa verilen diğer düzeltmeler de göz önünde </w:t>
      </w:r>
      <w:r w:rsidRPr="00C319D0">
        <w:rPr>
          <w:rFonts w:ascii="Cambria" w:hAnsi="Cambria" w:cstheme="minorHAnsi"/>
        </w:rPr>
        <w:lastRenderedPageBreak/>
        <w:t xml:space="preserve">bulundurulmuştur. Elde edilen uzman görüşlerine göre maddelerin kapsam geçerliğinin belirlenmesinde Fleiss’in (1971) kappa katsayısı kullanılmıştır. Fleiss’in kappa katsayısı ikiden fazla puanlayıcı için uyuşmanın güvenirliğini göstermektedir (Fleiss, 1971). Sabit sayıda n tane puanlayıcının N tane maddeyi k tane kategoriye göre değerlendirmeleri sonucunda ortaya çıkan uyuşmayı ölçer. Bu çalışma için 9 tane puanlayıcı (n=9), 68 tane maddeyi (N=68), 3 kategoride (k=3) değerlendirmektedirler. Fleiss’in kappa katsayısı için belirtilen formüller ve hesaplamalar yardımıyla her madde için uyuşma katsayısı hesaplanmıştır. Matematik </w:t>
      </w:r>
      <w:r w:rsidR="00AC5548">
        <w:rPr>
          <w:rFonts w:ascii="Cambria" w:hAnsi="Cambria" w:cstheme="minorHAnsi"/>
        </w:rPr>
        <w:t>Ö</w:t>
      </w:r>
      <w:r w:rsidRPr="00C319D0">
        <w:rPr>
          <w:rFonts w:ascii="Cambria" w:hAnsi="Cambria" w:cstheme="minorHAnsi"/>
        </w:rPr>
        <w:t xml:space="preserve">ğrenme </w:t>
      </w:r>
      <w:r w:rsidR="00AC5548">
        <w:rPr>
          <w:rFonts w:ascii="Cambria" w:hAnsi="Cambria" w:cstheme="minorHAnsi"/>
        </w:rPr>
        <w:t>Y</w:t>
      </w:r>
      <w:r w:rsidRPr="00C319D0">
        <w:rPr>
          <w:rFonts w:ascii="Cambria" w:hAnsi="Cambria" w:cstheme="minorHAnsi"/>
        </w:rPr>
        <w:t xml:space="preserve">aklaşımları </w:t>
      </w:r>
      <w:r w:rsidR="00AC5548">
        <w:rPr>
          <w:rFonts w:ascii="Cambria" w:hAnsi="Cambria" w:cstheme="minorHAnsi"/>
        </w:rPr>
        <w:t>Ö</w:t>
      </w:r>
      <w:r w:rsidRPr="00C319D0">
        <w:rPr>
          <w:rFonts w:ascii="Cambria" w:hAnsi="Cambria" w:cstheme="minorHAnsi"/>
        </w:rPr>
        <w:t>lçeği</w:t>
      </w:r>
      <w:r w:rsidR="00AC5548">
        <w:rPr>
          <w:rFonts w:ascii="Cambria" w:hAnsi="Cambria" w:cstheme="minorHAnsi"/>
        </w:rPr>
        <w:t>’</w:t>
      </w:r>
      <w:r w:rsidRPr="00C319D0">
        <w:rPr>
          <w:rFonts w:ascii="Cambria" w:hAnsi="Cambria" w:cstheme="minorHAnsi"/>
        </w:rPr>
        <w:t xml:space="preserve">nde uzman görüşlerinden sonraki halinde 16 madde yüzeysel öğrenme yaklaşımı, 19 madde derinlemesine öğrenme yaklaşımı ve 20 madde stratejik öğrenme yaklaşımı ile ilgili olmak üzere 55 madde bulunmaktadır. </w:t>
      </w:r>
    </w:p>
    <w:p w14:paraId="2A8B7F3F" w14:textId="1EEB36B8" w:rsidR="00B428DA" w:rsidRPr="00C319D0" w:rsidRDefault="00B428DA" w:rsidP="00B428DA">
      <w:pPr>
        <w:spacing w:after="0" w:line="240" w:lineRule="auto"/>
        <w:ind w:firstLine="567"/>
        <w:jc w:val="both"/>
        <w:rPr>
          <w:rFonts w:ascii="Cambria" w:hAnsi="Cambria" w:cstheme="minorHAnsi"/>
        </w:rPr>
      </w:pPr>
      <w:r w:rsidRPr="00C319D0">
        <w:rPr>
          <w:rFonts w:ascii="Cambria" w:hAnsi="Cambria" w:cstheme="minorHAnsi"/>
        </w:rPr>
        <w:t>Uzman görüşlerinden sonra son hali verilen test, öğrenciler tarafından anlaşılmayan bir noktanın olup olmadığının belirlenmesi, ölçeğin cevaplama süresinin belirlenmesi amacıyla İstanbul ili Çekmeköy ilçesine bağlı bir devlet okulunda 7. sınıfta öğrenim görmekte olan 20 öğrenciye uygulanmıştır. Ölçeği en kısa sürede tamamlayan öğrenci 15 dakikada, en uzun sürede tamamlayan öğrenci yaklaşık 30 dakikada tamamlamıştır. Ölçeğin 6. sınıflara da uygulanacağı düşünülerek Matematik Öğrenme Yaklaşımları Ölçeği</w:t>
      </w:r>
      <w:r w:rsidR="00AC5548">
        <w:rPr>
          <w:rFonts w:ascii="Cambria" w:hAnsi="Cambria" w:cstheme="minorHAnsi"/>
        </w:rPr>
        <w:t>’</w:t>
      </w:r>
      <w:r w:rsidRPr="00C319D0">
        <w:rPr>
          <w:rFonts w:ascii="Cambria" w:hAnsi="Cambria" w:cstheme="minorHAnsi"/>
        </w:rPr>
        <w:t xml:space="preserve">ni cevaplama süresi 25 dakika olarak belirlenmiştir. </w:t>
      </w:r>
    </w:p>
    <w:p w14:paraId="449D5A65" w14:textId="49F81B30" w:rsidR="00B428DA" w:rsidRPr="00C319D0" w:rsidRDefault="00B428DA" w:rsidP="00B428DA">
      <w:pPr>
        <w:spacing w:after="0" w:line="240" w:lineRule="auto"/>
        <w:ind w:firstLine="567"/>
        <w:jc w:val="both"/>
        <w:rPr>
          <w:rFonts w:ascii="Cambria" w:hAnsi="Cambria" w:cstheme="minorHAnsi"/>
        </w:rPr>
      </w:pPr>
      <w:r w:rsidRPr="00C319D0">
        <w:rPr>
          <w:rFonts w:ascii="Cambria" w:hAnsi="Cambria" w:cstheme="minorHAnsi"/>
        </w:rPr>
        <w:t>Faktör analizlerinden ve geçerlik-güvenirlik çalışmalarından sonra son hali verilen Matematik Öğrenme Yaklaşımları Ölçeği</w:t>
      </w:r>
      <w:r w:rsidR="00AC5548">
        <w:rPr>
          <w:rFonts w:ascii="Cambria" w:hAnsi="Cambria" w:cstheme="minorHAnsi"/>
        </w:rPr>
        <w:t>’</w:t>
      </w:r>
      <w:r w:rsidRPr="00C319D0">
        <w:rPr>
          <w:rFonts w:ascii="Cambria" w:hAnsi="Cambria" w:cstheme="minorHAnsi"/>
        </w:rPr>
        <w:t>nin alt boyutlarından alınan puanların yükselmesi öğrencilerin, matematik dersinde o boyutu tercih etme eğilimlerinin yüksek olduğu anlamına gelmektedir. Yani ölçekte toplam puan üzerinden değerlendirme yapılmamaktadır, alt ölçekler üzerinden alınan puanlar üzerinden işlem yapılmaktadır. Öğrencinin verdiği cevaplardan bazıları derinlemesine bazıları da yüzeysel öğrenme yaklaşımına uygun olabilir. Ancak değerlendirme öğrencinin ölçeğin alt boyutlarından aldığı puanların yüksek ya da düşük olmasına göre yapılmaktadır ve ilgili boyutlardaki puan ortalamalarından hareketle ağırlıklı olarak hangi yaklaşımı benimsediği göz önüne alınmıştır.</w:t>
      </w:r>
    </w:p>
    <w:p w14:paraId="63A1AB9B" w14:textId="77777777" w:rsidR="000F6587" w:rsidRPr="00C319D0" w:rsidRDefault="003B021C" w:rsidP="00496BBA">
      <w:pPr>
        <w:spacing w:before="120" w:after="120" w:line="240" w:lineRule="auto"/>
        <w:jc w:val="both"/>
        <w:rPr>
          <w:rFonts w:ascii="Cambria" w:eastAsia="Times New Roman" w:hAnsi="Cambria" w:cstheme="minorHAnsi"/>
          <w:b/>
          <w:lang w:eastAsia="tr-TR"/>
        </w:rPr>
      </w:pPr>
      <w:r w:rsidRPr="00C319D0">
        <w:rPr>
          <w:rFonts w:ascii="Cambria" w:eastAsia="Times New Roman" w:hAnsi="Cambria" w:cstheme="minorHAnsi"/>
          <w:b/>
          <w:lang w:eastAsia="tr-TR"/>
        </w:rPr>
        <w:t>Katılımcılar</w:t>
      </w:r>
    </w:p>
    <w:p w14:paraId="4C414E1F" w14:textId="2F97D9DA" w:rsidR="003B021C" w:rsidRPr="00C319D0" w:rsidRDefault="000F60C4" w:rsidP="003B021C">
      <w:pPr>
        <w:spacing w:after="0" w:line="240" w:lineRule="auto"/>
        <w:ind w:firstLine="567"/>
        <w:jc w:val="both"/>
        <w:rPr>
          <w:rFonts w:ascii="Cambria" w:eastAsia="Times New Roman" w:hAnsi="Cambria" w:cstheme="minorHAnsi"/>
          <w:lang w:eastAsia="tr-TR"/>
        </w:rPr>
      </w:pPr>
      <w:r w:rsidRPr="00C319D0">
        <w:rPr>
          <w:rFonts w:ascii="Cambria" w:eastAsia="Times New Roman" w:hAnsi="Cambria" w:cstheme="minorHAnsi"/>
          <w:lang w:eastAsia="tr-TR"/>
        </w:rPr>
        <w:t xml:space="preserve">Matematik Öğrenme Yaklaşımları Ölçeği’nin hedef kitlesi ortaokul öğrencileridir. </w:t>
      </w:r>
      <w:r w:rsidR="00A43A7E" w:rsidRPr="00C319D0">
        <w:rPr>
          <w:rFonts w:ascii="Cambria" w:eastAsia="Times New Roman" w:hAnsi="Cambria" w:cstheme="minorHAnsi"/>
          <w:lang w:eastAsia="tr-TR"/>
        </w:rPr>
        <w:t>Y</w:t>
      </w:r>
      <w:r w:rsidRPr="00C319D0">
        <w:rPr>
          <w:rFonts w:ascii="Cambria" w:eastAsia="Times New Roman" w:hAnsi="Cambria" w:cstheme="minorHAnsi"/>
          <w:lang w:eastAsia="tr-TR"/>
        </w:rPr>
        <w:t xml:space="preserve">eni sistemde ortaokul kısmında yer alan 5. sınıflar çalışmaya dahil edilmemiştir. Dahil edilmeme sebebi </w:t>
      </w:r>
      <w:r w:rsidR="00A43A7E" w:rsidRPr="00C319D0">
        <w:rPr>
          <w:rFonts w:ascii="Cambria" w:eastAsia="Times New Roman" w:hAnsi="Cambria" w:cstheme="minorHAnsi"/>
          <w:lang w:eastAsia="tr-TR"/>
        </w:rPr>
        <w:t xml:space="preserve">uzman görüşleri doğrultusunda </w:t>
      </w:r>
      <w:r w:rsidRPr="00C319D0">
        <w:rPr>
          <w:rFonts w:ascii="Cambria" w:eastAsia="Times New Roman" w:hAnsi="Cambria" w:cstheme="minorHAnsi"/>
          <w:lang w:eastAsia="tr-TR"/>
        </w:rPr>
        <w:t xml:space="preserve">5. sınıf düzeyindeki öğrencilerin daha ortaokul kısmına kendilerini adapte edememiş olmalarıdır. Yani ölçme aracı ortaokulların 6, 7 ve 8. sınıflarında yer alan öğrenciler için geliştirilmiştir. </w:t>
      </w:r>
      <w:r w:rsidR="00E00CB8" w:rsidRPr="00C319D0">
        <w:rPr>
          <w:rFonts w:ascii="Cambria" w:eastAsia="Times New Roman" w:hAnsi="Cambria" w:cstheme="minorHAnsi"/>
          <w:lang w:eastAsia="tr-TR"/>
        </w:rPr>
        <w:t>Çalışmanın evrenini İstanbul ili</w:t>
      </w:r>
      <w:r w:rsidRPr="00C319D0">
        <w:rPr>
          <w:rFonts w:ascii="Cambria" w:eastAsia="Times New Roman" w:hAnsi="Cambria" w:cstheme="minorHAnsi"/>
          <w:lang w:eastAsia="tr-TR"/>
        </w:rPr>
        <w:t xml:space="preserve"> Avrupa yakasında</w:t>
      </w:r>
      <w:r w:rsidR="00E00CB8" w:rsidRPr="00C319D0">
        <w:rPr>
          <w:rFonts w:ascii="Cambria" w:eastAsia="Times New Roman" w:hAnsi="Cambria" w:cstheme="minorHAnsi"/>
          <w:lang w:eastAsia="tr-TR"/>
        </w:rPr>
        <w:t xml:space="preserve"> bulunan ortaokul öğrencileri, örneklemini İstanbul ili</w:t>
      </w:r>
      <w:r w:rsidRPr="00C319D0">
        <w:rPr>
          <w:rFonts w:ascii="Cambria" w:eastAsia="Times New Roman" w:hAnsi="Cambria" w:cstheme="minorHAnsi"/>
          <w:lang w:eastAsia="tr-TR"/>
        </w:rPr>
        <w:t xml:space="preserve"> Avrupa yakasının</w:t>
      </w:r>
      <w:r w:rsidR="00E00CB8" w:rsidRPr="00C319D0">
        <w:rPr>
          <w:rFonts w:ascii="Cambria" w:eastAsia="Times New Roman" w:hAnsi="Cambria" w:cstheme="minorHAnsi"/>
          <w:lang w:eastAsia="tr-TR"/>
        </w:rPr>
        <w:t xml:space="preserve"> çeşitli ilçelerinde öğrenim görmekte olan üç farklı okuldan 790 öğrenci oluşturmaktadır. Ölçek geliştirme çalışmalarında </w:t>
      </w:r>
      <w:r w:rsidR="00480430" w:rsidRPr="00C319D0">
        <w:rPr>
          <w:rFonts w:ascii="Cambria" w:eastAsia="Times New Roman" w:hAnsi="Cambria" w:cstheme="minorHAnsi"/>
          <w:lang w:eastAsia="tr-TR"/>
        </w:rPr>
        <w:t>ö</w:t>
      </w:r>
      <w:r w:rsidR="00E00CB8" w:rsidRPr="00C319D0">
        <w:rPr>
          <w:rFonts w:ascii="Cambria" w:eastAsia="Times New Roman" w:hAnsi="Cambria" w:cstheme="minorHAnsi"/>
          <w:lang w:eastAsia="tr-TR"/>
        </w:rPr>
        <w:t xml:space="preserve">rneklemin seçiminde tesadüfi örnekleme yöntemleri kullanılmasına aynı zamanda hedef kitleyi temsil etmesine dikkat edilmelidir (Seçer, 2015). </w:t>
      </w:r>
      <w:r w:rsidR="00480430" w:rsidRPr="00C319D0">
        <w:rPr>
          <w:rFonts w:ascii="Cambria" w:eastAsia="Times New Roman" w:hAnsi="Cambria" w:cstheme="minorHAnsi"/>
          <w:lang w:eastAsia="tr-TR"/>
        </w:rPr>
        <w:t xml:space="preserve">Bu örneklemede evrendeki tüm birimler eşit ve bağımsız seçilme </w:t>
      </w:r>
      <w:r w:rsidR="00A36D75" w:rsidRPr="00C319D0">
        <w:rPr>
          <w:rFonts w:ascii="Cambria" w:eastAsia="Times New Roman" w:hAnsi="Cambria" w:cstheme="minorHAnsi"/>
          <w:lang w:eastAsia="tr-TR"/>
        </w:rPr>
        <w:t>şansına sahiptir</w:t>
      </w:r>
      <w:r w:rsidR="00480430" w:rsidRPr="00C319D0">
        <w:rPr>
          <w:rFonts w:ascii="Cambria" w:eastAsia="Times New Roman" w:hAnsi="Cambria" w:cstheme="minorHAnsi"/>
          <w:lang w:eastAsia="tr-TR"/>
        </w:rPr>
        <w:t xml:space="preserve"> </w:t>
      </w:r>
      <w:r w:rsidR="00480430" w:rsidRPr="00C319D0">
        <w:rPr>
          <w:rFonts w:ascii="Cambria" w:hAnsi="Cambria" w:cstheme="minorHAnsi"/>
        </w:rPr>
        <w:t xml:space="preserve">(Büyüköztürk, Kılıç Çakmak, Akgün, Karadeniz </w:t>
      </w:r>
      <w:r w:rsidR="00C90091">
        <w:rPr>
          <w:rFonts w:ascii="Cambria" w:hAnsi="Cambria" w:cstheme="minorHAnsi"/>
        </w:rPr>
        <w:t>&amp;</w:t>
      </w:r>
      <w:r w:rsidR="00480430" w:rsidRPr="00C319D0">
        <w:rPr>
          <w:rFonts w:ascii="Cambria" w:hAnsi="Cambria" w:cstheme="minorHAnsi"/>
        </w:rPr>
        <w:t xml:space="preserve"> Demirel, 2011).</w:t>
      </w:r>
      <w:r w:rsidR="00A36D75" w:rsidRPr="00C319D0">
        <w:rPr>
          <w:rFonts w:ascii="Cambria" w:hAnsi="Cambria" w:cstheme="minorHAnsi"/>
        </w:rPr>
        <w:t xml:space="preserve"> </w:t>
      </w:r>
      <w:r w:rsidR="00480430" w:rsidRPr="00C319D0">
        <w:rPr>
          <w:rFonts w:ascii="Cambria" w:hAnsi="Cambria" w:cstheme="minorHAnsi"/>
        </w:rPr>
        <w:t>İstanbul ilinin Avr</w:t>
      </w:r>
      <w:r w:rsidR="00A36D75" w:rsidRPr="00C319D0">
        <w:rPr>
          <w:rFonts w:ascii="Cambria" w:hAnsi="Cambria" w:cstheme="minorHAnsi"/>
        </w:rPr>
        <w:t>upa yakasında bulunan ve tesadüfi olarak seçilen okullarda öğrenim görmekte olan öğrenciler bu çalışmanın katılımcılarıdır.</w:t>
      </w:r>
      <w:r w:rsidR="003B021C" w:rsidRPr="00C319D0">
        <w:rPr>
          <w:rFonts w:ascii="Cambria" w:eastAsia="Times New Roman" w:hAnsi="Cambria" w:cstheme="minorHAnsi"/>
          <w:lang w:eastAsia="tr-TR"/>
        </w:rPr>
        <w:t xml:space="preserve"> </w:t>
      </w:r>
      <w:r w:rsidR="00A36D75" w:rsidRPr="00C319D0">
        <w:rPr>
          <w:rFonts w:ascii="Cambria" w:eastAsia="Times New Roman" w:hAnsi="Cambria" w:cstheme="minorHAnsi"/>
          <w:lang w:eastAsia="tr-TR"/>
        </w:rPr>
        <w:t>Çalışmanın gerçekleştirildiği</w:t>
      </w:r>
      <w:r w:rsidR="003B021C" w:rsidRPr="00C319D0">
        <w:rPr>
          <w:rFonts w:ascii="Cambria" w:eastAsia="Times New Roman" w:hAnsi="Cambria" w:cstheme="minorHAnsi"/>
          <w:lang w:eastAsia="tr-TR"/>
        </w:rPr>
        <w:t xml:space="preserve"> öğrencilere ait bilgiler Tablo </w:t>
      </w:r>
      <w:r w:rsidR="00A36D75" w:rsidRPr="00C319D0">
        <w:rPr>
          <w:rFonts w:ascii="Cambria" w:eastAsia="Times New Roman" w:hAnsi="Cambria" w:cstheme="minorHAnsi"/>
          <w:lang w:eastAsia="tr-TR"/>
        </w:rPr>
        <w:t>1</w:t>
      </w:r>
      <w:r w:rsidR="003B021C" w:rsidRPr="00C319D0">
        <w:rPr>
          <w:rFonts w:ascii="Cambria" w:eastAsia="Times New Roman" w:hAnsi="Cambria" w:cstheme="minorHAnsi"/>
          <w:lang w:eastAsia="tr-TR"/>
        </w:rPr>
        <w:t>’de yer almaktadır.</w:t>
      </w:r>
    </w:p>
    <w:p w14:paraId="005EDBEC" w14:textId="77777777" w:rsidR="003B021C" w:rsidRPr="00C319D0" w:rsidRDefault="003B021C" w:rsidP="003B021C">
      <w:pPr>
        <w:pStyle w:val="Heading4"/>
        <w:spacing w:before="120" w:after="120" w:line="240" w:lineRule="auto"/>
        <w:contextualSpacing/>
        <w:rPr>
          <w:rFonts w:ascii="Cambria" w:hAnsi="Cambria" w:cs="Times New Roman"/>
          <w:i w:val="0"/>
          <w:color w:val="auto"/>
          <w:sz w:val="20"/>
          <w:szCs w:val="20"/>
        </w:rPr>
      </w:pPr>
      <w:r w:rsidRPr="00C319D0">
        <w:rPr>
          <w:rFonts w:ascii="Cambria" w:hAnsi="Cambria" w:cs="Times New Roman"/>
          <w:b/>
          <w:i w:val="0"/>
          <w:color w:val="auto"/>
          <w:sz w:val="20"/>
          <w:szCs w:val="20"/>
        </w:rPr>
        <w:t>Tablo</w:t>
      </w:r>
      <w:r w:rsidR="00F514C9" w:rsidRPr="00C319D0">
        <w:rPr>
          <w:rFonts w:ascii="Cambria" w:hAnsi="Cambria" w:cs="Times New Roman"/>
          <w:b/>
          <w:i w:val="0"/>
          <w:color w:val="auto"/>
          <w:sz w:val="20"/>
          <w:szCs w:val="20"/>
        </w:rPr>
        <w:t xml:space="preserve"> </w:t>
      </w:r>
      <w:r w:rsidR="00A36D75" w:rsidRPr="00C319D0">
        <w:rPr>
          <w:rFonts w:ascii="Cambria" w:hAnsi="Cambria" w:cs="Times New Roman"/>
          <w:b/>
          <w:i w:val="0"/>
          <w:color w:val="auto"/>
          <w:sz w:val="20"/>
          <w:szCs w:val="20"/>
        </w:rPr>
        <w:t>1</w:t>
      </w:r>
      <w:r w:rsidRPr="00C319D0">
        <w:rPr>
          <w:rFonts w:ascii="Cambria" w:hAnsi="Cambria" w:cs="Times New Roman"/>
          <w:b/>
          <w:i w:val="0"/>
          <w:color w:val="auto"/>
          <w:sz w:val="20"/>
          <w:szCs w:val="20"/>
        </w:rPr>
        <w:t>.</w:t>
      </w:r>
      <w:r w:rsidRPr="00C319D0">
        <w:rPr>
          <w:rFonts w:ascii="Cambria" w:hAnsi="Cambria" w:cs="Times New Roman"/>
          <w:i w:val="0"/>
          <w:color w:val="auto"/>
          <w:sz w:val="20"/>
          <w:szCs w:val="20"/>
        </w:rPr>
        <w:t xml:space="preserve"> </w:t>
      </w:r>
      <w:r w:rsidR="00F514C9" w:rsidRPr="00C319D0">
        <w:rPr>
          <w:rFonts w:ascii="Cambria" w:hAnsi="Cambria" w:cs="Times New Roman"/>
          <w:color w:val="auto"/>
          <w:sz w:val="20"/>
          <w:szCs w:val="20"/>
        </w:rPr>
        <w:t>Öğrencilerin sınıf düzeylerine göre dağılımı</w:t>
      </w:r>
    </w:p>
    <w:tbl>
      <w:tblPr>
        <w:tblStyle w:val="AkGlgeleme1"/>
        <w:tblW w:w="0" w:type="auto"/>
        <w:tblLook w:val="04A0" w:firstRow="1" w:lastRow="0" w:firstColumn="1" w:lastColumn="0" w:noHBand="0" w:noVBand="1"/>
      </w:tblPr>
      <w:tblGrid>
        <w:gridCol w:w="1824"/>
        <w:gridCol w:w="1809"/>
        <w:gridCol w:w="1809"/>
        <w:gridCol w:w="1810"/>
        <w:gridCol w:w="1820"/>
      </w:tblGrid>
      <w:tr w:rsidR="00F514C9" w:rsidRPr="00C319D0" w14:paraId="131234AD" w14:textId="77777777" w:rsidTr="00F51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val="restart"/>
            <w:shd w:val="clear" w:color="auto" w:fill="auto"/>
          </w:tcPr>
          <w:p w14:paraId="5227AC59" w14:textId="77777777" w:rsidR="00F514C9" w:rsidRPr="00C319D0" w:rsidRDefault="00F514C9" w:rsidP="00F514C9">
            <w:pPr>
              <w:jc w:val="both"/>
              <w:rPr>
                <w:rFonts w:ascii="Cambria" w:hAnsi="Cambria" w:cs="Times New Roman"/>
                <w:sz w:val="20"/>
                <w:szCs w:val="20"/>
              </w:rPr>
            </w:pPr>
            <w:r w:rsidRPr="00C319D0">
              <w:rPr>
                <w:rFonts w:ascii="Cambria" w:hAnsi="Cambria" w:cs="Times New Roman"/>
                <w:sz w:val="20"/>
                <w:szCs w:val="20"/>
              </w:rPr>
              <w:t>Okul adı</w:t>
            </w:r>
          </w:p>
        </w:tc>
        <w:tc>
          <w:tcPr>
            <w:tcW w:w="5527" w:type="dxa"/>
            <w:gridSpan w:val="3"/>
            <w:shd w:val="clear" w:color="auto" w:fill="auto"/>
          </w:tcPr>
          <w:p w14:paraId="570BB457" w14:textId="77777777" w:rsidR="00F514C9" w:rsidRPr="00C319D0" w:rsidRDefault="00F514C9" w:rsidP="00F514C9">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Öğrenci Sayısı</w:t>
            </w:r>
          </w:p>
        </w:tc>
        <w:tc>
          <w:tcPr>
            <w:tcW w:w="1843" w:type="dxa"/>
            <w:vMerge w:val="restart"/>
            <w:shd w:val="clear" w:color="auto" w:fill="auto"/>
          </w:tcPr>
          <w:p w14:paraId="771245F1" w14:textId="77777777" w:rsidR="00F514C9" w:rsidRPr="00C319D0" w:rsidRDefault="00F514C9" w:rsidP="00F514C9">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Toplam</w:t>
            </w:r>
          </w:p>
        </w:tc>
      </w:tr>
      <w:tr w:rsidR="00F514C9" w:rsidRPr="00C319D0" w14:paraId="710F3B1B" w14:textId="77777777" w:rsidTr="00F51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tcBorders>
              <w:bottom w:val="single" w:sz="4" w:space="0" w:color="auto"/>
            </w:tcBorders>
            <w:shd w:val="clear" w:color="auto" w:fill="auto"/>
          </w:tcPr>
          <w:p w14:paraId="3C7B89B8" w14:textId="77777777" w:rsidR="00F514C9" w:rsidRPr="00C319D0" w:rsidRDefault="00F514C9" w:rsidP="00F514C9">
            <w:pPr>
              <w:jc w:val="both"/>
              <w:rPr>
                <w:rFonts w:ascii="Cambria" w:hAnsi="Cambria" w:cs="Times New Roman"/>
                <w:b w:val="0"/>
                <w:sz w:val="20"/>
                <w:szCs w:val="20"/>
              </w:rPr>
            </w:pPr>
          </w:p>
        </w:tc>
        <w:tc>
          <w:tcPr>
            <w:tcW w:w="1842" w:type="dxa"/>
            <w:tcBorders>
              <w:bottom w:val="single" w:sz="4" w:space="0" w:color="auto"/>
            </w:tcBorders>
            <w:shd w:val="clear" w:color="auto" w:fill="auto"/>
          </w:tcPr>
          <w:p w14:paraId="6A5F2C83"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r w:rsidRPr="00C319D0">
              <w:rPr>
                <w:rFonts w:ascii="Cambria" w:hAnsi="Cambria" w:cs="Times New Roman"/>
                <w:b/>
                <w:sz w:val="20"/>
                <w:szCs w:val="20"/>
              </w:rPr>
              <w:t>6</w:t>
            </w:r>
          </w:p>
        </w:tc>
        <w:tc>
          <w:tcPr>
            <w:tcW w:w="1842" w:type="dxa"/>
            <w:tcBorders>
              <w:bottom w:val="single" w:sz="4" w:space="0" w:color="auto"/>
            </w:tcBorders>
            <w:shd w:val="clear" w:color="auto" w:fill="auto"/>
          </w:tcPr>
          <w:p w14:paraId="603B812B"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r w:rsidRPr="00C319D0">
              <w:rPr>
                <w:rFonts w:ascii="Cambria" w:hAnsi="Cambria" w:cs="Times New Roman"/>
                <w:b/>
                <w:sz w:val="20"/>
                <w:szCs w:val="20"/>
              </w:rPr>
              <w:t>7</w:t>
            </w:r>
          </w:p>
        </w:tc>
        <w:tc>
          <w:tcPr>
            <w:tcW w:w="1843" w:type="dxa"/>
            <w:tcBorders>
              <w:bottom w:val="single" w:sz="4" w:space="0" w:color="auto"/>
            </w:tcBorders>
            <w:shd w:val="clear" w:color="auto" w:fill="auto"/>
          </w:tcPr>
          <w:p w14:paraId="65D737D2"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r w:rsidRPr="00C319D0">
              <w:rPr>
                <w:rFonts w:ascii="Cambria" w:hAnsi="Cambria" w:cs="Times New Roman"/>
                <w:b/>
                <w:sz w:val="20"/>
                <w:szCs w:val="20"/>
              </w:rPr>
              <w:t>8</w:t>
            </w:r>
          </w:p>
        </w:tc>
        <w:tc>
          <w:tcPr>
            <w:tcW w:w="1843" w:type="dxa"/>
            <w:vMerge/>
            <w:tcBorders>
              <w:bottom w:val="single" w:sz="4" w:space="0" w:color="auto"/>
            </w:tcBorders>
            <w:shd w:val="clear" w:color="auto" w:fill="auto"/>
          </w:tcPr>
          <w:p w14:paraId="0C854E08"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r>
      <w:tr w:rsidR="00F514C9" w:rsidRPr="00C319D0" w14:paraId="5A1C5CA7" w14:textId="77777777" w:rsidTr="00F514C9">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tcBorders>
            <w:shd w:val="clear" w:color="auto" w:fill="auto"/>
          </w:tcPr>
          <w:p w14:paraId="705B6F78" w14:textId="77777777" w:rsidR="00F514C9" w:rsidRPr="00C319D0" w:rsidRDefault="00F514C9" w:rsidP="00F514C9">
            <w:pPr>
              <w:jc w:val="both"/>
              <w:rPr>
                <w:rFonts w:ascii="Cambria" w:hAnsi="Cambria" w:cs="Times New Roman"/>
                <w:b w:val="0"/>
                <w:sz w:val="20"/>
                <w:szCs w:val="20"/>
              </w:rPr>
            </w:pPr>
            <w:r w:rsidRPr="00C319D0">
              <w:rPr>
                <w:rFonts w:ascii="Cambria" w:hAnsi="Cambria" w:cs="Times New Roman"/>
                <w:b w:val="0"/>
                <w:sz w:val="20"/>
                <w:szCs w:val="20"/>
              </w:rPr>
              <w:t>A Ortaokulu</w:t>
            </w:r>
          </w:p>
        </w:tc>
        <w:tc>
          <w:tcPr>
            <w:tcW w:w="1842" w:type="dxa"/>
            <w:tcBorders>
              <w:top w:val="single" w:sz="4" w:space="0" w:color="auto"/>
            </w:tcBorders>
            <w:shd w:val="clear" w:color="auto" w:fill="auto"/>
          </w:tcPr>
          <w:p w14:paraId="7ED047C0"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w:t>
            </w:r>
          </w:p>
        </w:tc>
        <w:tc>
          <w:tcPr>
            <w:tcW w:w="1842" w:type="dxa"/>
            <w:tcBorders>
              <w:top w:val="single" w:sz="4" w:space="0" w:color="auto"/>
            </w:tcBorders>
            <w:shd w:val="clear" w:color="auto" w:fill="auto"/>
          </w:tcPr>
          <w:p w14:paraId="175D8604"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w:t>
            </w:r>
          </w:p>
        </w:tc>
        <w:tc>
          <w:tcPr>
            <w:tcW w:w="1843" w:type="dxa"/>
            <w:tcBorders>
              <w:top w:val="single" w:sz="4" w:space="0" w:color="auto"/>
            </w:tcBorders>
            <w:shd w:val="clear" w:color="auto" w:fill="auto"/>
          </w:tcPr>
          <w:p w14:paraId="79EB0544"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195</w:t>
            </w:r>
          </w:p>
        </w:tc>
        <w:tc>
          <w:tcPr>
            <w:tcW w:w="1843" w:type="dxa"/>
            <w:tcBorders>
              <w:top w:val="single" w:sz="4" w:space="0" w:color="auto"/>
            </w:tcBorders>
            <w:shd w:val="clear" w:color="auto" w:fill="auto"/>
          </w:tcPr>
          <w:p w14:paraId="4835FC49"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195</w:t>
            </w:r>
          </w:p>
        </w:tc>
      </w:tr>
      <w:tr w:rsidR="00F514C9" w:rsidRPr="00C319D0" w14:paraId="0F5D4435" w14:textId="77777777" w:rsidTr="00F51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auto"/>
          </w:tcPr>
          <w:p w14:paraId="0D1B4E3C" w14:textId="77777777" w:rsidR="00F514C9" w:rsidRPr="00C319D0" w:rsidRDefault="00F514C9" w:rsidP="00F514C9">
            <w:pPr>
              <w:jc w:val="both"/>
              <w:rPr>
                <w:rFonts w:ascii="Cambria" w:hAnsi="Cambria" w:cs="Times New Roman"/>
                <w:b w:val="0"/>
                <w:sz w:val="20"/>
                <w:szCs w:val="20"/>
              </w:rPr>
            </w:pPr>
            <w:r w:rsidRPr="00C319D0">
              <w:rPr>
                <w:rFonts w:ascii="Cambria" w:hAnsi="Cambria" w:cs="Times New Roman"/>
                <w:b w:val="0"/>
                <w:sz w:val="20"/>
                <w:szCs w:val="20"/>
              </w:rPr>
              <w:t>B Ortaokulu</w:t>
            </w:r>
          </w:p>
        </w:tc>
        <w:tc>
          <w:tcPr>
            <w:tcW w:w="1842" w:type="dxa"/>
            <w:shd w:val="clear" w:color="auto" w:fill="auto"/>
          </w:tcPr>
          <w:p w14:paraId="6B9505EC"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71</w:t>
            </w:r>
          </w:p>
        </w:tc>
        <w:tc>
          <w:tcPr>
            <w:tcW w:w="1842" w:type="dxa"/>
            <w:shd w:val="clear" w:color="auto" w:fill="auto"/>
          </w:tcPr>
          <w:p w14:paraId="4F111C6E"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77</w:t>
            </w:r>
          </w:p>
        </w:tc>
        <w:tc>
          <w:tcPr>
            <w:tcW w:w="1843" w:type="dxa"/>
            <w:shd w:val="clear" w:color="auto" w:fill="auto"/>
          </w:tcPr>
          <w:p w14:paraId="5E7C7ECD"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w:t>
            </w:r>
          </w:p>
        </w:tc>
        <w:tc>
          <w:tcPr>
            <w:tcW w:w="1843" w:type="dxa"/>
            <w:shd w:val="clear" w:color="auto" w:fill="auto"/>
          </w:tcPr>
          <w:p w14:paraId="69196C51"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148</w:t>
            </w:r>
          </w:p>
        </w:tc>
      </w:tr>
      <w:tr w:rsidR="00F514C9" w:rsidRPr="00C319D0" w14:paraId="0C9E7671" w14:textId="77777777" w:rsidTr="00F514C9">
        <w:tc>
          <w:tcPr>
            <w:cnfStyle w:val="001000000000" w:firstRow="0" w:lastRow="0" w:firstColumn="1" w:lastColumn="0" w:oddVBand="0" w:evenVBand="0" w:oddHBand="0" w:evenHBand="0" w:firstRowFirstColumn="0" w:firstRowLastColumn="0" w:lastRowFirstColumn="0" w:lastRowLastColumn="0"/>
            <w:tcW w:w="1842" w:type="dxa"/>
            <w:shd w:val="clear" w:color="auto" w:fill="auto"/>
          </w:tcPr>
          <w:p w14:paraId="080E647F" w14:textId="77777777" w:rsidR="00F514C9" w:rsidRPr="00C319D0" w:rsidRDefault="00F514C9" w:rsidP="00F514C9">
            <w:pPr>
              <w:jc w:val="both"/>
              <w:rPr>
                <w:rFonts w:ascii="Cambria" w:hAnsi="Cambria" w:cs="Times New Roman"/>
                <w:b w:val="0"/>
                <w:sz w:val="20"/>
                <w:szCs w:val="20"/>
              </w:rPr>
            </w:pPr>
            <w:r w:rsidRPr="00C319D0">
              <w:rPr>
                <w:rFonts w:ascii="Cambria" w:hAnsi="Cambria" w:cs="Times New Roman"/>
                <w:b w:val="0"/>
                <w:sz w:val="20"/>
                <w:szCs w:val="20"/>
              </w:rPr>
              <w:t>C Ortaokulu</w:t>
            </w:r>
          </w:p>
        </w:tc>
        <w:tc>
          <w:tcPr>
            <w:tcW w:w="1842" w:type="dxa"/>
            <w:shd w:val="clear" w:color="auto" w:fill="auto"/>
          </w:tcPr>
          <w:p w14:paraId="2B321B4E"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145</w:t>
            </w:r>
          </w:p>
        </w:tc>
        <w:tc>
          <w:tcPr>
            <w:tcW w:w="1842" w:type="dxa"/>
            <w:shd w:val="clear" w:color="auto" w:fill="auto"/>
          </w:tcPr>
          <w:p w14:paraId="3C4E3788"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141</w:t>
            </w:r>
          </w:p>
        </w:tc>
        <w:tc>
          <w:tcPr>
            <w:tcW w:w="1843" w:type="dxa"/>
            <w:shd w:val="clear" w:color="auto" w:fill="auto"/>
          </w:tcPr>
          <w:p w14:paraId="1FB53F17"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356</w:t>
            </w:r>
          </w:p>
        </w:tc>
        <w:tc>
          <w:tcPr>
            <w:tcW w:w="1843" w:type="dxa"/>
            <w:shd w:val="clear" w:color="auto" w:fill="auto"/>
          </w:tcPr>
          <w:p w14:paraId="0742114D" w14:textId="77777777" w:rsidR="00F514C9" w:rsidRPr="00C319D0" w:rsidRDefault="00F514C9" w:rsidP="00F514C9">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447</w:t>
            </w:r>
          </w:p>
        </w:tc>
      </w:tr>
      <w:tr w:rsidR="00F514C9" w:rsidRPr="00C319D0" w14:paraId="7C7FF630" w14:textId="77777777" w:rsidTr="00F51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auto"/>
          </w:tcPr>
          <w:p w14:paraId="36327AC2" w14:textId="77777777" w:rsidR="00F514C9" w:rsidRPr="00C319D0" w:rsidRDefault="00F514C9" w:rsidP="00F514C9">
            <w:pPr>
              <w:jc w:val="both"/>
              <w:rPr>
                <w:rFonts w:ascii="Cambria" w:hAnsi="Cambria" w:cs="Times New Roman"/>
                <w:b w:val="0"/>
                <w:sz w:val="20"/>
                <w:szCs w:val="20"/>
              </w:rPr>
            </w:pPr>
            <w:r w:rsidRPr="00C319D0">
              <w:rPr>
                <w:rFonts w:ascii="Cambria" w:hAnsi="Cambria" w:cs="Times New Roman"/>
                <w:b w:val="0"/>
                <w:sz w:val="20"/>
                <w:szCs w:val="20"/>
              </w:rPr>
              <w:t>Toplam</w:t>
            </w:r>
          </w:p>
        </w:tc>
        <w:tc>
          <w:tcPr>
            <w:tcW w:w="1842" w:type="dxa"/>
            <w:shd w:val="clear" w:color="auto" w:fill="auto"/>
          </w:tcPr>
          <w:p w14:paraId="499C36AC"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216</w:t>
            </w:r>
          </w:p>
        </w:tc>
        <w:tc>
          <w:tcPr>
            <w:tcW w:w="1842" w:type="dxa"/>
            <w:shd w:val="clear" w:color="auto" w:fill="auto"/>
          </w:tcPr>
          <w:p w14:paraId="08EA484B"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218</w:t>
            </w:r>
          </w:p>
        </w:tc>
        <w:tc>
          <w:tcPr>
            <w:tcW w:w="1843" w:type="dxa"/>
            <w:shd w:val="clear" w:color="auto" w:fill="auto"/>
          </w:tcPr>
          <w:p w14:paraId="1EE416A0"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356</w:t>
            </w:r>
          </w:p>
        </w:tc>
        <w:tc>
          <w:tcPr>
            <w:tcW w:w="1843" w:type="dxa"/>
            <w:shd w:val="clear" w:color="auto" w:fill="auto"/>
          </w:tcPr>
          <w:p w14:paraId="2F44C680" w14:textId="77777777" w:rsidR="00F514C9" w:rsidRPr="00C319D0" w:rsidRDefault="00F514C9" w:rsidP="00F514C9">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C319D0">
              <w:rPr>
                <w:rFonts w:ascii="Cambria" w:hAnsi="Cambria" w:cs="Times New Roman"/>
                <w:sz w:val="20"/>
                <w:szCs w:val="20"/>
              </w:rPr>
              <w:t>790</w:t>
            </w:r>
          </w:p>
        </w:tc>
      </w:tr>
    </w:tbl>
    <w:p w14:paraId="30875E67" w14:textId="77777777" w:rsidR="000440AA" w:rsidRPr="00C319D0" w:rsidRDefault="000440AA" w:rsidP="00440C93">
      <w:pPr>
        <w:spacing w:after="0" w:line="240" w:lineRule="auto"/>
        <w:ind w:firstLine="567"/>
        <w:jc w:val="both"/>
        <w:rPr>
          <w:rFonts w:ascii="Cambria" w:eastAsia="Times New Roman" w:hAnsi="Cambria" w:cstheme="minorHAnsi"/>
          <w:lang w:eastAsia="tr-TR"/>
        </w:rPr>
      </w:pPr>
      <w:r w:rsidRPr="00C319D0">
        <w:rPr>
          <w:rFonts w:ascii="Cambria" w:eastAsia="Times New Roman" w:hAnsi="Cambria" w:cstheme="minorHAnsi"/>
          <w:lang w:eastAsia="tr-TR"/>
        </w:rPr>
        <w:t xml:space="preserve">Çalışmaya katılan öğrencilerin 216’sı 6.sınıf, 218’i 7.sınıf ve 356’sı 8. sınıf öğrencisidir. </w:t>
      </w:r>
      <w:r w:rsidR="00A36D75" w:rsidRPr="00C319D0">
        <w:rPr>
          <w:rFonts w:ascii="Cambria" w:eastAsia="Times New Roman" w:hAnsi="Cambria" w:cstheme="minorHAnsi"/>
          <w:lang w:eastAsia="tr-TR"/>
        </w:rPr>
        <w:t xml:space="preserve"> Katılımcılardan elde edilen veriler ile geçerlik-güvenirlik çalışmaları ve matematik öğrenme yaklaşımlarının sınıf düzeyi değişkenine göre değişip değişmeme durumu incelenmiştir. </w:t>
      </w:r>
    </w:p>
    <w:p w14:paraId="5207BDFD" w14:textId="484A0664" w:rsidR="006A7D86" w:rsidRPr="00C319D0" w:rsidRDefault="00F514C9" w:rsidP="00AC5548">
      <w:pPr>
        <w:spacing w:after="0" w:line="240" w:lineRule="auto"/>
        <w:ind w:firstLine="567"/>
        <w:jc w:val="both"/>
        <w:rPr>
          <w:rFonts w:ascii="Cambria" w:eastAsia="Times New Roman" w:hAnsi="Cambria" w:cstheme="minorHAnsi"/>
          <w:lang w:eastAsia="tr-TR"/>
        </w:rPr>
      </w:pPr>
      <w:r w:rsidRPr="00C319D0">
        <w:rPr>
          <w:rFonts w:ascii="Cambria" w:eastAsia="Times New Roman" w:hAnsi="Cambria" w:cstheme="minorHAnsi"/>
          <w:lang w:eastAsia="tr-TR"/>
        </w:rPr>
        <w:t xml:space="preserve">Test tekrar test güvenirlik çalışmasına ise yine İstanbul ilinin farklı bir okulundan 54 7.sınıf öğrencisi katılmıştır. </w:t>
      </w:r>
    </w:p>
    <w:p w14:paraId="0E1061BD" w14:textId="77777777" w:rsidR="006A7D86" w:rsidRPr="00C319D0" w:rsidRDefault="006A7D86" w:rsidP="00AC5548">
      <w:pPr>
        <w:spacing w:before="120" w:after="120" w:line="240" w:lineRule="auto"/>
        <w:jc w:val="both"/>
        <w:rPr>
          <w:rFonts w:ascii="Cambria" w:eastAsia="Times New Roman" w:hAnsi="Cambria" w:cstheme="minorHAnsi"/>
          <w:b/>
          <w:lang w:eastAsia="tr-TR"/>
        </w:rPr>
      </w:pPr>
      <w:r w:rsidRPr="00C319D0">
        <w:rPr>
          <w:rFonts w:ascii="Cambria" w:eastAsia="Times New Roman" w:hAnsi="Cambria" w:cstheme="minorHAnsi"/>
          <w:b/>
          <w:lang w:eastAsia="tr-TR"/>
        </w:rPr>
        <w:lastRenderedPageBreak/>
        <w:t>Verilerin elde edilmesi</w:t>
      </w:r>
      <w:r w:rsidR="008F1077" w:rsidRPr="00C319D0">
        <w:rPr>
          <w:rFonts w:ascii="Cambria" w:eastAsia="Times New Roman" w:hAnsi="Cambria" w:cstheme="minorHAnsi"/>
          <w:b/>
          <w:lang w:eastAsia="tr-TR"/>
        </w:rPr>
        <w:t xml:space="preserve"> </w:t>
      </w:r>
    </w:p>
    <w:p w14:paraId="11D4E1B3" w14:textId="7B616328" w:rsidR="006A7D86" w:rsidRPr="00C319D0" w:rsidRDefault="008F1077" w:rsidP="00AC5548">
      <w:pPr>
        <w:spacing w:after="0" w:line="240" w:lineRule="auto"/>
        <w:ind w:firstLine="708"/>
        <w:jc w:val="both"/>
        <w:rPr>
          <w:rFonts w:ascii="Cambria" w:eastAsia="Times New Roman" w:hAnsi="Cambria" w:cstheme="minorHAnsi"/>
          <w:lang w:eastAsia="tr-TR"/>
        </w:rPr>
      </w:pPr>
      <w:r w:rsidRPr="00C319D0">
        <w:rPr>
          <w:rFonts w:ascii="Cambria" w:eastAsia="Times New Roman" w:hAnsi="Cambria" w:cstheme="minorHAnsi"/>
          <w:lang w:eastAsia="tr-TR"/>
        </w:rPr>
        <w:t xml:space="preserve">Araştırmanın verileri </w:t>
      </w:r>
      <w:r w:rsidR="007F3A81" w:rsidRPr="00C319D0">
        <w:rPr>
          <w:rFonts w:ascii="Cambria" w:eastAsia="Times New Roman" w:hAnsi="Cambria" w:cstheme="minorHAnsi"/>
          <w:lang w:eastAsia="tr-TR"/>
        </w:rPr>
        <w:t xml:space="preserve">2015-2016 eğitim-öğretim yılının ilk döneminde toplanmıştır. Araştırma için gerekli verilerin toplanması aşamasına geçilmeden önce etik ilkelere uygun olarak İstanbul İl Milli Eğitim Müdürlüğü’nden gerekli izinler alınmıştır. </w:t>
      </w:r>
      <w:r w:rsidR="002A659A" w:rsidRPr="00C319D0">
        <w:rPr>
          <w:rFonts w:ascii="Cambria" w:eastAsia="Times New Roman" w:hAnsi="Cambria" w:cstheme="minorHAnsi"/>
          <w:lang w:eastAsia="tr-TR"/>
        </w:rPr>
        <w:t xml:space="preserve">Matematik </w:t>
      </w:r>
      <w:r w:rsidR="00AC5548">
        <w:rPr>
          <w:rFonts w:ascii="Cambria" w:eastAsia="Times New Roman" w:hAnsi="Cambria" w:cstheme="minorHAnsi"/>
          <w:lang w:eastAsia="tr-TR"/>
        </w:rPr>
        <w:t>Ö</w:t>
      </w:r>
      <w:r w:rsidR="002A659A" w:rsidRPr="00C319D0">
        <w:rPr>
          <w:rFonts w:ascii="Cambria" w:eastAsia="Times New Roman" w:hAnsi="Cambria" w:cstheme="minorHAnsi"/>
          <w:lang w:eastAsia="tr-TR"/>
        </w:rPr>
        <w:t xml:space="preserve">ğrenme </w:t>
      </w:r>
      <w:r w:rsidR="00AC5548">
        <w:rPr>
          <w:rFonts w:ascii="Cambria" w:eastAsia="Times New Roman" w:hAnsi="Cambria" w:cstheme="minorHAnsi"/>
          <w:lang w:eastAsia="tr-TR"/>
        </w:rPr>
        <w:t>Y</w:t>
      </w:r>
      <w:r w:rsidR="002A659A" w:rsidRPr="00C319D0">
        <w:rPr>
          <w:rFonts w:ascii="Cambria" w:eastAsia="Times New Roman" w:hAnsi="Cambria" w:cstheme="minorHAnsi"/>
          <w:lang w:eastAsia="tr-TR"/>
        </w:rPr>
        <w:t xml:space="preserve">aklaşımları </w:t>
      </w:r>
      <w:r w:rsidR="00AC5548">
        <w:rPr>
          <w:rFonts w:ascii="Cambria" w:eastAsia="Times New Roman" w:hAnsi="Cambria" w:cstheme="minorHAnsi"/>
          <w:lang w:eastAsia="tr-TR"/>
        </w:rPr>
        <w:t>Ö</w:t>
      </w:r>
      <w:r w:rsidR="002A659A" w:rsidRPr="00C319D0">
        <w:rPr>
          <w:rFonts w:ascii="Cambria" w:eastAsia="Times New Roman" w:hAnsi="Cambria" w:cstheme="minorHAnsi"/>
          <w:lang w:eastAsia="tr-TR"/>
        </w:rPr>
        <w:t xml:space="preserve">lçeği öğrencilere kendi sınıf ortamlarında bireysel olarak uygulanmıştır. Ölçeği cevaplamaya başlamadan önce katılımcılara kişisel bilgilerinin alınmayacağı açıkça ifade edilmiştir. </w:t>
      </w:r>
      <w:r w:rsidR="00285FCC" w:rsidRPr="00C319D0">
        <w:rPr>
          <w:rFonts w:ascii="Cambria" w:eastAsia="Times New Roman" w:hAnsi="Cambria" w:cstheme="minorHAnsi"/>
          <w:lang w:eastAsia="tr-TR"/>
        </w:rPr>
        <w:t>Alınan izinler doğrultusunda ö</w:t>
      </w:r>
      <w:r w:rsidR="002A659A" w:rsidRPr="00C319D0">
        <w:rPr>
          <w:rFonts w:ascii="Cambria" w:eastAsia="Times New Roman" w:hAnsi="Cambria" w:cstheme="minorHAnsi"/>
          <w:lang w:eastAsia="tr-TR"/>
        </w:rPr>
        <w:t>ğrencilerin ad-soyad, cinsiyet</w:t>
      </w:r>
      <w:r w:rsidR="00285FCC" w:rsidRPr="00C319D0">
        <w:rPr>
          <w:rFonts w:ascii="Cambria" w:eastAsia="Times New Roman" w:hAnsi="Cambria" w:cstheme="minorHAnsi"/>
          <w:lang w:eastAsia="tr-TR"/>
        </w:rPr>
        <w:t>, başarı durumu</w:t>
      </w:r>
      <w:r w:rsidR="002A659A" w:rsidRPr="00C319D0">
        <w:rPr>
          <w:rFonts w:ascii="Cambria" w:eastAsia="Times New Roman" w:hAnsi="Cambria" w:cstheme="minorHAnsi"/>
          <w:lang w:eastAsia="tr-TR"/>
        </w:rPr>
        <w:t xml:space="preserve"> gibi demografik bilgileri alınmamıştır. Sadece sınıf seviyeleri göz önünde bulundurulmuştur. Öğrencilerden ölçekte yer alan maddelerden kendilerine en uygun olduğunu düşündükleri cevabı işaretlemeleri istenmiştir.</w:t>
      </w:r>
      <w:r w:rsidR="000F60C4" w:rsidRPr="00C319D0">
        <w:rPr>
          <w:rFonts w:ascii="Cambria" w:eastAsia="Times New Roman" w:hAnsi="Cambria" w:cstheme="minorHAnsi"/>
          <w:lang w:eastAsia="tr-TR"/>
        </w:rPr>
        <w:t xml:space="preserve"> Araştırmanın verileri bizzat araştırmacılar tarafından toplanmıştır. </w:t>
      </w:r>
    </w:p>
    <w:p w14:paraId="2EE34D8B" w14:textId="77777777" w:rsidR="00F514C9" w:rsidRPr="00C319D0" w:rsidRDefault="00F514C9" w:rsidP="00F514C9">
      <w:pPr>
        <w:spacing w:before="120" w:after="120" w:line="240" w:lineRule="auto"/>
        <w:jc w:val="both"/>
        <w:rPr>
          <w:rFonts w:ascii="Cambria" w:eastAsia="Times New Roman" w:hAnsi="Cambria" w:cstheme="minorHAnsi"/>
          <w:b/>
          <w:lang w:eastAsia="tr-TR"/>
        </w:rPr>
      </w:pPr>
      <w:r w:rsidRPr="00C319D0">
        <w:rPr>
          <w:rFonts w:ascii="Cambria" w:eastAsia="Times New Roman" w:hAnsi="Cambria" w:cstheme="minorHAnsi"/>
          <w:b/>
          <w:lang w:eastAsia="tr-TR"/>
        </w:rPr>
        <w:t>Verilerin analizi</w:t>
      </w:r>
    </w:p>
    <w:p w14:paraId="6122AC34" w14:textId="77777777" w:rsidR="00F514C9" w:rsidRPr="00C319D0" w:rsidRDefault="00F514C9" w:rsidP="00F514C9">
      <w:pPr>
        <w:spacing w:after="0" w:line="240" w:lineRule="auto"/>
        <w:ind w:firstLine="567"/>
        <w:jc w:val="both"/>
        <w:rPr>
          <w:rFonts w:ascii="Cambria" w:eastAsia="Times New Roman" w:hAnsi="Cambria" w:cstheme="minorHAnsi"/>
          <w:lang w:eastAsia="tr-TR"/>
        </w:rPr>
      </w:pPr>
      <w:r w:rsidRPr="00C319D0">
        <w:rPr>
          <w:rFonts w:ascii="Cambria" w:eastAsia="Times New Roman" w:hAnsi="Cambria" w:cstheme="minorHAnsi"/>
          <w:lang w:eastAsia="tr-TR"/>
        </w:rPr>
        <w:t xml:space="preserve">Elde edilen verilerin analizinde </w:t>
      </w:r>
      <w:r w:rsidR="00B24BCA" w:rsidRPr="00C319D0">
        <w:rPr>
          <w:rFonts w:ascii="Cambria" w:eastAsia="Times New Roman" w:hAnsi="Cambria" w:cstheme="minorHAnsi"/>
          <w:lang w:eastAsia="tr-TR"/>
        </w:rPr>
        <w:t>istatistik</w:t>
      </w:r>
      <w:r w:rsidRPr="00C319D0">
        <w:rPr>
          <w:rFonts w:ascii="Cambria" w:eastAsia="Times New Roman" w:hAnsi="Cambria" w:cstheme="minorHAnsi"/>
          <w:lang w:eastAsia="tr-TR"/>
        </w:rPr>
        <w:t xml:space="preserve"> programlarından yararlanılmıştır. Ölçeğin kapsam geçerliliğinin sağlanması amacıyla alınan uzman görüşleri Fleiss’in kappa katsayısı ile değerlendirilmiştir. Ölçeğin faktör yapısının belirlenmesi amacıyla açımlayıcı faktör analizi ve sonrasında doğrulayıcı faktör analizi uygulanmıştır. Ölçeğin güvenirlik çalışmaları için Cronbach alfa ve test tekrar test katsayıları hesaplanmıştır. </w:t>
      </w:r>
    </w:p>
    <w:p w14:paraId="46956A80" w14:textId="79A5EA19" w:rsidR="00016F92" w:rsidRDefault="00F514C9" w:rsidP="00F514C9">
      <w:pPr>
        <w:spacing w:after="0" w:line="240" w:lineRule="auto"/>
        <w:ind w:firstLine="567"/>
        <w:jc w:val="both"/>
        <w:rPr>
          <w:rFonts w:ascii="Cambria" w:eastAsia="Times New Roman" w:hAnsi="Cambria" w:cstheme="minorHAnsi"/>
          <w:bCs/>
          <w:lang w:eastAsia="tr-TR"/>
        </w:rPr>
      </w:pPr>
      <w:r w:rsidRPr="00C319D0">
        <w:rPr>
          <w:rFonts w:ascii="Cambria" w:eastAsia="Times New Roman" w:hAnsi="Cambria" w:cstheme="minorHAnsi"/>
          <w:bCs/>
          <w:lang w:eastAsia="tr-TR"/>
        </w:rPr>
        <w:t>Araştırmanın bağımsız değişkeni sınıf düzeyleri, bağımlı değişkenleri matematik öğrenme yaklaşımları puanlarıdır (derinlemesine, stratejik, yüzeysel). Verilerin analizinde tek yönlü MANOVA testi uygulanmıştır. Bu test için öncelikle bazı değerlerin sağlanması gerekmektedir. Öğrencilerin matematik öğrenme yaklaşımları sınıf düzeyi değişkenine göre incelendiğinde, bağımlı değişkenlere ilişkin puanlar normal dağılım göstermektedir. Kovaryans matrislerinin eşit olduğu (Box's M= 24.924, p&gt;.01) ve her bir değişkene ilişkin Levene puanlarının ise anlamlı olduğu yani varyansların homojenliği varsayımı karşılandığı görülmektedir (Levene (derinlemesine)= 3.373, p&gt;.01; Levene (stratejik)=1.070, p&gt;.01 ve Levene (yüzeysel)= 1.777, p&gt;.01). Bu sonuçlar, sınıf düzeyi değişkeni açısından verilerin MANOVA testi için uygun olduğunu göstermektedir. Farklılığın hangi sınıf düzeyinden kaynaklandığını belirlemek için varyansların eşit olduğu durumlar için kullanılan post-hoc çoklu karşılaştırma testlerinden Tukey testi kullanılmıştır.</w:t>
      </w:r>
    </w:p>
    <w:p w14:paraId="369F504B" w14:textId="77777777" w:rsidR="000F6587" w:rsidRPr="00C319D0" w:rsidRDefault="000F6587" w:rsidP="00496BBA">
      <w:pPr>
        <w:pStyle w:val="Heading2"/>
        <w:spacing w:before="100" w:beforeAutospacing="1" w:after="100" w:afterAutospacing="1" w:line="240" w:lineRule="auto"/>
        <w:jc w:val="center"/>
        <w:rPr>
          <w:rFonts w:ascii="Cambria" w:hAnsi="Cambria" w:cstheme="minorHAnsi"/>
          <w:b/>
          <w:color w:val="auto"/>
          <w:sz w:val="22"/>
          <w:szCs w:val="22"/>
        </w:rPr>
      </w:pPr>
      <w:r w:rsidRPr="00C319D0">
        <w:rPr>
          <w:rFonts w:ascii="Cambria" w:hAnsi="Cambria" w:cstheme="minorHAnsi"/>
          <w:b/>
          <w:color w:val="auto"/>
          <w:sz w:val="22"/>
          <w:szCs w:val="22"/>
        </w:rPr>
        <w:t>BULGULAR</w:t>
      </w:r>
    </w:p>
    <w:p w14:paraId="18D80D76" w14:textId="77777777" w:rsidR="00F514C9" w:rsidRPr="00C319D0" w:rsidRDefault="00F514C9" w:rsidP="00F514C9">
      <w:pPr>
        <w:spacing w:before="120" w:after="120" w:line="240" w:lineRule="auto"/>
        <w:jc w:val="both"/>
        <w:rPr>
          <w:rFonts w:ascii="Cambria" w:eastAsia="Times New Roman" w:hAnsi="Cambria" w:cstheme="minorHAnsi"/>
          <w:b/>
          <w:i/>
          <w:lang w:eastAsia="tr-TR"/>
        </w:rPr>
      </w:pPr>
      <w:r w:rsidRPr="00C319D0">
        <w:rPr>
          <w:rFonts w:ascii="Cambria" w:eastAsia="Times New Roman" w:hAnsi="Cambria" w:cstheme="minorHAnsi"/>
          <w:b/>
          <w:i/>
          <w:lang w:eastAsia="tr-TR"/>
        </w:rPr>
        <w:t>MÖYÖ’nün açımlayıcı faktör analizi</w:t>
      </w:r>
    </w:p>
    <w:p w14:paraId="338934E5" w14:textId="3AF903A5" w:rsidR="00F514C9" w:rsidRPr="00C319D0" w:rsidRDefault="00F514C9" w:rsidP="009D45D1">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Açımlayıcı faktör analizinde taslak olarak hazırlanan bir ölçme aracında bulunan maddelerin kaç başlık altında toplanacağı belirlenir ve bunlar arasında nasıl bir ilişki olduğu tespit edilir (Sönmez ve Alacapınar, 2014). </w:t>
      </w:r>
      <w:r w:rsidR="00CA261A">
        <w:rPr>
          <w:rFonts w:ascii="Cambria" w:eastAsia="Times New Roman" w:hAnsi="Cambria" w:cs="Times New Roman"/>
          <w:color w:val="000000" w:themeColor="text1"/>
          <w:lang w:eastAsia="tr-TR"/>
        </w:rPr>
        <w:t>Farklı araştırmacılar a</w:t>
      </w:r>
      <w:r w:rsidRPr="00C319D0">
        <w:rPr>
          <w:rFonts w:ascii="Cambria" w:eastAsia="Times New Roman" w:hAnsi="Cambria" w:cs="Times New Roman"/>
          <w:color w:val="000000" w:themeColor="text1"/>
          <w:lang w:eastAsia="tr-TR"/>
        </w:rPr>
        <w:t xml:space="preserve">çımlayıcı faktör analizi yapabilmek için </w:t>
      </w:r>
      <w:r w:rsidR="009D45D1" w:rsidRPr="00C319D0">
        <w:rPr>
          <w:rFonts w:ascii="Cambria" w:eastAsia="Times New Roman" w:hAnsi="Cambria" w:cs="Times New Roman"/>
          <w:color w:val="000000" w:themeColor="text1"/>
          <w:lang w:eastAsia="tr-TR"/>
        </w:rPr>
        <w:t>örneklem büyüklüğü</w:t>
      </w:r>
      <w:r w:rsidR="00CA261A">
        <w:rPr>
          <w:rFonts w:ascii="Cambria" w:eastAsia="Times New Roman" w:hAnsi="Cambria" w:cs="Times New Roman"/>
          <w:color w:val="000000" w:themeColor="text1"/>
          <w:lang w:eastAsia="tr-TR"/>
        </w:rPr>
        <w:t xml:space="preserve">nü çeşitli ölçütlere göre değerlendirmiştir (ör. Bryman &amp; Cramer, 2001; Seçer, 2015; Kline, 2011; Field, 2009; Çokluk, Şekercioğlu &amp; Büyüköztürk, 2012). </w:t>
      </w:r>
      <w:r w:rsidRPr="00C319D0">
        <w:rPr>
          <w:rFonts w:ascii="Cambria" w:eastAsia="Times New Roman" w:hAnsi="Cambria" w:cs="Times New Roman"/>
          <w:color w:val="000000" w:themeColor="text1"/>
          <w:lang w:eastAsia="tr-TR"/>
        </w:rPr>
        <w:t xml:space="preserve">Seçer (2015), 30 ve üzeri madde bulunan ölçekte madde sayısının iki ya da üç katı büyüklüğünde bir örneklemin yeterli olduğunu belirtmektedir. Kline (2011), 200 kişilik bir </w:t>
      </w:r>
      <w:r w:rsidR="009D45D1" w:rsidRPr="00C319D0">
        <w:rPr>
          <w:rFonts w:ascii="Cambria" w:eastAsia="Times New Roman" w:hAnsi="Cambria" w:cs="Times New Roman"/>
          <w:color w:val="000000" w:themeColor="text1"/>
          <w:lang w:eastAsia="tr-TR"/>
        </w:rPr>
        <w:t>örneklemin yeterli olabileceği</w:t>
      </w:r>
      <w:r w:rsidRPr="00C319D0">
        <w:rPr>
          <w:rFonts w:ascii="Cambria" w:eastAsia="Times New Roman" w:hAnsi="Cambria" w:cs="Times New Roman"/>
          <w:color w:val="000000" w:themeColor="text1"/>
          <w:lang w:eastAsia="tr-TR"/>
        </w:rPr>
        <w:t xml:space="preserve"> ancak faktörlerin az sayıda olduğu durumlarda 100 kişinin de yeterli olabileceği şeklinde g</w:t>
      </w:r>
      <w:r w:rsidR="000A70B2" w:rsidRPr="00C319D0">
        <w:rPr>
          <w:rFonts w:ascii="Cambria" w:eastAsia="Times New Roman" w:hAnsi="Cambria" w:cs="Times New Roman"/>
          <w:color w:val="000000" w:themeColor="text1"/>
          <w:lang w:eastAsia="tr-TR"/>
        </w:rPr>
        <w:t xml:space="preserve">örüş belirtmektedir. </w:t>
      </w:r>
      <w:r w:rsidRPr="00C319D0">
        <w:rPr>
          <w:rFonts w:ascii="Cambria" w:eastAsia="Times New Roman" w:hAnsi="Cambria" w:cs="Times New Roman"/>
          <w:color w:val="000000" w:themeColor="text1"/>
          <w:lang w:eastAsia="tr-TR"/>
        </w:rPr>
        <w:t>Çokluk, Şekercioğlu ve Büyüköztürk (2012) ise örneklem sayısını belirlerken farklı görüşleri dikkate alarak en az ikisini sağlayacak şekilde örneklem belirlenmesinin uygun olduğunu belirtmekt</w:t>
      </w:r>
      <w:r w:rsidR="009D45D1" w:rsidRPr="00C319D0">
        <w:rPr>
          <w:rFonts w:ascii="Cambria" w:eastAsia="Times New Roman" w:hAnsi="Cambria" w:cs="Times New Roman"/>
          <w:color w:val="000000" w:themeColor="text1"/>
          <w:lang w:eastAsia="tr-TR"/>
        </w:rPr>
        <w:t>edir. Bu araştırmaya katılan 790</w:t>
      </w:r>
      <w:r w:rsidRPr="00C319D0">
        <w:rPr>
          <w:rFonts w:ascii="Cambria" w:eastAsia="Times New Roman" w:hAnsi="Cambria" w:cs="Times New Roman"/>
          <w:color w:val="000000" w:themeColor="text1"/>
          <w:lang w:eastAsia="tr-TR"/>
        </w:rPr>
        <w:t xml:space="preserve"> kişi ise araştırmacıların belirttikleri tüm şartları sağlamaktadır. Dolayısıyla araştırmadaki örneklem sayısı faktör anal</w:t>
      </w:r>
      <w:r w:rsidR="009D45D1" w:rsidRPr="00C319D0">
        <w:rPr>
          <w:rFonts w:ascii="Cambria" w:eastAsia="Times New Roman" w:hAnsi="Cambria" w:cs="Times New Roman"/>
          <w:color w:val="000000" w:themeColor="text1"/>
          <w:lang w:eastAsia="tr-TR"/>
        </w:rPr>
        <w:t xml:space="preserve">izi için yeterlidir. </w:t>
      </w:r>
      <w:r w:rsidRPr="00C319D0">
        <w:rPr>
          <w:rFonts w:ascii="Cambria" w:eastAsia="Times New Roman" w:hAnsi="Cambria" w:cs="Times New Roman"/>
          <w:color w:val="000000" w:themeColor="text1"/>
          <w:lang w:eastAsia="tr-TR"/>
        </w:rPr>
        <w:t xml:space="preserve">Araştırmadaki örneklem sayısının uygun olduğu belirlendikten sonra elde edilen verilerin faktör analizine uygun olup olmadığını belirlemek için Kaiser-Mayer-Olkin (KMO) ve Bartlett testleri yapılmıştır. </w:t>
      </w:r>
    </w:p>
    <w:p w14:paraId="31BF048B" w14:textId="77777777" w:rsidR="00F514C9" w:rsidRPr="00C319D0" w:rsidRDefault="00440C93" w:rsidP="00F514C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KMO değerinin </w:t>
      </w:r>
      <w:r w:rsidR="00F514C9" w:rsidRPr="00C319D0">
        <w:rPr>
          <w:rFonts w:ascii="Cambria" w:eastAsia="Times New Roman" w:hAnsi="Cambria" w:cs="Times New Roman"/>
          <w:color w:val="000000" w:themeColor="text1"/>
          <w:lang w:eastAsia="tr-TR"/>
        </w:rPr>
        <w:t>.60’dan yüksek olması ve Bartlett testi sonucunun anlamlı olması araştırma için verilerin faktör analizine uygun olduğunu göstermektedir (Büyüköztürk, 2012). Ayrıca KMO</w:t>
      </w:r>
      <w:r w:rsidRPr="00C319D0">
        <w:rPr>
          <w:rFonts w:ascii="Cambria" w:eastAsia="Times New Roman" w:hAnsi="Cambria" w:cs="Times New Roman"/>
          <w:color w:val="000000" w:themeColor="text1"/>
          <w:lang w:eastAsia="tr-TR"/>
        </w:rPr>
        <w:t xml:space="preserve"> testi ile elde edilen değerin </w:t>
      </w:r>
      <w:r w:rsidR="00F514C9" w:rsidRPr="00C319D0">
        <w:rPr>
          <w:rFonts w:ascii="Cambria" w:eastAsia="Times New Roman" w:hAnsi="Cambria" w:cs="Times New Roman"/>
          <w:color w:val="000000" w:themeColor="text1"/>
          <w:lang w:eastAsia="tr-TR"/>
        </w:rPr>
        <w:t>.90 ve üzerinde olması verilerin faktör analizi için mükemmel olduğu şeklinde yorumlanmaktadır (Şencan, 2005). Bartlett testinin ise istatistiksel olarak anlamlı olması verilerin normal dağılım sergilediğini göstermektedir (Seçer, 2015). Bu a</w:t>
      </w:r>
      <w:r w:rsidRPr="00C319D0">
        <w:rPr>
          <w:rFonts w:ascii="Cambria" w:eastAsia="Times New Roman" w:hAnsi="Cambria" w:cs="Times New Roman"/>
          <w:color w:val="000000" w:themeColor="text1"/>
          <w:lang w:eastAsia="tr-TR"/>
        </w:rPr>
        <w:t xml:space="preserve">raştırma için KMO testi </w:t>
      </w:r>
      <w:r w:rsidRPr="00C319D0">
        <w:rPr>
          <w:rFonts w:ascii="Cambria" w:eastAsia="Times New Roman" w:hAnsi="Cambria" w:cs="Times New Roman"/>
          <w:color w:val="000000" w:themeColor="text1"/>
          <w:lang w:eastAsia="tr-TR"/>
        </w:rPr>
        <w:lastRenderedPageBreak/>
        <w:t xml:space="preserve">değeri </w:t>
      </w:r>
      <w:r w:rsidR="00F514C9" w:rsidRPr="00C319D0">
        <w:rPr>
          <w:rFonts w:ascii="Cambria" w:eastAsia="Times New Roman" w:hAnsi="Cambria" w:cs="Times New Roman"/>
          <w:color w:val="000000" w:themeColor="text1"/>
          <w:lang w:eastAsia="tr-TR"/>
        </w:rPr>
        <w:t>.932 ve Bartlett testi sonucu (</w:t>
      </w:r>
      <w:r w:rsidR="00F514C9" w:rsidRPr="00C319D0">
        <w:rPr>
          <w:rFonts w:ascii="Cambria" w:eastAsia="Times New Roman" w:hAnsi="Cambria" w:cs="Times New Roman"/>
          <w:i/>
          <w:color w:val="000000" w:themeColor="text1"/>
          <w:lang w:eastAsia="tr-TR"/>
        </w:rPr>
        <w:t>X</w:t>
      </w:r>
      <w:r w:rsidR="00F514C9" w:rsidRPr="00C319D0">
        <w:rPr>
          <w:rFonts w:ascii="Cambria" w:eastAsia="Times New Roman" w:hAnsi="Cambria" w:cs="Times New Roman"/>
          <w:color w:val="000000" w:themeColor="text1"/>
          <w:vertAlign w:val="superscript"/>
          <w:lang w:eastAsia="tr-TR"/>
        </w:rPr>
        <w:t>2</w:t>
      </w:r>
      <w:r w:rsidR="00F514C9" w:rsidRPr="00C319D0">
        <w:rPr>
          <w:rFonts w:ascii="Cambria" w:eastAsia="Times New Roman" w:hAnsi="Cambria" w:cs="Times New Roman"/>
          <w:color w:val="000000" w:themeColor="text1"/>
          <w:lang w:eastAsia="tr-TR"/>
        </w:rPr>
        <w:t xml:space="preserve">=13684.255, p&lt;.01) anlamlı olduğundan veriler faktör analizi yapmak için uygundur. </w:t>
      </w:r>
    </w:p>
    <w:p w14:paraId="081E09B0" w14:textId="78839987" w:rsidR="00F514C9" w:rsidRPr="00C319D0" w:rsidRDefault="00F514C9" w:rsidP="00F514C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Açımlayıcı faktör analizinde verilere temel bileşenler analizi yapılmıştır ve</w:t>
      </w:r>
      <w:r w:rsidR="008F0940" w:rsidRPr="00C319D0">
        <w:rPr>
          <w:rFonts w:ascii="Cambria" w:eastAsia="Times New Roman" w:hAnsi="Cambria" w:cs="Times New Roman"/>
          <w:color w:val="000000" w:themeColor="text1"/>
          <w:lang w:eastAsia="tr-TR"/>
        </w:rPr>
        <w:t xml:space="preserve"> birikinti grafiğiden</w:t>
      </w:r>
      <w:r w:rsidRPr="00C319D0">
        <w:rPr>
          <w:rFonts w:ascii="Cambria" w:eastAsia="Times New Roman" w:hAnsi="Cambria" w:cs="Times New Roman"/>
          <w:color w:val="000000" w:themeColor="text1"/>
          <w:lang w:eastAsia="tr-TR"/>
        </w:rPr>
        <w:t xml:space="preserve"> yararlanılmıştır. Ancak sadece bu yöntemin kullanılması binişik maddelerin ve her maddenin faktör yükünün gözden kaçırılmasına sebep olabilir (Seçer, 2015). Bu nedenle, bu çalışmada faktörlerin öz değerleri (eigenvalue) ve açıkladıkları varyans oranları da dikkate alınarak ölçeğin faktör yapısı belirlenmiştir. Ölçeğin tek boyutlu mu çok boyutlu mu olduğu belirlendikten sonra rotasyon (döndürme) işlemi gerçekleştirilmiştir. </w:t>
      </w:r>
    </w:p>
    <w:p w14:paraId="03665977" w14:textId="77777777" w:rsidR="00F514C9" w:rsidRPr="00C319D0" w:rsidRDefault="00F514C9" w:rsidP="00F514C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Bir faktörün öz değeri tek başına açıklayacağı varyansı gösteren bir koşuldur ve her bir alt boyutun öz değerinin en az % 1 olması istenir (Seçer, 2015). Ölçeğin açıklaması gereken toplam varyans değeri hakkında ise farklı görüşler bulunmaktadır. Tek faktörlü ölçeklerde açıklanan varyans oranının % 30 olması yeterli görülürken, birden çok faktörlü ölçeklerde bu oranın daha fazla olması istenmektedir (Büyüköztürk, 2012). </w:t>
      </w:r>
    </w:p>
    <w:p w14:paraId="0882EA5F" w14:textId="54383C08" w:rsidR="00F514C9" w:rsidRPr="00C319D0" w:rsidRDefault="00F514C9" w:rsidP="00F514C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Açımlayıcı faktör analizinde elde edilen verilere temel bileşenler analizi (principle component analysis) uygulanmıştır. İlk analiz sonuçlarına göre ve</w:t>
      </w:r>
      <w:r w:rsidR="008F0940" w:rsidRPr="00C319D0">
        <w:rPr>
          <w:rFonts w:ascii="Cambria" w:eastAsia="Times New Roman" w:hAnsi="Cambria" w:cs="Times New Roman"/>
          <w:color w:val="000000" w:themeColor="text1"/>
          <w:lang w:eastAsia="tr-TR"/>
        </w:rPr>
        <w:t xml:space="preserve">rilerin öz değeri </w:t>
      </w:r>
      <w:r w:rsidRPr="00C319D0">
        <w:rPr>
          <w:rFonts w:ascii="Cambria" w:eastAsia="Times New Roman" w:hAnsi="Cambria" w:cs="Times New Roman"/>
          <w:color w:val="000000" w:themeColor="text1"/>
          <w:lang w:eastAsia="tr-TR"/>
        </w:rPr>
        <w:t>1’den büyük olan 11 faktörde toplandığı belir</w:t>
      </w:r>
      <w:r w:rsidR="008F0940" w:rsidRPr="00C319D0">
        <w:rPr>
          <w:rFonts w:ascii="Cambria" w:eastAsia="Times New Roman" w:hAnsi="Cambria" w:cs="Times New Roman"/>
          <w:color w:val="000000" w:themeColor="text1"/>
          <w:lang w:eastAsia="tr-TR"/>
        </w:rPr>
        <w:t>lenmiştir. Daha sonra birikinti</w:t>
      </w:r>
      <w:r w:rsidRPr="00C319D0">
        <w:rPr>
          <w:rFonts w:ascii="Cambria" w:eastAsia="Times New Roman" w:hAnsi="Cambria" w:cs="Times New Roman"/>
          <w:color w:val="000000" w:themeColor="text1"/>
          <w:lang w:eastAsia="tr-TR"/>
        </w:rPr>
        <w:t xml:space="preserve"> grafiği incelenmiştir.  Matematik Öğrenme Yaklaşımları Ölçeği</w:t>
      </w:r>
      <w:r w:rsidR="00AC5548">
        <w:rPr>
          <w:rFonts w:ascii="Cambria" w:eastAsia="Times New Roman" w:hAnsi="Cambria" w:cs="Times New Roman"/>
          <w:color w:val="000000" w:themeColor="text1"/>
          <w:lang w:eastAsia="tr-TR"/>
        </w:rPr>
        <w:t>’</w:t>
      </w:r>
      <w:r w:rsidRPr="00C319D0">
        <w:rPr>
          <w:rFonts w:ascii="Cambria" w:eastAsia="Times New Roman" w:hAnsi="Cambria" w:cs="Times New Roman"/>
          <w:color w:val="000000" w:themeColor="text1"/>
          <w:lang w:eastAsia="tr-TR"/>
        </w:rPr>
        <w:t>nin öz değerl</w:t>
      </w:r>
      <w:r w:rsidR="008F0940" w:rsidRPr="00C319D0">
        <w:rPr>
          <w:rFonts w:ascii="Cambria" w:eastAsia="Times New Roman" w:hAnsi="Cambria" w:cs="Times New Roman"/>
          <w:color w:val="000000" w:themeColor="text1"/>
          <w:lang w:eastAsia="tr-TR"/>
        </w:rPr>
        <w:t>erine bağlı çizilen birikinti grafiği</w:t>
      </w:r>
      <w:r w:rsidRPr="00C319D0">
        <w:rPr>
          <w:rFonts w:ascii="Cambria" w:eastAsia="Times New Roman" w:hAnsi="Cambria" w:cs="Times New Roman"/>
          <w:color w:val="000000" w:themeColor="text1"/>
          <w:lang w:eastAsia="tr-TR"/>
        </w:rPr>
        <w:t xml:space="preserve"> Şekil 1’de verilmiştir. </w:t>
      </w:r>
    </w:p>
    <w:p w14:paraId="21660492" w14:textId="77777777" w:rsidR="00F514C9" w:rsidRPr="00C319D0" w:rsidRDefault="00F514C9" w:rsidP="00F514C9">
      <w:pPr>
        <w:spacing w:after="0" w:line="240" w:lineRule="auto"/>
        <w:ind w:firstLine="567"/>
        <w:jc w:val="center"/>
        <w:rPr>
          <w:rFonts w:ascii="Cambria" w:eastAsia="Times New Roman" w:hAnsi="Cambria" w:cs="Times New Roman"/>
          <w:color w:val="000000" w:themeColor="text1"/>
          <w:lang w:eastAsia="tr-TR"/>
        </w:rPr>
      </w:pPr>
      <w:r w:rsidRPr="00C319D0">
        <w:rPr>
          <w:rFonts w:ascii="Cambria" w:eastAsia="Times New Roman" w:hAnsi="Cambria" w:cs="Times New Roman"/>
          <w:noProof/>
          <w:color w:val="000000" w:themeColor="text1"/>
          <w:lang w:eastAsia="tr-TR"/>
        </w:rPr>
        <w:drawing>
          <wp:inline distT="0" distB="0" distL="0" distR="0" wp14:anchorId="5E71C061" wp14:editId="10B79FC6">
            <wp:extent cx="3927944" cy="304889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31" t="2640" b="2158"/>
                    <a:stretch/>
                  </pic:blipFill>
                  <pic:spPr bwMode="auto">
                    <a:xfrm>
                      <a:off x="0" y="0"/>
                      <a:ext cx="3933553" cy="3053253"/>
                    </a:xfrm>
                    <a:prstGeom prst="rect">
                      <a:avLst/>
                    </a:prstGeom>
                    <a:noFill/>
                    <a:ln>
                      <a:noFill/>
                    </a:ln>
                    <a:extLst>
                      <a:ext uri="{53640926-AAD7-44D8-BBD7-CCE9431645EC}">
                        <a14:shadowObscured xmlns:a14="http://schemas.microsoft.com/office/drawing/2010/main"/>
                      </a:ext>
                    </a:extLst>
                  </pic:spPr>
                </pic:pic>
              </a:graphicData>
            </a:graphic>
          </wp:inline>
        </w:drawing>
      </w:r>
    </w:p>
    <w:p w14:paraId="61CA2882" w14:textId="721E9A83" w:rsidR="00F514C9" w:rsidRPr="00C319D0" w:rsidRDefault="00E212C4" w:rsidP="00F514C9">
      <w:pPr>
        <w:pStyle w:val="Title"/>
        <w:spacing w:before="120" w:after="360"/>
        <w:contextualSpacing w:val="0"/>
        <w:jc w:val="center"/>
        <w:rPr>
          <w:rFonts w:ascii="Cambria" w:hAnsi="Cambria" w:cs="Times New Roman"/>
          <w:sz w:val="20"/>
          <w:szCs w:val="20"/>
        </w:rPr>
      </w:pPr>
      <w:r>
        <w:rPr>
          <w:rFonts w:ascii="Cambria" w:hAnsi="Cambria" w:cs="Times New Roman"/>
          <w:b/>
          <w:sz w:val="20"/>
          <w:szCs w:val="20"/>
        </w:rPr>
        <w:t>Şekil</w:t>
      </w:r>
      <w:r w:rsidR="00F514C9" w:rsidRPr="00C319D0">
        <w:rPr>
          <w:rFonts w:ascii="Cambria" w:hAnsi="Cambria" w:cs="Times New Roman"/>
          <w:b/>
          <w:sz w:val="20"/>
          <w:szCs w:val="20"/>
        </w:rPr>
        <w:t xml:space="preserve"> 1</w:t>
      </w:r>
      <w:r w:rsidR="00F514C9" w:rsidRPr="00C319D0">
        <w:rPr>
          <w:rFonts w:ascii="Cambria" w:hAnsi="Cambria" w:cs="Times New Roman"/>
          <w:i/>
          <w:sz w:val="20"/>
          <w:szCs w:val="20"/>
        </w:rPr>
        <w:t>. MÖYÖ Scree plot (birikinti grafiği)</w:t>
      </w:r>
    </w:p>
    <w:p w14:paraId="2380EA68" w14:textId="77777777" w:rsidR="00F514C9" w:rsidRPr="00C319D0" w:rsidRDefault="008F0940" w:rsidP="00F514C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Birikinti</w:t>
      </w:r>
      <w:r w:rsidR="00F514C9" w:rsidRPr="00C319D0">
        <w:rPr>
          <w:rFonts w:ascii="Cambria" w:eastAsia="Times New Roman" w:hAnsi="Cambria" w:cs="Times New Roman"/>
          <w:color w:val="000000" w:themeColor="text1"/>
          <w:lang w:eastAsia="tr-TR"/>
        </w:rPr>
        <w:t xml:space="preserve"> grafiğinin yorumlanmasında önemli olan noktalardan biri iki nokta arasındaki aralığın bir faktöre işaret etmesidir (Seçer, 2015). Yukarıdaki grafik incelendiğinde ölçeğin 3 faktöre işaret ettiği ve hızlı düşüşün üçüncü faktörden sonra olduğu görülmektedir. Diğer faktörler küçüktür ve aralarındaki mesafe çok yakındır. Maddelerin içeriklerine de bakılarak kavramsal olarak uygun olan üç faktör ile sınırlandırma yapılmıştır.  </w:t>
      </w:r>
    </w:p>
    <w:p w14:paraId="6EFBB35A" w14:textId="07508B00" w:rsidR="00016F92" w:rsidRPr="00C319D0" w:rsidRDefault="00F514C9" w:rsidP="00432FA3">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Yapılan ilk analiz sonunda component matrix tablosu incelenerek faktör yükü 0.32’nin altında olan maddeler ve binişik maddeler ölçekten çıkarılmıştır. Ölçme aracı geliştirme sürecinde her maddenin faktör yük değeri en az 0.32 olmalıdır (Tabachnick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Fidell, 2007) ve eğer bir madde birden fazla bir boyutta 0.32 ve üzeri yük değerine sahipse iki boyutta sahip olduğu yük değerleri arasında en az 0.10 fark olması gerekir (Seçer, 2015). Analiz sonunda 13 madde binişik madde olduğu için, 9 madde faktör yük değeri 0.32’nin altında olduğu için ölçekten çıkarılmıştır. Bu maddeler ölçekten çıkarıldıktan sonra açımlayıcı faktör analizi tekrarlanmış ve varimax döndürme tekniği ile ölçekteki maddelerin faktör yük değerleri ve açıklanan toplam varyans değeri hesaplanmıştır. </w:t>
      </w:r>
      <w:r w:rsidR="00703869" w:rsidRPr="00C319D0">
        <w:rPr>
          <w:rFonts w:ascii="Cambria" w:eastAsia="Times New Roman" w:hAnsi="Cambria" w:cs="Times New Roman"/>
          <w:color w:val="000000" w:themeColor="text1"/>
          <w:lang w:eastAsia="tr-TR"/>
        </w:rPr>
        <w:t xml:space="preserve">Stratejik öğrenme yaklaşımının </w:t>
      </w:r>
      <w:r w:rsidR="00703869" w:rsidRPr="00C319D0">
        <w:rPr>
          <w:rFonts w:ascii="Cambria" w:eastAsia="Times New Roman" w:hAnsi="Cambria" w:cs="Times New Roman"/>
          <w:bCs/>
          <w:color w:val="000000" w:themeColor="text1"/>
          <w:lang w:eastAsia="tr-TR"/>
        </w:rPr>
        <w:t>hem yüzeysel hem</w:t>
      </w:r>
      <w:r w:rsidR="001325DC" w:rsidRPr="00C319D0">
        <w:rPr>
          <w:rFonts w:ascii="Cambria" w:eastAsia="Times New Roman" w:hAnsi="Cambria" w:cs="Times New Roman"/>
          <w:bCs/>
          <w:color w:val="000000" w:themeColor="text1"/>
          <w:lang w:eastAsia="tr-TR"/>
        </w:rPr>
        <w:t xml:space="preserve"> </w:t>
      </w:r>
      <w:r w:rsidR="00703869" w:rsidRPr="00C319D0">
        <w:rPr>
          <w:rFonts w:ascii="Cambria" w:eastAsia="Times New Roman" w:hAnsi="Cambria" w:cs="Times New Roman"/>
          <w:bCs/>
          <w:color w:val="000000" w:themeColor="text1"/>
          <w:lang w:eastAsia="tr-TR"/>
        </w:rPr>
        <w:t xml:space="preserve">de </w:t>
      </w:r>
      <w:r w:rsidR="00DE2D49" w:rsidRPr="00C319D0">
        <w:rPr>
          <w:rFonts w:ascii="Cambria" w:eastAsia="Times New Roman" w:hAnsi="Cambria" w:cs="Times New Roman"/>
          <w:bCs/>
          <w:color w:val="000000" w:themeColor="text1"/>
          <w:lang w:eastAsia="tr-TR"/>
        </w:rPr>
        <w:t>derinlemesine</w:t>
      </w:r>
      <w:r w:rsidR="00B428DA" w:rsidRPr="00C319D0">
        <w:rPr>
          <w:rFonts w:ascii="Cambria" w:eastAsia="Times New Roman" w:hAnsi="Cambria" w:cs="Times New Roman"/>
          <w:bCs/>
          <w:color w:val="000000" w:themeColor="text1"/>
          <w:lang w:eastAsia="tr-TR"/>
        </w:rPr>
        <w:t xml:space="preserve"> </w:t>
      </w:r>
      <w:r w:rsidR="00DE2D49" w:rsidRPr="00C319D0">
        <w:rPr>
          <w:rFonts w:ascii="Cambria" w:eastAsia="Times New Roman" w:hAnsi="Cambria" w:cs="Times New Roman"/>
          <w:bCs/>
          <w:color w:val="000000" w:themeColor="text1"/>
          <w:lang w:eastAsia="tr-TR"/>
        </w:rPr>
        <w:t>öğrenme</w:t>
      </w:r>
      <w:r w:rsidR="00703869" w:rsidRPr="00C319D0">
        <w:rPr>
          <w:rFonts w:ascii="Cambria" w:eastAsia="Times New Roman" w:hAnsi="Cambria" w:cs="Times New Roman"/>
          <w:bCs/>
          <w:color w:val="000000" w:themeColor="text1"/>
          <w:lang w:eastAsia="tr-TR"/>
        </w:rPr>
        <w:t xml:space="preserve"> yaklaşımın bir bileşimi olduğundan hareketle </w:t>
      </w:r>
      <w:r w:rsidR="00703869" w:rsidRPr="00C319D0">
        <w:rPr>
          <w:rFonts w:ascii="Cambria" w:eastAsia="Times New Roman" w:hAnsi="Cambria" w:cs="Times New Roman"/>
          <w:color w:val="000000" w:themeColor="text1"/>
          <w:lang w:eastAsia="tr-TR"/>
        </w:rPr>
        <w:t>ö</w:t>
      </w:r>
      <w:r w:rsidRPr="00C319D0">
        <w:rPr>
          <w:rFonts w:ascii="Cambria" w:eastAsia="Times New Roman" w:hAnsi="Cambria" w:cs="Times New Roman"/>
          <w:color w:val="000000" w:themeColor="text1"/>
          <w:lang w:eastAsia="tr-TR"/>
        </w:rPr>
        <w:t xml:space="preserve">lçme aracındaki alt faktörlerin </w:t>
      </w:r>
      <w:r w:rsidRPr="00C319D0">
        <w:rPr>
          <w:rFonts w:ascii="Cambria" w:eastAsia="Times New Roman" w:hAnsi="Cambria" w:cs="Times New Roman"/>
          <w:color w:val="000000" w:themeColor="text1"/>
          <w:lang w:eastAsia="tr-TR"/>
        </w:rPr>
        <w:lastRenderedPageBreak/>
        <w:t>birbirleriyle ilişki</w:t>
      </w:r>
      <w:r w:rsidR="00703869" w:rsidRPr="00C319D0">
        <w:rPr>
          <w:rFonts w:ascii="Cambria" w:eastAsia="Times New Roman" w:hAnsi="Cambria" w:cs="Times New Roman"/>
          <w:color w:val="000000" w:themeColor="text1"/>
          <w:lang w:eastAsia="tr-TR"/>
        </w:rPr>
        <w:t xml:space="preserve">li oldukları düşünülerek eğik </w:t>
      </w:r>
      <w:r w:rsidRPr="00C319D0">
        <w:rPr>
          <w:rFonts w:ascii="Cambria" w:eastAsia="Times New Roman" w:hAnsi="Cambria" w:cs="Times New Roman"/>
          <w:color w:val="000000" w:themeColor="text1"/>
          <w:lang w:eastAsia="tr-TR"/>
        </w:rPr>
        <w:t xml:space="preserve">döndürme tekniklerinden birisi </w:t>
      </w:r>
      <w:r w:rsidR="00703869" w:rsidRPr="00C319D0">
        <w:rPr>
          <w:rFonts w:ascii="Cambria" w:eastAsia="Times New Roman" w:hAnsi="Cambria" w:cs="Times New Roman"/>
          <w:color w:val="000000" w:themeColor="text1"/>
          <w:lang w:eastAsia="tr-TR"/>
        </w:rPr>
        <w:t>olan direct oblimin tekniği  (Seçer, 2015) kullanılmıştır.</w:t>
      </w:r>
      <w:r w:rsidRPr="00C319D0">
        <w:rPr>
          <w:rFonts w:ascii="Cambria" w:eastAsia="Times New Roman" w:hAnsi="Cambria" w:cs="Times New Roman"/>
          <w:color w:val="000000" w:themeColor="text1"/>
          <w:lang w:eastAsia="tr-TR"/>
        </w:rPr>
        <w:t xml:space="preserve"> Netice olarak Matematik Öğrenme </w:t>
      </w:r>
      <w:r w:rsidR="005B0610">
        <w:rPr>
          <w:rFonts w:ascii="Cambria" w:eastAsia="Times New Roman" w:hAnsi="Cambria" w:cs="Times New Roman"/>
          <w:color w:val="000000" w:themeColor="text1"/>
          <w:lang w:eastAsia="tr-TR"/>
        </w:rPr>
        <w:t>Y</w:t>
      </w:r>
      <w:r w:rsidRPr="00C319D0">
        <w:rPr>
          <w:rFonts w:ascii="Cambria" w:eastAsia="Times New Roman" w:hAnsi="Cambria" w:cs="Times New Roman"/>
          <w:color w:val="000000" w:themeColor="text1"/>
          <w:lang w:eastAsia="tr-TR"/>
        </w:rPr>
        <w:t>aklaşımları Ölçeği</w:t>
      </w:r>
      <w:r w:rsidR="00AC5548">
        <w:rPr>
          <w:rFonts w:ascii="Cambria" w:eastAsia="Times New Roman" w:hAnsi="Cambria" w:cs="Times New Roman"/>
          <w:color w:val="000000" w:themeColor="text1"/>
          <w:lang w:eastAsia="tr-TR"/>
        </w:rPr>
        <w:t>’</w:t>
      </w:r>
      <w:r w:rsidRPr="00C319D0">
        <w:rPr>
          <w:rFonts w:ascii="Cambria" w:eastAsia="Times New Roman" w:hAnsi="Cambria" w:cs="Times New Roman"/>
          <w:color w:val="000000" w:themeColor="text1"/>
          <w:lang w:eastAsia="tr-TR"/>
        </w:rPr>
        <w:t>nden 22 madde çıkartılmış ve ölçekte 33 madde kalmıştır. Ta</w:t>
      </w:r>
      <w:r w:rsidR="00F063B3" w:rsidRPr="00C319D0">
        <w:rPr>
          <w:rFonts w:ascii="Cambria" w:eastAsia="Times New Roman" w:hAnsi="Cambria" w:cs="Times New Roman"/>
          <w:color w:val="000000" w:themeColor="text1"/>
          <w:lang w:eastAsia="tr-TR"/>
        </w:rPr>
        <w:t xml:space="preserve">blo </w:t>
      </w:r>
      <w:r w:rsidR="006E6BE3" w:rsidRPr="00C319D0">
        <w:rPr>
          <w:rFonts w:ascii="Cambria" w:eastAsia="Times New Roman" w:hAnsi="Cambria" w:cs="Times New Roman"/>
          <w:color w:val="000000" w:themeColor="text1"/>
          <w:lang w:eastAsia="tr-TR"/>
        </w:rPr>
        <w:t>2’de</w:t>
      </w:r>
      <w:r w:rsidRPr="00C319D0">
        <w:rPr>
          <w:rFonts w:ascii="Cambria" w:eastAsia="Times New Roman" w:hAnsi="Cambria" w:cs="Times New Roman"/>
          <w:color w:val="000000" w:themeColor="text1"/>
          <w:lang w:eastAsia="tr-TR"/>
        </w:rPr>
        <w:t xml:space="preserve"> faktör yük değerleri, açıklanan toplam varyans v</w:t>
      </w:r>
      <w:r w:rsidR="008F0940" w:rsidRPr="00C319D0">
        <w:rPr>
          <w:rFonts w:ascii="Cambria" w:eastAsia="Times New Roman" w:hAnsi="Cambria" w:cs="Times New Roman"/>
          <w:color w:val="000000" w:themeColor="text1"/>
          <w:lang w:eastAsia="tr-TR"/>
        </w:rPr>
        <w:t xml:space="preserve">e ölçeğe ait düzeltilmiş toplam-madde </w:t>
      </w:r>
      <w:r w:rsidRPr="00C319D0">
        <w:rPr>
          <w:rFonts w:ascii="Cambria" w:eastAsia="Times New Roman" w:hAnsi="Cambria" w:cs="Times New Roman"/>
          <w:color w:val="000000" w:themeColor="text1"/>
          <w:lang w:eastAsia="tr-TR"/>
        </w:rPr>
        <w:t>ölçek korelasyonları verilmektedir.</w:t>
      </w:r>
    </w:p>
    <w:p w14:paraId="4ADC4CC2" w14:textId="77777777" w:rsidR="00540C7A" w:rsidRPr="00C319D0" w:rsidRDefault="00540C7A" w:rsidP="00432FA3">
      <w:pPr>
        <w:pStyle w:val="Heading4"/>
        <w:spacing w:before="120" w:after="120" w:line="240" w:lineRule="auto"/>
        <w:contextualSpacing/>
        <w:rPr>
          <w:rFonts w:ascii="Cambria" w:hAnsi="Cambria" w:cs="Times New Roman"/>
          <w:i w:val="0"/>
          <w:color w:val="auto"/>
          <w:sz w:val="20"/>
          <w:szCs w:val="20"/>
        </w:rPr>
      </w:pPr>
      <w:r w:rsidRPr="00C319D0">
        <w:rPr>
          <w:rFonts w:ascii="Cambria" w:hAnsi="Cambria" w:cs="Times New Roman"/>
          <w:b/>
          <w:i w:val="0"/>
          <w:color w:val="auto"/>
          <w:sz w:val="20"/>
          <w:szCs w:val="20"/>
        </w:rPr>
        <w:t xml:space="preserve">Tablo </w:t>
      </w:r>
      <w:r w:rsidR="006E6BE3" w:rsidRPr="00C319D0">
        <w:rPr>
          <w:rFonts w:ascii="Cambria" w:hAnsi="Cambria" w:cs="Times New Roman"/>
          <w:b/>
          <w:i w:val="0"/>
          <w:color w:val="auto"/>
          <w:sz w:val="20"/>
          <w:szCs w:val="20"/>
        </w:rPr>
        <w:t>2</w:t>
      </w:r>
      <w:r w:rsidRPr="00C319D0">
        <w:rPr>
          <w:rFonts w:ascii="Cambria" w:hAnsi="Cambria" w:cs="Times New Roman"/>
          <w:b/>
          <w:i w:val="0"/>
          <w:color w:val="auto"/>
          <w:sz w:val="20"/>
          <w:szCs w:val="20"/>
        </w:rPr>
        <w:t>.</w:t>
      </w:r>
      <w:r w:rsidRPr="00C319D0">
        <w:rPr>
          <w:rFonts w:ascii="Cambria" w:hAnsi="Cambria" w:cs="Times New Roman"/>
          <w:i w:val="0"/>
          <w:color w:val="auto"/>
          <w:sz w:val="20"/>
          <w:szCs w:val="20"/>
        </w:rPr>
        <w:t xml:space="preserve"> </w:t>
      </w:r>
      <w:r w:rsidRPr="00C319D0">
        <w:rPr>
          <w:rFonts w:ascii="Cambria" w:hAnsi="Cambria" w:cs="Times New Roman"/>
          <w:color w:val="auto"/>
          <w:sz w:val="20"/>
          <w:szCs w:val="20"/>
        </w:rPr>
        <w:t xml:space="preserve">MÖYÖ Açımlayıcı </w:t>
      </w:r>
      <w:r w:rsidR="008F0940" w:rsidRPr="00C319D0">
        <w:rPr>
          <w:rFonts w:ascii="Cambria" w:hAnsi="Cambria" w:cs="Times New Roman"/>
          <w:color w:val="auto"/>
          <w:sz w:val="20"/>
          <w:szCs w:val="20"/>
        </w:rPr>
        <w:t>faktör analizi sonuçları</w:t>
      </w:r>
    </w:p>
    <w:tbl>
      <w:tblPr>
        <w:tblStyle w:val="AkGlgeleme1"/>
        <w:tblW w:w="0" w:type="auto"/>
        <w:tblLayout w:type="fixed"/>
        <w:tblLook w:val="0000" w:firstRow="0" w:lastRow="0" w:firstColumn="0" w:lastColumn="0" w:noHBand="0" w:noVBand="0"/>
      </w:tblPr>
      <w:tblGrid>
        <w:gridCol w:w="1160"/>
        <w:gridCol w:w="1570"/>
        <w:gridCol w:w="1206"/>
        <w:gridCol w:w="1134"/>
        <w:gridCol w:w="1275"/>
        <w:gridCol w:w="2943"/>
      </w:tblGrid>
      <w:tr w:rsidR="00540C7A" w:rsidRPr="00C319D0" w14:paraId="5F477419"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tcBorders>
              <w:bottom w:val="single" w:sz="4" w:space="0" w:color="auto"/>
            </w:tcBorders>
            <w:shd w:val="clear" w:color="auto" w:fill="auto"/>
          </w:tcPr>
          <w:p w14:paraId="00799907" w14:textId="77777777" w:rsidR="00540C7A"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Madde No</w:t>
            </w:r>
          </w:p>
          <w:p w14:paraId="53F0604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(Eski)</w:t>
            </w:r>
          </w:p>
        </w:tc>
        <w:tc>
          <w:tcPr>
            <w:tcW w:w="1570" w:type="dxa"/>
            <w:tcBorders>
              <w:bottom w:val="single" w:sz="4" w:space="0" w:color="auto"/>
            </w:tcBorders>
            <w:shd w:val="clear" w:color="auto" w:fill="auto"/>
          </w:tcPr>
          <w:p w14:paraId="47A99F17" w14:textId="77777777" w:rsidR="00F514C9" w:rsidRPr="00C319D0" w:rsidRDefault="00540C7A"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 xml:space="preserve">Madde </w:t>
            </w:r>
            <w:r w:rsidR="00F514C9" w:rsidRPr="00C319D0">
              <w:rPr>
                <w:rFonts w:ascii="Cambria" w:eastAsia="Times New Roman" w:hAnsi="Cambria" w:cs="Times New Roman"/>
                <w:color w:val="000000" w:themeColor="text1"/>
                <w:sz w:val="20"/>
                <w:szCs w:val="20"/>
                <w:lang w:eastAsia="tr-TR"/>
              </w:rPr>
              <w:t>No (Yeni)</w:t>
            </w:r>
          </w:p>
        </w:tc>
        <w:tc>
          <w:tcPr>
            <w:cnfStyle w:val="000010000000" w:firstRow="0" w:lastRow="0" w:firstColumn="0" w:lastColumn="0" w:oddVBand="1" w:evenVBand="0" w:oddHBand="0" w:evenHBand="0" w:firstRowFirstColumn="0" w:firstRowLastColumn="0" w:lastRowFirstColumn="0" w:lastRowLastColumn="0"/>
            <w:tcW w:w="1206" w:type="dxa"/>
            <w:tcBorders>
              <w:bottom w:val="single" w:sz="4" w:space="0" w:color="auto"/>
            </w:tcBorders>
            <w:shd w:val="clear" w:color="auto" w:fill="auto"/>
          </w:tcPr>
          <w:p w14:paraId="514915DD"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Faktör 1</w:t>
            </w:r>
          </w:p>
        </w:tc>
        <w:tc>
          <w:tcPr>
            <w:tcW w:w="1134" w:type="dxa"/>
            <w:tcBorders>
              <w:bottom w:val="single" w:sz="4" w:space="0" w:color="auto"/>
            </w:tcBorders>
            <w:shd w:val="clear" w:color="auto" w:fill="auto"/>
          </w:tcPr>
          <w:p w14:paraId="7BD89753"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Faktör 2</w:t>
            </w:r>
          </w:p>
        </w:tc>
        <w:tc>
          <w:tcPr>
            <w:cnfStyle w:val="000010000000" w:firstRow="0" w:lastRow="0" w:firstColumn="0" w:lastColumn="0" w:oddVBand="1" w:evenVBand="0" w:oddHBand="0" w:evenHBand="0" w:firstRowFirstColumn="0" w:firstRowLastColumn="0" w:lastRowFirstColumn="0" w:lastRowLastColumn="0"/>
            <w:tcW w:w="1275" w:type="dxa"/>
            <w:tcBorders>
              <w:bottom w:val="single" w:sz="4" w:space="0" w:color="auto"/>
            </w:tcBorders>
            <w:shd w:val="clear" w:color="auto" w:fill="auto"/>
          </w:tcPr>
          <w:p w14:paraId="3F32356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Faktör 3</w:t>
            </w:r>
          </w:p>
        </w:tc>
        <w:tc>
          <w:tcPr>
            <w:tcW w:w="2943" w:type="dxa"/>
            <w:tcBorders>
              <w:bottom w:val="single" w:sz="4" w:space="0" w:color="auto"/>
            </w:tcBorders>
            <w:shd w:val="clear" w:color="auto" w:fill="auto"/>
          </w:tcPr>
          <w:p w14:paraId="043779C7"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Düzeltilmiş madde-toplam korelasyonları</w:t>
            </w:r>
          </w:p>
        </w:tc>
      </w:tr>
      <w:tr w:rsidR="00BF43F0" w:rsidRPr="00C319D0" w14:paraId="10BCEC6A" w14:textId="77777777" w:rsidTr="00BF43F0">
        <w:tc>
          <w:tcPr>
            <w:cnfStyle w:val="000010000000" w:firstRow="0" w:lastRow="0" w:firstColumn="0" w:lastColumn="0" w:oddVBand="1" w:evenVBand="0" w:oddHBand="0" w:evenHBand="0" w:firstRowFirstColumn="0" w:firstRowLastColumn="0" w:lastRowFirstColumn="0" w:lastRowLastColumn="0"/>
            <w:tcW w:w="1160" w:type="dxa"/>
            <w:tcBorders>
              <w:top w:val="single" w:sz="4" w:space="0" w:color="auto"/>
            </w:tcBorders>
            <w:shd w:val="clear" w:color="auto" w:fill="auto"/>
          </w:tcPr>
          <w:p w14:paraId="533DD4B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m32</w:t>
            </w:r>
          </w:p>
        </w:tc>
        <w:tc>
          <w:tcPr>
            <w:tcW w:w="1570" w:type="dxa"/>
            <w:tcBorders>
              <w:top w:val="single" w:sz="4" w:space="0" w:color="auto"/>
            </w:tcBorders>
            <w:shd w:val="clear" w:color="auto" w:fill="auto"/>
          </w:tcPr>
          <w:p w14:paraId="06179249" w14:textId="77777777" w:rsidR="00F514C9" w:rsidRPr="00C319D0" w:rsidRDefault="009A17C8"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m9</w:t>
            </w:r>
          </w:p>
        </w:tc>
        <w:tc>
          <w:tcPr>
            <w:cnfStyle w:val="000010000000" w:firstRow="0" w:lastRow="0" w:firstColumn="0" w:lastColumn="0" w:oddVBand="1" w:evenVBand="0" w:oddHBand="0" w:evenHBand="0" w:firstRowFirstColumn="0" w:firstRowLastColumn="0" w:lastRowFirstColumn="0" w:lastRowLastColumn="0"/>
            <w:tcW w:w="1206" w:type="dxa"/>
            <w:tcBorders>
              <w:top w:val="single" w:sz="4" w:space="0" w:color="auto"/>
            </w:tcBorders>
            <w:shd w:val="clear" w:color="auto" w:fill="auto"/>
          </w:tcPr>
          <w:p w14:paraId="5153A76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.7</w:t>
            </w:r>
            <w:r w:rsidR="00703869" w:rsidRPr="00C319D0">
              <w:rPr>
                <w:rFonts w:ascii="Cambria" w:eastAsia="Times New Roman" w:hAnsi="Cambria" w:cs="Times New Roman"/>
                <w:color w:val="000000" w:themeColor="text1"/>
                <w:sz w:val="20"/>
                <w:szCs w:val="20"/>
                <w:lang w:eastAsia="tr-TR"/>
              </w:rPr>
              <w:t>27</w:t>
            </w:r>
          </w:p>
        </w:tc>
        <w:tc>
          <w:tcPr>
            <w:tcW w:w="1134" w:type="dxa"/>
            <w:tcBorders>
              <w:top w:val="single" w:sz="4" w:space="0" w:color="auto"/>
            </w:tcBorders>
            <w:shd w:val="clear" w:color="auto" w:fill="auto"/>
          </w:tcPr>
          <w:p w14:paraId="1149ECB1"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tcBorders>
            <w:shd w:val="clear" w:color="auto" w:fill="auto"/>
          </w:tcPr>
          <w:p w14:paraId="5C0A06B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tcBorders>
              <w:top w:val="single" w:sz="4" w:space="0" w:color="auto"/>
            </w:tcBorders>
            <w:shd w:val="clear" w:color="auto" w:fill="auto"/>
          </w:tcPr>
          <w:p w14:paraId="07B047BE"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.546</w:t>
            </w:r>
          </w:p>
        </w:tc>
      </w:tr>
      <w:tr w:rsidR="00BF43F0" w:rsidRPr="00C319D0" w14:paraId="64C1025C"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AC64E50"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m44</w:t>
            </w:r>
          </w:p>
        </w:tc>
        <w:tc>
          <w:tcPr>
            <w:tcW w:w="1570" w:type="dxa"/>
            <w:shd w:val="clear" w:color="auto" w:fill="auto"/>
          </w:tcPr>
          <w:p w14:paraId="64B7288E" w14:textId="77777777" w:rsidR="00F514C9" w:rsidRPr="00C319D0" w:rsidRDefault="009A17C8"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m21</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619BB31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703869" w:rsidRPr="00C319D0">
              <w:rPr>
                <w:rFonts w:ascii="Cambria" w:eastAsia="Times New Roman" w:hAnsi="Cambria" w:cs="Times New Roman"/>
                <w:color w:val="000000" w:themeColor="text1"/>
                <w:sz w:val="20"/>
                <w:szCs w:val="20"/>
                <w:lang w:eastAsia="tr-TR"/>
              </w:rPr>
              <w:t>78</w:t>
            </w:r>
          </w:p>
        </w:tc>
        <w:tc>
          <w:tcPr>
            <w:tcW w:w="1134" w:type="dxa"/>
            <w:shd w:val="clear" w:color="auto" w:fill="auto"/>
          </w:tcPr>
          <w:p w14:paraId="2D325B97"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FF0685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44E01CE3"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.478</w:t>
            </w:r>
          </w:p>
        </w:tc>
      </w:tr>
      <w:tr w:rsidR="00BF43F0" w:rsidRPr="00C319D0" w14:paraId="7EE77A63"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5B8471B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m50</w:t>
            </w:r>
          </w:p>
        </w:tc>
        <w:tc>
          <w:tcPr>
            <w:tcW w:w="1570" w:type="dxa"/>
            <w:shd w:val="clear" w:color="auto" w:fill="auto"/>
          </w:tcPr>
          <w:p w14:paraId="030B61B6" w14:textId="77777777" w:rsidR="00F514C9" w:rsidRPr="00C319D0" w:rsidRDefault="009A17C8"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m30</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66B029A1"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703869" w:rsidRPr="00C319D0">
              <w:rPr>
                <w:rFonts w:ascii="Cambria" w:eastAsia="Times New Roman" w:hAnsi="Cambria" w:cs="Times New Roman"/>
                <w:color w:val="000000" w:themeColor="text1"/>
                <w:sz w:val="20"/>
                <w:szCs w:val="20"/>
                <w:lang w:eastAsia="tr-TR"/>
              </w:rPr>
              <w:t>77</w:t>
            </w:r>
          </w:p>
        </w:tc>
        <w:tc>
          <w:tcPr>
            <w:tcW w:w="1134" w:type="dxa"/>
            <w:shd w:val="clear" w:color="auto" w:fill="auto"/>
          </w:tcPr>
          <w:p w14:paraId="0F39ED45"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C502A23"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A6D51C9"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.472</w:t>
            </w:r>
          </w:p>
        </w:tc>
      </w:tr>
      <w:tr w:rsidR="00BF43F0" w:rsidRPr="00C319D0" w14:paraId="2C218162"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114F172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m47</w:t>
            </w:r>
          </w:p>
        </w:tc>
        <w:tc>
          <w:tcPr>
            <w:tcW w:w="1570" w:type="dxa"/>
            <w:shd w:val="clear" w:color="auto" w:fill="auto"/>
          </w:tcPr>
          <w:p w14:paraId="223848A7" w14:textId="77777777" w:rsidR="00F514C9" w:rsidRPr="00C319D0" w:rsidRDefault="009A17C8"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m33</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6447F074"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703869" w:rsidRPr="00C319D0">
              <w:rPr>
                <w:rFonts w:ascii="Cambria" w:eastAsia="Times New Roman" w:hAnsi="Cambria" w:cs="Times New Roman"/>
                <w:color w:val="000000" w:themeColor="text1"/>
                <w:sz w:val="20"/>
                <w:szCs w:val="20"/>
                <w:lang w:eastAsia="tr-TR"/>
              </w:rPr>
              <w:t>71</w:t>
            </w:r>
          </w:p>
        </w:tc>
        <w:tc>
          <w:tcPr>
            <w:tcW w:w="1134" w:type="dxa"/>
            <w:shd w:val="clear" w:color="auto" w:fill="auto"/>
          </w:tcPr>
          <w:p w14:paraId="36E07E6A"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5D5E6E0A"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0AB0650E"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.522</w:t>
            </w:r>
          </w:p>
        </w:tc>
      </w:tr>
      <w:tr w:rsidR="00BF43F0" w:rsidRPr="00C319D0" w14:paraId="1A913D2B"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1C6D6864"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m52</w:t>
            </w:r>
          </w:p>
        </w:tc>
        <w:tc>
          <w:tcPr>
            <w:tcW w:w="1570" w:type="dxa"/>
            <w:shd w:val="clear" w:color="auto" w:fill="auto"/>
          </w:tcPr>
          <w:p w14:paraId="2C4A8B5D" w14:textId="77777777" w:rsidR="00F514C9" w:rsidRPr="00C319D0" w:rsidRDefault="009A17C8"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m24</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42D129C1"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.581</w:t>
            </w:r>
          </w:p>
        </w:tc>
        <w:tc>
          <w:tcPr>
            <w:tcW w:w="1134" w:type="dxa"/>
            <w:shd w:val="clear" w:color="auto" w:fill="auto"/>
          </w:tcPr>
          <w:p w14:paraId="6D3BA914"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4D2478C"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320F9343"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.436</w:t>
            </w:r>
          </w:p>
        </w:tc>
      </w:tr>
      <w:tr w:rsidR="00BF43F0" w:rsidRPr="00C319D0" w14:paraId="7E9B398E"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50E46D91"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m41</w:t>
            </w:r>
          </w:p>
        </w:tc>
        <w:tc>
          <w:tcPr>
            <w:tcW w:w="1570" w:type="dxa"/>
            <w:shd w:val="clear" w:color="auto" w:fill="auto"/>
          </w:tcPr>
          <w:p w14:paraId="664C306F" w14:textId="77777777" w:rsidR="00F514C9" w:rsidRPr="00C319D0" w:rsidRDefault="009A17C8"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m18</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3EB0D96" w14:textId="77777777" w:rsidR="00F514C9" w:rsidRPr="00C319D0" w:rsidRDefault="00F514C9" w:rsidP="009D079C">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w:t>
            </w:r>
            <w:r w:rsidR="00886620" w:rsidRPr="00C319D0">
              <w:rPr>
                <w:rFonts w:ascii="Cambria" w:eastAsia="Times New Roman" w:hAnsi="Cambria" w:cs="Times New Roman"/>
                <w:color w:val="000000" w:themeColor="text1"/>
                <w:sz w:val="20"/>
                <w:szCs w:val="20"/>
                <w:lang w:eastAsia="tr-TR"/>
              </w:rPr>
              <w:t>63</w:t>
            </w:r>
          </w:p>
        </w:tc>
        <w:tc>
          <w:tcPr>
            <w:tcW w:w="1134" w:type="dxa"/>
            <w:shd w:val="clear" w:color="auto" w:fill="auto"/>
          </w:tcPr>
          <w:p w14:paraId="3B74DF40"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DA5771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1FD662DB"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.472</w:t>
            </w:r>
          </w:p>
        </w:tc>
      </w:tr>
      <w:tr w:rsidR="00BF43F0" w:rsidRPr="00C319D0" w14:paraId="5C6A9EFF"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3FC0029"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m54</w:t>
            </w:r>
          </w:p>
        </w:tc>
        <w:tc>
          <w:tcPr>
            <w:tcW w:w="1570" w:type="dxa"/>
            <w:shd w:val="clear" w:color="auto" w:fill="auto"/>
          </w:tcPr>
          <w:p w14:paraId="159EFD3D" w14:textId="77777777" w:rsidR="00F514C9" w:rsidRPr="00C319D0" w:rsidRDefault="009A17C8"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m27</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0F65C68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5</w:t>
            </w:r>
            <w:r w:rsidR="009D079C" w:rsidRPr="00C319D0">
              <w:rPr>
                <w:rFonts w:ascii="Cambria" w:eastAsia="Times New Roman" w:hAnsi="Cambria" w:cs="Times New Roman"/>
                <w:color w:val="000000" w:themeColor="text1"/>
                <w:sz w:val="20"/>
                <w:szCs w:val="20"/>
                <w:lang w:eastAsia="tr-TR"/>
              </w:rPr>
              <w:t>42</w:t>
            </w:r>
          </w:p>
        </w:tc>
        <w:tc>
          <w:tcPr>
            <w:tcW w:w="1134" w:type="dxa"/>
            <w:shd w:val="clear" w:color="auto" w:fill="auto"/>
          </w:tcPr>
          <w:p w14:paraId="4E7F14AB"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C48D13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108F16CE"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437</w:t>
            </w:r>
          </w:p>
        </w:tc>
      </w:tr>
      <w:tr w:rsidR="00BF43F0" w:rsidRPr="00C319D0" w14:paraId="39D307EC"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01628564"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m38</w:t>
            </w:r>
          </w:p>
        </w:tc>
        <w:tc>
          <w:tcPr>
            <w:tcW w:w="1570" w:type="dxa"/>
            <w:shd w:val="clear" w:color="auto" w:fill="auto"/>
          </w:tcPr>
          <w:p w14:paraId="3BA3FE42" w14:textId="77777777" w:rsidR="00F514C9" w:rsidRPr="00C319D0" w:rsidRDefault="009A17C8"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m15</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D5DF4E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526</w:t>
            </w:r>
          </w:p>
        </w:tc>
        <w:tc>
          <w:tcPr>
            <w:tcW w:w="1134" w:type="dxa"/>
            <w:shd w:val="clear" w:color="auto" w:fill="auto"/>
          </w:tcPr>
          <w:p w14:paraId="38893FCC"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46154F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2504879B"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554</w:t>
            </w:r>
          </w:p>
        </w:tc>
      </w:tr>
      <w:tr w:rsidR="00BF43F0" w:rsidRPr="00C319D0" w14:paraId="0983E6BC"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6FE3AE91"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m20</w:t>
            </w:r>
          </w:p>
        </w:tc>
        <w:tc>
          <w:tcPr>
            <w:tcW w:w="1570" w:type="dxa"/>
            <w:shd w:val="clear" w:color="auto" w:fill="auto"/>
          </w:tcPr>
          <w:p w14:paraId="0CACD59C" w14:textId="77777777" w:rsidR="00F514C9" w:rsidRPr="00C319D0" w:rsidRDefault="009A17C8"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5D8B688F" w14:textId="77777777" w:rsidR="00F514C9" w:rsidRPr="00C319D0" w:rsidRDefault="00886620"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.478</w:t>
            </w:r>
          </w:p>
        </w:tc>
        <w:tc>
          <w:tcPr>
            <w:tcW w:w="1134" w:type="dxa"/>
            <w:shd w:val="clear" w:color="auto" w:fill="auto"/>
          </w:tcPr>
          <w:p w14:paraId="48371A34"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4F5181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49A99347"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.605</w:t>
            </w:r>
          </w:p>
        </w:tc>
      </w:tr>
      <w:tr w:rsidR="00BF43F0" w:rsidRPr="00C319D0" w14:paraId="3C4D4095"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43768E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m35</w:t>
            </w:r>
          </w:p>
        </w:tc>
        <w:tc>
          <w:tcPr>
            <w:tcW w:w="1570" w:type="dxa"/>
            <w:shd w:val="clear" w:color="auto" w:fill="auto"/>
          </w:tcPr>
          <w:p w14:paraId="7CC03F01"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m12</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763E0870"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462</w:t>
            </w:r>
          </w:p>
        </w:tc>
        <w:tc>
          <w:tcPr>
            <w:tcW w:w="1134" w:type="dxa"/>
            <w:shd w:val="clear" w:color="auto" w:fill="auto"/>
          </w:tcPr>
          <w:p w14:paraId="44D6B34A"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BA8E86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19E9E044"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.590</w:t>
            </w:r>
          </w:p>
        </w:tc>
      </w:tr>
      <w:tr w:rsidR="00BF43F0" w:rsidRPr="00C319D0" w14:paraId="0D01623E"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7AB37096"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m29</w:t>
            </w:r>
          </w:p>
        </w:tc>
        <w:tc>
          <w:tcPr>
            <w:tcW w:w="1570" w:type="dxa"/>
            <w:shd w:val="clear" w:color="auto" w:fill="auto"/>
          </w:tcPr>
          <w:p w14:paraId="50F3303D"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m6</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C8E76D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423</w:t>
            </w:r>
          </w:p>
        </w:tc>
        <w:tc>
          <w:tcPr>
            <w:tcW w:w="1134" w:type="dxa"/>
            <w:shd w:val="clear" w:color="auto" w:fill="auto"/>
          </w:tcPr>
          <w:p w14:paraId="2071F86A"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4F53B9F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5A125986"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.532</w:t>
            </w:r>
          </w:p>
        </w:tc>
      </w:tr>
      <w:tr w:rsidR="00BF43F0" w:rsidRPr="00C319D0" w14:paraId="157BB4DE"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0922A1F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m28</w:t>
            </w:r>
          </w:p>
        </w:tc>
        <w:tc>
          <w:tcPr>
            <w:tcW w:w="1570" w:type="dxa"/>
            <w:shd w:val="clear" w:color="auto" w:fill="auto"/>
          </w:tcPr>
          <w:p w14:paraId="10AC587A"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m5</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3ECAE85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093FDE92"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886620" w:rsidRPr="00C319D0">
              <w:rPr>
                <w:rFonts w:ascii="Cambria" w:eastAsia="Times New Roman" w:hAnsi="Cambria" w:cs="Times New Roman"/>
                <w:color w:val="000000" w:themeColor="text1"/>
                <w:sz w:val="20"/>
                <w:szCs w:val="20"/>
                <w:lang w:eastAsia="tr-TR"/>
              </w:rPr>
              <w:t>61</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24A4AC6"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27236F90"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.360</w:t>
            </w:r>
          </w:p>
        </w:tc>
      </w:tr>
      <w:tr w:rsidR="00BF43F0" w:rsidRPr="00C319D0" w14:paraId="0A27474B"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45D65C0D"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m31</w:t>
            </w:r>
          </w:p>
        </w:tc>
        <w:tc>
          <w:tcPr>
            <w:tcW w:w="1570" w:type="dxa"/>
            <w:shd w:val="clear" w:color="auto" w:fill="auto"/>
          </w:tcPr>
          <w:p w14:paraId="4B96296D"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m14</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5AC0181B"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1669B806"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886620" w:rsidRPr="00C319D0">
              <w:rPr>
                <w:rFonts w:ascii="Cambria" w:eastAsia="Times New Roman" w:hAnsi="Cambria" w:cs="Times New Roman"/>
                <w:color w:val="000000" w:themeColor="text1"/>
                <w:sz w:val="20"/>
                <w:szCs w:val="20"/>
                <w:lang w:eastAsia="tr-TR"/>
              </w:rPr>
              <w:t>61</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0C58D73"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5D07BB9"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.473</w:t>
            </w:r>
          </w:p>
        </w:tc>
      </w:tr>
      <w:tr w:rsidR="00BF43F0" w:rsidRPr="00C319D0" w14:paraId="4B71F527"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1FE6CEFB"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m22</w:t>
            </w:r>
          </w:p>
        </w:tc>
        <w:tc>
          <w:tcPr>
            <w:tcW w:w="1570" w:type="dxa"/>
            <w:shd w:val="clear" w:color="auto" w:fill="auto"/>
          </w:tcPr>
          <w:p w14:paraId="749F38A4"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m8</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B4CD40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6D6EF279"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886620" w:rsidRPr="00C319D0">
              <w:rPr>
                <w:rFonts w:ascii="Cambria" w:eastAsia="Times New Roman" w:hAnsi="Cambria" w:cs="Times New Roman"/>
                <w:color w:val="000000" w:themeColor="text1"/>
                <w:sz w:val="20"/>
                <w:szCs w:val="20"/>
                <w:lang w:eastAsia="tr-TR"/>
              </w:rPr>
              <w:t>18</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5458F54E"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73C79A28"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.492</w:t>
            </w:r>
          </w:p>
        </w:tc>
      </w:tr>
      <w:tr w:rsidR="00BF43F0" w:rsidRPr="00C319D0" w14:paraId="7D9AFA56"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6DD6C67C"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m49</w:t>
            </w:r>
          </w:p>
        </w:tc>
        <w:tc>
          <w:tcPr>
            <w:tcW w:w="1570" w:type="dxa"/>
            <w:shd w:val="clear" w:color="auto" w:fill="auto"/>
          </w:tcPr>
          <w:p w14:paraId="638983C6"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m17</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2D911F2B"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33657F1A"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9D079C" w:rsidRPr="00C319D0">
              <w:rPr>
                <w:rFonts w:ascii="Cambria" w:eastAsia="Times New Roman" w:hAnsi="Cambria" w:cs="Times New Roman"/>
                <w:color w:val="000000" w:themeColor="text1"/>
                <w:sz w:val="20"/>
                <w:szCs w:val="20"/>
                <w:lang w:eastAsia="tr-TR"/>
              </w:rPr>
              <w:t>12</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57C9D10D"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7465B9EF"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350</w:t>
            </w:r>
          </w:p>
        </w:tc>
      </w:tr>
      <w:tr w:rsidR="00BF43F0" w:rsidRPr="00C319D0" w14:paraId="26F1780A"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D82A077"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m13</w:t>
            </w:r>
          </w:p>
        </w:tc>
        <w:tc>
          <w:tcPr>
            <w:tcW w:w="1570" w:type="dxa"/>
            <w:shd w:val="clear" w:color="auto" w:fill="auto"/>
          </w:tcPr>
          <w:p w14:paraId="5752CC5F"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m20</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1E773BDE"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5F4087F1"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6</w:t>
            </w:r>
            <w:r w:rsidR="009D079C" w:rsidRPr="00C319D0">
              <w:rPr>
                <w:rFonts w:ascii="Cambria" w:eastAsia="Times New Roman" w:hAnsi="Cambria" w:cs="Times New Roman"/>
                <w:color w:val="000000" w:themeColor="text1"/>
                <w:sz w:val="20"/>
                <w:szCs w:val="20"/>
                <w:lang w:eastAsia="tr-TR"/>
              </w:rPr>
              <w:t>07</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49AC0FA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8E1511B"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518</w:t>
            </w:r>
          </w:p>
        </w:tc>
      </w:tr>
      <w:tr w:rsidR="00BF43F0" w:rsidRPr="00C319D0" w14:paraId="2E5DF9BF"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1896DB7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m34</w:t>
            </w:r>
          </w:p>
        </w:tc>
        <w:tc>
          <w:tcPr>
            <w:tcW w:w="1570" w:type="dxa"/>
            <w:shd w:val="clear" w:color="auto" w:fill="auto"/>
          </w:tcPr>
          <w:p w14:paraId="6E6D66A6"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m11</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7607DE0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26DD5F6D"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886620" w:rsidRPr="00C319D0">
              <w:rPr>
                <w:rFonts w:ascii="Cambria" w:eastAsia="Times New Roman" w:hAnsi="Cambria" w:cs="Times New Roman"/>
                <w:color w:val="000000" w:themeColor="text1"/>
                <w:sz w:val="20"/>
                <w:szCs w:val="20"/>
                <w:lang w:eastAsia="tr-TR"/>
              </w:rPr>
              <w:t>05</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15A2AAF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1C84D14B"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.378</w:t>
            </w:r>
          </w:p>
        </w:tc>
      </w:tr>
      <w:tr w:rsidR="00BF43F0" w:rsidRPr="00C319D0" w14:paraId="457615D2"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6642E38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m40</w:t>
            </w:r>
          </w:p>
        </w:tc>
        <w:tc>
          <w:tcPr>
            <w:tcW w:w="1570" w:type="dxa"/>
            <w:shd w:val="clear" w:color="auto" w:fill="auto"/>
          </w:tcPr>
          <w:p w14:paraId="2F1EEB3D"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m32</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5033440C"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59C665BC"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w:t>
            </w:r>
            <w:r w:rsidR="00886620" w:rsidRPr="00C319D0">
              <w:rPr>
                <w:rFonts w:ascii="Cambria" w:eastAsia="Times New Roman" w:hAnsi="Cambria" w:cs="Times New Roman"/>
                <w:color w:val="000000" w:themeColor="text1"/>
                <w:sz w:val="20"/>
                <w:szCs w:val="20"/>
                <w:lang w:eastAsia="tr-TR"/>
              </w:rPr>
              <w:t>76</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B39D44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491B914"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.421</w:t>
            </w:r>
          </w:p>
        </w:tc>
      </w:tr>
      <w:tr w:rsidR="00BF43F0" w:rsidRPr="00C319D0" w14:paraId="12148DFB"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5E30062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m16</w:t>
            </w:r>
          </w:p>
        </w:tc>
        <w:tc>
          <w:tcPr>
            <w:tcW w:w="1570" w:type="dxa"/>
            <w:shd w:val="clear" w:color="auto" w:fill="auto"/>
          </w:tcPr>
          <w:p w14:paraId="736929CF"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2475DF04"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58F956D2"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w:t>
            </w:r>
            <w:r w:rsidR="00886620" w:rsidRPr="00C319D0">
              <w:rPr>
                <w:rFonts w:ascii="Cambria" w:eastAsia="Times New Roman" w:hAnsi="Cambria" w:cs="Times New Roman"/>
                <w:color w:val="000000" w:themeColor="text1"/>
                <w:sz w:val="20"/>
                <w:szCs w:val="20"/>
                <w:lang w:eastAsia="tr-TR"/>
              </w:rPr>
              <w:t>42</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084A33B"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2B7712AF"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.476</w:t>
            </w:r>
          </w:p>
        </w:tc>
      </w:tr>
      <w:tr w:rsidR="00BF43F0" w:rsidRPr="00C319D0" w14:paraId="7A97A6F0"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99797D2"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m37</w:t>
            </w:r>
          </w:p>
        </w:tc>
        <w:tc>
          <w:tcPr>
            <w:tcW w:w="1570" w:type="dxa"/>
            <w:shd w:val="clear" w:color="auto" w:fill="auto"/>
          </w:tcPr>
          <w:p w14:paraId="07A831A1"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m29</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5A8494E6"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2B512A3A"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9D079C" w:rsidRPr="00C319D0">
              <w:rPr>
                <w:rFonts w:ascii="Cambria" w:eastAsia="Times New Roman" w:hAnsi="Cambria" w:cs="Times New Roman"/>
                <w:color w:val="000000" w:themeColor="text1"/>
                <w:sz w:val="20"/>
                <w:szCs w:val="20"/>
                <w:lang w:eastAsia="tr-TR"/>
              </w:rPr>
              <w:t>539</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63CDB16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51BE7C7"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w:t>
            </w:r>
            <w:r w:rsidR="009D079C" w:rsidRPr="00C319D0">
              <w:rPr>
                <w:rFonts w:ascii="Cambria" w:eastAsia="Times New Roman" w:hAnsi="Cambria" w:cs="Times New Roman"/>
                <w:color w:val="000000" w:themeColor="text1"/>
                <w:sz w:val="20"/>
                <w:szCs w:val="20"/>
                <w:lang w:eastAsia="tr-TR"/>
              </w:rPr>
              <w:t>04</w:t>
            </w:r>
          </w:p>
        </w:tc>
      </w:tr>
      <w:tr w:rsidR="00BF43F0" w:rsidRPr="00C319D0" w14:paraId="5954DAE0"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6EC49BD" w14:textId="77777777" w:rsidR="00F514C9" w:rsidRPr="00C319D0" w:rsidRDefault="009D079C"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m19</w:t>
            </w:r>
          </w:p>
        </w:tc>
        <w:tc>
          <w:tcPr>
            <w:tcW w:w="1570" w:type="dxa"/>
            <w:shd w:val="clear" w:color="auto" w:fill="auto"/>
          </w:tcPr>
          <w:p w14:paraId="51D59793"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m23</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0A24B9EC"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3DFD4C34"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w:t>
            </w:r>
            <w:r w:rsidR="00886620" w:rsidRPr="00C319D0">
              <w:rPr>
                <w:rFonts w:ascii="Cambria" w:eastAsia="Times New Roman" w:hAnsi="Cambria" w:cs="Times New Roman"/>
                <w:color w:val="000000" w:themeColor="text1"/>
                <w:sz w:val="20"/>
                <w:szCs w:val="20"/>
                <w:lang w:eastAsia="tr-TR"/>
              </w:rPr>
              <w:t>3</w:t>
            </w:r>
            <w:r w:rsidR="009D079C" w:rsidRPr="00C319D0">
              <w:rPr>
                <w:rFonts w:ascii="Cambria" w:eastAsia="Times New Roman" w:hAnsi="Cambria" w:cs="Times New Roman"/>
                <w:color w:val="000000" w:themeColor="text1"/>
                <w:sz w:val="20"/>
                <w:szCs w:val="20"/>
                <w:lang w:eastAsia="tr-TR"/>
              </w:rPr>
              <w:t>3</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9614CF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64D1A286"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w:t>
            </w:r>
            <w:r w:rsidR="009D079C" w:rsidRPr="00C319D0">
              <w:rPr>
                <w:rFonts w:ascii="Cambria" w:eastAsia="Times New Roman" w:hAnsi="Cambria" w:cs="Times New Roman"/>
                <w:color w:val="000000" w:themeColor="text1"/>
                <w:sz w:val="20"/>
                <w:szCs w:val="20"/>
                <w:lang w:eastAsia="tr-TR"/>
              </w:rPr>
              <w:t>56</w:t>
            </w:r>
          </w:p>
        </w:tc>
      </w:tr>
      <w:tr w:rsidR="00BF43F0" w:rsidRPr="00C319D0" w14:paraId="3D46297A"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75DA84E"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m10</w:t>
            </w:r>
          </w:p>
        </w:tc>
        <w:tc>
          <w:tcPr>
            <w:tcW w:w="1570" w:type="dxa"/>
            <w:shd w:val="clear" w:color="auto" w:fill="auto"/>
          </w:tcPr>
          <w:p w14:paraId="4F0E8583"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m26</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7B24CFD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4E47A3AF"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w:t>
            </w:r>
            <w:r w:rsidR="00886620" w:rsidRPr="00C319D0">
              <w:rPr>
                <w:rFonts w:ascii="Cambria" w:eastAsia="Times New Roman" w:hAnsi="Cambria" w:cs="Times New Roman"/>
                <w:color w:val="000000" w:themeColor="text1"/>
                <w:sz w:val="20"/>
                <w:szCs w:val="20"/>
                <w:lang w:eastAsia="tr-TR"/>
              </w:rPr>
              <w:t>27</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D5F4C3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2943" w:type="dxa"/>
            <w:shd w:val="clear" w:color="auto" w:fill="auto"/>
          </w:tcPr>
          <w:p w14:paraId="3BFB9314"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.557</w:t>
            </w:r>
          </w:p>
        </w:tc>
      </w:tr>
      <w:tr w:rsidR="00BF43F0" w:rsidRPr="00C319D0" w14:paraId="627DC5D7"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47B2048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m33</w:t>
            </w:r>
          </w:p>
        </w:tc>
        <w:tc>
          <w:tcPr>
            <w:tcW w:w="1570" w:type="dxa"/>
            <w:shd w:val="clear" w:color="auto" w:fill="auto"/>
          </w:tcPr>
          <w:p w14:paraId="1364E619"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m10</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20DBF6E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319B704E"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330344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722</w:t>
            </w:r>
          </w:p>
        </w:tc>
        <w:tc>
          <w:tcPr>
            <w:tcW w:w="2943" w:type="dxa"/>
            <w:shd w:val="clear" w:color="auto" w:fill="auto"/>
          </w:tcPr>
          <w:p w14:paraId="5B518C3C"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.549</w:t>
            </w:r>
          </w:p>
        </w:tc>
      </w:tr>
      <w:tr w:rsidR="00BF43F0" w:rsidRPr="00C319D0" w14:paraId="65133AF6"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0E1BC67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m36</w:t>
            </w:r>
          </w:p>
        </w:tc>
        <w:tc>
          <w:tcPr>
            <w:tcW w:w="1570" w:type="dxa"/>
            <w:shd w:val="clear" w:color="auto" w:fill="auto"/>
          </w:tcPr>
          <w:p w14:paraId="5A997249"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m25</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4BC2370E"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74C6FA6F"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1082792D"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.6</w:t>
            </w:r>
            <w:r w:rsidR="00886620" w:rsidRPr="00C319D0">
              <w:rPr>
                <w:rFonts w:ascii="Cambria" w:eastAsia="Times New Roman" w:hAnsi="Cambria" w:cs="Times New Roman"/>
                <w:color w:val="000000" w:themeColor="text1"/>
                <w:sz w:val="20"/>
                <w:szCs w:val="20"/>
                <w:lang w:eastAsia="tr-TR"/>
              </w:rPr>
              <w:t>15</w:t>
            </w:r>
          </w:p>
        </w:tc>
        <w:tc>
          <w:tcPr>
            <w:tcW w:w="2943" w:type="dxa"/>
            <w:shd w:val="clear" w:color="auto" w:fill="auto"/>
          </w:tcPr>
          <w:p w14:paraId="786F68C5"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.579</w:t>
            </w:r>
          </w:p>
        </w:tc>
      </w:tr>
      <w:tr w:rsidR="00BF43F0" w:rsidRPr="00C319D0" w14:paraId="70A9ADBD"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DC9D0B3"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m42</w:t>
            </w:r>
          </w:p>
        </w:tc>
        <w:tc>
          <w:tcPr>
            <w:tcW w:w="1570" w:type="dxa"/>
            <w:shd w:val="clear" w:color="auto" w:fill="auto"/>
          </w:tcPr>
          <w:p w14:paraId="32583AFF" w14:textId="77777777" w:rsidR="00F514C9" w:rsidRPr="00C319D0" w:rsidRDefault="00776A3B"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m22</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7DDC058D"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7CCDE5E9"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1FA06D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601</w:t>
            </w:r>
          </w:p>
        </w:tc>
        <w:tc>
          <w:tcPr>
            <w:tcW w:w="2943" w:type="dxa"/>
            <w:shd w:val="clear" w:color="auto" w:fill="auto"/>
          </w:tcPr>
          <w:p w14:paraId="6FE649CA"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.530</w:t>
            </w:r>
          </w:p>
        </w:tc>
      </w:tr>
      <w:tr w:rsidR="00BF43F0" w:rsidRPr="00C319D0" w14:paraId="492C78CB"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87B1708" w14:textId="77777777" w:rsidR="00F514C9" w:rsidRPr="00C319D0" w:rsidRDefault="00125861"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m24</w:t>
            </w:r>
          </w:p>
        </w:tc>
        <w:tc>
          <w:tcPr>
            <w:tcW w:w="1570" w:type="dxa"/>
            <w:shd w:val="clear" w:color="auto" w:fill="auto"/>
          </w:tcPr>
          <w:p w14:paraId="652F72FC" w14:textId="77777777" w:rsidR="00F514C9" w:rsidRPr="00C319D0" w:rsidRDefault="00776A3B"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m13</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685B08A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07681071"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E4B78B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5</w:t>
            </w:r>
            <w:r w:rsidR="00125861" w:rsidRPr="00C319D0">
              <w:rPr>
                <w:rFonts w:ascii="Cambria" w:eastAsia="Times New Roman" w:hAnsi="Cambria" w:cs="Times New Roman"/>
                <w:color w:val="000000" w:themeColor="text1"/>
                <w:sz w:val="20"/>
                <w:szCs w:val="20"/>
                <w:lang w:eastAsia="tr-TR"/>
              </w:rPr>
              <w:t>53</w:t>
            </w:r>
          </w:p>
        </w:tc>
        <w:tc>
          <w:tcPr>
            <w:tcW w:w="2943" w:type="dxa"/>
            <w:shd w:val="clear" w:color="auto" w:fill="auto"/>
          </w:tcPr>
          <w:p w14:paraId="70640BFA"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543</w:t>
            </w:r>
          </w:p>
        </w:tc>
      </w:tr>
      <w:tr w:rsidR="00BF43F0" w:rsidRPr="00C319D0" w14:paraId="6545B433"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4A22F111" w14:textId="77777777" w:rsidR="00F514C9" w:rsidRPr="00C319D0" w:rsidRDefault="00125861" w:rsidP="00125861">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m12</w:t>
            </w:r>
          </w:p>
        </w:tc>
        <w:tc>
          <w:tcPr>
            <w:tcW w:w="1570" w:type="dxa"/>
            <w:shd w:val="clear" w:color="auto" w:fill="auto"/>
          </w:tcPr>
          <w:p w14:paraId="3986F38A" w14:textId="77777777" w:rsidR="00F514C9" w:rsidRPr="00C319D0" w:rsidRDefault="00327E5A" w:rsidP="0012586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m16</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0939D139"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0A1C3441"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770D4C18"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530</w:t>
            </w:r>
          </w:p>
        </w:tc>
        <w:tc>
          <w:tcPr>
            <w:tcW w:w="2943" w:type="dxa"/>
            <w:shd w:val="clear" w:color="auto" w:fill="auto"/>
          </w:tcPr>
          <w:p w14:paraId="542D348C"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499</w:t>
            </w:r>
          </w:p>
        </w:tc>
      </w:tr>
      <w:tr w:rsidR="00BF43F0" w:rsidRPr="00C319D0" w14:paraId="197B09B5"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E1F0476" w14:textId="77777777" w:rsidR="00F514C9" w:rsidRPr="00C319D0" w:rsidRDefault="00125861" w:rsidP="00125861">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m6</w:t>
            </w:r>
          </w:p>
        </w:tc>
        <w:tc>
          <w:tcPr>
            <w:tcW w:w="1570" w:type="dxa"/>
            <w:shd w:val="clear" w:color="auto" w:fill="auto"/>
          </w:tcPr>
          <w:p w14:paraId="46FAE6FA" w14:textId="77777777" w:rsidR="00F514C9" w:rsidRPr="00C319D0" w:rsidRDefault="00327E5A" w:rsidP="001258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m7</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227BE2EF"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05BDA3B3"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573DB85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516</w:t>
            </w:r>
          </w:p>
        </w:tc>
        <w:tc>
          <w:tcPr>
            <w:tcW w:w="2943" w:type="dxa"/>
            <w:shd w:val="clear" w:color="auto" w:fill="auto"/>
          </w:tcPr>
          <w:p w14:paraId="75D57875"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383</w:t>
            </w:r>
          </w:p>
        </w:tc>
      </w:tr>
      <w:tr w:rsidR="00BF43F0" w:rsidRPr="00C319D0" w14:paraId="4721A810"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20301922" w14:textId="77777777" w:rsidR="00F514C9" w:rsidRPr="00C319D0" w:rsidRDefault="00125861" w:rsidP="00125861">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m27</w:t>
            </w:r>
          </w:p>
        </w:tc>
        <w:tc>
          <w:tcPr>
            <w:tcW w:w="1570" w:type="dxa"/>
            <w:shd w:val="clear" w:color="auto" w:fill="auto"/>
          </w:tcPr>
          <w:p w14:paraId="7040DF8D" w14:textId="77777777" w:rsidR="00F514C9" w:rsidRPr="00C319D0" w:rsidRDefault="00327E5A" w:rsidP="0012586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m19</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03CD18E4"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6E408F42"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DC4CC2A"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5</w:t>
            </w:r>
            <w:r w:rsidR="00125861" w:rsidRPr="00C319D0">
              <w:rPr>
                <w:rFonts w:ascii="Cambria" w:eastAsia="Times New Roman" w:hAnsi="Cambria" w:cs="Times New Roman"/>
                <w:color w:val="000000" w:themeColor="text1"/>
                <w:sz w:val="20"/>
                <w:szCs w:val="20"/>
                <w:lang w:eastAsia="tr-TR"/>
              </w:rPr>
              <w:t>09</w:t>
            </w:r>
          </w:p>
        </w:tc>
        <w:tc>
          <w:tcPr>
            <w:tcW w:w="2943" w:type="dxa"/>
            <w:shd w:val="clear" w:color="auto" w:fill="auto"/>
          </w:tcPr>
          <w:p w14:paraId="41D94465"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608</w:t>
            </w:r>
          </w:p>
        </w:tc>
      </w:tr>
      <w:tr w:rsidR="00BF43F0" w:rsidRPr="00C319D0" w14:paraId="5BCF2008"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713951B0" w14:textId="77777777" w:rsidR="00F514C9" w:rsidRPr="00C319D0" w:rsidRDefault="007F69BC" w:rsidP="007F69BC">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m9</w:t>
            </w:r>
          </w:p>
        </w:tc>
        <w:tc>
          <w:tcPr>
            <w:tcW w:w="1570" w:type="dxa"/>
            <w:shd w:val="clear" w:color="auto" w:fill="auto"/>
          </w:tcPr>
          <w:p w14:paraId="3EFFD203" w14:textId="77777777" w:rsidR="00F514C9" w:rsidRPr="00C319D0" w:rsidRDefault="00327E5A" w:rsidP="007F69B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7728875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68DD1508"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47CBAA3" w14:textId="77777777" w:rsidR="00F514C9" w:rsidRPr="00C319D0" w:rsidRDefault="00F514C9" w:rsidP="007F69BC">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7F69BC" w:rsidRPr="00C319D0">
              <w:rPr>
                <w:rFonts w:ascii="Cambria" w:eastAsia="Times New Roman" w:hAnsi="Cambria" w:cs="Times New Roman"/>
                <w:color w:val="000000" w:themeColor="text1"/>
                <w:sz w:val="20"/>
                <w:szCs w:val="20"/>
                <w:lang w:eastAsia="tr-TR"/>
              </w:rPr>
              <w:t>501</w:t>
            </w:r>
          </w:p>
        </w:tc>
        <w:tc>
          <w:tcPr>
            <w:tcW w:w="2943" w:type="dxa"/>
            <w:shd w:val="clear" w:color="auto" w:fill="auto"/>
          </w:tcPr>
          <w:p w14:paraId="4010B3D1" w14:textId="77777777" w:rsidR="00F514C9" w:rsidRPr="00C319D0" w:rsidRDefault="00F514C9" w:rsidP="007F69B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7F69BC" w:rsidRPr="00C319D0">
              <w:rPr>
                <w:rFonts w:ascii="Cambria" w:eastAsia="Times New Roman" w:hAnsi="Cambria" w:cs="Times New Roman"/>
                <w:color w:val="000000" w:themeColor="text1"/>
                <w:sz w:val="20"/>
                <w:szCs w:val="20"/>
                <w:lang w:eastAsia="tr-TR"/>
              </w:rPr>
              <w:t>444</w:t>
            </w:r>
          </w:p>
        </w:tc>
      </w:tr>
      <w:tr w:rsidR="00BF43F0" w:rsidRPr="00C319D0" w14:paraId="4B4AF4B5" w14:textId="77777777" w:rsidTr="00BF43F0">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340CBB35" w14:textId="77777777" w:rsidR="00F514C9" w:rsidRPr="00C319D0" w:rsidRDefault="00125861" w:rsidP="00125861">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m53</w:t>
            </w:r>
          </w:p>
        </w:tc>
        <w:tc>
          <w:tcPr>
            <w:tcW w:w="1570" w:type="dxa"/>
            <w:shd w:val="clear" w:color="auto" w:fill="auto"/>
          </w:tcPr>
          <w:p w14:paraId="6776B419" w14:textId="77777777" w:rsidR="00F514C9" w:rsidRPr="00C319D0" w:rsidRDefault="00327E5A" w:rsidP="00125861">
            <w:pPr>
              <w:tabs>
                <w:tab w:val="left" w:pos="312"/>
                <w:tab w:val="center" w:pos="677"/>
              </w:tabs>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 xml:space="preserve">           m28</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4FE806BC"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13574A78"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16D08DDA"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125861" w:rsidRPr="00C319D0">
              <w:rPr>
                <w:rFonts w:ascii="Cambria" w:eastAsia="Times New Roman" w:hAnsi="Cambria" w:cs="Times New Roman"/>
                <w:color w:val="000000" w:themeColor="text1"/>
                <w:sz w:val="20"/>
                <w:szCs w:val="20"/>
                <w:lang w:eastAsia="tr-TR"/>
              </w:rPr>
              <w:t>491</w:t>
            </w:r>
          </w:p>
        </w:tc>
        <w:tc>
          <w:tcPr>
            <w:tcW w:w="2943" w:type="dxa"/>
            <w:shd w:val="clear" w:color="auto" w:fill="auto"/>
          </w:tcPr>
          <w:p w14:paraId="59DE96C5"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w:t>
            </w:r>
            <w:r w:rsidR="00125861" w:rsidRPr="00C319D0">
              <w:rPr>
                <w:rFonts w:ascii="Cambria" w:eastAsia="Times New Roman" w:hAnsi="Cambria" w:cs="Times New Roman"/>
                <w:color w:val="000000" w:themeColor="text1"/>
                <w:sz w:val="20"/>
                <w:szCs w:val="20"/>
                <w:lang w:eastAsia="tr-TR"/>
              </w:rPr>
              <w:t>74</w:t>
            </w:r>
          </w:p>
        </w:tc>
      </w:tr>
      <w:tr w:rsidR="00BF43F0" w:rsidRPr="00C319D0" w14:paraId="2D728206"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shd w:val="clear" w:color="auto" w:fill="auto"/>
          </w:tcPr>
          <w:p w14:paraId="159AA83C" w14:textId="77777777" w:rsidR="00F514C9" w:rsidRPr="00C319D0" w:rsidRDefault="007F69BC" w:rsidP="007F69BC">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w:t>
            </w:r>
          </w:p>
        </w:tc>
        <w:tc>
          <w:tcPr>
            <w:tcW w:w="1570" w:type="dxa"/>
            <w:shd w:val="clear" w:color="auto" w:fill="auto"/>
          </w:tcPr>
          <w:p w14:paraId="6934CF86" w14:textId="77777777" w:rsidR="00F514C9" w:rsidRPr="00C319D0" w:rsidRDefault="00327E5A" w:rsidP="007F69B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m4</w:t>
            </w:r>
          </w:p>
        </w:tc>
        <w:tc>
          <w:tcPr>
            <w:cnfStyle w:val="000010000000" w:firstRow="0" w:lastRow="0" w:firstColumn="0" w:lastColumn="0" w:oddVBand="1" w:evenVBand="0" w:oddHBand="0" w:evenHBand="0" w:firstRowFirstColumn="0" w:firstRowLastColumn="0" w:lastRowFirstColumn="0" w:lastRowLastColumn="0"/>
            <w:tcW w:w="1206" w:type="dxa"/>
            <w:shd w:val="clear" w:color="auto" w:fill="auto"/>
          </w:tcPr>
          <w:p w14:paraId="2A0A3DB2"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shd w:val="clear" w:color="auto" w:fill="auto"/>
          </w:tcPr>
          <w:p w14:paraId="65ED8C5C"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652E9630" w14:textId="77777777" w:rsidR="00F514C9" w:rsidRPr="00C319D0" w:rsidRDefault="00886620" w:rsidP="007F69BC">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7F69BC" w:rsidRPr="00C319D0">
              <w:rPr>
                <w:rFonts w:ascii="Cambria" w:eastAsia="Times New Roman" w:hAnsi="Cambria" w:cs="Times New Roman"/>
                <w:color w:val="000000" w:themeColor="text1"/>
                <w:sz w:val="20"/>
                <w:szCs w:val="20"/>
                <w:lang w:eastAsia="tr-TR"/>
              </w:rPr>
              <w:t>467</w:t>
            </w:r>
          </w:p>
        </w:tc>
        <w:tc>
          <w:tcPr>
            <w:tcW w:w="2943" w:type="dxa"/>
            <w:shd w:val="clear" w:color="auto" w:fill="auto"/>
          </w:tcPr>
          <w:p w14:paraId="47449770" w14:textId="77777777" w:rsidR="00F514C9" w:rsidRPr="00C319D0" w:rsidRDefault="00F514C9" w:rsidP="007F69B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7F69BC" w:rsidRPr="00C319D0">
              <w:rPr>
                <w:rFonts w:ascii="Cambria" w:eastAsia="Times New Roman" w:hAnsi="Cambria" w:cs="Times New Roman"/>
                <w:color w:val="000000" w:themeColor="text1"/>
                <w:sz w:val="20"/>
                <w:szCs w:val="20"/>
                <w:lang w:eastAsia="tr-TR"/>
              </w:rPr>
              <w:t>557</w:t>
            </w:r>
          </w:p>
        </w:tc>
      </w:tr>
      <w:tr w:rsidR="00BF43F0" w:rsidRPr="00C319D0" w14:paraId="6343699B" w14:textId="77777777" w:rsidTr="00BF43F0">
        <w:tc>
          <w:tcPr>
            <w:cnfStyle w:val="000010000000" w:firstRow="0" w:lastRow="0" w:firstColumn="0" w:lastColumn="0" w:oddVBand="1" w:evenVBand="0" w:oddHBand="0" w:evenHBand="0" w:firstRowFirstColumn="0" w:firstRowLastColumn="0" w:lastRowFirstColumn="0" w:lastRowLastColumn="0"/>
            <w:tcW w:w="1160" w:type="dxa"/>
            <w:tcBorders>
              <w:bottom w:val="single" w:sz="4" w:space="0" w:color="auto"/>
            </w:tcBorders>
            <w:shd w:val="clear" w:color="auto" w:fill="auto"/>
          </w:tcPr>
          <w:p w14:paraId="1CF2EDF5"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m15</w:t>
            </w:r>
          </w:p>
        </w:tc>
        <w:tc>
          <w:tcPr>
            <w:tcW w:w="1570" w:type="dxa"/>
            <w:tcBorders>
              <w:bottom w:val="single" w:sz="4" w:space="0" w:color="auto"/>
            </w:tcBorders>
            <w:shd w:val="clear" w:color="auto" w:fill="auto"/>
          </w:tcPr>
          <w:p w14:paraId="2E9F9850" w14:textId="77777777" w:rsidR="00F514C9" w:rsidRPr="00C319D0" w:rsidRDefault="00327E5A"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m31</w:t>
            </w:r>
          </w:p>
        </w:tc>
        <w:tc>
          <w:tcPr>
            <w:cnfStyle w:val="000010000000" w:firstRow="0" w:lastRow="0" w:firstColumn="0" w:lastColumn="0" w:oddVBand="1" w:evenVBand="0" w:oddHBand="0" w:evenHBand="0" w:firstRowFirstColumn="0" w:firstRowLastColumn="0" w:lastRowFirstColumn="0" w:lastRowLastColumn="0"/>
            <w:tcW w:w="1206" w:type="dxa"/>
            <w:tcBorders>
              <w:bottom w:val="single" w:sz="4" w:space="0" w:color="auto"/>
            </w:tcBorders>
            <w:shd w:val="clear" w:color="auto" w:fill="auto"/>
          </w:tcPr>
          <w:p w14:paraId="3BA2F367"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p>
        </w:tc>
        <w:tc>
          <w:tcPr>
            <w:tcW w:w="1134" w:type="dxa"/>
            <w:tcBorders>
              <w:bottom w:val="single" w:sz="4" w:space="0" w:color="auto"/>
            </w:tcBorders>
            <w:shd w:val="clear" w:color="auto" w:fill="auto"/>
          </w:tcPr>
          <w:p w14:paraId="7560950D"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75" w:type="dxa"/>
            <w:tcBorders>
              <w:bottom w:val="single" w:sz="4" w:space="0" w:color="auto"/>
            </w:tcBorders>
            <w:shd w:val="clear" w:color="auto" w:fill="auto"/>
          </w:tcPr>
          <w:p w14:paraId="1542FD60" w14:textId="77777777" w:rsidR="00F514C9" w:rsidRPr="00C319D0" w:rsidRDefault="00F514C9"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w:t>
            </w:r>
            <w:r w:rsidR="00886620" w:rsidRPr="00C319D0">
              <w:rPr>
                <w:rFonts w:ascii="Cambria" w:eastAsia="Times New Roman" w:hAnsi="Cambria" w:cs="Times New Roman"/>
                <w:color w:val="000000" w:themeColor="text1"/>
                <w:sz w:val="20"/>
                <w:szCs w:val="20"/>
                <w:lang w:eastAsia="tr-TR"/>
              </w:rPr>
              <w:t>442</w:t>
            </w:r>
          </w:p>
        </w:tc>
        <w:tc>
          <w:tcPr>
            <w:tcW w:w="2943" w:type="dxa"/>
            <w:tcBorders>
              <w:bottom w:val="single" w:sz="4" w:space="0" w:color="auto"/>
            </w:tcBorders>
            <w:shd w:val="clear" w:color="auto" w:fill="auto"/>
          </w:tcPr>
          <w:p w14:paraId="45FF03D9" w14:textId="77777777" w:rsidR="00F514C9" w:rsidRPr="00C319D0" w:rsidRDefault="00F514C9" w:rsidP="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.479</w:t>
            </w:r>
          </w:p>
        </w:tc>
      </w:tr>
      <w:tr w:rsidR="00540C7A" w:rsidRPr="00C319D0" w14:paraId="5979FBD3"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60" w:type="dxa"/>
            <w:tcBorders>
              <w:top w:val="single" w:sz="4" w:space="0" w:color="auto"/>
              <w:bottom w:val="single" w:sz="4" w:space="0" w:color="auto"/>
            </w:tcBorders>
            <w:shd w:val="clear" w:color="auto" w:fill="auto"/>
          </w:tcPr>
          <w:p w14:paraId="2C374DFB" w14:textId="77777777" w:rsidR="00F514C9" w:rsidRPr="00C319D0" w:rsidRDefault="00F514C9" w:rsidP="00540C7A">
            <w:pP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Özdeğerler</w:t>
            </w:r>
          </w:p>
        </w:tc>
        <w:tc>
          <w:tcPr>
            <w:tcW w:w="1570" w:type="dxa"/>
            <w:tcBorders>
              <w:top w:val="single" w:sz="4" w:space="0" w:color="auto"/>
              <w:bottom w:val="single" w:sz="4" w:space="0" w:color="auto"/>
            </w:tcBorders>
            <w:shd w:val="clear" w:color="auto" w:fill="auto"/>
          </w:tcPr>
          <w:p w14:paraId="60B75486"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c>
          <w:tcPr>
            <w:cnfStyle w:val="000010000000" w:firstRow="0" w:lastRow="0" w:firstColumn="0" w:lastColumn="0" w:oddVBand="1" w:evenVBand="0" w:oddHBand="0" w:evenHBand="0" w:firstRowFirstColumn="0" w:firstRowLastColumn="0" w:lastRowFirstColumn="0" w:lastRowLastColumn="0"/>
            <w:tcW w:w="1206" w:type="dxa"/>
            <w:tcBorders>
              <w:top w:val="single" w:sz="4" w:space="0" w:color="auto"/>
              <w:bottom w:val="single" w:sz="4" w:space="0" w:color="auto"/>
            </w:tcBorders>
            <w:shd w:val="clear" w:color="auto" w:fill="auto"/>
          </w:tcPr>
          <w:p w14:paraId="74327750" w14:textId="77777777" w:rsidR="00F514C9" w:rsidRPr="00C319D0" w:rsidRDefault="00F07E78" w:rsidP="00540C7A">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7.787</w:t>
            </w:r>
          </w:p>
        </w:tc>
        <w:tc>
          <w:tcPr>
            <w:tcW w:w="1134" w:type="dxa"/>
            <w:tcBorders>
              <w:top w:val="single" w:sz="4" w:space="0" w:color="auto"/>
              <w:bottom w:val="single" w:sz="4" w:space="0" w:color="auto"/>
            </w:tcBorders>
            <w:shd w:val="clear" w:color="auto" w:fill="auto"/>
          </w:tcPr>
          <w:p w14:paraId="4F1821B6"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3.6</w:t>
            </w:r>
            <w:r w:rsidR="00F07E78" w:rsidRPr="00C319D0">
              <w:rPr>
                <w:rFonts w:ascii="Cambria" w:eastAsia="Times New Roman" w:hAnsi="Cambria" w:cs="Times New Roman"/>
                <w:color w:val="000000" w:themeColor="text1"/>
                <w:sz w:val="20"/>
                <w:szCs w:val="20"/>
                <w:lang w:eastAsia="tr-TR"/>
              </w:rPr>
              <w:t>18</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bottom w:val="single" w:sz="4" w:space="0" w:color="auto"/>
            </w:tcBorders>
            <w:shd w:val="clear" w:color="auto" w:fill="auto"/>
          </w:tcPr>
          <w:p w14:paraId="6BD22173" w14:textId="77777777" w:rsidR="00F514C9" w:rsidRPr="00C319D0" w:rsidRDefault="00F514C9" w:rsidP="00F07E78">
            <w:pPr>
              <w:jc w:val="center"/>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1.</w:t>
            </w:r>
            <w:r w:rsidR="00F07E78" w:rsidRPr="00C319D0">
              <w:rPr>
                <w:rFonts w:ascii="Cambria" w:eastAsia="Times New Roman" w:hAnsi="Cambria" w:cs="Times New Roman"/>
                <w:color w:val="000000" w:themeColor="text1"/>
                <w:sz w:val="20"/>
                <w:szCs w:val="20"/>
                <w:lang w:eastAsia="tr-TR"/>
              </w:rPr>
              <w:t>480</w:t>
            </w:r>
          </w:p>
        </w:tc>
        <w:tc>
          <w:tcPr>
            <w:tcW w:w="2943" w:type="dxa"/>
            <w:tcBorders>
              <w:top w:val="single" w:sz="4" w:space="0" w:color="auto"/>
              <w:bottom w:val="single" w:sz="4" w:space="0" w:color="auto"/>
            </w:tcBorders>
            <w:shd w:val="clear" w:color="auto" w:fill="auto"/>
          </w:tcPr>
          <w:p w14:paraId="775A2CEA" w14:textId="77777777" w:rsidR="00F514C9" w:rsidRPr="00C319D0" w:rsidRDefault="00F514C9" w:rsidP="00540C7A">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sz w:val="20"/>
                <w:szCs w:val="20"/>
                <w:lang w:eastAsia="tr-TR"/>
              </w:rPr>
            </w:pPr>
          </w:p>
        </w:tc>
      </w:tr>
      <w:tr w:rsidR="00540C7A" w:rsidRPr="00C319D0" w14:paraId="36205198" w14:textId="77777777" w:rsidTr="00BF43F0">
        <w:tc>
          <w:tcPr>
            <w:cnfStyle w:val="000010000000" w:firstRow="0" w:lastRow="0" w:firstColumn="0" w:lastColumn="0" w:oddVBand="1" w:evenVBand="0" w:oddHBand="0" w:evenHBand="0" w:firstRowFirstColumn="0" w:firstRowLastColumn="0" w:lastRowFirstColumn="0" w:lastRowLastColumn="0"/>
            <w:tcW w:w="2730" w:type="dxa"/>
            <w:gridSpan w:val="2"/>
            <w:tcBorders>
              <w:top w:val="single" w:sz="4" w:space="0" w:color="auto"/>
              <w:bottom w:val="single" w:sz="4" w:space="0" w:color="auto"/>
            </w:tcBorders>
            <w:shd w:val="clear" w:color="auto" w:fill="auto"/>
          </w:tcPr>
          <w:p w14:paraId="37BEC05E" w14:textId="77777777" w:rsidR="00540C7A" w:rsidRPr="00C319D0" w:rsidRDefault="00540C7A" w:rsidP="00F514C9">
            <w:pPr>
              <w:jc w:val="both"/>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Açıklanan varyans</w:t>
            </w:r>
          </w:p>
        </w:tc>
        <w:tc>
          <w:tcPr>
            <w:tcW w:w="1206" w:type="dxa"/>
            <w:tcBorders>
              <w:top w:val="single" w:sz="4" w:space="0" w:color="auto"/>
              <w:bottom w:val="single" w:sz="4" w:space="0" w:color="auto"/>
            </w:tcBorders>
            <w:shd w:val="clear" w:color="auto" w:fill="auto"/>
          </w:tcPr>
          <w:p w14:paraId="2BE6B383" w14:textId="77777777" w:rsidR="00540C7A" w:rsidRPr="00C319D0" w:rsidRDefault="00540C7A" w:rsidP="00F514C9">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 xml:space="preserve">% </w:t>
            </w:r>
            <w:r w:rsidR="00F07E78" w:rsidRPr="00C319D0">
              <w:rPr>
                <w:rFonts w:ascii="Cambria" w:eastAsia="Times New Roman" w:hAnsi="Cambria" w:cs="Times New Roman"/>
                <w:color w:val="000000" w:themeColor="text1"/>
                <w:sz w:val="20"/>
                <w:szCs w:val="20"/>
                <w:lang w:eastAsia="tr-TR"/>
              </w:rPr>
              <w:t xml:space="preserve">23.597 </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14:paraId="4C816881" w14:textId="77777777" w:rsidR="00540C7A" w:rsidRPr="00C319D0" w:rsidRDefault="00540C7A" w:rsidP="00F514C9">
            <w:pPr>
              <w:jc w:val="both"/>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 10.</w:t>
            </w:r>
            <w:r w:rsidR="00F07E78" w:rsidRPr="00C319D0">
              <w:rPr>
                <w:rFonts w:ascii="Cambria" w:eastAsia="Times New Roman" w:hAnsi="Cambria" w:cs="Times New Roman"/>
                <w:color w:val="000000" w:themeColor="text1"/>
                <w:sz w:val="20"/>
                <w:szCs w:val="20"/>
                <w:lang w:eastAsia="tr-TR"/>
              </w:rPr>
              <w:t>965</w:t>
            </w:r>
          </w:p>
        </w:tc>
        <w:tc>
          <w:tcPr>
            <w:tcW w:w="1275" w:type="dxa"/>
            <w:tcBorders>
              <w:top w:val="single" w:sz="4" w:space="0" w:color="auto"/>
              <w:bottom w:val="single" w:sz="4" w:space="0" w:color="auto"/>
            </w:tcBorders>
            <w:shd w:val="clear" w:color="auto" w:fill="auto"/>
          </w:tcPr>
          <w:p w14:paraId="1B92F462" w14:textId="77777777" w:rsidR="00BA08FF" w:rsidRPr="00C319D0" w:rsidRDefault="00540C7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 xml:space="preserve">% </w:t>
            </w:r>
            <w:r w:rsidR="00BA08FF" w:rsidRPr="00C319D0">
              <w:rPr>
                <w:rFonts w:ascii="Cambria" w:eastAsia="Times New Roman" w:hAnsi="Cambria" w:cs="Times New Roman"/>
                <w:color w:val="000000" w:themeColor="text1"/>
                <w:sz w:val="20"/>
                <w:szCs w:val="20"/>
                <w:lang w:eastAsia="tr-TR"/>
              </w:rPr>
              <w:t>6.486</w:t>
            </w:r>
          </w:p>
        </w:tc>
        <w:tc>
          <w:tcPr>
            <w:cnfStyle w:val="000010000000" w:firstRow="0" w:lastRow="0" w:firstColumn="0" w:lastColumn="0" w:oddVBand="1" w:evenVBand="0" w:oddHBand="0" w:evenHBand="0" w:firstRowFirstColumn="0" w:firstRowLastColumn="0" w:lastRowFirstColumn="0" w:lastRowLastColumn="0"/>
            <w:tcW w:w="2943" w:type="dxa"/>
            <w:tcBorders>
              <w:top w:val="single" w:sz="4" w:space="0" w:color="auto"/>
              <w:bottom w:val="single" w:sz="4" w:space="0" w:color="auto"/>
            </w:tcBorders>
            <w:shd w:val="clear" w:color="auto" w:fill="auto"/>
          </w:tcPr>
          <w:p w14:paraId="6FB60D12" w14:textId="77777777" w:rsidR="00540C7A" w:rsidRPr="00C319D0" w:rsidRDefault="00540C7A" w:rsidP="00F514C9">
            <w:pPr>
              <w:jc w:val="both"/>
              <w:rPr>
                <w:rFonts w:ascii="Cambria" w:eastAsia="Times New Roman" w:hAnsi="Cambria" w:cs="Times New Roman"/>
                <w:color w:val="000000" w:themeColor="text1"/>
                <w:sz w:val="20"/>
                <w:szCs w:val="20"/>
                <w:lang w:eastAsia="tr-TR"/>
              </w:rPr>
            </w:pPr>
          </w:p>
        </w:tc>
      </w:tr>
      <w:tr w:rsidR="00540C7A" w:rsidRPr="00C319D0" w14:paraId="079DCEF5" w14:textId="77777777" w:rsidTr="00BF43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88" w:type="dxa"/>
            <w:gridSpan w:val="6"/>
            <w:tcBorders>
              <w:top w:val="single" w:sz="4" w:space="0" w:color="auto"/>
            </w:tcBorders>
            <w:shd w:val="clear" w:color="auto" w:fill="auto"/>
          </w:tcPr>
          <w:p w14:paraId="10E6F6FC" w14:textId="77777777" w:rsidR="00540C7A" w:rsidRPr="00C319D0" w:rsidRDefault="00540C7A" w:rsidP="00F514C9">
            <w:pPr>
              <w:jc w:val="both"/>
              <w:rPr>
                <w:rFonts w:ascii="Cambria" w:eastAsia="Times New Roman" w:hAnsi="Cambria" w:cs="Times New Roman"/>
                <w:color w:val="000000" w:themeColor="text1"/>
                <w:sz w:val="20"/>
                <w:szCs w:val="20"/>
                <w:lang w:eastAsia="tr-TR"/>
              </w:rPr>
            </w:pPr>
            <w:r w:rsidRPr="00C319D0">
              <w:rPr>
                <w:rFonts w:ascii="Cambria" w:eastAsia="Times New Roman" w:hAnsi="Cambria" w:cs="Times New Roman"/>
                <w:color w:val="000000" w:themeColor="text1"/>
                <w:sz w:val="20"/>
                <w:szCs w:val="20"/>
                <w:lang w:eastAsia="tr-TR"/>
              </w:rPr>
              <w:t>Açıklanan toplam varyans= %</w:t>
            </w:r>
            <w:r w:rsidR="00B24BCA" w:rsidRPr="00C319D0">
              <w:rPr>
                <w:rFonts w:ascii="Cambria" w:eastAsia="Times New Roman" w:hAnsi="Cambria" w:cs="Times New Roman"/>
                <w:color w:val="000000" w:themeColor="text1"/>
                <w:sz w:val="20"/>
                <w:szCs w:val="20"/>
                <w:lang w:eastAsia="tr-TR"/>
              </w:rPr>
              <w:t xml:space="preserve"> </w:t>
            </w:r>
            <w:r w:rsidR="00F07E78" w:rsidRPr="00C319D0">
              <w:rPr>
                <w:rFonts w:ascii="Cambria" w:eastAsia="Times New Roman" w:hAnsi="Cambria" w:cs="Times New Roman"/>
                <w:color w:val="000000" w:themeColor="text1"/>
                <w:sz w:val="20"/>
                <w:szCs w:val="20"/>
                <w:lang w:eastAsia="tr-TR"/>
              </w:rPr>
              <w:t>4</w:t>
            </w:r>
            <w:r w:rsidR="00BA08FF" w:rsidRPr="00C319D0">
              <w:rPr>
                <w:rFonts w:ascii="Cambria" w:eastAsia="Times New Roman" w:hAnsi="Cambria" w:cs="Times New Roman"/>
                <w:color w:val="000000" w:themeColor="text1"/>
                <w:sz w:val="20"/>
                <w:szCs w:val="20"/>
                <w:lang w:eastAsia="tr-TR"/>
              </w:rPr>
              <w:t>1</w:t>
            </w:r>
            <w:r w:rsidR="00F07E78" w:rsidRPr="00C319D0">
              <w:rPr>
                <w:rFonts w:ascii="Cambria" w:eastAsia="Times New Roman" w:hAnsi="Cambria" w:cs="Times New Roman"/>
                <w:color w:val="000000" w:themeColor="text1"/>
                <w:sz w:val="20"/>
                <w:szCs w:val="20"/>
                <w:lang w:eastAsia="tr-TR"/>
              </w:rPr>
              <w:t>.048</w:t>
            </w:r>
          </w:p>
        </w:tc>
      </w:tr>
    </w:tbl>
    <w:p w14:paraId="4C194354" w14:textId="77777777" w:rsidR="00F514C9" w:rsidRPr="00C319D0" w:rsidRDefault="00F514C9" w:rsidP="00F514C9">
      <w:pPr>
        <w:spacing w:after="0" w:line="240" w:lineRule="auto"/>
        <w:jc w:val="both"/>
        <w:rPr>
          <w:rFonts w:ascii="Cambria" w:eastAsia="Times New Roman" w:hAnsi="Cambria" w:cs="Times New Roman"/>
          <w:color w:val="000000" w:themeColor="text1"/>
          <w:lang w:eastAsia="tr-TR"/>
        </w:rPr>
      </w:pPr>
    </w:p>
    <w:p w14:paraId="0038BB72" w14:textId="77777777" w:rsidR="00F514C9" w:rsidRPr="00C319D0" w:rsidRDefault="00F514C9" w:rsidP="00BF43F0">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Ölçek maddelerinin içerikleri ve kuramsal yapı incelendiğinde faktör 1 “derinlemesine öğrenme yaklaşımı”, faktör 2 “yüzeysel öğrenme yaklaşımı” ve faktör 3 “stratejik öğrenme yaklaşımı” na uyan maddeler içermektedir. Derinlemesine öğrenme yaklaşımında 11 madde (m</w:t>
      </w:r>
      <w:r w:rsidR="001F675A" w:rsidRPr="00C319D0">
        <w:rPr>
          <w:rFonts w:ascii="Cambria" w:eastAsia="Times New Roman" w:hAnsi="Cambria" w:cs="Times New Roman"/>
          <w:color w:val="000000" w:themeColor="text1"/>
          <w:lang w:eastAsia="tr-TR"/>
        </w:rPr>
        <w:t>9</w:t>
      </w:r>
      <w:r w:rsidRPr="00C319D0">
        <w:rPr>
          <w:rFonts w:ascii="Cambria" w:eastAsia="Times New Roman" w:hAnsi="Cambria" w:cs="Times New Roman"/>
          <w:color w:val="000000" w:themeColor="text1"/>
          <w:lang w:eastAsia="tr-TR"/>
        </w:rPr>
        <w:t>, m2</w:t>
      </w:r>
      <w:r w:rsidR="001F675A" w:rsidRPr="00C319D0">
        <w:rPr>
          <w:rFonts w:ascii="Cambria" w:eastAsia="Times New Roman" w:hAnsi="Cambria" w:cs="Times New Roman"/>
          <w:color w:val="000000" w:themeColor="text1"/>
          <w:lang w:eastAsia="tr-TR"/>
        </w:rPr>
        <w:t>1</w:t>
      </w:r>
      <w:r w:rsidRPr="00C319D0">
        <w:rPr>
          <w:rFonts w:ascii="Cambria" w:eastAsia="Times New Roman" w:hAnsi="Cambria" w:cs="Times New Roman"/>
          <w:color w:val="000000" w:themeColor="text1"/>
          <w:lang w:eastAsia="tr-TR"/>
        </w:rPr>
        <w:t>, m30, m</w:t>
      </w:r>
      <w:r w:rsidR="001F675A" w:rsidRPr="00C319D0">
        <w:rPr>
          <w:rFonts w:ascii="Cambria" w:eastAsia="Times New Roman" w:hAnsi="Cambria" w:cs="Times New Roman"/>
          <w:color w:val="000000" w:themeColor="text1"/>
          <w:lang w:eastAsia="tr-TR"/>
        </w:rPr>
        <w:t>33</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24</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18</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27</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15</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3</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12</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6</w:t>
      </w:r>
      <w:r w:rsidRPr="00C319D0">
        <w:rPr>
          <w:rFonts w:ascii="Cambria" w:eastAsia="Times New Roman" w:hAnsi="Cambria" w:cs="Times New Roman"/>
          <w:color w:val="000000" w:themeColor="text1"/>
          <w:lang w:eastAsia="tr-TR"/>
        </w:rPr>
        <w:t>), yüzeysel öğrenme yaklaşımında 11 madde (m</w:t>
      </w:r>
      <w:r w:rsidR="001F675A" w:rsidRPr="00C319D0">
        <w:rPr>
          <w:rFonts w:ascii="Cambria" w:eastAsia="Times New Roman" w:hAnsi="Cambria" w:cs="Times New Roman"/>
          <w:color w:val="000000" w:themeColor="text1"/>
          <w:lang w:eastAsia="tr-TR"/>
        </w:rPr>
        <w:t>5</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14</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8</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17</w:t>
      </w:r>
      <w:r w:rsidRPr="00C319D0">
        <w:rPr>
          <w:rFonts w:ascii="Cambria" w:eastAsia="Times New Roman" w:hAnsi="Cambria" w:cs="Times New Roman"/>
          <w:color w:val="000000" w:themeColor="text1"/>
          <w:lang w:eastAsia="tr-TR"/>
        </w:rPr>
        <w:t>, m2</w:t>
      </w:r>
      <w:r w:rsidR="001F675A" w:rsidRPr="00C319D0">
        <w:rPr>
          <w:rFonts w:ascii="Cambria" w:eastAsia="Times New Roman" w:hAnsi="Cambria" w:cs="Times New Roman"/>
          <w:color w:val="000000" w:themeColor="text1"/>
          <w:lang w:eastAsia="tr-TR"/>
        </w:rPr>
        <w:t>0</w:t>
      </w:r>
      <w:r w:rsidRPr="00C319D0">
        <w:rPr>
          <w:rFonts w:ascii="Cambria" w:eastAsia="Times New Roman" w:hAnsi="Cambria" w:cs="Times New Roman"/>
          <w:color w:val="000000" w:themeColor="text1"/>
          <w:lang w:eastAsia="tr-TR"/>
        </w:rPr>
        <w:t>, m1</w:t>
      </w:r>
      <w:r w:rsidR="001F675A" w:rsidRPr="00C319D0">
        <w:rPr>
          <w:rFonts w:ascii="Cambria" w:eastAsia="Times New Roman" w:hAnsi="Cambria" w:cs="Times New Roman"/>
          <w:color w:val="000000" w:themeColor="text1"/>
          <w:lang w:eastAsia="tr-TR"/>
        </w:rPr>
        <w:t>1</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32</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29</w:t>
      </w:r>
      <w:r w:rsidRPr="00C319D0">
        <w:rPr>
          <w:rFonts w:ascii="Cambria" w:eastAsia="Times New Roman" w:hAnsi="Cambria" w:cs="Times New Roman"/>
          <w:color w:val="000000" w:themeColor="text1"/>
          <w:lang w:eastAsia="tr-TR"/>
        </w:rPr>
        <w:t>, m2</w:t>
      </w:r>
      <w:r w:rsidR="001F675A" w:rsidRPr="00C319D0">
        <w:rPr>
          <w:rFonts w:ascii="Cambria" w:eastAsia="Times New Roman" w:hAnsi="Cambria" w:cs="Times New Roman"/>
          <w:color w:val="000000" w:themeColor="text1"/>
          <w:lang w:eastAsia="tr-TR"/>
        </w:rPr>
        <w:t>3</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26</w:t>
      </w:r>
      <w:r w:rsidRPr="00C319D0">
        <w:rPr>
          <w:rFonts w:ascii="Cambria" w:eastAsia="Times New Roman" w:hAnsi="Cambria" w:cs="Times New Roman"/>
          <w:color w:val="000000" w:themeColor="text1"/>
          <w:lang w:eastAsia="tr-TR"/>
        </w:rPr>
        <w:t>), stratejik öğrenme yaklaşımında 11 madde (m1</w:t>
      </w:r>
      <w:r w:rsidR="001F675A" w:rsidRPr="00C319D0">
        <w:rPr>
          <w:rFonts w:ascii="Cambria" w:eastAsia="Times New Roman" w:hAnsi="Cambria" w:cs="Times New Roman"/>
          <w:color w:val="000000" w:themeColor="text1"/>
          <w:lang w:eastAsia="tr-TR"/>
        </w:rPr>
        <w:t>0</w:t>
      </w:r>
      <w:r w:rsidRPr="00C319D0">
        <w:rPr>
          <w:rFonts w:ascii="Cambria" w:eastAsia="Times New Roman" w:hAnsi="Cambria" w:cs="Times New Roman"/>
          <w:color w:val="000000" w:themeColor="text1"/>
          <w:lang w:eastAsia="tr-TR"/>
        </w:rPr>
        <w:t>, m2</w:t>
      </w:r>
      <w:r w:rsidR="001F675A" w:rsidRPr="00C319D0">
        <w:rPr>
          <w:rFonts w:ascii="Cambria" w:eastAsia="Times New Roman" w:hAnsi="Cambria" w:cs="Times New Roman"/>
          <w:color w:val="000000" w:themeColor="text1"/>
          <w:lang w:eastAsia="tr-TR"/>
        </w:rPr>
        <w:t>5</w:t>
      </w:r>
      <w:r w:rsidRPr="00C319D0">
        <w:rPr>
          <w:rFonts w:ascii="Cambria" w:eastAsia="Times New Roman" w:hAnsi="Cambria" w:cs="Times New Roman"/>
          <w:color w:val="000000" w:themeColor="text1"/>
          <w:lang w:eastAsia="tr-TR"/>
        </w:rPr>
        <w:t>, m2</w:t>
      </w:r>
      <w:r w:rsidR="001F675A" w:rsidRPr="00C319D0">
        <w:rPr>
          <w:rFonts w:ascii="Cambria" w:eastAsia="Times New Roman" w:hAnsi="Cambria" w:cs="Times New Roman"/>
          <w:color w:val="000000" w:themeColor="text1"/>
          <w:lang w:eastAsia="tr-TR"/>
        </w:rPr>
        <w:t>2</w:t>
      </w:r>
      <w:r w:rsidRPr="00C319D0">
        <w:rPr>
          <w:rFonts w:ascii="Cambria" w:eastAsia="Times New Roman" w:hAnsi="Cambria" w:cs="Times New Roman"/>
          <w:color w:val="000000" w:themeColor="text1"/>
          <w:lang w:eastAsia="tr-TR"/>
        </w:rPr>
        <w:t>, m13, m</w:t>
      </w:r>
      <w:r w:rsidR="001F675A" w:rsidRPr="00C319D0">
        <w:rPr>
          <w:rFonts w:ascii="Cambria" w:eastAsia="Times New Roman" w:hAnsi="Cambria" w:cs="Times New Roman"/>
          <w:color w:val="000000" w:themeColor="text1"/>
          <w:lang w:eastAsia="tr-TR"/>
        </w:rPr>
        <w:t>16</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7</w:t>
      </w:r>
      <w:r w:rsidRPr="00C319D0">
        <w:rPr>
          <w:rFonts w:ascii="Cambria" w:eastAsia="Times New Roman" w:hAnsi="Cambria" w:cs="Times New Roman"/>
          <w:color w:val="000000" w:themeColor="text1"/>
          <w:lang w:eastAsia="tr-TR"/>
        </w:rPr>
        <w:t>, m1</w:t>
      </w:r>
      <w:r w:rsidR="001F675A" w:rsidRPr="00C319D0">
        <w:rPr>
          <w:rFonts w:ascii="Cambria" w:eastAsia="Times New Roman" w:hAnsi="Cambria" w:cs="Times New Roman"/>
          <w:color w:val="000000" w:themeColor="text1"/>
          <w:lang w:eastAsia="tr-TR"/>
        </w:rPr>
        <w:t>9</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1</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28</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4</w:t>
      </w:r>
      <w:r w:rsidRPr="00C319D0">
        <w:rPr>
          <w:rFonts w:ascii="Cambria" w:eastAsia="Times New Roman" w:hAnsi="Cambria" w:cs="Times New Roman"/>
          <w:color w:val="000000" w:themeColor="text1"/>
          <w:lang w:eastAsia="tr-TR"/>
        </w:rPr>
        <w:t>, m</w:t>
      </w:r>
      <w:r w:rsidR="001F675A" w:rsidRPr="00C319D0">
        <w:rPr>
          <w:rFonts w:ascii="Cambria" w:eastAsia="Times New Roman" w:hAnsi="Cambria" w:cs="Times New Roman"/>
          <w:color w:val="000000" w:themeColor="text1"/>
          <w:lang w:eastAsia="tr-TR"/>
        </w:rPr>
        <w:t>31</w:t>
      </w:r>
      <w:r w:rsidRPr="00C319D0">
        <w:rPr>
          <w:rFonts w:ascii="Cambria" w:eastAsia="Times New Roman" w:hAnsi="Cambria" w:cs="Times New Roman"/>
          <w:color w:val="000000" w:themeColor="text1"/>
          <w:lang w:eastAsia="tr-TR"/>
        </w:rPr>
        <w:t>) bulunmaktadır. Düzeltilmiş madde-toplam korelasyon</w:t>
      </w:r>
      <w:r w:rsidR="00BF43F0" w:rsidRPr="00C319D0">
        <w:rPr>
          <w:rFonts w:ascii="Cambria" w:eastAsia="Times New Roman" w:hAnsi="Cambria" w:cs="Times New Roman"/>
          <w:color w:val="000000" w:themeColor="text1"/>
          <w:lang w:eastAsia="tr-TR"/>
        </w:rPr>
        <w:t xml:space="preserve">ları incelendiğinde, değerlerin </w:t>
      </w:r>
      <w:r w:rsidRPr="00C319D0">
        <w:rPr>
          <w:rFonts w:ascii="Cambria" w:eastAsia="Times New Roman" w:hAnsi="Cambria" w:cs="Times New Roman"/>
          <w:color w:val="000000" w:themeColor="text1"/>
          <w:lang w:eastAsia="tr-TR"/>
        </w:rPr>
        <w:t>.360 ile .608 arasında değiştiği görülmektedir. Madde-toplam korelasyonunun pozitif ve yüksek olması, maddelerin benzer davranışları örneklediğini ve testin iç tutarlılığının yüksek olduğunu gösterir. Ayrıca maddelerin ne derece ayırt edici olduğunu yorumlamakta da kullanılır (Büyüköztürk, 2012).</w:t>
      </w:r>
    </w:p>
    <w:p w14:paraId="1B7BB44C" w14:textId="1A0ED5F7" w:rsidR="00B24BCA" w:rsidRPr="00C319D0" w:rsidRDefault="00F514C9" w:rsidP="0049716F">
      <w:pPr>
        <w:spacing w:after="0" w:line="240" w:lineRule="auto"/>
        <w:ind w:firstLine="567"/>
        <w:jc w:val="both"/>
        <w:rPr>
          <w:rFonts w:ascii="Cambria" w:eastAsia="Times New Roman" w:hAnsi="Cambria" w:cstheme="minorHAnsi"/>
          <w:b/>
          <w:i/>
          <w:lang w:eastAsia="tr-TR"/>
        </w:rPr>
      </w:pPr>
      <w:r w:rsidRPr="00C319D0">
        <w:rPr>
          <w:rFonts w:ascii="Cambria" w:eastAsia="Times New Roman" w:hAnsi="Cambria" w:cs="Times New Roman"/>
          <w:color w:val="000000" w:themeColor="text1"/>
          <w:lang w:eastAsia="tr-TR"/>
        </w:rPr>
        <w:t xml:space="preserve">Birinci faktördeki faktör yükleri .370- .713, ikinci faktördeki faktör yükleri 0.408-0.649, üçüncü faktördeki faktör yükleri .323-.697 arasında değişmektedir. Ölçeğin bütününde ise faktör </w:t>
      </w:r>
      <w:r w:rsidRPr="00C319D0">
        <w:rPr>
          <w:rFonts w:ascii="Cambria" w:eastAsia="Times New Roman" w:hAnsi="Cambria" w:cs="Times New Roman"/>
          <w:color w:val="000000" w:themeColor="text1"/>
          <w:lang w:eastAsia="tr-TR"/>
        </w:rPr>
        <w:lastRenderedPageBreak/>
        <w:t xml:space="preserve">yük değerleri .323 ile .713 arasında değişmektedir. Ölçekteki faktörler için öz değerler sırasıyla 8.960, 3.646, 1.550 şeklindedir. Derinlemesine öğrenme yaklaşımı faktörü toplam varyansın % </w:t>
      </w:r>
      <w:r w:rsidR="00F07E78" w:rsidRPr="00C319D0">
        <w:rPr>
          <w:rFonts w:ascii="Cambria" w:eastAsia="Times New Roman" w:hAnsi="Cambria" w:cs="Times New Roman"/>
          <w:color w:val="000000" w:themeColor="text1"/>
          <w:lang w:eastAsia="tr-TR"/>
        </w:rPr>
        <w:t>23.597’sini</w:t>
      </w:r>
      <w:r w:rsidRPr="00C319D0">
        <w:rPr>
          <w:rFonts w:ascii="Cambria" w:eastAsia="Times New Roman" w:hAnsi="Cambria" w:cs="Times New Roman"/>
          <w:color w:val="000000" w:themeColor="text1"/>
          <w:lang w:eastAsia="tr-TR"/>
        </w:rPr>
        <w:t>, yüzeysel öğrenme yaklaşımı faktörü % 10.</w:t>
      </w:r>
      <w:r w:rsidR="00F07E78" w:rsidRPr="00C319D0">
        <w:rPr>
          <w:rFonts w:ascii="Cambria" w:eastAsia="Times New Roman" w:hAnsi="Cambria" w:cs="Times New Roman"/>
          <w:color w:val="000000" w:themeColor="text1"/>
          <w:lang w:eastAsia="tr-TR"/>
        </w:rPr>
        <w:t>965’ini</w:t>
      </w:r>
      <w:r w:rsidRPr="00C319D0">
        <w:rPr>
          <w:rFonts w:ascii="Cambria" w:eastAsia="Times New Roman" w:hAnsi="Cambria" w:cs="Times New Roman"/>
          <w:color w:val="000000" w:themeColor="text1"/>
          <w:lang w:eastAsia="tr-TR"/>
        </w:rPr>
        <w:t xml:space="preserve"> ve stratejik öğrenme yaklaşımı faktörü % </w:t>
      </w:r>
      <w:r w:rsidR="00BA08FF" w:rsidRPr="00C319D0">
        <w:rPr>
          <w:rFonts w:ascii="Cambria" w:eastAsia="Times New Roman" w:hAnsi="Cambria" w:cs="Times New Roman"/>
          <w:color w:val="000000" w:themeColor="text1"/>
          <w:lang w:eastAsia="tr-TR"/>
        </w:rPr>
        <w:t>6</w:t>
      </w:r>
      <w:r w:rsidRPr="00C319D0">
        <w:rPr>
          <w:rFonts w:ascii="Cambria" w:eastAsia="Times New Roman" w:hAnsi="Cambria" w:cs="Times New Roman"/>
          <w:color w:val="000000" w:themeColor="text1"/>
          <w:lang w:eastAsia="tr-TR"/>
        </w:rPr>
        <w:t>.</w:t>
      </w:r>
      <w:r w:rsidR="00F07E78" w:rsidRPr="00C319D0">
        <w:rPr>
          <w:rFonts w:ascii="Cambria" w:eastAsia="Times New Roman" w:hAnsi="Cambria" w:cs="Times New Roman"/>
          <w:color w:val="000000" w:themeColor="text1"/>
          <w:lang w:eastAsia="tr-TR"/>
        </w:rPr>
        <w:t>486</w:t>
      </w:r>
      <w:r w:rsidRPr="00C319D0">
        <w:rPr>
          <w:rFonts w:ascii="Cambria" w:eastAsia="Times New Roman" w:hAnsi="Cambria" w:cs="Times New Roman"/>
          <w:color w:val="000000" w:themeColor="text1"/>
          <w:lang w:eastAsia="tr-TR"/>
        </w:rPr>
        <w:t>’</w:t>
      </w:r>
      <w:r w:rsidR="00F07E78" w:rsidRPr="00C319D0">
        <w:rPr>
          <w:rFonts w:ascii="Cambria" w:eastAsia="Times New Roman" w:hAnsi="Cambria" w:cs="Times New Roman"/>
          <w:color w:val="000000" w:themeColor="text1"/>
          <w:lang w:eastAsia="tr-TR"/>
        </w:rPr>
        <w:t>sını</w:t>
      </w:r>
      <w:r w:rsidRPr="00C319D0">
        <w:rPr>
          <w:rFonts w:ascii="Cambria" w:eastAsia="Times New Roman" w:hAnsi="Cambria" w:cs="Times New Roman"/>
          <w:color w:val="000000" w:themeColor="text1"/>
          <w:lang w:eastAsia="tr-TR"/>
        </w:rPr>
        <w:t xml:space="preserve"> açıklamaktadır. Üç faktör ise birlikte toplam varyansın % </w:t>
      </w:r>
      <w:r w:rsidR="00F07E78" w:rsidRPr="00C319D0">
        <w:rPr>
          <w:rFonts w:ascii="Cambria" w:eastAsia="Times New Roman" w:hAnsi="Cambria" w:cs="Times New Roman"/>
          <w:color w:val="000000" w:themeColor="text1"/>
          <w:lang w:eastAsia="tr-TR"/>
        </w:rPr>
        <w:t>4</w:t>
      </w:r>
      <w:r w:rsidR="00BA08FF" w:rsidRPr="00C319D0">
        <w:rPr>
          <w:rFonts w:ascii="Cambria" w:eastAsia="Times New Roman" w:hAnsi="Cambria" w:cs="Times New Roman"/>
          <w:color w:val="000000" w:themeColor="text1"/>
          <w:lang w:eastAsia="tr-TR"/>
        </w:rPr>
        <w:t>1</w:t>
      </w:r>
      <w:r w:rsidR="00F07E78" w:rsidRPr="00C319D0">
        <w:rPr>
          <w:rFonts w:ascii="Cambria" w:eastAsia="Times New Roman" w:hAnsi="Cambria" w:cs="Times New Roman"/>
          <w:color w:val="000000" w:themeColor="text1"/>
          <w:lang w:eastAsia="tr-TR"/>
        </w:rPr>
        <w:t>.0</w:t>
      </w:r>
      <w:r w:rsidR="00BA08FF" w:rsidRPr="00C319D0">
        <w:rPr>
          <w:rFonts w:ascii="Cambria" w:eastAsia="Times New Roman" w:hAnsi="Cambria" w:cs="Times New Roman"/>
          <w:color w:val="000000" w:themeColor="text1"/>
          <w:lang w:eastAsia="tr-TR"/>
        </w:rPr>
        <w:t>4</w:t>
      </w:r>
      <w:r w:rsidR="00F07E78" w:rsidRPr="00C319D0">
        <w:rPr>
          <w:rFonts w:ascii="Cambria" w:eastAsia="Times New Roman" w:hAnsi="Cambria" w:cs="Times New Roman"/>
          <w:color w:val="000000" w:themeColor="text1"/>
          <w:lang w:eastAsia="tr-TR"/>
        </w:rPr>
        <w:t>8</w:t>
      </w:r>
      <w:r w:rsidRPr="00C319D0">
        <w:rPr>
          <w:rFonts w:ascii="Cambria" w:eastAsia="Times New Roman" w:hAnsi="Cambria" w:cs="Times New Roman"/>
          <w:color w:val="000000" w:themeColor="text1"/>
          <w:lang w:eastAsia="tr-TR"/>
        </w:rPr>
        <w:t xml:space="preserve">’ini açıklamaktadır. </w:t>
      </w:r>
      <w:r w:rsidR="009703E4" w:rsidRPr="00C319D0">
        <w:rPr>
          <w:rFonts w:ascii="Cambria" w:eastAsia="Times New Roman" w:hAnsi="Cambria" w:cs="Times New Roman"/>
          <w:color w:val="000000" w:themeColor="text1"/>
          <w:lang w:eastAsia="tr-TR"/>
        </w:rPr>
        <w:t>Açımlayıcı faktör analizinde % 40 ile % 60 arasında değişiklik gösteren varyans oranları ideal olarak kabul edilmektedir (Scherer</w:t>
      </w:r>
      <w:r w:rsidR="00532A0E">
        <w:rPr>
          <w:rFonts w:ascii="Cambria" w:eastAsia="Times New Roman" w:hAnsi="Cambria" w:cs="Times New Roman"/>
          <w:color w:val="000000" w:themeColor="text1"/>
          <w:lang w:eastAsia="tr-TR"/>
        </w:rPr>
        <w:t xml:space="preserve"> ve diğ.</w:t>
      </w:r>
      <w:r w:rsidR="009703E4" w:rsidRPr="00C319D0">
        <w:rPr>
          <w:rFonts w:ascii="Cambria" w:eastAsia="Times New Roman" w:hAnsi="Cambria" w:cs="Times New Roman"/>
          <w:color w:val="000000" w:themeColor="text1"/>
          <w:lang w:eastAsia="tr-TR"/>
        </w:rPr>
        <w:t xml:space="preserve">, 1988). Ayrıca öğrenme yaklaşımları ile ilgili ölçek geliştirme çalışmaları incelendiğinde Özkan ve Sezgin Selçuk (2014)’in üç faktörlü Fizik Öğrenme Yaklaşımları Ölçeği toplam varyansın % 40’ını açıklamaktadır. </w:t>
      </w:r>
      <w:r w:rsidR="0035757F" w:rsidRPr="00C319D0">
        <w:rPr>
          <w:rFonts w:ascii="Cambria" w:eastAsia="Times New Roman" w:hAnsi="Cambria" w:cs="Times New Roman"/>
          <w:color w:val="000000" w:themeColor="text1"/>
          <w:lang w:eastAsia="tr-TR"/>
        </w:rPr>
        <w:t xml:space="preserve">Bu bağlamda geliştirilen bu ölçeğin varyansı geçerli kabul edilmiştir. </w:t>
      </w:r>
    </w:p>
    <w:p w14:paraId="73C07DB5" w14:textId="77777777" w:rsidR="00BF43F0" w:rsidRPr="00C319D0" w:rsidRDefault="00BF43F0" w:rsidP="00BF43F0">
      <w:pPr>
        <w:spacing w:before="120" w:after="120" w:line="240" w:lineRule="auto"/>
        <w:jc w:val="both"/>
        <w:rPr>
          <w:rFonts w:ascii="Cambria" w:eastAsia="Times New Roman" w:hAnsi="Cambria" w:cstheme="minorHAnsi"/>
          <w:b/>
          <w:i/>
          <w:lang w:eastAsia="tr-TR"/>
        </w:rPr>
      </w:pPr>
      <w:r w:rsidRPr="00C319D0">
        <w:rPr>
          <w:rFonts w:ascii="Cambria" w:eastAsia="Times New Roman" w:hAnsi="Cambria" w:cstheme="minorHAnsi"/>
          <w:b/>
          <w:i/>
          <w:lang w:eastAsia="tr-TR"/>
        </w:rPr>
        <w:t>MÖYÖ’nün doğrulayıcı faktör analizi</w:t>
      </w:r>
    </w:p>
    <w:p w14:paraId="3AA37686" w14:textId="008DBBD8" w:rsidR="00F514C9" w:rsidRPr="00C319D0" w:rsidRDefault="00F514C9" w:rsidP="00F063B3">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Doğrulayıcı faktör analizinde açımlayıcı faktör analizi ile elde edilen modelin doğrulanıp doğrulanmadığı tespit edilir</w:t>
      </w:r>
      <w:r w:rsidR="00CA261A">
        <w:rPr>
          <w:rFonts w:ascii="Cambria" w:eastAsia="Times New Roman" w:hAnsi="Cambria" w:cs="Times New Roman"/>
          <w:color w:val="000000" w:themeColor="text1"/>
          <w:lang w:eastAsia="tr-TR"/>
        </w:rPr>
        <w:t xml:space="preserve"> </w:t>
      </w:r>
      <w:r w:rsidRPr="00C319D0">
        <w:rPr>
          <w:rFonts w:ascii="Cambria" w:eastAsia="Times New Roman" w:hAnsi="Cambria" w:cs="Times New Roman"/>
          <w:color w:val="000000" w:themeColor="text1"/>
          <w:lang w:eastAsia="tr-TR"/>
        </w:rPr>
        <w:t xml:space="preserve">(Sönmez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Alacapınar, 2014). Açımlayıcı faktör analizin</w:t>
      </w:r>
      <w:r w:rsidR="00CA261A">
        <w:rPr>
          <w:rFonts w:ascii="Cambria" w:eastAsia="Times New Roman" w:hAnsi="Cambria" w:cs="Times New Roman"/>
          <w:color w:val="000000" w:themeColor="text1"/>
          <w:lang w:eastAsia="tr-TR"/>
        </w:rPr>
        <w:t xml:space="preserve">den sonra </w:t>
      </w:r>
      <w:r w:rsidRPr="00C319D0">
        <w:rPr>
          <w:rFonts w:ascii="Cambria" w:eastAsia="Times New Roman" w:hAnsi="Cambria" w:cs="Times New Roman"/>
          <w:color w:val="000000" w:themeColor="text1"/>
          <w:lang w:eastAsia="tr-TR"/>
        </w:rPr>
        <w:t xml:space="preserve">doğrulayıcı faktör analizi gerçekleştirilmiştir. Bu aşamada LISREL 8.51 programı kullanılmıştır. </w:t>
      </w:r>
    </w:p>
    <w:p w14:paraId="2C06D091" w14:textId="268D7BFB" w:rsidR="00F514C9" w:rsidRPr="00C319D0" w:rsidRDefault="00F514C9" w:rsidP="00BF43F0">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Uyum indekslerinin değerlendirilmesinden kullanılan ölçütler çeşitli araştırmacılar tarafından belirlenmiştir. Model veri uyumuna karar vermede kullanılan </w:t>
      </w:r>
      <w:r w:rsidRPr="00C319D0">
        <w:rPr>
          <w:rFonts w:ascii="Cambria" w:eastAsia="Times New Roman" w:hAnsi="Cambria" w:cs="Times New Roman"/>
          <w:i/>
          <w:color w:val="000000" w:themeColor="text1"/>
          <w:lang w:eastAsia="tr-TR"/>
        </w:rPr>
        <w:t>X</w:t>
      </w:r>
      <w:r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/sd oranının 3 ve 3’ten küçük olması mükemmel uyumu, 3 ile 5 değerleri arasında olması kabul edilebilir uyumu göstermektedir (Sümer, 2000). AGFI ve GFI indeksleri için .85 ile .90 arasındaki değerler kabul edilebilir uyumu, .90 ve üzerindeki değerler mükemmel uyumu ifade etmektedir (Marcholudis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Schumacher, 2001). </w:t>
      </w:r>
      <w:r w:rsidR="00245F95" w:rsidRPr="00C319D0">
        <w:rPr>
          <w:rFonts w:ascii="Cambria" w:eastAsia="Times New Roman" w:hAnsi="Cambria" w:cs="Times New Roman"/>
          <w:color w:val="000000" w:themeColor="text1"/>
          <w:lang w:eastAsia="tr-TR"/>
        </w:rPr>
        <w:t>CFI indeksi için .95 ve üzerindeki değe</w:t>
      </w:r>
      <w:r w:rsidR="00CA261A">
        <w:rPr>
          <w:rFonts w:ascii="Cambria" w:eastAsia="Times New Roman" w:hAnsi="Cambria" w:cs="Times New Roman"/>
          <w:color w:val="000000" w:themeColor="text1"/>
          <w:lang w:eastAsia="tr-TR"/>
        </w:rPr>
        <w:t>r</w:t>
      </w:r>
      <w:r w:rsidR="00245F95" w:rsidRPr="00C319D0">
        <w:rPr>
          <w:rFonts w:ascii="Cambria" w:eastAsia="Times New Roman" w:hAnsi="Cambria" w:cs="Times New Roman"/>
          <w:color w:val="000000" w:themeColor="text1"/>
          <w:lang w:eastAsia="tr-TR"/>
        </w:rPr>
        <w:t xml:space="preserve">ler mükemmel uyumu, .90 ile .95 arasındaki değerler kabul edilebilir uyumu göstermektedir </w:t>
      </w:r>
      <w:r w:rsidR="00C01A70" w:rsidRPr="00C319D0">
        <w:rPr>
          <w:rFonts w:ascii="Cambria" w:eastAsia="Times New Roman" w:hAnsi="Cambria" w:cs="Times New Roman"/>
          <w:color w:val="000000" w:themeColor="text1"/>
          <w:lang w:eastAsia="tr-TR"/>
        </w:rPr>
        <w:t>(</w:t>
      </w:r>
      <w:r w:rsidR="00C01A70" w:rsidRPr="00C319D0">
        <w:rPr>
          <w:rFonts w:ascii="Cambria" w:eastAsia="Times New Roman" w:hAnsi="Cambria" w:cs="Times New Roman"/>
          <w:color w:val="000000" w:themeColor="text1"/>
          <w:lang w:eastAsia="tr-TR" w:bidi="en-US"/>
        </w:rPr>
        <w:t xml:space="preserve">Hu </w:t>
      </w:r>
      <w:r w:rsidR="00CA261A">
        <w:rPr>
          <w:rFonts w:ascii="Cambria" w:eastAsia="Times New Roman" w:hAnsi="Cambria" w:cs="Times New Roman"/>
          <w:color w:val="000000" w:themeColor="text1"/>
          <w:lang w:eastAsia="tr-TR" w:bidi="en-US"/>
        </w:rPr>
        <w:t>&amp;</w:t>
      </w:r>
      <w:r w:rsidR="00C01A70" w:rsidRPr="00C319D0">
        <w:rPr>
          <w:rFonts w:ascii="Cambria" w:eastAsia="Times New Roman" w:hAnsi="Cambria" w:cs="Times New Roman"/>
          <w:color w:val="000000" w:themeColor="text1"/>
          <w:lang w:eastAsia="tr-TR" w:bidi="en-US"/>
        </w:rPr>
        <w:t xml:space="preserve"> Bentler, 1999; Marcholudis </w:t>
      </w:r>
      <w:r w:rsidR="00CA261A">
        <w:rPr>
          <w:rFonts w:ascii="Cambria" w:eastAsia="Times New Roman" w:hAnsi="Cambria" w:cs="Times New Roman"/>
          <w:color w:val="000000" w:themeColor="text1"/>
          <w:lang w:eastAsia="tr-TR" w:bidi="en-US"/>
        </w:rPr>
        <w:t>&amp;</w:t>
      </w:r>
      <w:r w:rsidR="00C01A70" w:rsidRPr="00C319D0">
        <w:rPr>
          <w:rFonts w:ascii="Cambria" w:eastAsia="Times New Roman" w:hAnsi="Cambria" w:cs="Times New Roman"/>
          <w:color w:val="000000"/>
          <w:lang w:eastAsia="tr-TR" w:bidi="en-US"/>
        </w:rPr>
        <w:t xml:space="preserve"> Schumacher, 2001). </w:t>
      </w:r>
      <w:r w:rsidRPr="00C319D0">
        <w:rPr>
          <w:rFonts w:ascii="Cambria" w:eastAsia="Times New Roman" w:hAnsi="Cambria" w:cs="Times New Roman"/>
          <w:color w:val="000000" w:themeColor="text1"/>
          <w:lang w:eastAsia="tr-TR"/>
        </w:rPr>
        <w:t xml:space="preserve">RMSEA indeksi için .00 ile .05 arasındaki değerler mükemmel uyumu, .05 ile .08 arasındaki değerler kabul edilebilir uyumu göstermektedir (Meydan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Şeşen, 2011; Şimşek, 2007). PGFI ve PNFI indeksleri için .50 ile .95 arasındaki değerler kabul edilebilir uyumu (Meyers, Gamst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Guarino, 2006), .95 ile 1.00 arasındaki değerler mükemmel uyumu göstermektedir (Meydan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Şeşen, 2011). Ayrıca PGFI değerinin 1.00’a yakın olması, modelin yalın ve sade olduğunu göstermektedir (Sümer, 2000). SRMR indeksi için .00 ile .05 arasındaki değerler mükemmel uyumu, .05 ile .10 arasındaki değerler kabul edilebilir uyumu göstermektedir (Kline, 2011).</w:t>
      </w:r>
    </w:p>
    <w:p w14:paraId="1C7C1502" w14:textId="0A1082E4" w:rsidR="00F514C9" w:rsidRPr="00C319D0" w:rsidRDefault="00F514C9" w:rsidP="00BF43F0">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Yukarıdaki ölçütler dikkate alınarak değerlendirme yapıldığında </w:t>
      </w:r>
      <w:r w:rsidR="005B0610">
        <w:rPr>
          <w:rFonts w:ascii="Cambria" w:eastAsia="Times New Roman" w:hAnsi="Cambria" w:cs="Times New Roman"/>
          <w:color w:val="000000" w:themeColor="text1"/>
          <w:lang w:eastAsia="tr-TR"/>
        </w:rPr>
        <w:t>M</w:t>
      </w:r>
      <w:r w:rsidRPr="00C319D0">
        <w:rPr>
          <w:rFonts w:ascii="Cambria" w:eastAsia="Times New Roman" w:hAnsi="Cambria" w:cs="Times New Roman"/>
          <w:color w:val="000000" w:themeColor="text1"/>
          <w:lang w:eastAsia="tr-TR"/>
        </w:rPr>
        <w:t xml:space="preserve">atematik </w:t>
      </w:r>
      <w:r w:rsidR="005B0610">
        <w:rPr>
          <w:rFonts w:ascii="Cambria" w:eastAsia="Times New Roman" w:hAnsi="Cambria" w:cs="Times New Roman"/>
          <w:color w:val="000000" w:themeColor="text1"/>
          <w:lang w:eastAsia="tr-TR"/>
        </w:rPr>
        <w:t>Ö</w:t>
      </w:r>
      <w:r w:rsidRPr="00C319D0">
        <w:rPr>
          <w:rFonts w:ascii="Cambria" w:eastAsia="Times New Roman" w:hAnsi="Cambria" w:cs="Times New Roman"/>
          <w:color w:val="000000" w:themeColor="text1"/>
          <w:lang w:eastAsia="tr-TR"/>
        </w:rPr>
        <w:t xml:space="preserve">ğrenme </w:t>
      </w:r>
      <w:r w:rsidR="005B0610">
        <w:rPr>
          <w:rFonts w:ascii="Cambria" w:eastAsia="Times New Roman" w:hAnsi="Cambria" w:cs="Times New Roman"/>
          <w:color w:val="000000" w:themeColor="text1"/>
          <w:lang w:eastAsia="tr-TR"/>
        </w:rPr>
        <w:t>Y</w:t>
      </w:r>
      <w:r w:rsidRPr="00C319D0">
        <w:rPr>
          <w:rFonts w:ascii="Cambria" w:eastAsia="Times New Roman" w:hAnsi="Cambria" w:cs="Times New Roman"/>
          <w:color w:val="000000" w:themeColor="text1"/>
          <w:lang w:eastAsia="tr-TR"/>
        </w:rPr>
        <w:t xml:space="preserve">aklaşımları </w:t>
      </w:r>
      <w:r w:rsidR="005B0610">
        <w:rPr>
          <w:rFonts w:ascii="Cambria" w:eastAsia="Times New Roman" w:hAnsi="Cambria" w:cs="Times New Roman"/>
          <w:color w:val="000000" w:themeColor="text1"/>
          <w:lang w:eastAsia="tr-TR"/>
        </w:rPr>
        <w:t>Ö</w:t>
      </w:r>
      <w:r w:rsidRPr="00C319D0">
        <w:rPr>
          <w:rFonts w:ascii="Cambria" w:eastAsia="Times New Roman" w:hAnsi="Cambria" w:cs="Times New Roman"/>
          <w:color w:val="000000" w:themeColor="text1"/>
          <w:lang w:eastAsia="tr-TR"/>
        </w:rPr>
        <w:t>lçeği için tüm uyum değerleri istenilen düzeylerde ve anlamlıdır (</w:t>
      </w:r>
      <w:r w:rsidR="00F063B3" w:rsidRPr="00C319D0">
        <w:rPr>
          <w:rFonts w:ascii="Cambria" w:eastAsia="Times New Roman" w:hAnsi="Cambria" w:cs="Times New Roman"/>
          <w:i/>
          <w:color w:val="000000" w:themeColor="text1"/>
          <w:lang w:eastAsia="tr-TR"/>
        </w:rPr>
        <w:t>X</w:t>
      </w:r>
      <w:r w:rsidR="00F063B3"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=1970.98, sd=492, p&lt;.01). </w:t>
      </w:r>
      <w:r w:rsidR="00F063B3" w:rsidRPr="00C319D0">
        <w:rPr>
          <w:rFonts w:ascii="Cambria" w:eastAsia="Times New Roman" w:hAnsi="Cambria" w:cs="Times New Roman"/>
          <w:i/>
          <w:color w:val="000000" w:themeColor="text1"/>
          <w:lang w:eastAsia="tr-TR"/>
        </w:rPr>
        <w:t>X</w:t>
      </w:r>
      <w:r w:rsidR="00F063B3"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/sd oranı için elde edilen 4.00 değeri, 3 ile 5 arasında olduğundan kabul edilebilir uyumu </w:t>
      </w:r>
      <w:r w:rsidR="00440C93" w:rsidRPr="00C319D0">
        <w:rPr>
          <w:rFonts w:ascii="Cambria" w:eastAsia="Times New Roman" w:hAnsi="Cambria" w:cs="Times New Roman"/>
          <w:color w:val="000000" w:themeColor="text1"/>
          <w:lang w:eastAsia="tr-TR"/>
        </w:rPr>
        <w:t>temsil etmektedir. Ayrıca AGFI=.85, GFI=.87,</w:t>
      </w:r>
      <w:r w:rsidR="00176DC8" w:rsidRPr="00C319D0">
        <w:rPr>
          <w:rFonts w:ascii="Cambria" w:eastAsia="Times New Roman" w:hAnsi="Cambria" w:cs="Times New Roman"/>
          <w:color w:val="000000" w:themeColor="text1"/>
          <w:lang w:eastAsia="tr-TR"/>
        </w:rPr>
        <w:t xml:space="preserve"> CFI=.90,</w:t>
      </w:r>
      <w:r w:rsidR="00440C93" w:rsidRPr="00C319D0">
        <w:rPr>
          <w:rFonts w:ascii="Cambria" w:eastAsia="Times New Roman" w:hAnsi="Cambria" w:cs="Times New Roman"/>
          <w:color w:val="000000" w:themeColor="text1"/>
          <w:lang w:eastAsia="tr-TR"/>
        </w:rPr>
        <w:t xml:space="preserve"> SRMR=</w:t>
      </w:r>
      <w:r w:rsidRPr="00C319D0">
        <w:rPr>
          <w:rFonts w:ascii="Cambria" w:eastAsia="Times New Roman" w:hAnsi="Cambria" w:cs="Times New Roman"/>
          <w:color w:val="000000" w:themeColor="text1"/>
          <w:lang w:eastAsia="tr-TR"/>
        </w:rPr>
        <w:t>.072 değerleri verilerin model ile uyumlu olduğunu g</w:t>
      </w:r>
      <w:r w:rsidR="00440C93" w:rsidRPr="00C319D0">
        <w:rPr>
          <w:rFonts w:ascii="Cambria" w:eastAsia="Times New Roman" w:hAnsi="Cambria" w:cs="Times New Roman"/>
          <w:color w:val="000000" w:themeColor="text1"/>
          <w:lang w:eastAsia="tr-TR"/>
        </w:rPr>
        <w:t xml:space="preserve">östermektedir. </w:t>
      </w:r>
      <w:r w:rsidR="00CB299A" w:rsidRPr="00C319D0">
        <w:rPr>
          <w:rFonts w:ascii="Cambria" w:eastAsia="Times New Roman" w:hAnsi="Cambria" w:cs="Times New Roman"/>
          <w:color w:val="000000" w:themeColor="text1"/>
          <w:lang w:eastAsia="tr-TR"/>
        </w:rPr>
        <w:t>Ayrıca RMSEA değeri p değeri ile birlikte değerlendirildiğinde .05’ten küçüktür (p value for test of close fit RMSEA</w:t>
      </w:r>
      <w:r w:rsidR="00176DC8" w:rsidRPr="00C319D0">
        <w:rPr>
          <w:rFonts w:ascii="Cambria" w:eastAsia="Times New Roman" w:hAnsi="Cambria" w:cs="Times New Roman"/>
          <w:color w:val="000000" w:themeColor="text1"/>
          <w:lang w:eastAsia="tr-TR"/>
        </w:rPr>
        <w:t xml:space="preserve">=0.00). </w:t>
      </w:r>
      <w:r w:rsidR="00440C93" w:rsidRPr="00C319D0">
        <w:rPr>
          <w:rFonts w:ascii="Cambria" w:eastAsia="Times New Roman" w:hAnsi="Cambria" w:cs="Times New Roman"/>
          <w:color w:val="000000" w:themeColor="text1"/>
          <w:lang w:eastAsia="tr-TR"/>
        </w:rPr>
        <w:t>PGFI=.76, PNFI=</w:t>
      </w:r>
      <w:r w:rsidRPr="00C319D0">
        <w:rPr>
          <w:rFonts w:ascii="Cambria" w:eastAsia="Times New Roman" w:hAnsi="Cambria" w:cs="Times New Roman"/>
          <w:color w:val="000000" w:themeColor="text1"/>
          <w:lang w:eastAsia="tr-TR"/>
        </w:rPr>
        <w:t xml:space="preserve">.73 değerleri .50 ile .95 arasında olduğundan model-veri uyumu kabul edilebilir düzeydedir. Ayrıca PGFI değeri 1.00’e yakın olduğundan model yeterince yalın ve sadedir. </w:t>
      </w:r>
    </w:p>
    <w:p w14:paraId="5F3EA865" w14:textId="77777777" w:rsidR="00F514C9" w:rsidRPr="00C319D0" w:rsidRDefault="00F514C9" w:rsidP="00BF43F0">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Matematik Öğrenme Yaklaşımları Ölçeği’nin doğrulayıcı faktör analizi sonuçlarını gösteren model ve mad</w:t>
      </w:r>
      <w:r w:rsidR="00F063B3" w:rsidRPr="00C319D0">
        <w:rPr>
          <w:rFonts w:ascii="Cambria" w:eastAsia="Times New Roman" w:hAnsi="Cambria" w:cs="Times New Roman"/>
          <w:color w:val="000000" w:themeColor="text1"/>
          <w:lang w:eastAsia="tr-TR"/>
        </w:rPr>
        <w:t>de faktör yük değerleri Şekil 2</w:t>
      </w:r>
      <w:r w:rsidRPr="00C319D0">
        <w:rPr>
          <w:rFonts w:ascii="Cambria" w:eastAsia="Times New Roman" w:hAnsi="Cambria" w:cs="Times New Roman"/>
          <w:color w:val="000000" w:themeColor="text1"/>
          <w:lang w:eastAsia="tr-TR"/>
        </w:rPr>
        <w:t xml:space="preserve">’de verilmiştir. </w:t>
      </w:r>
    </w:p>
    <w:p w14:paraId="01CF0D27" w14:textId="77777777" w:rsidR="00F514C9" w:rsidRPr="00C319D0" w:rsidRDefault="00F514C9" w:rsidP="00F514C9">
      <w:pPr>
        <w:spacing w:after="0" w:line="240" w:lineRule="auto"/>
        <w:jc w:val="both"/>
        <w:rPr>
          <w:rFonts w:ascii="Cambria" w:eastAsia="Times New Roman" w:hAnsi="Cambria" w:cs="Times New Roman"/>
          <w:color w:val="000000" w:themeColor="text1"/>
          <w:lang w:eastAsia="tr-TR"/>
        </w:rPr>
      </w:pPr>
      <w:r w:rsidRPr="00C319D0">
        <w:rPr>
          <w:rFonts w:ascii="Cambria" w:eastAsia="Times New Roman" w:hAnsi="Cambria" w:cs="Times New Roman"/>
          <w:noProof/>
          <w:color w:val="000000" w:themeColor="text1"/>
          <w:lang w:eastAsia="tr-TR"/>
        </w:rPr>
        <w:lastRenderedPageBreak/>
        <w:drawing>
          <wp:inline distT="0" distB="0" distL="0" distR="0" wp14:anchorId="670C64B4" wp14:editId="69970A77">
            <wp:extent cx="5647155" cy="7513983"/>
            <wp:effectExtent l="0" t="0" r="0" b="0"/>
            <wp:docPr id="1" name="Resim 1" descr="C:\Users\te\Desktop\möyö\möyö-dfa-lisrel\tüm veri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Desktop\möyö\möyö-dfa-lisrel\tüm veriler.GIF"/>
                    <pic:cNvPicPr>
                      <a:picLocks noChangeAspect="1" noChangeArrowheads="1"/>
                    </pic:cNvPicPr>
                  </pic:nvPicPr>
                  <pic:blipFill>
                    <a:blip r:embed="rId11" cstate="print"/>
                    <a:srcRect b="6721"/>
                    <a:stretch>
                      <a:fillRect/>
                    </a:stretch>
                  </pic:blipFill>
                  <pic:spPr bwMode="auto">
                    <a:xfrm>
                      <a:off x="0" y="0"/>
                      <a:ext cx="5649046" cy="7516499"/>
                    </a:xfrm>
                    <a:prstGeom prst="rect">
                      <a:avLst/>
                    </a:prstGeom>
                    <a:noFill/>
                    <a:ln w="9525">
                      <a:noFill/>
                      <a:miter lim="800000"/>
                      <a:headEnd/>
                      <a:tailEnd/>
                    </a:ln>
                  </pic:spPr>
                </pic:pic>
              </a:graphicData>
            </a:graphic>
          </wp:inline>
        </w:drawing>
      </w:r>
    </w:p>
    <w:p w14:paraId="7F383834" w14:textId="64AD6F9D" w:rsidR="00F514C9" w:rsidRPr="00C319D0" w:rsidRDefault="00E212C4" w:rsidP="00C10DF4">
      <w:pPr>
        <w:pStyle w:val="Title"/>
        <w:spacing w:before="120" w:after="120"/>
        <w:contextualSpacing w:val="0"/>
        <w:jc w:val="center"/>
        <w:rPr>
          <w:rFonts w:ascii="Cambria" w:hAnsi="Cambria" w:cs="Times New Roman"/>
          <w:sz w:val="20"/>
          <w:szCs w:val="20"/>
        </w:rPr>
      </w:pPr>
      <w:r>
        <w:rPr>
          <w:rFonts w:ascii="Cambria" w:hAnsi="Cambria" w:cs="Times New Roman"/>
          <w:b/>
          <w:sz w:val="20"/>
          <w:szCs w:val="20"/>
        </w:rPr>
        <w:t>Şekil</w:t>
      </w:r>
      <w:r w:rsidR="00F063B3" w:rsidRPr="00C319D0">
        <w:rPr>
          <w:rFonts w:ascii="Cambria" w:hAnsi="Cambria" w:cs="Times New Roman"/>
          <w:b/>
          <w:sz w:val="20"/>
          <w:szCs w:val="20"/>
        </w:rPr>
        <w:t xml:space="preserve"> </w:t>
      </w:r>
      <w:r w:rsidR="008F0940" w:rsidRPr="00C319D0">
        <w:rPr>
          <w:rFonts w:ascii="Cambria" w:hAnsi="Cambria" w:cs="Times New Roman"/>
          <w:b/>
          <w:sz w:val="20"/>
          <w:szCs w:val="20"/>
        </w:rPr>
        <w:t>2</w:t>
      </w:r>
      <w:r w:rsidR="00F063B3" w:rsidRPr="00C319D0">
        <w:rPr>
          <w:rFonts w:ascii="Cambria" w:hAnsi="Cambria" w:cs="Times New Roman"/>
          <w:i/>
          <w:sz w:val="20"/>
          <w:szCs w:val="20"/>
        </w:rPr>
        <w:t>.  MÖYÖ birinci düzey doğrulayıcı faktör analizi sonuçları ve standart çözümler</w:t>
      </w:r>
    </w:p>
    <w:p w14:paraId="3222B0A7" w14:textId="263C457F" w:rsidR="00F514C9" w:rsidRPr="00C319D0" w:rsidRDefault="00F514C9" w:rsidP="00F063B3">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Yukarıda verilen path diyagramı incelendiğinde ölçeğin faktör yük değerlerinin .38 ile .71 arasında değiştiği görülmektir ve ölçeğin madde faktör yük değerleri istenen düzeydedir. </w:t>
      </w:r>
      <w:r w:rsidR="00C10DF4">
        <w:rPr>
          <w:rFonts w:ascii="Cambria" w:eastAsia="Times New Roman" w:hAnsi="Cambria" w:cs="Times New Roman"/>
          <w:color w:val="000000" w:themeColor="text1"/>
          <w:lang w:eastAsia="tr-TR"/>
        </w:rPr>
        <w:t>Dolayısıyla</w:t>
      </w:r>
      <w:r w:rsidRPr="00C319D0">
        <w:rPr>
          <w:rFonts w:ascii="Cambria" w:eastAsia="Times New Roman" w:hAnsi="Cambria" w:cs="Times New Roman"/>
          <w:color w:val="000000" w:themeColor="text1"/>
          <w:lang w:eastAsia="tr-TR"/>
        </w:rPr>
        <w:t xml:space="preserve"> test edilen modelin birinci düzey doğrulayıcı faktör analizi onaylanmıştır. Çok faktörlü ölçeklerde ikinci düzey doğrulayıcı faktör analizi mutlaka yapılmalıdır (Seçer, 2015). İkinci düzey faktör analizinde ölçekteki gözlenen değişkenler birden fazla faktör altında toplanır ve daha kapsayıcı bir model altın</w:t>
      </w:r>
      <w:r w:rsidR="00F063B3" w:rsidRPr="00C319D0">
        <w:rPr>
          <w:rFonts w:ascii="Cambria" w:eastAsia="Times New Roman" w:hAnsi="Cambria" w:cs="Times New Roman"/>
          <w:color w:val="000000" w:themeColor="text1"/>
          <w:lang w:eastAsia="tr-TR"/>
        </w:rPr>
        <w:t xml:space="preserve">da bir araya getirilir (Meydan </w:t>
      </w:r>
      <w:r w:rsidR="00CA261A">
        <w:rPr>
          <w:rFonts w:ascii="Cambria" w:eastAsia="Times New Roman" w:hAnsi="Cambria" w:cs="Times New Roman"/>
          <w:color w:val="000000" w:themeColor="text1"/>
          <w:lang w:eastAsia="tr-TR"/>
        </w:rPr>
        <w:t>&amp;</w:t>
      </w:r>
      <w:r w:rsidRPr="00C319D0">
        <w:rPr>
          <w:rFonts w:ascii="Cambria" w:eastAsia="Times New Roman" w:hAnsi="Cambria" w:cs="Times New Roman"/>
          <w:color w:val="000000" w:themeColor="text1"/>
          <w:lang w:eastAsia="tr-TR"/>
        </w:rPr>
        <w:t xml:space="preserve"> Şeşen, 2011). Matematik öğrenme </w:t>
      </w:r>
      <w:r w:rsidRPr="00C319D0">
        <w:rPr>
          <w:rFonts w:ascii="Cambria" w:eastAsia="Times New Roman" w:hAnsi="Cambria" w:cs="Times New Roman"/>
          <w:color w:val="000000" w:themeColor="text1"/>
          <w:lang w:eastAsia="tr-TR"/>
        </w:rPr>
        <w:lastRenderedPageBreak/>
        <w:t>yaklaşımları ölçeğinin ikinci düzey doğrulayıcı faktör analizi için tüm uyum değerleri istenilen düzeylerde ve anlamlıdır (</w:t>
      </w:r>
      <w:r w:rsidR="00F063B3" w:rsidRPr="00C319D0">
        <w:rPr>
          <w:rFonts w:ascii="Cambria" w:eastAsia="Times New Roman" w:hAnsi="Cambria" w:cs="Times New Roman"/>
          <w:i/>
          <w:color w:val="000000" w:themeColor="text1"/>
          <w:lang w:eastAsia="tr-TR"/>
        </w:rPr>
        <w:t>X</w:t>
      </w:r>
      <w:r w:rsidR="00F063B3" w:rsidRPr="00C319D0">
        <w:rPr>
          <w:rFonts w:ascii="Cambria" w:eastAsia="Times New Roman" w:hAnsi="Cambria" w:cs="Times New Roman"/>
          <w:color w:val="000000" w:themeColor="text1"/>
          <w:vertAlign w:val="superscript"/>
          <w:lang w:eastAsia="tr-TR"/>
        </w:rPr>
        <w:t>2</w:t>
      </w:r>
      <w:r w:rsidR="00440C93" w:rsidRPr="00C319D0">
        <w:rPr>
          <w:rFonts w:ascii="Cambria" w:eastAsia="Times New Roman" w:hAnsi="Cambria" w:cs="Times New Roman"/>
          <w:color w:val="000000" w:themeColor="text1"/>
          <w:lang w:eastAsia="tr-TR"/>
        </w:rPr>
        <w:t>=2013.85, sd=492, p&lt;</w:t>
      </w:r>
      <w:r w:rsidRPr="00C319D0">
        <w:rPr>
          <w:rFonts w:ascii="Cambria" w:eastAsia="Times New Roman" w:hAnsi="Cambria" w:cs="Times New Roman"/>
          <w:color w:val="000000" w:themeColor="text1"/>
          <w:lang w:eastAsia="tr-TR"/>
        </w:rPr>
        <w:t xml:space="preserve">.01). </w:t>
      </w:r>
      <w:r w:rsidR="00F063B3" w:rsidRPr="00C319D0">
        <w:rPr>
          <w:rFonts w:ascii="Cambria" w:eastAsia="Times New Roman" w:hAnsi="Cambria" w:cs="Times New Roman"/>
          <w:i/>
          <w:color w:val="000000" w:themeColor="text1"/>
          <w:lang w:eastAsia="tr-TR"/>
        </w:rPr>
        <w:t>X</w:t>
      </w:r>
      <w:r w:rsidR="00F063B3"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/sd oranı için elde edilen 4.09 değeri, 3 ile 5 arasında olduğundan kabul edilebilir uyumu </w:t>
      </w:r>
      <w:r w:rsidR="00440C93" w:rsidRPr="00C319D0">
        <w:rPr>
          <w:rFonts w:ascii="Cambria" w:eastAsia="Times New Roman" w:hAnsi="Cambria" w:cs="Times New Roman"/>
          <w:color w:val="000000" w:themeColor="text1"/>
          <w:lang w:eastAsia="tr-TR"/>
        </w:rPr>
        <w:t>temsil etmektedir. Ayrıca AGFI=</w:t>
      </w:r>
      <w:r w:rsidRPr="00C319D0">
        <w:rPr>
          <w:rFonts w:ascii="Cambria" w:eastAsia="Times New Roman" w:hAnsi="Cambria" w:cs="Times New Roman"/>
          <w:color w:val="000000" w:themeColor="text1"/>
          <w:lang w:eastAsia="tr-TR"/>
        </w:rPr>
        <w:t>.83, G</w:t>
      </w:r>
      <w:r w:rsidR="00440C93" w:rsidRPr="00C319D0">
        <w:rPr>
          <w:rFonts w:ascii="Cambria" w:eastAsia="Times New Roman" w:hAnsi="Cambria" w:cs="Times New Roman"/>
          <w:color w:val="000000" w:themeColor="text1"/>
          <w:lang w:eastAsia="tr-TR"/>
        </w:rPr>
        <w:t xml:space="preserve">FI=.85, </w:t>
      </w:r>
      <w:r w:rsidR="00245F95" w:rsidRPr="00C319D0">
        <w:rPr>
          <w:rFonts w:ascii="Cambria" w:eastAsia="Times New Roman" w:hAnsi="Cambria" w:cs="Times New Roman"/>
          <w:color w:val="000000" w:themeColor="text1"/>
          <w:lang w:eastAsia="tr-TR"/>
        </w:rPr>
        <w:t>CFI=.90</w:t>
      </w:r>
      <w:r w:rsidR="00440C93" w:rsidRPr="00C319D0">
        <w:rPr>
          <w:rFonts w:ascii="Cambria" w:eastAsia="Times New Roman" w:hAnsi="Cambria" w:cs="Times New Roman"/>
          <w:color w:val="000000" w:themeColor="text1"/>
          <w:lang w:eastAsia="tr-TR"/>
        </w:rPr>
        <w:t>, SRMR=</w:t>
      </w:r>
      <w:r w:rsidRPr="00C319D0">
        <w:rPr>
          <w:rFonts w:ascii="Cambria" w:eastAsia="Times New Roman" w:hAnsi="Cambria" w:cs="Times New Roman"/>
          <w:color w:val="000000" w:themeColor="text1"/>
          <w:lang w:eastAsia="tr-TR"/>
        </w:rPr>
        <w:t>.090 değerleri verilerin model ile uyumlu</w:t>
      </w:r>
      <w:r w:rsidR="00440C93" w:rsidRPr="00C319D0">
        <w:rPr>
          <w:rFonts w:ascii="Cambria" w:eastAsia="Times New Roman" w:hAnsi="Cambria" w:cs="Times New Roman"/>
          <w:color w:val="000000" w:themeColor="text1"/>
          <w:lang w:eastAsia="tr-TR"/>
        </w:rPr>
        <w:t xml:space="preserve"> olduğunu göstermektedir. </w:t>
      </w:r>
      <w:r w:rsidR="00245F95" w:rsidRPr="00C319D0">
        <w:rPr>
          <w:rFonts w:ascii="Cambria" w:eastAsia="Times New Roman" w:hAnsi="Cambria" w:cs="Times New Roman"/>
          <w:color w:val="000000" w:themeColor="text1"/>
          <w:lang w:eastAsia="tr-TR"/>
        </w:rPr>
        <w:t xml:space="preserve">Ayrıca RMSEA değeri p değeri ile birlikte değerlendirildiğinde .05’ten küçüktür. </w:t>
      </w:r>
      <w:r w:rsidR="00440C93" w:rsidRPr="00C319D0">
        <w:rPr>
          <w:rFonts w:ascii="Cambria" w:eastAsia="Times New Roman" w:hAnsi="Cambria" w:cs="Times New Roman"/>
          <w:color w:val="000000" w:themeColor="text1"/>
          <w:lang w:eastAsia="tr-TR"/>
        </w:rPr>
        <w:t>PGFI=.75, PNFI=</w:t>
      </w:r>
      <w:r w:rsidRPr="00C319D0">
        <w:rPr>
          <w:rFonts w:ascii="Cambria" w:eastAsia="Times New Roman" w:hAnsi="Cambria" w:cs="Times New Roman"/>
          <w:color w:val="000000" w:themeColor="text1"/>
          <w:lang w:eastAsia="tr-TR"/>
        </w:rPr>
        <w:t xml:space="preserve">.68 değerleri .50 ile .95 arasında olduğundan model-veri uyumu kabul edilebilir düzeydedir. Ayrıca PGFI değeri 1.00’e yakın olduğundan model yeterince yalın ve sadedir. </w:t>
      </w:r>
    </w:p>
    <w:p w14:paraId="77DFD154" w14:textId="77777777" w:rsidR="00F063B3" w:rsidRPr="00C319D0" w:rsidRDefault="00F063B3" w:rsidP="00F063B3">
      <w:pPr>
        <w:spacing w:before="120" w:after="120" w:line="240" w:lineRule="auto"/>
        <w:jc w:val="both"/>
        <w:rPr>
          <w:rFonts w:ascii="Cambria" w:eastAsia="Times New Roman" w:hAnsi="Cambria" w:cstheme="minorHAnsi"/>
          <w:b/>
          <w:i/>
          <w:lang w:eastAsia="tr-TR"/>
        </w:rPr>
      </w:pPr>
      <w:r w:rsidRPr="00C319D0">
        <w:rPr>
          <w:rFonts w:ascii="Cambria" w:eastAsia="Times New Roman" w:hAnsi="Cambria" w:cstheme="minorHAnsi"/>
          <w:b/>
          <w:i/>
          <w:lang w:eastAsia="tr-TR"/>
        </w:rPr>
        <w:t>MÖYÖ güvenirlik analizleri</w:t>
      </w:r>
    </w:p>
    <w:p w14:paraId="1FE2303E" w14:textId="0C7BE4E7" w:rsidR="00F514C9" w:rsidRPr="00C319D0" w:rsidRDefault="00F514C9" w:rsidP="00F063B3">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Ölçek likert tipi bir ölçek olduğunda Cronbach Alfa güvenirlik katsayısı kullanıldığından (Büyüköztürk, 2012), </w:t>
      </w:r>
      <w:r w:rsidR="001A56F6">
        <w:rPr>
          <w:rFonts w:ascii="Cambria" w:eastAsia="Times New Roman" w:hAnsi="Cambria" w:cs="Times New Roman"/>
          <w:color w:val="000000" w:themeColor="text1"/>
          <w:lang w:eastAsia="tr-TR"/>
        </w:rPr>
        <w:t xml:space="preserve">ölçeğin </w:t>
      </w:r>
      <w:r w:rsidRPr="00C319D0">
        <w:rPr>
          <w:rFonts w:ascii="Cambria" w:eastAsia="Times New Roman" w:hAnsi="Cambria" w:cs="Times New Roman"/>
          <w:color w:val="000000" w:themeColor="text1"/>
          <w:lang w:eastAsia="tr-TR"/>
        </w:rPr>
        <w:t>güvenirliğini belirlemek için Cronbach Alfa ve test-tekrar test güvenirlik analizleri yapılmıştır. Ölçeğin güvenirliği analiz edilirken alt boyutlara göre ayrı ayrı değerlendirme yapılmıştır. Ölçeğin tümüne ait Cronbach alfa iç tutarlılık katsayısı .789’dur. Derinlemesine öğrenme yaklaşımı alt boyutu için Cronbach alfa iç tutarlılık katsayısı .838, stratejik öğrenme yaklaşımı için .837, yüzeysel öğrenme yaklaşımı için .789 şeklindedir. Genel olarak  güvenirlik katsayısı .70 ve üzerinde olan ölçekler güvenilir kabul edildiğinden (Fraenkel, Wallend &amp; Hyun, 2012) bu ölçek yeterli derecede güvenilirdir.</w:t>
      </w:r>
      <w:r w:rsidR="00AC5548">
        <w:rPr>
          <w:rFonts w:ascii="Cambria" w:eastAsia="Times New Roman" w:hAnsi="Cambria" w:cs="Times New Roman"/>
          <w:color w:val="000000" w:themeColor="text1"/>
          <w:lang w:eastAsia="tr-TR"/>
        </w:rPr>
        <w:t xml:space="preserve"> </w:t>
      </w:r>
      <w:r w:rsidRPr="00C319D0">
        <w:rPr>
          <w:rFonts w:ascii="Cambria" w:eastAsia="Times New Roman" w:hAnsi="Cambria" w:cs="Times New Roman"/>
          <w:color w:val="000000" w:themeColor="text1"/>
          <w:lang w:eastAsia="tr-TR"/>
        </w:rPr>
        <w:t>Ayrıca test-tekrar test güvenirliği için ölçek 54 kişilik gruba uygulandıktan 3 hafta sonra tekrarlanmıştır. Testler arasındaki Pearson Korelasyon katsayısı derinlemesine öğrenme yaklaşımı alt boyutu için .520, stratejik öğrenme yaklaşımı için .451, yüzeysel öğrenme yaklaşımı için .289 şeklindedir ve istatistiks</w:t>
      </w:r>
      <w:r w:rsidR="00440C93" w:rsidRPr="00C319D0">
        <w:rPr>
          <w:rFonts w:ascii="Cambria" w:eastAsia="Times New Roman" w:hAnsi="Cambria" w:cs="Times New Roman"/>
          <w:color w:val="000000" w:themeColor="text1"/>
          <w:lang w:eastAsia="tr-TR"/>
        </w:rPr>
        <w:t>el olarak hepsi anlamlıdır (p&lt;.</w:t>
      </w:r>
      <w:r w:rsidRPr="00C319D0">
        <w:rPr>
          <w:rFonts w:ascii="Cambria" w:eastAsia="Times New Roman" w:hAnsi="Cambria" w:cs="Times New Roman"/>
          <w:color w:val="000000" w:themeColor="text1"/>
          <w:lang w:eastAsia="tr-TR"/>
        </w:rPr>
        <w:t>05). Bu sonuçlar ortaokul öğrencileri için geliştirilen matematik öğrenme yaklaşımları ölçeğinin güvenilir bir ölçme aracı olduğunu doğrulamaktadır.</w:t>
      </w:r>
    </w:p>
    <w:p w14:paraId="436181C8" w14:textId="77777777" w:rsidR="00F063B3" w:rsidRPr="00C319D0" w:rsidRDefault="00F063B3" w:rsidP="00F063B3">
      <w:pPr>
        <w:spacing w:before="120" w:after="120" w:line="240" w:lineRule="auto"/>
        <w:jc w:val="both"/>
        <w:rPr>
          <w:rFonts w:ascii="Cambria" w:eastAsia="Times New Roman" w:hAnsi="Cambria" w:cstheme="minorHAnsi"/>
          <w:b/>
          <w:lang w:eastAsia="tr-TR"/>
        </w:rPr>
      </w:pPr>
      <w:r w:rsidRPr="00C319D0">
        <w:rPr>
          <w:rFonts w:ascii="Cambria" w:eastAsia="Times New Roman" w:hAnsi="Cambria" w:cstheme="minorHAnsi"/>
          <w:b/>
          <w:lang w:eastAsia="tr-TR"/>
        </w:rPr>
        <w:t>Öğrencilerin matematik öğrenme yaklaşımlarını tercih etme düzeyleri</w:t>
      </w:r>
    </w:p>
    <w:p w14:paraId="0EBCA588" w14:textId="77777777" w:rsidR="00F514C9" w:rsidRPr="00C319D0" w:rsidRDefault="00F514C9" w:rsidP="00F063B3">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Ortaokul öğrencilerinin matematik öğrenme yaklaşımlarını tercih etme düzeylerini belirlemek amacıyla ölçeğin her bir alt boyutundan alınan puan</w:t>
      </w:r>
      <w:r w:rsidR="00F063B3" w:rsidRPr="00C319D0">
        <w:rPr>
          <w:rFonts w:ascii="Cambria" w:eastAsia="Times New Roman" w:hAnsi="Cambria" w:cs="Times New Roman"/>
          <w:color w:val="000000" w:themeColor="text1"/>
          <w:lang w:eastAsia="tr-TR"/>
        </w:rPr>
        <w:t xml:space="preserve">lara ilişkin değerler Tablo </w:t>
      </w:r>
      <w:r w:rsidR="006E6BE3" w:rsidRPr="00C319D0">
        <w:rPr>
          <w:rFonts w:ascii="Cambria" w:eastAsia="Times New Roman" w:hAnsi="Cambria" w:cs="Times New Roman"/>
          <w:color w:val="000000" w:themeColor="text1"/>
          <w:lang w:eastAsia="tr-TR"/>
        </w:rPr>
        <w:t>3</w:t>
      </w:r>
      <w:r w:rsidR="00F063B3" w:rsidRPr="00C319D0">
        <w:rPr>
          <w:rFonts w:ascii="Cambria" w:eastAsia="Times New Roman" w:hAnsi="Cambria" w:cs="Times New Roman"/>
          <w:color w:val="000000" w:themeColor="text1"/>
          <w:lang w:eastAsia="tr-TR"/>
        </w:rPr>
        <w:t xml:space="preserve">’te </w:t>
      </w:r>
      <w:r w:rsidRPr="00C319D0">
        <w:rPr>
          <w:rFonts w:ascii="Cambria" w:eastAsia="Times New Roman" w:hAnsi="Cambria" w:cs="Times New Roman"/>
          <w:color w:val="000000" w:themeColor="text1"/>
          <w:lang w:eastAsia="tr-TR"/>
        </w:rPr>
        <w:t>verilmiştir.</w:t>
      </w:r>
    </w:p>
    <w:p w14:paraId="76271E02" w14:textId="77777777" w:rsidR="00F063B3" w:rsidRPr="00C319D0" w:rsidRDefault="00F063B3" w:rsidP="00F063B3">
      <w:pPr>
        <w:pStyle w:val="Heading4"/>
        <w:spacing w:before="120" w:after="120" w:line="240" w:lineRule="auto"/>
        <w:contextualSpacing/>
        <w:rPr>
          <w:rFonts w:ascii="Cambria" w:hAnsi="Cambria" w:cs="Times New Roman"/>
          <w:color w:val="auto"/>
          <w:sz w:val="20"/>
          <w:szCs w:val="20"/>
        </w:rPr>
      </w:pPr>
      <w:r w:rsidRPr="00C319D0">
        <w:rPr>
          <w:rFonts w:ascii="Cambria" w:hAnsi="Cambria" w:cs="Times New Roman"/>
          <w:b/>
          <w:i w:val="0"/>
          <w:color w:val="auto"/>
          <w:sz w:val="20"/>
          <w:szCs w:val="20"/>
        </w:rPr>
        <w:t xml:space="preserve">Tablo </w:t>
      </w:r>
      <w:r w:rsidR="006E6BE3" w:rsidRPr="00C319D0">
        <w:rPr>
          <w:rFonts w:ascii="Cambria" w:hAnsi="Cambria" w:cs="Times New Roman"/>
          <w:b/>
          <w:i w:val="0"/>
          <w:color w:val="auto"/>
          <w:sz w:val="20"/>
          <w:szCs w:val="20"/>
        </w:rPr>
        <w:t>3</w:t>
      </w:r>
      <w:r w:rsidRPr="00C319D0">
        <w:rPr>
          <w:rFonts w:ascii="Cambria" w:hAnsi="Cambria" w:cs="Times New Roman"/>
          <w:b/>
          <w:i w:val="0"/>
          <w:color w:val="auto"/>
          <w:sz w:val="20"/>
          <w:szCs w:val="20"/>
        </w:rPr>
        <w:t>.</w:t>
      </w:r>
      <w:r w:rsidR="00A53DF4" w:rsidRPr="00C319D0">
        <w:rPr>
          <w:rFonts w:ascii="Cambria" w:hAnsi="Cambria" w:cs="Times New Roman"/>
          <w:i w:val="0"/>
          <w:color w:val="auto"/>
          <w:sz w:val="20"/>
          <w:szCs w:val="20"/>
        </w:rPr>
        <w:t xml:space="preserve"> </w:t>
      </w:r>
      <w:r w:rsidRPr="00C319D0">
        <w:rPr>
          <w:rFonts w:ascii="Cambria" w:hAnsi="Cambria" w:cs="Times New Roman"/>
          <w:color w:val="auto"/>
          <w:sz w:val="20"/>
          <w:szCs w:val="20"/>
        </w:rPr>
        <w:t>Matematik öğrenme yaklaşımları ölçeğine ait betimsel istatistikler</w:t>
      </w:r>
    </w:p>
    <w:tbl>
      <w:tblPr>
        <w:tblStyle w:val="AkGlgeleme1"/>
        <w:tblW w:w="0" w:type="auto"/>
        <w:jc w:val="center"/>
        <w:tblLook w:val="0000" w:firstRow="0" w:lastRow="0" w:firstColumn="0" w:lastColumn="0" w:noHBand="0" w:noVBand="0"/>
      </w:tblPr>
      <w:tblGrid>
        <w:gridCol w:w="2017"/>
        <w:gridCol w:w="1108"/>
        <w:gridCol w:w="1241"/>
        <w:gridCol w:w="1082"/>
        <w:gridCol w:w="1670"/>
      </w:tblGrid>
      <w:tr w:rsidR="00F514C9" w:rsidRPr="00C319D0" w14:paraId="3D7AC0FC" w14:textId="77777777" w:rsidTr="00440C9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tcPr>
          <w:p w14:paraId="55B71721" w14:textId="77777777" w:rsidR="00F514C9" w:rsidRPr="00C319D0" w:rsidRDefault="00F514C9" w:rsidP="00F514C9">
            <w:pPr>
              <w:jc w:val="both"/>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Öğrenme Yaklaşımı</w:t>
            </w:r>
          </w:p>
        </w:tc>
        <w:tc>
          <w:tcPr>
            <w:tcW w:w="0" w:type="auto"/>
            <w:tcBorders>
              <w:bottom w:val="single" w:sz="4" w:space="0" w:color="auto"/>
            </w:tcBorders>
            <w:shd w:val="clear" w:color="auto" w:fill="auto"/>
          </w:tcPr>
          <w:p w14:paraId="6BFF361C" w14:textId="77777777" w:rsidR="00F514C9" w:rsidRPr="00C319D0" w:rsidRDefault="00F514C9" w:rsidP="00F063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Minimum</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tcPr>
          <w:p w14:paraId="38CBCA4E" w14:textId="77777777" w:rsidR="00F514C9" w:rsidRPr="00C319D0" w:rsidRDefault="00F514C9" w:rsidP="00F063B3">
            <w:pPr>
              <w:jc w:val="center"/>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Maksimum</w:t>
            </w:r>
          </w:p>
        </w:tc>
        <w:tc>
          <w:tcPr>
            <w:tcW w:w="0" w:type="auto"/>
            <w:tcBorders>
              <w:bottom w:val="single" w:sz="4" w:space="0" w:color="auto"/>
            </w:tcBorders>
            <w:shd w:val="clear" w:color="auto" w:fill="auto"/>
          </w:tcPr>
          <w:p w14:paraId="7D1CEF2B" w14:textId="77777777" w:rsidR="00F514C9" w:rsidRPr="00C319D0" w:rsidRDefault="00F514C9" w:rsidP="00F063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Ortalama</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tcPr>
          <w:p w14:paraId="5A1046D8" w14:textId="77777777" w:rsidR="00F514C9" w:rsidRPr="00C319D0" w:rsidRDefault="00F514C9" w:rsidP="00F063B3">
            <w:pPr>
              <w:jc w:val="center"/>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Standart Sapma</w:t>
            </w:r>
          </w:p>
        </w:tc>
      </w:tr>
      <w:tr w:rsidR="00F514C9" w:rsidRPr="00C319D0" w14:paraId="57D3ACF2" w14:textId="77777777" w:rsidTr="00440C93">
        <w:trPr>
          <w:jc w:val="center"/>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14:paraId="294A4855" w14:textId="77777777" w:rsidR="00F514C9" w:rsidRPr="00C319D0" w:rsidRDefault="00F514C9" w:rsidP="00F514C9">
            <w:pPr>
              <w:jc w:val="both"/>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Derinlemesine</w:t>
            </w:r>
          </w:p>
        </w:tc>
        <w:tc>
          <w:tcPr>
            <w:tcW w:w="0" w:type="auto"/>
            <w:tcBorders>
              <w:top w:val="single" w:sz="4" w:space="0" w:color="auto"/>
            </w:tcBorders>
            <w:shd w:val="clear" w:color="auto" w:fill="auto"/>
          </w:tcPr>
          <w:p w14:paraId="21C5B4FB" w14:textId="77777777" w:rsidR="00F514C9" w:rsidRPr="00C319D0" w:rsidRDefault="00F514C9" w:rsidP="00F063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14:paraId="38BCBB54"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55</w:t>
            </w:r>
          </w:p>
        </w:tc>
        <w:tc>
          <w:tcPr>
            <w:tcW w:w="0" w:type="auto"/>
            <w:tcBorders>
              <w:top w:val="single" w:sz="4" w:space="0" w:color="auto"/>
            </w:tcBorders>
            <w:shd w:val="clear" w:color="auto" w:fill="auto"/>
          </w:tcPr>
          <w:p w14:paraId="3B6B5D8F" w14:textId="77777777" w:rsidR="00F514C9" w:rsidRPr="00C319D0" w:rsidRDefault="00F514C9" w:rsidP="00F063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41.03</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14:paraId="20F0FAD6"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8.124</w:t>
            </w:r>
          </w:p>
        </w:tc>
      </w:tr>
      <w:tr w:rsidR="00F514C9" w:rsidRPr="00C319D0" w14:paraId="4B4049B6" w14:textId="77777777" w:rsidTr="00F063B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E9EAB82" w14:textId="77777777" w:rsidR="00F514C9" w:rsidRPr="00C319D0" w:rsidRDefault="00F514C9" w:rsidP="00F514C9">
            <w:pPr>
              <w:jc w:val="both"/>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Stratejik</w:t>
            </w:r>
          </w:p>
        </w:tc>
        <w:tc>
          <w:tcPr>
            <w:tcW w:w="0" w:type="auto"/>
            <w:shd w:val="clear" w:color="auto" w:fill="auto"/>
          </w:tcPr>
          <w:p w14:paraId="58269422" w14:textId="77777777" w:rsidR="00F514C9" w:rsidRPr="00C319D0" w:rsidRDefault="00F514C9" w:rsidP="00F063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B0DCA92"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55</w:t>
            </w:r>
          </w:p>
        </w:tc>
        <w:tc>
          <w:tcPr>
            <w:tcW w:w="0" w:type="auto"/>
            <w:shd w:val="clear" w:color="auto" w:fill="auto"/>
          </w:tcPr>
          <w:p w14:paraId="3B21244C" w14:textId="77777777" w:rsidR="00F514C9" w:rsidRPr="00C319D0" w:rsidRDefault="00F514C9" w:rsidP="00F063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43.41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17A489C"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7.228</w:t>
            </w:r>
          </w:p>
        </w:tc>
      </w:tr>
      <w:tr w:rsidR="00F514C9" w:rsidRPr="00C319D0" w14:paraId="2B151577" w14:textId="77777777" w:rsidTr="00F063B3">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C589811" w14:textId="77777777" w:rsidR="00F514C9" w:rsidRPr="00C319D0" w:rsidRDefault="00F514C9" w:rsidP="00F514C9">
            <w:pPr>
              <w:jc w:val="both"/>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Yüzeysel</w:t>
            </w:r>
          </w:p>
        </w:tc>
        <w:tc>
          <w:tcPr>
            <w:tcW w:w="0" w:type="auto"/>
            <w:shd w:val="clear" w:color="auto" w:fill="auto"/>
          </w:tcPr>
          <w:p w14:paraId="6DCEBE62" w14:textId="77777777" w:rsidR="00F514C9" w:rsidRPr="00C319D0" w:rsidRDefault="00F514C9" w:rsidP="00F063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F6A9955"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55</w:t>
            </w:r>
          </w:p>
        </w:tc>
        <w:tc>
          <w:tcPr>
            <w:tcW w:w="0" w:type="auto"/>
            <w:shd w:val="clear" w:color="auto" w:fill="auto"/>
          </w:tcPr>
          <w:p w14:paraId="278922BA" w14:textId="77777777" w:rsidR="00F514C9" w:rsidRPr="00C319D0" w:rsidRDefault="00F514C9" w:rsidP="00F063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33.76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3061309" w14:textId="77777777" w:rsidR="00F514C9" w:rsidRPr="00C319D0" w:rsidRDefault="00F514C9" w:rsidP="00F063B3">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9.345</w:t>
            </w:r>
          </w:p>
        </w:tc>
      </w:tr>
    </w:tbl>
    <w:p w14:paraId="62E53DDC" w14:textId="77777777" w:rsidR="00F514C9" w:rsidRPr="00C319D0" w:rsidRDefault="00F514C9" w:rsidP="00F514C9">
      <w:pPr>
        <w:spacing w:after="0" w:line="240" w:lineRule="auto"/>
        <w:jc w:val="both"/>
        <w:rPr>
          <w:rFonts w:ascii="Cambria" w:eastAsia="Times New Roman" w:hAnsi="Cambria" w:cs="Times New Roman"/>
          <w:bCs/>
          <w:color w:val="000000" w:themeColor="text1"/>
          <w:lang w:eastAsia="tr-TR"/>
        </w:rPr>
      </w:pPr>
    </w:p>
    <w:p w14:paraId="32953194" w14:textId="2A4B40A9" w:rsidR="00A66F4B" w:rsidRPr="00C319D0" w:rsidRDefault="000E3AF7" w:rsidP="001A56F6">
      <w:pPr>
        <w:spacing w:after="0" w:line="240" w:lineRule="auto"/>
        <w:ind w:firstLine="567"/>
        <w:jc w:val="both"/>
      </w:pPr>
      <w:r w:rsidRPr="00C319D0">
        <w:rPr>
          <w:rFonts w:ascii="Cambria" w:eastAsia="Times New Roman" w:hAnsi="Cambria" w:cs="Times New Roman"/>
          <w:color w:val="000000" w:themeColor="text1"/>
          <w:lang w:eastAsia="tr-TR"/>
        </w:rPr>
        <w:t xml:space="preserve">Tablo </w:t>
      </w:r>
      <w:r w:rsidR="006E6BE3" w:rsidRPr="00C319D0">
        <w:rPr>
          <w:rFonts w:ascii="Cambria" w:eastAsia="Times New Roman" w:hAnsi="Cambria" w:cs="Times New Roman"/>
          <w:color w:val="000000" w:themeColor="text1"/>
          <w:lang w:eastAsia="tr-TR"/>
        </w:rPr>
        <w:t>3</w:t>
      </w:r>
      <w:r w:rsidRPr="00C319D0">
        <w:rPr>
          <w:rFonts w:ascii="Cambria" w:eastAsia="Times New Roman" w:hAnsi="Cambria" w:cs="Times New Roman"/>
          <w:color w:val="000000" w:themeColor="text1"/>
          <w:lang w:eastAsia="tr-TR"/>
        </w:rPr>
        <w:t>’te</w:t>
      </w:r>
      <w:r w:rsidR="00F514C9" w:rsidRPr="00C319D0">
        <w:rPr>
          <w:rFonts w:ascii="Cambria" w:eastAsia="Times New Roman" w:hAnsi="Cambria" w:cs="Times New Roman"/>
          <w:color w:val="000000" w:themeColor="text1"/>
          <w:lang w:eastAsia="tr-TR"/>
        </w:rPr>
        <w:t xml:space="preserve"> verilen sonuçlara göre, ortaokul öğrencilerinin puan ortalamaları yüksekten düşüğe doğru stratejik öğrenme yaklaşımı, derinlemesine öğrenme yaklaşımı ve yüzeysel öğrenme yaklaşımı şeklinde sıralanmaktadır. Ölçeğin her bir alt boyutunda 11 madde bulunduğundan, alt boyutlar için alınabilecek minimum puan 11, maksimum puan 55’dir. Orta puan değeri de 33 olarak değerlendirildiğinde, öğrencilerin derinlemesine ve stratejik öğrenme yaklaşımı puan ortalamaları orta puanın üzerindedir. Yüzeysel öğrenme yaklaşımı puan ortalaması ise tam olarak orta puan değerindedir. Bu bulgular doğrultusunda, öğrencilerin derinlemesine ve stratejik öğrenme yaklaşımlarını orta düzeyin üzerinde, yüzeysel öğrenme yaklaşımını ise orta düzeyde tercih ettikleri söylenebilir. </w:t>
      </w:r>
    </w:p>
    <w:p w14:paraId="209BBAAF" w14:textId="77777777" w:rsidR="00F514C9" w:rsidRPr="00C319D0" w:rsidRDefault="00F063B3" w:rsidP="000E3AF7">
      <w:pPr>
        <w:pStyle w:val="Heading4"/>
        <w:spacing w:before="120" w:after="120" w:line="240" w:lineRule="auto"/>
        <w:contextualSpacing/>
        <w:rPr>
          <w:rFonts w:ascii="Cambria" w:hAnsi="Cambria" w:cs="Times New Roman"/>
          <w:i w:val="0"/>
          <w:color w:val="auto"/>
          <w:sz w:val="20"/>
          <w:szCs w:val="20"/>
        </w:rPr>
      </w:pPr>
      <w:r w:rsidRPr="00C319D0">
        <w:rPr>
          <w:rFonts w:ascii="Cambria" w:hAnsi="Cambria" w:cs="Times New Roman"/>
          <w:b/>
          <w:i w:val="0"/>
          <w:color w:val="auto"/>
          <w:sz w:val="20"/>
          <w:szCs w:val="20"/>
        </w:rPr>
        <w:t xml:space="preserve">Tablo </w:t>
      </w:r>
      <w:r w:rsidR="006E6BE3" w:rsidRPr="00C319D0">
        <w:rPr>
          <w:rFonts w:ascii="Cambria" w:hAnsi="Cambria" w:cs="Times New Roman"/>
          <w:b/>
          <w:i w:val="0"/>
          <w:color w:val="auto"/>
          <w:sz w:val="20"/>
          <w:szCs w:val="20"/>
        </w:rPr>
        <w:t>4</w:t>
      </w:r>
      <w:r w:rsidRPr="00C319D0">
        <w:rPr>
          <w:rFonts w:ascii="Cambria" w:hAnsi="Cambria" w:cs="Times New Roman"/>
          <w:b/>
          <w:i w:val="0"/>
          <w:color w:val="auto"/>
          <w:sz w:val="20"/>
          <w:szCs w:val="20"/>
        </w:rPr>
        <w:t>.</w:t>
      </w:r>
      <w:r w:rsidRPr="00C319D0">
        <w:rPr>
          <w:rFonts w:ascii="Cambria" w:hAnsi="Cambria" w:cs="Times New Roman"/>
          <w:i w:val="0"/>
          <w:color w:val="auto"/>
          <w:sz w:val="20"/>
          <w:szCs w:val="20"/>
        </w:rPr>
        <w:t xml:space="preserve"> </w:t>
      </w:r>
      <w:r w:rsidRPr="00C319D0">
        <w:rPr>
          <w:rFonts w:ascii="Cambria" w:hAnsi="Cambria" w:cs="Times New Roman"/>
          <w:color w:val="auto"/>
          <w:sz w:val="20"/>
          <w:szCs w:val="20"/>
        </w:rPr>
        <w:t>Sınıf düzeyi değişkenine göre betimsel istatistikler</w:t>
      </w:r>
    </w:p>
    <w:tbl>
      <w:tblPr>
        <w:tblStyle w:val="AkGlgeleme1"/>
        <w:tblW w:w="0" w:type="auto"/>
        <w:tblLook w:val="04A0" w:firstRow="1" w:lastRow="0" w:firstColumn="1" w:lastColumn="0" w:noHBand="0" w:noVBand="1"/>
      </w:tblPr>
      <w:tblGrid>
        <w:gridCol w:w="2483"/>
        <w:gridCol w:w="1948"/>
        <w:gridCol w:w="1007"/>
        <w:gridCol w:w="1818"/>
        <w:gridCol w:w="1816"/>
      </w:tblGrid>
      <w:tr w:rsidR="00F514C9" w:rsidRPr="00C319D0" w14:paraId="164405F1" w14:textId="77777777" w:rsidTr="000E3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11557CBB"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Öğrenme Yaklaşımı</w:t>
            </w:r>
          </w:p>
        </w:tc>
        <w:tc>
          <w:tcPr>
            <w:tcW w:w="1985" w:type="dxa"/>
            <w:shd w:val="clear" w:color="auto" w:fill="auto"/>
          </w:tcPr>
          <w:p w14:paraId="179ECB68" w14:textId="77777777" w:rsidR="00F514C9" w:rsidRPr="00C319D0" w:rsidRDefault="00F514C9" w:rsidP="00440C9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Sınıf Düzeyi</w:t>
            </w:r>
          </w:p>
        </w:tc>
        <w:tc>
          <w:tcPr>
            <w:tcW w:w="1023" w:type="dxa"/>
            <w:shd w:val="clear" w:color="auto" w:fill="auto"/>
          </w:tcPr>
          <w:p w14:paraId="41EE1478" w14:textId="77777777" w:rsidR="00F514C9" w:rsidRPr="00C319D0" w:rsidRDefault="00F514C9" w:rsidP="00440C9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N</w:t>
            </w:r>
          </w:p>
        </w:tc>
        <w:tc>
          <w:tcPr>
            <w:tcW w:w="1843" w:type="dxa"/>
            <w:shd w:val="clear" w:color="auto" w:fill="auto"/>
          </w:tcPr>
          <w:p w14:paraId="65942891" w14:textId="77777777" w:rsidR="00F514C9" w:rsidRPr="00C319D0" w:rsidRDefault="00F514C9" w:rsidP="00440C9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Ortalama</w:t>
            </w:r>
          </w:p>
        </w:tc>
        <w:tc>
          <w:tcPr>
            <w:tcW w:w="1843" w:type="dxa"/>
            <w:shd w:val="clear" w:color="auto" w:fill="auto"/>
          </w:tcPr>
          <w:p w14:paraId="7FE52EDE" w14:textId="77777777" w:rsidR="00F514C9" w:rsidRPr="00C319D0" w:rsidRDefault="00F514C9" w:rsidP="00440C93">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Standart Sapma</w:t>
            </w:r>
          </w:p>
        </w:tc>
      </w:tr>
      <w:tr w:rsidR="00F514C9" w:rsidRPr="00C319D0" w14:paraId="0FEF014E" w14:textId="77777777" w:rsidTr="000E3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4AA4BBCD" w14:textId="77777777" w:rsidR="00F514C9" w:rsidRPr="00C319D0" w:rsidRDefault="00F514C9" w:rsidP="00F514C9">
            <w:pPr>
              <w:jc w:val="both"/>
              <w:rPr>
                <w:rFonts w:ascii="Cambria" w:eastAsia="Times New Roman" w:hAnsi="Cambria" w:cs="Times New Roman"/>
                <w:b w:val="0"/>
                <w:bCs w:val="0"/>
                <w:color w:val="000000" w:themeColor="text1"/>
                <w:sz w:val="20"/>
                <w:szCs w:val="20"/>
                <w:lang w:eastAsia="tr-TR"/>
              </w:rPr>
            </w:pPr>
            <w:r w:rsidRPr="00C319D0">
              <w:rPr>
                <w:rFonts w:ascii="Cambria" w:eastAsia="Times New Roman" w:hAnsi="Cambria" w:cs="Times New Roman"/>
                <w:b w:val="0"/>
                <w:bCs w:val="0"/>
                <w:color w:val="000000" w:themeColor="text1"/>
                <w:sz w:val="20"/>
                <w:szCs w:val="20"/>
                <w:lang w:eastAsia="tr-TR"/>
              </w:rPr>
              <w:t xml:space="preserve">Derinlemesine </w:t>
            </w:r>
          </w:p>
        </w:tc>
        <w:tc>
          <w:tcPr>
            <w:tcW w:w="1985" w:type="dxa"/>
            <w:shd w:val="clear" w:color="auto" w:fill="auto"/>
          </w:tcPr>
          <w:p w14:paraId="2CC58BBA"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023" w:type="dxa"/>
            <w:shd w:val="clear" w:color="auto" w:fill="auto"/>
          </w:tcPr>
          <w:p w14:paraId="318E39C2"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216</w:t>
            </w:r>
          </w:p>
        </w:tc>
        <w:tc>
          <w:tcPr>
            <w:tcW w:w="1843" w:type="dxa"/>
            <w:shd w:val="clear" w:color="auto" w:fill="auto"/>
          </w:tcPr>
          <w:p w14:paraId="384AA37D"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45.01</w:t>
            </w:r>
          </w:p>
        </w:tc>
        <w:tc>
          <w:tcPr>
            <w:tcW w:w="1843" w:type="dxa"/>
            <w:shd w:val="clear" w:color="auto" w:fill="auto"/>
          </w:tcPr>
          <w:p w14:paraId="226ECE59"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7.00</w:t>
            </w:r>
          </w:p>
        </w:tc>
      </w:tr>
      <w:tr w:rsidR="00F514C9" w:rsidRPr="00C319D0" w14:paraId="73C59880" w14:textId="77777777" w:rsidTr="000E3AF7">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F11C010"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1985" w:type="dxa"/>
            <w:shd w:val="clear" w:color="auto" w:fill="auto"/>
          </w:tcPr>
          <w:p w14:paraId="4701FE87"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023" w:type="dxa"/>
            <w:shd w:val="clear" w:color="auto" w:fill="auto"/>
          </w:tcPr>
          <w:p w14:paraId="328E5D48"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218</w:t>
            </w:r>
          </w:p>
        </w:tc>
        <w:tc>
          <w:tcPr>
            <w:tcW w:w="1843" w:type="dxa"/>
            <w:shd w:val="clear" w:color="auto" w:fill="auto"/>
          </w:tcPr>
          <w:p w14:paraId="1A9D5DA3"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41.28</w:t>
            </w:r>
          </w:p>
        </w:tc>
        <w:tc>
          <w:tcPr>
            <w:tcW w:w="1843" w:type="dxa"/>
            <w:shd w:val="clear" w:color="auto" w:fill="auto"/>
          </w:tcPr>
          <w:p w14:paraId="221DFED3"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7.79</w:t>
            </w:r>
          </w:p>
        </w:tc>
      </w:tr>
      <w:tr w:rsidR="00F514C9" w:rsidRPr="00C319D0" w14:paraId="4C395B8E" w14:textId="77777777" w:rsidTr="000E3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7E785B03"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1985" w:type="dxa"/>
            <w:shd w:val="clear" w:color="auto" w:fill="auto"/>
          </w:tcPr>
          <w:p w14:paraId="6A486D4F"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023" w:type="dxa"/>
            <w:shd w:val="clear" w:color="auto" w:fill="auto"/>
          </w:tcPr>
          <w:p w14:paraId="77966D33"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356</w:t>
            </w:r>
          </w:p>
        </w:tc>
        <w:tc>
          <w:tcPr>
            <w:tcW w:w="1843" w:type="dxa"/>
            <w:shd w:val="clear" w:color="auto" w:fill="auto"/>
          </w:tcPr>
          <w:p w14:paraId="60E8473E"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38.42</w:t>
            </w:r>
          </w:p>
        </w:tc>
        <w:tc>
          <w:tcPr>
            <w:tcW w:w="1843" w:type="dxa"/>
            <w:shd w:val="clear" w:color="auto" w:fill="auto"/>
          </w:tcPr>
          <w:p w14:paraId="4A021055"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7.95</w:t>
            </w:r>
          </w:p>
        </w:tc>
      </w:tr>
      <w:tr w:rsidR="00F514C9" w:rsidRPr="00C319D0" w14:paraId="1B67B934" w14:textId="77777777" w:rsidTr="000E3AF7">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4F7A25C9" w14:textId="77777777" w:rsidR="00F514C9" w:rsidRPr="00C319D0" w:rsidRDefault="00F514C9" w:rsidP="00F514C9">
            <w:pPr>
              <w:jc w:val="both"/>
              <w:rPr>
                <w:rFonts w:ascii="Cambria" w:eastAsia="Times New Roman" w:hAnsi="Cambria" w:cs="Times New Roman"/>
                <w:b w:val="0"/>
                <w:bCs w:val="0"/>
                <w:color w:val="000000" w:themeColor="text1"/>
                <w:sz w:val="20"/>
                <w:szCs w:val="20"/>
                <w:lang w:eastAsia="tr-TR"/>
              </w:rPr>
            </w:pPr>
            <w:r w:rsidRPr="00C319D0">
              <w:rPr>
                <w:rFonts w:ascii="Cambria" w:eastAsia="Times New Roman" w:hAnsi="Cambria" w:cs="Times New Roman"/>
                <w:b w:val="0"/>
                <w:bCs w:val="0"/>
                <w:color w:val="000000" w:themeColor="text1"/>
                <w:sz w:val="20"/>
                <w:szCs w:val="20"/>
                <w:lang w:eastAsia="tr-TR"/>
              </w:rPr>
              <w:t xml:space="preserve">Stratejik </w:t>
            </w:r>
          </w:p>
        </w:tc>
        <w:tc>
          <w:tcPr>
            <w:tcW w:w="1985" w:type="dxa"/>
            <w:shd w:val="clear" w:color="auto" w:fill="auto"/>
          </w:tcPr>
          <w:p w14:paraId="1C0869A3"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023" w:type="dxa"/>
            <w:shd w:val="clear" w:color="auto" w:fill="auto"/>
          </w:tcPr>
          <w:p w14:paraId="09C94EFC"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216</w:t>
            </w:r>
          </w:p>
        </w:tc>
        <w:tc>
          <w:tcPr>
            <w:tcW w:w="1843" w:type="dxa"/>
            <w:shd w:val="clear" w:color="auto" w:fill="auto"/>
          </w:tcPr>
          <w:p w14:paraId="0AE7D8F1"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45.77</w:t>
            </w:r>
          </w:p>
        </w:tc>
        <w:tc>
          <w:tcPr>
            <w:tcW w:w="1843" w:type="dxa"/>
            <w:shd w:val="clear" w:color="auto" w:fill="auto"/>
          </w:tcPr>
          <w:p w14:paraId="7B7A3C49"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6.61</w:t>
            </w:r>
          </w:p>
        </w:tc>
      </w:tr>
      <w:tr w:rsidR="00F514C9" w:rsidRPr="00C319D0" w14:paraId="08311F76" w14:textId="77777777" w:rsidTr="000E3AF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7538BCF4"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1985" w:type="dxa"/>
            <w:shd w:val="clear" w:color="auto" w:fill="auto"/>
          </w:tcPr>
          <w:p w14:paraId="1CB5DE45"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023" w:type="dxa"/>
            <w:shd w:val="clear" w:color="auto" w:fill="auto"/>
          </w:tcPr>
          <w:p w14:paraId="081CB9D6"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218</w:t>
            </w:r>
          </w:p>
        </w:tc>
        <w:tc>
          <w:tcPr>
            <w:tcW w:w="1843" w:type="dxa"/>
            <w:shd w:val="clear" w:color="auto" w:fill="auto"/>
          </w:tcPr>
          <w:p w14:paraId="51120621"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43.03</w:t>
            </w:r>
          </w:p>
        </w:tc>
        <w:tc>
          <w:tcPr>
            <w:tcW w:w="1843" w:type="dxa"/>
            <w:shd w:val="clear" w:color="auto" w:fill="auto"/>
          </w:tcPr>
          <w:p w14:paraId="3B821374"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7.17</w:t>
            </w:r>
          </w:p>
        </w:tc>
      </w:tr>
      <w:tr w:rsidR="00F514C9" w:rsidRPr="00C319D0" w14:paraId="7CA31B7F" w14:textId="77777777" w:rsidTr="000E3AF7">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F90AEEF"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1985" w:type="dxa"/>
            <w:shd w:val="clear" w:color="auto" w:fill="auto"/>
          </w:tcPr>
          <w:p w14:paraId="4C93E216"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023" w:type="dxa"/>
            <w:shd w:val="clear" w:color="auto" w:fill="auto"/>
          </w:tcPr>
          <w:p w14:paraId="605548F9"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356</w:t>
            </w:r>
          </w:p>
        </w:tc>
        <w:tc>
          <w:tcPr>
            <w:tcW w:w="1843" w:type="dxa"/>
            <w:shd w:val="clear" w:color="auto" w:fill="auto"/>
          </w:tcPr>
          <w:p w14:paraId="42DD5046"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42.23</w:t>
            </w:r>
          </w:p>
        </w:tc>
        <w:tc>
          <w:tcPr>
            <w:tcW w:w="1843" w:type="dxa"/>
            <w:shd w:val="clear" w:color="auto" w:fill="auto"/>
          </w:tcPr>
          <w:p w14:paraId="3F5D62C6"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7.37</w:t>
            </w:r>
          </w:p>
        </w:tc>
      </w:tr>
      <w:tr w:rsidR="00F514C9" w:rsidRPr="00C319D0" w14:paraId="7DEC410C" w14:textId="77777777" w:rsidTr="000E3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1862C19D" w14:textId="77777777" w:rsidR="00F514C9" w:rsidRPr="00C319D0" w:rsidRDefault="00F514C9" w:rsidP="00F514C9">
            <w:pPr>
              <w:jc w:val="both"/>
              <w:rPr>
                <w:rFonts w:ascii="Cambria" w:eastAsia="Times New Roman" w:hAnsi="Cambria" w:cs="Times New Roman"/>
                <w:b w:val="0"/>
                <w:bCs w:val="0"/>
                <w:color w:val="000000" w:themeColor="text1"/>
                <w:sz w:val="20"/>
                <w:szCs w:val="20"/>
                <w:lang w:eastAsia="tr-TR"/>
              </w:rPr>
            </w:pPr>
            <w:r w:rsidRPr="00C319D0">
              <w:rPr>
                <w:rFonts w:ascii="Cambria" w:eastAsia="Times New Roman" w:hAnsi="Cambria" w:cs="Times New Roman"/>
                <w:b w:val="0"/>
                <w:bCs w:val="0"/>
                <w:color w:val="000000" w:themeColor="text1"/>
                <w:sz w:val="20"/>
                <w:szCs w:val="20"/>
                <w:lang w:eastAsia="tr-TR"/>
              </w:rPr>
              <w:t>Yüzeysel</w:t>
            </w:r>
          </w:p>
        </w:tc>
        <w:tc>
          <w:tcPr>
            <w:tcW w:w="1985" w:type="dxa"/>
            <w:shd w:val="clear" w:color="auto" w:fill="auto"/>
          </w:tcPr>
          <w:p w14:paraId="1FAA5BDC"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023" w:type="dxa"/>
            <w:shd w:val="clear" w:color="auto" w:fill="auto"/>
          </w:tcPr>
          <w:p w14:paraId="6592C6C2"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216</w:t>
            </w:r>
          </w:p>
        </w:tc>
        <w:tc>
          <w:tcPr>
            <w:tcW w:w="1843" w:type="dxa"/>
            <w:shd w:val="clear" w:color="auto" w:fill="auto"/>
          </w:tcPr>
          <w:p w14:paraId="4ADFF763"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32.81</w:t>
            </w:r>
          </w:p>
        </w:tc>
        <w:tc>
          <w:tcPr>
            <w:tcW w:w="1843" w:type="dxa"/>
            <w:shd w:val="clear" w:color="auto" w:fill="auto"/>
          </w:tcPr>
          <w:p w14:paraId="0D2274EC"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10.03</w:t>
            </w:r>
          </w:p>
        </w:tc>
      </w:tr>
      <w:tr w:rsidR="00F514C9" w:rsidRPr="00C319D0" w14:paraId="0A490321" w14:textId="77777777" w:rsidTr="000E3AF7">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6B8855DA"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1985" w:type="dxa"/>
            <w:shd w:val="clear" w:color="auto" w:fill="auto"/>
          </w:tcPr>
          <w:p w14:paraId="68528CFF"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023" w:type="dxa"/>
            <w:shd w:val="clear" w:color="auto" w:fill="auto"/>
          </w:tcPr>
          <w:p w14:paraId="41F7F5C4"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218</w:t>
            </w:r>
          </w:p>
        </w:tc>
        <w:tc>
          <w:tcPr>
            <w:tcW w:w="1843" w:type="dxa"/>
            <w:shd w:val="clear" w:color="auto" w:fill="auto"/>
          </w:tcPr>
          <w:p w14:paraId="609C45F4"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33.58</w:t>
            </w:r>
          </w:p>
        </w:tc>
        <w:tc>
          <w:tcPr>
            <w:tcW w:w="1843" w:type="dxa"/>
            <w:shd w:val="clear" w:color="auto" w:fill="auto"/>
          </w:tcPr>
          <w:p w14:paraId="6634951A" w14:textId="77777777" w:rsidR="00F514C9" w:rsidRPr="00C319D0" w:rsidRDefault="00F514C9" w:rsidP="00440C9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9.02</w:t>
            </w:r>
          </w:p>
        </w:tc>
      </w:tr>
      <w:tr w:rsidR="00F514C9" w:rsidRPr="00C319D0" w14:paraId="25CA4733" w14:textId="77777777" w:rsidTr="000E3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E09C60E"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1985" w:type="dxa"/>
            <w:shd w:val="clear" w:color="auto" w:fill="auto"/>
          </w:tcPr>
          <w:p w14:paraId="47FFE259"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023" w:type="dxa"/>
            <w:shd w:val="clear" w:color="auto" w:fill="auto"/>
          </w:tcPr>
          <w:p w14:paraId="3E9B5350"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356</w:t>
            </w:r>
          </w:p>
        </w:tc>
        <w:tc>
          <w:tcPr>
            <w:tcW w:w="1843" w:type="dxa"/>
            <w:shd w:val="clear" w:color="auto" w:fill="auto"/>
          </w:tcPr>
          <w:p w14:paraId="67D7FBE0"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34.48</w:t>
            </w:r>
          </w:p>
        </w:tc>
        <w:tc>
          <w:tcPr>
            <w:tcW w:w="1843" w:type="dxa"/>
            <w:shd w:val="clear" w:color="auto" w:fill="auto"/>
          </w:tcPr>
          <w:p w14:paraId="63E6BC14" w14:textId="77777777" w:rsidR="00F514C9" w:rsidRPr="00C319D0" w:rsidRDefault="00F514C9" w:rsidP="00440C9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9.07</w:t>
            </w:r>
          </w:p>
        </w:tc>
      </w:tr>
    </w:tbl>
    <w:p w14:paraId="743BD252" w14:textId="77777777" w:rsidR="00F514C9" w:rsidRPr="00C319D0" w:rsidRDefault="00F514C9" w:rsidP="000E3AF7">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lastRenderedPageBreak/>
        <w:t xml:space="preserve">Derinlemesine öğrenme yaklaşımı alt boyutunda alınan puanlar yüksekten </w:t>
      </w:r>
      <w:r w:rsidR="000E3AF7" w:rsidRPr="00C319D0">
        <w:rPr>
          <w:rFonts w:ascii="Cambria" w:eastAsia="Times New Roman" w:hAnsi="Cambria" w:cs="Times New Roman"/>
          <w:color w:val="000000" w:themeColor="text1"/>
          <w:lang w:eastAsia="tr-TR"/>
        </w:rPr>
        <w:t>düşüğe doğru 6. sınıf, 7. sınıf ve 8. s</w:t>
      </w:r>
      <w:r w:rsidRPr="00C319D0">
        <w:rPr>
          <w:rFonts w:ascii="Cambria" w:eastAsia="Times New Roman" w:hAnsi="Cambria" w:cs="Times New Roman"/>
          <w:color w:val="000000" w:themeColor="text1"/>
          <w:lang w:eastAsia="tr-TR"/>
        </w:rPr>
        <w:t>ınıf şeklinde sıralanmaktadır. Stratejik öğrenme yaklaşımı için de aynı durum söz konusudur. Dolayısıyla hem derinlemesine hem de strat</w:t>
      </w:r>
      <w:r w:rsidR="00812CF9" w:rsidRPr="00C319D0">
        <w:rPr>
          <w:rFonts w:ascii="Cambria" w:eastAsia="Times New Roman" w:hAnsi="Cambria" w:cs="Times New Roman"/>
          <w:color w:val="000000" w:themeColor="text1"/>
          <w:lang w:eastAsia="tr-TR"/>
        </w:rPr>
        <w:t>ejik öğrenme yaklaşımlarını 6. s</w:t>
      </w:r>
      <w:r w:rsidRPr="00C319D0">
        <w:rPr>
          <w:rFonts w:ascii="Cambria" w:eastAsia="Times New Roman" w:hAnsi="Cambria" w:cs="Times New Roman"/>
          <w:color w:val="000000" w:themeColor="text1"/>
          <w:lang w:eastAsia="tr-TR"/>
        </w:rPr>
        <w:t>ınıf öğrencileri diğer sınıf düzeylerine göre daha çok tercih etmektedirler. Yüzeysel öğrenme yaklaşımı puanları için yüks</w:t>
      </w:r>
      <w:r w:rsidR="000E3AF7" w:rsidRPr="00C319D0">
        <w:rPr>
          <w:rFonts w:ascii="Cambria" w:eastAsia="Times New Roman" w:hAnsi="Cambria" w:cs="Times New Roman"/>
          <w:color w:val="000000" w:themeColor="text1"/>
          <w:lang w:eastAsia="tr-TR"/>
        </w:rPr>
        <w:t>ekten düşüğe doğru sıralama 8. sınıf, 7. sınıf ve 6. sınıf şeklindedir. Bu bulgu, 8. s</w:t>
      </w:r>
      <w:r w:rsidRPr="00C319D0">
        <w:rPr>
          <w:rFonts w:ascii="Cambria" w:eastAsia="Times New Roman" w:hAnsi="Cambria" w:cs="Times New Roman"/>
          <w:color w:val="000000" w:themeColor="text1"/>
          <w:lang w:eastAsia="tr-TR"/>
        </w:rPr>
        <w:t xml:space="preserve">ınıf öğrencilerinin yüzeysel öğrenme yaklaşımını diğer sınıf düzeylerine göre daha çok tercih ettiğini göstermektedir. </w:t>
      </w:r>
    </w:p>
    <w:p w14:paraId="36009963" w14:textId="77777777" w:rsidR="00F514C9" w:rsidRPr="00C319D0" w:rsidRDefault="00F514C9" w:rsidP="006456A9">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Sınıf düzeylerine göre öğrencilerin matematik öğrenme yaklaşı</w:t>
      </w:r>
      <w:r w:rsidR="00812CF9" w:rsidRPr="00C319D0">
        <w:rPr>
          <w:rFonts w:ascii="Cambria" w:eastAsia="Times New Roman" w:hAnsi="Cambria" w:cs="Times New Roman"/>
          <w:color w:val="000000" w:themeColor="text1"/>
          <w:lang w:eastAsia="tr-TR"/>
        </w:rPr>
        <w:t>mlarının (derinlemesine</w:t>
      </w:r>
      <w:r w:rsidRPr="00C319D0">
        <w:rPr>
          <w:rFonts w:ascii="Cambria" w:eastAsia="Times New Roman" w:hAnsi="Cambria" w:cs="Times New Roman"/>
          <w:color w:val="000000" w:themeColor="text1"/>
          <w:lang w:eastAsia="tr-TR"/>
        </w:rPr>
        <w:t>, yüzeysel</w:t>
      </w:r>
      <w:r w:rsidR="00812CF9" w:rsidRPr="00C319D0">
        <w:rPr>
          <w:rFonts w:ascii="Cambria" w:eastAsia="Times New Roman" w:hAnsi="Cambria" w:cs="Times New Roman"/>
          <w:color w:val="000000" w:themeColor="text1"/>
          <w:lang w:eastAsia="tr-TR"/>
        </w:rPr>
        <w:t xml:space="preserve"> ve stratejik</w:t>
      </w:r>
      <w:r w:rsidRPr="00C319D0">
        <w:rPr>
          <w:rFonts w:ascii="Cambria" w:eastAsia="Times New Roman" w:hAnsi="Cambria" w:cs="Times New Roman"/>
          <w:color w:val="000000" w:themeColor="text1"/>
          <w:lang w:eastAsia="tr-TR"/>
        </w:rPr>
        <w:t>) değişip değişmediği tek yönlü MANOVA testi ile analiz edilmiştir. MANOVA sonuçları, sınıf düzeyi değişkeninin matematik öğrenme yaklaşımları üzerinde istatistiksel olarak anlamlı bir etkiye sahip olduğunu göstermektedir (Wilks’ Lambda=0</w:t>
      </w:r>
      <w:r w:rsidR="00812CF9" w:rsidRPr="00C319D0">
        <w:rPr>
          <w:rFonts w:ascii="Cambria" w:eastAsia="Times New Roman" w:hAnsi="Cambria" w:cs="Times New Roman"/>
          <w:color w:val="000000" w:themeColor="text1"/>
          <w:lang w:eastAsia="tr-TR"/>
        </w:rPr>
        <w:t>.879, F(6, 1570)=17.394, p&lt;</w:t>
      </w:r>
      <w:r w:rsidRPr="00C319D0">
        <w:rPr>
          <w:rFonts w:ascii="Cambria" w:eastAsia="Times New Roman" w:hAnsi="Cambria" w:cs="Times New Roman"/>
          <w:color w:val="000000" w:themeColor="text1"/>
          <w:lang w:eastAsia="tr-TR"/>
        </w:rPr>
        <w:t>.05, η</w:t>
      </w:r>
      <w:r w:rsidRPr="00C319D0">
        <w:rPr>
          <w:rFonts w:ascii="Cambria" w:eastAsia="Times New Roman" w:hAnsi="Cambria" w:cs="Times New Roman"/>
          <w:color w:val="000000" w:themeColor="text1"/>
          <w:vertAlign w:val="subscript"/>
          <w:lang w:eastAsia="tr-TR"/>
        </w:rPr>
        <w:t>k</w:t>
      </w:r>
      <w:r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=0.062). Bağımsız değişkenin etki büyüklüğünü belirlemek için kısmi eta kare (</w:t>
      </w:r>
      <w:r w:rsidR="00812CF9" w:rsidRPr="00C319D0">
        <w:rPr>
          <w:rFonts w:ascii="Cambria" w:eastAsia="Times New Roman" w:hAnsi="Cambria" w:cs="Times New Roman"/>
          <w:color w:val="000000" w:themeColor="text1"/>
          <w:lang w:eastAsia="tr-TR"/>
        </w:rPr>
        <w:t>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 değerine bakılmıştır. Kısmi eta kare değeri Stevens (1992) tarafından belirtildiği şekilde değerlendirilmiştir. Buna göre etki büyüklükleri </w:t>
      </w:r>
      <w:r w:rsidR="00812CF9" w:rsidRPr="00C319D0">
        <w:rPr>
          <w:rFonts w:ascii="Cambria" w:eastAsia="Times New Roman" w:hAnsi="Cambria" w:cs="Times New Roman"/>
          <w:color w:val="000000" w:themeColor="text1"/>
          <w:lang w:eastAsia="tr-TR"/>
        </w:rPr>
        <w:t>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 0.01 için “küçük”, </w:t>
      </w:r>
      <w:r w:rsidR="00812CF9" w:rsidRPr="00C319D0">
        <w:rPr>
          <w:rFonts w:ascii="Cambria" w:eastAsia="Times New Roman" w:hAnsi="Cambria" w:cs="Times New Roman"/>
          <w:color w:val="000000" w:themeColor="text1"/>
          <w:lang w:eastAsia="tr-TR"/>
        </w:rPr>
        <w:t>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 = 0.06 için “orta” ve </w:t>
      </w:r>
      <w:r w:rsidR="00812CF9" w:rsidRPr="00C319D0">
        <w:rPr>
          <w:rFonts w:ascii="Cambria" w:eastAsia="Times New Roman" w:hAnsi="Cambria" w:cs="Times New Roman"/>
          <w:color w:val="000000" w:themeColor="text1"/>
          <w:lang w:eastAsia="tr-TR"/>
        </w:rPr>
        <w:t>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Pr="00C319D0">
        <w:rPr>
          <w:rFonts w:ascii="Cambria" w:eastAsia="Times New Roman" w:hAnsi="Cambria" w:cs="Times New Roman"/>
          <w:color w:val="000000" w:themeColor="text1"/>
          <w:lang w:eastAsia="tr-TR"/>
        </w:rPr>
        <w:t xml:space="preserve"> = 0.14 için “büyük” olarak yorumlanmıştır. Buna göre, sınıf düzeyi değişkeninin öğrencilerin öğrenme yaklaşımları üzerindeki etkisinin </w:t>
      </w:r>
      <w:r w:rsidR="00806740" w:rsidRPr="00C319D0">
        <w:rPr>
          <w:rFonts w:ascii="Cambria" w:eastAsia="Times New Roman" w:hAnsi="Cambria" w:cs="Times New Roman"/>
          <w:color w:val="000000" w:themeColor="text1"/>
          <w:lang w:eastAsia="tr-TR"/>
        </w:rPr>
        <w:t>orta büyüklüklükte</w:t>
      </w:r>
      <w:r w:rsidRPr="00C319D0">
        <w:rPr>
          <w:rFonts w:ascii="Cambria" w:eastAsia="Times New Roman" w:hAnsi="Cambria" w:cs="Times New Roman"/>
          <w:color w:val="000000" w:themeColor="text1"/>
          <w:lang w:eastAsia="tr-TR"/>
        </w:rPr>
        <w:t xml:space="preserve"> </w:t>
      </w:r>
      <w:r w:rsidR="00806740" w:rsidRPr="00C319D0">
        <w:rPr>
          <w:rFonts w:ascii="Cambria" w:eastAsia="Times New Roman" w:hAnsi="Cambria" w:cs="Times New Roman"/>
          <w:color w:val="000000" w:themeColor="text1"/>
          <w:lang w:eastAsia="tr-TR"/>
        </w:rPr>
        <w:t xml:space="preserve">olduğu </w:t>
      </w:r>
      <w:r w:rsidRPr="00C319D0">
        <w:rPr>
          <w:rFonts w:ascii="Cambria" w:eastAsia="Times New Roman" w:hAnsi="Cambria" w:cs="Times New Roman"/>
          <w:color w:val="000000" w:themeColor="text1"/>
          <w:lang w:eastAsia="tr-TR"/>
        </w:rPr>
        <w:t xml:space="preserve">görülmektedir. </w:t>
      </w:r>
      <w:r w:rsidR="006E6BE3" w:rsidRPr="00C319D0">
        <w:rPr>
          <w:rFonts w:ascii="Cambria" w:eastAsia="Times New Roman" w:hAnsi="Cambria" w:cs="Times New Roman"/>
          <w:color w:val="000000" w:themeColor="text1"/>
          <w:lang w:eastAsia="tr-TR"/>
        </w:rPr>
        <w:t xml:space="preserve">MANOVA’yı takiben yapılan izleme ANOVA’larının sonuçları Tablo 5’te verilmiştir. </w:t>
      </w:r>
    </w:p>
    <w:p w14:paraId="50093FB5" w14:textId="77777777" w:rsidR="006456A9" w:rsidRPr="00C319D0" w:rsidRDefault="006456A9" w:rsidP="006456A9">
      <w:pPr>
        <w:pStyle w:val="Heading4"/>
        <w:spacing w:before="120" w:after="120" w:line="240" w:lineRule="auto"/>
        <w:contextualSpacing/>
        <w:rPr>
          <w:rFonts w:ascii="Cambria" w:hAnsi="Cambria" w:cs="Times New Roman"/>
          <w:b/>
          <w:i w:val="0"/>
          <w:color w:val="auto"/>
          <w:sz w:val="20"/>
          <w:szCs w:val="20"/>
        </w:rPr>
      </w:pPr>
      <w:r w:rsidRPr="00C319D0">
        <w:rPr>
          <w:rFonts w:ascii="Cambria" w:hAnsi="Cambria" w:cs="Times New Roman"/>
          <w:b/>
          <w:i w:val="0"/>
          <w:color w:val="auto"/>
          <w:sz w:val="20"/>
          <w:szCs w:val="20"/>
        </w:rPr>
        <w:t xml:space="preserve">Tablo </w:t>
      </w:r>
      <w:r w:rsidR="006E6BE3" w:rsidRPr="00C319D0">
        <w:rPr>
          <w:rFonts w:ascii="Cambria" w:hAnsi="Cambria" w:cs="Times New Roman"/>
          <w:b/>
          <w:i w:val="0"/>
          <w:color w:val="auto"/>
          <w:sz w:val="20"/>
          <w:szCs w:val="20"/>
        </w:rPr>
        <w:t>5</w:t>
      </w:r>
      <w:r w:rsidRPr="00C319D0">
        <w:rPr>
          <w:rFonts w:ascii="Cambria" w:hAnsi="Cambria" w:cs="Times New Roman"/>
          <w:b/>
          <w:i w:val="0"/>
          <w:color w:val="auto"/>
          <w:sz w:val="20"/>
          <w:szCs w:val="20"/>
        </w:rPr>
        <w:t xml:space="preserve">. </w:t>
      </w:r>
      <w:r w:rsidR="000F4FAE" w:rsidRPr="00C319D0">
        <w:rPr>
          <w:rFonts w:ascii="Cambria" w:hAnsi="Cambria" w:cs="Times New Roman"/>
          <w:color w:val="auto"/>
          <w:sz w:val="20"/>
          <w:szCs w:val="20"/>
        </w:rPr>
        <w:t>Matematik ö</w:t>
      </w:r>
      <w:r w:rsidR="00F514C9" w:rsidRPr="00C319D0">
        <w:rPr>
          <w:rFonts w:ascii="Cambria" w:hAnsi="Cambria" w:cs="Times New Roman"/>
          <w:color w:val="auto"/>
          <w:sz w:val="20"/>
          <w:szCs w:val="20"/>
        </w:rPr>
        <w:t>ğrenme yaklaşımları alt boyutlarına ait puanların izleme analizi sonuçları</w:t>
      </w:r>
      <w:r w:rsidR="00F514C9" w:rsidRPr="00C319D0">
        <w:rPr>
          <w:rFonts w:ascii="Cambria" w:hAnsi="Cambria" w:cs="Times New Roman"/>
          <w:b/>
          <w:i w:val="0"/>
          <w:color w:val="auto"/>
          <w:sz w:val="20"/>
          <w:szCs w:val="20"/>
        </w:rPr>
        <w:t xml:space="preserve"> </w:t>
      </w:r>
    </w:p>
    <w:tbl>
      <w:tblPr>
        <w:tblStyle w:val="AkGlgeleme1"/>
        <w:tblW w:w="5000" w:type="pct"/>
        <w:tblLook w:val="0000" w:firstRow="0" w:lastRow="0" w:firstColumn="0" w:lastColumn="0" w:noHBand="0" w:noVBand="0"/>
      </w:tblPr>
      <w:tblGrid>
        <w:gridCol w:w="1218"/>
        <w:gridCol w:w="1644"/>
        <w:gridCol w:w="1325"/>
        <w:gridCol w:w="697"/>
        <w:gridCol w:w="1448"/>
        <w:gridCol w:w="973"/>
        <w:gridCol w:w="738"/>
        <w:gridCol w:w="1029"/>
      </w:tblGrid>
      <w:tr w:rsidR="00F514C9" w:rsidRPr="00C319D0" w14:paraId="2A76ECEF" w14:textId="77777777" w:rsidTr="00812CF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2" w:type="pct"/>
            <w:tcBorders>
              <w:bottom w:val="single" w:sz="4" w:space="0" w:color="auto"/>
            </w:tcBorders>
            <w:shd w:val="clear" w:color="auto" w:fill="auto"/>
          </w:tcPr>
          <w:p w14:paraId="0DDDED4E" w14:textId="77777777" w:rsidR="00F514C9" w:rsidRPr="00C319D0" w:rsidRDefault="00F514C9" w:rsidP="00F514C9">
            <w:pPr>
              <w:jc w:val="both"/>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Kaynak</w:t>
            </w:r>
          </w:p>
        </w:tc>
        <w:tc>
          <w:tcPr>
            <w:tcW w:w="906" w:type="pct"/>
            <w:tcBorders>
              <w:bottom w:val="single" w:sz="4" w:space="0" w:color="auto"/>
            </w:tcBorders>
            <w:shd w:val="clear" w:color="auto" w:fill="auto"/>
          </w:tcPr>
          <w:p w14:paraId="15E5880E" w14:textId="77777777" w:rsidR="00F514C9" w:rsidRPr="00C319D0" w:rsidRDefault="00F514C9" w:rsidP="00F514C9">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Bağımlı değişken</w:t>
            </w:r>
          </w:p>
        </w:tc>
        <w:tc>
          <w:tcPr>
            <w:cnfStyle w:val="000010000000" w:firstRow="0" w:lastRow="0" w:firstColumn="0" w:lastColumn="0" w:oddVBand="1" w:evenVBand="0" w:oddHBand="0" w:evenHBand="0" w:firstRowFirstColumn="0" w:firstRowLastColumn="0" w:lastRowFirstColumn="0" w:lastRowLastColumn="0"/>
            <w:tcW w:w="730" w:type="pct"/>
            <w:tcBorders>
              <w:bottom w:val="single" w:sz="4" w:space="0" w:color="auto"/>
            </w:tcBorders>
            <w:shd w:val="clear" w:color="auto" w:fill="auto"/>
          </w:tcPr>
          <w:p w14:paraId="21A135D6" w14:textId="77777777" w:rsidR="00F514C9" w:rsidRPr="00C319D0" w:rsidRDefault="00F514C9" w:rsidP="00812CF9">
            <w:pPr>
              <w:jc w:val="center"/>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Kareler toplamı</w:t>
            </w:r>
          </w:p>
        </w:tc>
        <w:tc>
          <w:tcPr>
            <w:tcW w:w="384" w:type="pct"/>
            <w:tcBorders>
              <w:bottom w:val="single" w:sz="4" w:space="0" w:color="auto"/>
            </w:tcBorders>
            <w:shd w:val="clear" w:color="auto" w:fill="auto"/>
          </w:tcPr>
          <w:p w14:paraId="409B27C9"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sd</w:t>
            </w:r>
          </w:p>
        </w:tc>
        <w:tc>
          <w:tcPr>
            <w:cnfStyle w:val="000010000000" w:firstRow="0" w:lastRow="0" w:firstColumn="0" w:lastColumn="0" w:oddVBand="1" w:evenVBand="0" w:oddHBand="0" w:evenHBand="0" w:firstRowFirstColumn="0" w:firstRowLastColumn="0" w:lastRowFirstColumn="0" w:lastRowLastColumn="0"/>
            <w:tcW w:w="798" w:type="pct"/>
            <w:tcBorders>
              <w:bottom w:val="single" w:sz="4" w:space="0" w:color="auto"/>
            </w:tcBorders>
            <w:shd w:val="clear" w:color="auto" w:fill="auto"/>
          </w:tcPr>
          <w:p w14:paraId="1B522A15" w14:textId="77777777" w:rsidR="00F514C9" w:rsidRPr="00C319D0" w:rsidRDefault="00F514C9" w:rsidP="00812CF9">
            <w:pPr>
              <w:jc w:val="center"/>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Ortalamalar karesi</w:t>
            </w:r>
          </w:p>
        </w:tc>
        <w:tc>
          <w:tcPr>
            <w:tcW w:w="536" w:type="pct"/>
            <w:tcBorders>
              <w:bottom w:val="single" w:sz="4" w:space="0" w:color="auto"/>
            </w:tcBorders>
            <w:shd w:val="clear" w:color="auto" w:fill="auto"/>
          </w:tcPr>
          <w:p w14:paraId="3A2515DC"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F</w:t>
            </w:r>
          </w:p>
        </w:tc>
        <w:tc>
          <w:tcPr>
            <w:cnfStyle w:val="000010000000" w:firstRow="0" w:lastRow="0" w:firstColumn="0" w:lastColumn="0" w:oddVBand="1" w:evenVBand="0" w:oddHBand="0" w:evenHBand="0" w:firstRowFirstColumn="0" w:firstRowLastColumn="0" w:lastRowFirstColumn="0" w:lastRowLastColumn="0"/>
            <w:tcW w:w="407" w:type="pct"/>
            <w:tcBorders>
              <w:bottom w:val="single" w:sz="4" w:space="0" w:color="auto"/>
            </w:tcBorders>
            <w:shd w:val="clear" w:color="auto" w:fill="auto"/>
          </w:tcPr>
          <w:p w14:paraId="3BC47589" w14:textId="77777777" w:rsidR="00F514C9" w:rsidRPr="00C319D0" w:rsidRDefault="00F514C9" w:rsidP="00812CF9">
            <w:pPr>
              <w:jc w:val="center"/>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bCs/>
                <w:color w:val="000000" w:themeColor="text1"/>
                <w:sz w:val="20"/>
                <w:szCs w:val="20"/>
                <w:lang w:eastAsia="tr-TR"/>
              </w:rPr>
              <w:t>p</w:t>
            </w:r>
          </w:p>
        </w:tc>
        <w:tc>
          <w:tcPr>
            <w:tcW w:w="567" w:type="pct"/>
            <w:tcBorders>
              <w:bottom w:val="single" w:sz="4" w:space="0" w:color="auto"/>
            </w:tcBorders>
            <w:shd w:val="clear" w:color="auto" w:fill="auto"/>
          </w:tcPr>
          <w:p w14:paraId="7ADDCFB9" w14:textId="77777777" w:rsidR="00F514C9" w:rsidRPr="00C319D0" w:rsidRDefault="00812CF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sz w:val="20"/>
                <w:szCs w:val="20"/>
                <w:lang w:eastAsia="tr-TR"/>
              </w:rPr>
            </w:pPr>
            <w:r w:rsidRPr="00C319D0">
              <w:rPr>
                <w:rFonts w:ascii="Cambria" w:eastAsia="Times New Roman" w:hAnsi="Cambria" w:cs="Times New Roman"/>
                <w:b/>
                <w:color w:val="000000" w:themeColor="text1"/>
                <w:lang w:eastAsia="tr-TR"/>
              </w:rPr>
              <w:t>η</w:t>
            </w:r>
            <w:r w:rsidRPr="00C319D0">
              <w:rPr>
                <w:rFonts w:ascii="Cambria" w:eastAsia="Times New Roman" w:hAnsi="Cambria" w:cs="Times New Roman"/>
                <w:b/>
                <w:color w:val="000000" w:themeColor="text1"/>
                <w:vertAlign w:val="subscript"/>
                <w:lang w:eastAsia="tr-TR"/>
              </w:rPr>
              <w:t>k</w:t>
            </w:r>
            <w:r w:rsidRPr="00C319D0">
              <w:rPr>
                <w:rFonts w:ascii="Cambria" w:eastAsia="Times New Roman" w:hAnsi="Cambria" w:cs="Times New Roman"/>
                <w:b/>
                <w:color w:val="000000" w:themeColor="text1"/>
                <w:vertAlign w:val="superscript"/>
                <w:lang w:eastAsia="tr-TR"/>
              </w:rPr>
              <w:t>2</w:t>
            </w:r>
          </w:p>
        </w:tc>
      </w:tr>
      <w:tr w:rsidR="00F514C9" w:rsidRPr="00C319D0" w14:paraId="52F3C1C6" w14:textId="77777777" w:rsidTr="00812CF9">
        <w:tc>
          <w:tcPr>
            <w:cnfStyle w:val="000010000000" w:firstRow="0" w:lastRow="0" w:firstColumn="0" w:lastColumn="0" w:oddVBand="1" w:evenVBand="0" w:oddHBand="0" w:evenHBand="0" w:firstRowFirstColumn="0" w:firstRowLastColumn="0" w:lastRowFirstColumn="0" w:lastRowLastColumn="0"/>
            <w:tcW w:w="672" w:type="pct"/>
            <w:vMerge w:val="restart"/>
            <w:tcBorders>
              <w:top w:val="single" w:sz="4" w:space="0" w:color="auto"/>
            </w:tcBorders>
            <w:shd w:val="clear" w:color="auto" w:fill="auto"/>
          </w:tcPr>
          <w:p w14:paraId="2F6C6910" w14:textId="77777777" w:rsidR="00F514C9" w:rsidRPr="00C319D0" w:rsidRDefault="006456A9" w:rsidP="00F514C9">
            <w:pPr>
              <w:jc w:val="both"/>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S</w:t>
            </w:r>
            <w:r w:rsidR="00F514C9" w:rsidRPr="00C319D0">
              <w:rPr>
                <w:rFonts w:ascii="Cambria" w:eastAsia="Times New Roman" w:hAnsi="Cambria" w:cs="Times New Roman"/>
                <w:bCs/>
                <w:color w:val="000000" w:themeColor="text1"/>
                <w:sz w:val="20"/>
                <w:szCs w:val="20"/>
                <w:lang w:eastAsia="tr-TR"/>
              </w:rPr>
              <w:t>ınıf</w:t>
            </w:r>
            <w:r w:rsidRPr="00C319D0">
              <w:rPr>
                <w:rFonts w:ascii="Cambria" w:eastAsia="Times New Roman" w:hAnsi="Cambria" w:cs="Times New Roman"/>
                <w:bCs/>
                <w:color w:val="000000" w:themeColor="text1"/>
                <w:sz w:val="20"/>
                <w:szCs w:val="20"/>
                <w:lang w:eastAsia="tr-TR"/>
              </w:rPr>
              <w:t xml:space="preserve"> düzeyi</w:t>
            </w:r>
          </w:p>
        </w:tc>
        <w:tc>
          <w:tcPr>
            <w:tcW w:w="906" w:type="pct"/>
            <w:tcBorders>
              <w:top w:val="single" w:sz="4" w:space="0" w:color="auto"/>
            </w:tcBorders>
            <w:shd w:val="clear" w:color="auto" w:fill="auto"/>
          </w:tcPr>
          <w:p w14:paraId="6D07554A" w14:textId="77777777" w:rsidR="00F514C9" w:rsidRPr="00C319D0" w:rsidRDefault="00F514C9" w:rsidP="00F514C9">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Derinlemesine</w:t>
            </w:r>
          </w:p>
        </w:tc>
        <w:tc>
          <w:tcPr>
            <w:cnfStyle w:val="000010000000" w:firstRow="0" w:lastRow="0" w:firstColumn="0" w:lastColumn="0" w:oddVBand="1" w:evenVBand="0" w:oddHBand="0" w:evenHBand="0" w:firstRowFirstColumn="0" w:firstRowLastColumn="0" w:lastRowFirstColumn="0" w:lastRowLastColumn="0"/>
            <w:tcW w:w="730" w:type="pct"/>
            <w:tcBorders>
              <w:top w:val="single" w:sz="4" w:space="0" w:color="auto"/>
            </w:tcBorders>
            <w:shd w:val="clear" w:color="auto" w:fill="auto"/>
          </w:tcPr>
          <w:p w14:paraId="4D5FE6DA"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5901.824</w:t>
            </w:r>
          </w:p>
        </w:tc>
        <w:tc>
          <w:tcPr>
            <w:tcW w:w="384" w:type="pct"/>
            <w:tcBorders>
              <w:top w:val="single" w:sz="4" w:space="0" w:color="auto"/>
            </w:tcBorders>
            <w:shd w:val="clear" w:color="auto" w:fill="auto"/>
          </w:tcPr>
          <w:p w14:paraId="7328137B"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w:t>
            </w:r>
          </w:p>
        </w:tc>
        <w:tc>
          <w:tcPr>
            <w:cnfStyle w:val="000010000000" w:firstRow="0" w:lastRow="0" w:firstColumn="0" w:lastColumn="0" w:oddVBand="1" w:evenVBand="0" w:oddHBand="0" w:evenHBand="0" w:firstRowFirstColumn="0" w:firstRowLastColumn="0" w:lastRowFirstColumn="0" w:lastRowLastColumn="0"/>
            <w:tcW w:w="798" w:type="pct"/>
            <w:tcBorders>
              <w:top w:val="single" w:sz="4" w:space="0" w:color="auto"/>
            </w:tcBorders>
            <w:shd w:val="clear" w:color="auto" w:fill="auto"/>
          </w:tcPr>
          <w:p w14:paraId="6380512A"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2950.912</w:t>
            </w:r>
          </w:p>
        </w:tc>
        <w:tc>
          <w:tcPr>
            <w:tcW w:w="536" w:type="pct"/>
            <w:tcBorders>
              <w:top w:val="single" w:sz="4" w:space="0" w:color="auto"/>
            </w:tcBorders>
            <w:shd w:val="clear" w:color="auto" w:fill="auto"/>
          </w:tcPr>
          <w:p w14:paraId="4CB69F49"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50.301</w:t>
            </w:r>
          </w:p>
        </w:tc>
        <w:tc>
          <w:tcPr>
            <w:cnfStyle w:val="000010000000" w:firstRow="0" w:lastRow="0" w:firstColumn="0" w:lastColumn="0" w:oddVBand="1" w:evenVBand="0" w:oddHBand="0" w:evenHBand="0" w:firstRowFirstColumn="0" w:firstRowLastColumn="0" w:lastRowFirstColumn="0" w:lastRowLastColumn="0"/>
            <w:tcW w:w="407" w:type="pct"/>
            <w:tcBorders>
              <w:top w:val="single" w:sz="4" w:space="0" w:color="auto"/>
            </w:tcBorders>
            <w:shd w:val="clear" w:color="auto" w:fill="auto"/>
          </w:tcPr>
          <w:p w14:paraId="150983FF"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w:t>
            </w:r>
          </w:p>
        </w:tc>
        <w:tc>
          <w:tcPr>
            <w:tcW w:w="567" w:type="pct"/>
            <w:tcBorders>
              <w:top w:val="single" w:sz="4" w:space="0" w:color="auto"/>
            </w:tcBorders>
            <w:shd w:val="clear" w:color="auto" w:fill="auto"/>
          </w:tcPr>
          <w:p w14:paraId="29198443"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.113</w:t>
            </w:r>
          </w:p>
        </w:tc>
      </w:tr>
      <w:tr w:rsidR="00F514C9" w:rsidRPr="00C319D0" w14:paraId="43B79009" w14:textId="77777777" w:rsidTr="006456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2" w:type="pct"/>
            <w:vMerge/>
            <w:shd w:val="clear" w:color="auto" w:fill="auto"/>
          </w:tcPr>
          <w:p w14:paraId="6C5DB50D" w14:textId="77777777" w:rsidR="00F514C9" w:rsidRPr="00C319D0" w:rsidRDefault="00F514C9" w:rsidP="00F514C9">
            <w:pPr>
              <w:jc w:val="both"/>
              <w:rPr>
                <w:rFonts w:ascii="Cambria" w:eastAsia="Times New Roman" w:hAnsi="Cambria" w:cs="Times New Roman"/>
                <w:bCs/>
                <w:color w:val="000000" w:themeColor="text1"/>
                <w:sz w:val="20"/>
                <w:szCs w:val="20"/>
                <w:lang w:eastAsia="tr-TR"/>
              </w:rPr>
            </w:pPr>
          </w:p>
        </w:tc>
        <w:tc>
          <w:tcPr>
            <w:tcW w:w="906" w:type="pct"/>
            <w:shd w:val="clear" w:color="auto" w:fill="auto"/>
          </w:tcPr>
          <w:p w14:paraId="61F791AE" w14:textId="77777777" w:rsidR="00F514C9" w:rsidRPr="00C319D0" w:rsidRDefault="00F514C9" w:rsidP="00F514C9">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Stratejik</w:t>
            </w:r>
          </w:p>
        </w:tc>
        <w:tc>
          <w:tcPr>
            <w:cnfStyle w:val="000010000000" w:firstRow="0" w:lastRow="0" w:firstColumn="0" w:lastColumn="0" w:oddVBand="1" w:evenVBand="0" w:oddHBand="0" w:evenHBand="0" w:firstRowFirstColumn="0" w:firstRowLastColumn="0" w:lastRowFirstColumn="0" w:lastRowLastColumn="0"/>
            <w:tcW w:w="730" w:type="pct"/>
            <w:shd w:val="clear" w:color="auto" w:fill="auto"/>
          </w:tcPr>
          <w:p w14:paraId="719CB805"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1831.192</w:t>
            </w:r>
          </w:p>
        </w:tc>
        <w:tc>
          <w:tcPr>
            <w:tcW w:w="384" w:type="pct"/>
            <w:shd w:val="clear" w:color="auto" w:fill="auto"/>
          </w:tcPr>
          <w:p w14:paraId="244C82AB"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w:t>
            </w:r>
          </w:p>
        </w:tc>
        <w:tc>
          <w:tcPr>
            <w:cnfStyle w:val="000010000000" w:firstRow="0" w:lastRow="0" w:firstColumn="0" w:lastColumn="0" w:oddVBand="1" w:evenVBand="0" w:oddHBand="0" w:evenHBand="0" w:firstRowFirstColumn="0" w:firstRowLastColumn="0" w:lastRowFirstColumn="0" w:lastRowLastColumn="0"/>
            <w:tcW w:w="798" w:type="pct"/>
            <w:shd w:val="clear" w:color="auto" w:fill="auto"/>
          </w:tcPr>
          <w:p w14:paraId="263D8E7F"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915.596</w:t>
            </w:r>
          </w:p>
        </w:tc>
        <w:tc>
          <w:tcPr>
            <w:tcW w:w="536" w:type="pct"/>
            <w:shd w:val="clear" w:color="auto" w:fill="auto"/>
          </w:tcPr>
          <w:p w14:paraId="229076B4"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18.295</w:t>
            </w:r>
          </w:p>
        </w:tc>
        <w:tc>
          <w:tcPr>
            <w:cnfStyle w:val="000010000000" w:firstRow="0" w:lastRow="0" w:firstColumn="0" w:lastColumn="0" w:oddVBand="1" w:evenVBand="0" w:oddHBand="0" w:evenHBand="0" w:firstRowFirstColumn="0" w:firstRowLastColumn="0" w:lastRowFirstColumn="0" w:lastRowLastColumn="0"/>
            <w:tcW w:w="407" w:type="pct"/>
            <w:shd w:val="clear" w:color="auto" w:fill="auto"/>
          </w:tcPr>
          <w:p w14:paraId="1B26A5B1"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w:t>
            </w:r>
          </w:p>
        </w:tc>
        <w:tc>
          <w:tcPr>
            <w:tcW w:w="567" w:type="pct"/>
            <w:shd w:val="clear" w:color="auto" w:fill="auto"/>
          </w:tcPr>
          <w:p w14:paraId="34AF4A06"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.044</w:t>
            </w:r>
          </w:p>
        </w:tc>
      </w:tr>
      <w:tr w:rsidR="00F514C9" w:rsidRPr="00C319D0" w14:paraId="3AF7772C" w14:textId="77777777" w:rsidTr="006456A9">
        <w:tc>
          <w:tcPr>
            <w:cnfStyle w:val="000010000000" w:firstRow="0" w:lastRow="0" w:firstColumn="0" w:lastColumn="0" w:oddVBand="1" w:evenVBand="0" w:oddHBand="0" w:evenHBand="0" w:firstRowFirstColumn="0" w:firstRowLastColumn="0" w:lastRowFirstColumn="0" w:lastRowLastColumn="0"/>
            <w:tcW w:w="672" w:type="pct"/>
            <w:vMerge/>
            <w:shd w:val="clear" w:color="auto" w:fill="auto"/>
          </w:tcPr>
          <w:p w14:paraId="741D8A86" w14:textId="77777777" w:rsidR="00F514C9" w:rsidRPr="00C319D0" w:rsidRDefault="00F514C9" w:rsidP="00F514C9">
            <w:pPr>
              <w:jc w:val="both"/>
              <w:rPr>
                <w:rFonts w:ascii="Cambria" w:eastAsia="Times New Roman" w:hAnsi="Cambria" w:cs="Times New Roman"/>
                <w:bCs/>
                <w:color w:val="000000" w:themeColor="text1"/>
                <w:sz w:val="20"/>
                <w:szCs w:val="20"/>
                <w:lang w:eastAsia="tr-TR"/>
              </w:rPr>
            </w:pPr>
          </w:p>
        </w:tc>
        <w:tc>
          <w:tcPr>
            <w:tcW w:w="906" w:type="pct"/>
            <w:shd w:val="clear" w:color="auto" w:fill="auto"/>
          </w:tcPr>
          <w:p w14:paraId="2C582E0B" w14:textId="77777777" w:rsidR="00F514C9" w:rsidRPr="00C319D0" w:rsidRDefault="00F514C9" w:rsidP="00F514C9">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Yüzeysel</w:t>
            </w:r>
          </w:p>
        </w:tc>
        <w:tc>
          <w:tcPr>
            <w:cnfStyle w:val="000010000000" w:firstRow="0" w:lastRow="0" w:firstColumn="0" w:lastColumn="0" w:oddVBand="1" w:evenVBand="0" w:oddHBand="0" w:evenHBand="0" w:firstRowFirstColumn="0" w:firstRowLastColumn="0" w:lastRowFirstColumn="0" w:lastRowLastColumn="0"/>
            <w:tcW w:w="730" w:type="pct"/>
            <w:shd w:val="clear" w:color="auto" w:fill="auto"/>
          </w:tcPr>
          <w:p w14:paraId="4DEB1D1C"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381.738</w:t>
            </w:r>
          </w:p>
        </w:tc>
        <w:tc>
          <w:tcPr>
            <w:tcW w:w="384" w:type="pct"/>
            <w:shd w:val="clear" w:color="auto" w:fill="auto"/>
          </w:tcPr>
          <w:p w14:paraId="4FC88F1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w:t>
            </w:r>
          </w:p>
        </w:tc>
        <w:tc>
          <w:tcPr>
            <w:cnfStyle w:val="000010000000" w:firstRow="0" w:lastRow="0" w:firstColumn="0" w:lastColumn="0" w:oddVBand="1" w:evenVBand="0" w:oddHBand="0" w:evenHBand="0" w:firstRowFirstColumn="0" w:firstRowLastColumn="0" w:lastRowFirstColumn="0" w:lastRowLastColumn="0"/>
            <w:tcW w:w="798" w:type="pct"/>
            <w:shd w:val="clear" w:color="auto" w:fill="auto"/>
          </w:tcPr>
          <w:p w14:paraId="5C264FFA"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190.869</w:t>
            </w:r>
          </w:p>
        </w:tc>
        <w:tc>
          <w:tcPr>
            <w:tcW w:w="536" w:type="pct"/>
            <w:shd w:val="clear" w:color="auto" w:fill="auto"/>
          </w:tcPr>
          <w:p w14:paraId="44D715DE"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2.192</w:t>
            </w:r>
          </w:p>
        </w:tc>
        <w:tc>
          <w:tcPr>
            <w:cnfStyle w:val="000010000000" w:firstRow="0" w:lastRow="0" w:firstColumn="0" w:lastColumn="0" w:oddVBand="1" w:evenVBand="0" w:oddHBand="0" w:evenHBand="0" w:firstRowFirstColumn="0" w:firstRowLastColumn="0" w:lastRowFirstColumn="0" w:lastRowLastColumn="0"/>
            <w:tcW w:w="407" w:type="pct"/>
            <w:shd w:val="clear" w:color="auto" w:fill="auto"/>
          </w:tcPr>
          <w:p w14:paraId="0A6EBCA5" w14:textId="77777777" w:rsidR="00F514C9" w:rsidRPr="00C319D0" w:rsidRDefault="00F514C9" w:rsidP="00812CF9">
            <w:pPr>
              <w:jc w:val="center"/>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.112</w:t>
            </w:r>
          </w:p>
        </w:tc>
        <w:tc>
          <w:tcPr>
            <w:tcW w:w="567" w:type="pct"/>
            <w:shd w:val="clear" w:color="auto" w:fill="auto"/>
          </w:tcPr>
          <w:p w14:paraId="5547B4FF"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.006</w:t>
            </w:r>
          </w:p>
        </w:tc>
      </w:tr>
    </w:tbl>
    <w:p w14:paraId="42A3B956" w14:textId="77777777" w:rsidR="00F514C9" w:rsidRPr="00C319D0" w:rsidRDefault="00F514C9" w:rsidP="00F514C9">
      <w:pPr>
        <w:spacing w:after="0" w:line="240" w:lineRule="auto"/>
        <w:jc w:val="both"/>
        <w:rPr>
          <w:rFonts w:ascii="Cambria" w:eastAsia="Times New Roman" w:hAnsi="Cambria" w:cs="Times New Roman"/>
          <w:bCs/>
          <w:color w:val="000000" w:themeColor="text1"/>
          <w:lang w:eastAsia="tr-TR"/>
        </w:rPr>
      </w:pPr>
    </w:p>
    <w:p w14:paraId="1E09F6BB" w14:textId="77777777" w:rsidR="00F514C9" w:rsidRPr="00C319D0" w:rsidRDefault="00F514C9" w:rsidP="000F4FAE">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Sınıf düzeylerine göre, derinlemesine ve stratejik öğrenme yaklaşımları alt boyutlarında öğrencilerin öğrenme yaklaşımları arasında istatistiksel olarak a</w:t>
      </w:r>
      <w:r w:rsidR="00812CF9" w:rsidRPr="00C319D0">
        <w:rPr>
          <w:rFonts w:ascii="Cambria" w:eastAsia="Times New Roman" w:hAnsi="Cambria" w:cs="Times New Roman"/>
          <w:color w:val="000000" w:themeColor="text1"/>
          <w:lang w:eastAsia="tr-TR"/>
        </w:rPr>
        <w:t>nlamlı farklılıklar vardır (F</w:t>
      </w:r>
      <w:r w:rsidR="00812CF9" w:rsidRPr="00C319D0">
        <w:rPr>
          <w:rFonts w:ascii="Cambria" w:eastAsia="Times New Roman" w:hAnsi="Cambria" w:cs="Times New Roman"/>
          <w:color w:val="000000" w:themeColor="text1"/>
          <w:vertAlign w:val="subscript"/>
          <w:lang w:eastAsia="tr-TR"/>
        </w:rPr>
        <w:t>derinlemesine</w:t>
      </w:r>
      <w:r w:rsidR="00812CF9" w:rsidRPr="00C319D0">
        <w:rPr>
          <w:rFonts w:ascii="Cambria" w:eastAsia="Times New Roman" w:hAnsi="Cambria" w:cs="Times New Roman"/>
          <w:color w:val="000000" w:themeColor="text1"/>
          <w:lang w:eastAsia="tr-TR"/>
        </w:rPr>
        <w:t>=50.301, p&lt;.05, 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00812CF9" w:rsidRPr="00C319D0">
        <w:rPr>
          <w:rFonts w:ascii="Cambria" w:eastAsia="Times New Roman" w:hAnsi="Cambria" w:cs="Times New Roman"/>
          <w:color w:val="000000" w:themeColor="text1"/>
          <w:lang w:eastAsia="tr-TR"/>
        </w:rPr>
        <w:t>=.113; F</w:t>
      </w:r>
      <w:r w:rsidR="00812CF9" w:rsidRPr="00C319D0">
        <w:rPr>
          <w:rFonts w:ascii="Cambria" w:eastAsia="Times New Roman" w:hAnsi="Cambria" w:cs="Times New Roman"/>
          <w:color w:val="000000" w:themeColor="text1"/>
          <w:vertAlign w:val="subscript"/>
          <w:lang w:eastAsia="tr-TR"/>
        </w:rPr>
        <w:t>stratejik</w:t>
      </w:r>
      <w:r w:rsidR="00812CF9" w:rsidRPr="00C319D0">
        <w:rPr>
          <w:rFonts w:ascii="Cambria" w:eastAsia="Times New Roman" w:hAnsi="Cambria" w:cs="Times New Roman"/>
          <w:color w:val="000000" w:themeColor="text1"/>
          <w:lang w:eastAsia="tr-TR"/>
        </w:rPr>
        <w:t>=18.295, p&lt;.05, η</w:t>
      </w:r>
      <w:r w:rsidR="00812CF9" w:rsidRPr="00C319D0">
        <w:rPr>
          <w:rFonts w:ascii="Cambria" w:eastAsia="Times New Roman" w:hAnsi="Cambria" w:cs="Times New Roman"/>
          <w:color w:val="000000" w:themeColor="text1"/>
          <w:vertAlign w:val="subscript"/>
          <w:lang w:eastAsia="tr-TR"/>
        </w:rPr>
        <w:t>k</w:t>
      </w:r>
      <w:r w:rsidR="00812CF9" w:rsidRPr="00C319D0">
        <w:rPr>
          <w:rFonts w:ascii="Cambria" w:eastAsia="Times New Roman" w:hAnsi="Cambria" w:cs="Times New Roman"/>
          <w:color w:val="000000" w:themeColor="text1"/>
          <w:vertAlign w:val="superscript"/>
          <w:lang w:eastAsia="tr-TR"/>
        </w:rPr>
        <w:t>2</w:t>
      </w:r>
      <w:r w:rsidR="00812CF9" w:rsidRPr="00C319D0">
        <w:rPr>
          <w:rFonts w:ascii="Cambria" w:eastAsia="Times New Roman" w:hAnsi="Cambria" w:cs="Times New Roman"/>
          <w:color w:val="000000" w:themeColor="text1"/>
          <w:lang w:eastAsia="tr-TR"/>
        </w:rPr>
        <w:t xml:space="preserve">=.044). </w:t>
      </w:r>
      <w:r w:rsidRPr="00C319D0">
        <w:rPr>
          <w:rFonts w:ascii="Cambria" w:eastAsia="Times New Roman" w:hAnsi="Cambria" w:cs="Times New Roman"/>
          <w:color w:val="000000" w:themeColor="text1"/>
          <w:lang w:eastAsia="tr-TR"/>
        </w:rPr>
        <w:t xml:space="preserve">Yüzeysel öğrenme yaklaşımında ise öğrencilerin sınıf düzeylerine göre farklılaşma olmadığı tespit edilmiştir. </w:t>
      </w:r>
    </w:p>
    <w:p w14:paraId="3F9B6B86" w14:textId="6F792181" w:rsidR="00AF690D" w:rsidRPr="00C319D0" w:rsidRDefault="00F514C9" w:rsidP="000F4FAE">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Öğrencilerin matematik öğrenme yaklaşımlarındaki anlamlı farklılıkların hangi sınıf düzeyinden kaynaklandığını belirlemek için post-hoc testlerinden “</w:t>
      </w:r>
      <w:r w:rsidR="000F4FAE" w:rsidRPr="00C319D0">
        <w:rPr>
          <w:rFonts w:ascii="Cambria" w:eastAsia="Times New Roman" w:hAnsi="Cambria" w:cs="Times New Roman"/>
          <w:color w:val="000000" w:themeColor="text1"/>
          <w:lang w:eastAsia="tr-TR"/>
        </w:rPr>
        <w:t xml:space="preserve">Tukey” testi sonuçları Tablo </w:t>
      </w:r>
      <w:r w:rsidR="006E6BE3" w:rsidRPr="00C319D0">
        <w:rPr>
          <w:rFonts w:ascii="Cambria" w:eastAsia="Times New Roman" w:hAnsi="Cambria" w:cs="Times New Roman"/>
          <w:color w:val="000000" w:themeColor="text1"/>
          <w:lang w:eastAsia="tr-TR"/>
        </w:rPr>
        <w:t>6</w:t>
      </w:r>
      <w:r w:rsidR="000F4FAE" w:rsidRPr="00C319D0">
        <w:rPr>
          <w:rFonts w:ascii="Cambria" w:eastAsia="Times New Roman" w:hAnsi="Cambria" w:cs="Times New Roman"/>
          <w:color w:val="000000" w:themeColor="text1"/>
          <w:lang w:eastAsia="tr-TR"/>
        </w:rPr>
        <w:t>’de</w:t>
      </w:r>
      <w:r w:rsidRPr="00C319D0">
        <w:rPr>
          <w:rFonts w:ascii="Cambria" w:eastAsia="Times New Roman" w:hAnsi="Cambria" w:cs="Times New Roman"/>
          <w:color w:val="000000" w:themeColor="text1"/>
          <w:lang w:eastAsia="tr-TR"/>
        </w:rPr>
        <w:t xml:space="preserve"> verilmiştir. </w:t>
      </w:r>
    </w:p>
    <w:p w14:paraId="4878D589" w14:textId="77777777" w:rsidR="00F514C9" w:rsidRPr="00C319D0" w:rsidRDefault="000F4FAE" w:rsidP="000F4FAE">
      <w:pPr>
        <w:pStyle w:val="Heading4"/>
        <w:spacing w:before="120" w:after="120" w:line="240" w:lineRule="auto"/>
        <w:contextualSpacing/>
        <w:rPr>
          <w:rFonts w:ascii="Cambria" w:hAnsi="Cambria" w:cs="Times New Roman"/>
          <w:color w:val="auto"/>
          <w:sz w:val="20"/>
          <w:szCs w:val="20"/>
        </w:rPr>
      </w:pPr>
      <w:r w:rsidRPr="00C319D0">
        <w:rPr>
          <w:rFonts w:ascii="Cambria" w:hAnsi="Cambria" w:cs="Times New Roman"/>
          <w:b/>
          <w:i w:val="0"/>
          <w:color w:val="auto"/>
          <w:sz w:val="20"/>
          <w:szCs w:val="20"/>
        </w:rPr>
        <w:t xml:space="preserve">Tablo </w:t>
      </w:r>
      <w:r w:rsidR="006E6BE3" w:rsidRPr="00C319D0">
        <w:rPr>
          <w:rFonts w:ascii="Cambria" w:hAnsi="Cambria" w:cs="Times New Roman"/>
          <w:b/>
          <w:i w:val="0"/>
          <w:color w:val="auto"/>
          <w:sz w:val="20"/>
          <w:szCs w:val="20"/>
        </w:rPr>
        <w:t>6</w:t>
      </w:r>
      <w:r w:rsidR="00812CF9" w:rsidRPr="00C319D0">
        <w:rPr>
          <w:rFonts w:ascii="Cambria" w:hAnsi="Cambria" w:cs="Times New Roman"/>
          <w:b/>
          <w:i w:val="0"/>
          <w:color w:val="auto"/>
          <w:sz w:val="20"/>
          <w:szCs w:val="20"/>
        </w:rPr>
        <w:t xml:space="preserve">. </w:t>
      </w:r>
      <w:r w:rsidR="00812CF9" w:rsidRPr="00C319D0">
        <w:rPr>
          <w:rFonts w:ascii="Cambria" w:hAnsi="Cambria" w:cs="Times New Roman"/>
          <w:color w:val="auto"/>
          <w:sz w:val="20"/>
          <w:szCs w:val="20"/>
        </w:rPr>
        <w:t>Çoklu karşılaştırma test sonuçları</w:t>
      </w:r>
    </w:p>
    <w:tbl>
      <w:tblPr>
        <w:tblStyle w:val="AkGlgeleme1"/>
        <w:tblW w:w="0" w:type="auto"/>
        <w:tblLook w:val="04A0" w:firstRow="1" w:lastRow="0" w:firstColumn="1" w:lastColumn="0" w:noHBand="0" w:noVBand="1"/>
      </w:tblPr>
      <w:tblGrid>
        <w:gridCol w:w="1762"/>
        <w:gridCol w:w="2835"/>
        <w:gridCol w:w="1476"/>
        <w:gridCol w:w="1612"/>
        <w:gridCol w:w="1387"/>
      </w:tblGrid>
      <w:tr w:rsidR="00F514C9" w:rsidRPr="00C319D0" w14:paraId="08A6E4A8" w14:textId="77777777" w:rsidTr="000F4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shd w:val="clear" w:color="auto" w:fill="auto"/>
          </w:tcPr>
          <w:p w14:paraId="5EA4CB26"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 xml:space="preserve">Bağımlı değişken </w:t>
            </w:r>
          </w:p>
        </w:tc>
        <w:tc>
          <w:tcPr>
            <w:tcW w:w="2933" w:type="dxa"/>
            <w:shd w:val="clear" w:color="auto" w:fill="auto"/>
          </w:tcPr>
          <w:p w14:paraId="73125D99" w14:textId="77777777" w:rsidR="00F514C9" w:rsidRPr="00C319D0" w:rsidRDefault="00812CF9" w:rsidP="00812CF9">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 xml:space="preserve">                         (I)</w:t>
            </w:r>
            <w:r w:rsidR="00F514C9" w:rsidRPr="00C319D0">
              <w:rPr>
                <w:rFonts w:ascii="Cambria" w:eastAsia="Times New Roman" w:hAnsi="Cambria" w:cs="Times New Roman"/>
                <w:bCs w:val="0"/>
                <w:color w:val="000000" w:themeColor="text1"/>
                <w:sz w:val="20"/>
                <w:szCs w:val="20"/>
                <w:lang w:eastAsia="tr-TR"/>
              </w:rPr>
              <w:t>Sınıf</w:t>
            </w:r>
          </w:p>
        </w:tc>
        <w:tc>
          <w:tcPr>
            <w:tcW w:w="1518" w:type="dxa"/>
            <w:shd w:val="clear" w:color="auto" w:fill="auto"/>
          </w:tcPr>
          <w:p w14:paraId="229DACE5" w14:textId="77777777" w:rsidR="00F514C9" w:rsidRPr="00C319D0" w:rsidRDefault="00F514C9" w:rsidP="00812CF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(J) Sınıf</w:t>
            </w:r>
          </w:p>
        </w:tc>
        <w:tc>
          <w:tcPr>
            <w:tcW w:w="1638" w:type="dxa"/>
            <w:shd w:val="clear" w:color="auto" w:fill="auto"/>
          </w:tcPr>
          <w:p w14:paraId="15FE9FD7" w14:textId="77777777" w:rsidR="00F514C9" w:rsidRPr="00C319D0" w:rsidRDefault="00F514C9" w:rsidP="00812CF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Ortalama Farklar (I-J)</w:t>
            </w:r>
          </w:p>
        </w:tc>
        <w:tc>
          <w:tcPr>
            <w:tcW w:w="1421" w:type="dxa"/>
            <w:shd w:val="clear" w:color="auto" w:fill="auto"/>
          </w:tcPr>
          <w:p w14:paraId="6446BBFE" w14:textId="77777777" w:rsidR="00F514C9" w:rsidRPr="00C319D0" w:rsidRDefault="00CF70D9" w:rsidP="00812CF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000000" w:themeColor="text1"/>
                <w:sz w:val="20"/>
                <w:szCs w:val="20"/>
                <w:lang w:eastAsia="tr-TR"/>
              </w:rPr>
            </w:pPr>
            <w:r w:rsidRPr="00C319D0">
              <w:rPr>
                <w:rFonts w:ascii="Cambria" w:eastAsia="Times New Roman" w:hAnsi="Cambria" w:cs="Times New Roman"/>
                <w:bCs w:val="0"/>
                <w:color w:val="000000" w:themeColor="text1"/>
                <w:sz w:val="20"/>
                <w:szCs w:val="20"/>
                <w:lang w:eastAsia="tr-TR"/>
              </w:rPr>
              <w:t>p</w:t>
            </w:r>
          </w:p>
        </w:tc>
      </w:tr>
      <w:tr w:rsidR="00F514C9" w:rsidRPr="00C319D0" w14:paraId="071263DE" w14:textId="77777777" w:rsidTr="000F4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val="restart"/>
            <w:shd w:val="clear" w:color="auto" w:fill="auto"/>
          </w:tcPr>
          <w:p w14:paraId="059EAB4B" w14:textId="77777777" w:rsidR="00F514C9" w:rsidRPr="00C319D0" w:rsidRDefault="00F514C9" w:rsidP="00F514C9">
            <w:pPr>
              <w:jc w:val="both"/>
              <w:rPr>
                <w:rFonts w:ascii="Cambria" w:eastAsia="Times New Roman" w:hAnsi="Cambria" w:cs="Times New Roman"/>
                <w:b w:val="0"/>
                <w:bCs w:val="0"/>
                <w:color w:val="000000" w:themeColor="text1"/>
                <w:sz w:val="20"/>
                <w:szCs w:val="20"/>
                <w:lang w:eastAsia="tr-TR"/>
              </w:rPr>
            </w:pPr>
            <w:r w:rsidRPr="00C319D0">
              <w:rPr>
                <w:rFonts w:ascii="Cambria" w:eastAsia="Times New Roman" w:hAnsi="Cambria" w:cs="Times New Roman"/>
                <w:b w:val="0"/>
                <w:bCs w:val="0"/>
                <w:color w:val="000000" w:themeColor="text1"/>
                <w:sz w:val="20"/>
                <w:szCs w:val="20"/>
                <w:lang w:eastAsia="tr-TR"/>
              </w:rPr>
              <w:t>Derinlemesine</w:t>
            </w:r>
          </w:p>
        </w:tc>
        <w:tc>
          <w:tcPr>
            <w:tcW w:w="2933" w:type="dxa"/>
            <w:vMerge w:val="restart"/>
            <w:shd w:val="clear" w:color="auto" w:fill="auto"/>
          </w:tcPr>
          <w:p w14:paraId="331E20CE"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518" w:type="dxa"/>
            <w:shd w:val="clear" w:color="auto" w:fill="auto"/>
          </w:tcPr>
          <w:p w14:paraId="25DD6065"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638" w:type="dxa"/>
            <w:shd w:val="clear" w:color="auto" w:fill="auto"/>
          </w:tcPr>
          <w:p w14:paraId="38C7C933"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3.71*</w:t>
            </w:r>
          </w:p>
        </w:tc>
        <w:tc>
          <w:tcPr>
            <w:tcW w:w="1421" w:type="dxa"/>
            <w:shd w:val="clear" w:color="auto" w:fill="auto"/>
          </w:tcPr>
          <w:p w14:paraId="637E8071"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5B779E1E" w14:textId="77777777" w:rsidTr="00812CF9">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678DF5F1"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2933" w:type="dxa"/>
            <w:vMerge/>
            <w:tcBorders>
              <w:bottom w:val="single" w:sz="4" w:space="0" w:color="auto"/>
            </w:tcBorders>
            <w:shd w:val="clear" w:color="auto" w:fill="auto"/>
          </w:tcPr>
          <w:p w14:paraId="4C21048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29B7910D"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638" w:type="dxa"/>
            <w:tcBorders>
              <w:bottom w:val="single" w:sz="4" w:space="0" w:color="auto"/>
            </w:tcBorders>
            <w:shd w:val="clear" w:color="auto" w:fill="auto"/>
          </w:tcPr>
          <w:p w14:paraId="024469AE"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6.61*</w:t>
            </w:r>
          </w:p>
        </w:tc>
        <w:tc>
          <w:tcPr>
            <w:tcW w:w="1421" w:type="dxa"/>
            <w:tcBorders>
              <w:bottom w:val="single" w:sz="4" w:space="0" w:color="auto"/>
            </w:tcBorders>
            <w:shd w:val="clear" w:color="auto" w:fill="auto"/>
          </w:tcPr>
          <w:p w14:paraId="1596F668"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7A70A732" w14:textId="77777777" w:rsidTr="00812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16F9C76F"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2933" w:type="dxa"/>
            <w:vMerge w:val="restart"/>
            <w:tcBorders>
              <w:top w:val="single" w:sz="4" w:space="0" w:color="auto"/>
            </w:tcBorders>
            <w:shd w:val="clear" w:color="auto" w:fill="auto"/>
          </w:tcPr>
          <w:p w14:paraId="07649B55"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518" w:type="dxa"/>
            <w:tcBorders>
              <w:top w:val="single" w:sz="4" w:space="0" w:color="auto"/>
            </w:tcBorders>
            <w:shd w:val="clear" w:color="auto" w:fill="auto"/>
          </w:tcPr>
          <w:p w14:paraId="39A7D396"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638" w:type="dxa"/>
            <w:tcBorders>
              <w:top w:val="single" w:sz="4" w:space="0" w:color="auto"/>
            </w:tcBorders>
            <w:shd w:val="clear" w:color="auto" w:fill="auto"/>
          </w:tcPr>
          <w:p w14:paraId="766CF4CF"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-3.71*</w:t>
            </w:r>
          </w:p>
        </w:tc>
        <w:tc>
          <w:tcPr>
            <w:tcW w:w="1421" w:type="dxa"/>
            <w:tcBorders>
              <w:top w:val="single" w:sz="4" w:space="0" w:color="auto"/>
            </w:tcBorders>
            <w:shd w:val="clear" w:color="auto" w:fill="auto"/>
          </w:tcPr>
          <w:p w14:paraId="4CF8A8CD"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48F5E35D" w14:textId="77777777" w:rsidTr="00812CF9">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4ECB2A7D"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2933" w:type="dxa"/>
            <w:vMerge/>
            <w:tcBorders>
              <w:bottom w:val="single" w:sz="4" w:space="0" w:color="auto"/>
            </w:tcBorders>
            <w:shd w:val="clear" w:color="auto" w:fill="auto"/>
          </w:tcPr>
          <w:p w14:paraId="6329EB0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5A2A61C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638" w:type="dxa"/>
            <w:tcBorders>
              <w:bottom w:val="single" w:sz="4" w:space="0" w:color="auto"/>
            </w:tcBorders>
            <w:shd w:val="clear" w:color="auto" w:fill="auto"/>
          </w:tcPr>
          <w:p w14:paraId="26F60143"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2.90*</w:t>
            </w:r>
          </w:p>
        </w:tc>
        <w:tc>
          <w:tcPr>
            <w:tcW w:w="1421" w:type="dxa"/>
            <w:tcBorders>
              <w:bottom w:val="single" w:sz="4" w:space="0" w:color="auto"/>
            </w:tcBorders>
            <w:shd w:val="clear" w:color="auto" w:fill="auto"/>
          </w:tcPr>
          <w:p w14:paraId="469B2561"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3B121DB5" w14:textId="77777777" w:rsidTr="00812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1C203A8F"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2933" w:type="dxa"/>
            <w:vMerge w:val="restart"/>
            <w:tcBorders>
              <w:top w:val="single" w:sz="4" w:space="0" w:color="auto"/>
            </w:tcBorders>
            <w:shd w:val="clear" w:color="auto" w:fill="auto"/>
          </w:tcPr>
          <w:p w14:paraId="1B733646"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518" w:type="dxa"/>
            <w:tcBorders>
              <w:top w:val="single" w:sz="4" w:space="0" w:color="auto"/>
            </w:tcBorders>
            <w:shd w:val="clear" w:color="auto" w:fill="auto"/>
          </w:tcPr>
          <w:p w14:paraId="2DF5E95B"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638" w:type="dxa"/>
            <w:tcBorders>
              <w:top w:val="single" w:sz="4" w:space="0" w:color="auto"/>
            </w:tcBorders>
            <w:shd w:val="clear" w:color="auto" w:fill="auto"/>
          </w:tcPr>
          <w:p w14:paraId="4E061E4D"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-6.61*</w:t>
            </w:r>
          </w:p>
        </w:tc>
        <w:tc>
          <w:tcPr>
            <w:tcW w:w="1421" w:type="dxa"/>
            <w:tcBorders>
              <w:top w:val="single" w:sz="4" w:space="0" w:color="auto"/>
            </w:tcBorders>
            <w:shd w:val="clear" w:color="auto" w:fill="auto"/>
          </w:tcPr>
          <w:p w14:paraId="5BC54C6F"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3E0DEFA6" w14:textId="77777777" w:rsidTr="00D12FD2">
        <w:tc>
          <w:tcPr>
            <w:cnfStyle w:val="001000000000" w:firstRow="0" w:lastRow="0" w:firstColumn="1" w:lastColumn="0" w:oddVBand="0" w:evenVBand="0" w:oddHBand="0" w:evenHBand="0" w:firstRowFirstColumn="0" w:firstRowLastColumn="0" w:lastRowFirstColumn="0" w:lastRowLastColumn="0"/>
            <w:tcW w:w="1778" w:type="dxa"/>
            <w:vMerge/>
            <w:tcBorders>
              <w:bottom w:val="single" w:sz="4" w:space="0" w:color="auto"/>
            </w:tcBorders>
            <w:shd w:val="clear" w:color="auto" w:fill="auto"/>
          </w:tcPr>
          <w:p w14:paraId="410A8B5C" w14:textId="77777777" w:rsidR="00F514C9" w:rsidRPr="00C319D0" w:rsidRDefault="00F514C9" w:rsidP="00F514C9">
            <w:pPr>
              <w:spacing w:after="160" w:line="259" w:lineRule="auto"/>
              <w:jc w:val="both"/>
              <w:rPr>
                <w:rFonts w:ascii="Cambria" w:eastAsia="Times New Roman" w:hAnsi="Cambria" w:cs="Times New Roman"/>
                <w:b w:val="0"/>
                <w:bCs w:val="0"/>
                <w:color w:val="000000" w:themeColor="text1"/>
                <w:sz w:val="20"/>
                <w:szCs w:val="20"/>
                <w:lang w:eastAsia="tr-TR"/>
              </w:rPr>
            </w:pPr>
          </w:p>
        </w:tc>
        <w:tc>
          <w:tcPr>
            <w:tcW w:w="2933" w:type="dxa"/>
            <w:vMerge/>
            <w:tcBorders>
              <w:bottom w:val="single" w:sz="4" w:space="0" w:color="auto"/>
            </w:tcBorders>
            <w:shd w:val="clear" w:color="auto" w:fill="auto"/>
          </w:tcPr>
          <w:p w14:paraId="4C9123C2"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7715B36C"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638" w:type="dxa"/>
            <w:tcBorders>
              <w:bottom w:val="single" w:sz="4" w:space="0" w:color="auto"/>
            </w:tcBorders>
            <w:shd w:val="clear" w:color="auto" w:fill="auto"/>
          </w:tcPr>
          <w:p w14:paraId="1691304C"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-2.90*</w:t>
            </w:r>
          </w:p>
        </w:tc>
        <w:tc>
          <w:tcPr>
            <w:tcW w:w="1421" w:type="dxa"/>
            <w:tcBorders>
              <w:bottom w:val="single" w:sz="4" w:space="0" w:color="auto"/>
            </w:tcBorders>
            <w:shd w:val="clear" w:color="auto" w:fill="auto"/>
          </w:tcPr>
          <w:p w14:paraId="5AF6830A"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1F8A925E" w14:textId="77777777" w:rsidTr="00D1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val="restart"/>
            <w:tcBorders>
              <w:top w:val="single" w:sz="4" w:space="0" w:color="auto"/>
            </w:tcBorders>
            <w:shd w:val="clear" w:color="auto" w:fill="auto"/>
          </w:tcPr>
          <w:p w14:paraId="37AF850D" w14:textId="77777777" w:rsidR="00F514C9" w:rsidRPr="00C319D0" w:rsidRDefault="00F514C9" w:rsidP="00F514C9">
            <w:pPr>
              <w:jc w:val="both"/>
              <w:rPr>
                <w:rFonts w:ascii="Cambria" w:eastAsia="Times New Roman" w:hAnsi="Cambria" w:cs="Times New Roman"/>
                <w:b w:val="0"/>
                <w:bCs w:val="0"/>
                <w:color w:val="000000" w:themeColor="text1"/>
                <w:sz w:val="20"/>
                <w:szCs w:val="20"/>
                <w:lang w:eastAsia="tr-TR"/>
              </w:rPr>
            </w:pPr>
            <w:r w:rsidRPr="00C319D0">
              <w:rPr>
                <w:rFonts w:ascii="Cambria" w:eastAsia="Times New Roman" w:hAnsi="Cambria" w:cs="Times New Roman"/>
                <w:b w:val="0"/>
                <w:bCs w:val="0"/>
                <w:color w:val="000000" w:themeColor="text1"/>
                <w:sz w:val="20"/>
                <w:szCs w:val="20"/>
                <w:lang w:eastAsia="tr-TR"/>
              </w:rPr>
              <w:t>Stratejik</w:t>
            </w:r>
          </w:p>
        </w:tc>
        <w:tc>
          <w:tcPr>
            <w:tcW w:w="2933" w:type="dxa"/>
            <w:vMerge w:val="restart"/>
            <w:tcBorders>
              <w:top w:val="single" w:sz="4" w:space="0" w:color="auto"/>
            </w:tcBorders>
            <w:shd w:val="clear" w:color="auto" w:fill="auto"/>
          </w:tcPr>
          <w:p w14:paraId="63902414"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518" w:type="dxa"/>
            <w:tcBorders>
              <w:top w:val="single" w:sz="4" w:space="0" w:color="auto"/>
            </w:tcBorders>
            <w:shd w:val="clear" w:color="auto" w:fill="auto"/>
          </w:tcPr>
          <w:p w14:paraId="2BC503BC"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638" w:type="dxa"/>
            <w:tcBorders>
              <w:top w:val="single" w:sz="4" w:space="0" w:color="auto"/>
            </w:tcBorders>
            <w:shd w:val="clear" w:color="auto" w:fill="auto"/>
          </w:tcPr>
          <w:p w14:paraId="402D0F6D"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2.76*</w:t>
            </w:r>
          </w:p>
        </w:tc>
        <w:tc>
          <w:tcPr>
            <w:tcW w:w="1421" w:type="dxa"/>
            <w:tcBorders>
              <w:top w:val="single" w:sz="4" w:space="0" w:color="auto"/>
            </w:tcBorders>
            <w:shd w:val="clear" w:color="auto" w:fill="auto"/>
          </w:tcPr>
          <w:p w14:paraId="1BB5910E"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3D08C453" w14:textId="77777777" w:rsidTr="00D12FD2">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221DD02E"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2933" w:type="dxa"/>
            <w:vMerge/>
            <w:tcBorders>
              <w:bottom w:val="single" w:sz="4" w:space="0" w:color="auto"/>
            </w:tcBorders>
            <w:shd w:val="clear" w:color="auto" w:fill="auto"/>
          </w:tcPr>
          <w:p w14:paraId="6CC838BE"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5835CE8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638" w:type="dxa"/>
            <w:tcBorders>
              <w:bottom w:val="single" w:sz="4" w:space="0" w:color="auto"/>
            </w:tcBorders>
            <w:shd w:val="clear" w:color="auto" w:fill="auto"/>
          </w:tcPr>
          <w:p w14:paraId="2340F47A"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3.65*</w:t>
            </w:r>
          </w:p>
        </w:tc>
        <w:tc>
          <w:tcPr>
            <w:tcW w:w="1421" w:type="dxa"/>
            <w:tcBorders>
              <w:bottom w:val="single" w:sz="4" w:space="0" w:color="auto"/>
            </w:tcBorders>
            <w:shd w:val="clear" w:color="auto" w:fill="auto"/>
          </w:tcPr>
          <w:p w14:paraId="0DEFA139"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151212AF" w14:textId="77777777" w:rsidTr="00D1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14607BF9"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2933" w:type="dxa"/>
            <w:vMerge w:val="restart"/>
            <w:tcBorders>
              <w:top w:val="single" w:sz="4" w:space="0" w:color="auto"/>
            </w:tcBorders>
            <w:shd w:val="clear" w:color="auto" w:fill="auto"/>
          </w:tcPr>
          <w:p w14:paraId="5480AE70"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518" w:type="dxa"/>
            <w:tcBorders>
              <w:top w:val="single" w:sz="4" w:space="0" w:color="auto"/>
            </w:tcBorders>
            <w:shd w:val="clear" w:color="auto" w:fill="auto"/>
          </w:tcPr>
          <w:p w14:paraId="67B0D441"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638" w:type="dxa"/>
            <w:tcBorders>
              <w:top w:val="single" w:sz="4" w:space="0" w:color="auto"/>
            </w:tcBorders>
            <w:shd w:val="clear" w:color="auto" w:fill="auto"/>
          </w:tcPr>
          <w:p w14:paraId="05CBAC17"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-2.76*</w:t>
            </w:r>
          </w:p>
        </w:tc>
        <w:tc>
          <w:tcPr>
            <w:tcW w:w="1421" w:type="dxa"/>
            <w:tcBorders>
              <w:top w:val="single" w:sz="4" w:space="0" w:color="auto"/>
            </w:tcBorders>
            <w:shd w:val="clear" w:color="auto" w:fill="auto"/>
          </w:tcPr>
          <w:p w14:paraId="7195A619"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652392CE" w14:textId="77777777" w:rsidTr="00D12FD2">
        <w:tc>
          <w:tcPr>
            <w:cnfStyle w:val="001000000000" w:firstRow="0" w:lastRow="0" w:firstColumn="1" w:lastColumn="0" w:oddVBand="0" w:evenVBand="0" w:oddHBand="0" w:evenHBand="0" w:firstRowFirstColumn="0" w:firstRowLastColumn="0" w:lastRowFirstColumn="0" w:lastRowLastColumn="0"/>
            <w:tcW w:w="1778" w:type="dxa"/>
            <w:vMerge/>
            <w:shd w:val="clear" w:color="auto" w:fill="auto"/>
          </w:tcPr>
          <w:p w14:paraId="716371F4"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2933" w:type="dxa"/>
            <w:vMerge/>
            <w:tcBorders>
              <w:bottom w:val="single" w:sz="4" w:space="0" w:color="auto"/>
            </w:tcBorders>
            <w:shd w:val="clear" w:color="auto" w:fill="auto"/>
          </w:tcPr>
          <w:p w14:paraId="0F178831"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14D07EAB"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638" w:type="dxa"/>
            <w:tcBorders>
              <w:bottom w:val="single" w:sz="4" w:space="0" w:color="auto"/>
            </w:tcBorders>
            <w:shd w:val="clear" w:color="auto" w:fill="auto"/>
          </w:tcPr>
          <w:p w14:paraId="1D9828CF"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0.90</w:t>
            </w:r>
          </w:p>
        </w:tc>
        <w:tc>
          <w:tcPr>
            <w:tcW w:w="1421" w:type="dxa"/>
            <w:tcBorders>
              <w:bottom w:val="single" w:sz="4" w:space="0" w:color="auto"/>
            </w:tcBorders>
            <w:shd w:val="clear" w:color="auto" w:fill="auto"/>
          </w:tcPr>
          <w:p w14:paraId="716259FF"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0.303</w:t>
            </w:r>
          </w:p>
        </w:tc>
      </w:tr>
      <w:tr w:rsidR="00F514C9" w:rsidRPr="00C319D0" w14:paraId="1F272EAF" w14:textId="77777777" w:rsidTr="00D1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Borders>
              <w:bottom w:val="single" w:sz="4" w:space="0" w:color="auto"/>
            </w:tcBorders>
            <w:shd w:val="clear" w:color="auto" w:fill="auto"/>
          </w:tcPr>
          <w:p w14:paraId="20C3DCC1"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2933" w:type="dxa"/>
            <w:vMerge w:val="restart"/>
            <w:tcBorders>
              <w:top w:val="single" w:sz="4" w:space="0" w:color="auto"/>
            </w:tcBorders>
            <w:shd w:val="clear" w:color="auto" w:fill="auto"/>
          </w:tcPr>
          <w:p w14:paraId="14F88B84"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8</w:t>
            </w:r>
          </w:p>
        </w:tc>
        <w:tc>
          <w:tcPr>
            <w:tcW w:w="1518" w:type="dxa"/>
            <w:tcBorders>
              <w:top w:val="single" w:sz="4" w:space="0" w:color="auto"/>
            </w:tcBorders>
            <w:shd w:val="clear" w:color="auto" w:fill="auto"/>
          </w:tcPr>
          <w:p w14:paraId="1E0D11A9"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6</w:t>
            </w:r>
          </w:p>
        </w:tc>
        <w:tc>
          <w:tcPr>
            <w:tcW w:w="1638" w:type="dxa"/>
            <w:tcBorders>
              <w:top w:val="single" w:sz="4" w:space="0" w:color="auto"/>
            </w:tcBorders>
            <w:shd w:val="clear" w:color="auto" w:fill="auto"/>
          </w:tcPr>
          <w:p w14:paraId="766B378A"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-3.65*</w:t>
            </w:r>
          </w:p>
        </w:tc>
        <w:tc>
          <w:tcPr>
            <w:tcW w:w="1421" w:type="dxa"/>
            <w:tcBorders>
              <w:top w:val="single" w:sz="4" w:space="0" w:color="auto"/>
            </w:tcBorders>
            <w:shd w:val="clear" w:color="auto" w:fill="auto"/>
          </w:tcPr>
          <w:p w14:paraId="0A3E9D5A" w14:textId="77777777" w:rsidR="00F514C9" w:rsidRPr="00C319D0" w:rsidRDefault="00F514C9" w:rsidP="00812CF9">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0.000</w:t>
            </w:r>
          </w:p>
        </w:tc>
      </w:tr>
      <w:tr w:rsidR="00F514C9" w:rsidRPr="00C319D0" w14:paraId="09A127CB" w14:textId="77777777" w:rsidTr="00D12FD2">
        <w:tc>
          <w:tcPr>
            <w:cnfStyle w:val="001000000000" w:firstRow="0" w:lastRow="0" w:firstColumn="1" w:lastColumn="0" w:oddVBand="0" w:evenVBand="0" w:oddHBand="0" w:evenHBand="0" w:firstRowFirstColumn="0" w:firstRowLastColumn="0" w:lastRowFirstColumn="0" w:lastRowLastColumn="0"/>
            <w:tcW w:w="1778" w:type="dxa"/>
            <w:vMerge/>
            <w:tcBorders>
              <w:top w:val="single" w:sz="4" w:space="0" w:color="auto"/>
              <w:bottom w:val="single" w:sz="4" w:space="0" w:color="auto"/>
            </w:tcBorders>
            <w:shd w:val="clear" w:color="auto" w:fill="auto"/>
          </w:tcPr>
          <w:p w14:paraId="3D36B0C3" w14:textId="77777777" w:rsidR="00F514C9" w:rsidRPr="00C319D0" w:rsidRDefault="00F514C9" w:rsidP="00F514C9">
            <w:pPr>
              <w:jc w:val="both"/>
              <w:rPr>
                <w:rFonts w:ascii="Cambria" w:eastAsia="Times New Roman" w:hAnsi="Cambria" w:cs="Times New Roman"/>
                <w:bCs w:val="0"/>
                <w:color w:val="000000" w:themeColor="text1"/>
                <w:sz w:val="20"/>
                <w:szCs w:val="20"/>
                <w:lang w:eastAsia="tr-TR"/>
              </w:rPr>
            </w:pPr>
          </w:p>
        </w:tc>
        <w:tc>
          <w:tcPr>
            <w:tcW w:w="2933" w:type="dxa"/>
            <w:vMerge/>
            <w:tcBorders>
              <w:bottom w:val="single" w:sz="4" w:space="0" w:color="auto"/>
            </w:tcBorders>
            <w:shd w:val="clear" w:color="auto" w:fill="auto"/>
          </w:tcPr>
          <w:p w14:paraId="762803BA"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p>
        </w:tc>
        <w:tc>
          <w:tcPr>
            <w:tcW w:w="1518" w:type="dxa"/>
            <w:tcBorders>
              <w:bottom w:val="single" w:sz="4" w:space="0" w:color="auto"/>
            </w:tcBorders>
            <w:shd w:val="clear" w:color="auto" w:fill="auto"/>
          </w:tcPr>
          <w:p w14:paraId="7823DD12"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7</w:t>
            </w:r>
          </w:p>
        </w:tc>
        <w:tc>
          <w:tcPr>
            <w:tcW w:w="1638" w:type="dxa"/>
            <w:tcBorders>
              <w:bottom w:val="single" w:sz="4" w:space="0" w:color="auto"/>
            </w:tcBorders>
            <w:shd w:val="clear" w:color="auto" w:fill="auto"/>
          </w:tcPr>
          <w:p w14:paraId="12E4E7F7"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w:t>
            </w:r>
            <w:r w:rsidR="00D12FD2" w:rsidRPr="00C319D0">
              <w:rPr>
                <w:rFonts w:ascii="Cambria" w:eastAsia="Times New Roman" w:hAnsi="Cambria" w:cs="Times New Roman"/>
                <w:bCs/>
                <w:color w:val="000000" w:themeColor="text1"/>
                <w:sz w:val="20"/>
                <w:szCs w:val="20"/>
                <w:lang w:eastAsia="tr-TR"/>
              </w:rPr>
              <w:t>0</w:t>
            </w:r>
            <w:r w:rsidRPr="00C319D0">
              <w:rPr>
                <w:rFonts w:ascii="Cambria" w:eastAsia="Times New Roman" w:hAnsi="Cambria" w:cs="Times New Roman"/>
                <w:bCs/>
                <w:color w:val="000000" w:themeColor="text1"/>
                <w:sz w:val="20"/>
                <w:szCs w:val="20"/>
                <w:lang w:eastAsia="tr-TR"/>
              </w:rPr>
              <w:t>.90</w:t>
            </w:r>
          </w:p>
        </w:tc>
        <w:tc>
          <w:tcPr>
            <w:tcW w:w="1421" w:type="dxa"/>
            <w:tcBorders>
              <w:bottom w:val="single" w:sz="4" w:space="0" w:color="auto"/>
            </w:tcBorders>
            <w:shd w:val="clear" w:color="auto" w:fill="auto"/>
          </w:tcPr>
          <w:p w14:paraId="72A39BE9" w14:textId="77777777" w:rsidR="00F514C9" w:rsidRPr="00C319D0" w:rsidRDefault="00F514C9" w:rsidP="00812CF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000000" w:themeColor="text1"/>
                <w:sz w:val="20"/>
                <w:szCs w:val="20"/>
                <w:lang w:eastAsia="tr-TR"/>
              </w:rPr>
            </w:pPr>
            <w:r w:rsidRPr="00C319D0">
              <w:rPr>
                <w:rFonts w:ascii="Cambria" w:eastAsia="Times New Roman" w:hAnsi="Cambria" w:cs="Times New Roman"/>
                <w:bCs/>
                <w:color w:val="000000" w:themeColor="text1"/>
                <w:sz w:val="20"/>
                <w:szCs w:val="20"/>
                <w:lang w:eastAsia="tr-TR"/>
              </w:rPr>
              <w:t>0.303</w:t>
            </w:r>
          </w:p>
        </w:tc>
      </w:tr>
    </w:tbl>
    <w:p w14:paraId="06804AD3" w14:textId="77777777" w:rsidR="00A66F4B" w:rsidRPr="00C319D0" w:rsidRDefault="00A66F4B" w:rsidP="00D12FD2">
      <w:pPr>
        <w:spacing w:after="0" w:line="240" w:lineRule="auto"/>
        <w:ind w:firstLine="567"/>
        <w:jc w:val="both"/>
        <w:rPr>
          <w:rFonts w:ascii="Cambria" w:eastAsia="Times New Roman" w:hAnsi="Cambria" w:cs="Times New Roman"/>
          <w:color w:val="000000" w:themeColor="text1"/>
          <w:lang w:eastAsia="tr-TR"/>
        </w:rPr>
      </w:pPr>
    </w:p>
    <w:p w14:paraId="02C33D59" w14:textId="77777777" w:rsidR="002D5974" w:rsidRPr="00C319D0" w:rsidRDefault="000F4FAE" w:rsidP="00D12FD2">
      <w:pPr>
        <w:spacing w:after="0" w:line="240" w:lineRule="auto"/>
        <w:ind w:firstLine="567"/>
        <w:jc w:val="both"/>
        <w:rPr>
          <w:rFonts w:ascii="Cambria" w:eastAsia="Times New Roman" w:hAnsi="Cambria" w:cs="Times New Roman"/>
          <w:color w:val="000000" w:themeColor="text1"/>
          <w:lang w:eastAsia="tr-TR"/>
        </w:rPr>
      </w:pPr>
      <w:r w:rsidRPr="00C319D0">
        <w:rPr>
          <w:rFonts w:ascii="Cambria" w:eastAsia="Times New Roman" w:hAnsi="Cambria" w:cs="Times New Roman"/>
          <w:color w:val="000000" w:themeColor="text1"/>
          <w:lang w:eastAsia="tr-TR"/>
        </w:rPr>
        <w:t xml:space="preserve">Tablo </w:t>
      </w:r>
      <w:r w:rsidR="006E6BE3" w:rsidRPr="00C319D0">
        <w:rPr>
          <w:rFonts w:ascii="Cambria" w:eastAsia="Times New Roman" w:hAnsi="Cambria" w:cs="Times New Roman"/>
          <w:color w:val="000000" w:themeColor="text1"/>
          <w:lang w:eastAsia="tr-TR"/>
        </w:rPr>
        <w:t>6</w:t>
      </w:r>
      <w:r w:rsidRPr="00C319D0">
        <w:rPr>
          <w:rFonts w:ascii="Cambria" w:eastAsia="Times New Roman" w:hAnsi="Cambria" w:cs="Times New Roman"/>
          <w:color w:val="000000" w:themeColor="text1"/>
          <w:lang w:eastAsia="tr-TR"/>
        </w:rPr>
        <w:t xml:space="preserve"> incelendiğinde, 6. s</w:t>
      </w:r>
      <w:r w:rsidR="00F514C9" w:rsidRPr="00C319D0">
        <w:rPr>
          <w:rFonts w:ascii="Cambria" w:eastAsia="Times New Roman" w:hAnsi="Cambria" w:cs="Times New Roman"/>
          <w:color w:val="000000" w:themeColor="text1"/>
          <w:lang w:eastAsia="tr-TR"/>
        </w:rPr>
        <w:t>ınıf öğrencilerinin matematik öğrenme yaklaşımları puanları, derinlemesine ve stratejik öğrenme yakl</w:t>
      </w:r>
      <w:r w:rsidRPr="00C319D0">
        <w:rPr>
          <w:rFonts w:ascii="Cambria" w:eastAsia="Times New Roman" w:hAnsi="Cambria" w:cs="Times New Roman"/>
          <w:color w:val="000000" w:themeColor="text1"/>
          <w:lang w:eastAsia="tr-TR"/>
        </w:rPr>
        <w:t>aşımı alt boyutlarında, hem 7. sınıf hem de 8. s</w:t>
      </w:r>
      <w:r w:rsidR="00F514C9" w:rsidRPr="00C319D0">
        <w:rPr>
          <w:rFonts w:ascii="Cambria" w:eastAsia="Times New Roman" w:hAnsi="Cambria" w:cs="Times New Roman"/>
          <w:color w:val="000000" w:themeColor="text1"/>
          <w:lang w:eastAsia="tr-TR"/>
        </w:rPr>
        <w:t>ınıf öğrencilerinden yüksektir. Yani, 6.</w:t>
      </w:r>
      <w:r w:rsidR="00871627" w:rsidRPr="00C319D0">
        <w:rPr>
          <w:rFonts w:ascii="Cambria" w:eastAsia="Times New Roman" w:hAnsi="Cambria" w:cs="Times New Roman"/>
          <w:color w:val="000000" w:themeColor="text1"/>
          <w:lang w:eastAsia="tr-TR"/>
        </w:rPr>
        <w:t xml:space="preserve"> </w:t>
      </w:r>
      <w:r w:rsidR="00F514C9" w:rsidRPr="00C319D0">
        <w:rPr>
          <w:rFonts w:ascii="Cambria" w:eastAsia="Times New Roman" w:hAnsi="Cambria" w:cs="Times New Roman"/>
          <w:color w:val="000000" w:themeColor="text1"/>
          <w:lang w:eastAsia="tr-TR"/>
        </w:rPr>
        <w:t>sınıf öğrencileri hem derinlemesine hem de stratejik öğrenme yaklaşımını diğer sınıflara göre daha çok tercih et</w:t>
      </w:r>
      <w:r w:rsidRPr="00C319D0">
        <w:rPr>
          <w:rFonts w:ascii="Cambria" w:eastAsia="Times New Roman" w:hAnsi="Cambria" w:cs="Times New Roman"/>
          <w:color w:val="000000" w:themeColor="text1"/>
          <w:lang w:eastAsia="tr-TR"/>
        </w:rPr>
        <w:t>mektedirler. Benzer şekilde 7. s</w:t>
      </w:r>
      <w:r w:rsidR="00F514C9" w:rsidRPr="00C319D0">
        <w:rPr>
          <w:rFonts w:ascii="Cambria" w:eastAsia="Times New Roman" w:hAnsi="Cambria" w:cs="Times New Roman"/>
          <w:color w:val="000000" w:themeColor="text1"/>
          <w:lang w:eastAsia="tr-TR"/>
        </w:rPr>
        <w:t>ınıf öğrencilerinin matematik öğrenme yaklaşımları puanları, derinlemesine ve stratejik öğrenme</w:t>
      </w:r>
      <w:r w:rsidRPr="00C319D0">
        <w:rPr>
          <w:rFonts w:ascii="Cambria" w:eastAsia="Times New Roman" w:hAnsi="Cambria" w:cs="Times New Roman"/>
          <w:color w:val="000000" w:themeColor="text1"/>
          <w:lang w:eastAsia="tr-TR"/>
        </w:rPr>
        <w:t xml:space="preserve"> yaklaşımı alt boyutlarında 8. s</w:t>
      </w:r>
      <w:r w:rsidR="00F514C9" w:rsidRPr="00C319D0">
        <w:rPr>
          <w:rFonts w:ascii="Cambria" w:eastAsia="Times New Roman" w:hAnsi="Cambria" w:cs="Times New Roman"/>
          <w:color w:val="000000" w:themeColor="text1"/>
          <w:lang w:eastAsia="tr-TR"/>
        </w:rPr>
        <w:t>ınıf öğrencilerinden yüksektir. Bu bulgu, 7.</w:t>
      </w:r>
      <w:r w:rsidR="00871627" w:rsidRPr="00C319D0">
        <w:rPr>
          <w:rFonts w:ascii="Cambria" w:eastAsia="Times New Roman" w:hAnsi="Cambria" w:cs="Times New Roman"/>
          <w:color w:val="000000" w:themeColor="text1"/>
          <w:lang w:eastAsia="tr-TR"/>
        </w:rPr>
        <w:t xml:space="preserve"> </w:t>
      </w:r>
      <w:r w:rsidR="00F514C9" w:rsidRPr="00C319D0">
        <w:rPr>
          <w:rFonts w:ascii="Cambria" w:eastAsia="Times New Roman" w:hAnsi="Cambria" w:cs="Times New Roman"/>
          <w:color w:val="000000" w:themeColor="text1"/>
          <w:lang w:eastAsia="tr-TR"/>
        </w:rPr>
        <w:t xml:space="preserve">sınıf öğrencilerinin hem </w:t>
      </w:r>
      <w:r w:rsidR="00F514C9" w:rsidRPr="00C319D0">
        <w:rPr>
          <w:rFonts w:ascii="Cambria" w:eastAsia="Times New Roman" w:hAnsi="Cambria" w:cs="Times New Roman"/>
          <w:color w:val="000000" w:themeColor="text1"/>
          <w:lang w:eastAsia="tr-TR"/>
        </w:rPr>
        <w:lastRenderedPageBreak/>
        <w:t>derinlemesine hem de stratejik öğrenme yaklaşımını 8.</w:t>
      </w:r>
      <w:r w:rsidR="00871627" w:rsidRPr="00C319D0">
        <w:rPr>
          <w:rFonts w:ascii="Cambria" w:eastAsia="Times New Roman" w:hAnsi="Cambria" w:cs="Times New Roman"/>
          <w:color w:val="000000" w:themeColor="text1"/>
          <w:lang w:eastAsia="tr-TR"/>
        </w:rPr>
        <w:t xml:space="preserve"> </w:t>
      </w:r>
      <w:r w:rsidR="00F514C9" w:rsidRPr="00C319D0">
        <w:rPr>
          <w:rFonts w:ascii="Cambria" w:eastAsia="Times New Roman" w:hAnsi="Cambria" w:cs="Times New Roman"/>
          <w:color w:val="000000" w:themeColor="text1"/>
          <w:lang w:eastAsia="tr-TR"/>
        </w:rPr>
        <w:t>sınıf öğrencilerine göre daha çok tercih ettikleri anlamına gelmektedir.</w:t>
      </w:r>
    </w:p>
    <w:p w14:paraId="171537C2" w14:textId="77777777" w:rsidR="00496BBA" w:rsidRPr="00C319D0" w:rsidRDefault="00496BBA" w:rsidP="00496BBA">
      <w:pPr>
        <w:spacing w:before="100" w:beforeAutospacing="1" w:after="100" w:afterAutospacing="1" w:line="240" w:lineRule="auto"/>
        <w:jc w:val="center"/>
        <w:rPr>
          <w:rFonts w:ascii="Cambria" w:hAnsi="Cambria"/>
          <w:b/>
        </w:rPr>
      </w:pPr>
      <w:r w:rsidRPr="00C319D0">
        <w:rPr>
          <w:rFonts w:ascii="Cambria" w:hAnsi="Cambria"/>
          <w:b/>
        </w:rPr>
        <w:t>TARTIŞMA ve SONUÇ</w:t>
      </w:r>
    </w:p>
    <w:p w14:paraId="2408B857" w14:textId="47FBD7AA" w:rsidR="000F4FAE" w:rsidRPr="00C319D0" w:rsidRDefault="000F4FAE" w:rsidP="000F4FAE">
      <w:pPr>
        <w:spacing w:after="0" w:line="240" w:lineRule="auto"/>
        <w:ind w:firstLine="567"/>
        <w:jc w:val="both"/>
        <w:rPr>
          <w:rFonts w:ascii="Cambria" w:eastAsia="Times New Roman" w:hAnsi="Cambria" w:cs="Times New Roman"/>
          <w:bCs/>
          <w:lang w:eastAsia="tr-TR"/>
        </w:rPr>
      </w:pPr>
      <w:r w:rsidRPr="00C319D0">
        <w:rPr>
          <w:rFonts w:ascii="Cambria" w:eastAsia="Times New Roman" w:hAnsi="Cambria" w:cs="Times New Roman"/>
          <w:bCs/>
          <w:lang w:eastAsia="tr-TR"/>
        </w:rPr>
        <w:t>Bu çalışmada ortaokul öğrencilerinin matematik dersindeki öğrenme yaklaşımlarını değerlendiren bir ölçme aracı geliştirilmiştir.</w:t>
      </w:r>
      <w:r w:rsidR="00DD7823" w:rsidRPr="00C319D0">
        <w:rPr>
          <w:rFonts w:ascii="Cambria" w:eastAsia="Times New Roman" w:hAnsi="Cambria" w:cs="Times New Roman"/>
          <w:bCs/>
          <w:lang w:eastAsia="tr-TR"/>
        </w:rPr>
        <w:t xml:space="preserve"> </w:t>
      </w:r>
      <w:r w:rsidR="00E67C9C" w:rsidRPr="00C319D0">
        <w:rPr>
          <w:rFonts w:ascii="Cambria" w:eastAsia="Times New Roman" w:hAnsi="Cambria" w:cs="Times New Roman"/>
          <w:bCs/>
          <w:lang w:eastAsia="tr-TR"/>
        </w:rPr>
        <w:t>Gerçekleştirilen varyans analizi sonunda ölçeğe ait açıklanan varyans oranının % 41.048 olduğu tespit edilmiştir. Ulaşılan varyans oranı ne kadar yüksek olursa ölçeğin faktör yapısı o kadar güçlü olmaktadır ancak sosyal bilimlerde yüksek varyans oranına ulaşmak pek mümkün olmamaktadır (Tavşancıl, 2002). Bu ölçek için elde edilen varyans oranı % 40 ile % 60 arasında olduğundan açıklanan varyans oranı kabul edilebilir düzeydedir (Scherer</w:t>
      </w:r>
      <w:r w:rsidR="00532A0E">
        <w:rPr>
          <w:rFonts w:ascii="Cambria" w:eastAsia="Times New Roman" w:hAnsi="Cambria" w:cs="Times New Roman"/>
          <w:bCs/>
          <w:lang w:eastAsia="tr-TR"/>
        </w:rPr>
        <w:t xml:space="preserve"> ve diğ.</w:t>
      </w:r>
      <w:r w:rsidR="00E67C9C" w:rsidRPr="00C319D0">
        <w:rPr>
          <w:rFonts w:ascii="Cambria" w:eastAsia="Times New Roman" w:hAnsi="Cambria" w:cs="Times New Roman"/>
          <w:bCs/>
          <w:lang w:eastAsia="tr-TR"/>
        </w:rPr>
        <w:t xml:space="preserve">, 1988). </w:t>
      </w:r>
      <w:r w:rsidR="00CF70D9" w:rsidRPr="00C319D0">
        <w:rPr>
          <w:rFonts w:ascii="Cambria" w:eastAsia="Times New Roman" w:hAnsi="Cambria" w:cs="Times New Roman"/>
          <w:bCs/>
          <w:lang w:eastAsia="tr-TR"/>
        </w:rPr>
        <w:t xml:space="preserve">Ölçeğin kuramsal çerçeveye uygun olarak derinlemesine, stratejik ve yüzeysel öğrenme yaklaşımları şeklinde isimlendirilen üç alt boyutu bulunmaktadır. </w:t>
      </w:r>
      <w:r w:rsidR="00E67C9C" w:rsidRPr="00C319D0">
        <w:rPr>
          <w:rFonts w:ascii="Cambria" w:eastAsia="Times New Roman" w:hAnsi="Cambria" w:cs="Times New Roman"/>
          <w:bCs/>
          <w:lang w:eastAsia="tr-TR"/>
        </w:rPr>
        <w:t xml:space="preserve"> </w:t>
      </w:r>
      <w:r w:rsidR="001A37CF" w:rsidRPr="00C319D0">
        <w:rPr>
          <w:rFonts w:ascii="Cambria" w:eastAsia="Times New Roman" w:hAnsi="Cambria" w:cs="Times New Roman"/>
          <w:bCs/>
          <w:lang w:eastAsia="tr-TR"/>
        </w:rPr>
        <w:t>Dolayısıyla bu çalışmada ortaya çıkan faktöriyel yapı öğrenme yaklaşımları ile ilgili mevcut literatürle örtüşmektedir (</w:t>
      </w:r>
      <w:r w:rsidR="001A37CF" w:rsidRPr="00C319D0">
        <w:rPr>
          <w:rFonts w:ascii="Cambria" w:eastAsia="Times New Roman" w:hAnsi="Cambria" w:cs="Times New Roman"/>
          <w:color w:val="000000" w:themeColor="text1"/>
          <w:lang w:eastAsia="tr-TR"/>
        </w:rPr>
        <w:t xml:space="preserve">Tait, Entwistle </w:t>
      </w:r>
      <w:r w:rsidR="00CA261A">
        <w:rPr>
          <w:rFonts w:ascii="Cambria" w:eastAsia="Times New Roman" w:hAnsi="Cambria" w:cs="Times New Roman"/>
          <w:color w:val="000000" w:themeColor="text1"/>
          <w:lang w:eastAsia="tr-TR"/>
        </w:rPr>
        <w:t>&amp;</w:t>
      </w:r>
      <w:r w:rsidR="001A37CF" w:rsidRPr="00C319D0">
        <w:rPr>
          <w:rFonts w:ascii="Cambria" w:eastAsia="Times New Roman" w:hAnsi="Cambria" w:cs="Times New Roman"/>
          <w:color w:val="000000" w:themeColor="text1"/>
          <w:lang w:eastAsia="tr-TR"/>
        </w:rPr>
        <w:t xml:space="preserve"> McCune, 1998</w:t>
      </w:r>
      <w:r w:rsidR="00CA261A">
        <w:rPr>
          <w:rFonts w:ascii="Cambria" w:eastAsia="Times New Roman" w:hAnsi="Cambria" w:cs="Times New Roman"/>
          <w:color w:val="000000" w:themeColor="text1"/>
          <w:lang w:eastAsia="tr-TR"/>
        </w:rPr>
        <w:t>;</w:t>
      </w:r>
      <w:r w:rsidR="001A37CF" w:rsidRPr="00C319D0">
        <w:rPr>
          <w:rFonts w:ascii="Cambria" w:eastAsia="Times New Roman" w:hAnsi="Cambria" w:cs="Times New Roman"/>
          <w:color w:val="000000" w:themeColor="text1"/>
          <w:lang w:eastAsia="tr-TR"/>
        </w:rPr>
        <w:t xml:space="preserve"> Senemoğlu, 2011;  Darlington, 2011). </w:t>
      </w:r>
      <w:r w:rsidR="00A53DF4" w:rsidRPr="00C319D0">
        <w:rPr>
          <w:rFonts w:ascii="Cambria" w:eastAsia="Times New Roman" w:hAnsi="Cambria" w:cs="Times New Roman"/>
          <w:bCs/>
          <w:lang w:eastAsia="tr-TR"/>
        </w:rPr>
        <w:t xml:space="preserve">Ölçeğin faktör yük değerleri .323 ile </w:t>
      </w:r>
      <w:r w:rsidRPr="00C319D0">
        <w:rPr>
          <w:rFonts w:ascii="Cambria" w:eastAsia="Times New Roman" w:hAnsi="Cambria" w:cs="Times New Roman"/>
          <w:bCs/>
          <w:lang w:eastAsia="tr-TR"/>
        </w:rPr>
        <w:t>.713</w:t>
      </w:r>
      <w:r w:rsidR="00A53DF4" w:rsidRPr="00C319D0">
        <w:rPr>
          <w:rFonts w:ascii="Cambria" w:eastAsia="Times New Roman" w:hAnsi="Cambria" w:cs="Times New Roman"/>
          <w:bCs/>
          <w:lang w:eastAsia="tr-TR"/>
        </w:rPr>
        <w:t xml:space="preserve"> arasında değişmektedir. Düzeltilmiş madde-toplam korelasyonları .360 ile .608 arasındadır. Bu değerler maddelerin ayırt edici olduğunu göstermektedir (Büyüköztürk, 2012).</w:t>
      </w:r>
      <w:r w:rsidRPr="00C319D0">
        <w:rPr>
          <w:rFonts w:ascii="Cambria" w:eastAsia="Times New Roman" w:hAnsi="Cambria" w:cs="Times New Roman"/>
          <w:bCs/>
          <w:lang w:eastAsia="tr-TR"/>
        </w:rPr>
        <w:t xml:space="preserve"> </w:t>
      </w:r>
      <w:r w:rsidR="00A53DF4" w:rsidRPr="00C319D0">
        <w:rPr>
          <w:rFonts w:ascii="Cambria" w:eastAsia="Times New Roman" w:hAnsi="Cambria" w:cs="Times New Roman"/>
          <w:bCs/>
          <w:lang w:eastAsia="tr-TR"/>
        </w:rPr>
        <w:t>Doğrulayıcı faktör anali</w:t>
      </w:r>
      <w:r w:rsidRPr="00C319D0">
        <w:rPr>
          <w:rFonts w:ascii="Cambria" w:eastAsia="Times New Roman" w:hAnsi="Cambria" w:cs="Times New Roman"/>
          <w:bCs/>
          <w:lang w:eastAsia="tr-TR"/>
        </w:rPr>
        <w:t xml:space="preserve">zi ile </w:t>
      </w:r>
      <w:r w:rsidRPr="00C319D0">
        <w:rPr>
          <w:rFonts w:ascii="Cambria" w:eastAsia="Times New Roman" w:hAnsi="Cambria" w:cs="Times New Roman"/>
          <w:bCs/>
          <w:i/>
          <w:lang w:eastAsia="tr-TR"/>
        </w:rPr>
        <w:t>X</w:t>
      </w:r>
      <w:r w:rsidRPr="00C319D0">
        <w:rPr>
          <w:rFonts w:ascii="Cambria" w:eastAsia="Times New Roman" w:hAnsi="Cambria" w:cs="Times New Roman"/>
          <w:bCs/>
          <w:vertAlign w:val="superscript"/>
          <w:lang w:eastAsia="tr-TR"/>
        </w:rPr>
        <w:t>2</w:t>
      </w:r>
      <w:r w:rsidRPr="00C319D0">
        <w:rPr>
          <w:rFonts w:ascii="Cambria" w:eastAsia="Times New Roman" w:hAnsi="Cambria" w:cs="Times New Roman"/>
          <w:bCs/>
          <w:lang w:eastAsia="tr-TR"/>
        </w:rPr>
        <w:t xml:space="preserve">/sd oranı birinci düzey için 4.00, ikinci düzey için 4.09 olarak elde edilmiştir ve diğer değerler de kabul edilebilir sınırlar içerisindedir </w:t>
      </w:r>
      <w:r w:rsidRPr="00C319D0">
        <w:rPr>
          <w:rFonts w:ascii="Cambria" w:eastAsia="Times New Roman" w:hAnsi="Cambria" w:cs="Times New Roman"/>
          <w:lang w:eastAsia="tr-TR"/>
        </w:rPr>
        <w:t>(Kline,</w:t>
      </w:r>
      <w:r w:rsidR="00871627" w:rsidRPr="00C319D0">
        <w:rPr>
          <w:rFonts w:ascii="Cambria" w:eastAsia="Times New Roman" w:hAnsi="Cambria" w:cs="Times New Roman"/>
          <w:lang w:eastAsia="tr-TR"/>
        </w:rPr>
        <w:t xml:space="preserve"> </w:t>
      </w:r>
      <w:r w:rsidRPr="00C319D0">
        <w:rPr>
          <w:rFonts w:ascii="Cambria" w:eastAsia="Times New Roman" w:hAnsi="Cambria" w:cs="Times New Roman"/>
          <w:lang w:eastAsia="tr-TR"/>
        </w:rPr>
        <w:t xml:space="preserve">2011; Marcholudis </w:t>
      </w:r>
      <w:r w:rsidR="00CA261A">
        <w:rPr>
          <w:rFonts w:ascii="Cambria" w:eastAsia="Times New Roman" w:hAnsi="Cambria" w:cs="Times New Roman"/>
          <w:lang w:eastAsia="tr-TR"/>
        </w:rPr>
        <w:t>&amp;</w:t>
      </w:r>
      <w:r w:rsidRPr="00C319D0">
        <w:rPr>
          <w:rFonts w:ascii="Cambria" w:eastAsia="Times New Roman" w:hAnsi="Cambria" w:cs="Times New Roman"/>
          <w:lang w:eastAsia="tr-TR"/>
        </w:rPr>
        <w:t xml:space="preserve"> Schumacher, 2001; Meydan </w:t>
      </w:r>
      <w:r w:rsidR="00CA261A">
        <w:rPr>
          <w:rFonts w:ascii="Cambria" w:eastAsia="Times New Roman" w:hAnsi="Cambria" w:cs="Times New Roman"/>
          <w:lang w:eastAsia="tr-TR"/>
        </w:rPr>
        <w:t>&amp;</w:t>
      </w:r>
      <w:r w:rsidRPr="00C319D0">
        <w:rPr>
          <w:rFonts w:ascii="Cambria" w:eastAsia="Times New Roman" w:hAnsi="Cambria" w:cs="Times New Roman"/>
          <w:lang w:eastAsia="tr-TR"/>
        </w:rPr>
        <w:t xml:space="preserve"> Şeşen, 2011; Sümer, 2000; Şimşek, 2007). </w:t>
      </w:r>
      <w:r w:rsidR="00647E29" w:rsidRPr="00C319D0">
        <w:rPr>
          <w:rFonts w:ascii="Cambria" w:eastAsia="Times New Roman" w:hAnsi="Cambria" w:cs="Times New Roman"/>
          <w:lang w:eastAsia="tr-TR"/>
        </w:rPr>
        <w:t xml:space="preserve">Model değerlendirmede en çok kullanılan uyum iyiliği indeksi GFI (Erdoğan, Bayram </w:t>
      </w:r>
      <w:r w:rsidR="00CA261A">
        <w:rPr>
          <w:rFonts w:ascii="Cambria" w:eastAsia="Times New Roman" w:hAnsi="Cambria" w:cs="Times New Roman"/>
          <w:lang w:eastAsia="tr-TR"/>
        </w:rPr>
        <w:t>&amp;</w:t>
      </w:r>
      <w:r w:rsidR="00647E29" w:rsidRPr="00C319D0">
        <w:rPr>
          <w:rFonts w:ascii="Cambria" w:eastAsia="Times New Roman" w:hAnsi="Cambria" w:cs="Times New Roman"/>
          <w:lang w:eastAsia="tr-TR"/>
        </w:rPr>
        <w:t xml:space="preserve"> Deniz, 2007) birinci düzey doğrulayıcı faktör analizi için 0.87, ikinci düzey doğrulayıcı faktör analizi için 0.85 olarak bulunmuştur. </w:t>
      </w:r>
      <w:r w:rsidRPr="00C319D0">
        <w:rPr>
          <w:rFonts w:ascii="Cambria" w:eastAsia="Times New Roman" w:hAnsi="Cambria" w:cs="Times New Roman"/>
          <w:bCs/>
          <w:lang w:eastAsia="tr-TR"/>
        </w:rPr>
        <w:t>Bu sonuç</w:t>
      </w:r>
      <w:r w:rsidR="005D0104" w:rsidRPr="00C319D0">
        <w:rPr>
          <w:rFonts w:ascii="Cambria" w:eastAsia="Times New Roman" w:hAnsi="Cambria" w:cs="Times New Roman"/>
          <w:bCs/>
          <w:lang w:eastAsia="tr-TR"/>
        </w:rPr>
        <w:t>lar</w:t>
      </w:r>
      <w:r w:rsidR="00A53DF4" w:rsidRPr="00C319D0">
        <w:rPr>
          <w:rFonts w:ascii="Cambria" w:eastAsia="Times New Roman" w:hAnsi="Cambria" w:cs="Times New Roman"/>
          <w:bCs/>
          <w:lang w:eastAsia="tr-TR"/>
        </w:rPr>
        <w:t>,</w:t>
      </w:r>
      <w:r w:rsidRPr="00C319D0">
        <w:rPr>
          <w:rFonts w:ascii="Cambria" w:eastAsia="Times New Roman" w:hAnsi="Cambria" w:cs="Times New Roman"/>
          <w:bCs/>
          <w:lang w:eastAsia="tr-TR"/>
        </w:rPr>
        <w:t xml:space="preserve"> veriler ile oldukça iyi uyum gösteren bir model elde edildiğini göstermektedir. Ölçeğin tümüne ait Cronbach alfa güvenirlik katsayısı .789 iken </w:t>
      </w:r>
      <w:r w:rsidRPr="00C319D0">
        <w:rPr>
          <w:rFonts w:ascii="Cambria" w:eastAsia="Times New Roman" w:hAnsi="Cambria" w:cs="Times New Roman"/>
          <w:lang w:eastAsia="tr-TR"/>
        </w:rPr>
        <w:t xml:space="preserve">derinlemesine öğrenme yaklaşımı alt boyutu için .838, stratejik öğrenme yaklaşımı için .837, yüzeysel öğrenme yaklaşımı için .789 şeklindedir. Tüm değerlerin .70’in üzerinde olması ölçeğin güvenirliğinin yüksek olduğunu göstermektedir (Fraenkel, Wallend </w:t>
      </w:r>
      <w:r w:rsidR="00CA261A">
        <w:rPr>
          <w:rFonts w:ascii="Cambria" w:eastAsia="Times New Roman" w:hAnsi="Cambria" w:cs="Times New Roman"/>
          <w:lang w:eastAsia="tr-TR"/>
        </w:rPr>
        <w:t>&amp;</w:t>
      </w:r>
      <w:r w:rsidRPr="00C319D0">
        <w:rPr>
          <w:rFonts w:ascii="Cambria" w:eastAsia="Times New Roman" w:hAnsi="Cambria" w:cs="Times New Roman"/>
          <w:lang w:eastAsia="tr-TR"/>
        </w:rPr>
        <w:t xml:space="preserve"> Hyun, 2012). </w:t>
      </w:r>
      <w:r w:rsidR="00DD7823" w:rsidRPr="00C319D0">
        <w:rPr>
          <w:rFonts w:ascii="Cambria" w:eastAsia="Times New Roman" w:hAnsi="Cambria" w:cs="Times New Roman"/>
          <w:lang w:eastAsia="tr-TR"/>
        </w:rPr>
        <w:t xml:space="preserve">Öğrenenin yaşı (Can </w:t>
      </w:r>
      <w:r w:rsidR="00CA261A">
        <w:rPr>
          <w:rFonts w:ascii="Cambria" w:eastAsia="Times New Roman" w:hAnsi="Cambria" w:cs="Times New Roman"/>
          <w:lang w:eastAsia="tr-TR"/>
        </w:rPr>
        <w:t>&amp;</w:t>
      </w:r>
      <w:r w:rsidR="00DD7823" w:rsidRPr="00C319D0">
        <w:rPr>
          <w:rFonts w:ascii="Cambria" w:eastAsia="Times New Roman" w:hAnsi="Cambria" w:cs="Times New Roman"/>
          <w:lang w:eastAsia="tr-TR"/>
        </w:rPr>
        <w:t xml:space="preserve"> Boz, 2012), sınıf düzeyi (Trigwell </w:t>
      </w:r>
      <w:r w:rsidR="00CA261A">
        <w:rPr>
          <w:rFonts w:ascii="Cambria" w:eastAsia="Times New Roman" w:hAnsi="Cambria" w:cs="Times New Roman"/>
          <w:lang w:eastAsia="tr-TR"/>
        </w:rPr>
        <w:t>&amp;</w:t>
      </w:r>
      <w:r w:rsidR="00DD7823" w:rsidRPr="00C319D0">
        <w:rPr>
          <w:rFonts w:ascii="Cambria" w:eastAsia="Times New Roman" w:hAnsi="Cambria" w:cs="Times New Roman"/>
          <w:lang w:eastAsia="tr-TR"/>
        </w:rPr>
        <w:t xml:space="preserve"> Prosser, 1991; Cuthbert, 2005) öğrenme yaklaşımlarını etkileyen etmenler arasındadır. Dolayısıyla farklı yaş grupları için uygulanan öğrenme yaklaşımlarının farklı olması daha doğru sonuçlara ulaştırmada etkilidir. Bu ölçeğin </w:t>
      </w:r>
      <w:r w:rsidR="00DD7823" w:rsidRPr="00C319D0">
        <w:rPr>
          <w:rFonts w:ascii="Cambria" w:eastAsia="Times New Roman" w:hAnsi="Cambria" w:cs="Times New Roman"/>
          <w:bCs/>
          <w:lang w:eastAsia="tr-TR"/>
        </w:rPr>
        <w:t>g</w:t>
      </w:r>
      <w:r w:rsidRPr="00C319D0">
        <w:rPr>
          <w:rFonts w:ascii="Cambria" w:eastAsia="Times New Roman" w:hAnsi="Cambria" w:cs="Times New Roman"/>
          <w:bCs/>
          <w:lang w:eastAsia="tr-TR"/>
        </w:rPr>
        <w:t>eçerlik ve güvenirlik analizleri sonuçları, Matematik Öğrenme Yaklaşımları Ölçeği’nin ortaokul</w:t>
      </w:r>
      <w:r w:rsidR="00D12FD2" w:rsidRPr="00C319D0">
        <w:rPr>
          <w:rFonts w:ascii="Cambria" w:eastAsia="Times New Roman" w:hAnsi="Cambria" w:cs="Times New Roman"/>
          <w:bCs/>
          <w:lang w:eastAsia="tr-TR"/>
        </w:rPr>
        <w:t xml:space="preserve"> öğrencileri (</w:t>
      </w:r>
      <w:r w:rsidRPr="00C319D0">
        <w:rPr>
          <w:rFonts w:ascii="Cambria" w:eastAsia="Times New Roman" w:hAnsi="Cambria" w:cs="Times New Roman"/>
          <w:bCs/>
          <w:lang w:eastAsia="tr-TR"/>
        </w:rPr>
        <w:t>6</w:t>
      </w:r>
      <w:r w:rsidR="00CF70D9" w:rsidRPr="00C319D0">
        <w:rPr>
          <w:rFonts w:ascii="Cambria" w:eastAsia="Times New Roman" w:hAnsi="Cambria" w:cs="Times New Roman"/>
          <w:bCs/>
          <w:lang w:eastAsia="tr-TR"/>
        </w:rPr>
        <w:t>.</w:t>
      </w:r>
      <w:r w:rsidRPr="00C319D0">
        <w:rPr>
          <w:rFonts w:ascii="Cambria" w:eastAsia="Times New Roman" w:hAnsi="Cambria" w:cs="Times New Roman"/>
          <w:bCs/>
          <w:lang w:eastAsia="tr-TR"/>
        </w:rPr>
        <w:t>, 7</w:t>
      </w:r>
      <w:r w:rsidR="00CF70D9" w:rsidRPr="00C319D0">
        <w:rPr>
          <w:rFonts w:ascii="Cambria" w:eastAsia="Times New Roman" w:hAnsi="Cambria" w:cs="Times New Roman"/>
          <w:bCs/>
          <w:lang w:eastAsia="tr-TR"/>
        </w:rPr>
        <w:t>.</w:t>
      </w:r>
      <w:r w:rsidRPr="00C319D0">
        <w:rPr>
          <w:rFonts w:ascii="Cambria" w:eastAsia="Times New Roman" w:hAnsi="Cambria" w:cs="Times New Roman"/>
          <w:bCs/>
          <w:lang w:eastAsia="tr-TR"/>
        </w:rPr>
        <w:t xml:space="preserve">, 8. sınıflar) için uygun geçerli ve güvenilir bir ölçme aracı olduğunu göstermektedir. </w:t>
      </w:r>
      <w:r w:rsidR="00E60B7D" w:rsidRPr="00C319D0">
        <w:rPr>
          <w:rFonts w:ascii="Cambria" w:eastAsia="Times New Roman" w:hAnsi="Cambria" w:cs="Times New Roman"/>
          <w:color w:val="000000" w:themeColor="text1"/>
          <w:lang w:eastAsia="tr-TR"/>
        </w:rPr>
        <w:t>İlhan, Çetin ve Kılıç (2013) lise öğrencileri için geçerli ve güvenilir  Matematik Öğrenme Yaklaşımları Ölçeği geliştirmiştir. Bu ölçek araştırmada geliştirilen ölçekten farklı olarak iki faktörlü yapıya sahiptir</w:t>
      </w:r>
      <w:r w:rsidR="000F7D9F">
        <w:rPr>
          <w:rFonts w:ascii="Cambria" w:eastAsia="Times New Roman" w:hAnsi="Cambria" w:cs="Times New Roman"/>
          <w:color w:val="000000" w:themeColor="text1"/>
          <w:lang w:eastAsia="tr-TR"/>
        </w:rPr>
        <w:t>;</w:t>
      </w:r>
      <w:r w:rsidR="00E60B7D" w:rsidRPr="00C319D0">
        <w:rPr>
          <w:rFonts w:ascii="Cambria" w:eastAsia="Times New Roman" w:hAnsi="Cambria" w:cs="Times New Roman"/>
          <w:color w:val="000000" w:themeColor="text1"/>
          <w:lang w:eastAsia="tr-TR"/>
        </w:rPr>
        <w:t xml:space="preserve"> derin ve yüzeysel öğrenme yaklaşımı olarak isimlendirilmiştir.  </w:t>
      </w:r>
    </w:p>
    <w:p w14:paraId="7D94A82F" w14:textId="54514331" w:rsidR="000F4FAE" w:rsidRDefault="000F4FAE" w:rsidP="00014230">
      <w:pPr>
        <w:spacing w:after="0" w:line="240" w:lineRule="auto"/>
        <w:ind w:firstLine="567"/>
        <w:jc w:val="both"/>
        <w:rPr>
          <w:rFonts w:ascii="Cambria" w:eastAsia="Times New Roman" w:hAnsi="Cambria" w:cs="Times New Roman"/>
          <w:bCs/>
          <w:lang w:eastAsia="tr-TR"/>
        </w:rPr>
      </w:pPr>
      <w:r w:rsidRPr="00C319D0">
        <w:rPr>
          <w:rFonts w:ascii="Cambria" w:eastAsia="Times New Roman" w:hAnsi="Cambria" w:cs="Times New Roman"/>
          <w:bCs/>
          <w:lang w:eastAsia="tr-TR"/>
        </w:rPr>
        <w:t xml:space="preserve">Ayrıca bu çalışmada, ortaokul kademesindeki öğrencilerin matematik dersini öğrenmeye yönelik tercih ettikleri öğrenme yaklaşımları ve sınıf düzeyine göre karşılaştırılması incelenmiştir. Elde edilen sonuçlar, öğrencilerin derinlemesine ve stratejik öğrenme yaklaşımını tercih etme durumlarının orta düzeyin oldukça üzerinde olduğunu göstermektedir. </w:t>
      </w:r>
      <w:r w:rsidR="00A87F74" w:rsidRPr="00C319D0">
        <w:rPr>
          <w:rFonts w:ascii="Cambria" w:eastAsia="Times New Roman" w:hAnsi="Cambria" w:cs="Times New Roman"/>
          <w:bCs/>
          <w:lang w:eastAsia="tr-TR"/>
        </w:rPr>
        <w:t>Öğrencilerin yaşadıkları sınav kaygıları</w:t>
      </w:r>
      <w:r w:rsidR="001C4A10" w:rsidRPr="00C319D0">
        <w:rPr>
          <w:rFonts w:ascii="Cambria" w:eastAsia="Times New Roman" w:hAnsi="Cambria" w:cs="Times New Roman"/>
          <w:bCs/>
          <w:lang w:eastAsia="tr-TR"/>
        </w:rPr>
        <w:t>, matematik dersinin zorluk durumu</w:t>
      </w:r>
      <w:r w:rsidR="00A87F74" w:rsidRPr="00C319D0">
        <w:rPr>
          <w:rFonts w:ascii="Cambria" w:eastAsia="Times New Roman" w:hAnsi="Cambria" w:cs="Times New Roman"/>
          <w:bCs/>
          <w:lang w:eastAsia="tr-TR"/>
        </w:rPr>
        <w:t xml:space="preserve"> onların stratejik öğrenme yaklaşımını daha çok tercih etmelerine sebep olabilir. </w:t>
      </w:r>
      <w:r w:rsidR="00DE26D7" w:rsidRPr="00C319D0">
        <w:rPr>
          <w:rFonts w:ascii="Cambria" w:eastAsia="Times New Roman" w:hAnsi="Cambria" w:cs="Times New Roman"/>
          <w:bCs/>
          <w:lang w:eastAsia="tr-TR"/>
        </w:rPr>
        <w:t xml:space="preserve">Ayrıca </w:t>
      </w:r>
      <w:r w:rsidR="00014230" w:rsidRPr="00C319D0">
        <w:rPr>
          <w:rFonts w:ascii="Cambria" w:eastAsia="Times New Roman" w:hAnsi="Cambria" w:cs="Times New Roman"/>
          <w:bCs/>
          <w:lang w:eastAsia="tr-TR"/>
        </w:rPr>
        <w:t xml:space="preserve">bu durumun </w:t>
      </w:r>
      <w:r w:rsidR="00DE26D7" w:rsidRPr="00C319D0">
        <w:rPr>
          <w:rFonts w:ascii="Cambria" w:eastAsia="Times New Roman" w:hAnsi="Cambria" w:cs="Times New Roman"/>
          <w:bCs/>
          <w:lang w:eastAsia="tr-TR"/>
        </w:rPr>
        <w:t>okullar</w:t>
      </w:r>
      <w:r w:rsidR="00014230" w:rsidRPr="00C319D0">
        <w:rPr>
          <w:rFonts w:ascii="Cambria" w:eastAsia="Times New Roman" w:hAnsi="Cambria" w:cs="Times New Roman"/>
          <w:bCs/>
          <w:lang w:eastAsia="tr-TR"/>
        </w:rPr>
        <w:t>ın</w:t>
      </w:r>
      <w:r w:rsidR="00DE26D7" w:rsidRPr="00C319D0">
        <w:rPr>
          <w:rFonts w:ascii="Cambria" w:eastAsia="Times New Roman" w:hAnsi="Cambria" w:cs="Times New Roman"/>
          <w:bCs/>
          <w:lang w:eastAsia="tr-TR"/>
        </w:rPr>
        <w:t xml:space="preserve"> </w:t>
      </w:r>
      <w:r w:rsidR="00014230" w:rsidRPr="00C319D0">
        <w:rPr>
          <w:rFonts w:ascii="Cambria" w:eastAsia="Times New Roman" w:hAnsi="Cambria" w:cs="Times New Roman"/>
          <w:bCs/>
          <w:lang w:eastAsia="tr-TR"/>
        </w:rPr>
        <w:t xml:space="preserve">bu iki yaklaşıma </w:t>
      </w:r>
      <w:r w:rsidR="00DE26D7" w:rsidRPr="00C319D0">
        <w:rPr>
          <w:rFonts w:ascii="Cambria" w:eastAsia="Times New Roman" w:hAnsi="Cambria" w:cs="Times New Roman"/>
          <w:bCs/>
          <w:lang w:eastAsia="tr-TR"/>
        </w:rPr>
        <w:t>y</w:t>
      </w:r>
      <w:r w:rsidR="00014230" w:rsidRPr="00C319D0">
        <w:rPr>
          <w:rFonts w:ascii="Cambria" w:eastAsia="Times New Roman" w:hAnsi="Cambria" w:cs="Times New Roman"/>
          <w:bCs/>
          <w:lang w:eastAsia="tr-TR"/>
        </w:rPr>
        <w:t>ö</w:t>
      </w:r>
      <w:r w:rsidR="00DE26D7" w:rsidRPr="00C319D0">
        <w:rPr>
          <w:rFonts w:ascii="Cambria" w:eastAsia="Times New Roman" w:hAnsi="Cambria" w:cs="Times New Roman"/>
          <w:bCs/>
          <w:lang w:eastAsia="tr-TR"/>
        </w:rPr>
        <w:t xml:space="preserve">nlendirici </w:t>
      </w:r>
      <w:r w:rsidR="00014230" w:rsidRPr="00C319D0">
        <w:rPr>
          <w:rFonts w:ascii="Cambria" w:eastAsia="Times New Roman" w:hAnsi="Cambria" w:cs="Times New Roman"/>
          <w:bCs/>
          <w:lang w:eastAsia="tr-TR"/>
        </w:rPr>
        <w:t>ö</w:t>
      </w:r>
      <w:r w:rsidR="00DE26D7" w:rsidRPr="00C319D0">
        <w:rPr>
          <w:rFonts w:ascii="Cambria" w:eastAsia="Times New Roman" w:hAnsi="Cambria" w:cs="Times New Roman"/>
          <w:bCs/>
          <w:lang w:eastAsia="tr-TR"/>
        </w:rPr>
        <w:t>zelliklere</w:t>
      </w:r>
      <w:r w:rsidR="00014230" w:rsidRPr="00C319D0">
        <w:rPr>
          <w:rFonts w:ascii="Cambria" w:eastAsia="Times New Roman" w:hAnsi="Cambria" w:cs="Times New Roman"/>
          <w:bCs/>
          <w:lang w:eastAsia="tr-TR"/>
        </w:rPr>
        <w:t xml:space="preserve"> </w:t>
      </w:r>
      <w:r w:rsidR="00DE26D7" w:rsidRPr="00C319D0">
        <w:rPr>
          <w:rFonts w:ascii="Cambria" w:eastAsia="Times New Roman" w:hAnsi="Cambria" w:cs="Times New Roman"/>
          <w:bCs/>
          <w:lang w:eastAsia="tr-TR"/>
        </w:rPr>
        <w:t>birlikte sahip</w:t>
      </w:r>
      <w:r w:rsidR="00014230" w:rsidRPr="00C319D0">
        <w:rPr>
          <w:rFonts w:ascii="Cambria" w:eastAsia="Times New Roman" w:hAnsi="Cambria" w:cs="Times New Roman"/>
          <w:bCs/>
          <w:lang w:eastAsia="tr-TR"/>
        </w:rPr>
        <w:t xml:space="preserve"> </w:t>
      </w:r>
      <w:r w:rsidR="00D82999" w:rsidRPr="00C319D0">
        <w:rPr>
          <w:rFonts w:ascii="Cambria" w:eastAsia="Times New Roman" w:hAnsi="Cambria" w:cs="Times New Roman"/>
          <w:bCs/>
          <w:lang w:eastAsia="tr-TR"/>
        </w:rPr>
        <w:t>olmasından kaynaklandığı söylenebilir.</w:t>
      </w:r>
      <w:r w:rsidR="00A87F74" w:rsidRPr="00C319D0">
        <w:rPr>
          <w:rFonts w:ascii="Cambria" w:eastAsia="Times New Roman" w:hAnsi="Cambria" w:cs="Times New Roman"/>
          <w:bCs/>
          <w:lang w:eastAsia="tr-TR"/>
        </w:rPr>
        <w:t xml:space="preserve"> Yani çalışmanın gerçekleştirildiği örneklemde öğrencilerin bulundukları öğrenme ortamları derinlemesine ve </w:t>
      </w:r>
      <w:r w:rsidR="00014230" w:rsidRPr="00C319D0">
        <w:rPr>
          <w:rFonts w:ascii="Cambria" w:eastAsia="Times New Roman" w:hAnsi="Cambria" w:cs="Times New Roman"/>
          <w:bCs/>
          <w:lang w:eastAsia="tr-TR"/>
        </w:rPr>
        <w:t>stratejik</w:t>
      </w:r>
      <w:r w:rsidR="00A87F74" w:rsidRPr="00C319D0">
        <w:rPr>
          <w:rFonts w:ascii="Cambria" w:eastAsia="Times New Roman" w:hAnsi="Cambria" w:cs="Times New Roman"/>
          <w:bCs/>
          <w:lang w:eastAsia="tr-TR"/>
        </w:rPr>
        <w:t xml:space="preserve"> öğrenme</w:t>
      </w:r>
      <w:r w:rsidR="001C4A10" w:rsidRPr="00C319D0">
        <w:rPr>
          <w:rFonts w:ascii="Cambria" w:eastAsia="Times New Roman" w:hAnsi="Cambria" w:cs="Times New Roman"/>
          <w:bCs/>
          <w:lang w:eastAsia="tr-TR"/>
        </w:rPr>
        <w:t xml:space="preserve">nin özelliklerini yansıtacak şekilde bir yaklaşım benimsemelerine uygun olabilir. </w:t>
      </w:r>
      <w:r w:rsidRPr="00C319D0">
        <w:rPr>
          <w:rFonts w:ascii="Cambria" w:eastAsia="Times New Roman" w:hAnsi="Cambria" w:cs="Times New Roman"/>
          <w:bCs/>
          <w:lang w:eastAsia="tr-TR"/>
        </w:rPr>
        <w:t>Yüzeysel öğrenme yaklaşımı puanları</w:t>
      </w:r>
      <w:r w:rsidR="00016F92">
        <w:rPr>
          <w:rFonts w:ascii="Cambria" w:eastAsia="Times New Roman" w:hAnsi="Cambria" w:cs="Times New Roman"/>
          <w:bCs/>
          <w:lang w:eastAsia="tr-TR"/>
        </w:rPr>
        <w:t>na göre öğrenciler bu yaklaşımı</w:t>
      </w:r>
      <w:r w:rsidRPr="00C319D0">
        <w:rPr>
          <w:rFonts w:ascii="Cambria" w:eastAsia="Times New Roman" w:hAnsi="Cambria" w:cs="Times New Roman"/>
          <w:bCs/>
          <w:lang w:eastAsia="tr-TR"/>
        </w:rPr>
        <w:t xml:space="preserve"> orta düzeyde tercih etmektedirler. Dolayısıyla öğrenciler, derinlemesine ve stratejik öğrenme yaklaşımlarını, yüzeysel öğrenme yaklaşımlarına göre belirgin bir şekilde daha fazla tercih etmektedirler.</w:t>
      </w:r>
      <w:r w:rsidR="00B24BCA" w:rsidRPr="00C319D0">
        <w:rPr>
          <w:rFonts w:ascii="Cambria" w:eastAsia="Times New Roman" w:hAnsi="Cambria" w:cs="Times New Roman"/>
          <w:bCs/>
          <w:lang w:eastAsia="tr-TR"/>
        </w:rPr>
        <w:t xml:space="preserve"> Benzer sonuç</w:t>
      </w:r>
      <w:r w:rsidR="00A87F74" w:rsidRPr="00C319D0">
        <w:rPr>
          <w:rFonts w:ascii="Cambria" w:eastAsia="Times New Roman" w:hAnsi="Cambria" w:cs="Times New Roman"/>
          <w:bCs/>
          <w:lang w:eastAsia="tr-TR"/>
        </w:rPr>
        <w:t>lar</w:t>
      </w:r>
      <w:r w:rsidR="00B24BCA" w:rsidRPr="00C319D0">
        <w:rPr>
          <w:rFonts w:ascii="Cambria" w:eastAsia="Times New Roman" w:hAnsi="Cambria" w:cs="Times New Roman"/>
          <w:bCs/>
          <w:lang w:eastAsia="tr-TR"/>
        </w:rPr>
        <w:t xml:space="preserve"> Senemoğlu (201</w:t>
      </w:r>
      <w:r w:rsidR="001C4A89" w:rsidRPr="00C319D0">
        <w:rPr>
          <w:rFonts w:ascii="Cambria" w:eastAsia="Times New Roman" w:hAnsi="Cambria" w:cs="Times New Roman"/>
          <w:bCs/>
          <w:lang w:eastAsia="tr-TR"/>
        </w:rPr>
        <w:t>1)</w:t>
      </w:r>
      <w:r w:rsidR="00A87F74" w:rsidRPr="00C319D0">
        <w:rPr>
          <w:rFonts w:ascii="Cambria" w:eastAsia="Times New Roman" w:hAnsi="Cambria" w:cs="Times New Roman"/>
          <w:bCs/>
          <w:lang w:eastAsia="tr-TR"/>
        </w:rPr>
        <w:t xml:space="preserve"> ve Ekinci (2009)</w:t>
      </w:r>
      <w:r w:rsidR="001C4A89" w:rsidRPr="00C319D0">
        <w:rPr>
          <w:rFonts w:ascii="Cambria" w:eastAsia="Times New Roman" w:hAnsi="Cambria" w:cs="Times New Roman"/>
          <w:bCs/>
          <w:lang w:eastAsia="tr-TR"/>
        </w:rPr>
        <w:t xml:space="preserve"> tarafından da elde edilmiştir. </w:t>
      </w:r>
      <w:r w:rsidR="00D82999" w:rsidRPr="00C319D0">
        <w:rPr>
          <w:rFonts w:ascii="Cambria" w:eastAsia="Times New Roman" w:hAnsi="Cambria" w:cs="Times New Roman"/>
          <w:bCs/>
          <w:lang w:eastAsia="tr-TR"/>
        </w:rPr>
        <w:t>Bu sonuç</w:t>
      </w:r>
      <w:r w:rsidR="00A87F74" w:rsidRPr="00C319D0">
        <w:rPr>
          <w:rFonts w:ascii="Cambria" w:eastAsia="Times New Roman" w:hAnsi="Cambria" w:cs="Times New Roman"/>
          <w:bCs/>
          <w:lang w:eastAsia="tr-TR"/>
        </w:rPr>
        <w:t>lar</w:t>
      </w:r>
      <w:r w:rsidR="00D82999" w:rsidRPr="00C319D0">
        <w:rPr>
          <w:rFonts w:ascii="Cambria" w:eastAsia="Times New Roman" w:hAnsi="Cambria" w:cs="Times New Roman"/>
          <w:bCs/>
          <w:lang w:eastAsia="tr-TR"/>
        </w:rPr>
        <w:t xml:space="preserve">, öğrencilerin yetiştiği çevreden ve eğitim sisteminin içinde yer alan sınavlardan kaynaklanıyor olabilir. </w:t>
      </w:r>
      <w:r w:rsidR="001C4A10" w:rsidRPr="00C319D0">
        <w:rPr>
          <w:rFonts w:ascii="Cambria" w:eastAsia="Times New Roman" w:hAnsi="Cambria" w:cs="Times New Roman"/>
          <w:bCs/>
          <w:lang w:eastAsia="tr-TR"/>
        </w:rPr>
        <w:t xml:space="preserve">Matic, Matic ve Katalenic (2013) çalışmasında bu çalışma ile paralellik gösterecek şekilde öğrencilerin matematik dersinde stratejik öğrenme yaklaşımını diğer öğrenme yaklaşımlarından daha çok tercih ettiği sonucuna ulaşmıştır. </w:t>
      </w:r>
      <w:r w:rsidR="00772F47" w:rsidRPr="00C319D0">
        <w:rPr>
          <w:rFonts w:ascii="Cambria" w:eastAsia="Times New Roman" w:hAnsi="Cambria" w:cs="Times New Roman"/>
          <w:bCs/>
          <w:lang w:eastAsia="tr-TR"/>
        </w:rPr>
        <w:t>Araştırmacılar ö</w:t>
      </w:r>
      <w:r w:rsidR="001C4A10" w:rsidRPr="00C319D0">
        <w:rPr>
          <w:rFonts w:ascii="Cambria" w:eastAsia="Times New Roman" w:hAnsi="Cambria" w:cs="Times New Roman"/>
          <w:bCs/>
          <w:lang w:eastAsia="tr-TR"/>
        </w:rPr>
        <w:t xml:space="preserve">ğrencilerin her ne kadar derinlemesine öğrenme yaklaşımını tercih etmelerinin daha uygun olduğunu düşünseler de </w:t>
      </w:r>
      <w:r w:rsidR="00772F47" w:rsidRPr="00C319D0">
        <w:rPr>
          <w:rFonts w:ascii="Cambria" w:eastAsia="Times New Roman" w:hAnsi="Cambria" w:cs="Times New Roman"/>
          <w:bCs/>
          <w:lang w:eastAsia="tr-TR"/>
        </w:rPr>
        <w:t xml:space="preserve">stratejik yaklaşım iyi bir şekilde geliştirildiği taktirde derinlemesine yaklaşıma doğru geçiş yapabilme </w:t>
      </w:r>
      <w:r w:rsidR="00772F47" w:rsidRPr="00C319D0">
        <w:rPr>
          <w:rFonts w:ascii="Cambria" w:eastAsia="Times New Roman" w:hAnsi="Cambria" w:cs="Times New Roman"/>
          <w:bCs/>
          <w:lang w:eastAsia="tr-TR"/>
        </w:rPr>
        <w:lastRenderedPageBreak/>
        <w:t xml:space="preserve">potansiyelindedir. </w:t>
      </w:r>
      <w:r w:rsidR="00E60B7D" w:rsidRPr="00C319D0">
        <w:rPr>
          <w:rFonts w:ascii="Cambria" w:eastAsia="Times New Roman" w:hAnsi="Cambria" w:cs="Times New Roman"/>
          <w:bCs/>
          <w:lang w:eastAsia="tr-TR"/>
        </w:rPr>
        <w:t xml:space="preserve">Ayrıca lisans düzeyindeki öğrencilerin matematik öğrenme yaklaşımlarının incelendiği çalışmasında Darlington (2011) benzer şekilde öğrencilerin stratejik öğrenme yaklaşımını benimsediğini belirtmektedir. Bu sonucu üniversite ortamının doğasından kaynaklandığı şeklinde yorumlamışlardır. </w:t>
      </w:r>
    </w:p>
    <w:p w14:paraId="4B051753" w14:textId="040F8D3F" w:rsidR="00871627" w:rsidRPr="00C319D0" w:rsidRDefault="000F4FAE" w:rsidP="00014230">
      <w:pPr>
        <w:spacing w:after="0" w:line="240" w:lineRule="auto"/>
        <w:ind w:firstLine="567"/>
        <w:jc w:val="both"/>
        <w:rPr>
          <w:rFonts w:ascii="Cambria" w:eastAsia="Times New Roman" w:hAnsi="Cambria" w:cs="Times New Roman"/>
          <w:color w:val="FF0000"/>
          <w:lang w:eastAsia="tr-TR"/>
        </w:rPr>
      </w:pPr>
      <w:r w:rsidRPr="00C319D0">
        <w:rPr>
          <w:rFonts w:ascii="Cambria" w:eastAsia="Times New Roman" w:hAnsi="Cambria" w:cs="Times New Roman"/>
          <w:bCs/>
          <w:lang w:eastAsia="tr-TR"/>
        </w:rPr>
        <w:t>Sınıf düzeylerine göre öğrencilerin tercih ettikleri öğrenme yaklaşımları karşılaştırıldığında ise şu sonuçlara ulaşılmıştır: Öğrencilerin derinlemesine öğrenme yaklaşımını tercih etme durumları sınıf düzeylerine göre istatistiksel olarak anlaml</w:t>
      </w:r>
      <w:r w:rsidR="00D12FD2" w:rsidRPr="00C319D0">
        <w:rPr>
          <w:rFonts w:ascii="Cambria" w:eastAsia="Times New Roman" w:hAnsi="Cambria" w:cs="Times New Roman"/>
          <w:bCs/>
          <w:lang w:eastAsia="tr-TR"/>
        </w:rPr>
        <w:t>ı farklılık göstermektedir. 6. sınıf öğrencileri, 7. sınıf öğrencilerine göre; 7. sınıf öğrencileri, 8. s</w:t>
      </w:r>
      <w:r w:rsidRPr="00C319D0">
        <w:rPr>
          <w:rFonts w:ascii="Cambria" w:eastAsia="Times New Roman" w:hAnsi="Cambria" w:cs="Times New Roman"/>
          <w:bCs/>
          <w:lang w:eastAsia="tr-TR"/>
        </w:rPr>
        <w:t>ınıf öğrencilerine göre derinlemesine öğrenme yaklaşımını daha çok tercih etmektedirler. Dolayısıyla, sınıf düzeyi yükseldikçe öğrencilerin derinlemesine öğrenme yaklaşımını tercih etme eğilimleri azalmaktadır.</w:t>
      </w:r>
      <w:r w:rsidR="00D12FD2" w:rsidRPr="00C319D0">
        <w:rPr>
          <w:rFonts w:ascii="Cambria" w:eastAsia="Times New Roman" w:hAnsi="Cambria" w:cs="Times New Roman"/>
          <w:bCs/>
          <w:lang w:eastAsia="tr-TR"/>
        </w:rPr>
        <w:t xml:space="preserve"> Bu sonuç Senemoğlu</w:t>
      </w:r>
      <w:r w:rsidR="00C62B60">
        <w:rPr>
          <w:rFonts w:ascii="Cambria" w:eastAsia="Times New Roman" w:hAnsi="Cambria" w:cs="Times New Roman"/>
          <w:bCs/>
          <w:lang w:eastAsia="tr-TR"/>
        </w:rPr>
        <w:t xml:space="preserve"> </w:t>
      </w:r>
      <w:r w:rsidR="00D12FD2" w:rsidRPr="00C319D0">
        <w:rPr>
          <w:rFonts w:ascii="Cambria" w:eastAsia="Times New Roman" w:hAnsi="Cambria" w:cs="Times New Roman"/>
          <w:bCs/>
          <w:lang w:eastAsia="tr-TR"/>
        </w:rPr>
        <w:t>(2011)</w:t>
      </w:r>
      <w:r w:rsidR="00545F17" w:rsidRPr="00C319D0">
        <w:rPr>
          <w:rFonts w:ascii="Cambria" w:eastAsia="Times New Roman" w:hAnsi="Cambria" w:cs="Times New Roman"/>
          <w:bCs/>
          <w:lang w:eastAsia="tr-TR"/>
        </w:rPr>
        <w:t xml:space="preserve"> ve Sezgin Selçuk, Çalışkan ve Erol (2007)</w:t>
      </w:r>
      <w:r w:rsidR="00D12FD2" w:rsidRPr="00C319D0">
        <w:rPr>
          <w:rFonts w:ascii="Cambria" w:eastAsia="Times New Roman" w:hAnsi="Cambria" w:cs="Times New Roman"/>
          <w:bCs/>
          <w:lang w:eastAsia="tr-TR"/>
        </w:rPr>
        <w:t xml:space="preserve"> </w:t>
      </w:r>
      <w:r w:rsidR="00545F17" w:rsidRPr="00C319D0">
        <w:rPr>
          <w:rFonts w:ascii="Cambria" w:eastAsia="Times New Roman" w:hAnsi="Cambria" w:cs="Times New Roman"/>
          <w:bCs/>
          <w:lang w:eastAsia="tr-TR"/>
        </w:rPr>
        <w:t xml:space="preserve">tarafından gerçekleştirilen </w:t>
      </w:r>
      <w:r w:rsidR="00D12FD2" w:rsidRPr="00C319D0">
        <w:rPr>
          <w:rFonts w:ascii="Cambria" w:eastAsia="Times New Roman" w:hAnsi="Cambria" w:cs="Times New Roman"/>
          <w:bCs/>
          <w:lang w:eastAsia="tr-TR"/>
        </w:rPr>
        <w:t>çalışma</w:t>
      </w:r>
      <w:r w:rsidR="00545F17" w:rsidRPr="00C319D0">
        <w:rPr>
          <w:rFonts w:ascii="Cambria" w:eastAsia="Times New Roman" w:hAnsi="Cambria" w:cs="Times New Roman"/>
          <w:bCs/>
          <w:lang w:eastAsia="tr-TR"/>
        </w:rPr>
        <w:t>lar</w:t>
      </w:r>
      <w:r w:rsidR="00D12FD2" w:rsidRPr="00C319D0">
        <w:rPr>
          <w:rFonts w:ascii="Cambria" w:eastAsia="Times New Roman" w:hAnsi="Cambria" w:cs="Times New Roman"/>
          <w:bCs/>
          <w:lang w:eastAsia="tr-TR"/>
        </w:rPr>
        <w:t xml:space="preserve">daki eğitim fakültesi öğrencilerinin sınıf düzeyleri arttıkça derinlemesine öğrenme yaklaşımını tercih etme düzeyleri artmaktadır sonucu ile farklılık göstermektedir. </w:t>
      </w:r>
      <w:r w:rsidR="00014230" w:rsidRPr="00C319D0">
        <w:rPr>
          <w:rFonts w:ascii="Cambria" w:eastAsia="Times New Roman" w:hAnsi="Cambria" w:cs="Times New Roman"/>
          <w:bCs/>
          <w:lang w:eastAsia="tr-TR"/>
        </w:rPr>
        <w:t xml:space="preserve">Aslında okullardaki öğrenme ortamlarının sınıf düzeyi yükseldikçe derinlemesine öğrenme yaklaşımının özelliklerini daha çok işe koşması beklenir. </w:t>
      </w:r>
      <w:r w:rsidR="00D12FD2" w:rsidRPr="00C319D0">
        <w:rPr>
          <w:rFonts w:ascii="Cambria" w:eastAsia="Times New Roman" w:hAnsi="Cambria" w:cs="Times New Roman"/>
          <w:bCs/>
          <w:lang w:eastAsia="tr-TR"/>
        </w:rPr>
        <w:t xml:space="preserve">Bu durum çalışmaların gerçekleştirildiği çalışma gruplarının farklılığından kaynaklanmış olabilir.  </w:t>
      </w:r>
      <w:r w:rsidRPr="00C319D0">
        <w:rPr>
          <w:rFonts w:ascii="Cambria" w:eastAsia="Times New Roman" w:hAnsi="Cambria" w:cs="Times New Roman"/>
          <w:bCs/>
          <w:lang w:eastAsia="tr-TR"/>
        </w:rPr>
        <w:t>Derinlemesine öğrenme yaklaşımına sahip olan öğrenciler daha çok anlatılanları anlamak amacıyla öğrenme gerçekleş</w:t>
      </w:r>
      <w:r w:rsidR="00D12FD2" w:rsidRPr="00C319D0">
        <w:rPr>
          <w:rFonts w:ascii="Cambria" w:eastAsia="Times New Roman" w:hAnsi="Cambria" w:cs="Times New Roman"/>
          <w:bCs/>
          <w:lang w:eastAsia="tr-TR"/>
        </w:rPr>
        <w:t>tirmektedir (Diseth, 2001), 6. s</w:t>
      </w:r>
      <w:r w:rsidRPr="00C319D0">
        <w:rPr>
          <w:rFonts w:ascii="Cambria" w:eastAsia="Times New Roman" w:hAnsi="Cambria" w:cs="Times New Roman"/>
          <w:bCs/>
          <w:lang w:eastAsia="tr-TR"/>
        </w:rPr>
        <w:t>ınıf seviyesinde bu şeki</w:t>
      </w:r>
      <w:r w:rsidR="00D12FD2" w:rsidRPr="00C319D0">
        <w:rPr>
          <w:rFonts w:ascii="Cambria" w:eastAsia="Times New Roman" w:hAnsi="Cambria" w:cs="Times New Roman"/>
          <w:bCs/>
          <w:lang w:eastAsia="tr-TR"/>
        </w:rPr>
        <w:t>lde öğrenme tercihi varken, 8. s</w:t>
      </w:r>
      <w:r w:rsidRPr="00C319D0">
        <w:rPr>
          <w:rFonts w:ascii="Cambria" w:eastAsia="Times New Roman" w:hAnsi="Cambria" w:cs="Times New Roman"/>
          <w:bCs/>
          <w:lang w:eastAsia="tr-TR"/>
        </w:rPr>
        <w:t xml:space="preserve">ınıfa doğru bu eğilimin azalması mevcut eğitim sisteminin içerisinde yer alan sınavlardan kaynaklanıyor olabilir. </w:t>
      </w:r>
      <w:r w:rsidR="00E23C31">
        <w:rPr>
          <w:rFonts w:ascii="Cambria" w:eastAsia="Times New Roman" w:hAnsi="Cambria" w:cs="Times New Roman"/>
          <w:lang w:eastAsia="tr-TR"/>
        </w:rPr>
        <w:t>Ö</w:t>
      </w:r>
      <w:r w:rsidR="00395FCC" w:rsidRPr="00C319D0">
        <w:rPr>
          <w:rFonts w:ascii="Cambria" w:eastAsia="Times New Roman" w:hAnsi="Cambria" w:cs="Times New Roman"/>
          <w:lang w:eastAsia="tr-TR"/>
        </w:rPr>
        <w:t xml:space="preserve">ğrencilerin matematik derslerinde sorular sorarak, bilgilere kendileri ulaşarak, derinlemesine öğrenme yaklaşımlarını geliştirmelerinde öğretmenlere de önemli görevler düşmektedir. Öğretmenlerinin de desteğiyle öğrenciler kendi iç dinamiklerini harekete geçirerek derinlemesine öğrenmeyi gerçekleştiren bireyler olabileceklerdir (Ünal Çoban </w:t>
      </w:r>
      <w:r w:rsidR="00BC3F79">
        <w:rPr>
          <w:rFonts w:ascii="Cambria" w:eastAsia="Times New Roman" w:hAnsi="Cambria" w:cs="Times New Roman"/>
          <w:lang w:eastAsia="tr-TR"/>
        </w:rPr>
        <w:t>&amp;</w:t>
      </w:r>
      <w:r w:rsidR="00395FCC" w:rsidRPr="00C319D0">
        <w:rPr>
          <w:rFonts w:ascii="Cambria" w:eastAsia="Times New Roman" w:hAnsi="Cambria" w:cs="Times New Roman"/>
          <w:lang w:eastAsia="tr-TR"/>
        </w:rPr>
        <w:t xml:space="preserve"> Ergin, 2008).</w:t>
      </w:r>
      <w:r w:rsidR="00395FCC" w:rsidRPr="00C319D0">
        <w:rPr>
          <w:rFonts w:ascii="Cambria" w:eastAsia="Times New Roman" w:hAnsi="Cambria" w:cs="Times New Roman"/>
          <w:color w:val="FF0000"/>
          <w:lang w:eastAsia="tr-TR"/>
        </w:rPr>
        <w:t xml:space="preserve"> </w:t>
      </w:r>
    </w:p>
    <w:p w14:paraId="1D5C958F" w14:textId="5877ABC0" w:rsidR="000F4FAE" w:rsidRDefault="000F4FAE" w:rsidP="00014230">
      <w:pPr>
        <w:spacing w:after="0" w:line="240" w:lineRule="auto"/>
        <w:ind w:firstLine="567"/>
        <w:jc w:val="both"/>
        <w:rPr>
          <w:rFonts w:ascii="Cambria" w:eastAsia="Times New Roman" w:hAnsi="Cambria" w:cs="Times New Roman"/>
          <w:bCs/>
          <w:lang w:eastAsia="tr-TR"/>
        </w:rPr>
      </w:pPr>
      <w:r w:rsidRPr="00C319D0">
        <w:rPr>
          <w:rFonts w:ascii="Cambria" w:eastAsia="Times New Roman" w:hAnsi="Cambria" w:cs="Times New Roman"/>
          <w:bCs/>
          <w:lang w:eastAsia="tr-TR"/>
        </w:rPr>
        <w:t xml:space="preserve">Stratejik öğrenme yaklaşımı </w:t>
      </w:r>
      <w:r w:rsidR="00D12FD2" w:rsidRPr="00C319D0">
        <w:rPr>
          <w:rFonts w:ascii="Cambria" w:eastAsia="Times New Roman" w:hAnsi="Cambria" w:cs="Times New Roman"/>
          <w:bCs/>
          <w:lang w:eastAsia="tr-TR"/>
        </w:rPr>
        <w:t>alt boyutu için de</w:t>
      </w:r>
      <w:r w:rsidRPr="00C319D0">
        <w:rPr>
          <w:rFonts w:ascii="Cambria" w:eastAsia="Times New Roman" w:hAnsi="Cambria" w:cs="Times New Roman"/>
          <w:bCs/>
          <w:lang w:eastAsia="tr-TR"/>
        </w:rPr>
        <w:t xml:space="preserve"> benzer tercih durumu söz konusudur. Öğrencilerin stratejik öğrenme yaklaşımını tercih etme durumları sınıf düzeylerine göre istatistiksel olarak anlaml</w:t>
      </w:r>
      <w:r w:rsidR="00D12FD2" w:rsidRPr="00C319D0">
        <w:rPr>
          <w:rFonts w:ascii="Cambria" w:eastAsia="Times New Roman" w:hAnsi="Cambria" w:cs="Times New Roman"/>
          <w:bCs/>
          <w:lang w:eastAsia="tr-TR"/>
        </w:rPr>
        <w:t>ı farklılık göstermektedir. 6. sınıf öğrencileri, 7. sınıf öğrencilerine göre; 7. s</w:t>
      </w:r>
      <w:r w:rsidRPr="00C319D0">
        <w:rPr>
          <w:rFonts w:ascii="Cambria" w:eastAsia="Times New Roman" w:hAnsi="Cambria" w:cs="Times New Roman"/>
          <w:bCs/>
          <w:lang w:eastAsia="tr-TR"/>
        </w:rPr>
        <w:t>ın</w:t>
      </w:r>
      <w:r w:rsidR="00D12FD2" w:rsidRPr="00C319D0">
        <w:rPr>
          <w:rFonts w:ascii="Cambria" w:eastAsia="Times New Roman" w:hAnsi="Cambria" w:cs="Times New Roman"/>
          <w:bCs/>
          <w:lang w:eastAsia="tr-TR"/>
        </w:rPr>
        <w:t>ıf öğrencileri, 8. s</w:t>
      </w:r>
      <w:r w:rsidRPr="00C319D0">
        <w:rPr>
          <w:rFonts w:ascii="Cambria" w:eastAsia="Times New Roman" w:hAnsi="Cambria" w:cs="Times New Roman"/>
          <w:bCs/>
          <w:lang w:eastAsia="tr-TR"/>
        </w:rPr>
        <w:t>ınıf öğrencilerine göre stratejik öğrenme yaklaşımını daha çok tercih etmektedirler</w:t>
      </w:r>
      <w:r w:rsidR="00B24BCA" w:rsidRPr="00C319D0">
        <w:rPr>
          <w:rFonts w:ascii="Cambria" w:eastAsia="Times New Roman" w:hAnsi="Cambria" w:cs="Times New Roman"/>
          <w:bCs/>
          <w:lang w:eastAsia="tr-TR"/>
        </w:rPr>
        <w:t xml:space="preserve">. </w:t>
      </w:r>
      <w:r w:rsidR="00FF3229" w:rsidRPr="00C319D0">
        <w:rPr>
          <w:rFonts w:ascii="Cambria" w:eastAsia="Times New Roman" w:hAnsi="Cambria" w:cs="Times New Roman"/>
          <w:bCs/>
          <w:lang w:eastAsia="tr-TR"/>
        </w:rPr>
        <w:t xml:space="preserve">Bu sonuç Ekinci (2009) tarafından elde edilen sınıf düzeyi daha düşük öğrencilerin stratejik öğrenme yaklaşımını daha çok tercih etmektediler sonucu ile paralellik göstermektedir. </w:t>
      </w:r>
      <w:r w:rsidR="00B24BCA" w:rsidRPr="00C319D0">
        <w:rPr>
          <w:rFonts w:ascii="Cambria" w:eastAsia="Times New Roman" w:hAnsi="Cambria" w:cs="Times New Roman"/>
          <w:color w:val="000000" w:themeColor="text1"/>
          <w:lang w:eastAsia="tr-TR"/>
        </w:rPr>
        <w:t>Stratejik yaklaşım tipini kullanan öğrencil</w:t>
      </w:r>
      <w:r w:rsidR="002D4BA2" w:rsidRPr="00C319D0">
        <w:rPr>
          <w:rFonts w:ascii="Cambria" w:eastAsia="Times New Roman" w:hAnsi="Cambria" w:cs="Times New Roman"/>
          <w:color w:val="000000" w:themeColor="text1"/>
          <w:lang w:eastAsia="tr-TR"/>
        </w:rPr>
        <w:t xml:space="preserve">er en yüksek notu almak için </w:t>
      </w:r>
      <w:r w:rsidR="00DE26D7" w:rsidRPr="00C319D0">
        <w:rPr>
          <w:rFonts w:ascii="Cambria" w:eastAsia="Times New Roman" w:hAnsi="Cambria" w:cs="Times New Roman"/>
          <w:color w:val="000000" w:themeColor="text1"/>
          <w:lang w:eastAsia="tr-TR"/>
        </w:rPr>
        <w:t>derinlemesine</w:t>
      </w:r>
      <w:r w:rsidR="00B24BCA" w:rsidRPr="00C319D0">
        <w:rPr>
          <w:rFonts w:ascii="Cambria" w:eastAsia="Times New Roman" w:hAnsi="Cambria" w:cs="Times New Roman"/>
          <w:color w:val="000000" w:themeColor="text1"/>
          <w:lang w:eastAsia="tr-TR"/>
        </w:rPr>
        <w:t xml:space="preserve"> öğrenme yaklaşım</w:t>
      </w:r>
      <w:r w:rsidR="00DE26D7" w:rsidRPr="00C319D0">
        <w:rPr>
          <w:rFonts w:ascii="Cambria" w:eastAsia="Times New Roman" w:hAnsi="Cambria" w:cs="Times New Roman"/>
          <w:color w:val="000000" w:themeColor="text1"/>
          <w:lang w:eastAsia="tr-TR"/>
        </w:rPr>
        <w:t>ını</w:t>
      </w:r>
      <w:r w:rsidR="002D4BA2" w:rsidRPr="00C319D0">
        <w:rPr>
          <w:rFonts w:ascii="Cambria" w:eastAsia="Times New Roman" w:hAnsi="Cambria" w:cs="Times New Roman"/>
          <w:color w:val="000000" w:themeColor="text1"/>
          <w:lang w:eastAsia="tr-TR"/>
        </w:rPr>
        <w:t xml:space="preserve"> kullanabilirler </w:t>
      </w:r>
      <w:r w:rsidR="00B24BCA" w:rsidRPr="00C319D0">
        <w:rPr>
          <w:rFonts w:ascii="Cambria" w:eastAsia="Times New Roman" w:hAnsi="Cambria" w:cs="Times New Roman"/>
          <w:color w:val="000000" w:themeColor="text1"/>
          <w:lang w:eastAsia="tr-TR"/>
        </w:rPr>
        <w:t xml:space="preserve">(Entwistle </w:t>
      </w:r>
      <w:r w:rsidR="00BC3F79">
        <w:rPr>
          <w:rFonts w:ascii="Cambria" w:eastAsia="Times New Roman" w:hAnsi="Cambria" w:cs="Times New Roman"/>
          <w:color w:val="000000" w:themeColor="text1"/>
          <w:lang w:eastAsia="tr-TR"/>
        </w:rPr>
        <w:t>&amp;</w:t>
      </w:r>
      <w:r w:rsidR="00B24BCA" w:rsidRPr="00C319D0">
        <w:rPr>
          <w:rFonts w:ascii="Cambria" w:eastAsia="Times New Roman" w:hAnsi="Cambria" w:cs="Times New Roman"/>
          <w:color w:val="000000" w:themeColor="text1"/>
          <w:lang w:eastAsia="tr-TR"/>
        </w:rPr>
        <w:t xml:space="preserve"> Tait, 1990)</w:t>
      </w:r>
      <w:r w:rsidR="002D4BA2" w:rsidRPr="00C319D0">
        <w:rPr>
          <w:rFonts w:ascii="Cambria" w:eastAsia="Times New Roman" w:hAnsi="Cambria" w:cs="Times New Roman"/>
          <w:color w:val="000000" w:themeColor="text1"/>
          <w:lang w:eastAsia="tr-TR"/>
        </w:rPr>
        <w:t xml:space="preserve"> dolayısıyla bu çalışma için öğrencilerin derinlemesine öğrenme yaklaşımını tercih etme durumları ile stratejik öğrenme yaklaşımını tercih etme durumları paralellik göste</w:t>
      </w:r>
      <w:r w:rsidR="00DE26D7" w:rsidRPr="00C319D0">
        <w:rPr>
          <w:rFonts w:ascii="Cambria" w:eastAsia="Times New Roman" w:hAnsi="Cambria" w:cs="Times New Roman"/>
          <w:color w:val="000000" w:themeColor="text1"/>
          <w:lang w:eastAsia="tr-TR"/>
        </w:rPr>
        <w:t>riyor olabilir.</w:t>
      </w:r>
      <w:r w:rsidR="002D4BA2" w:rsidRPr="00C319D0">
        <w:rPr>
          <w:rFonts w:ascii="Cambria" w:eastAsia="Times New Roman" w:hAnsi="Cambria" w:cs="Times New Roman"/>
          <w:color w:val="000000" w:themeColor="text1"/>
          <w:lang w:eastAsia="tr-TR"/>
        </w:rPr>
        <w:t xml:space="preserve">  </w:t>
      </w:r>
      <w:r w:rsidRPr="00C319D0">
        <w:rPr>
          <w:rFonts w:ascii="Cambria" w:eastAsia="Times New Roman" w:hAnsi="Cambria" w:cs="Times New Roman"/>
          <w:bCs/>
          <w:lang w:eastAsia="tr-TR"/>
        </w:rPr>
        <w:t>Öğrencilerin yüzeysel öğrenme yaklaşımını tercih etme durumlarında ise sınıf düzeylerine göre istatistiksel olarak anlamlı bir farklılık bulunmamaktadır.</w:t>
      </w:r>
      <w:r w:rsidR="00FF7F47">
        <w:rPr>
          <w:rFonts w:ascii="Cambria" w:eastAsia="Times New Roman" w:hAnsi="Cambria" w:cs="Times New Roman"/>
          <w:bCs/>
          <w:lang w:eastAsia="tr-TR"/>
        </w:rPr>
        <w:t xml:space="preserve"> Bu sonuç ile çalışmada elde edilen diğer bir sonuç olan öğrencilerin yüzeysel öğrenme yaklaşımına ilişkin puanlarının orta puana yakın olması birlikte değerlendirildiğinde, çalışmaya katılan ortaokul öğrencilerinin yüzeysel öğrenme yaklaşımının özelliklerini önemli ölçüde işe koştukları söylenebilir. Dolayısıyla,  bu bulgudan yola çıkarak </w:t>
      </w:r>
      <w:r w:rsidR="00731EAE">
        <w:rPr>
          <w:rFonts w:ascii="Cambria" w:eastAsia="Times New Roman" w:hAnsi="Cambria" w:cs="Times New Roman"/>
          <w:bCs/>
          <w:lang w:eastAsia="tr-TR"/>
        </w:rPr>
        <w:t xml:space="preserve">ortaokul düzeyinde </w:t>
      </w:r>
      <w:r w:rsidR="00731EAE" w:rsidRPr="00C319D0">
        <w:rPr>
          <w:rFonts w:ascii="Cambria" w:eastAsia="Times New Roman" w:hAnsi="Cambria" w:cs="Times New Roman"/>
          <w:bCs/>
          <w:color w:val="000000" w:themeColor="text1"/>
          <w:lang w:eastAsia="tr-TR"/>
        </w:rPr>
        <w:t>ilişkilendirmeden ezber</w:t>
      </w:r>
      <w:r w:rsidR="00731EAE">
        <w:rPr>
          <w:rFonts w:ascii="Cambria" w:eastAsia="Times New Roman" w:hAnsi="Cambria" w:cs="Times New Roman"/>
          <w:bCs/>
          <w:color w:val="000000" w:themeColor="text1"/>
          <w:lang w:eastAsia="tr-TR"/>
        </w:rPr>
        <w:t>lemeye çalışan,</w:t>
      </w:r>
      <w:r w:rsidR="00731EAE" w:rsidRPr="00C319D0">
        <w:rPr>
          <w:rFonts w:ascii="Cambria" w:eastAsia="Times New Roman" w:hAnsi="Cambria" w:cs="Times New Roman"/>
          <w:bCs/>
          <w:color w:val="000000" w:themeColor="text1"/>
          <w:lang w:eastAsia="tr-TR"/>
        </w:rPr>
        <w:t xml:space="preserve"> dersten geçmek için asgari notu </w:t>
      </w:r>
      <w:r w:rsidR="00731EAE">
        <w:rPr>
          <w:rFonts w:ascii="Cambria" w:eastAsia="Times New Roman" w:hAnsi="Cambria" w:cs="Times New Roman"/>
          <w:bCs/>
          <w:color w:val="000000" w:themeColor="text1"/>
          <w:lang w:eastAsia="tr-TR"/>
        </w:rPr>
        <w:t xml:space="preserve">almanın yeterli olduğu </w:t>
      </w:r>
      <w:r w:rsidR="00731EAE" w:rsidRPr="00C319D0">
        <w:rPr>
          <w:rFonts w:ascii="Cambria" w:eastAsia="Times New Roman" w:hAnsi="Cambria" w:cs="Times New Roman"/>
          <w:bCs/>
          <w:color w:val="000000" w:themeColor="text1"/>
          <w:lang w:eastAsia="tr-TR"/>
        </w:rPr>
        <w:t>(Ekinci, 2009</w:t>
      </w:r>
      <w:r w:rsidR="00731EAE">
        <w:rPr>
          <w:rFonts w:ascii="Cambria" w:eastAsia="Times New Roman" w:hAnsi="Cambria" w:cs="Times New Roman"/>
          <w:bCs/>
          <w:color w:val="000000" w:themeColor="text1"/>
          <w:lang w:eastAsia="tr-TR"/>
        </w:rPr>
        <w:t xml:space="preserve">) bir öğrenme-öğretme ortamının olduğu söylenebilir.  </w:t>
      </w:r>
      <w:r w:rsidR="00FF7F47">
        <w:rPr>
          <w:rFonts w:ascii="Cambria" w:eastAsia="Times New Roman" w:hAnsi="Cambria" w:cs="Times New Roman"/>
          <w:bCs/>
          <w:lang w:eastAsia="tr-TR"/>
        </w:rPr>
        <w:t xml:space="preserve">Ancak sınıf düzeyi yükseldikçe öğrencilerin yüzeysel öğrenme yaklaşımını kullanma durumlarında artış olmaması, öğretim ortamının öğrencileri bu yaklaşıma daha çok yönlendirmemesi açısından olumlu olarak değerlendirilebilir. </w:t>
      </w:r>
    </w:p>
    <w:p w14:paraId="1FE44ED0" w14:textId="3FC8047C" w:rsidR="00C859E5" w:rsidRDefault="00731A09" w:rsidP="00C859E5">
      <w:pPr>
        <w:spacing w:after="0" w:line="240" w:lineRule="auto"/>
        <w:ind w:firstLine="567"/>
        <w:jc w:val="both"/>
        <w:rPr>
          <w:rFonts w:ascii="Cambria" w:eastAsia="Times New Roman" w:hAnsi="Cambria" w:cs="Times New Roman"/>
          <w:lang w:eastAsia="tr-TR"/>
        </w:rPr>
      </w:pPr>
      <w:r w:rsidRPr="00C319D0">
        <w:rPr>
          <w:rFonts w:ascii="Cambria" w:eastAsia="Times New Roman" w:hAnsi="Cambria" w:cs="Times New Roman"/>
          <w:lang w:eastAsia="tr-TR"/>
        </w:rPr>
        <w:t xml:space="preserve">Matematik doğası gereği soyut bir disiplin olduğundan (Steiner, 2007) diğer bilimlere göre bir çok özellik açısından farklıdır. </w:t>
      </w:r>
      <w:r w:rsidR="00DC13B4" w:rsidRPr="00C319D0">
        <w:rPr>
          <w:rFonts w:ascii="Cambria" w:eastAsia="Times New Roman" w:hAnsi="Cambria" w:cs="Times New Roman"/>
          <w:lang w:eastAsia="tr-TR"/>
        </w:rPr>
        <w:t>M</w:t>
      </w:r>
      <w:r w:rsidRPr="00C319D0">
        <w:rPr>
          <w:rFonts w:ascii="Cambria" w:eastAsia="Times New Roman" w:hAnsi="Cambria" w:cs="Times New Roman"/>
          <w:lang w:eastAsia="tr-TR"/>
        </w:rPr>
        <w:t>atematik öğrenme yaklaşımları</w:t>
      </w:r>
      <w:r w:rsidR="00DC13B4" w:rsidRPr="00C319D0">
        <w:rPr>
          <w:rFonts w:ascii="Cambria" w:eastAsia="Times New Roman" w:hAnsi="Cambria" w:cs="Times New Roman"/>
          <w:lang w:eastAsia="tr-TR"/>
        </w:rPr>
        <w:t>nın</w:t>
      </w:r>
      <w:r w:rsidRPr="00C319D0">
        <w:rPr>
          <w:rFonts w:ascii="Cambria" w:eastAsia="Times New Roman" w:hAnsi="Cambria" w:cs="Times New Roman"/>
          <w:lang w:eastAsia="tr-TR"/>
        </w:rPr>
        <w:t xml:space="preserve"> genel öğrenme yaklaşımlarından ve diğer alanlardaki öğrenme yaklaşımlarından farklı değerlendirilmesi daha doğru sonuçlar verebilir</w:t>
      </w:r>
      <w:r w:rsidR="00DC13B4" w:rsidRPr="00C319D0">
        <w:rPr>
          <w:rFonts w:ascii="Cambria" w:eastAsia="Times New Roman" w:hAnsi="Cambria" w:cs="Times New Roman"/>
          <w:lang w:eastAsia="tr-TR"/>
        </w:rPr>
        <w:t xml:space="preserve"> (İlhan, Çetin </w:t>
      </w:r>
      <w:r w:rsidR="00BC3F79">
        <w:rPr>
          <w:rFonts w:ascii="Cambria" w:eastAsia="Times New Roman" w:hAnsi="Cambria" w:cs="Times New Roman"/>
          <w:lang w:eastAsia="tr-TR"/>
        </w:rPr>
        <w:t>&amp;</w:t>
      </w:r>
      <w:r w:rsidR="00DC13B4" w:rsidRPr="00C319D0">
        <w:rPr>
          <w:rFonts w:ascii="Cambria" w:eastAsia="Times New Roman" w:hAnsi="Cambria" w:cs="Times New Roman"/>
          <w:lang w:eastAsia="tr-TR"/>
        </w:rPr>
        <w:t xml:space="preserve"> Kılıç, 2013). Bu yüzden m</w:t>
      </w:r>
      <w:r w:rsidRPr="00C319D0">
        <w:rPr>
          <w:rFonts w:ascii="Cambria" w:eastAsia="Times New Roman" w:hAnsi="Cambria" w:cs="Times New Roman"/>
          <w:lang w:eastAsia="tr-TR"/>
        </w:rPr>
        <w:t xml:space="preserve">atematik öğretmenlerinin öğrencilerinin öğrenme yaklaşımları durumlarını göz önünde bulundurarak öğretim faaliyetlerini </w:t>
      </w:r>
      <w:r w:rsidR="00DC13B4" w:rsidRPr="00C319D0">
        <w:rPr>
          <w:rFonts w:ascii="Cambria" w:eastAsia="Times New Roman" w:hAnsi="Cambria" w:cs="Times New Roman"/>
          <w:lang w:eastAsia="tr-TR"/>
        </w:rPr>
        <w:t>gerçekleştirmesi önemlidir. Çünkü</w:t>
      </w:r>
      <w:r w:rsidR="00BB2754">
        <w:rPr>
          <w:rFonts w:ascii="Cambria" w:eastAsia="Times New Roman" w:hAnsi="Cambria" w:cs="Times New Roman"/>
          <w:lang w:eastAsia="tr-TR"/>
        </w:rPr>
        <w:t xml:space="preserve"> geçmişten gelen öğrenme yaşantıları ve öğrencilerin içinde bulundukları okul ortamının özellikleri onların öğrenme yaklaşımlarını etkilemektedir. Önceki ortam ile yeni ortam arasındaki benzerlik ya da farklılık benimsedikleri öğrenme yaklaşımlarını pekiştirmekte ya da değişmesini sağlamaktadır. Öğrenen kişinin yeni konuları çalışırken derinlemesine, yüzeysel veya stratejik bir yol izlemesinde etkili olmaktadır (Ekinci, 2009). </w:t>
      </w:r>
      <w:r w:rsidR="00C859E5" w:rsidRPr="00C319D0">
        <w:rPr>
          <w:rFonts w:ascii="Cambria" w:eastAsia="Times New Roman" w:hAnsi="Cambria" w:cs="Times New Roman"/>
          <w:lang w:eastAsia="tr-TR"/>
        </w:rPr>
        <w:t xml:space="preserve">Matematik derslerinde ezbere öğrenmeden ya da sadece sınavlarda başarılı olmak ve dersi </w:t>
      </w:r>
      <w:r w:rsidR="00C859E5" w:rsidRPr="00C319D0">
        <w:rPr>
          <w:rFonts w:ascii="Cambria" w:eastAsia="Times New Roman" w:hAnsi="Cambria" w:cs="Times New Roman"/>
          <w:lang w:eastAsia="tr-TR"/>
        </w:rPr>
        <w:lastRenderedPageBreak/>
        <w:t>geçmek için öğrenmeden çok araştırmaya ve incelemeye yönelik etkinlikler gerçekleştiril</w:t>
      </w:r>
      <w:r w:rsidR="00C859E5">
        <w:rPr>
          <w:rFonts w:ascii="Cambria" w:eastAsia="Times New Roman" w:hAnsi="Cambria" w:cs="Times New Roman"/>
          <w:lang w:eastAsia="tr-TR"/>
        </w:rPr>
        <w:t>melidir</w:t>
      </w:r>
      <w:r w:rsidR="00C859E5" w:rsidRPr="00C319D0">
        <w:rPr>
          <w:rFonts w:ascii="Cambria" w:eastAsia="Times New Roman" w:hAnsi="Cambria" w:cs="Times New Roman"/>
          <w:lang w:eastAsia="tr-TR"/>
        </w:rPr>
        <w:t xml:space="preserve">. </w:t>
      </w:r>
      <w:r w:rsidR="00C859E5">
        <w:rPr>
          <w:rFonts w:ascii="Cambria" w:eastAsia="Times New Roman" w:hAnsi="Cambria" w:cs="Times New Roman"/>
          <w:lang w:eastAsia="tr-TR"/>
        </w:rPr>
        <w:t xml:space="preserve">Nitekim öğrenme çevresinin düzenlenerek öğrenme ürünlerinin niteliğini değiştirmenin mümkün olduğu araştırmacılar tarafından belirtilmektedir (Biggs, 1999). Örneğin matematik konularını çalışırken derinlemesine öğrenme yaklaşımını işe koşan öğrenciler bir önceki konu ile ilişkilendirme yaparak ilerlediğinden </w:t>
      </w:r>
      <w:r w:rsidR="00C859E5" w:rsidRPr="00C319D0">
        <w:rPr>
          <w:rFonts w:ascii="Cambria" w:eastAsia="Times New Roman" w:hAnsi="Cambria" w:cs="Times New Roman"/>
          <w:lang w:eastAsia="tr-TR"/>
        </w:rPr>
        <w:t xml:space="preserve">matematik dersinde oluşabilecek  kavram yanılgılarının da önüne geçilebilecektir. </w:t>
      </w:r>
    </w:p>
    <w:p w14:paraId="75A5656C" w14:textId="7B12EFE0" w:rsidR="00731A09" w:rsidRPr="00C319D0" w:rsidRDefault="00BB2754" w:rsidP="007B6CB8">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Öğrenme-öğretme ortamının bir öğesi olan öğretmenin tercih ettikleri öğretme yaklaşımları, öğrencilerin öğrenme yaklaşımlarını etkilemekte</w:t>
      </w:r>
      <w:r w:rsidR="00BC3F79">
        <w:rPr>
          <w:rFonts w:ascii="Cambria" w:eastAsia="Times New Roman" w:hAnsi="Cambria" w:cs="Times New Roman"/>
          <w:lang w:eastAsia="tr-TR"/>
        </w:rPr>
        <w:t xml:space="preserve">dir. </w:t>
      </w:r>
      <w:r w:rsidR="00290583">
        <w:rPr>
          <w:rFonts w:ascii="Cambria" w:eastAsia="Times New Roman" w:hAnsi="Cambria" w:cs="Times New Roman"/>
          <w:lang w:eastAsia="tr-TR"/>
        </w:rPr>
        <w:t>S</w:t>
      </w:r>
      <w:r w:rsidR="00290583" w:rsidRPr="00290583">
        <w:rPr>
          <w:rFonts w:ascii="Cambria" w:eastAsia="Times New Roman" w:hAnsi="Cambria" w:cs="Times New Roman"/>
          <w:lang w:eastAsia="tr-TR"/>
        </w:rPr>
        <w:t xml:space="preserve">ınıflarında bilgiyi aktarma </w:t>
      </w:r>
      <w:r w:rsidR="00290583">
        <w:rPr>
          <w:rFonts w:ascii="Cambria" w:eastAsia="Times New Roman" w:hAnsi="Cambria" w:cs="Times New Roman"/>
          <w:lang w:eastAsia="tr-TR"/>
        </w:rPr>
        <w:t xml:space="preserve">şeklinde öğretme yaklaşımını benimseyen öğretmenin </w:t>
      </w:r>
      <w:r w:rsidR="00290583" w:rsidRPr="00290583">
        <w:rPr>
          <w:rFonts w:ascii="Cambria" w:eastAsia="Times New Roman" w:hAnsi="Cambria" w:cs="Times New Roman"/>
          <w:lang w:eastAsia="tr-TR"/>
        </w:rPr>
        <w:t>derslerine giren öğrenciler yüzeysel yaklaşımı daha çok işe koşarken; kavramsal değişimlere odaklanan öğretim yöntemlerini benimseyen öğretmenlerin derslerine giren öğrenciler anlamlı bir şekilde derinlemesine öğrenme yaklaşımını daha çok işe koşmaktadır</w:t>
      </w:r>
      <w:r w:rsidR="00290583">
        <w:rPr>
          <w:rFonts w:ascii="Cambria" w:eastAsia="Times New Roman" w:hAnsi="Cambria" w:cs="Times New Roman"/>
          <w:lang w:eastAsia="tr-TR"/>
        </w:rPr>
        <w:t xml:space="preserve"> (Trigwell, Prosser </w:t>
      </w:r>
      <w:r w:rsidR="00BC3F79">
        <w:rPr>
          <w:rFonts w:ascii="Cambria" w:eastAsia="Times New Roman" w:hAnsi="Cambria" w:cs="Times New Roman"/>
          <w:lang w:eastAsia="tr-TR"/>
        </w:rPr>
        <w:t>&amp;</w:t>
      </w:r>
      <w:r w:rsidR="00290583">
        <w:rPr>
          <w:rFonts w:ascii="Cambria" w:eastAsia="Times New Roman" w:hAnsi="Cambria" w:cs="Times New Roman"/>
          <w:lang w:eastAsia="tr-TR"/>
        </w:rPr>
        <w:t xml:space="preserve"> Waterhouse, 1999). Dolayısıyla, ö</w:t>
      </w:r>
      <w:r w:rsidR="00290583" w:rsidRPr="00C319D0">
        <w:rPr>
          <w:rFonts w:ascii="Cambria" w:eastAsia="Times New Roman" w:hAnsi="Cambria" w:cs="Times New Roman"/>
          <w:lang w:eastAsia="tr-TR"/>
        </w:rPr>
        <w:t xml:space="preserve">ğretmen </w:t>
      </w:r>
      <w:r w:rsidR="00290583">
        <w:rPr>
          <w:rFonts w:ascii="Cambria" w:eastAsia="Times New Roman" w:hAnsi="Cambria" w:cs="Times New Roman"/>
          <w:lang w:eastAsia="tr-TR"/>
        </w:rPr>
        <w:t xml:space="preserve">seçtiği öğretim yöntemine bağlı olarak </w:t>
      </w:r>
      <w:r w:rsidR="00290583" w:rsidRPr="00C319D0">
        <w:rPr>
          <w:rFonts w:ascii="Cambria" w:eastAsia="Times New Roman" w:hAnsi="Cambria" w:cs="Times New Roman"/>
          <w:lang w:eastAsia="tr-TR"/>
        </w:rPr>
        <w:t>yüzeysel ya da stratejik öğrenme yaklaşımına sahip öğrencilerin ağırlıklı olarak bulunduğu bir sınıfta farklı etkinlikler ile öğrencileri derinlemesine öğrenmeye yönlendirebilir.</w:t>
      </w:r>
      <w:r w:rsidR="00290583">
        <w:rPr>
          <w:rFonts w:ascii="Cambria" w:eastAsia="Times New Roman" w:hAnsi="Cambria" w:cs="Times New Roman"/>
          <w:lang w:eastAsia="tr-TR"/>
        </w:rPr>
        <w:t xml:space="preserve"> </w:t>
      </w:r>
      <w:r w:rsidR="00290583" w:rsidRPr="00290583">
        <w:rPr>
          <w:rFonts w:ascii="Cambria" w:eastAsia="Times New Roman" w:hAnsi="Cambria" w:cs="Times New Roman"/>
          <w:lang w:eastAsia="tr-TR"/>
        </w:rPr>
        <w:t>Ayrıca Ramsden (2000) öğrenme yaklaşımlarının öğrencilerin hem önceki deneyimlerine hem de öğrenme ortamına bağlı olduğunu belirtip, bunları birbirinden ayırt etmenin zor olduğunu ifade etmektedir.</w:t>
      </w:r>
      <w:r w:rsidR="00290583">
        <w:rPr>
          <w:rFonts w:ascii="Cambria" w:eastAsia="Times New Roman" w:hAnsi="Cambria" w:cs="Times New Roman"/>
          <w:lang w:eastAsia="tr-TR"/>
        </w:rPr>
        <w:t xml:space="preserve"> Bu bilgiden hareketle, öğrencilerin öğrenme yaklaşımını etkileyen etmenler tek bir unsur üzerinden değerlendirilmemeli, birden fazla etkili olabilecek durum göz önüne alınarak öğrenme ortamları dizayn edilmeye çalışılmalıdır. </w:t>
      </w:r>
    </w:p>
    <w:p w14:paraId="6530E53B" w14:textId="1C19DA62" w:rsidR="007B6CB8" w:rsidRDefault="006D756D" w:rsidP="007B6CB8">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Araştırmanın bulgularına dayanılarak ileriki araştırmalar ve ö</w:t>
      </w:r>
      <w:r w:rsidR="007B6CB8" w:rsidRPr="00C319D0">
        <w:rPr>
          <w:rFonts w:ascii="Cambria" w:eastAsia="Times New Roman" w:hAnsi="Cambria" w:cs="Times New Roman"/>
          <w:lang w:eastAsia="tr-TR"/>
        </w:rPr>
        <w:t xml:space="preserve">ğrenme yaklaşımları araştırmalarının matematik eğitimi alanına uygulamaları için aşağıdaki öneriler verilebilir: </w:t>
      </w:r>
    </w:p>
    <w:p w14:paraId="3CC5349B" w14:textId="1CBBB570" w:rsidR="006D756D" w:rsidRPr="00C319D0" w:rsidRDefault="006D756D" w:rsidP="006D756D">
      <w:pPr>
        <w:spacing w:after="0" w:line="240" w:lineRule="auto"/>
        <w:ind w:firstLine="567"/>
        <w:jc w:val="both"/>
        <w:rPr>
          <w:rFonts w:ascii="Cambria" w:eastAsia="Times New Roman" w:hAnsi="Cambria" w:cs="Times New Roman"/>
          <w:bCs/>
          <w:lang w:eastAsia="tr-TR"/>
        </w:rPr>
      </w:pPr>
      <w:r w:rsidRPr="00C319D0">
        <w:rPr>
          <w:rFonts w:ascii="Cambria" w:eastAsia="Times New Roman" w:hAnsi="Cambria" w:cs="Times New Roman"/>
          <w:bCs/>
          <w:lang w:eastAsia="tr-TR"/>
        </w:rPr>
        <w:t xml:space="preserve">Çalışmanın giriş kısmında bahsedildiği gibi öğrenme yaklaşımları ile ilgili alan yazın incelendiğinde çok sayıda çalışmaya rastlanmaktadır. Bu çalışmalar çoğunlukla öğrencilerin genel olarak öğrenme yaklaşımını değerlendirmektedir. Özel olarak matematik öğrenme yaklaşımı üzerine yapılan çalışmalar daha az sayıdadır. Benzer şekilde diğer disiplinler için de bu tür çalışmalar yapılırsa öğrencilerin tam olarak hangi öğrenme yaklaşımına sahip olduğu net bir şekilde belirlenebilir. Ayrıca, öğrencilerin öğrenme yaklaşımlarının sınıf düzeylerine göre değişip değişmediğini araştıran çalışmalar az sayıdadır. Yapılan çalışmalar daha çok öğrencilerin öğrenme yaklaşımlarını cinsiyetlerine ve akademik başarılarına göre karşılaştırmaktadır. Dolayısıyla özellikle ortaokul seviyesindeki öğrencilerin öğrenme yaklaşımlarındaki değişimi incelemek amacıyla sınıf düzeyine göre karşılaştırma yapılması ileriki çalışmalar için öneri olarak verilebilir. </w:t>
      </w:r>
    </w:p>
    <w:p w14:paraId="6A1815BA" w14:textId="6BA5D6D6" w:rsidR="006D756D" w:rsidRPr="00C319D0" w:rsidRDefault="006D756D" w:rsidP="006D756D">
      <w:pPr>
        <w:spacing w:after="0" w:line="240" w:lineRule="auto"/>
        <w:ind w:firstLine="567"/>
        <w:jc w:val="both"/>
        <w:rPr>
          <w:rFonts w:ascii="Cambria" w:eastAsia="Times New Roman" w:hAnsi="Cambria" w:cs="Times New Roman"/>
          <w:lang w:eastAsia="tr-TR"/>
        </w:rPr>
      </w:pPr>
      <w:r w:rsidRPr="00C319D0">
        <w:rPr>
          <w:rFonts w:ascii="Cambria" w:eastAsia="Times New Roman" w:hAnsi="Cambria" w:cs="Times New Roman"/>
          <w:bCs/>
          <w:lang w:eastAsia="tr-TR"/>
        </w:rPr>
        <w:t xml:space="preserve">Matematik Öğrenme Yaklaşımları Ölçeği’nin çeşitli şekillerde geçerlik ve güvenirlik çalışmaları gerçekleştirilmiştir. Bu analizlere ölçüt bağıntılı geçerlik çalışması da eklenebilir. Ölçeğin </w:t>
      </w:r>
      <w:r w:rsidRPr="00C319D0">
        <w:rPr>
          <w:rFonts w:ascii="Cambria" w:eastAsia="Times New Roman" w:hAnsi="Cambria" w:cs="Times New Roman"/>
          <w:lang w:eastAsia="tr-TR"/>
        </w:rPr>
        <w:t xml:space="preserve">lise kademesindeki öğrenciler için uygun olup olmadığı bu alanda yapılacak diğer çalışmaların sonuçlarına bağlıdır. Bu çalışmada belirlenen kuramsal çerçeve doğrultusunda öğrencilerin öğrenme yaklaşımları derinlemesine, stratejik ve yüzeysel olmak üzere 3 alt boyutta incelenmiştir. Daha ayrıntılı olarak her bir alt boyut da farklı boyutlarda değerlendirilerek bir çalışma gerçekleştirilebilir. </w:t>
      </w:r>
    </w:p>
    <w:p w14:paraId="1FD6F229" w14:textId="24E20423" w:rsidR="007B6CB8" w:rsidRPr="00C319D0" w:rsidRDefault="008F3E5C" w:rsidP="00FE1334">
      <w:pPr>
        <w:spacing w:after="0" w:line="240" w:lineRule="auto"/>
        <w:ind w:firstLine="567"/>
        <w:jc w:val="both"/>
        <w:rPr>
          <w:rFonts w:ascii="Cambria" w:eastAsia="Times New Roman" w:hAnsi="Cambria" w:cs="Times New Roman"/>
          <w:lang w:eastAsia="tr-TR"/>
        </w:rPr>
      </w:pPr>
      <w:r w:rsidRPr="008F3E5C">
        <w:rPr>
          <w:rFonts w:ascii="Cambria" w:eastAsia="Times New Roman" w:hAnsi="Cambria" w:cs="Times New Roman"/>
          <w:lang w:eastAsia="tr-TR"/>
        </w:rPr>
        <w:t xml:space="preserve">Öğrenme ortamının özellikleri  öğrencilerin öğrenme yaklaşımlarını etkilemektedir. Eğer öğrenciler öğrenme ortamı ile ilgili olumlu algıya sahip olurlarsa daha çok derinlemesine öğrenme yaklaşımını benimserken, olumsuz bir algıya sahip olduklarında yüzeysel öğrenme yaklaşımına yönelmektedirler (Richardson, 2003). </w:t>
      </w:r>
      <w:r w:rsidR="007B6CB8" w:rsidRPr="00C319D0">
        <w:rPr>
          <w:rFonts w:ascii="Cambria" w:eastAsia="Times New Roman" w:hAnsi="Cambria" w:cs="Times New Roman"/>
          <w:lang w:eastAsia="tr-TR"/>
        </w:rPr>
        <w:t>Matematik derslerinde öğrencilerin derinlemesine öğrenme yaklaşımını daha fazla tercih etmelerini sağlayacak öğrenme ortamları oluşturulabilir. Bu doğrultuda</w:t>
      </w:r>
      <w:r w:rsidR="00D62972" w:rsidRPr="00C319D0">
        <w:rPr>
          <w:rFonts w:ascii="Cambria" w:eastAsia="Times New Roman" w:hAnsi="Cambria" w:cs="Times New Roman"/>
          <w:lang w:eastAsia="tr-TR"/>
        </w:rPr>
        <w:t xml:space="preserve"> </w:t>
      </w:r>
      <w:r w:rsidR="007B6CB8" w:rsidRPr="00C319D0">
        <w:rPr>
          <w:rFonts w:ascii="Cambria" w:eastAsia="Times New Roman" w:hAnsi="Cambria" w:cs="Times New Roman"/>
          <w:lang w:eastAsia="tr-TR"/>
        </w:rPr>
        <w:t xml:space="preserve">öğrencinin </w:t>
      </w:r>
      <w:r w:rsidR="00D62972" w:rsidRPr="00C319D0">
        <w:rPr>
          <w:rFonts w:ascii="Cambria" w:eastAsia="Times New Roman" w:hAnsi="Cambria" w:cs="Times New Roman"/>
          <w:lang w:eastAsia="tr-TR"/>
        </w:rPr>
        <w:t xml:space="preserve">daha çok </w:t>
      </w:r>
      <w:r w:rsidR="007B6CB8" w:rsidRPr="00C319D0">
        <w:rPr>
          <w:rFonts w:ascii="Cambria" w:eastAsia="Times New Roman" w:hAnsi="Cambria" w:cs="Times New Roman"/>
          <w:lang w:eastAsia="tr-TR"/>
        </w:rPr>
        <w:t xml:space="preserve">merkezde olduğu ve teknolojik destekli etkinliklere yer verilebilir. </w:t>
      </w:r>
      <w:r w:rsidR="00FE1334" w:rsidRPr="00C319D0">
        <w:rPr>
          <w:rFonts w:ascii="Cambria" w:eastAsia="Times New Roman" w:hAnsi="Cambria" w:cs="Times New Roman"/>
          <w:lang w:eastAsia="tr-TR"/>
        </w:rPr>
        <w:t xml:space="preserve">Çünkü </w:t>
      </w:r>
      <w:r w:rsidR="00FE1334" w:rsidRPr="00C319D0">
        <w:rPr>
          <w:rFonts w:ascii="Cambria" w:eastAsia="Times New Roman" w:hAnsi="Cambria" w:cs="Times New Roman"/>
          <w:color w:val="000000" w:themeColor="text1"/>
          <w:lang w:eastAsia="tr-TR"/>
        </w:rPr>
        <w:t>derinlemesine öğrenen öğrenciler; öğrendikleri yeni bilgileri daha önceki bilgileriyle ilişkilendirir, öğrendikleri bilgilerden çıkarımlarda bulunur</w:t>
      </w:r>
      <w:r w:rsidR="005E50F2">
        <w:rPr>
          <w:rFonts w:ascii="Cambria" w:eastAsia="Times New Roman" w:hAnsi="Cambria" w:cs="Times New Roman"/>
          <w:color w:val="000000" w:themeColor="text1"/>
          <w:lang w:eastAsia="tr-TR"/>
        </w:rPr>
        <w:t xml:space="preserve"> (</w:t>
      </w:r>
      <w:r>
        <w:rPr>
          <w:rFonts w:ascii="Cambria" w:eastAsia="Times New Roman" w:hAnsi="Cambria" w:cs="Times New Roman"/>
          <w:color w:val="000000" w:themeColor="text1"/>
          <w:lang w:eastAsia="tr-TR"/>
        </w:rPr>
        <w:t xml:space="preserve">Offir, Lev </w:t>
      </w:r>
      <w:r w:rsidR="00BC3F79">
        <w:rPr>
          <w:rFonts w:ascii="Cambria" w:eastAsia="Times New Roman" w:hAnsi="Cambria" w:cs="Times New Roman"/>
          <w:color w:val="000000" w:themeColor="text1"/>
          <w:lang w:eastAsia="tr-TR"/>
        </w:rPr>
        <w:t>&amp;</w:t>
      </w:r>
      <w:r>
        <w:rPr>
          <w:rFonts w:ascii="Cambria" w:eastAsia="Times New Roman" w:hAnsi="Cambria" w:cs="Times New Roman"/>
          <w:color w:val="000000" w:themeColor="text1"/>
          <w:lang w:eastAsia="tr-TR"/>
        </w:rPr>
        <w:t xml:space="preserve"> Bezalel, 2008).</w:t>
      </w:r>
      <w:r w:rsidR="00FE1334" w:rsidRPr="00C319D0">
        <w:rPr>
          <w:rFonts w:ascii="Cambria" w:eastAsia="Times New Roman" w:hAnsi="Cambria" w:cs="Times New Roman"/>
          <w:color w:val="000000" w:themeColor="text1"/>
          <w:lang w:eastAsia="tr-TR"/>
        </w:rPr>
        <w:t xml:space="preserve"> Elde ettiği ürünü eleştirel olarak gözden geçirir, öğreneceği konu ile ilgili etkinliklere aktif olarak katılır</w:t>
      </w:r>
      <w:r w:rsidR="005E50F2">
        <w:rPr>
          <w:rFonts w:ascii="Cambria" w:eastAsia="Times New Roman" w:hAnsi="Cambria" w:cs="Times New Roman"/>
          <w:color w:val="000000" w:themeColor="text1"/>
          <w:lang w:eastAsia="tr-TR"/>
        </w:rPr>
        <w:t xml:space="preserve"> (Beydoğan, 2007). </w:t>
      </w:r>
      <w:r w:rsidR="00FE1334" w:rsidRPr="00C319D0">
        <w:rPr>
          <w:rFonts w:ascii="Cambria" w:eastAsia="Times New Roman" w:hAnsi="Cambria" w:cs="Times New Roman"/>
          <w:color w:val="000000" w:themeColor="text1"/>
          <w:lang w:eastAsia="tr-TR"/>
        </w:rPr>
        <w:t>Yüzeysel öğrenme yaklaşımında ise bir bilginin diğer bir bilgi ile ilişkisini düşünmeden ezberlemeye odaklanma vardır</w:t>
      </w:r>
      <w:r w:rsidR="005E50F2">
        <w:rPr>
          <w:rFonts w:ascii="Cambria" w:eastAsia="Times New Roman" w:hAnsi="Cambria" w:cs="Times New Roman"/>
          <w:color w:val="000000" w:themeColor="text1"/>
          <w:lang w:eastAsia="tr-TR"/>
        </w:rPr>
        <w:t xml:space="preserve"> (Trigwell </w:t>
      </w:r>
      <w:r w:rsidR="00BC3F79">
        <w:rPr>
          <w:rFonts w:ascii="Cambria" w:eastAsia="Times New Roman" w:hAnsi="Cambria" w:cs="Times New Roman"/>
          <w:color w:val="000000" w:themeColor="text1"/>
          <w:lang w:eastAsia="tr-TR"/>
        </w:rPr>
        <w:t>&amp;</w:t>
      </w:r>
      <w:r w:rsidR="005E50F2">
        <w:rPr>
          <w:rFonts w:ascii="Cambria" w:eastAsia="Times New Roman" w:hAnsi="Cambria" w:cs="Times New Roman"/>
          <w:color w:val="000000" w:themeColor="text1"/>
          <w:lang w:eastAsia="tr-TR"/>
        </w:rPr>
        <w:t xml:space="preserve"> Prosser, 1991). </w:t>
      </w:r>
      <w:r w:rsidR="00FE1334" w:rsidRPr="00C319D0">
        <w:rPr>
          <w:rFonts w:ascii="Cambria" w:eastAsia="Times New Roman" w:hAnsi="Cambria" w:cs="Times New Roman"/>
          <w:color w:val="000000" w:themeColor="text1"/>
          <w:lang w:eastAsia="tr-TR"/>
        </w:rPr>
        <w:t xml:space="preserve">Özellikle matematik dersinin yapısından dolayı </w:t>
      </w:r>
      <w:r>
        <w:rPr>
          <w:rFonts w:ascii="Cambria" w:eastAsia="Times New Roman" w:hAnsi="Cambria" w:cs="Times New Roman"/>
          <w:color w:val="000000" w:themeColor="text1"/>
          <w:lang w:eastAsia="tr-TR"/>
        </w:rPr>
        <w:t xml:space="preserve">hem ders içi hem de ders dışı </w:t>
      </w:r>
      <w:r w:rsidR="00FE1334" w:rsidRPr="00C319D0">
        <w:rPr>
          <w:rFonts w:ascii="Cambria" w:eastAsia="Times New Roman" w:hAnsi="Cambria" w:cs="Times New Roman"/>
          <w:color w:val="000000" w:themeColor="text1"/>
          <w:lang w:eastAsia="tr-TR"/>
        </w:rPr>
        <w:t>ilişkilendirme yapılması önemlidir</w:t>
      </w:r>
      <w:r>
        <w:rPr>
          <w:rFonts w:ascii="Cambria" w:eastAsia="Times New Roman" w:hAnsi="Cambria" w:cs="Times New Roman"/>
          <w:color w:val="000000" w:themeColor="text1"/>
          <w:lang w:eastAsia="tr-TR"/>
        </w:rPr>
        <w:t xml:space="preserve"> (Ersoy, 2006).</w:t>
      </w:r>
      <w:r w:rsidR="00FE1334" w:rsidRPr="00C319D0">
        <w:rPr>
          <w:rFonts w:ascii="Cambria" w:eastAsia="Times New Roman" w:hAnsi="Cambria" w:cs="Times New Roman"/>
          <w:color w:val="000000" w:themeColor="text1"/>
          <w:lang w:eastAsia="tr-TR"/>
        </w:rPr>
        <w:t xml:space="preserve"> Dolayısıyla, öğrenme ortamında öğrenciler daha çok ilişkisel düşünmeye yönlendirilmelidir. Bu aşamada matematik öğretmenleri ders içerisinde öğrencileri düşünmeye </w:t>
      </w:r>
      <w:r w:rsidR="00FE1334" w:rsidRPr="00C319D0">
        <w:rPr>
          <w:rFonts w:ascii="Cambria" w:eastAsia="Times New Roman" w:hAnsi="Cambria" w:cs="Times New Roman"/>
          <w:color w:val="000000" w:themeColor="text1"/>
          <w:lang w:eastAsia="tr-TR"/>
        </w:rPr>
        <w:lastRenderedPageBreak/>
        <w:t>sevk ederek önceki öğrenmeleriyle bağlantılar oluştur</w:t>
      </w:r>
      <w:r w:rsidR="00F8185D" w:rsidRPr="00C319D0">
        <w:rPr>
          <w:rFonts w:ascii="Cambria" w:eastAsia="Times New Roman" w:hAnsi="Cambria" w:cs="Times New Roman"/>
          <w:color w:val="000000" w:themeColor="text1"/>
          <w:lang w:eastAsia="tr-TR"/>
        </w:rPr>
        <w:t>acak</w:t>
      </w:r>
      <w:r w:rsidR="00FE1334" w:rsidRPr="00C319D0">
        <w:rPr>
          <w:rFonts w:ascii="Cambria" w:eastAsia="Times New Roman" w:hAnsi="Cambria" w:cs="Times New Roman"/>
          <w:color w:val="000000" w:themeColor="text1"/>
          <w:lang w:eastAsia="tr-TR"/>
        </w:rPr>
        <w:t xml:space="preserve"> şekilde derslerini dizayn etmelidir.</w:t>
      </w:r>
      <w:r w:rsidR="00174366" w:rsidRPr="00C319D0">
        <w:rPr>
          <w:rFonts w:ascii="Cambria" w:eastAsia="Times New Roman" w:hAnsi="Cambria" w:cs="Times New Roman"/>
          <w:color w:val="000000" w:themeColor="text1"/>
          <w:lang w:eastAsia="tr-TR"/>
        </w:rPr>
        <w:t xml:space="preserve"> Matematik dersi içerisinde sınıf düzeylerine bağlı olarak bazı konularda daha üst düzey bilgiler olabilir ya da bazı formül vs</w:t>
      </w:r>
      <w:r w:rsidR="00254E5A" w:rsidRPr="00C319D0">
        <w:rPr>
          <w:rFonts w:ascii="Cambria" w:eastAsia="Times New Roman" w:hAnsi="Cambria" w:cs="Times New Roman"/>
          <w:color w:val="000000" w:themeColor="text1"/>
          <w:lang w:eastAsia="tr-TR"/>
        </w:rPr>
        <w:t>.</w:t>
      </w:r>
      <w:r w:rsidR="00174366" w:rsidRPr="00C319D0">
        <w:rPr>
          <w:rFonts w:ascii="Cambria" w:eastAsia="Times New Roman" w:hAnsi="Cambria" w:cs="Times New Roman"/>
          <w:color w:val="000000" w:themeColor="text1"/>
          <w:lang w:eastAsia="tr-TR"/>
        </w:rPr>
        <w:t xml:space="preserve"> hesaplamalarını öğrenciler ezberlemek durumunda kalabilirler. Bu formüllerin çıkarılış hesaplamalarının öğrencilere verilmesi mümkün değildir. Bu gibi durumlarda stratejik öğrenme yaklaşımı işe koşulmuş olur. Stratejik öğrenme yaklaşımı özelliklerine uygun olarak hem kısmi düzeyde ezberleme hem de ilişkilendirme durumu meydana gelmektedir</w:t>
      </w:r>
      <w:r>
        <w:rPr>
          <w:rFonts w:ascii="Cambria" w:eastAsia="Times New Roman" w:hAnsi="Cambria" w:cs="Times New Roman"/>
          <w:color w:val="000000" w:themeColor="text1"/>
          <w:lang w:eastAsia="tr-TR"/>
        </w:rPr>
        <w:t xml:space="preserve"> (Darlington, 2011). </w:t>
      </w:r>
      <w:r w:rsidR="00174366" w:rsidRPr="00C319D0">
        <w:rPr>
          <w:rFonts w:ascii="Cambria" w:eastAsia="Times New Roman" w:hAnsi="Cambria" w:cs="Times New Roman"/>
          <w:color w:val="000000" w:themeColor="text1"/>
          <w:lang w:eastAsia="tr-TR"/>
        </w:rPr>
        <w:t>Ancak bu durumda öğrenme ortamının yönlendiren öğretmenin en sağlıklı kararı vermesi ve ezberlenen bilgiyi en az düzeyde tutmaya çalışması gerek</w:t>
      </w:r>
      <w:r w:rsidR="00254E5A" w:rsidRPr="00C319D0">
        <w:rPr>
          <w:rFonts w:ascii="Cambria" w:eastAsia="Times New Roman" w:hAnsi="Cambria" w:cs="Times New Roman"/>
          <w:color w:val="000000" w:themeColor="text1"/>
          <w:lang w:eastAsia="tr-TR"/>
        </w:rPr>
        <w:t xml:space="preserve">lidir. </w:t>
      </w:r>
    </w:p>
    <w:p w14:paraId="1414CDB0" w14:textId="17BBDE2C" w:rsidR="00D62972" w:rsidRPr="00C319D0" w:rsidRDefault="00AD5059" w:rsidP="007B6CB8">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Sezgin Selçuk (2010) fizik dersi için yaptığı deneysel çalışmasında farklı öğrenme ortamlarının (probleme dayalı öğrenme) öğrencilerin derinlemesine öğrenme yaklaşımını tercihlerinde artış sağladığı sonucuna ulaşmıştır. Benzer şekilde d</w:t>
      </w:r>
      <w:r w:rsidRPr="00C319D0">
        <w:rPr>
          <w:rFonts w:ascii="Cambria" w:eastAsia="Times New Roman" w:hAnsi="Cambria" w:cs="Times New Roman"/>
          <w:lang w:eastAsia="tr-TR"/>
        </w:rPr>
        <w:t>eneysel çalışmalar ile farklı öğrenme ortamlarının öğrencilerin matematik öğrenme yaklaşımları üzerine etkileri araştırılabilir.</w:t>
      </w:r>
    </w:p>
    <w:p w14:paraId="7390A542" w14:textId="3AD4F3EB" w:rsidR="006D756D" w:rsidRPr="00C319D0" w:rsidRDefault="00F367FD" w:rsidP="00D62972">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Ö</w:t>
      </w:r>
      <w:r>
        <w:rPr>
          <w:rFonts w:ascii="Cambria" w:eastAsia="Times New Roman" w:hAnsi="Cambria" w:cs="Times New Roman"/>
          <w:color w:val="000000" w:themeColor="text1"/>
          <w:lang w:eastAsia="tr-TR"/>
        </w:rPr>
        <w:t>ğrencilerin öğrenme tercihleri</w:t>
      </w:r>
      <w:r w:rsidRPr="00C319D0">
        <w:rPr>
          <w:rFonts w:ascii="Cambria" w:eastAsia="Times New Roman" w:hAnsi="Cambria" w:cs="Times New Roman"/>
          <w:color w:val="000000" w:themeColor="text1"/>
          <w:lang w:eastAsia="tr-TR"/>
        </w:rPr>
        <w:t xml:space="preserve"> </w:t>
      </w:r>
      <w:r>
        <w:rPr>
          <w:rFonts w:ascii="Cambria" w:eastAsia="Times New Roman" w:hAnsi="Cambria" w:cs="Times New Roman"/>
          <w:color w:val="000000" w:themeColor="text1"/>
          <w:lang w:eastAsia="tr-TR"/>
        </w:rPr>
        <w:t xml:space="preserve">konu alanı </w:t>
      </w:r>
      <w:r w:rsidRPr="00C319D0">
        <w:rPr>
          <w:rFonts w:ascii="Cambria" w:eastAsia="Times New Roman" w:hAnsi="Cambria" w:cs="Times New Roman"/>
          <w:color w:val="000000" w:themeColor="text1"/>
          <w:lang w:eastAsia="tr-TR"/>
        </w:rPr>
        <w:t>(ör. matematik, fen, sosyal bilimler)</w:t>
      </w:r>
      <w:r>
        <w:rPr>
          <w:rFonts w:ascii="Cambria" w:eastAsia="Times New Roman" w:hAnsi="Cambria" w:cs="Times New Roman"/>
          <w:color w:val="000000" w:themeColor="text1"/>
          <w:lang w:eastAsia="tr-TR"/>
        </w:rPr>
        <w:t xml:space="preserve"> değişkeninden etkilenmektedir</w:t>
      </w:r>
      <w:r w:rsidRPr="00C319D0">
        <w:rPr>
          <w:rFonts w:ascii="Cambria" w:eastAsia="Times New Roman" w:hAnsi="Cambria" w:cs="Times New Roman"/>
          <w:color w:val="000000" w:themeColor="text1"/>
          <w:lang w:eastAsia="tr-TR"/>
        </w:rPr>
        <w:t xml:space="preserve"> (Smith</w:t>
      </w:r>
      <w:r>
        <w:rPr>
          <w:rFonts w:ascii="Cambria" w:eastAsia="Times New Roman" w:hAnsi="Cambria" w:cs="Times New Roman"/>
          <w:color w:val="000000" w:themeColor="text1"/>
          <w:lang w:eastAsia="tr-TR"/>
        </w:rPr>
        <w:t xml:space="preserve"> </w:t>
      </w:r>
      <w:r w:rsidR="00BC3F79">
        <w:rPr>
          <w:rFonts w:ascii="Cambria" w:eastAsia="Times New Roman" w:hAnsi="Cambria" w:cs="Times New Roman"/>
          <w:color w:val="000000" w:themeColor="text1"/>
          <w:lang w:eastAsia="tr-TR"/>
        </w:rPr>
        <w:t>&amp;</w:t>
      </w:r>
      <w:r>
        <w:rPr>
          <w:rFonts w:ascii="Cambria" w:eastAsia="Times New Roman" w:hAnsi="Cambria" w:cs="Times New Roman"/>
          <w:color w:val="000000" w:themeColor="text1"/>
          <w:lang w:eastAsia="tr-TR"/>
        </w:rPr>
        <w:t xml:space="preserve"> Miller, 2005). Ö</w:t>
      </w:r>
      <w:r w:rsidRPr="00C319D0">
        <w:rPr>
          <w:rFonts w:ascii="Cambria" w:eastAsia="Times New Roman" w:hAnsi="Cambria" w:cs="Times New Roman"/>
          <w:color w:val="000000" w:themeColor="text1"/>
          <w:lang w:eastAsia="tr-TR"/>
        </w:rPr>
        <w:t>ğrenciler bir derste derinlemesine öğrenme yaklaşımını benimserken diğer bir derste yüzeysel öğrenme y</w:t>
      </w:r>
      <w:r>
        <w:rPr>
          <w:rFonts w:ascii="Cambria" w:eastAsia="Times New Roman" w:hAnsi="Cambria" w:cs="Times New Roman"/>
          <w:color w:val="000000" w:themeColor="text1"/>
          <w:lang w:eastAsia="tr-TR"/>
        </w:rPr>
        <w:t>aklaşımını benimseyebilmektedir</w:t>
      </w:r>
      <w:r w:rsidRPr="00C319D0">
        <w:rPr>
          <w:rFonts w:ascii="Cambria" w:eastAsia="Times New Roman" w:hAnsi="Cambria" w:cs="Times New Roman"/>
          <w:color w:val="000000" w:themeColor="text1"/>
          <w:lang w:eastAsia="tr-TR"/>
        </w:rPr>
        <w:t xml:space="preserve"> (Lucas, 2001).</w:t>
      </w:r>
      <w:r>
        <w:rPr>
          <w:rFonts w:ascii="Cambria" w:eastAsia="Times New Roman" w:hAnsi="Cambria" w:cs="Times New Roman"/>
          <w:color w:val="000000" w:themeColor="text1"/>
          <w:lang w:eastAsia="tr-TR"/>
        </w:rPr>
        <w:t xml:space="preserve"> </w:t>
      </w:r>
      <w:r w:rsidR="00C966AE">
        <w:rPr>
          <w:rFonts w:ascii="Cambria" w:eastAsia="Times New Roman" w:hAnsi="Cambria" w:cs="Times New Roman"/>
          <w:color w:val="000000" w:themeColor="text1"/>
          <w:lang w:eastAsia="tr-TR"/>
        </w:rPr>
        <w:t xml:space="preserve">Dolayısıyla </w:t>
      </w:r>
      <w:r w:rsidR="00C966AE">
        <w:rPr>
          <w:rFonts w:ascii="Cambria" w:eastAsia="Times New Roman" w:hAnsi="Cambria" w:cs="Times New Roman"/>
          <w:lang w:eastAsia="tr-TR"/>
        </w:rPr>
        <w:t>ö</w:t>
      </w:r>
      <w:r w:rsidRPr="00C319D0">
        <w:rPr>
          <w:rFonts w:ascii="Cambria" w:eastAsia="Times New Roman" w:hAnsi="Cambria" w:cs="Times New Roman"/>
          <w:lang w:eastAsia="tr-TR"/>
        </w:rPr>
        <w:t>ğrencilerin farklı derslerdeki öğrenme yaklaşımları incelenerek matematik dersindeki öğrenme yaklaşımları ile arasındaki ilişki, benzerlik ve farklılıklar incelenebilir.</w:t>
      </w:r>
      <w:r w:rsidR="00AC5548">
        <w:rPr>
          <w:rFonts w:ascii="Cambria" w:eastAsia="Times New Roman" w:hAnsi="Cambria" w:cs="Times New Roman"/>
          <w:lang w:eastAsia="tr-TR"/>
        </w:rPr>
        <w:t xml:space="preserve"> </w:t>
      </w:r>
      <w:r w:rsidR="006D756D">
        <w:rPr>
          <w:rFonts w:ascii="Cambria" w:eastAsia="Times New Roman" w:hAnsi="Cambria" w:cs="Times New Roman"/>
          <w:lang w:eastAsia="tr-TR"/>
        </w:rPr>
        <w:t>Bu araştırmanın sonuçları</w:t>
      </w:r>
      <w:r w:rsidR="005B0610">
        <w:rPr>
          <w:rFonts w:ascii="Cambria" w:eastAsia="Times New Roman" w:hAnsi="Cambria" w:cs="Times New Roman"/>
          <w:lang w:eastAsia="tr-TR"/>
        </w:rPr>
        <w:t xml:space="preserve"> </w:t>
      </w:r>
      <w:r w:rsidR="006D756D">
        <w:rPr>
          <w:rFonts w:ascii="Cambria" w:eastAsia="Times New Roman" w:hAnsi="Cambria" w:cs="Times New Roman"/>
          <w:lang w:eastAsia="tr-TR"/>
        </w:rPr>
        <w:t xml:space="preserve">öğrenme yaklaşımlarını etkileyebilecek bir çok etken (sınıf ortamı, cinsiyet, akademik başarı vs.) de göz önüne alınarak nitel çalışma ile genişletilebilir. </w:t>
      </w:r>
    </w:p>
    <w:p w14:paraId="0CBF8E14" w14:textId="77777777" w:rsidR="008F784F" w:rsidRPr="00C319D0" w:rsidRDefault="008F784F" w:rsidP="008F784F">
      <w:pPr>
        <w:spacing w:before="100" w:beforeAutospacing="1" w:after="100" w:afterAutospacing="1" w:line="240" w:lineRule="auto"/>
        <w:rPr>
          <w:rFonts w:ascii="Cambria" w:hAnsi="Cambria"/>
          <w:b/>
        </w:rPr>
      </w:pPr>
      <w:r w:rsidRPr="00C319D0">
        <w:rPr>
          <w:rFonts w:ascii="Cambria" w:hAnsi="Cambria"/>
          <w:b/>
        </w:rPr>
        <w:t>KAYNAKÇA</w:t>
      </w:r>
    </w:p>
    <w:p w14:paraId="233521D4"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Beattie, V., Collins, W., &amp; McInnes, W. (1997). Deep and surface learning: Simple or simplistic dichotomy? </w:t>
      </w:r>
      <w:r w:rsidRPr="00683EA9">
        <w:rPr>
          <w:rFonts w:ascii="Cambria" w:eastAsia="Times New Roman" w:hAnsi="Cambria" w:cs="Times New Roman"/>
          <w:i/>
          <w:sz w:val="20"/>
          <w:szCs w:val="20"/>
          <w:lang w:bidi="en-US"/>
        </w:rPr>
        <w:t>Accounting Education, 6</w:t>
      </w:r>
      <w:r w:rsidRPr="00683EA9">
        <w:rPr>
          <w:rFonts w:ascii="Cambria" w:eastAsia="Times New Roman" w:hAnsi="Cambria" w:cs="Times New Roman"/>
          <w:sz w:val="20"/>
          <w:szCs w:val="20"/>
          <w:lang w:bidi="en-US"/>
        </w:rPr>
        <w:t>(1), 1-12.</w:t>
      </w:r>
    </w:p>
    <w:p w14:paraId="485F8AD9"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Beşoluk, Ş., &amp; Önder, İ. (2010). Öğretmen adaylarının öğrenme yaklaşımları, öğrenme stilleri ve eleştirel düşünme eğilimlerinin incelenmesi. </w:t>
      </w:r>
      <w:r w:rsidRPr="00683EA9">
        <w:rPr>
          <w:rFonts w:ascii="Cambria" w:eastAsia="Times New Roman" w:hAnsi="Cambria" w:cs="Times New Roman"/>
          <w:i/>
          <w:sz w:val="20"/>
          <w:szCs w:val="20"/>
          <w:lang w:bidi="en-US"/>
        </w:rPr>
        <w:t>İlköğretim Online, 9</w:t>
      </w:r>
      <w:r w:rsidRPr="00683EA9">
        <w:rPr>
          <w:rFonts w:ascii="Cambria" w:eastAsia="Times New Roman" w:hAnsi="Cambria" w:cs="Times New Roman"/>
          <w:sz w:val="20"/>
          <w:szCs w:val="20"/>
          <w:lang w:bidi="en-US"/>
        </w:rPr>
        <w:t>(2), 679-693.</w:t>
      </w:r>
    </w:p>
    <w:p w14:paraId="145E6F97"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Beydoğan, Ö. (2007). Derinliğine ve yüzeysel öğrenmede kavram haritaları ve şemaların işlevi. </w:t>
      </w:r>
      <w:r w:rsidRPr="00683EA9">
        <w:rPr>
          <w:rFonts w:ascii="Cambria" w:eastAsia="Times New Roman" w:hAnsi="Cambria" w:cs="Times New Roman"/>
          <w:i/>
          <w:sz w:val="20"/>
          <w:szCs w:val="20"/>
          <w:lang w:bidi="en-US"/>
        </w:rPr>
        <w:t>Milli Eğitim,</w:t>
      </w:r>
      <w:r w:rsidRPr="00683EA9">
        <w:rPr>
          <w:rFonts w:ascii="Cambria" w:eastAsia="Times New Roman" w:hAnsi="Cambria" w:cs="Times New Roman"/>
          <w:sz w:val="20"/>
          <w:szCs w:val="20"/>
          <w:lang w:bidi="en-US"/>
        </w:rPr>
        <w:t xml:space="preserve"> 173, 258-270.</w:t>
      </w:r>
    </w:p>
    <w:p w14:paraId="05EBB5A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Biggs, J. (1979). In</w:t>
      </w:r>
      <w:bookmarkStart w:id="0" w:name="_GoBack"/>
      <w:bookmarkEnd w:id="0"/>
      <w:r w:rsidRPr="00683EA9">
        <w:rPr>
          <w:rFonts w:ascii="Cambria" w:eastAsia="Times New Roman" w:hAnsi="Cambria" w:cs="Times New Roman"/>
          <w:sz w:val="20"/>
          <w:szCs w:val="20"/>
          <w:lang w:bidi="en-US"/>
        </w:rPr>
        <w:t>dividual differences in study processes and the quality of learning outcomes. </w:t>
      </w:r>
      <w:r w:rsidRPr="00683EA9">
        <w:rPr>
          <w:rFonts w:ascii="Cambria" w:eastAsia="Times New Roman" w:hAnsi="Cambria" w:cs="Times New Roman"/>
          <w:i/>
          <w:sz w:val="20"/>
          <w:szCs w:val="20"/>
          <w:lang w:bidi="en-US"/>
        </w:rPr>
        <w:t>Higher education, 8</w:t>
      </w:r>
      <w:r w:rsidRPr="00683EA9">
        <w:rPr>
          <w:rFonts w:ascii="Cambria" w:eastAsia="Times New Roman" w:hAnsi="Cambria" w:cs="Times New Roman"/>
          <w:sz w:val="20"/>
          <w:szCs w:val="20"/>
          <w:lang w:bidi="en-US"/>
        </w:rPr>
        <w:t>(4), 381-394.</w:t>
      </w:r>
    </w:p>
    <w:p w14:paraId="3EA440D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Biggs, J. (1999). What the student does: teaching for enhanced learning. </w:t>
      </w:r>
      <w:r w:rsidRPr="00683EA9">
        <w:rPr>
          <w:rFonts w:ascii="Cambria" w:eastAsia="Times New Roman" w:hAnsi="Cambria" w:cs="Times New Roman"/>
          <w:i/>
          <w:sz w:val="20"/>
          <w:szCs w:val="20"/>
          <w:lang w:bidi="en-US"/>
        </w:rPr>
        <w:t>Higher Education Research &amp; Development, 18</w:t>
      </w:r>
      <w:r w:rsidRPr="00683EA9">
        <w:rPr>
          <w:rFonts w:ascii="Cambria" w:eastAsia="Times New Roman" w:hAnsi="Cambria" w:cs="Times New Roman"/>
          <w:sz w:val="20"/>
          <w:szCs w:val="20"/>
          <w:lang w:bidi="en-US"/>
        </w:rPr>
        <w:t>(1), 57-75.</w:t>
      </w:r>
    </w:p>
    <w:p w14:paraId="3E58B0BB"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Biggs, J., Kember D., &amp; Leung, D. Y. P. (2001). The revised two factor study process questionnaire. </w:t>
      </w:r>
      <w:r w:rsidRPr="00683EA9">
        <w:rPr>
          <w:rFonts w:ascii="Cambria" w:eastAsia="Times New Roman" w:hAnsi="Cambria" w:cs="Times New Roman"/>
          <w:i/>
          <w:sz w:val="20"/>
          <w:szCs w:val="20"/>
          <w:lang w:bidi="en-US"/>
        </w:rPr>
        <w:t>British Journal of Educational Psychology</w:t>
      </w:r>
      <w:r w:rsidRPr="00683EA9">
        <w:rPr>
          <w:rFonts w:ascii="Cambria" w:eastAsia="Times New Roman" w:hAnsi="Cambria" w:cs="Times New Roman"/>
          <w:sz w:val="20"/>
          <w:szCs w:val="20"/>
          <w:lang w:bidi="en-US"/>
        </w:rPr>
        <w:t>, 71, 133-149.</w:t>
      </w:r>
    </w:p>
    <w:p w14:paraId="126443CA" w14:textId="65C653AA" w:rsidR="00DE1E3B" w:rsidRPr="00683EA9" w:rsidRDefault="00DE1E3B"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Kember, D., Biggs, J., &amp; Leung, D. Y. (2004). Examining the multidimensionality of approaches to learning through the development of a revised version of the Learning Process Questionnaire. </w:t>
      </w:r>
      <w:r w:rsidRPr="00683EA9">
        <w:rPr>
          <w:rFonts w:ascii="Cambria" w:eastAsia="Times New Roman" w:hAnsi="Cambria" w:cs="Times New Roman"/>
          <w:i/>
          <w:sz w:val="20"/>
          <w:szCs w:val="20"/>
          <w:lang w:bidi="en-US"/>
        </w:rPr>
        <w:t>British Journal of Educational Psychology, 74</w:t>
      </w:r>
      <w:r w:rsidRPr="00683EA9">
        <w:rPr>
          <w:rFonts w:ascii="Cambria" w:eastAsia="Times New Roman" w:hAnsi="Cambria" w:cs="Times New Roman"/>
          <w:sz w:val="20"/>
          <w:szCs w:val="20"/>
          <w:lang w:bidi="en-US"/>
        </w:rPr>
        <w:t>(2), 261-279.</w:t>
      </w:r>
    </w:p>
    <w:p w14:paraId="6B80BEFD"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Bryman, A., &amp; Cramer, D. (2001). </w:t>
      </w:r>
      <w:r w:rsidRPr="00683EA9">
        <w:rPr>
          <w:rFonts w:ascii="Cambria" w:eastAsia="Times New Roman" w:hAnsi="Cambria" w:cs="Times New Roman"/>
          <w:i/>
          <w:sz w:val="20"/>
          <w:szCs w:val="20"/>
          <w:lang w:bidi="en-US"/>
        </w:rPr>
        <w:t>Quantitative data analysis with SPSS release 10 for windows.</w:t>
      </w:r>
      <w:r w:rsidRPr="00683EA9">
        <w:rPr>
          <w:rFonts w:ascii="Cambria" w:eastAsia="Times New Roman" w:hAnsi="Cambria" w:cs="Times New Roman"/>
          <w:sz w:val="20"/>
          <w:szCs w:val="20"/>
          <w:lang w:bidi="en-US"/>
        </w:rPr>
        <w:t xml:space="preserve"> London: Routledge Press. </w:t>
      </w:r>
    </w:p>
    <w:p w14:paraId="452BCD92"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Büyüköztürk, Ş. (2012). </w:t>
      </w:r>
      <w:r w:rsidRPr="00683EA9">
        <w:rPr>
          <w:rFonts w:ascii="Cambria" w:eastAsia="Times New Roman" w:hAnsi="Cambria" w:cs="Times New Roman"/>
          <w:i/>
          <w:sz w:val="20"/>
          <w:szCs w:val="20"/>
          <w:lang w:bidi="en-US"/>
        </w:rPr>
        <w:t>Sosyal Bilimler için veri analizi el kitabı.</w:t>
      </w:r>
      <w:r w:rsidRPr="00683EA9">
        <w:rPr>
          <w:rFonts w:ascii="Cambria" w:eastAsia="Times New Roman" w:hAnsi="Cambria" w:cs="Times New Roman"/>
          <w:sz w:val="20"/>
          <w:szCs w:val="20"/>
          <w:lang w:bidi="en-US"/>
        </w:rPr>
        <w:t xml:space="preserve"> Ankara: Pegem Akademi.</w:t>
      </w:r>
    </w:p>
    <w:p w14:paraId="3C7A35F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Büyüköztürk, Ş., Kılıç Çakmak, E., Akgün, Ö. E., Karadeniz, Ş., &amp; Demirel, F. (2011). </w:t>
      </w:r>
      <w:r w:rsidRPr="00683EA9">
        <w:rPr>
          <w:rFonts w:ascii="Cambria" w:eastAsia="Times New Roman" w:hAnsi="Cambria" w:cs="Times New Roman"/>
          <w:i/>
          <w:sz w:val="20"/>
          <w:szCs w:val="20"/>
          <w:lang w:bidi="en-US"/>
        </w:rPr>
        <w:t xml:space="preserve">Bilimsel araştırma yöntemleri </w:t>
      </w:r>
      <w:r w:rsidRPr="00683EA9">
        <w:rPr>
          <w:rFonts w:ascii="Cambria" w:eastAsia="Times New Roman" w:hAnsi="Cambria" w:cs="Times New Roman"/>
          <w:sz w:val="20"/>
          <w:szCs w:val="20"/>
          <w:lang w:bidi="en-US"/>
        </w:rPr>
        <w:t xml:space="preserve">(8. Baskı). Ankara: Pegem Akademi. </w:t>
      </w:r>
    </w:p>
    <w:p w14:paraId="37758CC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Byrne, M., Flood, B. &amp; Willis, P. (2001). The relationship between learning approaches and learning outcomes: A study of Irish accounting students. </w:t>
      </w:r>
      <w:r w:rsidRPr="00683EA9">
        <w:rPr>
          <w:rFonts w:ascii="Cambria" w:eastAsia="Times New Roman" w:hAnsi="Cambria" w:cs="Times New Roman"/>
          <w:i/>
          <w:sz w:val="20"/>
          <w:szCs w:val="20"/>
          <w:lang w:bidi="en-US"/>
        </w:rPr>
        <w:t>Accounting Education, 11</w:t>
      </w:r>
      <w:r w:rsidRPr="00683EA9">
        <w:rPr>
          <w:rFonts w:ascii="Cambria" w:eastAsia="Times New Roman" w:hAnsi="Cambria" w:cs="Times New Roman"/>
          <w:sz w:val="20"/>
          <w:szCs w:val="20"/>
          <w:lang w:bidi="en-US"/>
        </w:rPr>
        <w:t>(1), 27-42.</w:t>
      </w:r>
    </w:p>
    <w:p w14:paraId="33A6FA79"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Can, H., &amp; Boz, Y. (2012). </w:t>
      </w:r>
      <w:r w:rsidRPr="00683EA9">
        <w:rPr>
          <w:rFonts w:ascii="Cambria" w:eastAsia="Times New Roman" w:hAnsi="Cambria" w:cs="Times New Roman"/>
          <w:i/>
          <w:sz w:val="20"/>
          <w:szCs w:val="20"/>
          <w:lang w:bidi="en-US"/>
        </w:rPr>
        <w:t xml:space="preserve">Yaş ve </w:t>
      </w:r>
      <w:r w:rsidR="005D7DBD" w:rsidRPr="00683EA9">
        <w:rPr>
          <w:rFonts w:ascii="Cambria" w:eastAsia="Times New Roman" w:hAnsi="Cambria" w:cs="Times New Roman"/>
          <w:i/>
          <w:sz w:val="20"/>
          <w:szCs w:val="20"/>
          <w:lang w:bidi="en-US"/>
        </w:rPr>
        <w:t>cinsiyetin ilköğretim öğrencilerinin fen dersini öğrenme yaklaşımlarına etkisi.</w:t>
      </w:r>
      <w:r w:rsidRPr="00683EA9">
        <w:rPr>
          <w:rFonts w:ascii="Cambria" w:eastAsia="Times New Roman" w:hAnsi="Cambria" w:cs="Times New Roman"/>
          <w:sz w:val="20"/>
          <w:szCs w:val="20"/>
          <w:lang w:bidi="en-US"/>
        </w:rPr>
        <w:t xml:space="preserve"> X. Ulusal Fen Bilimleri ve Matematik Eğitimi Kongresi. Niğde.</w:t>
      </w:r>
    </w:p>
    <w:p w14:paraId="27E3CCAD"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Cano, F. (2005). Epistemological beliefs and approaches to learning: Their change through secondary school and their influence on academic performance. </w:t>
      </w:r>
      <w:r w:rsidRPr="00683EA9">
        <w:rPr>
          <w:rFonts w:ascii="Cambria" w:eastAsia="Times New Roman" w:hAnsi="Cambria" w:cs="Times New Roman"/>
          <w:i/>
          <w:sz w:val="20"/>
          <w:szCs w:val="20"/>
          <w:lang w:bidi="en-US"/>
        </w:rPr>
        <w:t xml:space="preserve">British Journal of Educational Psychology, </w:t>
      </w:r>
      <w:r w:rsidRPr="00683EA9">
        <w:rPr>
          <w:rFonts w:ascii="Cambria" w:eastAsia="Times New Roman" w:hAnsi="Cambria" w:cs="Times New Roman"/>
          <w:sz w:val="20"/>
          <w:szCs w:val="20"/>
          <w:lang w:bidi="en-US"/>
        </w:rPr>
        <w:t>75, 203-</w:t>
      </w:r>
      <w:r w:rsidRPr="00683EA9">
        <w:rPr>
          <w:rFonts w:ascii="Cambria" w:eastAsia="Times New Roman" w:hAnsi="Cambria" w:cs="Times New Roman"/>
          <w:sz w:val="20"/>
          <w:szCs w:val="20"/>
          <w:lang w:bidi="en-US"/>
        </w:rPr>
        <w:lastRenderedPageBreak/>
        <w:t>221.</w:t>
      </w:r>
    </w:p>
    <w:p w14:paraId="692FBEB8"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Cano, F., &amp; Berben, A. B. G. (2009). University students' achievement goals and approaches to learning in mathematics. </w:t>
      </w:r>
      <w:r w:rsidRPr="00BD5660">
        <w:rPr>
          <w:rFonts w:ascii="Cambria" w:eastAsia="Times New Roman" w:hAnsi="Cambria" w:cs="Times New Roman"/>
          <w:i/>
          <w:sz w:val="20"/>
          <w:szCs w:val="20"/>
          <w:lang w:bidi="en-US"/>
        </w:rPr>
        <w:t>British Journal of Educational Psychology, 79</w:t>
      </w:r>
      <w:r w:rsidRPr="00683EA9">
        <w:rPr>
          <w:rFonts w:ascii="Cambria" w:eastAsia="Times New Roman" w:hAnsi="Cambria" w:cs="Times New Roman"/>
          <w:sz w:val="20"/>
          <w:szCs w:val="20"/>
          <w:lang w:bidi="en-US"/>
        </w:rPr>
        <w:t>(1), 131-153.</w:t>
      </w:r>
    </w:p>
    <w:p w14:paraId="67B489AF"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Cavallo, A. M. L., &amp; Schafer, L. E. (1994). Relationships between students’ meaningful learning orientation and their understanding of genetic topics. </w:t>
      </w:r>
      <w:r w:rsidRPr="00683EA9">
        <w:rPr>
          <w:rFonts w:ascii="Cambria" w:eastAsia="Times New Roman" w:hAnsi="Cambria" w:cs="Times New Roman"/>
          <w:i/>
          <w:sz w:val="20"/>
          <w:szCs w:val="20"/>
          <w:lang w:bidi="en-US"/>
        </w:rPr>
        <w:t>Journal of Research in Science Teaching, 31</w:t>
      </w:r>
      <w:r w:rsidRPr="00683EA9">
        <w:rPr>
          <w:rFonts w:ascii="Cambria" w:eastAsia="Times New Roman" w:hAnsi="Cambria" w:cs="Times New Roman"/>
          <w:sz w:val="20"/>
          <w:szCs w:val="20"/>
          <w:lang w:bidi="en-US"/>
        </w:rPr>
        <w:t>(4), 393-418.</w:t>
      </w:r>
    </w:p>
    <w:p w14:paraId="1412ED8C"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Chin, C., &amp; Brown, D. E. (2000). Learning in Science: A comparision of deep and surface approaches. </w:t>
      </w:r>
      <w:r w:rsidRPr="00683EA9">
        <w:rPr>
          <w:rFonts w:ascii="Cambria" w:eastAsia="Times New Roman" w:hAnsi="Cambria" w:cs="Times New Roman"/>
          <w:i/>
          <w:sz w:val="20"/>
          <w:szCs w:val="20"/>
          <w:lang w:bidi="en-US"/>
        </w:rPr>
        <w:t>Journal of Research in Science Teaching, 37</w:t>
      </w:r>
      <w:r w:rsidRPr="00683EA9">
        <w:rPr>
          <w:rFonts w:ascii="Cambria" w:eastAsia="Times New Roman" w:hAnsi="Cambria" w:cs="Times New Roman"/>
          <w:sz w:val="20"/>
          <w:szCs w:val="20"/>
          <w:lang w:bidi="en-US"/>
        </w:rPr>
        <w:t>(2), 109-138.</w:t>
      </w:r>
    </w:p>
    <w:p w14:paraId="352FC7B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Cope, C. &amp; Staehr, L. (2005). Improving students' learning approaches through intervention in an information systems learning environment. </w:t>
      </w:r>
      <w:r w:rsidRPr="00683EA9">
        <w:rPr>
          <w:rFonts w:ascii="Cambria" w:eastAsia="Times New Roman" w:hAnsi="Cambria" w:cs="Times New Roman"/>
          <w:i/>
          <w:sz w:val="20"/>
          <w:szCs w:val="20"/>
          <w:lang w:bidi="en-US"/>
        </w:rPr>
        <w:t>Studies in Higher Education, 30</w:t>
      </w:r>
      <w:r w:rsidRPr="00683EA9">
        <w:rPr>
          <w:rFonts w:ascii="Cambria" w:eastAsia="Times New Roman" w:hAnsi="Cambria" w:cs="Times New Roman"/>
          <w:sz w:val="20"/>
          <w:szCs w:val="20"/>
          <w:lang w:bidi="en-US"/>
        </w:rPr>
        <w:t>(2), 181-197.</w:t>
      </w:r>
    </w:p>
    <w:p w14:paraId="050D5F4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Cuthbert, P. F. (2005). The student learning process: Learning styles or learning approaches? </w:t>
      </w:r>
      <w:r w:rsidRPr="00683EA9">
        <w:rPr>
          <w:rFonts w:ascii="Cambria" w:eastAsia="Times New Roman" w:hAnsi="Cambria" w:cs="Times New Roman"/>
          <w:i/>
          <w:sz w:val="20"/>
          <w:szCs w:val="20"/>
          <w:lang w:bidi="en-US"/>
        </w:rPr>
        <w:t>Teaching in Higher Education, 10</w:t>
      </w:r>
      <w:r w:rsidRPr="00683EA9">
        <w:rPr>
          <w:rFonts w:ascii="Cambria" w:eastAsia="Times New Roman" w:hAnsi="Cambria" w:cs="Times New Roman"/>
          <w:sz w:val="20"/>
          <w:szCs w:val="20"/>
          <w:lang w:bidi="en-US"/>
        </w:rPr>
        <w:t>(2), 235-249.</w:t>
      </w:r>
    </w:p>
    <w:p w14:paraId="6D0C9ED9"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Çalışkan, İ. S. (2003). </w:t>
      </w:r>
      <w:r w:rsidRPr="00683EA9">
        <w:rPr>
          <w:rFonts w:ascii="Cambria" w:eastAsia="Times New Roman" w:hAnsi="Cambria" w:cs="Times New Roman"/>
          <w:i/>
          <w:sz w:val="20"/>
          <w:szCs w:val="20"/>
          <w:lang w:bidi="en-US"/>
        </w:rPr>
        <w:t>The effect of inquiry-based chemistry course on students' understanding of atom concept, learning approaches, motivation, self-efficacy, and epistemological beliefs.</w:t>
      </w:r>
      <w:r w:rsidRPr="00683EA9">
        <w:rPr>
          <w:rFonts w:ascii="Cambria" w:eastAsia="Times New Roman" w:hAnsi="Cambria" w:cs="Times New Roman"/>
          <w:sz w:val="20"/>
          <w:szCs w:val="20"/>
          <w:lang w:bidi="en-US"/>
        </w:rPr>
        <w:t xml:space="preserve"> Yayınlanmamış yüksek lisans tezi, Orta Doğu Teknik Üniversitesi, Ankara.</w:t>
      </w:r>
    </w:p>
    <w:p w14:paraId="1836E14C"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Çokluk, Ö., Şekercioğlu, G., &amp; Büyüköztürk, Ş. (2012). </w:t>
      </w:r>
      <w:r w:rsidRPr="00683EA9">
        <w:rPr>
          <w:rFonts w:ascii="Cambria" w:eastAsia="Times New Roman" w:hAnsi="Cambria" w:cs="Times New Roman"/>
          <w:i/>
          <w:sz w:val="20"/>
          <w:szCs w:val="20"/>
          <w:lang w:bidi="en-US"/>
        </w:rPr>
        <w:t>Sosyal bilimler için çok değişkenli istatistik: SPSS ve LISREL uygulamaları.</w:t>
      </w:r>
      <w:r w:rsidRPr="00683EA9">
        <w:rPr>
          <w:rFonts w:ascii="Cambria" w:eastAsia="Times New Roman" w:hAnsi="Cambria" w:cs="Times New Roman"/>
          <w:sz w:val="20"/>
          <w:szCs w:val="20"/>
          <w:lang w:bidi="en-US"/>
        </w:rPr>
        <w:t xml:space="preserve"> Ankara: Pegema Yayıncılık.</w:t>
      </w:r>
    </w:p>
    <w:p w14:paraId="0C6DDAD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Çolak, E., &amp; Fer, S. (2007). Öğrenme yaklaşımları envanterinin dilsel eşdeğerlik, güvenirlik ve geçerlik çalışması. </w:t>
      </w:r>
      <w:r w:rsidRPr="00683EA9">
        <w:rPr>
          <w:rFonts w:ascii="Cambria" w:eastAsia="Times New Roman" w:hAnsi="Cambria" w:cs="Times New Roman"/>
          <w:i/>
          <w:sz w:val="20"/>
          <w:szCs w:val="20"/>
          <w:lang w:bidi="en-US"/>
        </w:rPr>
        <w:t>Ç.Ü. Sosyal Bilimler Enstitüsü Dergisi, 16</w:t>
      </w:r>
      <w:r w:rsidRPr="00683EA9">
        <w:rPr>
          <w:rFonts w:ascii="Cambria" w:eastAsia="Times New Roman" w:hAnsi="Cambria" w:cs="Times New Roman"/>
          <w:sz w:val="20"/>
          <w:szCs w:val="20"/>
          <w:lang w:bidi="en-US"/>
        </w:rPr>
        <w:t>(1), 197-212.</w:t>
      </w:r>
    </w:p>
    <w:p w14:paraId="6D70D60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Darlington, E. (2011). Approaches to learning of undergraduate mathematicians. The Day Conference of British Society of Research on Learning of Mathematics (BSRLM) Conference. Oxford, England.</w:t>
      </w:r>
    </w:p>
    <w:p w14:paraId="60F9C25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Diseth, A. (2001). Validation of a norwegian version of the approaches and study skills ınventory for students (ASSIST): Application of structural equation modelling. </w:t>
      </w:r>
      <w:r w:rsidRPr="00683EA9">
        <w:rPr>
          <w:rFonts w:ascii="Cambria" w:eastAsia="Times New Roman" w:hAnsi="Cambria" w:cs="Times New Roman"/>
          <w:i/>
          <w:sz w:val="20"/>
          <w:szCs w:val="20"/>
          <w:lang w:bidi="en-US"/>
        </w:rPr>
        <w:t>Scandinavian Journal of Educational Research, 45</w:t>
      </w:r>
      <w:r w:rsidRPr="00683EA9">
        <w:rPr>
          <w:rFonts w:ascii="Cambria" w:eastAsia="Times New Roman" w:hAnsi="Cambria" w:cs="Times New Roman"/>
          <w:sz w:val="20"/>
          <w:szCs w:val="20"/>
          <w:lang w:bidi="en-US"/>
        </w:rPr>
        <w:t>(4), 381-394.</w:t>
      </w:r>
    </w:p>
    <w:p w14:paraId="68A1E5BD"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Diseth, A., &amp; Martinsen, Ø. (2003). Approaches to learning, cognitive style, and motives as predictors of academic achievement. </w:t>
      </w:r>
      <w:r w:rsidRPr="00683EA9">
        <w:rPr>
          <w:rFonts w:ascii="Cambria" w:eastAsia="Times New Roman" w:hAnsi="Cambria" w:cs="Times New Roman"/>
          <w:i/>
          <w:sz w:val="20"/>
          <w:szCs w:val="20"/>
          <w:lang w:bidi="en-US"/>
        </w:rPr>
        <w:t>Educational psychology, 23</w:t>
      </w:r>
      <w:r w:rsidRPr="00683EA9">
        <w:rPr>
          <w:rFonts w:ascii="Cambria" w:eastAsia="Times New Roman" w:hAnsi="Cambria" w:cs="Times New Roman"/>
          <w:sz w:val="20"/>
          <w:szCs w:val="20"/>
          <w:lang w:bidi="en-US"/>
        </w:rPr>
        <w:t>(2), 195-207.</w:t>
      </w:r>
    </w:p>
    <w:p w14:paraId="25F764D8"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Doğan, C. D., Atmaca, S., &amp; Yolcu, F. A. (2012). The correlation between learning approaches and assessment preferences of eighth-grade students. </w:t>
      </w:r>
      <w:r w:rsidRPr="00683EA9">
        <w:rPr>
          <w:rFonts w:ascii="Cambria" w:eastAsia="Times New Roman" w:hAnsi="Cambria" w:cs="Times New Roman"/>
          <w:i/>
          <w:sz w:val="20"/>
          <w:szCs w:val="20"/>
          <w:lang w:bidi="en-US"/>
        </w:rPr>
        <w:t>Elementary Education Online, 11</w:t>
      </w:r>
      <w:r w:rsidRPr="00683EA9">
        <w:rPr>
          <w:rFonts w:ascii="Cambria" w:eastAsia="Times New Roman" w:hAnsi="Cambria" w:cs="Times New Roman"/>
          <w:sz w:val="20"/>
          <w:szCs w:val="20"/>
          <w:lang w:bidi="en-US"/>
        </w:rPr>
        <w:t>(1), 264-272.</w:t>
      </w:r>
    </w:p>
    <w:p w14:paraId="1EE47C80"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Ekinci, N. (2009). Üniversite öğrencilerinin öğrenme yaklaşımları. </w:t>
      </w:r>
      <w:r w:rsidRPr="00683EA9">
        <w:rPr>
          <w:rFonts w:ascii="Cambria" w:eastAsia="Times New Roman" w:hAnsi="Cambria" w:cs="Times New Roman"/>
          <w:i/>
          <w:sz w:val="20"/>
          <w:szCs w:val="20"/>
          <w:lang w:bidi="en-US"/>
        </w:rPr>
        <w:t>Eğitim ve Bilim, 34</w:t>
      </w:r>
      <w:r w:rsidRPr="00683EA9">
        <w:rPr>
          <w:rFonts w:ascii="Cambria" w:eastAsia="Times New Roman" w:hAnsi="Cambria" w:cs="Times New Roman"/>
          <w:sz w:val="20"/>
          <w:szCs w:val="20"/>
          <w:lang w:bidi="en-US"/>
        </w:rPr>
        <w:t>(151), 74-88.</w:t>
      </w:r>
    </w:p>
    <w:p w14:paraId="3E88FFA9"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Ellez, M. &amp; Sezgin, G. (2002). </w:t>
      </w:r>
      <w:r w:rsidRPr="00683EA9">
        <w:rPr>
          <w:rFonts w:ascii="Cambria" w:eastAsia="Times New Roman" w:hAnsi="Cambria" w:cs="Times New Roman"/>
          <w:i/>
          <w:sz w:val="20"/>
          <w:szCs w:val="20"/>
          <w:lang w:bidi="en-US"/>
        </w:rPr>
        <w:t>Öğretmen adaylarının öğrenme yaklaşımları</w:t>
      </w:r>
      <w:r w:rsidRPr="00683EA9">
        <w:rPr>
          <w:rFonts w:ascii="Cambria" w:eastAsia="Times New Roman" w:hAnsi="Cambria" w:cs="Times New Roman"/>
          <w:sz w:val="20"/>
          <w:szCs w:val="20"/>
          <w:lang w:bidi="en-US"/>
        </w:rPr>
        <w:t>. V. Ulusal Fen Bilimleri ve Matematik Eğitimi Kongresi Bildiri Kitapçığı Cilt II, s: 1261–1266.</w:t>
      </w:r>
    </w:p>
    <w:p w14:paraId="28C4C2F9"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Entwistle, N. J. (1997). Contrasting perspectives on learning. </w:t>
      </w:r>
      <w:r w:rsidR="006E30E4" w:rsidRPr="00613E8A">
        <w:rPr>
          <w:rFonts w:ascii="Cambria" w:eastAsia="Times New Roman" w:hAnsi="Cambria" w:cs="Times New Roman"/>
          <w:sz w:val="20"/>
          <w:szCs w:val="20"/>
          <w:lang w:bidi="en-US"/>
        </w:rPr>
        <w:t xml:space="preserve">F. Marton, J. D. Hounsell ve N. J. Entwistle (Ed.). </w:t>
      </w:r>
      <w:r w:rsidRPr="00613E8A">
        <w:rPr>
          <w:rFonts w:ascii="Cambria" w:eastAsia="Times New Roman" w:hAnsi="Cambria" w:cs="Times New Roman"/>
          <w:i/>
          <w:sz w:val="20"/>
          <w:szCs w:val="20"/>
          <w:lang w:bidi="en-US"/>
        </w:rPr>
        <w:t>The experience of learning</w:t>
      </w:r>
      <w:r w:rsidR="006E30E4" w:rsidRPr="00613E8A">
        <w:rPr>
          <w:rFonts w:ascii="Cambria" w:eastAsia="Times New Roman" w:hAnsi="Cambria" w:cs="Times New Roman"/>
          <w:sz w:val="20"/>
          <w:szCs w:val="20"/>
          <w:lang w:bidi="en-US"/>
        </w:rPr>
        <w:t xml:space="preserve"> </w:t>
      </w:r>
      <w:r w:rsidRPr="00613E8A">
        <w:rPr>
          <w:rFonts w:ascii="Cambria" w:eastAsia="Times New Roman" w:hAnsi="Cambria" w:cs="Times New Roman"/>
          <w:sz w:val="20"/>
          <w:szCs w:val="20"/>
          <w:lang w:bidi="en-US"/>
        </w:rPr>
        <w:t>içinde (s.</w:t>
      </w:r>
      <w:r w:rsidR="006E30E4" w:rsidRPr="00613E8A">
        <w:rPr>
          <w:rFonts w:ascii="Cambria" w:eastAsia="Times New Roman" w:hAnsi="Cambria" w:cs="Times New Roman"/>
          <w:sz w:val="20"/>
          <w:szCs w:val="20"/>
          <w:lang w:bidi="en-US"/>
        </w:rPr>
        <w:t xml:space="preserve"> </w:t>
      </w:r>
      <w:r w:rsidRPr="00613E8A">
        <w:rPr>
          <w:rFonts w:ascii="Cambria" w:eastAsia="Times New Roman" w:hAnsi="Cambria" w:cs="Times New Roman"/>
          <w:sz w:val="20"/>
          <w:szCs w:val="20"/>
          <w:lang w:bidi="en-US"/>
        </w:rPr>
        <w:t>3-22). Edinburgh: Scottish Academic Press.</w:t>
      </w:r>
    </w:p>
    <w:p w14:paraId="1F78965D"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Entwistle, N. J., &amp; Tait, H. (1990). Approaches to learning, evaluations of teaching, and preferences for contrasting academic environments. </w:t>
      </w:r>
      <w:r w:rsidRPr="00613E8A">
        <w:rPr>
          <w:rFonts w:ascii="Cambria" w:eastAsia="Times New Roman" w:hAnsi="Cambria" w:cs="Times New Roman"/>
          <w:i/>
          <w:sz w:val="20"/>
          <w:szCs w:val="20"/>
          <w:lang w:bidi="en-US"/>
        </w:rPr>
        <w:t>Higher Education, 19</w:t>
      </w:r>
      <w:r w:rsidRPr="00613E8A">
        <w:rPr>
          <w:rFonts w:ascii="Cambria" w:eastAsia="Times New Roman" w:hAnsi="Cambria" w:cs="Times New Roman"/>
          <w:sz w:val="20"/>
          <w:szCs w:val="20"/>
          <w:lang w:bidi="en-US"/>
        </w:rPr>
        <w:t>(2), 169-194.</w:t>
      </w:r>
    </w:p>
    <w:p w14:paraId="702D2155" w14:textId="77777777" w:rsidR="0061414C"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Entwistle, N., &amp; Ramsden, P. (1983). </w:t>
      </w:r>
      <w:r w:rsidRPr="00683EA9">
        <w:rPr>
          <w:rFonts w:ascii="Cambria" w:eastAsia="Times New Roman" w:hAnsi="Cambria" w:cs="Times New Roman"/>
          <w:i/>
          <w:sz w:val="20"/>
          <w:szCs w:val="20"/>
          <w:lang w:bidi="en-US"/>
        </w:rPr>
        <w:t>Understanding student learning.</w:t>
      </w:r>
      <w:r w:rsidRPr="00613E8A">
        <w:rPr>
          <w:rFonts w:ascii="Cambria" w:eastAsia="Times New Roman" w:hAnsi="Cambria" w:cs="Times New Roman"/>
          <w:sz w:val="20"/>
          <w:szCs w:val="20"/>
          <w:lang w:bidi="en-US"/>
        </w:rPr>
        <w:t xml:space="preserve"> London: Nichols Publishing Company.</w:t>
      </w:r>
    </w:p>
    <w:p w14:paraId="6D60F347" w14:textId="7807381D" w:rsidR="00E23C31" w:rsidRPr="00613E8A" w:rsidRDefault="00E23C31"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E23C31">
        <w:rPr>
          <w:rFonts w:ascii="Cambria" w:eastAsia="Times New Roman" w:hAnsi="Cambria" w:cs="Times New Roman"/>
          <w:sz w:val="20"/>
          <w:szCs w:val="20"/>
          <w:lang w:bidi="en-US"/>
        </w:rPr>
        <w:t>Erdoğan, Y., B</w:t>
      </w:r>
      <w:r>
        <w:rPr>
          <w:rFonts w:ascii="Cambria" w:eastAsia="Times New Roman" w:hAnsi="Cambria" w:cs="Times New Roman"/>
          <w:sz w:val="20"/>
          <w:szCs w:val="20"/>
          <w:lang w:bidi="en-US"/>
        </w:rPr>
        <w:t>ayra</w:t>
      </w:r>
      <w:r w:rsidRPr="00E23C31">
        <w:rPr>
          <w:rFonts w:ascii="Cambria" w:eastAsia="Times New Roman" w:hAnsi="Cambria" w:cs="Times New Roman"/>
          <w:sz w:val="20"/>
          <w:szCs w:val="20"/>
          <w:lang w:bidi="en-US"/>
        </w:rPr>
        <w:t xml:space="preserve">m, S., &amp; Deniz, L. (2007). Web tabanlı öğretim tutum ölçeği: Açıklayıcı ve doğrulayıcı faktör analizi çalışması. </w:t>
      </w:r>
      <w:r w:rsidRPr="00E23C31">
        <w:rPr>
          <w:rFonts w:ascii="Cambria" w:eastAsia="Times New Roman" w:hAnsi="Cambria" w:cs="Times New Roman"/>
          <w:i/>
          <w:sz w:val="20"/>
          <w:szCs w:val="20"/>
          <w:lang w:bidi="en-US"/>
        </w:rPr>
        <w:t>Uluslararası İnsan Bilimleri Dergisi, 4</w:t>
      </w:r>
      <w:r w:rsidRPr="00E23C31">
        <w:rPr>
          <w:rFonts w:ascii="Cambria" w:eastAsia="Times New Roman" w:hAnsi="Cambria" w:cs="Times New Roman"/>
          <w:sz w:val="20"/>
          <w:szCs w:val="20"/>
          <w:lang w:bidi="en-US"/>
        </w:rPr>
        <w:t>(2), 1-14.</w:t>
      </w:r>
    </w:p>
    <w:p w14:paraId="76454232" w14:textId="490C74CB" w:rsidR="008F3E5C" w:rsidRPr="00613E8A" w:rsidRDefault="008F3E5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Ersoy, Y. (2006). İlköğretim matematik öğretim programındaki yenilikler-I: Amaç, içerik ve kazanımlar. </w:t>
      </w:r>
      <w:r w:rsidRPr="00683EA9">
        <w:rPr>
          <w:rFonts w:ascii="Cambria" w:eastAsia="Times New Roman" w:hAnsi="Cambria" w:cs="Times New Roman"/>
          <w:i/>
          <w:sz w:val="20"/>
          <w:szCs w:val="20"/>
          <w:lang w:bidi="en-US"/>
        </w:rPr>
        <w:t>İlköğretim online, 5</w:t>
      </w:r>
      <w:r w:rsidRPr="00613E8A">
        <w:rPr>
          <w:rFonts w:ascii="Cambria" w:eastAsia="Times New Roman" w:hAnsi="Cambria" w:cs="Times New Roman"/>
          <w:sz w:val="20"/>
          <w:szCs w:val="20"/>
          <w:lang w:bidi="en-US"/>
        </w:rPr>
        <w:t>(1), 30-44.</w:t>
      </w:r>
    </w:p>
    <w:p w14:paraId="0E64B8E3"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Evans, C. J., Kirby, J. R., &amp; Fabrigar, L. R. (2003). Approaches to learning, need for cognition, and strategic flexibility among university students. </w:t>
      </w:r>
      <w:r w:rsidRPr="00683EA9">
        <w:rPr>
          <w:rFonts w:ascii="Cambria" w:eastAsia="Times New Roman" w:hAnsi="Cambria" w:cs="Times New Roman"/>
          <w:i/>
          <w:sz w:val="20"/>
          <w:szCs w:val="20"/>
          <w:lang w:bidi="en-US"/>
        </w:rPr>
        <w:t>British Journal of Educational Psychology, 73</w:t>
      </w:r>
      <w:r w:rsidRPr="00613E8A">
        <w:rPr>
          <w:rFonts w:ascii="Cambria" w:eastAsia="Times New Roman" w:hAnsi="Cambria" w:cs="Times New Roman"/>
          <w:sz w:val="20"/>
          <w:szCs w:val="20"/>
          <w:lang w:bidi="en-US"/>
        </w:rPr>
        <w:t>(4), 507-528.</w:t>
      </w:r>
    </w:p>
    <w:p w14:paraId="49158B72"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Field, A. (2009). </w:t>
      </w:r>
      <w:r w:rsidRPr="00613E8A">
        <w:rPr>
          <w:rFonts w:ascii="Cambria" w:eastAsia="Times New Roman" w:hAnsi="Cambria" w:cs="Times New Roman"/>
          <w:i/>
          <w:sz w:val="20"/>
          <w:szCs w:val="20"/>
          <w:lang w:bidi="en-US"/>
        </w:rPr>
        <w:t>Discovering statistic using SPSS for Windows.</w:t>
      </w:r>
      <w:r w:rsidRPr="00613E8A">
        <w:rPr>
          <w:rFonts w:ascii="Cambria" w:eastAsia="Times New Roman" w:hAnsi="Cambria" w:cs="Times New Roman"/>
          <w:sz w:val="20"/>
          <w:szCs w:val="20"/>
          <w:lang w:bidi="en-US"/>
        </w:rPr>
        <w:t xml:space="preserve"> London: SAGE Publications.</w:t>
      </w:r>
    </w:p>
    <w:p w14:paraId="5A9369FB"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Fleiss, J. L. (1971). Measuring nominal scale agreement among many raters. </w:t>
      </w:r>
      <w:r w:rsidRPr="00613E8A">
        <w:rPr>
          <w:rFonts w:ascii="Cambria" w:eastAsia="Times New Roman" w:hAnsi="Cambria" w:cs="Times New Roman"/>
          <w:i/>
          <w:sz w:val="20"/>
          <w:szCs w:val="20"/>
          <w:lang w:bidi="en-US"/>
        </w:rPr>
        <w:t>Psychological bulletin, 76</w:t>
      </w:r>
      <w:r w:rsidRPr="00613E8A">
        <w:rPr>
          <w:rFonts w:ascii="Cambria" w:eastAsia="Times New Roman" w:hAnsi="Cambria" w:cs="Times New Roman"/>
          <w:sz w:val="20"/>
          <w:szCs w:val="20"/>
          <w:lang w:bidi="en-US"/>
        </w:rPr>
        <w:t>(5), 378.</w:t>
      </w:r>
    </w:p>
    <w:p w14:paraId="6455ACA8"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Fraenkel, J. R., Wallen, N. E., &amp; Hyun, H. H. (2012). </w:t>
      </w:r>
      <w:r w:rsidRPr="00613E8A">
        <w:rPr>
          <w:rFonts w:ascii="Cambria" w:eastAsia="Times New Roman" w:hAnsi="Cambria" w:cs="Times New Roman"/>
          <w:i/>
          <w:sz w:val="20"/>
          <w:szCs w:val="20"/>
          <w:lang w:bidi="en-US"/>
        </w:rPr>
        <w:t>How to design and evaluate research in education.</w:t>
      </w:r>
      <w:r w:rsidRPr="00613E8A">
        <w:rPr>
          <w:rFonts w:ascii="Cambria" w:eastAsia="Times New Roman" w:hAnsi="Cambria" w:cs="Times New Roman"/>
          <w:sz w:val="20"/>
          <w:szCs w:val="20"/>
          <w:lang w:bidi="en-US"/>
        </w:rPr>
        <w:t xml:space="preserve"> New York: Mc Graw Hill. </w:t>
      </w:r>
    </w:p>
    <w:p w14:paraId="45CD8724"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Gezer, M., &amp; Şahin, İ. F. (2017). Sosyal bilgiler öğrenme yaklaşımları ölçeği (SÖYÖ): Geçerlik ve güvenirlik </w:t>
      </w:r>
      <w:r w:rsidRPr="00613E8A">
        <w:rPr>
          <w:rFonts w:ascii="Cambria" w:eastAsia="Times New Roman" w:hAnsi="Cambria" w:cs="Times New Roman"/>
          <w:sz w:val="20"/>
          <w:szCs w:val="20"/>
          <w:lang w:bidi="en-US"/>
        </w:rPr>
        <w:lastRenderedPageBreak/>
        <w:t xml:space="preserve">çalışması. </w:t>
      </w:r>
      <w:r w:rsidRPr="00613E8A">
        <w:rPr>
          <w:rFonts w:ascii="Cambria" w:eastAsia="Times New Roman" w:hAnsi="Cambria" w:cs="Times New Roman"/>
          <w:i/>
          <w:sz w:val="20"/>
          <w:szCs w:val="20"/>
          <w:lang w:bidi="en-US"/>
        </w:rPr>
        <w:t>İlköğretim Online, 16</w:t>
      </w:r>
      <w:r w:rsidRPr="00613E8A">
        <w:rPr>
          <w:rFonts w:ascii="Cambria" w:eastAsia="Times New Roman" w:hAnsi="Cambria" w:cs="Times New Roman"/>
          <w:sz w:val="20"/>
          <w:szCs w:val="20"/>
          <w:lang w:bidi="en-US"/>
        </w:rPr>
        <w:t xml:space="preserve">(1), 228-244. </w:t>
      </w:r>
    </w:p>
    <w:p w14:paraId="78C64F4F" w14:textId="77777777" w:rsidR="0061414C" w:rsidRPr="00613E8A"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13E8A">
        <w:rPr>
          <w:rFonts w:ascii="Cambria" w:eastAsia="Times New Roman" w:hAnsi="Cambria" w:cs="Times New Roman"/>
          <w:sz w:val="20"/>
          <w:szCs w:val="20"/>
          <w:lang w:bidi="en-US"/>
        </w:rPr>
        <w:t xml:space="preserve">Gijbels, D., Van de Watering, G., Dochy, F., &amp; Van de Bossche, P. (2005). The relationship between students' approaches to learning and the assessment of learning outcomes. </w:t>
      </w:r>
      <w:r w:rsidRPr="00613E8A">
        <w:rPr>
          <w:rFonts w:ascii="Cambria" w:eastAsia="Times New Roman" w:hAnsi="Cambria" w:cs="Times New Roman"/>
          <w:i/>
          <w:sz w:val="20"/>
          <w:szCs w:val="20"/>
          <w:lang w:bidi="en-US"/>
        </w:rPr>
        <w:t>European Journal of Psychology of Education, 20</w:t>
      </w:r>
      <w:r w:rsidRPr="00613E8A">
        <w:rPr>
          <w:rFonts w:ascii="Cambria" w:eastAsia="Times New Roman" w:hAnsi="Cambria" w:cs="Times New Roman"/>
          <w:sz w:val="20"/>
          <w:szCs w:val="20"/>
          <w:lang w:bidi="en-US"/>
        </w:rPr>
        <w:t xml:space="preserve">(4), 327-341. </w:t>
      </w:r>
    </w:p>
    <w:p w14:paraId="6ADD84BB" w14:textId="77777777" w:rsidR="0061414C" w:rsidRPr="00C319D0"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C319D0">
        <w:rPr>
          <w:rFonts w:ascii="Cambria" w:eastAsia="Times New Roman" w:hAnsi="Cambria" w:cs="Times New Roman"/>
          <w:sz w:val="20"/>
          <w:szCs w:val="20"/>
          <w:lang w:bidi="en-US"/>
        </w:rPr>
        <w:t xml:space="preserve">Hacıeminoğlu, E., Yılmaz Tüzün, Ö., &amp; Ertepınar, H. (2009). İlkokul öğrencilerinin öğrenme yaklaşımlarının, güdüsel hedeflerinin ve fen başarılarının incelenmesi. </w:t>
      </w:r>
      <w:r w:rsidRPr="00C319D0">
        <w:rPr>
          <w:rFonts w:ascii="Cambria" w:eastAsia="Times New Roman" w:hAnsi="Cambria" w:cs="Times New Roman"/>
          <w:i/>
          <w:sz w:val="20"/>
          <w:szCs w:val="20"/>
          <w:lang w:bidi="en-US"/>
        </w:rPr>
        <w:t>Hacettepe Üniversitesi Eğitim Fakültesi Dergisi (H. U. Journal of Education), 37,</w:t>
      </w:r>
      <w:r w:rsidRPr="00C319D0">
        <w:rPr>
          <w:rFonts w:ascii="Cambria" w:eastAsia="Times New Roman" w:hAnsi="Cambria" w:cs="Times New Roman"/>
          <w:sz w:val="20"/>
          <w:szCs w:val="20"/>
          <w:lang w:bidi="en-US"/>
        </w:rPr>
        <w:t xml:space="preserve"> 72-83.</w:t>
      </w:r>
    </w:p>
    <w:p w14:paraId="4F39DDAA" w14:textId="77777777" w:rsidR="0061414C" w:rsidRPr="00C319D0"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C319D0">
        <w:rPr>
          <w:rFonts w:ascii="Cambria" w:eastAsia="Times New Roman" w:hAnsi="Cambria" w:cs="Times New Roman"/>
          <w:sz w:val="20"/>
          <w:szCs w:val="20"/>
          <w:lang w:bidi="en-US"/>
        </w:rPr>
        <w:t xml:space="preserve">Heikkilla, A. &amp; Lonka, K. (2006). Studying in higher education: Students’ approaches to learning, self-regulation, and cognitive strategies. </w:t>
      </w:r>
      <w:r w:rsidRPr="00C319D0">
        <w:rPr>
          <w:rFonts w:ascii="Cambria" w:eastAsia="Times New Roman" w:hAnsi="Cambria" w:cs="Times New Roman"/>
          <w:i/>
          <w:sz w:val="20"/>
          <w:szCs w:val="20"/>
          <w:lang w:bidi="en-US"/>
        </w:rPr>
        <w:t>Studies in Higher Education, 31</w:t>
      </w:r>
      <w:r w:rsidRPr="00C319D0">
        <w:rPr>
          <w:rFonts w:ascii="Cambria" w:eastAsia="Times New Roman" w:hAnsi="Cambria" w:cs="Times New Roman"/>
          <w:sz w:val="20"/>
          <w:szCs w:val="20"/>
          <w:lang w:bidi="en-US"/>
        </w:rPr>
        <w:t>(1), 99–117.</w:t>
      </w:r>
    </w:p>
    <w:p w14:paraId="79F9939A" w14:textId="77777777" w:rsidR="00C01A70" w:rsidRPr="00C319D0" w:rsidRDefault="00C01A70"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C319D0">
        <w:rPr>
          <w:rFonts w:ascii="Cambria" w:eastAsia="Times New Roman" w:hAnsi="Cambria" w:cs="Times New Roman"/>
          <w:sz w:val="20"/>
          <w:szCs w:val="20"/>
          <w:lang w:bidi="en-US"/>
        </w:rPr>
        <w:t xml:space="preserve">Hu, L. T., &amp; Bentler, P. M. (1999). Cut of criteria for fit indexes in covariance structural analysis: Conventional criteria versus new alternatives. </w:t>
      </w:r>
      <w:r w:rsidRPr="00C319D0">
        <w:rPr>
          <w:rFonts w:ascii="Cambria" w:eastAsia="Times New Roman" w:hAnsi="Cambria" w:cs="Times New Roman"/>
          <w:i/>
          <w:sz w:val="20"/>
          <w:szCs w:val="20"/>
          <w:lang w:bidi="en-US"/>
        </w:rPr>
        <w:t>Structural Equation Modeling, 6</w:t>
      </w:r>
      <w:r w:rsidRPr="00C319D0">
        <w:rPr>
          <w:rFonts w:ascii="Cambria" w:eastAsia="Times New Roman" w:hAnsi="Cambria" w:cs="Times New Roman"/>
          <w:sz w:val="20"/>
          <w:szCs w:val="20"/>
          <w:lang w:bidi="en-US"/>
        </w:rPr>
        <w:t xml:space="preserve">(1), 55-65. </w:t>
      </w:r>
    </w:p>
    <w:p w14:paraId="76A07AC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İlhan, M., Çetin, B., &amp; Kılıç, M. A. (2013). Matematik Öğrenme Yaklaşımları Ölçeği’nin (MÖYÖ) geliştirilmesi: Geçerlik ve güvenirlik çalışması. </w:t>
      </w:r>
      <w:r w:rsidRPr="00683EA9">
        <w:rPr>
          <w:rFonts w:ascii="Cambria" w:eastAsia="Times New Roman" w:hAnsi="Cambria" w:cs="Times New Roman"/>
          <w:i/>
          <w:sz w:val="20"/>
          <w:szCs w:val="20"/>
          <w:lang w:bidi="en-US"/>
        </w:rPr>
        <w:t>Bartın Üniversitesi Eğitim Fakültesi Dergisi, 2</w:t>
      </w:r>
      <w:r w:rsidRPr="00683EA9">
        <w:rPr>
          <w:rFonts w:ascii="Cambria" w:eastAsia="Times New Roman" w:hAnsi="Cambria" w:cs="Times New Roman"/>
          <w:sz w:val="20"/>
          <w:szCs w:val="20"/>
          <w:lang w:bidi="en-US"/>
        </w:rPr>
        <w:t>(2), 113-145.</w:t>
      </w:r>
    </w:p>
    <w:p w14:paraId="0592D347"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Kline, R. B. (2011). </w:t>
      </w:r>
      <w:r w:rsidRPr="00683EA9">
        <w:rPr>
          <w:rFonts w:ascii="Cambria" w:eastAsia="Times New Roman" w:hAnsi="Cambria" w:cs="Times New Roman"/>
          <w:i/>
          <w:sz w:val="20"/>
          <w:szCs w:val="20"/>
          <w:lang w:bidi="en-US"/>
        </w:rPr>
        <w:t>An easy guide to factor analysis.</w:t>
      </w:r>
      <w:r w:rsidRPr="00683EA9">
        <w:rPr>
          <w:rFonts w:ascii="Cambria" w:eastAsia="Times New Roman" w:hAnsi="Cambria" w:cs="Times New Roman"/>
          <w:sz w:val="20"/>
          <w:szCs w:val="20"/>
          <w:lang w:bidi="en-US"/>
        </w:rPr>
        <w:t xml:space="preserve"> New York: Routledge.</w:t>
      </w:r>
    </w:p>
    <w:p w14:paraId="6CBFFA12"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Koran, M. L., &amp; Koran, J. J. (1984). Aptitude-treatment interaction research in science education. </w:t>
      </w:r>
      <w:r w:rsidRPr="00683EA9">
        <w:rPr>
          <w:rFonts w:ascii="Cambria" w:eastAsia="Times New Roman" w:hAnsi="Cambria" w:cs="Times New Roman"/>
          <w:i/>
          <w:sz w:val="20"/>
          <w:szCs w:val="20"/>
          <w:lang w:bidi="en-US"/>
        </w:rPr>
        <w:t>Journal of Research in Science Teaching, 21</w:t>
      </w:r>
      <w:r w:rsidRPr="00683EA9">
        <w:rPr>
          <w:rFonts w:ascii="Cambria" w:eastAsia="Times New Roman" w:hAnsi="Cambria" w:cs="Times New Roman"/>
          <w:sz w:val="20"/>
          <w:szCs w:val="20"/>
          <w:lang w:bidi="en-US"/>
        </w:rPr>
        <w:t>(8), 793-808.</w:t>
      </w:r>
    </w:p>
    <w:p w14:paraId="1BE975FC"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Köse, E. (2013). Bilimsel araştırma modelleri. </w:t>
      </w:r>
      <w:r w:rsidR="006E30E4" w:rsidRPr="00683EA9">
        <w:rPr>
          <w:rFonts w:ascii="Cambria" w:eastAsia="Times New Roman" w:hAnsi="Cambria" w:cs="Times New Roman"/>
          <w:sz w:val="20"/>
          <w:szCs w:val="20"/>
          <w:lang w:bidi="en-US"/>
        </w:rPr>
        <w:t xml:space="preserve">R. Y. Kıncal (ed.). </w:t>
      </w:r>
      <w:r w:rsidRPr="00683EA9">
        <w:rPr>
          <w:rFonts w:ascii="Cambria" w:eastAsia="Times New Roman" w:hAnsi="Cambria" w:cs="Times New Roman"/>
          <w:i/>
          <w:sz w:val="20"/>
          <w:szCs w:val="20"/>
          <w:lang w:bidi="en-US"/>
        </w:rPr>
        <w:t>Bilimsel araştırma yöntemleri</w:t>
      </w:r>
      <w:r w:rsidRPr="00683EA9">
        <w:rPr>
          <w:rFonts w:ascii="Cambria" w:eastAsia="Times New Roman" w:hAnsi="Cambria" w:cs="Times New Roman"/>
          <w:sz w:val="20"/>
          <w:szCs w:val="20"/>
          <w:lang w:bidi="en-US"/>
        </w:rPr>
        <w:t xml:space="preserve"> (</w:t>
      </w:r>
      <w:r w:rsidR="006E30E4" w:rsidRPr="00683EA9">
        <w:rPr>
          <w:rFonts w:ascii="Cambria" w:eastAsia="Times New Roman" w:hAnsi="Cambria" w:cs="Times New Roman"/>
          <w:sz w:val="20"/>
          <w:szCs w:val="20"/>
          <w:lang w:bidi="en-US"/>
        </w:rPr>
        <w:t>G</w:t>
      </w:r>
      <w:r w:rsidRPr="00683EA9">
        <w:rPr>
          <w:rFonts w:ascii="Cambria" w:eastAsia="Times New Roman" w:hAnsi="Cambria" w:cs="Times New Roman"/>
          <w:sz w:val="20"/>
          <w:szCs w:val="20"/>
          <w:lang w:bidi="en-US"/>
        </w:rPr>
        <w:t xml:space="preserve">eliştirilmiş 2. Basım) içinde </w:t>
      </w:r>
      <w:r w:rsidR="006E30E4" w:rsidRPr="00683EA9">
        <w:rPr>
          <w:rFonts w:ascii="Cambria" w:eastAsia="Times New Roman" w:hAnsi="Cambria" w:cs="Times New Roman"/>
          <w:sz w:val="20"/>
          <w:szCs w:val="20"/>
          <w:lang w:bidi="en-US"/>
        </w:rPr>
        <w:t>(s. 99-123).</w:t>
      </w:r>
      <w:r w:rsidRPr="00683EA9">
        <w:rPr>
          <w:rFonts w:ascii="Cambria" w:eastAsia="Times New Roman" w:hAnsi="Cambria" w:cs="Times New Roman"/>
          <w:sz w:val="20"/>
          <w:szCs w:val="20"/>
          <w:lang w:bidi="en-US"/>
        </w:rPr>
        <w:t xml:space="preserve"> Ankara: Nobel yayınevi. </w:t>
      </w:r>
    </w:p>
    <w:p w14:paraId="665FF852"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Lonka, K., Olkinuora, E., &amp; Makinen, J. (2004). Aspects and prospects of measuring studying and learning in higher education. </w:t>
      </w:r>
      <w:r w:rsidRPr="00683EA9">
        <w:rPr>
          <w:rFonts w:ascii="Cambria" w:eastAsia="Times New Roman" w:hAnsi="Cambria" w:cs="Times New Roman"/>
          <w:i/>
          <w:sz w:val="20"/>
          <w:szCs w:val="20"/>
          <w:lang w:bidi="en-US"/>
        </w:rPr>
        <w:t>Educational Psychology Review, 16</w:t>
      </w:r>
      <w:r w:rsidRPr="00683EA9">
        <w:rPr>
          <w:rFonts w:ascii="Cambria" w:eastAsia="Times New Roman" w:hAnsi="Cambria" w:cs="Times New Roman"/>
          <w:sz w:val="20"/>
          <w:szCs w:val="20"/>
          <w:lang w:bidi="en-US"/>
        </w:rPr>
        <w:t>(4), 301-323.</w:t>
      </w:r>
    </w:p>
    <w:p w14:paraId="0AC64F5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Lucas, U. (2001). Deep and surface approaches to learning within introductory accounting: A phenomonographic study. </w:t>
      </w:r>
      <w:r w:rsidRPr="00683EA9">
        <w:rPr>
          <w:rFonts w:ascii="Cambria" w:eastAsia="Times New Roman" w:hAnsi="Cambria" w:cs="Times New Roman"/>
          <w:i/>
          <w:sz w:val="20"/>
          <w:szCs w:val="20"/>
          <w:lang w:bidi="en-US"/>
        </w:rPr>
        <w:t>Accounting Education: An International Journal, 10</w:t>
      </w:r>
      <w:r w:rsidRPr="00683EA9">
        <w:rPr>
          <w:rFonts w:ascii="Cambria" w:eastAsia="Times New Roman" w:hAnsi="Cambria" w:cs="Times New Roman"/>
          <w:sz w:val="20"/>
          <w:szCs w:val="20"/>
          <w:lang w:bidi="en-US"/>
        </w:rPr>
        <w:t>(2), 1-24.</w:t>
      </w:r>
    </w:p>
    <w:p w14:paraId="74DE5F2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Makinen, J. (2003) </w:t>
      </w:r>
      <w:r w:rsidRPr="002D3245">
        <w:rPr>
          <w:rFonts w:ascii="Cambria" w:eastAsia="Times New Roman" w:hAnsi="Cambria" w:cs="Times New Roman"/>
          <w:i/>
          <w:sz w:val="20"/>
          <w:szCs w:val="20"/>
          <w:lang w:bidi="en-US"/>
        </w:rPr>
        <w:t>University Students' General Study Orientations: Theoretical Background, Measurements and Practical Implications.</w:t>
      </w:r>
      <w:r w:rsidRPr="00683EA9">
        <w:rPr>
          <w:rFonts w:ascii="Cambria" w:eastAsia="Times New Roman" w:hAnsi="Cambria" w:cs="Times New Roman"/>
          <w:sz w:val="20"/>
          <w:szCs w:val="20"/>
          <w:lang w:bidi="en-US"/>
        </w:rPr>
        <w:t xml:space="preserve"> University of Turku: Annales Universitatis Turkuensis, ser B262.</w:t>
      </w:r>
    </w:p>
    <w:p w14:paraId="11F50488"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Marcoulides, G., &amp; Schumacher, R. (2001). </w:t>
      </w:r>
      <w:r w:rsidRPr="00683EA9">
        <w:rPr>
          <w:rFonts w:ascii="Cambria" w:eastAsia="Times New Roman" w:hAnsi="Cambria" w:cs="Times New Roman"/>
          <w:i/>
          <w:sz w:val="20"/>
          <w:szCs w:val="20"/>
          <w:lang w:bidi="en-US"/>
        </w:rPr>
        <w:t xml:space="preserve">New developments and techniques in structural equation modelling. </w:t>
      </w:r>
      <w:r w:rsidRPr="00683EA9">
        <w:rPr>
          <w:rFonts w:ascii="Cambria" w:eastAsia="Times New Roman" w:hAnsi="Cambria" w:cs="Times New Roman"/>
          <w:sz w:val="20"/>
          <w:szCs w:val="20"/>
          <w:lang w:bidi="en-US"/>
        </w:rPr>
        <w:t>London: Lawrence Erlbaum Associates Publishers.</w:t>
      </w:r>
    </w:p>
    <w:p w14:paraId="7FBB9312"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Marton, F.</w:t>
      </w:r>
      <w:r w:rsidR="00F4764A" w:rsidRPr="00683EA9">
        <w:rPr>
          <w:rFonts w:ascii="Cambria" w:eastAsia="Times New Roman" w:hAnsi="Cambria" w:cs="Times New Roman"/>
          <w:sz w:val="20"/>
          <w:szCs w:val="20"/>
          <w:lang w:bidi="en-US"/>
        </w:rPr>
        <w:t>,</w:t>
      </w:r>
      <w:r w:rsidRPr="00683EA9">
        <w:rPr>
          <w:rFonts w:ascii="Cambria" w:eastAsia="Times New Roman" w:hAnsi="Cambria" w:cs="Times New Roman"/>
          <w:sz w:val="20"/>
          <w:szCs w:val="20"/>
          <w:lang w:bidi="en-US"/>
        </w:rPr>
        <w:t xml:space="preserve"> &amp; Saljo, R. (1997). Approaches to learning. F. Marton, D. Hounsell &amp; N. Entwistle (ed</w:t>
      </w:r>
      <w:r w:rsidR="00F4764A" w:rsidRPr="00683EA9">
        <w:rPr>
          <w:rFonts w:ascii="Cambria" w:eastAsia="Times New Roman" w:hAnsi="Cambria" w:cs="Times New Roman"/>
          <w:sz w:val="20"/>
          <w:szCs w:val="20"/>
          <w:lang w:bidi="en-US"/>
        </w:rPr>
        <w:t>.</w:t>
      </w:r>
      <w:r w:rsidRPr="00683EA9">
        <w:rPr>
          <w:rFonts w:ascii="Cambria" w:eastAsia="Times New Roman" w:hAnsi="Cambria" w:cs="Times New Roman"/>
          <w:sz w:val="20"/>
          <w:szCs w:val="20"/>
          <w:lang w:bidi="en-US"/>
        </w:rPr>
        <w:t>)</w:t>
      </w:r>
      <w:r w:rsidR="00F4764A" w:rsidRPr="00683EA9">
        <w:rPr>
          <w:rFonts w:ascii="Cambria" w:eastAsia="Times New Roman" w:hAnsi="Cambria" w:cs="Times New Roman"/>
          <w:sz w:val="20"/>
          <w:szCs w:val="20"/>
          <w:lang w:bidi="en-US"/>
        </w:rPr>
        <w:t>.</w:t>
      </w:r>
      <w:r w:rsidRPr="00683EA9">
        <w:rPr>
          <w:rFonts w:ascii="Cambria" w:eastAsia="Times New Roman" w:hAnsi="Cambria" w:cs="Times New Roman"/>
          <w:sz w:val="20"/>
          <w:szCs w:val="20"/>
          <w:lang w:bidi="en-US"/>
        </w:rPr>
        <w:t xml:space="preserve"> </w:t>
      </w:r>
      <w:r w:rsidRPr="00683EA9">
        <w:rPr>
          <w:rFonts w:ascii="Cambria" w:eastAsia="Times New Roman" w:hAnsi="Cambria" w:cs="Times New Roman"/>
          <w:i/>
          <w:sz w:val="20"/>
          <w:szCs w:val="20"/>
          <w:lang w:bidi="en-US"/>
        </w:rPr>
        <w:t xml:space="preserve">The </w:t>
      </w:r>
      <w:r w:rsidR="00F4764A" w:rsidRPr="00683EA9">
        <w:rPr>
          <w:rFonts w:ascii="Cambria" w:eastAsia="Times New Roman" w:hAnsi="Cambria" w:cs="Times New Roman"/>
          <w:i/>
          <w:sz w:val="20"/>
          <w:szCs w:val="20"/>
          <w:lang w:bidi="en-US"/>
        </w:rPr>
        <w:t>experience of learning</w:t>
      </w:r>
      <w:r w:rsidR="00F4764A" w:rsidRPr="00683EA9">
        <w:rPr>
          <w:rFonts w:ascii="Cambria" w:eastAsia="Times New Roman" w:hAnsi="Cambria" w:cs="Times New Roman"/>
          <w:sz w:val="20"/>
          <w:szCs w:val="20"/>
          <w:lang w:bidi="en-US"/>
        </w:rPr>
        <w:t xml:space="preserve"> içinde. </w:t>
      </w:r>
      <w:r w:rsidRPr="00683EA9">
        <w:rPr>
          <w:rFonts w:ascii="Cambria" w:eastAsia="Times New Roman" w:hAnsi="Cambria" w:cs="Times New Roman"/>
          <w:sz w:val="20"/>
          <w:szCs w:val="20"/>
          <w:lang w:bidi="en-US"/>
        </w:rPr>
        <w:t>Edinburgh</w:t>
      </w:r>
      <w:r w:rsidR="00F4764A" w:rsidRPr="00683EA9">
        <w:rPr>
          <w:rFonts w:ascii="Cambria" w:eastAsia="Times New Roman" w:hAnsi="Cambria" w:cs="Times New Roman"/>
          <w:sz w:val="20"/>
          <w:szCs w:val="20"/>
          <w:lang w:bidi="en-US"/>
        </w:rPr>
        <w:t>:</w:t>
      </w:r>
      <w:r w:rsidRPr="00683EA9">
        <w:rPr>
          <w:rFonts w:ascii="Cambria" w:eastAsia="Times New Roman" w:hAnsi="Cambria" w:cs="Times New Roman"/>
          <w:sz w:val="20"/>
          <w:szCs w:val="20"/>
          <w:lang w:bidi="en-US"/>
        </w:rPr>
        <w:t xml:space="preserve"> Scottish Academic Press.</w:t>
      </w:r>
    </w:p>
    <w:p w14:paraId="5A06062F"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Marton, F., &amp; Saljo, R. (1976a). On qualitative differences in learning I: -Outcome &amp; process. </w:t>
      </w:r>
      <w:r w:rsidRPr="00683EA9">
        <w:rPr>
          <w:rFonts w:ascii="Cambria" w:eastAsia="Times New Roman" w:hAnsi="Cambria" w:cs="Times New Roman"/>
          <w:i/>
          <w:sz w:val="20"/>
          <w:szCs w:val="20"/>
          <w:lang w:bidi="en-US"/>
        </w:rPr>
        <w:t>British Journal of Educational Psychology</w:t>
      </w:r>
      <w:r w:rsidRPr="00683EA9">
        <w:rPr>
          <w:rFonts w:ascii="Cambria" w:eastAsia="Times New Roman" w:hAnsi="Cambria" w:cs="Times New Roman"/>
          <w:sz w:val="20"/>
          <w:szCs w:val="20"/>
          <w:lang w:bidi="en-US"/>
        </w:rPr>
        <w:t>, 46, 4-11.</w:t>
      </w:r>
    </w:p>
    <w:p w14:paraId="3428219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Marton, F., &amp; Saljo, R. (1976b). On qualitative differences in learning -II: Outcome as a function of the learner’s conception of the task. </w:t>
      </w:r>
      <w:r w:rsidRPr="00683EA9">
        <w:rPr>
          <w:rFonts w:ascii="Cambria" w:eastAsia="Times New Roman" w:hAnsi="Cambria" w:cs="Times New Roman"/>
          <w:i/>
          <w:sz w:val="20"/>
          <w:szCs w:val="20"/>
          <w:lang w:bidi="en-US"/>
        </w:rPr>
        <w:t>British Journal of Educational Psychology</w:t>
      </w:r>
      <w:r w:rsidRPr="00683EA9">
        <w:rPr>
          <w:rFonts w:ascii="Cambria" w:eastAsia="Times New Roman" w:hAnsi="Cambria" w:cs="Times New Roman"/>
          <w:sz w:val="20"/>
          <w:szCs w:val="20"/>
          <w:lang w:bidi="en-US"/>
        </w:rPr>
        <w:t>, 46, 115-127.</w:t>
      </w:r>
    </w:p>
    <w:p w14:paraId="029DD35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Matic, L. J., Matic, I., &amp; Katalenic, A. Approaches to learning mathematics in engineering study program. </w:t>
      </w:r>
      <w:r w:rsidRPr="00683EA9">
        <w:rPr>
          <w:rFonts w:ascii="Cambria" w:eastAsia="Times New Roman" w:hAnsi="Cambria" w:cs="Times New Roman"/>
          <w:i/>
          <w:sz w:val="20"/>
          <w:szCs w:val="20"/>
          <w:lang w:bidi="en-US"/>
        </w:rPr>
        <w:t>Mathematics teaching for the future</w:t>
      </w:r>
      <w:r w:rsidRPr="00683EA9">
        <w:rPr>
          <w:rFonts w:ascii="Cambria" w:eastAsia="Times New Roman" w:hAnsi="Cambria" w:cs="Times New Roman"/>
          <w:sz w:val="20"/>
          <w:szCs w:val="20"/>
          <w:lang w:bidi="en-US"/>
        </w:rPr>
        <w:t>, 186-195.</w:t>
      </w:r>
    </w:p>
    <w:p w14:paraId="7BC13B2B"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McCune, V., &amp; Entwistle, N. (2000). </w:t>
      </w:r>
      <w:r w:rsidRPr="002D3245">
        <w:rPr>
          <w:rFonts w:ascii="Cambria" w:eastAsia="Times New Roman" w:hAnsi="Cambria" w:cs="Times New Roman"/>
          <w:i/>
          <w:sz w:val="20"/>
          <w:szCs w:val="20"/>
          <w:lang w:bidi="en-US"/>
        </w:rPr>
        <w:t>The Deep Approach to Learning: Analytic Abstraction and Idiosyncratic Development.</w:t>
      </w:r>
      <w:r w:rsidRPr="00683EA9">
        <w:rPr>
          <w:rFonts w:ascii="Cambria" w:eastAsia="Times New Roman" w:hAnsi="Cambria" w:cs="Times New Roman"/>
          <w:sz w:val="20"/>
          <w:szCs w:val="20"/>
          <w:lang w:bidi="en-US"/>
        </w:rPr>
        <w:t xml:space="preserve"> Innovations in Higher Education Conference, Helsinki.</w:t>
      </w:r>
    </w:p>
    <w:p w14:paraId="3F07D1EA"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Meydan, C. H., &amp; Şeşen, H. (2011). </w:t>
      </w:r>
      <w:r w:rsidRPr="00683EA9">
        <w:rPr>
          <w:rFonts w:ascii="Cambria" w:eastAsia="Times New Roman" w:hAnsi="Cambria" w:cs="Times New Roman"/>
          <w:i/>
          <w:sz w:val="20"/>
          <w:szCs w:val="20"/>
          <w:lang w:bidi="en-US"/>
        </w:rPr>
        <w:t>Yapısal eşitlik modellemesi AMOS uygulamaları</w:t>
      </w:r>
      <w:r w:rsidRPr="00683EA9">
        <w:rPr>
          <w:rFonts w:ascii="Cambria" w:eastAsia="Times New Roman" w:hAnsi="Cambria" w:cs="Times New Roman"/>
          <w:sz w:val="20"/>
          <w:szCs w:val="20"/>
          <w:lang w:bidi="en-US"/>
        </w:rPr>
        <w:t>. Ankara: Detay Yayıncılık.</w:t>
      </w:r>
    </w:p>
    <w:p w14:paraId="2A0CE124"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Meyers, L.</w:t>
      </w:r>
      <w:r w:rsidR="005D7DBD" w:rsidRPr="00683EA9">
        <w:rPr>
          <w:rFonts w:ascii="Cambria" w:eastAsia="Times New Roman" w:hAnsi="Cambria" w:cs="Times New Roman"/>
          <w:sz w:val="20"/>
          <w:szCs w:val="20"/>
          <w:lang w:bidi="en-US"/>
        </w:rPr>
        <w:t xml:space="preserve"> </w:t>
      </w:r>
      <w:r w:rsidRPr="00683EA9">
        <w:rPr>
          <w:rFonts w:ascii="Cambria" w:eastAsia="Times New Roman" w:hAnsi="Cambria" w:cs="Times New Roman"/>
          <w:sz w:val="20"/>
          <w:szCs w:val="20"/>
          <w:lang w:bidi="en-US"/>
        </w:rPr>
        <w:t>S, Gamst, G., &amp; Guarino, A.</w:t>
      </w:r>
      <w:r w:rsidR="005D7DBD" w:rsidRPr="00683EA9">
        <w:rPr>
          <w:rFonts w:ascii="Cambria" w:eastAsia="Times New Roman" w:hAnsi="Cambria" w:cs="Times New Roman"/>
          <w:sz w:val="20"/>
          <w:szCs w:val="20"/>
          <w:lang w:bidi="en-US"/>
        </w:rPr>
        <w:t xml:space="preserve"> </w:t>
      </w:r>
      <w:r w:rsidRPr="00683EA9">
        <w:rPr>
          <w:rFonts w:ascii="Cambria" w:eastAsia="Times New Roman" w:hAnsi="Cambria" w:cs="Times New Roman"/>
          <w:sz w:val="20"/>
          <w:szCs w:val="20"/>
          <w:lang w:bidi="en-US"/>
        </w:rPr>
        <w:t xml:space="preserve">J. (2006). </w:t>
      </w:r>
      <w:r w:rsidRPr="00683EA9">
        <w:rPr>
          <w:rFonts w:ascii="Cambria" w:eastAsia="Times New Roman" w:hAnsi="Cambria" w:cs="Times New Roman"/>
          <w:i/>
          <w:sz w:val="20"/>
          <w:szCs w:val="20"/>
          <w:lang w:bidi="en-US"/>
        </w:rPr>
        <w:t>Applied multivariate research: Design and interpretation</w:t>
      </w:r>
      <w:r w:rsidRPr="00683EA9">
        <w:rPr>
          <w:rFonts w:ascii="Cambria" w:eastAsia="Times New Roman" w:hAnsi="Cambria" w:cs="Times New Roman"/>
          <w:sz w:val="20"/>
          <w:szCs w:val="20"/>
          <w:lang w:bidi="en-US"/>
        </w:rPr>
        <w:t>. London: SAGE Publications.</w:t>
      </w:r>
    </w:p>
    <w:p w14:paraId="4B25E178"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Newble, D. I., &amp; Entwistle, N. J. (1986). Learning styles and approaches: implications for medical education. </w:t>
      </w:r>
      <w:r w:rsidRPr="00683EA9">
        <w:rPr>
          <w:rFonts w:ascii="Cambria" w:eastAsia="Times New Roman" w:hAnsi="Cambria" w:cs="Times New Roman"/>
          <w:i/>
          <w:sz w:val="20"/>
          <w:szCs w:val="20"/>
          <w:lang w:bidi="en-US"/>
        </w:rPr>
        <w:t>Medical Education</w:t>
      </w:r>
      <w:r w:rsidRPr="00683EA9">
        <w:rPr>
          <w:rFonts w:ascii="Cambria" w:eastAsia="Times New Roman" w:hAnsi="Cambria" w:cs="Times New Roman"/>
          <w:sz w:val="20"/>
          <w:szCs w:val="20"/>
          <w:lang w:bidi="en-US"/>
        </w:rPr>
        <w:t>, 20, 162–17.</w:t>
      </w:r>
    </w:p>
    <w:p w14:paraId="074785B3"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Ng, G. S., &amp; Ng, E. Y. K. (1997). Undergraduate students in a computer engineering course: A perspective of their learning approaches and motivation factors. </w:t>
      </w:r>
      <w:r w:rsidRPr="00683EA9">
        <w:rPr>
          <w:rFonts w:ascii="Cambria" w:eastAsia="Times New Roman" w:hAnsi="Cambria" w:cs="Times New Roman"/>
          <w:i/>
          <w:sz w:val="20"/>
          <w:szCs w:val="20"/>
          <w:lang w:bidi="en-US"/>
        </w:rPr>
        <w:t>Programmed Learning, 34</w:t>
      </w:r>
      <w:r w:rsidRPr="00683EA9">
        <w:rPr>
          <w:rFonts w:ascii="Cambria" w:eastAsia="Times New Roman" w:hAnsi="Cambria" w:cs="Times New Roman"/>
          <w:sz w:val="20"/>
          <w:szCs w:val="20"/>
          <w:lang w:bidi="en-US"/>
        </w:rPr>
        <w:t>(1), 65-69.</w:t>
      </w:r>
    </w:p>
    <w:p w14:paraId="5DE0D3FB"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Offir, B., Lev, Y., &amp; Bezalel, R. (2008). Surface </w:t>
      </w:r>
      <w:r w:rsidR="005D7DBD" w:rsidRPr="00683EA9">
        <w:rPr>
          <w:rFonts w:ascii="Cambria" w:eastAsia="Times New Roman" w:hAnsi="Cambria" w:cs="Times New Roman"/>
          <w:sz w:val="20"/>
          <w:szCs w:val="20"/>
          <w:lang w:bidi="en-US"/>
        </w:rPr>
        <w:t>and deep learning processes in distance education: synchronous versus asynchronous systems</w:t>
      </w:r>
      <w:r w:rsidRPr="00683EA9">
        <w:rPr>
          <w:rFonts w:ascii="Cambria" w:eastAsia="Times New Roman" w:hAnsi="Cambria" w:cs="Times New Roman"/>
          <w:sz w:val="20"/>
          <w:szCs w:val="20"/>
          <w:lang w:bidi="en-US"/>
        </w:rPr>
        <w:t xml:space="preserve">. </w:t>
      </w:r>
      <w:r w:rsidRPr="00F53EA6">
        <w:rPr>
          <w:rFonts w:ascii="Cambria" w:eastAsia="Times New Roman" w:hAnsi="Cambria" w:cs="Times New Roman"/>
          <w:i/>
          <w:sz w:val="20"/>
          <w:szCs w:val="20"/>
          <w:lang w:bidi="en-US"/>
        </w:rPr>
        <w:t>Computers &amp; Education</w:t>
      </w:r>
      <w:r w:rsidRPr="00683EA9">
        <w:rPr>
          <w:rFonts w:ascii="Cambria" w:eastAsia="Times New Roman" w:hAnsi="Cambria" w:cs="Times New Roman"/>
          <w:sz w:val="20"/>
          <w:szCs w:val="20"/>
          <w:lang w:bidi="en-US"/>
        </w:rPr>
        <w:t xml:space="preserve">, 51, 1172–1183. </w:t>
      </w:r>
    </w:p>
    <w:p w14:paraId="1531279E"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Ozan, C., Köse, E., &amp; Gündoğdu, K. (2012). Analysis of approaches to learning of students in preschool and primary school teaching departments. </w:t>
      </w:r>
      <w:r w:rsidRPr="00F53EA6">
        <w:rPr>
          <w:rFonts w:ascii="Cambria" w:eastAsia="Times New Roman" w:hAnsi="Cambria" w:cs="Times New Roman"/>
          <w:i/>
          <w:sz w:val="20"/>
          <w:szCs w:val="20"/>
          <w:lang w:bidi="en-US"/>
        </w:rPr>
        <w:t>Journal of Educational Sciences Research, 2</w:t>
      </w:r>
      <w:r w:rsidRPr="00683EA9">
        <w:rPr>
          <w:rFonts w:ascii="Cambria" w:eastAsia="Times New Roman" w:hAnsi="Cambria" w:cs="Times New Roman"/>
          <w:sz w:val="20"/>
          <w:szCs w:val="20"/>
          <w:lang w:bidi="en-US"/>
        </w:rPr>
        <w:t>(2), 75-92.</w:t>
      </w:r>
    </w:p>
    <w:p w14:paraId="19C98D4D"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lastRenderedPageBreak/>
        <w:t xml:space="preserve">Özkan, G., &amp; Sezgin-Selçuk, G. (2014). Lise öğrencilerinin fizik öğrenme yaklaşımlarının belirlenmesi. </w:t>
      </w:r>
      <w:r w:rsidRPr="00F53EA6">
        <w:rPr>
          <w:rFonts w:ascii="Cambria" w:eastAsia="Times New Roman" w:hAnsi="Cambria" w:cs="Times New Roman"/>
          <w:i/>
          <w:sz w:val="20"/>
          <w:szCs w:val="20"/>
          <w:lang w:bidi="en-US"/>
        </w:rPr>
        <w:t>Necatibey Eğitim Fakültesi Elektronik Fen ve Matematik Eğitimi Dergisi (EFMED), 8</w:t>
      </w:r>
      <w:r w:rsidRPr="00683EA9">
        <w:rPr>
          <w:rFonts w:ascii="Cambria" w:eastAsia="Times New Roman" w:hAnsi="Cambria" w:cs="Times New Roman"/>
          <w:sz w:val="20"/>
          <w:szCs w:val="20"/>
          <w:lang w:bidi="en-US"/>
        </w:rPr>
        <w:t>(1),101-127.</w:t>
      </w:r>
    </w:p>
    <w:p w14:paraId="643E7F9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Peker, M., &amp; Aydın, B. (2003). Anadolu ve fen liselerindeki öğrencilerin öğrenme stilleri. </w:t>
      </w:r>
      <w:r w:rsidRPr="00F53EA6">
        <w:rPr>
          <w:rFonts w:ascii="Cambria" w:eastAsia="Times New Roman" w:hAnsi="Cambria" w:cs="Times New Roman"/>
          <w:i/>
          <w:sz w:val="20"/>
          <w:szCs w:val="20"/>
          <w:lang w:bidi="en-US"/>
        </w:rPr>
        <w:t>Pamukkale Üniversitesi Eğitim Fakültesi Dergisi, 14</w:t>
      </w:r>
      <w:r w:rsidRPr="00683EA9">
        <w:rPr>
          <w:rFonts w:ascii="Cambria" w:eastAsia="Times New Roman" w:hAnsi="Cambria" w:cs="Times New Roman"/>
          <w:sz w:val="20"/>
          <w:szCs w:val="20"/>
          <w:lang w:bidi="en-US"/>
        </w:rPr>
        <w:t>(14), 167-172.</w:t>
      </w:r>
    </w:p>
    <w:p w14:paraId="2F169C96"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Ramsden, P. (1979). Student learning and perceptions of the academic environment. </w:t>
      </w:r>
      <w:r w:rsidRPr="00F53EA6">
        <w:rPr>
          <w:rFonts w:ascii="Cambria" w:eastAsia="Times New Roman" w:hAnsi="Cambria" w:cs="Times New Roman"/>
          <w:i/>
          <w:sz w:val="20"/>
          <w:szCs w:val="20"/>
          <w:lang w:bidi="en-US"/>
        </w:rPr>
        <w:t>Higher Education</w:t>
      </w:r>
      <w:r w:rsidRPr="00683EA9">
        <w:rPr>
          <w:rFonts w:ascii="Cambria" w:eastAsia="Times New Roman" w:hAnsi="Cambria" w:cs="Times New Roman"/>
          <w:sz w:val="20"/>
          <w:szCs w:val="20"/>
          <w:lang w:bidi="en-US"/>
        </w:rPr>
        <w:t>, 8, 411-27.</w:t>
      </w:r>
    </w:p>
    <w:p w14:paraId="1181EA9B"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Ramsden, P. (2000). </w:t>
      </w:r>
      <w:r w:rsidRPr="00F53EA6">
        <w:rPr>
          <w:rFonts w:ascii="Cambria" w:eastAsia="Times New Roman" w:hAnsi="Cambria" w:cs="Times New Roman"/>
          <w:i/>
          <w:sz w:val="20"/>
          <w:szCs w:val="20"/>
          <w:lang w:bidi="en-US"/>
        </w:rPr>
        <w:t>Learning to teaching in higher education</w:t>
      </w:r>
      <w:r w:rsidRPr="00683EA9">
        <w:rPr>
          <w:rFonts w:ascii="Cambria" w:eastAsia="Times New Roman" w:hAnsi="Cambria" w:cs="Times New Roman"/>
          <w:sz w:val="20"/>
          <w:szCs w:val="20"/>
          <w:lang w:bidi="en-US"/>
        </w:rPr>
        <w:t>. London: Newyork Routhladge Falmer.</w:t>
      </w:r>
    </w:p>
    <w:p w14:paraId="5143093B" w14:textId="7D5AAE72" w:rsidR="00203F9E" w:rsidRPr="00683EA9" w:rsidRDefault="00203F9E"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Ramsden, P., Beswick, D. &amp; Bowden, J. (1986). Effects of learning skills interventions on first year university students’ learning. </w:t>
      </w:r>
      <w:r w:rsidRPr="00F53EA6">
        <w:rPr>
          <w:rFonts w:ascii="Cambria" w:eastAsia="Times New Roman" w:hAnsi="Cambria" w:cs="Times New Roman"/>
          <w:i/>
          <w:sz w:val="20"/>
          <w:szCs w:val="20"/>
          <w:lang w:bidi="en-US"/>
        </w:rPr>
        <w:t>Human Learning</w:t>
      </w:r>
      <w:r w:rsidRPr="00683EA9">
        <w:rPr>
          <w:rFonts w:ascii="Cambria" w:eastAsia="Times New Roman" w:hAnsi="Cambria" w:cs="Times New Roman"/>
          <w:sz w:val="20"/>
          <w:szCs w:val="20"/>
          <w:lang w:bidi="en-US"/>
        </w:rPr>
        <w:t xml:space="preserve">, 5, 151-164. </w:t>
      </w:r>
    </w:p>
    <w:p w14:paraId="4011F40E"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Richardson, J. T. E. (1995). Mature students in higher education. II. An investigation of approaches to studying and academic performance. </w:t>
      </w:r>
      <w:r w:rsidRPr="00F53EA6">
        <w:rPr>
          <w:rFonts w:ascii="Cambria" w:eastAsia="Times New Roman" w:hAnsi="Cambria" w:cs="Times New Roman"/>
          <w:i/>
          <w:sz w:val="20"/>
          <w:szCs w:val="20"/>
          <w:lang w:bidi="en-US"/>
        </w:rPr>
        <w:t>Studies in Higher Education</w:t>
      </w:r>
      <w:r w:rsidRPr="00683EA9">
        <w:rPr>
          <w:rFonts w:ascii="Cambria" w:eastAsia="Times New Roman" w:hAnsi="Cambria" w:cs="Times New Roman"/>
          <w:sz w:val="20"/>
          <w:szCs w:val="20"/>
          <w:lang w:bidi="en-US"/>
        </w:rPr>
        <w:t>, 20, 5-17.</w:t>
      </w:r>
    </w:p>
    <w:p w14:paraId="5571AAA0" w14:textId="5E8B6DD9" w:rsidR="00DE1E3B" w:rsidRPr="00683EA9" w:rsidRDefault="00DE1E3B"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Richardson, J. T. E. (2003). Approaches to studying and perceptions of academic quality in a short web‐based course. </w:t>
      </w:r>
      <w:r w:rsidRPr="00F53EA6">
        <w:rPr>
          <w:rFonts w:ascii="Cambria" w:eastAsia="Times New Roman" w:hAnsi="Cambria" w:cs="Times New Roman"/>
          <w:i/>
          <w:sz w:val="20"/>
          <w:szCs w:val="20"/>
          <w:lang w:bidi="en-US"/>
        </w:rPr>
        <w:t>British Journal of Educational Technology, 34</w:t>
      </w:r>
      <w:r w:rsidRPr="00683EA9">
        <w:rPr>
          <w:rFonts w:ascii="Cambria" w:eastAsia="Times New Roman" w:hAnsi="Cambria" w:cs="Times New Roman"/>
          <w:sz w:val="20"/>
          <w:szCs w:val="20"/>
          <w:lang w:bidi="en-US"/>
        </w:rPr>
        <w:t>(4), 433-442.</w:t>
      </w:r>
    </w:p>
    <w:p w14:paraId="0BCC9C53"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Rodriguez, F. &amp; Cano, F. (2007). The learning approaches and epistemological beliefs of university students: A cross-sectional and longitudinal study. </w:t>
      </w:r>
      <w:r w:rsidRPr="00F53EA6">
        <w:rPr>
          <w:rFonts w:ascii="Cambria" w:eastAsia="Times New Roman" w:hAnsi="Cambria" w:cs="Times New Roman"/>
          <w:i/>
          <w:sz w:val="20"/>
          <w:szCs w:val="20"/>
          <w:lang w:bidi="en-US"/>
        </w:rPr>
        <w:t>Studies in Higher Education, 32</w:t>
      </w:r>
      <w:r w:rsidRPr="00683EA9">
        <w:rPr>
          <w:rFonts w:ascii="Cambria" w:eastAsia="Times New Roman" w:hAnsi="Cambria" w:cs="Times New Roman"/>
          <w:sz w:val="20"/>
          <w:szCs w:val="20"/>
          <w:lang w:bidi="en-US"/>
        </w:rPr>
        <w:t xml:space="preserve">(5), 647-667. </w:t>
      </w:r>
    </w:p>
    <w:p w14:paraId="4395CA75"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Sadler Smith, E. (1997). Learning style: Frameworks and instruments. </w:t>
      </w:r>
      <w:r w:rsidRPr="00F53EA6">
        <w:rPr>
          <w:rFonts w:ascii="Cambria" w:eastAsia="Times New Roman" w:hAnsi="Cambria" w:cs="Times New Roman"/>
          <w:i/>
          <w:sz w:val="20"/>
          <w:szCs w:val="20"/>
          <w:lang w:bidi="en-US"/>
        </w:rPr>
        <w:t>Educational Psychology: An International Journal of Experimental Educational Psychology, 17</w:t>
      </w:r>
      <w:r w:rsidRPr="00683EA9">
        <w:rPr>
          <w:rFonts w:ascii="Cambria" w:eastAsia="Times New Roman" w:hAnsi="Cambria" w:cs="Times New Roman"/>
          <w:sz w:val="20"/>
          <w:szCs w:val="20"/>
          <w:lang w:bidi="en-US"/>
        </w:rPr>
        <w:t>(1-2), 51-63.</w:t>
      </w:r>
    </w:p>
    <w:p w14:paraId="3A2C3E8A" w14:textId="77777777" w:rsidR="007B74F5" w:rsidRDefault="007B74F5"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7B74F5">
        <w:rPr>
          <w:rFonts w:ascii="Cambria" w:eastAsia="Times New Roman" w:hAnsi="Cambria" w:cs="Times New Roman"/>
          <w:sz w:val="20"/>
          <w:szCs w:val="20"/>
          <w:lang w:bidi="en-US"/>
        </w:rPr>
        <w:t xml:space="preserve">Scherer, R. F., Luther, D. C., Wiebe, F. A., &amp; Adams, J. S. (1988). Dimensionality of coping: Factor stability using the ways of coping questionnaire. </w:t>
      </w:r>
      <w:r w:rsidRPr="007B74F5">
        <w:rPr>
          <w:rFonts w:ascii="Cambria" w:eastAsia="Times New Roman" w:hAnsi="Cambria" w:cs="Times New Roman"/>
          <w:i/>
          <w:sz w:val="20"/>
          <w:szCs w:val="20"/>
          <w:lang w:bidi="en-US"/>
        </w:rPr>
        <w:t>Psychological Reports, 62</w:t>
      </w:r>
      <w:r w:rsidRPr="007B74F5">
        <w:rPr>
          <w:rFonts w:ascii="Cambria" w:eastAsia="Times New Roman" w:hAnsi="Cambria" w:cs="Times New Roman"/>
          <w:sz w:val="20"/>
          <w:szCs w:val="20"/>
          <w:lang w:bidi="en-US"/>
        </w:rPr>
        <w:t>(3), 763-770.</w:t>
      </w:r>
    </w:p>
    <w:p w14:paraId="55E2E4D4" w14:textId="4E680CD9"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Seçer, İ. (2015). </w:t>
      </w:r>
      <w:r w:rsidRPr="00F53EA6">
        <w:rPr>
          <w:rFonts w:ascii="Cambria" w:eastAsia="Times New Roman" w:hAnsi="Cambria" w:cs="Times New Roman"/>
          <w:i/>
          <w:sz w:val="20"/>
          <w:szCs w:val="20"/>
          <w:lang w:bidi="en-US"/>
        </w:rPr>
        <w:t>Psikolojik test geliştirme ve uyarlama süreci SPSS ve LISREL uygulamaları</w:t>
      </w:r>
      <w:r w:rsidRPr="00683EA9">
        <w:rPr>
          <w:rFonts w:ascii="Cambria" w:eastAsia="Times New Roman" w:hAnsi="Cambria" w:cs="Times New Roman"/>
          <w:sz w:val="20"/>
          <w:szCs w:val="20"/>
          <w:lang w:bidi="en-US"/>
        </w:rPr>
        <w:t xml:space="preserve">. Ankara: Anı Yayıncılık. </w:t>
      </w:r>
    </w:p>
    <w:p w14:paraId="7C7173C0" w14:textId="77777777" w:rsidR="0061414C" w:rsidRPr="00683EA9"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683EA9">
        <w:rPr>
          <w:rFonts w:ascii="Cambria" w:eastAsia="Times New Roman" w:hAnsi="Cambria" w:cs="Times New Roman"/>
          <w:sz w:val="20"/>
          <w:szCs w:val="20"/>
          <w:lang w:bidi="en-US"/>
        </w:rPr>
        <w:t xml:space="preserve">Senemoğlu, N. (2011). College of education students’ approaches to learning and study skills. </w:t>
      </w:r>
      <w:r w:rsidRPr="00F53EA6">
        <w:rPr>
          <w:rFonts w:ascii="Cambria" w:eastAsia="Times New Roman" w:hAnsi="Cambria" w:cs="Times New Roman"/>
          <w:i/>
          <w:sz w:val="20"/>
          <w:szCs w:val="20"/>
          <w:lang w:bidi="en-US"/>
        </w:rPr>
        <w:t>Education and Science, 36</w:t>
      </w:r>
      <w:r w:rsidRPr="00683EA9">
        <w:rPr>
          <w:rFonts w:ascii="Cambria" w:eastAsia="Times New Roman" w:hAnsi="Cambria" w:cs="Times New Roman"/>
          <w:sz w:val="20"/>
          <w:szCs w:val="20"/>
          <w:lang w:bidi="en-US"/>
        </w:rPr>
        <w:t xml:space="preserve">(160), 65-80. </w:t>
      </w:r>
    </w:p>
    <w:p w14:paraId="27728BAE" w14:textId="479CCA0A"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Senemoğlu, N. Berliner, D. Yıldız, G., Doğan, E., Savas, B., &amp;</w:t>
      </w:r>
      <w:r w:rsidR="002D3245">
        <w:rPr>
          <w:rFonts w:ascii="Cambria" w:eastAsia="Times New Roman" w:hAnsi="Cambria" w:cs="Times New Roman"/>
          <w:sz w:val="20"/>
          <w:szCs w:val="20"/>
          <w:lang w:bidi="en-US"/>
        </w:rPr>
        <w:t xml:space="preserve"> </w:t>
      </w:r>
      <w:r w:rsidRPr="00F53EA6">
        <w:rPr>
          <w:rFonts w:ascii="Cambria" w:eastAsia="Times New Roman" w:hAnsi="Cambria" w:cs="Times New Roman"/>
          <w:sz w:val="20"/>
          <w:szCs w:val="20"/>
          <w:lang w:bidi="en-US"/>
        </w:rPr>
        <w:t xml:space="preserve">Çelik, K. (2007). </w:t>
      </w:r>
      <w:r w:rsidRPr="002D3245">
        <w:rPr>
          <w:rFonts w:ascii="Cambria" w:eastAsia="Times New Roman" w:hAnsi="Cambria" w:cs="Times New Roman"/>
          <w:i/>
          <w:sz w:val="20"/>
          <w:szCs w:val="20"/>
          <w:lang w:bidi="en-US"/>
        </w:rPr>
        <w:t>Approaches to learning and study skills of Turkish and American students in colleges of education</w:t>
      </w:r>
      <w:r w:rsidRPr="00F53EA6">
        <w:rPr>
          <w:rFonts w:ascii="Cambria" w:eastAsia="Times New Roman" w:hAnsi="Cambria" w:cs="Times New Roman"/>
          <w:sz w:val="20"/>
          <w:szCs w:val="20"/>
          <w:lang w:bidi="en-US"/>
        </w:rPr>
        <w:t>. Uluslararası Öğretmen Yetiştirme Politikaları ve Sorunları Sempozyumu içinde (s. 547-551). Bakü.</w:t>
      </w:r>
    </w:p>
    <w:p w14:paraId="706560A9"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Sezgin Selçuk, G., Çalışkan, S. &amp; Erol, M. (2007). Fizik öğretmen adaylarının öğrenme yaklaşımlarının değerlendirilmesi. </w:t>
      </w:r>
      <w:r w:rsidRPr="00F53EA6">
        <w:rPr>
          <w:rFonts w:ascii="Cambria" w:eastAsia="Times New Roman" w:hAnsi="Cambria" w:cs="Times New Roman"/>
          <w:i/>
          <w:sz w:val="20"/>
          <w:szCs w:val="20"/>
          <w:lang w:bidi="en-US"/>
        </w:rPr>
        <w:t>Gazi Eğitim Fakültesi Dergisi, 27</w:t>
      </w:r>
      <w:r w:rsidRPr="00F53EA6">
        <w:rPr>
          <w:rFonts w:ascii="Cambria" w:eastAsia="Times New Roman" w:hAnsi="Cambria" w:cs="Times New Roman"/>
          <w:sz w:val="20"/>
          <w:szCs w:val="20"/>
          <w:lang w:bidi="en-US"/>
        </w:rPr>
        <w:t>(2), 25-41.</w:t>
      </w:r>
    </w:p>
    <w:p w14:paraId="2AB98157" w14:textId="0072DADD" w:rsidR="00203F9E" w:rsidRPr="00F53EA6" w:rsidRDefault="00203F9E"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Sezgin Selçuk, G. (2010). The effects of problem-based learning on pre-service teachers achievement, approaches and attitudes towards learning physics. </w:t>
      </w:r>
      <w:r w:rsidRPr="00F53EA6">
        <w:rPr>
          <w:rFonts w:ascii="Cambria" w:eastAsia="Times New Roman" w:hAnsi="Cambria" w:cs="Times New Roman"/>
          <w:i/>
          <w:sz w:val="20"/>
          <w:szCs w:val="20"/>
          <w:lang w:bidi="en-US"/>
        </w:rPr>
        <w:t>International Journal of Physical Sciences, 5</w:t>
      </w:r>
      <w:r w:rsidRPr="00F53EA6">
        <w:rPr>
          <w:rFonts w:ascii="Cambria" w:eastAsia="Times New Roman" w:hAnsi="Cambria" w:cs="Times New Roman"/>
          <w:sz w:val="20"/>
          <w:szCs w:val="20"/>
          <w:lang w:bidi="en-US"/>
        </w:rPr>
        <w:t>(6), 711-723.</w:t>
      </w:r>
    </w:p>
    <w:p w14:paraId="7C3A140C"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Smith, N. S., Miller &amp; R. J. (2005). Learning approaches: examination type, discipline of study, and gender. </w:t>
      </w:r>
      <w:r w:rsidRPr="00F53EA6">
        <w:rPr>
          <w:rFonts w:ascii="Cambria" w:eastAsia="Times New Roman" w:hAnsi="Cambria" w:cs="Times New Roman"/>
          <w:i/>
          <w:sz w:val="20"/>
          <w:szCs w:val="20"/>
          <w:lang w:bidi="en-US"/>
        </w:rPr>
        <w:t>Educational Psychology, 25</w:t>
      </w:r>
      <w:r w:rsidRPr="00F53EA6">
        <w:rPr>
          <w:rFonts w:ascii="Cambria" w:eastAsia="Times New Roman" w:hAnsi="Cambria" w:cs="Times New Roman"/>
          <w:sz w:val="20"/>
          <w:szCs w:val="20"/>
          <w:lang w:bidi="en-US"/>
        </w:rPr>
        <w:t xml:space="preserve">(1), 43-53. </w:t>
      </w:r>
    </w:p>
    <w:p w14:paraId="5B201CD9"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Sönmez, V., &amp; Alacapınar, F. (2014). </w:t>
      </w:r>
      <w:r w:rsidRPr="00F53EA6">
        <w:rPr>
          <w:rFonts w:ascii="Cambria" w:eastAsia="Times New Roman" w:hAnsi="Cambria" w:cs="Times New Roman"/>
          <w:i/>
          <w:sz w:val="20"/>
          <w:szCs w:val="20"/>
          <w:lang w:bidi="en-US"/>
        </w:rPr>
        <w:t xml:space="preserve">Örneklendirilmiş </w:t>
      </w:r>
      <w:r w:rsidR="005D7DBD" w:rsidRPr="00F53EA6">
        <w:rPr>
          <w:rFonts w:ascii="Cambria" w:eastAsia="Times New Roman" w:hAnsi="Cambria" w:cs="Times New Roman"/>
          <w:i/>
          <w:sz w:val="20"/>
          <w:szCs w:val="20"/>
          <w:lang w:bidi="en-US"/>
        </w:rPr>
        <w:t xml:space="preserve">bilimsel araştırma </w:t>
      </w:r>
      <w:r w:rsidR="005D7DBD" w:rsidRPr="002D3245">
        <w:rPr>
          <w:rFonts w:ascii="Cambria" w:eastAsia="Times New Roman" w:hAnsi="Cambria" w:cs="Times New Roman"/>
          <w:sz w:val="20"/>
          <w:szCs w:val="20"/>
          <w:lang w:bidi="en-US"/>
        </w:rPr>
        <w:t xml:space="preserve">yöntemleri </w:t>
      </w:r>
      <w:r w:rsidRPr="002D3245">
        <w:rPr>
          <w:rFonts w:ascii="Cambria" w:eastAsia="Times New Roman" w:hAnsi="Cambria" w:cs="Times New Roman"/>
          <w:sz w:val="20"/>
          <w:szCs w:val="20"/>
          <w:lang w:bidi="en-US"/>
        </w:rPr>
        <w:t>(Genişletilmiş 3. Baskı).</w:t>
      </w:r>
      <w:r w:rsidRPr="00F53EA6">
        <w:rPr>
          <w:rFonts w:ascii="Cambria" w:eastAsia="Times New Roman" w:hAnsi="Cambria" w:cs="Times New Roman"/>
          <w:sz w:val="20"/>
          <w:szCs w:val="20"/>
          <w:lang w:bidi="en-US"/>
        </w:rPr>
        <w:t xml:space="preserve"> Ankara: Anı Yayıncılık.</w:t>
      </w:r>
    </w:p>
    <w:p w14:paraId="79FFA0D9"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Stevens, J. (1992). </w:t>
      </w:r>
      <w:r w:rsidRPr="00F53EA6">
        <w:rPr>
          <w:rFonts w:ascii="Cambria" w:eastAsia="Times New Roman" w:hAnsi="Cambria" w:cs="Times New Roman"/>
          <w:i/>
          <w:sz w:val="20"/>
          <w:szCs w:val="20"/>
          <w:lang w:bidi="en-US"/>
        </w:rPr>
        <w:t>Applied multivariate statistics for the social sciences.</w:t>
      </w:r>
      <w:r w:rsidRPr="00F53EA6">
        <w:rPr>
          <w:rFonts w:ascii="Cambria" w:eastAsia="Times New Roman" w:hAnsi="Cambria" w:cs="Times New Roman"/>
          <w:sz w:val="20"/>
          <w:szCs w:val="20"/>
          <w:lang w:bidi="en-US"/>
        </w:rPr>
        <w:t xml:space="preserve"> London: Lawrence Erlbaum Associates Publishers.</w:t>
      </w:r>
    </w:p>
    <w:p w14:paraId="5ECA93E0"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Sümer, N. (2000). Yapısal eşitlik modelleri: Temel kavramlar ve örnek uygulamalar. </w:t>
      </w:r>
      <w:r w:rsidRPr="00F53EA6">
        <w:rPr>
          <w:rFonts w:ascii="Cambria" w:eastAsia="Times New Roman" w:hAnsi="Cambria" w:cs="Times New Roman"/>
          <w:i/>
          <w:sz w:val="20"/>
          <w:szCs w:val="20"/>
          <w:lang w:bidi="en-US"/>
        </w:rPr>
        <w:t>Türk Psikoloji Yazıları, 3</w:t>
      </w:r>
      <w:r w:rsidRPr="00F53EA6">
        <w:rPr>
          <w:rFonts w:ascii="Cambria" w:eastAsia="Times New Roman" w:hAnsi="Cambria" w:cs="Times New Roman"/>
          <w:sz w:val="20"/>
          <w:szCs w:val="20"/>
          <w:lang w:bidi="en-US"/>
        </w:rPr>
        <w:t>(6), 49-74.</w:t>
      </w:r>
    </w:p>
    <w:p w14:paraId="1C97D9B6"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Şencan, H. (2005). </w:t>
      </w:r>
      <w:r w:rsidRPr="00F53EA6">
        <w:rPr>
          <w:rFonts w:ascii="Cambria" w:eastAsia="Times New Roman" w:hAnsi="Cambria" w:cs="Times New Roman"/>
          <w:i/>
          <w:sz w:val="20"/>
          <w:szCs w:val="20"/>
          <w:lang w:bidi="en-US"/>
        </w:rPr>
        <w:t>Sosyal ve davranışsal ölçümlerde güvenirlik ve geçerlilik.</w:t>
      </w:r>
      <w:r w:rsidRPr="00F53EA6">
        <w:rPr>
          <w:rFonts w:ascii="Cambria" w:eastAsia="Times New Roman" w:hAnsi="Cambria" w:cs="Times New Roman"/>
          <w:sz w:val="20"/>
          <w:szCs w:val="20"/>
          <w:lang w:bidi="en-US"/>
        </w:rPr>
        <w:t xml:space="preserve"> Ankara: Seçkin Yayıncılık.</w:t>
      </w:r>
    </w:p>
    <w:p w14:paraId="0887CCB9"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Şimşek, Ö. F. (2007). </w:t>
      </w:r>
      <w:r w:rsidRPr="00F53EA6">
        <w:rPr>
          <w:rFonts w:ascii="Cambria" w:eastAsia="Times New Roman" w:hAnsi="Cambria" w:cs="Times New Roman"/>
          <w:i/>
          <w:sz w:val="20"/>
          <w:szCs w:val="20"/>
          <w:lang w:bidi="en-US"/>
        </w:rPr>
        <w:t>Yapısal eşitlik modellemesine giriş: Temel ilkeler ve LISREL uygulamaları</w:t>
      </w:r>
      <w:r w:rsidRPr="00F53EA6">
        <w:rPr>
          <w:rFonts w:ascii="Cambria" w:eastAsia="Times New Roman" w:hAnsi="Cambria" w:cs="Times New Roman"/>
          <w:sz w:val="20"/>
          <w:szCs w:val="20"/>
          <w:lang w:bidi="en-US"/>
        </w:rPr>
        <w:t xml:space="preserve">. Ankara: Ekinoks Yayıncılık. </w:t>
      </w:r>
    </w:p>
    <w:p w14:paraId="5CC5921F"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Tabachnick, B. G., &amp; Fidell, L. S. (2007). </w:t>
      </w:r>
      <w:r w:rsidRPr="00F53EA6">
        <w:rPr>
          <w:rFonts w:ascii="Cambria" w:eastAsia="Times New Roman" w:hAnsi="Cambria" w:cs="Times New Roman"/>
          <w:i/>
          <w:sz w:val="20"/>
          <w:szCs w:val="20"/>
          <w:lang w:bidi="en-US"/>
        </w:rPr>
        <w:t>Using multivariate statistics.</w:t>
      </w:r>
      <w:r w:rsidRPr="00F53EA6">
        <w:rPr>
          <w:rFonts w:ascii="Cambria" w:eastAsia="Times New Roman" w:hAnsi="Cambria" w:cs="Times New Roman"/>
          <w:sz w:val="20"/>
          <w:szCs w:val="20"/>
          <w:lang w:bidi="en-US"/>
        </w:rPr>
        <w:t xml:space="preserve"> Boston: Allyn &amp; Bacon. </w:t>
      </w:r>
    </w:p>
    <w:p w14:paraId="2283A2F4"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Tait, H., Entwistle, N.</w:t>
      </w:r>
      <w:r w:rsidR="00F4764A" w:rsidRPr="00F53EA6">
        <w:rPr>
          <w:rFonts w:ascii="Cambria" w:eastAsia="Times New Roman" w:hAnsi="Cambria" w:cs="Times New Roman"/>
          <w:sz w:val="20"/>
          <w:szCs w:val="20"/>
          <w:lang w:bidi="en-US"/>
        </w:rPr>
        <w:t>, &amp;</w:t>
      </w:r>
      <w:r w:rsidRPr="00F53EA6">
        <w:rPr>
          <w:rFonts w:ascii="Cambria" w:eastAsia="Times New Roman" w:hAnsi="Cambria" w:cs="Times New Roman"/>
          <w:sz w:val="20"/>
          <w:szCs w:val="20"/>
          <w:lang w:bidi="en-US"/>
        </w:rPr>
        <w:t xml:space="preserve"> McCune, V. (1998). ASSIST: A reconceptualisation of the approaches to studying inventory. </w:t>
      </w:r>
      <w:r w:rsidR="006E30E4" w:rsidRPr="00F53EA6">
        <w:rPr>
          <w:rFonts w:ascii="Cambria" w:eastAsia="Times New Roman" w:hAnsi="Cambria" w:cs="Times New Roman"/>
          <w:sz w:val="20"/>
          <w:szCs w:val="20"/>
          <w:lang w:bidi="en-US"/>
        </w:rPr>
        <w:t xml:space="preserve">C.Rust (ed.). </w:t>
      </w:r>
      <w:r w:rsidRPr="002D3245">
        <w:rPr>
          <w:rFonts w:ascii="Cambria" w:eastAsia="Times New Roman" w:hAnsi="Cambria" w:cs="Times New Roman"/>
          <w:i/>
          <w:sz w:val="20"/>
          <w:szCs w:val="20"/>
          <w:lang w:bidi="en-US"/>
        </w:rPr>
        <w:t>Improving student learning: improving students as learners</w:t>
      </w:r>
      <w:r w:rsidR="006E30E4" w:rsidRPr="00F53EA6">
        <w:rPr>
          <w:rFonts w:ascii="Cambria" w:eastAsia="Times New Roman" w:hAnsi="Cambria" w:cs="Times New Roman"/>
          <w:sz w:val="20"/>
          <w:szCs w:val="20"/>
          <w:lang w:bidi="en-US"/>
        </w:rPr>
        <w:t xml:space="preserve"> içinde (s. </w:t>
      </w:r>
      <w:r w:rsidRPr="00F53EA6">
        <w:rPr>
          <w:rFonts w:ascii="Cambria" w:eastAsia="Times New Roman" w:hAnsi="Cambria" w:cs="Times New Roman"/>
          <w:sz w:val="20"/>
          <w:szCs w:val="20"/>
          <w:lang w:bidi="en-US"/>
        </w:rPr>
        <w:t>262-271</w:t>
      </w:r>
      <w:r w:rsidR="006E30E4" w:rsidRPr="00F53EA6">
        <w:rPr>
          <w:rFonts w:ascii="Cambria" w:eastAsia="Times New Roman" w:hAnsi="Cambria" w:cs="Times New Roman"/>
          <w:sz w:val="20"/>
          <w:szCs w:val="20"/>
          <w:lang w:bidi="en-US"/>
        </w:rPr>
        <w:t>)</w:t>
      </w:r>
      <w:r w:rsidRPr="00F53EA6">
        <w:rPr>
          <w:rFonts w:ascii="Cambria" w:eastAsia="Times New Roman" w:hAnsi="Cambria" w:cs="Times New Roman"/>
          <w:sz w:val="20"/>
          <w:szCs w:val="20"/>
          <w:lang w:bidi="en-US"/>
        </w:rPr>
        <w:t>. Oxford: Oxford Centre for Staff and Learning Development.</w:t>
      </w:r>
    </w:p>
    <w:p w14:paraId="2F0F2F80"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Tavşancıl, E.(2002). </w:t>
      </w:r>
      <w:r w:rsidRPr="00F53EA6">
        <w:rPr>
          <w:rFonts w:ascii="Cambria" w:eastAsia="Times New Roman" w:hAnsi="Cambria" w:cs="Times New Roman"/>
          <w:i/>
          <w:sz w:val="20"/>
          <w:szCs w:val="20"/>
          <w:lang w:bidi="en-US"/>
        </w:rPr>
        <w:t xml:space="preserve">Tutumların </w:t>
      </w:r>
      <w:r w:rsidR="005D7DBD" w:rsidRPr="00F53EA6">
        <w:rPr>
          <w:rFonts w:ascii="Cambria" w:eastAsia="Times New Roman" w:hAnsi="Cambria" w:cs="Times New Roman"/>
          <w:i/>
          <w:sz w:val="20"/>
          <w:szCs w:val="20"/>
          <w:lang w:bidi="en-US"/>
        </w:rPr>
        <w:t xml:space="preserve">ölçülmesi </w:t>
      </w:r>
      <w:r w:rsidRPr="00F53EA6">
        <w:rPr>
          <w:rFonts w:ascii="Cambria" w:eastAsia="Times New Roman" w:hAnsi="Cambria" w:cs="Times New Roman"/>
          <w:i/>
          <w:sz w:val="20"/>
          <w:szCs w:val="20"/>
          <w:lang w:bidi="en-US"/>
        </w:rPr>
        <w:t xml:space="preserve">ve SPSS ile </w:t>
      </w:r>
      <w:r w:rsidR="005D7DBD" w:rsidRPr="00F53EA6">
        <w:rPr>
          <w:rFonts w:ascii="Cambria" w:eastAsia="Times New Roman" w:hAnsi="Cambria" w:cs="Times New Roman"/>
          <w:i/>
          <w:sz w:val="20"/>
          <w:szCs w:val="20"/>
          <w:lang w:bidi="en-US"/>
        </w:rPr>
        <w:t>veri analizi</w:t>
      </w:r>
      <w:r w:rsidR="005D7DBD" w:rsidRPr="00F53EA6">
        <w:rPr>
          <w:rFonts w:ascii="Cambria" w:eastAsia="Times New Roman" w:hAnsi="Cambria" w:cs="Times New Roman"/>
          <w:sz w:val="20"/>
          <w:szCs w:val="20"/>
          <w:lang w:bidi="en-US"/>
        </w:rPr>
        <w:t xml:space="preserve">. </w:t>
      </w:r>
      <w:r w:rsidRPr="00F53EA6">
        <w:rPr>
          <w:rFonts w:ascii="Cambria" w:eastAsia="Times New Roman" w:hAnsi="Cambria" w:cs="Times New Roman"/>
          <w:sz w:val="20"/>
          <w:szCs w:val="20"/>
          <w:lang w:bidi="en-US"/>
        </w:rPr>
        <w:t>Ankara: Nobel Yayınevi.</w:t>
      </w:r>
    </w:p>
    <w:p w14:paraId="749E1890"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lastRenderedPageBreak/>
        <w:t xml:space="preserve">Trigwell, K., &amp; Prosser, M. (1991). Improving the quality of student learning: the influence of learning context and student approaches to learning on learning outcomes. </w:t>
      </w:r>
      <w:r w:rsidRPr="00F53EA6">
        <w:rPr>
          <w:rFonts w:ascii="Cambria" w:eastAsia="Times New Roman" w:hAnsi="Cambria" w:cs="Times New Roman"/>
          <w:i/>
          <w:sz w:val="20"/>
          <w:szCs w:val="20"/>
          <w:lang w:bidi="en-US"/>
        </w:rPr>
        <w:t>Higher Education, 22</w:t>
      </w:r>
      <w:r w:rsidRPr="00F53EA6">
        <w:rPr>
          <w:rFonts w:ascii="Cambria" w:eastAsia="Times New Roman" w:hAnsi="Cambria" w:cs="Times New Roman"/>
          <w:sz w:val="20"/>
          <w:szCs w:val="20"/>
          <w:lang w:bidi="en-US"/>
        </w:rPr>
        <w:t>(3), 251-266.</w:t>
      </w:r>
    </w:p>
    <w:p w14:paraId="70214F0F"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Ünal Çoban, G., &amp; Ergin, Ö. (2008). İlköğretim öğrencilerinin feni öğrenme yaklaşımları. </w:t>
      </w:r>
      <w:r w:rsidRPr="00F53EA6">
        <w:rPr>
          <w:rFonts w:ascii="Cambria" w:eastAsia="Times New Roman" w:hAnsi="Cambria" w:cs="Times New Roman"/>
          <w:i/>
          <w:sz w:val="20"/>
          <w:szCs w:val="20"/>
          <w:lang w:bidi="en-US"/>
        </w:rPr>
        <w:t>Uludağ Üniversitesi Eğitim Fakültesi Dergisi, XXI</w:t>
      </w:r>
      <w:r w:rsidRPr="00F53EA6">
        <w:rPr>
          <w:rFonts w:ascii="Cambria" w:eastAsia="Times New Roman" w:hAnsi="Cambria" w:cs="Times New Roman"/>
          <w:sz w:val="20"/>
          <w:szCs w:val="20"/>
          <w:lang w:bidi="en-US"/>
        </w:rPr>
        <w:t>(2), 271-293.</w:t>
      </w:r>
    </w:p>
    <w:p w14:paraId="48E2F14D" w14:textId="77777777" w:rsidR="0061414C" w:rsidRPr="00F53EA6"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Yenilmez, K., &amp; Çakır, A. (2005). İlköğretim ikinci kademe öğrencilerinin matematik öğrenme stilleri. </w:t>
      </w:r>
      <w:r w:rsidRPr="00F53EA6">
        <w:rPr>
          <w:rFonts w:ascii="Cambria" w:eastAsia="Times New Roman" w:hAnsi="Cambria" w:cs="Times New Roman"/>
          <w:i/>
          <w:sz w:val="20"/>
          <w:szCs w:val="20"/>
          <w:lang w:bidi="en-US"/>
        </w:rPr>
        <w:t>Kuram ve Uygulamada Eğitim Yönetimi Dergisi, 11</w:t>
      </w:r>
      <w:r w:rsidRPr="00F53EA6">
        <w:rPr>
          <w:rFonts w:ascii="Cambria" w:eastAsia="Times New Roman" w:hAnsi="Cambria" w:cs="Times New Roman"/>
          <w:sz w:val="20"/>
          <w:szCs w:val="20"/>
          <w:lang w:bidi="en-US"/>
        </w:rPr>
        <w:t>(4), 569-585.</w:t>
      </w:r>
    </w:p>
    <w:p w14:paraId="5FD3E129" w14:textId="1583BEC5" w:rsidR="00EE09A1" w:rsidRPr="00E212C4" w:rsidRDefault="0061414C" w:rsidP="00E212C4">
      <w:pPr>
        <w:widowControl w:val="0"/>
        <w:tabs>
          <w:tab w:val="left" w:pos="426"/>
        </w:tabs>
        <w:autoSpaceDE w:val="0"/>
        <w:autoSpaceDN w:val="0"/>
        <w:adjustRightInd w:val="0"/>
        <w:spacing w:before="120" w:after="120" w:line="240" w:lineRule="auto"/>
        <w:ind w:left="709" w:hanging="709"/>
        <w:jc w:val="both"/>
        <w:textAlignment w:val="baseline"/>
        <w:rPr>
          <w:rFonts w:ascii="Cambria" w:eastAsia="Times New Roman" w:hAnsi="Cambria" w:cs="Times New Roman"/>
          <w:sz w:val="20"/>
          <w:szCs w:val="20"/>
          <w:lang w:bidi="en-US"/>
        </w:rPr>
      </w:pPr>
      <w:r w:rsidRPr="00F53EA6">
        <w:rPr>
          <w:rFonts w:ascii="Cambria" w:eastAsia="Times New Roman" w:hAnsi="Cambria" w:cs="Times New Roman"/>
          <w:sz w:val="20"/>
          <w:szCs w:val="20"/>
          <w:lang w:bidi="en-US"/>
        </w:rPr>
        <w:t xml:space="preserve">Zhang, L. F. (2000). University students' learning approaches in three cultures: An investigation of Biggs's 3P model. </w:t>
      </w:r>
      <w:r w:rsidRPr="00F53EA6">
        <w:rPr>
          <w:rFonts w:ascii="Cambria" w:eastAsia="Times New Roman" w:hAnsi="Cambria" w:cs="Times New Roman"/>
          <w:i/>
          <w:sz w:val="20"/>
          <w:szCs w:val="20"/>
          <w:lang w:bidi="en-US"/>
        </w:rPr>
        <w:t>The Journal of Psychology, 134</w:t>
      </w:r>
      <w:r w:rsidRPr="00F53EA6">
        <w:rPr>
          <w:rFonts w:ascii="Cambria" w:eastAsia="Times New Roman" w:hAnsi="Cambria" w:cs="Times New Roman"/>
          <w:sz w:val="20"/>
          <w:szCs w:val="20"/>
          <w:lang w:bidi="en-US"/>
        </w:rPr>
        <w:t>(1), 37-55.</w:t>
      </w:r>
    </w:p>
    <w:sectPr w:rsidR="00EE09A1" w:rsidRPr="00E212C4" w:rsidSect="00E212C4">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37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0128" w14:textId="77777777" w:rsidR="00C859A8" w:rsidRDefault="00C859A8" w:rsidP="0071079E">
      <w:pPr>
        <w:spacing w:after="0" w:line="240" w:lineRule="auto"/>
      </w:pPr>
      <w:r>
        <w:separator/>
      </w:r>
    </w:p>
  </w:endnote>
  <w:endnote w:type="continuationSeparator" w:id="0">
    <w:p w14:paraId="0BB8C271" w14:textId="77777777" w:rsidR="00C859A8" w:rsidRDefault="00C859A8"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26145A78" w14:textId="4F9E79C5" w:rsidR="00AC5548" w:rsidRDefault="00AC5548" w:rsidP="00E212C4">
        <w:pPr>
          <w:pStyle w:val="Footer"/>
          <w:pBdr>
            <w:top w:val="single" w:sz="4" w:space="1" w:color="D9D9D9" w:themeColor="background1" w:themeShade="D9"/>
          </w:pBd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131A48" w:rsidRPr="00131A48">
          <w:rPr>
            <w:rFonts w:ascii="Cambria" w:hAnsi="Cambria"/>
            <w:b/>
            <w:bCs/>
            <w:noProof/>
            <w:sz w:val="20"/>
            <w:szCs w:val="20"/>
          </w:rPr>
          <w:t>1401</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Pr="00E212C4">
          <w:rPr>
            <w:rFonts w:ascii="Garamond" w:hAnsi="Garamond"/>
            <w:color w:val="595959" w:themeColor="text1" w:themeTint="A6"/>
            <w:sz w:val="16"/>
            <w:szCs w:val="16"/>
          </w:rPr>
          <w:t xml:space="preserve">GÖKTEPE YILDIZ &amp; ÖZDEMİR   </w:t>
        </w:r>
        <w:r w:rsidR="00E212C4">
          <w:rPr>
            <w:rFonts w:ascii="Garamond" w:hAnsi="Garamond"/>
            <w:color w:val="595959" w:themeColor="text1" w:themeTint="A6"/>
            <w:sz w:val="16"/>
            <w:szCs w:val="16"/>
          </w:rPr>
          <w:t xml:space="preserve">                             </w:t>
        </w:r>
        <w:r>
          <w:rPr>
            <w:rFonts w:ascii="Garamond" w:hAnsi="Garamond"/>
            <w:color w:val="595959" w:themeColor="text1" w:themeTint="A6"/>
            <w:sz w:val="16"/>
            <w:szCs w:val="16"/>
          </w:rPr>
          <w:t xml:space="preserve"> </w:t>
        </w:r>
        <w:r w:rsidRPr="00E212C4">
          <w:rPr>
            <w:rFonts w:ascii="Garamond" w:hAnsi="Garamond"/>
            <w:color w:val="595959" w:themeColor="text1" w:themeTint="A6"/>
            <w:sz w:val="16"/>
            <w:szCs w:val="16"/>
          </w:rPr>
          <w:t>Ortaokul Öğrencilerinin Matematik Öğrenme Yaklaşımları</w:t>
        </w:r>
        <w:r w:rsidR="00E212C4">
          <w:rPr>
            <w:rFonts w:ascii="Cambria" w:hAnsi="Cambria"/>
            <w:color w:val="767171" w:themeColor="background2" w:themeShade="80"/>
            <w:sz w:val="16"/>
            <w:szCs w:val="16"/>
          </w:rPr>
          <w:t>nın Belirlenmesi</w:t>
        </w:r>
        <w:r w:rsidRPr="00C71F46">
          <w:rPr>
            <w:rFonts w:ascii="Cambria" w:hAnsi="Cambria"/>
            <w:color w:val="767171" w:themeColor="background2" w:themeShade="80"/>
            <w:sz w:val="16"/>
            <w:szCs w:val="16"/>
          </w:rPr>
          <w:t xml:space="preserve">  </w:t>
        </w:r>
        <w:r>
          <w:rPr>
            <w:rFonts w:ascii="Garamond" w:hAnsi="Garamond"/>
            <w:color w:val="404040" w:themeColor="text1" w:themeTint="BF"/>
            <w:sz w:val="16"/>
            <w:szCs w:val="16"/>
          </w:rPr>
          <w:t xml:space="preserve">                             </w:t>
        </w:r>
        <w:r w:rsidRPr="00C71F46">
          <w:rPr>
            <w:rFonts w:ascii="Garamond" w:hAnsi="Garamond"/>
            <w:color w:val="404040" w:themeColor="text1" w:themeTint="BF"/>
            <w:sz w:val="16"/>
            <w:szCs w:val="16"/>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C5548" w:rsidRPr="00C71F46" w14:paraId="623CCFDE" w14:textId="77777777" w:rsidTr="00C71F46">
      <w:trPr>
        <w:trHeight w:val="365"/>
      </w:trPr>
      <w:tc>
        <w:tcPr>
          <w:tcW w:w="9498" w:type="dxa"/>
        </w:tcPr>
        <w:p w14:paraId="6B9C3226" w14:textId="251E218E" w:rsidR="00AC5548" w:rsidRPr="002B18B3" w:rsidRDefault="00AC5548" w:rsidP="005F7FA8">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 xml:space="preserve">:  </w:t>
          </w:r>
          <w:r>
            <w:rPr>
              <w:rFonts w:ascii="Cambria" w:hAnsi="Cambria"/>
              <w:sz w:val="18"/>
              <w:szCs w:val="18"/>
            </w:rPr>
            <w:t>03.10.2017</w:t>
          </w:r>
          <w:r w:rsidRPr="002B18B3">
            <w:rPr>
              <w:rFonts w:ascii="Cambria" w:hAnsi="Cambria"/>
              <w:sz w:val="18"/>
              <w:szCs w:val="18"/>
            </w:rPr>
            <w:t xml:space="preserve">               </w:t>
          </w:r>
          <w:r w:rsidR="00E212C4">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31.05.2018</w:t>
          </w:r>
          <w:r w:rsidRPr="002B18B3">
            <w:rPr>
              <w:rFonts w:ascii="Cambria" w:hAnsi="Cambria"/>
              <w:sz w:val="18"/>
              <w:szCs w:val="18"/>
            </w:rPr>
            <w:t xml:space="preserve">                  </w:t>
          </w:r>
          <w:r w:rsidR="00E212C4">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 xml:space="preserve">: </w:t>
          </w:r>
          <w:r w:rsidR="00E212C4">
            <w:rPr>
              <w:rFonts w:ascii="Cambria" w:hAnsi="Cambria"/>
              <w:sz w:val="18"/>
              <w:szCs w:val="18"/>
            </w:rPr>
            <w:t>31.07.2018</w:t>
          </w:r>
          <w:r w:rsidRPr="002B18B3">
            <w:rPr>
              <w:rFonts w:ascii="Cambria" w:hAnsi="Cambria"/>
              <w:sz w:val="18"/>
              <w:szCs w:val="18"/>
            </w:rPr>
            <w:t xml:space="preserve">   </w:t>
          </w:r>
        </w:p>
      </w:tc>
    </w:tr>
  </w:tbl>
  <w:p w14:paraId="51FF5F6C" w14:textId="77777777" w:rsidR="00AC5548" w:rsidRPr="00C71F46" w:rsidRDefault="00AC5548"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9B96D" w14:textId="77777777" w:rsidR="00C859A8" w:rsidRDefault="00C859A8" w:rsidP="0071079E">
      <w:pPr>
        <w:spacing w:after="0" w:line="240" w:lineRule="auto"/>
      </w:pPr>
      <w:r>
        <w:separator/>
      </w:r>
    </w:p>
  </w:footnote>
  <w:footnote w:type="continuationSeparator" w:id="0">
    <w:p w14:paraId="42DD38F7" w14:textId="77777777" w:rsidR="00C859A8" w:rsidRDefault="00C859A8" w:rsidP="0071079E">
      <w:pPr>
        <w:spacing w:after="0" w:line="240" w:lineRule="auto"/>
      </w:pPr>
      <w:r>
        <w:continuationSeparator/>
      </w:r>
    </w:p>
  </w:footnote>
  <w:footnote w:id="1">
    <w:p w14:paraId="00D4CE54" w14:textId="77777777" w:rsidR="00AC5548" w:rsidRDefault="00AC5548">
      <w:pPr>
        <w:pStyle w:val="FootnoteText"/>
      </w:pPr>
      <w:r>
        <w:rPr>
          <w:rStyle w:val="FootnoteReference"/>
        </w:rPr>
        <w:footnoteRef/>
      </w:r>
      <w:r>
        <w:t xml:space="preserve"> </w:t>
      </w:r>
      <w:r w:rsidRPr="00E212C4">
        <w:rPr>
          <w:rFonts w:ascii="Cambria" w:hAnsi="Cambria"/>
          <w:sz w:val="18"/>
        </w:rPr>
        <w:t>Bu çalışma 3</w:t>
      </w:r>
      <w:r w:rsidRPr="00E212C4">
        <w:rPr>
          <w:rFonts w:ascii="Cambria" w:hAnsi="Cambria"/>
          <w:sz w:val="18"/>
          <w:vertAlign w:val="superscript"/>
        </w:rPr>
        <w:t>rd</w:t>
      </w:r>
      <w:r w:rsidRPr="00E212C4">
        <w:rPr>
          <w:rFonts w:ascii="Cambria" w:hAnsi="Cambria"/>
          <w:sz w:val="18"/>
        </w:rPr>
        <w:t xml:space="preserve"> International Eurasian Educational Research Congress kongresinde sözlü bildiri olarak sunulmuş olup ölçek geliştirme kısmı birinci yazarın doktora tezinin bir parçasıdır.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13153" w14:textId="77777777" w:rsidR="00AC5548" w:rsidRDefault="00AC5548"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25EE09A8" w14:textId="77777777" w:rsidR="00AC5548" w:rsidRDefault="00AC55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8B6C" w14:textId="77777777" w:rsidR="00E212C4" w:rsidRPr="00E212C4" w:rsidRDefault="00E212C4" w:rsidP="00E212C4">
    <w:pPr>
      <w:tabs>
        <w:tab w:val="center" w:pos="4536"/>
        <w:tab w:val="right" w:pos="9072"/>
      </w:tabs>
      <w:spacing w:after="0" w:line="240" w:lineRule="auto"/>
      <w:rPr>
        <w:rFonts w:ascii="Times New Roman" w:eastAsia="Times New Roman" w:hAnsi="Times New Roman" w:cs="Times New Roman"/>
        <w:sz w:val="24"/>
        <w:szCs w:val="24"/>
        <w:lang w:eastAsia="tr-TR"/>
      </w:rPr>
    </w:pPr>
    <w:r w:rsidRPr="00E212C4">
      <w:rPr>
        <w:rFonts w:ascii="Times New Roman" w:eastAsia="Times New Roman" w:hAnsi="Times New Roman" w:cs="Times New Roman"/>
        <w:noProof/>
        <w:sz w:val="24"/>
        <w:szCs w:val="24"/>
        <w:lang w:eastAsia="tr-TR"/>
      </w:rPr>
      <mc:AlternateContent>
        <mc:Choice Requires="wpg">
          <w:drawing>
            <wp:inline distT="0" distB="0" distL="0" distR="0" wp14:anchorId="67D4B0E8" wp14:editId="6593AC17">
              <wp:extent cx="6127750" cy="611505"/>
              <wp:effectExtent l="0" t="0" r="25400" b="1714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14" name="Group 14"/>
                      <wpg:cNvGrpSpPr>
                        <a:grpSpLocks/>
                      </wpg:cNvGrpSpPr>
                      <wpg:grpSpPr bwMode="auto">
                        <a:xfrm>
                          <a:off x="1418" y="768"/>
                          <a:ext cx="7804" cy="600"/>
                          <a:chOff x="1733" y="638"/>
                          <a:chExt cx="7444" cy="600"/>
                        </a:xfrm>
                      </wpg:grpSpPr>
                      <wps:wsp>
                        <wps:cNvPr id="1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CDB6A" w14:textId="32330626" w:rsidR="00E212C4" w:rsidRPr="00E212C4" w:rsidRDefault="00E212C4" w:rsidP="00E212C4">
                              <w:pPr>
                                <w:spacing w:after="0"/>
                                <w:rPr>
                                  <w:rFonts w:cs="Calibri"/>
                                  <w:sz w:val="18"/>
                                  <w:szCs w:val="20"/>
                                </w:rPr>
                              </w:pPr>
                              <w:r w:rsidRPr="00E212C4">
                                <w:rPr>
                                  <w:rFonts w:cs="Calibri"/>
                                  <w:sz w:val="18"/>
                                  <w:szCs w:val="20"/>
                                </w:rPr>
                                <w:t xml:space="preserve">Elementary Education Online, 2018; 17(3): pp. </w:t>
                              </w:r>
                              <w:r>
                                <w:rPr>
                                  <w:rFonts w:cs="Calibri"/>
                                  <w:sz w:val="18"/>
                                  <w:szCs w:val="20"/>
                                </w:rPr>
                                <w:t>1378-</w:t>
                              </w:r>
                              <w:r w:rsidR="005A4FD3">
                                <w:rPr>
                                  <w:rFonts w:cs="Calibri"/>
                                  <w:sz w:val="18"/>
                                  <w:szCs w:val="20"/>
                                </w:rPr>
                                <w:t>1401</w:t>
                              </w:r>
                            </w:p>
                            <w:p w14:paraId="68AA2F79" w14:textId="7FBA5F87" w:rsidR="00E212C4" w:rsidRPr="00E212C4" w:rsidRDefault="00E212C4" w:rsidP="00E212C4">
                              <w:pPr>
                                <w:spacing w:after="0"/>
                                <w:rPr>
                                  <w:rStyle w:val="Hyperlink"/>
                                  <w:rFonts w:cs="Calibri"/>
                                  <w:sz w:val="18"/>
                                  <w:szCs w:val="20"/>
                                </w:rPr>
                              </w:pPr>
                              <w:r w:rsidRPr="00E212C4">
                                <w:rPr>
                                  <w:rFonts w:cs="Calibri"/>
                                  <w:sz w:val="18"/>
                                  <w:szCs w:val="20"/>
                                </w:rPr>
                                <w:t>İlköğretim Online, 2018; 17(3): s.</w:t>
                              </w:r>
                              <w:r>
                                <w:rPr>
                                  <w:rFonts w:cs="Calibri"/>
                                  <w:sz w:val="18"/>
                                  <w:szCs w:val="20"/>
                                </w:rPr>
                                <w:t>1378-</w:t>
                              </w:r>
                              <w:r w:rsidR="005A4FD3">
                                <w:rPr>
                                  <w:rFonts w:cs="Calibri"/>
                                  <w:sz w:val="18"/>
                                  <w:szCs w:val="20"/>
                                </w:rPr>
                                <w:t>1401</w:t>
                              </w:r>
                              <w:r w:rsidRPr="00E212C4">
                                <w:rPr>
                                  <w:rFonts w:cs="Calibri"/>
                                  <w:sz w:val="18"/>
                                  <w:szCs w:val="20"/>
                                </w:rPr>
                                <w:t>. [Online]:</w:t>
                              </w:r>
                              <w:r w:rsidRPr="00E212C4">
                                <w:rPr>
                                  <w:rFonts w:cs="Calibri"/>
                                  <w:b/>
                                  <w:bCs/>
                                  <w:sz w:val="18"/>
                                  <w:szCs w:val="20"/>
                                </w:rPr>
                                <w:t xml:space="preserve"> </w:t>
                              </w:r>
                              <w:hyperlink r:id="rId1" w:history="1">
                                <w:r w:rsidRPr="00E212C4">
                                  <w:rPr>
                                    <w:rStyle w:val="Hyperlink"/>
                                    <w:rFonts w:cs="Calibri"/>
                                    <w:sz w:val="18"/>
                                    <w:szCs w:val="20"/>
                                  </w:rPr>
                                  <w:t>http://ilkogretim-online.org.tr</w:t>
                                </w:r>
                              </w:hyperlink>
                            </w:p>
                            <w:p w14:paraId="63EC171C" w14:textId="77777777" w:rsidR="00E212C4" w:rsidRPr="00E212C4" w:rsidRDefault="00C859A8" w:rsidP="00E212C4">
                              <w:pPr>
                                <w:rPr>
                                  <w:rStyle w:val="Hyperlink"/>
                                  <w:rFonts w:cs="Calibri"/>
                                  <w:color w:val="00B050"/>
                                  <w:sz w:val="18"/>
                                  <w:szCs w:val="20"/>
                                </w:rPr>
                              </w:pPr>
                              <w:hyperlink r:id="rId2" w:history="1">
                                <w:r w:rsidR="00E212C4" w:rsidRPr="00E212C4">
                                  <w:rPr>
                                    <w:rFonts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4B0E8" id="Group 13"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">
              <v:group id="Group 14"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1BECDB6A" w14:textId="32330626" w:rsidR="00E212C4" w:rsidRPr="00E212C4" w:rsidRDefault="00E212C4" w:rsidP="00E212C4">
                        <w:pPr>
                          <w:spacing w:after="0"/>
                          <w:rPr>
                            <w:rFonts w:cs="Calibri"/>
                            <w:sz w:val="18"/>
                            <w:szCs w:val="20"/>
                          </w:rPr>
                        </w:pPr>
                        <w:r w:rsidRPr="00E212C4">
                          <w:rPr>
                            <w:rFonts w:cs="Calibri"/>
                            <w:sz w:val="18"/>
                            <w:szCs w:val="20"/>
                          </w:rPr>
                          <w:t xml:space="preserve">Elementary Education Online, 2018; 17(3): pp. </w:t>
                        </w:r>
                        <w:r>
                          <w:rPr>
                            <w:rFonts w:cs="Calibri"/>
                            <w:sz w:val="18"/>
                            <w:szCs w:val="20"/>
                          </w:rPr>
                          <w:t>1378-</w:t>
                        </w:r>
                        <w:r w:rsidR="005A4FD3">
                          <w:rPr>
                            <w:rFonts w:cs="Calibri"/>
                            <w:sz w:val="18"/>
                            <w:szCs w:val="20"/>
                          </w:rPr>
                          <w:t>1401</w:t>
                        </w:r>
                      </w:p>
                      <w:p w14:paraId="68AA2F79" w14:textId="7FBA5F87" w:rsidR="00E212C4" w:rsidRPr="00E212C4" w:rsidRDefault="00E212C4" w:rsidP="00E212C4">
                        <w:pPr>
                          <w:spacing w:after="0"/>
                          <w:rPr>
                            <w:rStyle w:val="Hyperlink"/>
                            <w:rFonts w:cs="Calibri"/>
                            <w:sz w:val="18"/>
                            <w:szCs w:val="20"/>
                          </w:rPr>
                        </w:pPr>
                        <w:r w:rsidRPr="00E212C4">
                          <w:rPr>
                            <w:rFonts w:cs="Calibri"/>
                            <w:sz w:val="18"/>
                            <w:szCs w:val="20"/>
                          </w:rPr>
                          <w:t>İlköğretim Online, 2018; 17(3): s.</w:t>
                        </w:r>
                        <w:r>
                          <w:rPr>
                            <w:rFonts w:cs="Calibri"/>
                            <w:sz w:val="18"/>
                            <w:szCs w:val="20"/>
                          </w:rPr>
                          <w:t>1378-</w:t>
                        </w:r>
                        <w:r w:rsidR="005A4FD3">
                          <w:rPr>
                            <w:rFonts w:cs="Calibri"/>
                            <w:sz w:val="18"/>
                            <w:szCs w:val="20"/>
                          </w:rPr>
                          <w:t>1401</w:t>
                        </w:r>
                        <w:r w:rsidRPr="00E212C4">
                          <w:rPr>
                            <w:rFonts w:cs="Calibri"/>
                            <w:sz w:val="18"/>
                            <w:szCs w:val="20"/>
                          </w:rPr>
                          <w:t>. [Online]:</w:t>
                        </w:r>
                        <w:r w:rsidRPr="00E212C4">
                          <w:rPr>
                            <w:rFonts w:cs="Calibri"/>
                            <w:b/>
                            <w:bCs/>
                            <w:sz w:val="18"/>
                            <w:szCs w:val="20"/>
                          </w:rPr>
                          <w:t xml:space="preserve"> </w:t>
                        </w:r>
                        <w:hyperlink r:id="rId4" w:history="1">
                          <w:r w:rsidRPr="00E212C4">
                            <w:rPr>
                              <w:rStyle w:val="Hyperlink"/>
                              <w:rFonts w:cs="Calibri"/>
                              <w:sz w:val="18"/>
                              <w:szCs w:val="20"/>
                            </w:rPr>
                            <w:t>http://ilkogretim-online.org.tr</w:t>
                          </w:r>
                        </w:hyperlink>
                      </w:p>
                      <w:p w14:paraId="63EC171C" w14:textId="77777777" w:rsidR="00E212C4" w:rsidRPr="00E212C4" w:rsidRDefault="00E212C4" w:rsidP="00E212C4">
                        <w:pPr>
                          <w:rPr>
                            <w:rStyle w:val="Hyperlink"/>
                            <w:rFonts w:cs="Calibri"/>
                            <w:color w:val="00B050"/>
                            <w:sz w:val="18"/>
                            <w:szCs w:val="20"/>
                          </w:rPr>
                        </w:pPr>
                        <w:hyperlink r:id="rId5" w:history="1">
                          <w:r w:rsidRPr="00E212C4">
                            <w:rPr>
                              <w:rFonts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w10:anchorlock/>
            </v:group>
          </w:pict>
        </mc:Fallback>
      </mc:AlternateContent>
    </w:r>
  </w:p>
  <w:p w14:paraId="6BAA35ED" w14:textId="77777777" w:rsidR="00AC5548" w:rsidRPr="00E212C4" w:rsidRDefault="00AC5548" w:rsidP="00E212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36F24"/>
    <w:multiLevelType w:val="singleLevel"/>
    <w:tmpl w:val="603AEFBE"/>
    <w:lvl w:ilvl="0">
      <w:start w:val="1"/>
      <w:numFmt w:val="decimal"/>
      <w:lvlText w:val="[%1]"/>
      <w:lvlJc w:val="left"/>
      <w:pPr>
        <w:tabs>
          <w:tab w:val="num" w:pos="360"/>
        </w:tabs>
        <w:ind w:left="360" w:hanging="360"/>
      </w:pPr>
      <w:rPr>
        <w:rFonts w:hint="default"/>
        <w:color w:val="auto"/>
      </w:rPr>
    </w:lvl>
  </w:abstractNum>
  <w:abstractNum w:abstractNumId="1" w15:restartNumberingAfterBreak="0">
    <w:nsid w:val="77320FDD"/>
    <w:multiLevelType w:val="hybridMultilevel"/>
    <w:tmpl w:val="8B804032"/>
    <w:lvl w:ilvl="0" w:tplc="AFBA0790">
      <w:start w:val="1"/>
      <w:numFmt w:val="upperRoman"/>
      <w:lvlText w:val="(%1)"/>
      <w:lvlJc w:val="left"/>
      <w:pPr>
        <w:ind w:left="1485" w:hanging="72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6640"/>
    <w:rsid w:val="00014230"/>
    <w:rsid w:val="00014C1B"/>
    <w:rsid w:val="00016F92"/>
    <w:rsid w:val="00020AF5"/>
    <w:rsid w:val="000254AB"/>
    <w:rsid w:val="00033DA1"/>
    <w:rsid w:val="0003577D"/>
    <w:rsid w:val="0004041F"/>
    <w:rsid w:val="000440AA"/>
    <w:rsid w:val="000539B5"/>
    <w:rsid w:val="0005490C"/>
    <w:rsid w:val="00061BB7"/>
    <w:rsid w:val="000721E8"/>
    <w:rsid w:val="00080CAD"/>
    <w:rsid w:val="00081C3B"/>
    <w:rsid w:val="00083E64"/>
    <w:rsid w:val="00086533"/>
    <w:rsid w:val="00087CAB"/>
    <w:rsid w:val="0009145D"/>
    <w:rsid w:val="0009675C"/>
    <w:rsid w:val="000969C1"/>
    <w:rsid w:val="000A6D47"/>
    <w:rsid w:val="000A70B2"/>
    <w:rsid w:val="000A71AE"/>
    <w:rsid w:val="000B1986"/>
    <w:rsid w:val="000B1A17"/>
    <w:rsid w:val="000B4CFA"/>
    <w:rsid w:val="000B62C0"/>
    <w:rsid w:val="000C0A26"/>
    <w:rsid w:val="000C5436"/>
    <w:rsid w:val="000E2AE3"/>
    <w:rsid w:val="000E3AF7"/>
    <w:rsid w:val="000F4FAE"/>
    <w:rsid w:val="000F5FB8"/>
    <w:rsid w:val="000F60C4"/>
    <w:rsid w:val="000F6587"/>
    <w:rsid w:val="000F7D9F"/>
    <w:rsid w:val="00110CF5"/>
    <w:rsid w:val="00113766"/>
    <w:rsid w:val="00121377"/>
    <w:rsid w:val="00125861"/>
    <w:rsid w:val="0012631D"/>
    <w:rsid w:val="00131A48"/>
    <w:rsid w:val="001325DC"/>
    <w:rsid w:val="001443B4"/>
    <w:rsid w:val="00146870"/>
    <w:rsid w:val="00160019"/>
    <w:rsid w:val="00160E41"/>
    <w:rsid w:val="00167AA2"/>
    <w:rsid w:val="00174366"/>
    <w:rsid w:val="00176DC8"/>
    <w:rsid w:val="00181E37"/>
    <w:rsid w:val="00183A1F"/>
    <w:rsid w:val="001855E7"/>
    <w:rsid w:val="001A37CF"/>
    <w:rsid w:val="001A56F6"/>
    <w:rsid w:val="001A66F9"/>
    <w:rsid w:val="001B0351"/>
    <w:rsid w:val="001B5430"/>
    <w:rsid w:val="001C39DA"/>
    <w:rsid w:val="001C4A10"/>
    <w:rsid w:val="001C4A89"/>
    <w:rsid w:val="001D0376"/>
    <w:rsid w:val="001D0EBC"/>
    <w:rsid w:val="001D3798"/>
    <w:rsid w:val="001D48E2"/>
    <w:rsid w:val="001E45CD"/>
    <w:rsid w:val="001E5125"/>
    <w:rsid w:val="001F23BD"/>
    <w:rsid w:val="001F47B1"/>
    <w:rsid w:val="001F675A"/>
    <w:rsid w:val="00203F9E"/>
    <w:rsid w:val="0020540D"/>
    <w:rsid w:val="00216D8B"/>
    <w:rsid w:val="002170DD"/>
    <w:rsid w:val="00221200"/>
    <w:rsid w:val="00223798"/>
    <w:rsid w:val="002313AC"/>
    <w:rsid w:val="00232D55"/>
    <w:rsid w:val="00243702"/>
    <w:rsid w:val="00245F95"/>
    <w:rsid w:val="002465C1"/>
    <w:rsid w:val="002467CE"/>
    <w:rsid w:val="00254E5A"/>
    <w:rsid w:val="00263138"/>
    <w:rsid w:val="002705EC"/>
    <w:rsid w:val="0027202E"/>
    <w:rsid w:val="0027253D"/>
    <w:rsid w:val="00272B66"/>
    <w:rsid w:val="00280898"/>
    <w:rsid w:val="00283A5E"/>
    <w:rsid w:val="002846E9"/>
    <w:rsid w:val="0028576A"/>
    <w:rsid w:val="00285FCC"/>
    <w:rsid w:val="00287960"/>
    <w:rsid w:val="00290583"/>
    <w:rsid w:val="002A07EA"/>
    <w:rsid w:val="002A2A80"/>
    <w:rsid w:val="002A33D3"/>
    <w:rsid w:val="002A659A"/>
    <w:rsid w:val="002A7B08"/>
    <w:rsid w:val="002B18B3"/>
    <w:rsid w:val="002B2721"/>
    <w:rsid w:val="002C1988"/>
    <w:rsid w:val="002C2752"/>
    <w:rsid w:val="002C6E80"/>
    <w:rsid w:val="002D3245"/>
    <w:rsid w:val="002D4BA2"/>
    <w:rsid w:val="002D5974"/>
    <w:rsid w:val="002E18A7"/>
    <w:rsid w:val="002E1A11"/>
    <w:rsid w:val="002E1EAA"/>
    <w:rsid w:val="002E7158"/>
    <w:rsid w:val="002F1510"/>
    <w:rsid w:val="002F31CE"/>
    <w:rsid w:val="00313F2D"/>
    <w:rsid w:val="003279A8"/>
    <w:rsid w:val="00327E5A"/>
    <w:rsid w:val="003404D2"/>
    <w:rsid w:val="003457D2"/>
    <w:rsid w:val="0034782F"/>
    <w:rsid w:val="00352232"/>
    <w:rsid w:val="0035757F"/>
    <w:rsid w:val="003601A5"/>
    <w:rsid w:val="00395C0D"/>
    <w:rsid w:val="00395FCC"/>
    <w:rsid w:val="003A0253"/>
    <w:rsid w:val="003A242C"/>
    <w:rsid w:val="003B021C"/>
    <w:rsid w:val="003B79E2"/>
    <w:rsid w:val="003C5800"/>
    <w:rsid w:val="003D4A01"/>
    <w:rsid w:val="003D6492"/>
    <w:rsid w:val="003E23B1"/>
    <w:rsid w:val="003E4D67"/>
    <w:rsid w:val="003E5916"/>
    <w:rsid w:val="004068B6"/>
    <w:rsid w:val="00411A6F"/>
    <w:rsid w:val="00416E59"/>
    <w:rsid w:val="00427C60"/>
    <w:rsid w:val="004313D7"/>
    <w:rsid w:val="00432FA3"/>
    <w:rsid w:val="00433128"/>
    <w:rsid w:val="00433940"/>
    <w:rsid w:val="00435A6A"/>
    <w:rsid w:val="004404D7"/>
    <w:rsid w:val="00440BEB"/>
    <w:rsid w:val="00440C93"/>
    <w:rsid w:val="00443DD8"/>
    <w:rsid w:val="00457EAC"/>
    <w:rsid w:val="00463574"/>
    <w:rsid w:val="00465B18"/>
    <w:rsid w:val="004727B9"/>
    <w:rsid w:val="00474E50"/>
    <w:rsid w:val="0047571C"/>
    <w:rsid w:val="004767C2"/>
    <w:rsid w:val="00480430"/>
    <w:rsid w:val="004944EE"/>
    <w:rsid w:val="00496BBA"/>
    <w:rsid w:val="0049716F"/>
    <w:rsid w:val="004A5A78"/>
    <w:rsid w:val="004A60A1"/>
    <w:rsid w:val="004A74ED"/>
    <w:rsid w:val="004B03C4"/>
    <w:rsid w:val="004B704B"/>
    <w:rsid w:val="004C2881"/>
    <w:rsid w:val="004D324C"/>
    <w:rsid w:val="004D6424"/>
    <w:rsid w:val="004D69E2"/>
    <w:rsid w:val="004E645D"/>
    <w:rsid w:val="004E6DE8"/>
    <w:rsid w:val="004F3046"/>
    <w:rsid w:val="004F39AA"/>
    <w:rsid w:val="0050229F"/>
    <w:rsid w:val="00502DF1"/>
    <w:rsid w:val="005070B9"/>
    <w:rsid w:val="00520CE2"/>
    <w:rsid w:val="00520EE4"/>
    <w:rsid w:val="00532A0E"/>
    <w:rsid w:val="00536A91"/>
    <w:rsid w:val="00537112"/>
    <w:rsid w:val="00540C7A"/>
    <w:rsid w:val="00540F56"/>
    <w:rsid w:val="005422CE"/>
    <w:rsid w:val="00545095"/>
    <w:rsid w:val="00545F17"/>
    <w:rsid w:val="00560744"/>
    <w:rsid w:val="005650E0"/>
    <w:rsid w:val="0058142E"/>
    <w:rsid w:val="005818C6"/>
    <w:rsid w:val="00590160"/>
    <w:rsid w:val="00590358"/>
    <w:rsid w:val="00590AF9"/>
    <w:rsid w:val="00590B4A"/>
    <w:rsid w:val="00591AA2"/>
    <w:rsid w:val="005928B4"/>
    <w:rsid w:val="005962D0"/>
    <w:rsid w:val="005A09E4"/>
    <w:rsid w:val="005A4FD3"/>
    <w:rsid w:val="005B0610"/>
    <w:rsid w:val="005B15AC"/>
    <w:rsid w:val="005B362B"/>
    <w:rsid w:val="005B3935"/>
    <w:rsid w:val="005C091B"/>
    <w:rsid w:val="005C3292"/>
    <w:rsid w:val="005D0104"/>
    <w:rsid w:val="005D7DBD"/>
    <w:rsid w:val="005E40ED"/>
    <w:rsid w:val="005E50F2"/>
    <w:rsid w:val="005F6007"/>
    <w:rsid w:val="005F61BF"/>
    <w:rsid w:val="005F7FA8"/>
    <w:rsid w:val="00605557"/>
    <w:rsid w:val="00605D82"/>
    <w:rsid w:val="00613E8A"/>
    <w:rsid w:val="0061414C"/>
    <w:rsid w:val="006251D2"/>
    <w:rsid w:val="00626026"/>
    <w:rsid w:val="006261BD"/>
    <w:rsid w:val="00630A40"/>
    <w:rsid w:val="00632325"/>
    <w:rsid w:val="0063313D"/>
    <w:rsid w:val="006364A1"/>
    <w:rsid w:val="006371B2"/>
    <w:rsid w:val="006456A9"/>
    <w:rsid w:val="00647E29"/>
    <w:rsid w:val="00655B41"/>
    <w:rsid w:val="00655DA2"/>
    <w:rsid w:val="006562F9"/>
    <w:rsid w:val="0065713D"/>
    <w:rsid w:val="00674918"/>
    <w:rsid w:val="00675BC1"/>
    <w:rsid w:val="00683367"/>
    <w:rsid w:val="00683EA9"/>
    <w:rsid w:val="00684BF8"/>
    <w:rsid w:val="00691D50"/>
    <w:rsid w:val="006922BA"/>
    <w:rsid w:val="00694B7B"/>
    <w:rsid w:val="00694DDE"/>
    <w:rsid w:val="006A7D86"/>
    <w:rsid w:val="006B0005"/>
    <w:rsid w:val="006B3201"/>
    <w:rsid w:val="006C1ECD"/>
    <w:rsid w:val="006C289C"/>
    <w:rsid w:val="006D31B1"/>
    <w:rsid w:val="006D756D"/>
    <w:rsid w:val="006E30E4"/>
    <w:rsid w:val="006E3745"/>
    <w:rsid w:val="006E5F42"/>
    <w:rsid w:val="006E6BE3"/>
    <w:rsid w:val="006E71F7"/>
    <w:rsid w:val="006F2979"/>
    <w:rsid w:val="006F2C93"/>
    <w:rsid w:val="0070193F"/>
    <w:rsid w:val="00703869"/>
    <w:rsid w:val="0071079E"/>
    <w:rsid w:val="007107E6"/>
    <w:rsid w:val="0071338A"/>
    <w:rsid w:val="00731A09"/>
    <w:rsid w:val="00731EAE"/>
    <w:rsid w:val="00733541"/>
    <w:rsid w:val="00756FE1"/>
    <w:rsid w:val="0076546F"/>
    <w:rsid w:val="007678E7"/>
    <w:rsid w:val="00771F60"/>
    <w:rsid w:val="00772F47"/>
    <w:rsid w:val="00776A3B"/>
    <w:rsid w:val="007803B6"/>
    <w:rsid w:val="00781480"/>
    <w:rsid w:val="007839A8"/>
    <w:rsid w:val="00783BB4"/>
    <w:rsid w:val="0079789C"/>
    <w:rsid w:val="007A7291"/>
    <w:rsid w:val="007B6CB8"/>
    <w:rsid w:val="007B74F5"/>
    <w:rsid w:val="007C48DD"/>
    <w:rsid w:val="007C60F5"/>
    <w:rsid w:val="007C77E9"/>
    <w:rsid w:val="007D14A4"/>
    <w:rsid w:val="007D3FB6"/>
    <w:rsid w:val="007E3986"/>
    <w:rsid w:val="007F3A81"/>
    <w:rsid w:val="007F69BC"/>
    <w:rsid w:val="007F6EB4"/>
    <w:rsid w:val="00801B05"/>
    <w:rsid w:val="00803B01"/>
    <w:rsid w:val="00803F49"/>
    <w:rsid w:val="00806740"/>
    <w:rsid w:val="00810E39"/>
    <w:rsid w:val="00812CF9"/>
    <w:rsid w:val="008139ED"/>
    <w:rsid w:val="00815B5A"/>
    <w:rsid w:val="00825C12"/>
    <w:rsid w:val="00830E4B"/>
    <w:rsid w:val="00831D02"/>
    <w:rsid w:val="00833F6A"/>
    <w:rsid w:val="008414C6"/>
    <w:rsid w:val="008424A0"/>
    <w:rsid w:val="00845B0B"/>
    <w:rsid w:val="00847C3E"/>
    <w:rsid w:val="00857543"/>
    <w:rsid w:val="00861331"/>
    <w:rsid w:val="00865846"/>
    <w:rsid w:val="00865E43"/>
    <w:rsid w:val="00871627"/>
    <w:rsid w:val="008863AC"/>
    <w:rsid w:val="00886620"/>
    <w:rsid w:val="00890786"/>
    <w:rsid w:val="00891745"/>
    <w:rsid w:val="008A3479"/>
    <w:rsid w:val="008B6011"/>
    <w:rsid w:val="008B7EFB"/>
    <w:rsid w:val="008C0638"/>
    <w:rsid w:val="008C2B1B"/>
    <w:rsid w:val="008C4FE3"/>
    <w:rsid w:val="008C67E1"/>
    <w:rsid w:val="008D6755"/>
    <w:rsid w:val="008E3789"/>
    <w:rsid w:val="008F0940"/>
    <w:rsid w:val="008F1077"/>
    <w:rsid w:val="008F3E5C"/>
    <w:rsid w:val="008F784F"/>
    <w:rsid w:val="009048AA"/>
    <w:rsid w:val="009303FF"/>
    <w:rsid w:val="0093783B"/>
    <w:rsid w:val="00943532"/>
    <w:rsid w:val="00955D1A"/>
    <w:rsid w:val="00955F55"/>
    <w:rsid w:val="009703E4"/>
    <w:rsid w:val="00971DA6"/>
    <w:rsid w:val="009A17C8"/>
    <w:rsid w:val="009A2F6B"/>
    <w:rsid w:val="009A63D2"/>
    <w:rsid w:val="009B085B"/>
    <w:rsid w:val="009B57B0"/>
    <w:rsid w:val="009B5EE5"/>
    <w:rsid w:val="009C0514"/>
    <w:rsid w:val="009C09A1"/>
    <w:rsid w:val="009D079C"/>
    <w:rsid w:val="009D147E"/>
    <w:rsid w:val="009D45D1"/>
    <w:rsid w:val="009D7269"/>
    <w:rsid w:val="009E434E"/>
    <w:rsid w:val="009F3EA9"/>
    <w:rsid w:val="009F6AC3"/>
    <w:rsid w:val="00A01E20"/>
    <w:rsid w:val="00A227C4"/>
    <w:rsid w:val="00A36D75"/>
    <w:rsid w:val="00A418B8"/>
    <w:rsid w:val="00A42C10"/>
    <w:rsid w:val="00A43A7E"/>
    <w:rsid w:val="00A46898"/>
    <w:rsid w:val="00A52A78"/>
    <w:rsid w:val="00A53298"/>
    <w:rsid w:val="00A53DF4"/>
    <w:rsid w:val="00A6302B"/>
    <w:rsid w:val="00A66F4B"/>
    <w:rsid w:val="00A76A76"/>
    <w:rsid w:val="00A832D3"/>
    <w:rsid w:val="00A87F74"/>
    <w:rsid w:val="00A903F2"/>
    <w:rsid w:val="00A95958"/>
    <w:rsid w:val="00AA3D6F"/>
    <w:rsid w:val="00AA66DE"/>
    <w:rsid w:val="00AA7F8E"/>
    <w:rsid w:val="00AB27C5"/>
    <w:rsid w:val="00AB7349"/>
    <w:rsid w:val="00AC5548"/>
    <w:rsid w:val="00AC756A"/>
    <w:rsid w:val="00AC7EE4"/>
    <w:rsid w:val="00AD1ED0"/>
    <w:rsid w:val="00AD4CE4"/>
    <w:rsid w:val="00AD5059"/>
    <w:rsid w:val="00AE0901"/>
    <w:rsid w:val="00AE30C3"/>
    <w:rsid w:val="00AE5799"/>
    <w:rsid w:val="00AE6F03"/>
    <w:rsid w:val="00AE7D4A"/>
    <w:rsid w:val="00AF6806"/>
    <w:rsid w:val="00AF690D"/>
    <w:rsid w:val="00B10A9A"/>
    <w:rsid w:val="00B10E71"/>
    <w:rsid w:val="00B13D0D"/>
    <w:rsid w:val="00B1747A"/>
    <w:rsid w:val="00B17588"/>
    <w:rsid w:val="00B22B1F"/>
    <w:rsid w:val="00B24BCA"/>
    <w:rsid w:val="00B26D41"/>
    <w:rsid w:val="00B35CD8"/>
    <w:rsid w:val="00B40F84"/>
    <w:rsid w:val="00B428DA"/>
    <w:rsid w:val="00B43656"/>
    <w:rsid w:val="00B541C4"/>
    <w:rsid w:val="00B935A6"/>
    <w:rsid w:val="00BA08FF"/>
    <w:rsid w:val="00BB2754"/>
    <w:rsid w:val="00BB3684"/>
    <w:rsid w:val="00BB3A59"/>
    <w:rsid w:val="00BB4675"/>
    <w:rsid w:val="00BB570A"/>
    <w:rsid w:val="00BC3F79"/>
    <w:rsid w:val="00BC55B4"/>
    <w:rsid w:val="00BD5660"/>
    <w:rsid w:val="00BE288A"/>
    <w:rsid w:val="00BF29B9"/>
    <w:rsid w:val="00BF43F0"/>
    <w:rsid w:val="00C01A70"/>
    <w:rsid w:val="00C04F40"/>
    <w:rsid w:val="00C10DF4"/>
    <w:rsid w:val="00C1168D"/>
    <w:rsid w:val="00C11B8D"/>
    <w:rsid w:val="00C23705"/>
    <w:rsid w:val="00C2476E"/>
    <w:rsid w:val="00C27BF9"/>
    <w:rsid w:val="00C319D0"/>
    <w:rsid w:val="00C37262"/>
    <w:rsid w:val="00C41157"/>
    <w:rsid w:val="00C5074F"/>
    <w:rsid w:val="00C51F53"/>
    <w:rsid w:val="00C57D4C"/>
    <w:rsid w:val="00C62B60"/>
    <w:rsid w:val="00C71F46"/>
    <w:rsid w:val="00C859A8"/>
    <w:rsid w:val="00C859E5"/>
    <w:rsid w:val="00C90091"/>
    <w:rsid w:val="00C92DE9"/>
    <w:rsid w:val="00C93B99"/>
    <w:rsid w:val="00C945D3"/>
    <w:rsid w:val="00C966AE"/>
    <w:rsid w:val="00CA261A"/>
    <w:rsid w:val="00CA7848"/>
    <w:rsid w:val="00CB299A"/>
    <w:rsid w:val="00CD0BC4"/>
    <w:rsid w:val="00CD137F"/>
    <w:rsid w:val="00CD17B3"/>
    <w:rsid w:val="00CD5049"/>
    <w:rsid w:val="00CE2A14"/>
    <w:rsid w:val="00CE359A"/>
    <w:rsid w:val="00CE6A8C"/>
    <w:rsid w:val="00CE6ED6"/>
    <w:rsid w:val="00CF0840"/>
    <w:rsid w:val="00CF70D9"/>
    <w:rsid w:val="00CF7696"/>
    <w:rsid w:val="00D03F04"/>
    <w:rsid w:val="00D12FD2"/>
    <w:rsid w:val="00D1474E"/>
    <w:rsid w:val="00D21C08"/>
    <w:rsid w:val="00D30D3B"/>
    <w:rsid w:val="00D40A1B"/>
    <w:rsid w:val="00D4148D"/>
    <w:rsid w:val="00D44620"/>
    <w:rsid w:val="00D45A9B"/>
    <w:rsid w:val="00D531B7"/>
    <w:rsid w:val="00D53E55"/>
    <w:rsid w:val="00D61C58"/>
    <w:rsid w:val="00D62972"/>
    <w:rsid w:val="00D64076"/>
    <w:rsid w:val="00D642A2"/>
    <w:rsid w:val="00D647A0"/>
    <w:rsid w:val="00D6525E"/>
    <w:rsid w:val="00D67502"/>
    <w:rsid w:val="00D775E6"/>
    <w:rsid w:val="00D82999"/>
    <w:rsid w:val="00D845A0"/>
    <w:rsid w:val="00D860DA"/>
    <w:rsid w:val="00D90BCF"/>
    <w:rsid w:val="00D90E96"/>
    <w:rsid w:val="00D9144B"/>
    <w:rsid w:val="00D9281B"/>
    <w:rsid w:val="00DA40E5"/>
    <w:rsid w:val="00DA5685"/>
    <w:rsid w:val="00DB033A"/>
    <w:rsid w:val="00DB5109"/>
    <w:rsid w:val="00DC13B4"/>
    <w:rsid w:val="00DC2C64"/>
    <w:rsid w:val="00DC3902"/>
    <w:rsid w:val="00DD2097"/>
    <w:rsid w:val="00DD2718"/>
    <w:rsid w:val="00DD7823"/>
    <w:rsid w:val="00DD7846"/>
    <w:rsid w:val="00DE1E3B"/>
    <w:rsid w:val="00DE26D7"/>
    <w:rsid w:val="00DE2D49"/>
    <w:rsid w:val="00DE3290"/>
    <w:rsid w:val="00DE5037"/>
    <w:rsid w:val="00E00CB8"/>
    <w:rsid w:val="00E212C4"/>
    <w:rsid w:val="00E23C31"/>
    <w:rsid w:val="00E319E4"/>
    <w:rsid w:val="00E417B5"/>
    <w:rsid w:val="00E42A66"/>
    <w:rsid w:val="00E47748"/>
    <w:rsid w:val="00E52227"/>
    <w:rsid w:val="00E555D0"/>
    <w:rsid w:val="00E566D3"/>
    <w:rsid w:val="00E60443"/>
    <w:rsid w:val="00E60B7D"/>
    <w:rsid w:val="00E61895"/>
    <w:rsid w:val="00E623EC"/>
    <w:rsid w:val="00E633E1"/>
    <w:rsid w:val="00E6525F"/>
    <w:rsid w:val="00E67C9C"/>
    <w:rsid w:val="00E70122"/>
    <w:rsid w:val="00E70E53"/>
    <w:rsid w:val="00E720B6"/>
    <w:rsid w:val="00E9040D"/>
    <w:rsid w:val="00E96738"/>
    <w:rsid w:val="00EA48A6"/>
    <w:rsid w:val="00EB52BE"/>
    <w:rsid w:val="00EB71C0"/>
    <w:rsid w:val="00EC1C37"/>
    <w:rsid w:val="00EC6F5A"/>
    <w:rsid w:val="00EE038B"/>
    <w:rsid w:val="00EE09A1"/>
    <w:rsid w:val="00EE1E4F"/>
    <w:rsid w:val="00EF1CDF"/>
    <w:rsid w:val="00EF1DDC"/>
    <w:rsid w:val="00EF2F26"/>
    <w:rsid w:val="00EF5613"/>
    <w:rsid w:val="00EF679E"/>
    <w:rsid w:val="00F022B9"/>
    <w:rsid w:val="00F027D7"/>
    <w:rsid w:val="00F063B3"/>
    <w:rsid w:val="00F07E78"/>
    <w:rsid w:val="00F26F76"/>
    <w:rsid w:val="00F27494"/>
    <w:rsid w:val="00F32F92"/>
    <w:rsid w:val="00F367FD"/>
    <w:rsid w:val="00F368E5"/>
    <w:rsid w:val="00F42F41"/>
    <w:rsid w:val="00F4764A"/>
    <w:rsid w:val="00F514C9"/>
    <w:rsid w:val="00F52AA1"/>
    <w:rsid w:val="00F53EA6"/>
    <w:rsid w:val="00F55990"/>
    <w:rsid w:val="00F6667E"/>
    <w:rsid w:val="00F8185D"/>
    <w:rsid w:val="00F82BC7"/>
    <w:rsid w:val="00F82D99"/>
    <w:rsid w:val="00F8738B"/>
    <w:rsid w:val="00F9308D"/>
    <w:rsid w:val="00F96C95"/>
    <w:rsid w:val="00FA4882"/>
    <w:rsid w:val="00FA5C5C"/>
    <w:rsid w:val="00FB1EF4"/>
    <w:rsid w:val="00FB4E65"/>
    <w:rsid w:val="00FC6A4A"/>
    <w:rsid w:val="00FD0DDB"/>
    <w:rsid w:val="00FE0C11"/>
    <w:rsid w:val="00FE1334"/>
    <w:rsid w:val="00FF3229"/>
    <w:rsid w:val="00FF7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4C61"/>
  <w15:docId w15:val="{21622DCB-9F5C-4604-977C-9743EC71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table" w:customStyle="1" w:styleId="AkGlgeleme1">
    <w:name w:val="Açık Gölgeleme1"/>
    <w:basedOn w:val="TableNormal"/>
    <w:uiPriority w:val="60"/>
    <w:rsid w:val="003B02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13F2D"/>
    <w:rPr>
      <w:sz w:val="16"/>
      <w:szCs w:val="16"/>
    </w:rPr>
  </w:style>
  <w:style w:type="paragraph" w:styleId="CommentText">
    <w:name w:val="annotation text"/>
    <w:basedOn w:val="Normal"/>
    <w:link w:val="CommentTextChar"/>
    <w:uiPriority w:val="99"/>
    <w:semiHidden/>
    <w:unhideWhenUsed/>
    <w:rsid w:val="00313F2D"/>
    <w:pPr>
      <w:spacing w:line="240" w:lineRule="auto"/>
    </w:pPr>
    <w:rPr>
      <w:sz w:val="20"/>
      <w:szCs w:val="20"/>
    </w:rPr>
  </w:style>
  <w:style w:type="character" w:customStyle="1" w:styleId="CommentTextChar">
    <w:name w:val="Comment Text Char"/>
    <w:basedOn w:val="DefaultParagraphFont"/>
    <w:link w:val="CommentText"/>
    <w:uiPriority w:val="99"/>
    <w:semiHidden/>
    <w:rsid w:val="00313F2D"/>
    <w:rPr>
      <w:sz w:val="20"/>
      <w:szCs w:val="20"/>
    </w:rPr>
  </w:style>
  <w:style w:type="paragraph" w:styleId="CommentSubject">
    <w:name w:val="annotation subject"/>
    <w:basedOn w:val="CommentText"/>
    <w:next w:val="CommentText"/>
    <w:link w:val="CommentSubjectChar"/>
    <w:uiPriority w:val="99"/>
    <w:semiHidden/>
    <w:unhideWhenUsed/>
    <w:rsid w:val="00313F2D"/>
    <w:rPr>
      <w:b/>
      <w:bCs/>
    </w:rPr>
  </w:style>
  <w:style w:type="character" w:customStyle="1" w:styleId="CommentSubjectChar">
    <w:name w:val="Comment Subject Char"/>
    <w:basedOn w:val="CommentTextChar"/>
    <w:link w:val="CommentSubject"/>
    <w:uiPriority w:val="99"/>
    <w:semiHidden/>
    <w:rsid w:val="00313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371617055">
      <w:bodyDiv w:val="1"/>
      <w:marLeft w:val="0"/>
      <w:marRight w:val="0"/>
      <w:marTop w:val="0"/>
      <w:marBottom w:val="0"/>
      <w:divBdr>
        <w:top w:val="none" w:sz="0" w:space="0" w:color="auto"/>
        <w:left w:val="none" w:sz="0" w:space="0" w:color="auto"/>
        <w:bottom w:val="none" w:sz="0" w:space="0" w:color="auto"/>
        <w:right w:val="none" w:sz="0" w:space="0" w:color="auto"/>
      </w:divBdr>
      <w:divsChild>
        <w:div w:id="955908730">
          <w:marLeft w:val="0"/>
          <w:marRight w:val="0"/>
          <w:marTop w:val="0"/>
          <w:marBottom w:val="0"/>
          <w:divBdr>
            <w:top w:val="none" w:sz="0" w:space="0" w:color="auto"/>
            <w:left w:val="none" w:sz="0" w:space="0" w:color="auto"/>
            <w:bottom w:val="none" w:sz="0" w:space="0" w:color="auto"/>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207182036">
      <w:bodyDiv w:val="1"/>
      <w:marLeft w:val="0"/>
      <w:marRight w:val="0"/>
      <w:marTop w:val="0"/>
      <w:marBottom w:val="0"/>
      <w:divBdr>
        <w:top w:val="none" w:sz="0" w:space="0" w:color="auto"/>
        <w:left w:val="none" w:sz="0" w:space="0" w:color="auto"/>
        <w:bottom w:val="none" w:sz="0" w:space="0" w:color="auto"/>
        <w:right w:val="none" w:sz="0" w:space="0" w:color="auto"/>
      </w:divBdr>
      <w:divsChild>
        <w:div w:id="333843446">
          <w:marLeft w:val="0"/>
          <w:marRight w:val="0"/>
          <w:marTop w:val="0"/>
          <w:marBottom w:val="0"/>
          <w:divBdr>
            <w:top w:val="none" w:sz="0" w:space="0" w:color="auto"/>
            <w:left w:val="none" w:sz="0" w:space="0" w:color="auto"/>
            <w:bottom w:val="none" w:sz="0" w:space="0" w:color="auto"/>
            <w:right w:val="none" w:sz="0" w:space="0" w:color="auto"/>
          </w:divBdr>
        </w:div>
        <w:div w:id="1864130530">
          <w:marLeft w:val="0"/>
          <w:marRight w:val="0"/>
          <w:marTop w:val="0"/>
          <w:marBottom w:val="0"/>
          <w:divBdr>
            <w:top w:val="none" w:sz="0" w:space="0" w:color="auto"/>
            <w:left w:val="none" w:sz="0" w:space="0" w:color="auto"/>
            <w:bottom w:val="none" w:sz="0" w:space="0" w:color="auto"/>
            <w:right w:val="none" w:sz="0" w:space="0" w:color="auto"/>
          </w:divBdr>
        </w:div>
        <w:div w:id="58213673">
          <w:marLeft w:val="0"/>
          <w:marRight w:val="0"/>
          <w:marTop w:val="0"/>
          <w:marBottom w:val="0"/>
          <w:divBdr>
            <w:top w:val="none" w:sz="0" w:space="0" w:color="auto"/>
            <w:left w:val="none" w:sz="0" w:space="0" w:color="auto"/>
            <w:bottom w:val="none" w:sz="0" w:space="0" w:color="auto"/>
            <w:right w:val="none" w:sz="0" w:space="0" w:color="auto"/>
          </w:divBdr>
        </w:div>
      </w:divsChild>
    </w:div>
    <w:div w:id="1309285333">
      <w:bodyDiv w:val="1"/>
      <w:marLeft w:val="0"/>
      <w:marRight w:val="0"/>
      <w:marTop w:val="0"/>
      <w:marBottom w:val="0"/>
      <w:divBdr>
        <w:top w:val="none" w:sz="0" w:space="0" w:color="auto"/>
        <w:left w:val="none" w:sz="0" w:space="0" w:color="auto"/>
        <w:bottom w:val="none" w:sz="0" w:space="0" w:color="auto"/>
        <w:right w:val="none" w:sz="0" w:space="0" w:color="auto"/>
      </w:divBdr>
      <w:divsChild>
        <w:div w:id="1196894322">
          <w:marLeft w:val="0"/>
          <w:marRight w:val="0"/>
          <w:marTop w:val="0"/>
          <w:marBottom w:val="0"/>
          <w:divBdr>
            <w:top w:val="none" w:sz="0" w:space="0" w:color="auto"/>
            <w:left w:val="none" w:sz="0" w:space="0" w:color="auto"/>
            <w:bottom w:val="none" w:sz="0" w:space="0" w:color="auto"/>
            <w:right w:val="none" w:sz="0" w:space="0" w:color="auto"/>
          </w:divBdr>
        </w:div>
        <w:div w:id="1065372245">
          <w:marLeft w:val="0"/>
          <w:marRight w:val="0"/>
          <w:marTop w:val="0"/>
          <w:marBottom w:val="0"/>
          <w:divBdr>
            <w:top w:val="none" w:sz="0" w:space="0" w:color="auto"/>
            <w:left w:val="none" w:sz="0" w:space="0" w:color="auto"/>
            <w:bottom w:val="none" w:sz="0" w:space="0" w:color="auto"/>
            <w:right w:val="none" w:sz="0" w:space="0" w:color="auto"/>
          </w:divBdr>
        </w:div>
        <w:div w:id="1216695530">
          <w:marLeft w:val="0"/>
          <w:marRight w:val="0"/>
          <w:marTop w:val="0"/>
          <w:marBottom w:val="0"/>
          <w:divBdr>
            <w:top w:val="none" w:sz="0" w:space="0" w:color="auto"/>
            <w:left w:val="none" w:sz="0" w:space="0" w:color="auto"/>
            <w:bottom w:val="none" w:sz="0" w:space="0" w:color="auto"/>
            <w:right w:val="none" w:sz="0" w:space="0" w:color="auto"/>
          </w:divBdr>
        </w:div>
      </w:divsChild>
    </w:div>
    <w:div w:id="1560633016">
      <w:bodyDiv w:val="1"/>
      <w:marLeft w:val="0"/>
      <w:marRight w:val="0"/>
      <w:marTop w:val="0"/>
      <w:marBottom w:val="0"/>
      <w:divBdr>
        <w:top w:val="none" w:sz="0" w:space="0" w:color="auto"/>
        <w:left w:val="none" w:sz="0" w:space="0" w:color="auto"/>
        <w:bottom w:val="none" w:sz="0" w:space="0" w:color="auto"/>
        <w:right w:val="none" w:sz="0" w:space="0" w:color="auto"/>
      </w:divBdr>
      <w:divsChild>
        <w:div w:id="242030596">
          <w:marLeft w:val="0"/>
          <w:marRight w:val="0"/>
          <w:marTop w:val="0"/>
          <w:marBottom w:val="0"/>
          <w:divBdr>
            <w:top w:val="none" w:sz="0" w:space="0" w:color="auto"/>
            <w:left w:val="none" w:sz="0" w:space="0" w:color="auto"/>
            <w:bottom w:val="none" w:sz="0" w:space="0" w:color="auto"/>
            <w:right w:val="none" w:sz="0" w:space="0" w:color="auto"/>
          </w:divBdr>
        </w:div>
      </w:divsChild>
    </w:div>
    <w:div w:id="1693989509">
      <w:bodyDiv w:val="1"/>
      <w:marLeft w:val="0"/>
      <w:marRight w:val="0"/>
      <w:marTop w:val="0"/>
      <w:marBottom w:val="0"/>
      <w:divBdr>
        <w:top w:val="none" w:sz="0" w:space="0" w:color="auto"/>
        <w:left w:val="none" w:sz="0" w:space="0" w:color="auto"/>
        <w:bottom w:val="none" w:sz="0" w:space="0" w:color="auto"/>
        <w:right w:val="none" w:sz="0" w:space="0" w:color="auto"/>
      </w:divBdr>
      <w:divsChild>
        <w:div w:id="138233627">
          <w:marLeft w:val="0"/>
          <w:marRight w:val="0"/>
          <w:marTop w:val="0"/>
          <w:marBottom w:val="0"/>
          <w:divBdr>
            <w:top w:val="none" w:sz="0" w:space="0" w:color="auto"/>
            <w:left w:val="none" w:sz="0" w:space="0" w:color="auto"/>
            <w:bottom w:val="none" w:sz="0" w:space="0" w:color="auto"/>
            <w:right w:val="none" w:sz="0" w:space="0" w:color="auto"/>
          </w:divBdr>
        </w:div>
        <w:div w:id="1917667140">
          <w:marLeft w:val="0"/>
          <w:marRight w:val="0"/>
          <w:marTop w:val="0"/>
          <w:marBottom w:val="0"/>
          <w:divBdr>
            <w:top w:val="none" w:sz="0" w:space="0" w:color="auto"/>
            <w:left w:val="none" w:sz="0" w:space="0" w:color="auto"/>
            <w:bottom w:val="none" w:sz="0" w:space="0" w:color="auto"/>
            <w:right w:val="none" w:sz="0" w:space="0" w:color="auto"/>
          </w:divBdr>
        </w:div>
        <w:div w:id="249851280">
          <w:marLeft w:val="0"/>
          <w:marRight w:val="0"/>
          <w:marTop w:val="0"/>
          <w:marBottom w:val="0"/>
          <w:divBdr>
            <w:top w:val="none" w:sz="0" w:space="0" w:color="auto"/>
            <w:left w:val="none" w:sz="0" w:space="0" w:color="auto"/>
            <w:bottom w:val="none" w:sz="0" w:space="0" w:color="auto"/>
            <w:right w:val="none" w:sz="0" w:space="0" w:color="auto"/>
          </w:divBdr>
        </w:div>
      </w:divsChild>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tepe@yildiz.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hmet.ozdemir@marmara.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D713-DFC0-4EE8-A928-B3882E04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12849</Words>
  <Characters>73245</Characters>
  <Application>Microsoft Office Word</Application>
  <DocSecurity>0</DocSecurity>
  <Lines>610</Lines>
  <Paragraphs>171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2018-08-08T15:29:00Z</dcterms:created>
  <dcterms:modified xsi:type="dcterms:W3CDTF">2018-10-01T18:01:00Z</dcterms:modified>
</cp:coreProperties>
</file>