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53750" w:rsidRPr="00B563F6" w:rsidRDefault="0097225F" w:rsidP="00B563F6">
      <w:pPr>
        <w:spacing w:after="160" w:line="240" w:lineRule="auto"/>
        <w:rPr>
          <w:rFonts w:asciiTheme="majorHAnsi" w:eastAsia="Times New Roman" w:hAnsiTheme="majorHAnsi" w:cs="Times New Roman"/>
          <w:color w:val="auto"/>
          <w:sz w:val="32"/>
          <w:szCs w:val="32"/>
        </w:rPr>
      </w:pPr>
      <w:r w:rsidRPr="00B563F6">
        <w:rPr>
          <w:rFonts w:asciiTheme="majorHAnsi" w:eastAsia="Times New Roman" w:hAnsiTheme="majorHAnsi" w:cs="Times New Roman"/>
          <w:color w:val="auto"/>
          <w:sz w:val="32"/>
          <w:szCs w:val="32"/>
        </w:rPr>
        <w:t>Adaptation of Engagement Questionnaire</w:t>
      </w:r>
      <w:r w:rsidR="00BF3047" w:rsidRPr="00B563F6">
        <w:rPr>
          <w:rFonts w:asciiTheme="majorHAnsi" w:eastAsia="Times New Roman" w:hAnsiTheme="majorHAnsi" w:cs="Times New Roman"/>
          <w:color w:val="auto"/>
          <w:sz w:val="32"/>
          <w:szCs w:val="32"/>
        </w:rPr>
        <w:t xml:space="preserve"> to </w:t>
      </w:r>
      <w:r w:rsidRPr="00B563F6">
        <w:rPr>
          <w:rFonts w:asciiTheme="majorHAnsi" w:eastAsia="Times New Roman" w:hAnsiTheme="majorHAnsi" w:cs="Times New Roman"/>
          <w:color w:val="auto"/>
          <w:sz w:val="32"/>
          <w:szCs w:val="32"/>
        </w:rPr>
        <w:t>Turkish</w:t>
      </w:r>
      <w:r w:rsidR="00E25639" w:rsidRPr="00B563F6">
        <w:rPr>
          <w:rFonts w:asciiTheme="majorHAnsi" w:eastAsia="Times New Roman" w:hAnsiTheme="majorHAnsi" w:cs="Times New Roman"/>
          <w:color w:val="auto"/>
          <w:sz w:val="32"/>
          <w:szCs w:val="32"/>
        </w:rPr>
        <w:t xml:space="preserve"> </w:t>
      </w:r>
      <w:r w:rsidR="00DF0AF1" w:rsidRPr="00B563F6">
        <w:rPr>
          <w:rFonts w:asciiTheme="majorHAnsi" w:eastAsia="Times New Roman" w:hAnsiTheme="majorHAnsi" w:cs="Times New Roman"/>
          <w:color w:val="auto"/>
          <w:sz w:val="32"/>
          <w:szCs w:val="32"/>
        </w:rPr>
        <w:t>for</w:t>
      </w:r>
      <w:r w:rsidR="00E25639" w:rsidRPr="00B563F6">
        <w:rPr>
          <w:rFonts w:asciiTheme="majorHAnsi" w:eastAsia="Times New Roman" w:hAnsiTheme="majorHAnsi" w:cs="Times New Roman"/>
          <w:color w:val="auto"/>
          <w:sz w:val="32"/>
          <w:szCs w:val="32"/>
        </w:rPr>
        <w:t xml:space="preserve"> Science</w:t>
      </w:r>
      <w:r w:rsidR="00DF0AF1" w:rsidRPr="00B563F6">
        <w:rPr>
          <w:rFonts w:asciiTheme="majorHAnsi" w:eastAsia="Times New Roman" w:hAnsiTheme="majorHAnsi" w:cs="Times New Roman"/>
          <w:color w:val="auto"/>
          <w:sz w:val="32"/>
          <w:szCs w:val="32"/>
        </w:rPr>
        <w:t xml:space="preserve"> Classes</w:t>
      </w:r>
      <w:r w:rsidRPr="00B563F6">
        <w:rPr>
          <w:rFonts w:asciiTheme="majorHAnsi" w:eastAsia="Times New Roman" w:hAnsiTheme="majorHAnsi" w:cs="Times New Roman"/>
          <w:color w:val="auto"/>
          <w:sz w:val="32"/>
          <w:szCs w:val="32"/>
        </w:rPr>
        <w:t>: Validity and Reliability Study</w:t>
      </w:r>
      <w:bookmarkStart w:id="0" w:name="_GoBack"/>
      <w:bookmarkEnd w:id="0"/>
    </w:p>
    <w:p w:rsidR="008F7483" w:rsidRPr="00B563F6" w:rsidRDefault="001775C1" w:rsidP="00B563F6">
      <w:pPr>
        <w:spacing w:after="160" w:line="240" w:lineRule="auto"/>
        <w:rPr>
          <w:rFonts w:asciiTheme="majorHAnsi" w:eastAsia="Times New Roman" w:hAnsiTheme="majorHAnsi" w:cs="Times New Roman"/>
          <w:color w:val="auto"/>
          <w:sz w:val="32"/>
          <w:szCs w:val="32"/>
          <w:lang w:val="tr-TR"/>
        </w:rPr>
      </w:pPr>
      <w:r w:rsidRPr="00B563F6">
        <w:rPr>
          <w:rFonts w:asciiTheme="majorHAnsi" w:eastAsia="Times New Roman" w:hAnsiTheme="majorHAnsi" w:cs="Times New Roman"/>
          <w:color w:val="auto"/>
          <w:sz w:val="32"/>
          <w:szCs w:val="32"/>
          <w:lang w:val="tr-TR"/>
        </w:rPr>
        <w:t xml:space="preserve">Öğrenci </w:t>
      </w:r>
      <w:r w:rsidR="00DF0AF1" w:rsidRPr="00B563F6">
        <w:rPr>
          <w:rFonts w:asciiTheme="majorHAnsi" w:eastAsia="Times New Roman" w:hAnsiTheme="majorHAnsi" w:cs="Times New Roman"/>
          <w:color w:val="auto"/>
          <w:sz w:val="32"/>
          <w:szCs w:val="32"/>
          <w:lang w:val="tr-TR"/>
        </w:rPr>
        <w:t xml:space="preserve">Katılımı </w:t>
      </w:r>
      <w:r w:rsidRPr="00B563F6">
        <w:rPr>
          <w:rFonts w:asciiTheme="majorHAnsi" w:eastAsia="Times New Roman" w:hAnsiTheme="majorHAnsi" w:cs="Times New Roman"/>
          <w:color w:val="auto"/>
          <w:sz w:val="32"/>
          <w:szCs w:val="32"/>
          <w:lang w:val="tr-TR"/>
        </w:rPr>
        <w:t xml:space="preserve">Ölçeği’nin </w:t>
      </w:r>
      <w:r w:rsidR="00E25639" w:rsidRPr="00B563F6">
        <w:rPr>
          <w:rFonts w:asciiTheme="majorHAnsi" w:eastAsia="Times New Roman" w:hAnsiTheme="majorHAnsi" w:cs="Times New Roman"/>
          <w:color w:val="auto"/>
          <w:sz w:val="32"/>
          <w:szCs w:val="32"/>
          <w:lang w:val="tr-TR"/>
        </w:rPr>
        <w:t xml:space="preserve">Fen </w:t>
      </w:r>
      <w:r w:rsidR="00DF0AF1" w:rsidRPr="00B563F6">
        <w:rPr>
          <w:rFonts w:asciiTheme="majorHAnsi" w:eastAsia="Times New Roman" w:hAnsiTheme="majorHAnsi" w:cs="Times New Roman"/>
          <w:color w:val="auto"/>
          <w:sz w:val="32"/>
          <w:szCs w:val="32"/>
          <w:lang w:val="tr-TR"/>
        </w:rPr>
        <w:t>Bilimleri Dersi için Türkçe’ye</w:t>
      </w:r>
      <w:r w:rsidRPr="00B563F6">
        <w:rPr>
          <w:rFonts w:asciiTheme="majorHAnsi" w:eastAsia="Times New Roman" w:hAnsiTheme="majorHAnsi" w:cs="Times New Roman"/>
          <w:color w:val="auto"/>
          <w:sz w:val="32"/>
          <w:szCs w:val="32"/>
          <w:lang w:val="tr-TR"/>
        </w:rPr>
        <w:t xml:space="preserve"> Uyarlanması: Geçerlik ve Güvenirlik Çalışması</w:t>
      </w:r>
    </w:p>
    <w:p w:rsidR="008F7483" w:rsidRPr="004F2584" w:rsidRDefault="008F7483" w:rsidP="00B563F6">
      <w:pPr>
        <w:spacing w:after="0" w:line="240" w:lineRule="auto"/>
        <w:jc w:val="both"/>
        <w:rPr>
          <w:rFonts w:asciiTheme="majorHAnsi" w:hAnsiTheme="majorHAnsi"/>
          <w:i/>
          <w:sz w:val="20"/>
          <w:szCs w:val="20"/>
        </w:rPr>
      </w:pPr>
      <w:proofErr w:type="spellStart"/>
      <w:r w:rsidRPr="004F2584">
        <w:rPr>
          <w:rFonts w:asciiTheme="majorHAnsi" w:hAnsiTheme="majorHAnsi"/>
          <w:b/>
          <w:sz w:val="20"/>
          <w:szCs w:val="20"/>
        </w:rPr>
        <w:t>Fatma</w:t>
      </w:r>
      <w:proofErr w:type="spellEnd"/>
      <w:r w:rsidRPr="004F2584">
        <w:rPr>
          <w:rFonts w:asciiTheme="majorHAnsi" w:hAnsiTheme="majorHAnsi"/>
          <w:b/>
          <w:sz w:val="20"/>
          <w:szCs w:val="20"/>
        </w:rPr>
        <w:t xml:space="preserve"> </w:t>
      </w:r>
      <w:proofErr w:type="spellStart"/>
      <w:r w:rsidRPr="004F2584">
        <w:rPr>
          <w:rFonts w:asciiTheme="majorHAnsi" w:hAnsiTheme="majorHAnsi"/>
          <w:b/>
          <w:sz w:val="20"/>
          <w:szCs w:val="20"/>
        </w:rPr>
        <w:t>Melike</w:t>
      </w:r>
      <w:proofErr w:type="spellEnd"/>
      <w:r w:rsidRPr="004F2584">
        <w:rPr>
          <w:rFonts w:asciiTheme="majorHAnsi" w:hAnsiTheme="majorHAnsi"/>
          <w:b/>
          <w:sz w:val="20"/>
          <w:szCs w:val="20"/>
        </w:rPr>
        <w:t xml:space="preserve"> </w:t>
      </w:r>
      <w:proofErr w:type="spellStart"/>
      <w:r w:rsidRPr="004F2584">
        <w:rPr>
          <w:rFonts w:asciiTheme="majorHAnsi" w:hAnsiTheme="majorHAnsi"/>
          <w:b/>
          <w:sz w:val="20"/>
          <w:szCs w:val="20"/>
        </w:rPr>
        <w:t>Uçar</w:t>
      </w:r>
      <w:proofErr w:type="spellEnd"/>
      <w:r w:rsidRPr="004F2584">
        <w:rPr>
          <w:rFonts w:asciiTheme="majorHAnsi" w:hAnsiTheme="majorHAnsi"/>
          <w:b/>
          <w:sz w:val="20"/>
          <w:szCs w:val="20"/>
        </w:rPr>
        <w:t>,</w:t>
      </w:r>
      <w:r w:rsidRPr="004F2584">
        <w:rPr>
          <w:rFonts w:asciiTheme="majorHAnsi" w:hAnsiTheme="majorHAnsi"/>
          <w:sz w:val="20"/>
          <w:szCs w:val="20"/>
        </w:rPr>
        <w:t xml:space="preserve"> </w:t>
      </w:r>
      <w:r w:rsidRPr="004F2584">
        <w:rPr>
          <w:rFonts w:asciiTheme="majorHAnsi" w:hAnsiTheme="majorHAnsi"/>
          <w:i/>
          <w:sz w:val="20"/>
          <w:szCs w:val="20"/>
        </w:rPr>
        <w:t xml:space="preserve">Hasan </w:t>
      </w:r>
      <w:proofErr w:type="spellStart"/>
      <w:r w:rsidRPr="004F2584">
        <w:rPr>
          <w:rFonts w:asciiTheme="majorHAnsi" w:hAnsiTheme="majorHAnsi"/>
          <w:i/>
          <w:sz w:val="20"/>
          <w:szCs w:val="20"/>
        </w:rPr>
        <w:t>Kalyoncu</w:t>
      </w:r>
      <w:proofErr w:type="spellEnd"/>
      <w:r w:rsidRPr="004F2584">
        <w:rPr>
          <w:rFonts w:asciiTheme="majorHAnsi" w:hAnsiTheme="majorHAnsi"/>
          <w:i/>
          <w:sz w:val="20"/>
          <w:szCs w:val="20"/>
        </w:rPr>
        <w:t xml:space="preserve"> University, </w:t>
      </w:r>
      <w:hyperlink r:id="rId6" w:history="1">
        <w:r w:rsidR="00B563F6" w:rsidRPr="00A719BA">
          <w:rPr>
            <w:rStyle w:val="Hyperlink"/>
            <w:rFonts w:asciiTheme="majorHAnsi" w:hAnsiTheme="majorHAnsi"/>
            <w:i/>
            <w:sz w:val="20"/>
            <w:szCs w:val="20"/>
          </w:rPr>
          <w:t>melike.ucar@hku.edu.tr</w:t>
        </w:r>
      </w:hyperlink>
      <w:r w:rsidR="00B563F6">
        <w:rPr>
          <w:rFonts w:asciiTheme="majorHAnsi" w:hAnsiTheme="majorHAnsi"/>
          <w:i/>
          <w:sz w:val="20"/>
          <w:szCs w:val="20"/>
        </w:rPr>
        <w:t xml:space="preserve"> </w:t>
      </w:r>
    </w:p>
    <w:p w:rsidR="008F7483" w:rsidRPr="008F7483" w:rsidRDefault="008F7483" w:rsidP="008F7483">
      <w:pPr>
        <w:spacing w:after="160" w:line="240" w:lineRule="auto"/>
        <w:jc w:val="both"/>
        <w:rPr>
          <w:rFonts w:asciiTheme="majorHAnsi" w:eastAsia="Times New Roman" w:hAnsiTheme="majorHAnsi" w:cs="Times New Roman"/>
          <w:b/>
          <w:color w:val="auto"/>
          <w:sz w:val="32"/>
          <w:szCs w:val="32"/>
          <w:lang w:val="tr-TR"/>
        </w:rPr>
      </w:pPr>
      <w:proofErr w:type="spellStart"/>
      <w:r w:rsidRPr="004F2584">
        <w:rPr>
          <w:rFonts w:asciiTheme="majorHAnsi" w:hAnsiTheme="majorHAnsi"/>
          <w:b/>
          <w:sz w:val="20"/>
          <w:szCs w:val="20"/>
        </w:rPr>
        <w:t>Semra</w:t>
      </w:r>
      <w:proofErr w:type="spellEnd"/>
      <w:r w:rsidRPr="004F2584">
        <w:rPr>
          <w:rFonts w:asciiTheme="majorHAnsi" w:hAnsiTheme="majorHAnsi"/>
          <w:b/>
          <w:sz w:val="20"/>
          <w:szCs w:val="20"/>
        </w:rPr>
        <w:t xml:space="preserve"> </w:t>
      </w:r>
      <w:proofErr w:type="spellStart"/>
      <w:r w:rsidRPr="004F2584">
        <w:rPr>
          <w:rFonts w:asciiTheme="majorHAnsi" w:hAnsiTheme="majorHAnsi"/>
          <w:b/>
          <w:sz w:val="20"/>
          <w:szCs w:val="20"/>
        </w:rPr>
        <w:t>Sungur</w:t>
      </w:r>
      <w:proofErr w:type="spellEnd"/>
      <w:r w:rsidRPr="004F2584">
        <w:rPr>
          <w:rFonts w:asciiTheme="majorHAnsi" w:hAnsiTheme="majorHAnsi"/>
          <w:sz w:val="20"/>
          <w:szCs w:val="20"/>
        </w:rPr>
        <w:t xml:space="preserve">, </w:t>
      </w:r>
      <w:r w:rsidRPr="004F2584">
        <w:rPr>
          <w:rFonts w:asciiTheme="majorHAnsi" w:hAnsiTheme="majorHAnsi"/>
          <w:i/>
          <w:sz w:val="20"/>
          <w:szCs w:val="20"/>
        </w:rPr>
        <w:t xml:space="preserve">Middle East Technical University, </w:t>
      </w:r>
      <w:hyperlink r:id="rId7" w:history="1">
        <w:r w:rsidR="00B563F6" w:rsidRPr="00A719BA">
          <w:rPr>
            <w:rStyle w:val="Hyperlink"/>
            <w:rFonts w:asciiTheme="majorHAnsi" w:hAnsiTheme="majorHAnsi"/>
            <w:i/>
            <w:sz w:val="20"/>
            <w:szCs w:val="20"/>
          </w:rPr>
          <w:t>ssungur@metu.edu.tr</w:t>
        </w:r>
      </w:hyperlink>
      <w:r w:rsidR="00B563F6">
        <w:rPr>
          <w:rFonts w:asciiTheme="majorHAnsi" w:hAnsiTheme="majorHAnsi"/>
          <w:i/>
          <w:sz w:val="20"/>
          <w:szCs w:val="20"/>
        </w:rPr>
        <w:t xml:space="preserve"> </w:t>
      </w:r>
    </w:p>
    <w:p w:rsidR="0075576C" w:rsidRDefault="00B563F6" w:rsidP="008B5E11">
      <w:pPr>
        <w:spacing w:after="0" w:line="240" w:lineRule="auto"/>
        <w:jc w:val="both"/>
        <w:rPr>
          <w:rFonts w:asciiTheme="majorHAnsi" w:eastAsia="PalatinoLinotype-Roman" w:hAnsiTheme="majorHAnsi" w:cs="Times New Roman"/>
          <w:sz w:val="20"/>
          <w:szCs w:val="20"/>
        </w:rPr>
      </w:pPr>
      <w:r w:rsidRPr="004F2584">
        <w:rPr>
          <w:rFonts w:asciiTheme="majorHAnsi" w:hAnsiTheme="majorHAnsi" w:cs="Times New Roman"/>
          <w:b/>
          <w:color w:val="auto"/>
          <w:sz w:val="20"/>
          <w:szCs w:val="20"/>
          <w:highlight w:val="white"/>
        </w:rPr>
        <w:t>Abstract</w:t>
      </w:r>
      <w:r w:rsidR="004F2584" w:rsidRPr="004F2584">
        <w:rPr>
          <w:rFonts w:asciiTheme="majorHAnsi" w:hAnsiTheme="majorHAnsi" w:cs="Times New Roman"/>
          <w:b/>
          <w:color w:val="auto"/>
          <w:sz w:val="20"/>
          <w:szCs w:val="20"/>
          <w:highlight w:val="white"/>
        </w:rPr>
        <w:t>.</w:t>
      </w:r>
      <w:r w:rsidR="004F2584" w:rsidRPr="004F2584">
        <w:rPr>
          <w:rFonts w:asciiTheme="majorHAnsi" w:hAnsiTheme="majorHAnsi" w:cs="Times New Roman"/>
          <w:b/>
          <w:color w:val="auto"/>
          <w:sz w:val="20"/>
          <w:szCs w:val="20"/>
        </w:rPr>
        <w:t xml:space="preserve"> </w:t>
      </w:r>
      <w:r w:rsidR="0075576C" w:rsidRPr="004F2584">
        <w:rPr>
          <w:rFonts w:asciiTheme="majorHAnsi" w:eastAsia="Times New Roman" w:hAnsiTheme="majorHAnsi" w:cs="Times New Roman"/>
          <w:sz w:val="20"/>
          <w:szCs w:val="20"/>
        </w:rPr>
        <w:t xml:space="preserve">The aim of this research was to adapt </w:t>
      </w:r>
      <w:r w:rsidR="0079320D" w:rsidRPr="004F2584">
        <w:rPr>
          <w:rFonts w:asciiTheme="majorHAnsi" w:eastAsia="Times New Roman" w:hAnsiTheme="majorHAnsi" w:cs="Times New Roman"/>
          <w:sz w:val="20"/>
          <w:szCs w:val="20"/>
        </w:rPr>
        <w:t xml:space="preserve">the </w:t>
      </w:r>
      <w:r w:rsidR="0075576C" w:rsidRPr="004F2584">
        <w:rPr>
          <w:rFonts w:asciiTheme="majorHAnsi" w:eastAsia="Times New Roman" w:hAnsiTheme="majorHAnsi" w:cs="Times New Roman"/>
          <w:sz w:val="20"/>
          <w:szCs w:val="20"/>
        </w:rPr>
        <w:t xml:space="preserve">Engagement Questionnaire </w:t>
      </w:r>
      <w:r w:rsidR="0079320D" w:rsidRPr="004F2584">
        <w:rPr>
          <w:rFonts w:asciiTheme="majorHAnsi" w:eastAsia="Times New Roman" w:hAnsiTheme="majorHAnsi" w:cs="Times New Roman"/>
          <w:sz w:val="20"/>
          <w:szCs w:val="20"/>
        </w:rPr>
        <w:t xml:space="preserve">in four dimensions (i.e. behavioral, emotional, cognitive, and agentic engagement) </w:t>
      </w:r>
      <w:r w:rsidR="0075576C" w:rsidRPr="004F2584">
        <w:rPr>
          <w:rFonts w:asciiTheme="majorHAnsi" w:eastAsia="Times New Roman" w:hAnsiTheme="majorHAnsi" w:cs="Times New Roman"/>
          <w:sz w:val="20"/>
          <w:szCs w:val="20"/>
        </w:rPr>
        <w:t>to Turkish</w:t>
      </w:r>
      <w:r w:rsidR="00E25639">
        <w:rPr>
          <w:rFonts w:asciiTheme="majorHAnsi" w:eastAsia="Times New Roman" w:hAnsiTheme="majorHAnsi" w:cs="Times New Roman"/>
          <w:sz w:val="20"/>
          <w:szCs w:val="20"/>
        </w:rPr>
        <w:t xml:space="preserve"> </w:t>
      </w:r>
      <w:r w:rsidR="00DF0AF1">
        <w:rPr>
          <w:rFonts w:asciiTheme="majorHAnsi" w:eastAsia="Times New Roman" w:hAnsiTheme="majorHAnsi" w:cs="Times New Roman"/>
          <w:sz w:val="20"/>
          <w:szCs w:val="20"/>
        </w:rPr>
        <w:t>to be used in</w:t>
      </w:r>
      <w:r w:rsidR="00E25639">
        <w:rPr>
          <w:rFonts w:asciiTheme="majorHAnsi" w:eastAsia="Times New Roman" w:hAnsiTheme="majorHAnsi" w:cs="Times New Roman"/>
          <w:sz w:val="20"/>
          <w:szCs w:val="20"/>
        </w:rPr>
        <w:t xml:space="preserve"> science</w:t>
      </w:r>
      <w:r w:rsidR="00DF0AF1">
        <w:rPr>
          <w:rFonts w:asciiTheme="majorHAnsi" w:eastAsia="Times New Roman" w:hAnsiTheme="majorHAnsi" w:cs="Times New Roman"/>
          <w:sz w:val="20"/>
          <w:szCs w:val="20"/>
        </w:rPr>
        <w:t xml:space="preserve"> classes</w:t>
      </w:r>
      <w:r w:rsidR="0079320D" w:rsidRPr="004F2584">
        <w:rPr>
          <w:rFonts w:asciiTheme="majorHAnsi" w:eastAsia="Times New Roman" w:hAnsiTheme="majorHAnsi" w:cs="Times New Roman"/>
          <w:sz w:val="20"/>
          <w:szCs w:val="20"/>
        </w:rPr>
        <w:t>.</w:t>
      </w:r>
      <w:r w:rsidR="0075576C" w:rsidRPr="004F2584">
        <w:rPr>
          <w:rFonts w:asciiTheme="majorHAnsi" w:eastAsia="Times New Roman" w:hAnsiTheme="majorHAnsi" w:cs="Times New Roman"/>
          <w:sz w:val="20"/>
          <w:szCs w:val="20"/>
        </w:rPr>
        <w:t xml:space="preserve"> For this purpose, </w:t>
      </w:r>
      <w:r w:rsidR="0079320D" w:rsidRPr="004F2584">
        <w:rPr>
          <w:rFonts w:asciiTheme="majorHAnsi" w:eastAsia="Times New Roman" w:hAnsiTheme="majorHAnsi" w:cs="Times New Roman"/>
          <w:sz w:val="20"/>
          <w:szCs w:val="20"/>
        </w:rPr>
        <w:t>firstly a pilot study was conducte</w:t>
      </w:r>
      <w:r w:rsidR="00D34791" w:rsidRPr="004F2584">
        <w:rPr>
          <w:rFonts w:asciiTheme="majorHAnsi" w:eastAsia="Times New Roman" w:hAnsiTheme="majorHAnsi" w:cs="Times New Roman"/>
          <w:sz w:val="20"/>
          <w:szCs w:val="20"/>
        </w:rPr>
        <w:t>d with 153 middle school students</w:t>
      </w:r>
      <w:r w:rsidR="0079320D" w:rsidRPr="004F2584">
        <w:rPr>
          <w:rFonts w:asciiTheme="majorHAnsi" w:eastAsia="Times New Roman" w:hAnsiTheme="majorHAnsi" w:cs="Times New Roman"/>
          <w:sz w:val="20"/>
          <w:szCs w:val="20"/>
        </w:rPr>
        <w:t xml:space="preserve">, then the main study was conducted with 744 middle school students.  Both studies supported four-factor structure of Turkish version of the EQ. In addition, reliabilities </w:t>
      </w:r>
      <w:r w:rsidR="0052387C" w:rsidRPr="004F2584">
        <w:rPr>
          <w:rFonts w:asciiTheme="majorHAnsi" w:eastAsia="Times New Roman" w:hAnsiTheme="majorHAnsi" w:cs="Times New Roman"/>
          <w:sz w:val="20"/>
          <w:szCs w:val="20"/>
        </w:rPr>
        <w:t>s</w:t>
      </w:r>
      <w:r w:rsidR="0079320D" w:rsidRPr="004F2584">
        <w:rPr>
          <w:rFonts w:asciiTheme="majorHAnsi" w:eastAsia="Times New Roman" w:hAnsiTheme="majorHAnsi" w:cs="Times New Roman"/>
          <w:sz w:val="20"/>
          <w:szCs w:val="20"/>
        </w:rPr>
        <w:t xml:space="preserve">eemed to be sufficient. </w:t>
      </w:r>
      <w:r w:rsidR="0079320D" w:rsidRPr="004F2584">
        <w:rPr>
          <w:rFonts w:asciiTheme="majorHAnsi" w:hAnsiTheme="majorHAnsi" w:cs="Times New Roman"/>
          <w:sz w:val="20"/>
          <w:szCs w:val="20"/>
        </w:rPr>
        <w:t>T</w:t>
      </w:r>
      <w:r w:rsidR="0075576C" w:rsidRPr="004F2584">
        <w:rPr>
          <w:rFonts w:asciiTheme="majorHAnsi" w:hAnsiTheme="majorHAnsi" w:cs="Times New Roman"/>
          <w:sz w:val="20"/>
          <w:szCs w:val="20"/>
        </w:rPr>
        <w:t>he results concerning the measurement invariance across gender revealed the data from both genders lead to equally valid conclusions regarding their engagement levels. Consequently, t</w:t>
      </w:r>
      <w:r w:rsidR="0075576C" w:rsidRPr="004F2584">
        <w:rPr>
          <w:rFonts w:asciiTheme="majorHAnsi" w:eastAsia="Times New Roman" w:hAnsiTheme="majorHAnsi" w:cs="Times New Roman"/>
          <w:sz w:val="20"/>
          <w:szCs w:val="20"/>
        </w:rPr>
        <w:t xml:space="preserve">he findings of this study indicated that </w:t>
      </w:r>
      <w:r w:rsidR="0075576C" w:rsidRPr="004F2584">
        <w:rPr>
          <w:rFonts w:asciiTheme="majorHAnsi" w:eastAsia="PalatinoLinotype-Roman" w:hAnsiTheme="majorHAnsi" w:cs="Times New Roman"/>
          <w:sz w:val="20"/>
          <w:szCs w:val="20"/>
        </w:rPr>
        <w:t xml:space="preserve">the Turkish version of EQ </w:t>
      </w:r>
      <w:r w:rsidR="0079320D" w:rsidRPr="004F2584">
        <w:rPr>
          <w:rFonts w:asciiTheme="majorHAnsi" w:eastAsia="PalatinoLinotype-Roman" w:hAnsiTheme="majorHAnsi" w:cs="Times New Roman"/>
          <w:sz w:val="20"/>
          <w:szCs w:val="20"/>
        </w:rPr>
        <w:t xml:space="preserve">appears to be </w:t>
      </w:r>
      <w:r w:rsidR="0075576C" w:rsidRPr="004F2584">
        <w:rPr>
          <w:rFonts w:asciiTheme="majorHAnsi" w:eastAsia="PalatinoLinotype-Roman" w:hAnsiTheme="majorHAnsi" w:cs="Times New Roman"/>
          <w:sz w:val="20"/>
          <w:szCs w:val="20"/>
        </w:rPr>
        <w:t>a valid and reliable instrument to measure and understand the middle school students’ engagement level in science classes.</w:t>
      </w:r>
    </w:p>
    <w:p w:rsidR="00B563F6" w:rsidRPr="004F2584" w:rsidRDefault="00B563F6" w:rsidP="008B5E11">
      <w:pPr>
        <w:spacing w:after="0" w:line="240" w:lineRule="auto"/>
        <w:jc w:val="both"/>
        <w:rPr>
          <w:rFonts w:asciiTheme="majorHAnsi" w:eastAsiaTheme="minorHAnsi" w:hAnsiTheme="majorHAnsi" w:cs="Times New Roman"/>
          <w:sz w:val="20"/>
          <w:szCs w:val="20"/>
        </w:rPr>
      </w:pPr>
    </w:p>
    <w:p w:rsidR="0075576C" w:rsidRDefault="00B41093" w:rsidP="00B37855">
      <w:pPr>
        <w:spacing w:after="0" w:line="240" w:lineRule="auto"/>
        <w:rPr>
          <w:rFonts w:asciiTheme="majorHAnsi" w:hAnsiTheme="majorHAnsi" w:cs="Times New Roman"/>
          <w:color w:val="auto"/>
          <w:sz w:val="20"/>
          <w:szCs w:val="20"/>
        </w:rPr>
      </w:pPr>
      <w:r w:rsidRPr="004F2584">
        <w:rPr>
          <w:rFonts w:asciiTheme="majorHAnsi" w:hAnsiTheme="majorHAnsi" w:cs="Times New Roman"/>
          <w:b/>
          <w:color w:val="auto"/>
          <w:sz w:val="20"/>
          <w:szCs w:val="20"/>
          <w:highlight w:val="white"/>
        </w:rPr>
        <w:t>Keywords</w:t>
      </w:r>
      <w:r w:rsidR="00B563F6">
        <w:rPr>
          <w:rFonts w:asciiTheme="majorHAnsi" w:hAnsiTheme="majorHAnsi" w:cs="Times New Roman"/>
          <w:b/>
          <w:color w:val="auto"/>
          <w:sz w:val="20"/>
          <w:szCs w:val="20"/>
        </w:rPr>
        <w:t xml:space="preserve">: </w:t>
      </w:r>
      <w:r w:rsidR="0075576C" w:rsidRPr="004F2584">
        <w:rPr>
          <w:rFonts w:asciiTheme="majorHAnsi" w:hAnsiTheme="majorHAnsi" w:cs="Times New Roman"/>
          <w:color w:val="auto"/>
          <w:sz w:val="20"/>
          <w:szCs w:val="20"/>
        </w:rPr>
        <w:t>Student Engagement, Validity, Reliability, Confirmatory Factor Analysis, Measurement Invariance across Gender</w:t>
      </w:r>
    </w:p>
    <w:p w:rsidR="004F2584" w:rsidRDefault="004F2584" w:rsidP="00B563F6">
      <w:pPr>
        <w:pBdr>
          <w:bottom w:val="single" w:sz="4" w:space="1" w:color="auto"/>
        </w:pBdr>
        <w:spacing w:after="0" w:line="240" w:lineRule="auto"/>
        <w:rPr>
          <w:rFonts w:asciiTheme="majorHAnsi" w:hAnsiTheme="majorHAnsi" w:cs="Times New Roman"/>
          <w:color w:val="auto"/>
          <w:sz w:val="20"/>
          <w:szCs w:val="20"/>
        </w:rPr>
      </w:pPr>
    </w:p>
    <w:p w:rsidR="00B563F6" w:rsidRDefault="00B563F6" w:rsidP="00B37855">
      <w:pPr>
        <w:spacing w:after="0" w:line="240" w:lineRule="auto"/>
        <w:jc w:val="both"/>
        <w:rPr>
          <w:rFonts w:asciiTheme="majorHAnsi" w:eastAsia="Times New Roman" w:hAnsiTheme="majorHAnsi" w:cs="Times New Roman"/>
          <w:b/>
          <w:color w:val="auto"/>
          <w:sz w:val="20"/>
          <w:szCs w:val="20"/>
          <w:lang w:val="tr-TR"/>
        </w:rPr>
      </w:pPr>
    </w:p>
    <w:p w:rsidR="004F2584" w:rsidRDefault="00B563F6" w:rsidP="00B37855">
      <w:pPr>
        <w:spacing w:after="0" w:line="240" w:lineRule="auto"/>
        <w:jc w:val="both"/>
        <w:rPr>
          <w:rFonts w:asciiTheme="majorHAnsi" w:hAnsiTheme="majorHAnsi" w:cs="Times New Roman"/>
          <w:color w:val="auto"/>
          <w:sz w:val="20"/>
          <w:szCs w:val="20"/>
          <w:lang w:val="tr-TR"/>
        </w:rPr>
      </w:pPr>
      <w:r>
        <w:rPr>
          <w:rFonts w:asciiTheme="majorHAnsi" w:eastAsia="Times New Roman" w:hAnsiTheme="majorHAnsi" w:cs="Times New Roman"/>
          <w:b/>
          <w:color w:val="auto"/>
          <w:sz w:val="20"/>
          <w:szCs w:val="20"/>
          <w:lang w:val="tr-TR"/>
        </w:rPr>
        <w:t>Öz</w:t>
      </w:r>
      <w:r w:rsidR="004F2584" w:rsidRPr="004F2584">
        <w:rPr>
          <w:rFonts w:asciiTheme="majorHAnsi" w:eastAsia="Times New Roman" w:hAnsiTheme="majorHAnsi" w:cs="Times New Roman"/>
          <w:b/>
          <w:color w:val="auto"/>
          <w:sz w:val="20"/>
          <w:szCs w:val="20"/>
          <w:lang w:val="tr-TR"/>
        </w:rPr>
        <w:t xml:space="preserve">. </w:t>
      </w:r>
      <w:r w:rsidR="004F2584" w:rsidRPr="004F2584">
        <w:rPr>
          <w:rFonts w:asciiTheme="majorHAnsi" w:eastAsia="Times New Roman" w:hAnsiTheme="majorHAnsi" w:cs="Times New Roman"/>
          <w:color w:val="auto"/>
          <w:sz w:val="20"/>
          <w:szCs w:val="20"/>
          <w:lang w:val="tr-TR"/>
        </w:rPr>
        <w:t xml:space="preserve">Bu araştırmanın amacı, davranışsal, duygusal, bilişsel ve aracı </w:t>
      </w:r>
      <w:r w:rsidR="00DF0AF1">
        <w:rPr>
          <w:rFonts w:asciiTheme="majorHAnsi" w:eastAsia="Times New Roman" w:hAnsiTheme="majorHAnsi" w:cs="Times New Roman"/>
          <w:color w:val="auto"/>
          <w:sz w:val="20"/>
          <w:szCs w:val="20"/>
          <w:lang w:val="tr-TR"/>
        </w:rPr>
        <w:t>katılım</w:t>
      </w:r>
      <w:r w:rsidR="00DF0AF1" w:rsidRPr="004F2584">
        <w:rPr>
          <w:rFonts w:asciiTheme="majorHAnsi" w:eastAsia="Times New Roman" w:hAnsiTheme="majorHAnsi" w:cs="Times New Roman"/>
          <w:color w:val="auto"/>
          <w:sz w:val="20"/>
          <w:szCs w:val="20"/>
          <w:lang w:val="tr-TR"/>
        </w:rPr>
        <w:t xml:space="preserve"> </w:t>
      </w:r>
      <w:r w:rsidR="004F2584" w:rsidRPr="004F2584">
        <w:rPr>
          <w:rFonts w:asciiTheme="majorHAnsi" w:eastAsia="Times New Roman" w:hAnsiTheme="majorHAnsi" w:cs="Times New Roman"/>
          <w:color w:val="auto"/>
          <w:sz w:val="20"/>
          <w:szCs w:val="20"/>
          <w:lang w:val="tr-TR"/>
        </w:rPr>
        <w:t xml:space="preserve">olmak üzere dört alt boyuttan oluşan </w:t>
      </w:r>
      <w:r w:rsidR="00DF0AF1">
        <w:rPr>
          <w:rFonts w:asciiTheme="majorHAnsi" w:eastAsia="Times New Roman" w:hAnsiTheme="majorHAnsi" w:cs="Times New Roman"/>
          <w:color w:val="auto"/>
          <w:sz w:val="20"/>
          <w:szCs w:val="20"/>
          <w:lang w:val="tr-TR"/>
        </w:rPr>
        <w:t>Katılım</w:t>
      </w:r>
      <w:r w:rsidR="00DF0AF1" w:rsidRPr="004F2584">
        <w:rPr>
          <w:rFonts w:asciiTheme="majorHAnsi" w:eastAsia="Times New Roman" w:hAnsiTheme="majorHAnsi" w:cs="Times New Roman"/>
          <w:color w:val="auto"/>
          <w:sz w:val="20"/>
          <w:szCs w:val="20"/>
          <w:lang w:val="tr-TR"/>
        </w:rPr>
        <w:t xml:space="preserve"> </w:t>
      </w:r>
      <w:r w:rsidR="004F2584" w:rsidRPr="004F2584">
        <w:rPr>
          <w:rFonts w:asciiTheme="majorHAnsi" w:eastAsia="Times New Roman" w:hAnsiTheme="majorHAnsi" w:cs="Times New Roman"/>
          <w:color w:val="auto"/>
          <w:sz w:val="20"/>
          <w:szCs w:val="20"/>
          <w:lang w:val="tr-TR"/>
        </w:rPr>
        <w:t xml:space="preserve">Ölçeği’ni </w:t>
      </w:r>
      <w:r w:rsidR="00DF0AF1">
        <w:rPr>
          <w:rFonts w:asciiTheme="majorHAnsi" w:eastAsia="Times New Roman" w:hAnsiTheme="majorHAnsi" w:cs="Times New Roman"/>
          <w:color w:val="auto"/>
          <w:sz w:val="20"/>
          <w:szCs w:val="20"/>
          <w:lang w:val="tr-TR"/>
        </w:rPr>
        <w:t xml:space="preserve">fen bilimleri dersinde kullanılmak üzere </w:t>
      </w:r>
      <w:r w:rsidR="004F2584" w:rsidRPr="004F2584">
        <w:rPr>
          <w:rFonts w:asciiTheme="majorHAnsi" w:eastAsia="Times New Roman" w:hAnsiTheme="majorHAnsi" w:cs="Times New Roman"/>
          <w:color w:val="auto"/>
          <w:sz w:val="20"/>
          <w:szCs w:val="20"/>
          <w:lang w:val="tr-TR"/>
        </w:rPr>
        <w:t>Türkçe’ye uyarlayarak geçerlik ve güvenirliğini test etmektir. Bu amaçla ölçek</w:t>
      </w:r>
      <w:r w:rsidR="008F7483">
        <w:rPr>
          <w:rFonts w:asciiTheme="majorHAnsi" w:eastAsia="Times New Roman" w:hAnsiTheme="majorHAnsi" w:cs="Times New Roman"/>
          <w:color w:val="auto"/>
          <w:sz w:val="20"/>
          <w:szCs w:val="20"/>
          <w:lang w:val="tr-TR"/>
        </w:rPr>
        <w:t>,</w:t>
      </w:r>
      <w:r w:rsidR="004F2584" w:rsidRPr="004F2584">
        <w:rPr>
          <w:rFonts w:asciiTheme="majorHAnsi" w:eastAsia="Times New Roman" w:hAnsiTheme="majorHAnsi" w:cs="Times New Roman"/>
          <w:color w:val="auto"/>
          <w:sz w:val="20"/>
          <w:szCs w:val="20"/>
          <w:lang w:val="tr-TR"/>
        </w:rPr>
        <w:t xml:space="preserve"> Türkiye’deki ortaokullardan seçilen 153 öğrenciye uygulanarak pilot çalışma yapılmış, ardından 744 öğrenciye uygulanarak ana çalışma yapılmıştır. Her iki çalışmada da </w:t>
      </w:r>
      <w:r w:rsidR="004F2584" w:rsidRPr="004F2584">
        <w:rPr>
          <w:rFonts w:asciiTheme="majorHAnsi" w:hAnsiTheme="majorHAnsi" w:cs="Times New Roman"/>
          <w:color w:val="auto"/>
          <w:sz w:val="20"/>
          <w:szCs w:val="20"/>
          <w:lang w:val="tr-TR"/>
        </w:rPr>
        <w:t xml:space="preserve">yapılan doğrulayıcı faktör analizi sonuçlarında </w:t>
      </w:r>
      <w:r w:rsidR="004F2584" w:rsidRPr="004F2584">
        <w:rPr>
          <w:rFonts w:asciiTheme="majorHAnsi" w:eastAsia="Times New Roman" w:hAnsiTheme="majorHAnsi" w:cs="Times New Roman"/>
          <w:color w:val="auto"/>
          <w:sz w:val="20"/>
          <w:szCs w:val="20"/>
          <w:lang w:val="tr-TR"/>
        </w:rPr>
        <w:t>tüm maddeler özgün formunda yer aldıkları faktörlerde toplanmıştır</w:t>
      </w:r>
      <w:r w:rsidR="004F2584" w:rsidRPr="004F2584">
        <w:rPr>
          <w:rFonts w:asciiTheme="majorHAnsi" w:hAnsiTheme="majorHAnsi" w:cs="Times New Roman"/>
          <w:color w:val="auto"/>
          <w:sz w:val="20"/>
          <w:szCs w:val="20"/>
          <w:lang w:val="tr-TR"/>
        </w:rPr>
        <w:t>. İç tutarlığın yeterli düzeyde olduğu bulunmuştur. Ayrıca,</w:t>
      </w:r>
      <w:r w:rsidR="004F2584" w:rsidRPr="004F2584">
        <w:rPr>
          <w:rFonts w:asciiTheme="majorHAnsi" w:eastAsia="Times New Roman" w:hAnsiTheme="majorHAnsi" w:cs="Times New Roman"/>
          <w:color w:val="auto"/>
          <w:sz w:val="20"/>
          <w:szCs w:val="20"/>
          <w:lang w:val="tr-TR"/>
        </w:rPr>
        <w:t xml:space="preserve"> y</w:t>
      </w:r>
      <w:r w:rsidR="004F2584" w:rsidRPr="004F2584">
        <w:rPr>
          <w:rFonts w:asciiTheme="majorHAnsi" w:hAnsiTheme="majorHAnsi" w:cs="Times New Roman"/>
          <w:color w:val="auto"/>
          <w:sz w:val="20"/>
          <w:szCs w:val="20"/>
          <w:lang w:val="tr-TR"/>
        </w:rPr>
        <w:t xml:space="preserve">apılan ölçme değişmezliği analizi, ölçeğin kızlar ve erkekler için değişmezlik gösterdiğini ortaya koymuştur. Sonuç olarak, bu çalışma </w:t>
      </w:r>
      <w:r w:rsidR="000417EB">
        <w:rPr>
          <w:rFonts w:asciiTheme="majorHAnsi" w:hAnsiTheme="majorHAnsi" w:cs="Times New Roman"/>
          <w:color w:val="auto"/>
          <w:sz w:val="20"/>
          <w:szCs w:val="20"/>
          <w:lang w:val="tr-TR"/>
        </w:rPr>
        <w:t>Katılım Ö</w:t>
      </w:r>
      <w:r w:rsidR="004F2584" w:rsidRPr="004F2584">
        <w:rPr>
          <w:rFonts w:asciiTheme="majorHAnsi" w:hAnsiTheme="majorHAnsi" w:cs="Times New Roman"/>
          <w:color w:val="auto"/>
          <w:sz w:val="20"/>
          <w:szCs w:val="20"/>
          <w:lang w:val="tr-TR"/>
        </w:rPr>
        <w:t xml:space="preserve">lçeği’nin Türkçe formunun geçerli ve güvenilir bir ölçek olarak ortaokul öğrencilerinin fen derslerindeki </w:t>
      </w:r>
      <w:r w:rsidR="00E8762A">
        <w:rPr>
          <w:rFonts w:asciiTheme="majorHAnsi" w:hAnsiTheme="majorHAnsi" w:cs="Times New Roman"/>
          <w:color w:val="auto"/>
          <w:sz w:val="20"/>
          <w:szCs w:val="20"/>
          <w:lang w:val="tr-TR"/>
        </w:rPr>
        <w:t>katılımlarının</w:t>
      </w:r>
      <w:r w:rsidR="00E8762A" w:rsidRPr="004F2584">
        <w:rPr>
          <w:rFonts w:asciiTheme="majorHAnsi" w:hAnsiTheme="majorHAnsi" w:cs="Times New Roman"/>
          <w:color w:val="auto"/>
          <w:sz w:val="20"/>
          <w:szCs w:val="20"/>
          <w:lang w:val="tr-TR"/>
        </w:rPr>
        <w:t xml:space="preserve"> </w:t>
      </w:r>
      <w:r w:rsidR="004F2584" w:rsidRPr="004F2584">
        <w:rPr>
          <w:rFonts w:asciiTheme="majorHAnsi" w:hAnsiTheme="majorHAnsi" w:cs="Times New Roman"/>
          <w:color w:val="auto"/>
          <w:sz w:val="20"/>
          <w:szCs w:val="20"/>
          <w:lang w:val="tr-TR"/>
        </w:rPr>
        <w:t>her bir boyutunu ölçmek için ku</w:t>
      </w:r>
      <w:r>
        <w:rPr>
          <w:rFonts w:asciiTheme="majorHAnsi" w:hAnsiTheme="majorHAnsi" w:cs="Times New Roman"/>
          <w:color w:val="auto"/>
          <w:sz w:val="20"/>
          <w:szCs w:val="20"/>
          <w:lang w:val="tr-TR"/>
        </w:rPr>
        <w:t>llanılabileceğini önermektedir.</w:t>
      </w:r>
    </w:p>
    <w:p w:rsidR="00B563F6" w:rsidRDefault="00B563F6" w:rsidP="00B37855">
      <w:pPr>
        <w:spacing w:after="0" w:line="240" w:lineRule="auto"/>
        <w:jc w:val="both"/>
        <w:rPr>
          <w:rFonts w:asciiTheme="majorHAnsi" w:hAnsiTheme="majorHAnsi" w:cs="Times New Roman"/>
          <w:color w:val="auto"/>
          <w:sz w:val="20"/>
          <w:szCs w:val="20"/>
          <w:lang w:val="tr-TR"/>
        </w:rPr>
      </w:pPr>
    </w:p>
    <w:p w:rsidR="004F2584" w:rsidRPr="004F2584" w:rsidRDefault="004F2584" w:rsidP="00B37855">
      <w:pPr>
        <w:spacing w:line="240" w:lineRule="auto"/>
        <w:jc w:val="both"/>
        <w:rPr>
          <w:rFonts w:asciiTheme="majorHAnsi" w:hAnsiTheme="majorHAnsi" w:cs="Times New Roman"/>
          <w:color w:val="auto"/>
          <w:sz w:val="20"/>
          <w:szCs w:val="20"/>
          <w:lang w:val="tr-TR"/>
        </w:rPr>
      </w:pPr>
      <w:r w:rsidRPr="004F2584">
        <w:rPr>
          <w:rFonts w:asciiTheme="majorHAnsi" w:hAnsiTheme="majorHAnsi" w:cs="Times New Roman"/>
          <w:b/>
          <w:color w:val="auto"/>
          <w:sz w:val="20"/>
          <w:szCs w:val="20"/>
          <w:highlight w:val="white"/>
          <w:lang w:val="tr-TR"/>
        </w:rPr>
        <w:t xml:space="preserve">Anahtar </w:t>
      </w:r>
      <w:r w:rsidR="00B563F6">
        <w:rPr>
          <w:rFonts w:asciiTheme="majorHAnsi" w:hAnsiTheme="majorHAnsi" w:cs="Times New Roman"/>
          <w:b/>
          <w:color w:val="auto"/>
          <w:sz w:val="20"/>
          <w:szCs w:val="20"/>
          <w:lang w:val="tr-TR"/>
        </w:rPr>
        <w:t>Sözcükler:</w:t>
      </w:r>
      <w:r w:rsidRPr="004F2584">
        <w:rPr>
          <w:rFonts w:asciiTheme="majorHAnsi" w:hAnsiTheme="majorHAnsi" w:cs="Times New Roman"/>
          <w:color w:val="auto"/>
          <w:sz w:val="20"/>
          <w:szCs w:val="20"/>
          <w:lang w:val="tr-TR"/>
        </w:rPr>
        <w:t xml:space="preserve"> </w:t>
      </w:r>
      <w:r w:rsidRPr="004F2584">
        <w:rPr>
          <w:rFonts w:asciiTheme="majorHAnsi" w:hAnsiTheme="majorHAnsi" w:cs="Times New Roman"/>
          <w:color w:val="auto"/>
          <w:sz w:val="20"/>
          <w:szCs w:val="20"/>
          <w:highlight w:val="white"/>
          <w:lang w:val="tr-TR"/>
        </w:rPr>
        <w:t xml:space="preserve">Öğrenci </w:t>
      </w:r>
      <w:r w:rsidR="00D63187">
        <w:rPr>
          <w:rFonts w:asciiTheme="majorHAnsi" w:hAnsiTheme="majorHAnsi" w:cs="Times New Roman"/>
          <w:color w:val="auto"/>
          <w:sz w:val="20"/>
          <w:szCs w:val="20"/>
          <w:highlight w:val="white"/>
          <w:lang w:val="tr-TR"/>
        </w:rPr>
        <w:t>Katılımı</w:t>
      </w:r>
      <w:r w:rsidRPr="004F2584">
        <w:rPr>
          <w:rFonts w:asciiTheme="majorHAnsi" w:hAnsiTheme="majorHAnsi" w:cs="Times New Roman"/>
          <w:color w:val="auto"/>
          <w:sz w:val="20"/>
          <w:szCs w:val="20"/>
          <w:highlight w:val="white"/>
          <w:lang w:val="tr-TR"/>
        </w:rPr>
        <w:t>, Geçerlik, Güvenirlik, Doğrulayıcı Faktör Analizi, Ölç</w:t>
      </w:r>
      <w:r w:rsidR="008F7483">
        <w:rPr>
          <w:rFonts w:asciiTheme="majorHAnsi" w:hAnsiTheme="majorHAnsi" w:cs="Times New Roman"/>
          <w:color w:val="auto"/>
          <w:sz w:val="20"/>
          <w:szCs w:val="20"/>
          <w:highlight w:val="white"/>
          <w:lang w:val="tr-TR"/>
        </w:rPr>
        <w:t>me</w:t>
      </w:r>
      <w:r w:rsidRPr="004F2584">
        <w:rPr>
          <w:rFonts w:asciiTheme="majorHAnsi" w:hAnsiTheme="majorHAnsi" w:cs="Times New Roman"/>
          <w:color w:val="auto"/>
          <w:sz w:val="20"/>
          <w:szCs w:val="20"/>
          <w:highlight w:val="white"/>
          <w:lang w:val="tr-TR"/>
        </w:rPr>
        <w:t xml:space="preserve"> Değişmezliği</w:t>
      </w:r>
    </w:p>
    <w:p w:rsidR="00853750" w:rsidRDefault="00853750" w:rsidP="00B37855">
      <w:pPr>
        <w:spacing w:after="0" w:line="240" w:lineRule="auto"/>
        <w:rPr>
          <w:rFonts w:asciiTheme="majorHAnsi" w:eastAsia="Times New Roman" w:hAnsiTheme="majorHAnsi" w:cs="Times New Roman"/>
          <w:b/>
          <w:highlight w:val="white"/>
        </w:rPr>
      </w:pPr>
    </w:p>
    <w:p w:rsidR="00B563F6" w:rsidRDefault="00853750" w:rsidP="00853750">
      <w:pPr>
        <w:tabs>
          <w:tab w:val="center" w:pos="4536"/>
          <w:tab w:val="left" w:pos="6061"/>
        </w:tabs>
        <w:spacing w:after="0" w:line="240" w:lineRule="auto"/>
        <w:rPr>
          <w:rFonts w:asciiTheme="majorHAnsi" w:eastAsia="Times New Roman" w:hAnsiTheme="majorHAnsi" w:cs="Times New Roman"/>
          <w:b/>
          <w:highlight w:val="white"/>
        </w:rPr>
      </w:pPr>
      <w:r>
        <w:rPr>
          <w:rFonts w:asciiTheme="majorHAnsi" w:eastAsia="Times New Roman" w:hAnsiTheme="majorHAnsi" w:cs="Times New Roman"/>
          <w:b/>
          <w:highlight w:val="white"/>
        </w:rPr>
        <w:tab/>
      </w: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B563F6" w:rsidRDefault="00B563F6" w:rsidP="00853750">
      <w:pPr>
        <w:tabs>
          <w:tab w:val="center" w:pos="4536"/>
          <w:tab w:val="left" w:pos="6061"/>
        </w:tabs>
        <w:spacing w:after="0" w:line="240" w:lineRule="auto"/>
        <w:rPr>
          <w:rFonts w:asciiTheme="majorHAnsi" w:eastAsia="Times New Roman" w:hAnsiTheme="majorHAnsi" w:cs="Times New Roman"/>
          <w:b/>
          <w:highlight w:val="white"/>
        </w:rPr>
      </w:pPr>
    </w:p>
    <w:p w:rsidR="00853750" w:rsidRDefault="00853750" w:rsidP="00C01287">
      <w:pPr>
        <w:tabs>
          <w:tab w:val="center" w:pos="4536"/>
          <w:tab w:val="left" w:pos="6061"/>
        </w:tabs>
        <w:spacing w:before="120" w:after="120" w:line="240" w:lineRule="auto"/>
        <w:jc w:val="center"/>
        <w:rPr>
          <w:rFonts w:asciiTheme="majorHAnsi" w:eastAsia="Times New Roman" w:hAnsiTheme="majorHAnsi" w:cs="Times New Roman"/>
          <w:b/>
          <w:highlight w:val="white"/>
        </w:rPr>
      </w:pPr>
      <w:r>
        <w:rPr>
          <w:rFonts w:asciiTheme="majorHAnsi" w:eastAsia="Times New Roman" w:hAnsiTheme="majorHAnsi" w:cs="Times New Roman"/>
          <w:b/>
          <w:highlight w:val="white"/>
        </w:rPr>
        <w:lastRenderedPageBreak/>
        <w:t>ÖZET</w:t>
      </w:r>
    </w:p>
    <w:p w:rsidR="00C01287" w:rsidRDefault="00C01287" w:rsidP="00C01287">
      <w:pPr>
        <w:spacing w:before="240" w:after="240" w:line="240" w:lineRule="auto"/>
        <w:jc w:val="both"/>
        <w:rPr>
          <w:rFonts w:asciiTheme="majorHAnsi" w:eastAsia="Times New Roman" w:hAnsiTheme="majorHAnsi" w:cs="Times New Roman"/>
          <w:b/>
          <w:sz w:val="20"/>
          <w:szCs w:val="20"/>
          <w:highlight w:val="white"/>
        </w:rPr>
      </w:pPr>
      <w:proofErr w:type="spellStart"/>
      <w:r>
        <w:rPr>
          <w:rFonts w:asciiTheme="majorHAnsi" w:eastAsia="Times New Roman" w:hAnsiTheme="majorHAnsi" w:cs="Times New Roman"/>
          <w:b/>
          <w:sz w:val="20"/>
          <w:szCs w:val="20"/>
          <w:highlight w:val="white"/>
        </w:rPr>
        <w:t>Amaç</w:t>
      </w:r>
      <w:proofErr w:type="spellEnd"/>
      <w:r>
        <w:rPr>
          <w:rFonts w:asciiTheme="majorHAnsi" w:eastAsia="Times New Roman" w:hAnsiTheme="majorHAnsi" w:cs="Times New Roman"/>
          <w:b/>
          <w:sz w:val="20"/>
          <w:szCs w:val="20"/>
          <w:highlight w:val="white"/>
        </w:rPr>
        <w:t xml:space="preserve"> </w:t>
      </w:r>
      <w:proofErr w:type="spellStart"/>
      <w:r>
        <w:rPr>
          <w:rFonts w:asciiTheme="majorHAnsi" w:eastAsia="Times New Roman" w:hAnsiTheme="majorHAnsi" w:cs="Times New Roman"/>
          <w:b/>
          <w:sz w:val="20"/>
          <w:szCs w:val="20"/>
          <w:highlight w:val="white"/>
        </w:rPr>
        <w:t>ve</w:t>
      </w:r>
      <w:proofErr w:type="spellEnd"/>
      <w:r>
        <w:rPr>
          <w:rFonts w:asciiTheme="majorHAnsi" w:eastAsia="Times New Roman" w:hAnsiTheme="majorHAnsi" w:cs="Times New Roman"/>
          <w:b/>
          <w:sz w:val="20"/>
          <w:szCs w:val="20"/>
          <w:highlight w:val="white"/>
        </w:rPr>
        <w:t xml:space="preserve"> </w:t>
      </w:r>
      <w:proofErr w:type="spellStart"/>
      <w:r>
        <w:rPr>
          <w:rFonts w:asciiTheme="majorHAnsi" w:eastAsia="Times New Roman" w:hAnsiTheme="majorHAnsi" w:cs="Times New Roman"/>
          <w:b/>
          <w:sz w:val="20"/>
          <w:szCs w:val="20"/>
          <w:highlight w:val="white"/>
        </w:rPr>
        <w:t>Önem</w:t>
      </w:r>
      <w:proofErr w:type="spellEnd"/>
    </w:p>
    <w:p w:rsidR="00131FA9" w:rsidRDefault="00795A12" w:rsidP="00C01287">
      <w:pPr>
        <w:spacing w:after="0" w:line="240" w:lineRule="auto"/>
        <w:ind w:firstLine="567"/>
        <w:jc w:val="both"/>
        <w:rPr>
          <w:rFonts w:asciiTheme="majorHAnsi" w:eastAsia="Times New Roman" w:hAnsiTheme="majorHAnsi" w:cs="Times New Roman"/>
          <w:sz w:val="20"/>
          <w:szCs w:val="20"/>
          <w:lang w:val="tr-TR"/>
        </w:rPr>
      </w:pPr>
      <w:r w:rsidRPr="003D53B9">
        <w:rPr>
          <w:rFonts w:asciiTheme="majorHAnsi" w:eastAsia="Times New Roman" w:hAnsiTheme="majorHAnsi" w:cs="Times New Roman"/>
          <w:color w:val="auto"/>
          <w:sz w:val="20"/>
          <w:szCs w:val="20"/>
          <w:lang w:val="tr-TR"/>
        </w:rPr>
        <w:t xml:space="preserve">Öğrenci </w:t>
      </w:r>
      <w:r w:rsidR="00D63187">
        <w:rPr>
          <w:rFonts w:asciiTheme="majorHAnsi" w:eastAsia="Times New Roman" w:hAnsiTheme="majorHAnsi" w:cs="Times New Roman"/>
          <w:color w:val="auto"/>
          <w:sz w:val="20"/>
          <w:szCs w:val="20"/>
          <w:lang w:val="tr-TR"/>
        </w:rPr>
        <w:t>katılımı</w:t>
      </w:r>
      <w:r w:rsidR="00D63187" w:rsidRPr="003D53B9">
        <w:rPr>
          <w:rFonts w:asciiTheme="majorHAnsi" w:eastAsia="Times New Roman" w:hAnsiTheme="majorHAnsi" w:cs="Times New Roman"/>
          <w:color w:val="auto"/>
          <w:sz w:val="20"/>
          <w:szCs w:val="20"/>
          <w:lang w:val="tr-TR"/>
        </w:rPr>
        <w:t xml:space="preserve"> </w:t>
      </w:r>
      <w:r w:rsidRPr="003D53B9">
        <w:rPr>
          <w:rFonts w:asciiTheme="majorHAnsi" w:eastAsia="Times New Roman" w:hAnsiTheme="majorHAnsi" w:cs="Times New Roman"/>
          <w:color w:val="auto"/>
          <w:sz w:val="20"/>
          <w:szCs w:val="20"/>
          <w:lang w:val="tr-TR"/>
        </w:rPr>
        <w:t>kavramı, ö</w:t>
      </w:r>
      <w:r w:rsidR="007A42E8" w:rsidRPr="003D53B9">
        <w:rPr>
          <w:rFonts w:asciiTheme="majorHAnsi" w:eastAsia="Times New Roman" w:hAnsiTheme="majorHAnsi" w:cs="Times New Roman"/>
          <w:color w:val="auto"/>
          <w:sz w:val="20"/>
          <w:szCs w:val="20"/>
          <w:lang w:val="tr-TR"/>
        </w:rPr>
        <w:t xml:space="preserve">ğrecilerin akademik sağlamlıklarını ve başarılarını şekillendirmesi ve aynı zamanda </w:t>
      </w:r>
      <w:r w:rsidR="00191287" w:rsidRPr="003D53B9">
        <w:rPr>
          <w:rFonts w:asciiTheme="majorHAnsi" w:eastAsia="Times New Roman" w:hAnsiTheme="majorHAnsi" w:cs="Times New Roman"/>
          <w:color w:val="auto"/>
          <w:sz w:val="20"/>
          <w:szCs w:val="20"/>
          <w:lang w:val="tr-TR"/>
        </w:rPr>
        <w:t xml:space="preserve">yüksek düzeydeki sıkılma ve </w:t>
      </w:r>
      <w:r w:rsidR="007A42E8" w:rsidRPr="003D53B9">
        <w:rPr>
          <w:rFonts w:asciiTheme="majorHAnsi" w:eastAsia="Times New Roman" w:hAnsiTheme="majorHAnsi" w:cs="Times New Roman"/>
          <w:color w:val="auto"/>
          <w:sz w:val="20"/>
          <w:szCs w:val="20"/>
          <w:lang w:val="tr-TR"/>
        </w:rPr>
        <w:t>okulu bırakma durumuna ve düşük başarı seviyesine karşı bir çözüm olarak görülmesi</w:t>
      </w:r>
      <w:r w:rsidR="00191287" w:rsidRPr="003D53B9">
        <w:rPr>
          <w:rFonts w:asciiTheme="majorHAnsi" w:eastAsia="Times New Roman" w:hAnsiTheme="majorHAnsi" w:cs="Times New Roman"/>
          <w:color w:val="auto"/>
          <w:sz w:val="20"/>
          <w:szCs w:val="20"/>
          <w:lang w:val="tr-TR"/>
        </w:rPr>
        <w:t xml:space="preserve"> nedeniyle son yıllarda oldukça önem</w:t>
      </w:r>
      <w:r w:rsidR="007A42E8" w:rsidRPr="003D53B9">
        <w:rPr>
          <w:rFonts w:asciiTheme="majorHAnsi" w:eastAsia="Times New Roman" w:hAnsiTheme="majorHAnsi" w:cs="Times New Roman"/>
          <w:color w:val="auto"/>
          <w:sz w:val="20"/>
          <w:szCs w:val="20"/>
          <w:lang w:val="tr-TR"/>
        </w:rPr>
        <w:t xml:space="preserve"> </w:t>
      </w:r>
      <w:r w:rsidR="00191287" w:rsidRPr="003D53B9">
        <w:rPr>
          <w:rFonts w:asciiTheme="majorHAnsi" w:eastAsia="Times New Roman" w:hAnsiTheme="majorHAnsi" w:cs="Times New Roman"/>
          <w:color w:val="auto"/>
          <w:sz w:val="20"/>
          <w:szCs w:val="20"/>
          <w:lang w:val="tr-TR"/>
        </w:rPr>
        <w:t xml:space="preserve">kazanmıştır. Ayrıca, </w:t>
      </w:r>
      <w:r w:rsidR="003D53B9" w:rsidRPr="003D53B9">
        <w:rPr>
          <w:rFonts w:asciiTheme="majorHAnsi" w:eastAsia="Times New Roman" w:hAnsiTheme="majorHAnsi" w:cs="Times New Roman"/>
          <w:color w:val="auto"/>
          <w:sz w:val="20"/>
          <w:szCs w:val="20"/>
          <w:lang w:val="tr-TR"/>
        </w:rPr>
        <w:t xml:space="preserve">öğrenci </w:t>
      </w:r>
      <w:r w:rsidR="00D63187">
        <w:rPr>
          <w:rFonts w:asciiTheme="majorHAnsi" w:eastAsia="Times New Roman" w:hAnsiTheme="majorHAnsi" w:cs="Times New Roman"/>
          <w:color w:val="auto"/>
          <w:sz w:val="20"/>
          <w:szCs w:val="20"/>
          <w:lang w:val="tr-TR"/>
        </w:rPr>
        <w:t>katılımı</w:t>
      </w:r>
      <w:r w:rsidR="003D53B9" w:rsidRPr="003D53B9">
        <w:rPr>
          <w:rFonts w:asciiTheme="majorHAnsi" w:eastAsia="Times New Roman" w:hAnsiTheme="majorHAnsi" w:cs="Times New Roman"/>
          <w:color w:val="auto"/>
          <w:sz w:val="20"/>
          <w:szCs w:val="20"/>
          <w:lang w:val="tr-TR"/>
        </w:rPr>
        <w:t xml:space="preserve">nın </w:t>
      </w:r>
      <w:r w:rsidR="00191287" w:rsidRPr="003D53B9">
        <w:rPr>
          <w:rFonts w:asciiTheme="majorHAnsi" w:eastAsia="Times New Roman" w:hAnsiTheme="majorHAnsi" w:cs="Times New Roman"/>
          <w:sz w:val="20"/>
          <w:szCs w:val="20"/>
          <w:lang w:val="tr-TR"/>
        </w:rPr>
        <w:t xml:space="preserve">öz yeterlik, motivasyon, ve akademik başarı gibi pek çok akademik çıktıyı yordadığı bilinmektedir. Bu nedenle, ülkemizdeki özellikle fen derslerindeki düşük başarı durumu ve fen dersine karşı oluşan olumsuz tutum da göz önünde bulundurulduğunda öğrenci </w:t>
      </w:r>
      <w:r w:rsidR="00D63187">
        <w:rPr>
          <w:rFonts w:asciiTheme="majorHAnsi" w:eastAsia="Times New Roman" w:hAnsiTheme="majorHAnsi" w:cs="Times New Roman"/>
          <w:sz w:val="20"/>
          <w:szCs w:val="20"/>
          <w:lang w:val="tr-TR"/>
        </w:rPr>
        <w:t>katılımı</w:t>
      </w:r>
      <w:r w:rsidR="00191287" w:rsidRPr="003D53B9">
        <w:rPr>
          <w:rFonts w:asciiTheme="majorHAnsi" w:eastAsia="Times New Roman" w:hAnsiTheme="majorHAnsi" w:cs="Times New Roman"/>
          <w:sz w:val="20"/>
          <w:szCs w:val="20"/>
          <w:lang w:val="tr-TR"/>
        </w:rPr>
        <w:t xml:space="preserve">nın önemi daha da artmaktadır. </w:t>
      </w:r>
      <w:r w:rsidR="00C56789" w:rsidRPr="003D53B9">
        <w:rPr>
          <w:rFonts w:asciiTheme="majorHAnsi" w:eastAsia="Times New Roman" w:hAnsiTheme="majorHAnsi" w:cs="Times New Roman"/>
          <w:sz w:val="20"/>
          <w:szCs w:val="20"/>
          <w:lang w:val="tr-TR"/>
        </w:rPr>
        <w:t>Ancak ö</w:t>
      </w:r>
      <w:r w:rsidR="00191287" w:rsidRPr="003D53B9">
        <w:rPr>
          <w:rFonts w:asciiTheme="majorHAnsi" w:eastAsia="Times New Roman" w:hAnsiTheme="majorHAnsi" w:cs="Times New Roman"/>
          <w:sz w:val="20"/>
          <w:szCs w:val="20"/>
          <w:lang w:val="tr-TR"/>
        </w:rPr>
        <w:t xml:space="preserve">ğrenci </w:t>
      </w:r>
      <w:r w:rsidR="00D63187">
        <w:rPr>
          <w:rFonts w:asciiTheme="majorHAnsi" w:eastAsia="Times New Roman" w:hAnsiTheme="majorHAnsi" w:cs="Times New Roman"/>
          <w:sz w:val="20"/>
          <w:szCs w:val="20"/>
          <w:lang w:val="tr-TR"/>
        </w:rPr>
        <w:t>katılımı</w:t>
      </w:r>
      <w:r w:rsidR="00546E83" w:rsidRPr="003D53B9">
        <w:rPr>
          <w:rFonts w:asciiTheme="majorHAnsi" w:eastAsia="Times New Roman" w:hAnsiTheme="majorHAnsi" w:cs="Times New Roman"/>
          <w:sz w:val="20"/>
          <w:szCs w:val="20"/>
          <w:lang w:val="tr-TR"/>
        </w:rPr>
        <w:t>nı</w:t>
      </w:r>
      <w:r w:rsidR="00191287" w:rsidRPr="003D53B9">
        <w:rPr>
          <w:rFonts w:asciiTheme="majorHAnsi" w:eastAsia="Times New Roman" w:hAnsiTheme="majorHAnsi" w:cs="Times New Roman"/>
          <w:sz w:val="20"/>
          <w:szCs w:val="20"/>
          <w:lang w:val="tr-TR"/>
        </w:rPr>
        <w:t xml:space="preserve"> ölçmek için geliştirilen ulusal ve uluslararası ölçekler incelendiğinde bu ölçeklerin çoğunun farklı </w:t>
      </w:r>
      <w:r w:rsidRPr="003D53B9">
        <w:rPr>
          <w:rFonts w:asciiTheme="majorHAnsi" w:eastAsia="Times New Roman" w:hAnsiTheme="majorHAnsi" w:cs="Times New Roman"/>
          <w:sz w:val="20"/>
          <w:szCs w:val="20"/>
          <w:lang w:val="tr-TR"/>
        </w:rPr>
        <w:t>nicelik</w:t>
      </w:r>
      <w:r w:rsidR="00191287" w:rsidRPr="003D53B9">
        <w:rPr>
          <w:rFonts w:asciiTheme="majorHAnsi" w:eastAsia="Times New Roman" w:hAnsiTheme="majorHAnsi" w:cs="Times New Roman"/>
          <w:sz w:val="20"/>
          <w:szCs w:val="20"/>
          <w:lang w:val="tr-TR"/>
        </w:rPr>
        <w:t xml:space="preserve"> ve nitelik</w:t>
      </w:r>
      <w:r w:rsidR="003D53B9" w:rsidRPr="003D53B9">
        <w:rPr>
          <w:rFonts w:asciiTheme="majorHAnsi" w:eastAsia="Times New Roman" w:hAnsiTheme="majorHAnsi" w:cs="Times New Roman"/>
          <w:sz w:val="20"/>
          <w:szCs w:val="20"/>
          <w:lang w:val="tr-TR"/>
        </w:rPr>
        <w:t>teki alt boyutlardan oluştu</w:t>
      </w:r>
      <w:r w:rsidR="00191287" w:rsidRPr="003D53B9">
        <w:rPr>
          <w:rFonts w:asciiTheme="majorHAnsi" w:eastAsia="Times New Roman" w:hAnsiTheme="majorHAnsi" w:cs="Times New Roman"/>
          <w:sz w:val="20"/>
          <w:szCs w:val="20"/>
          <w:lang w:val="tr-TR"/>
        </w:rPr>
        <w:t xml:space="preserve">ğu görülmüştür. Dolayısıyla öğrenci </w:t>
      </w:r>
      <w:r w:rsidR="00D63187">
        <w:rPr>
          <w:rFonts w:asciiTheme="majorHAnsi" w:eastAsia="Times New Roman" w:hAnsiTheme="majorHAnsi" w:cs="Times New Roman"/>
          <w:sz w:val="20"/>
          <w:szCs w:val="20"/>
          <w:lang w:val="tr-TR"/>
        </w:rPr>
        <w:t>katılımı</w:t>
      </w:r>
      <w:r w:rsidR="00546E83" w:rsidRPr="003D53B9">
        <w:rPr>
          <w:rFonts w:asciiTheme="majorHAnsi" w:eastAsia="Times New Roman" w:hAnsiTheme="majorHAnsi" w:cs="Times New Roman"/>
          <w:sz w:val="20"/>
          <w:szCs w:val="20"/>
          <w:lang w:val="tr-TR"/>
        </w:rPr>
        <w:t>nı</w:t>
      </w:r>
      <w:r w:rsidR="00C56789" w:rsidRPr="003D53B9">
        <w:rPr>
          <w:rFonts w:asciiTheme="majorHAnsi" w:eastAsia="Times New Roman" w:hAnsiTheme="majorHAnsi" w:cs="Times New Roman"/>
          <w:sz w:val="20"/>
          <w:szCs w:val="20"/>
          <w:lang w:val="tr-TR"/>
        </w:rPr>
        <w:t xml:space="preserve"> en doğru şekilde</w:t>
      </w:r>
      <w:r w:rsidR="00191287" w:rsidRPr="003D53B9">
        <w:rPr>
          <w:rFonts w:asciiTheme="majorHAnsi" w:eastAsia="Times New Roman" w:hAnsiTheme="majorHAnsi" w:cs="Times New Roman"/>
          <w:sz w:val="20"/>
          <w:szCs w:val="20"/>
          <w:lang w:val="tr-TR"/>
        </w:rPr>
        <w:t xml:space="preserve"> değerl</w:t>
      </w:r>
      <w:r w:rsidR="00162CF2" w:rsidRPr="003D53B9">
        <w:rPr>
          <w:rFonts w:asciiTheme="majorHAnsi" w:eastAsia="Times New Roman" w:hAnsiTheme="majorHAnsi" w:cs="Times New Roman"/>
          <w:sz w:val="20"/>
          <w:szCs w:val="20"/>
          <w:lang w:val="tr-TR"/>
        </w:rPr>
        <w:t xml:space="preserve">endiren, geçerli ve güvenilir </w:t>
      </w:r>
      <w:r w:rsidR="00191287" w:rsidRPr="003D53B9">
        <w:rPr>
          <w:rFonts w:asciiTheme="majorHAnsi" w:eastAsia="Times New Roman" w:hAnsiTheme="majorHAnsi" w:cs="Times New Roman"/>
          <w:sz w:val="20"/>
          <w:szCs w:val="20"/>
          <w:lang w:val="tr-TR"/>
        </w:rPr>
        <w:t>bir ölçeğin Türkçe</w:t>
      </w:r>
      <w:r w:rsidR="00C56789" w:rsidRPr="003D53B9">
        <w:rPr>
          <w:rFonts w:asciiTheme="majorHAnsi" w:eastAsia="Times New Roman" w:hAnsiTheme="majorHAnsi" w:cs="Times New Roman"/>
          <w:sz w:val="20"/>
          <w:szCs w:val="20"/>
          <w:lang w:val="tr-TR"/>
        </w:rPr>
        <w:t>’</w:t>
      </w:r>
      <w:r w:rsidR="00191287" w:rsidRPr="003D53B9">
        <w:rPr>
          <w:rFonts w:asciiTheme="majorHAnsi" w:eastAsia="Times New Roman" w:hAnsiTheme="majorHAnsi" w:cs="Times New Roman"/>
          <w:sz w:val="20"/>
          <w:szCs w:val="20"/>
          <w:lang w:val="tr-TR"/>
        </w:rPr>
        <w:t xml:space="preserve">ye çevrilmesi ve fen derslerine adapte edilerek fen derslerinde öğrencilerin </w:t>
      </w:r>
      <w:r w:rsidR="000417EB">
        <w:rPr>
          <w:rFonts w:asciiTheme="majorHAnsi" w:eastAsia="Times New Roman" w:hAnsiTheme="majorHAnsi" w:cs="Times New Roman"/>
          <w:sz w:val="20"/>
          <w:szCs w:val="20"/>
          <w:lang w:val="tr-TR"/>
        </w:rPr>
        <w:t>katılım</w:t>
      </w:r>
      <w:r w:rsidR="00191287" w:rsidRPr="003D53B9">
        <w:rPr>
          <w:rFonts w:asciiTheme="majorHAnsi" w:eastAsia="Times New Roman" w:hAnsiTheme="majorHAnsi" w:cs="Times New Roman"/>
          <w:sz w:val="20"/>
          <w:szCs w:val="20"/>
          <w:lang w:val="tr-TR"/>
        </w:rPr>
        <w:t xml:space="preserve"> seviyelerinin belirlenebilmesi önem arz etmektedir. Bu nedenle bu çalışmada Reeve ve Tseng tarafından 2011 yılında geliştirilen </w:t>
      </w:r>
      <w:r w:rsidR="000417EB">
        <w:rPr>
          <w:rFonts w:asciiTheme="majorHAnsi" w:eastAsia="Times New Roman" w:hAnsiTheme="majorHAnsi" w:cs="Times New Roman"/>
          <w:sz w:val="20"/>
          <w:szCs w:val="20"/>
          <w:lang w:val="tr-TR"/>
        </w:rPr>
        <w:t xml:space="preserve">Katılım </w:t>
      </w:r>
      <w:r w:rsidR="00191287" w:rsidRPr="003D53B9">
        <w:rPr>
          <w:rFonts w:asciiTheme="majorHAnsi" w:eastAsia="Times New Roman" w:hAnsiTheme="majorHAnsi" w:cs="Times New Roman"/>
          <w:sz w:val="20"/>
          <w:szCs w:val="20"/>
          <w:lang w:val="tr-TR"/>
        </w:rPr>
        <w:t>Ölçeği</w:t>
      </w:r>
      <w:r w:rsidR="00C56789" w:rsidRPr="003D53B9">
        <w:rPr>
          <w:rFonts w:asciiTheme="majorHAnsi" w:eastAsia="Times New Roman" w:hAnsiTheme="majorHAnsi" w:cs="Times New Roman"/>
          <w:sz w:val="20"/>
          <w:szCs w:val="20"/>
          <w:lang w:val="tr-TR"/>
        </w:rPr>
        <w:t>’nin</w:t>
      </w:r>
      <w:r w:rsidR="00191287" w:rsidRPr="003D53B9">
        <w:rPr>
          <w:rFonts w:asciiTheme="majorHAnsi" w:eastAsia="Times New Roman" w:hAnsiTheme="majorHAnsi" w:cs="Times New Roman"/>
          <w:sz w:val="20"/>
          <w:szCs w:val="20"/>
          <w:lang w:val="tr-TR"/>
        </w:rPr>
        <w:t xml:space="preserve"> Türkçe’y</w:t>
      </w:r>
      <w:r w:rsidR="00C56789" w:rsidRPr="003D53B9">
        <w:rPr>
          <w:rFonts w:asciiTheme="majorHAnsi" w:eastAsia="Times New Roman" w:hAnsiTheme="majorHAnsi" w:cs="Times New Roman"/>
          <w:sz w:val="20"/>
          <w:szCs w:val="20"/>
          <w:lang w:val="tr-TR"/>
        </w:rPr>
        <w:t>e uyarlanması ile</w:t>
      </w:r>
      <w:r w:rsidR="00546E83" w:rsidRPr="003D53B9">
        <w:rPr>
          <w:rFonts w:asciiTheme="majorHAnsi" w:eastAsia="Times New Roman" w:hAnsiTheme="majorHAnsi" w:cs="Times New Roman"/>
          <w:sz w:val="20"/>
          <w:szCs w:val="20"/>
          <w:lang w:val="tr-TR"/>
        </w:rPr>
        <w:t xml:space="preserve"> ulusal literatüre</w:t>
      </w:r>
      <w:r w:rsidR="00191287" w:rsidRPr="003D53B9">
        <w:rPr>
          <w:rFonts w:asciiTheme="majorHAnsi" w:eastAsia="Times New Roman" w:hAnsiTheme="majorHAnsi" w:cs="Times New Roman"/>
          <w:sz w:val="20"/>
          <w:szCs w:val="20"/>
          <w:lang w:val="tr-TR"/>
        </w:rPr>
        <w:t xml:space="preserve"> </w:t>
      </w:r>
      <w:r w:rsidR="00802CB2" w:rsidRPr="003D53B9">
        <w:rPr>
          <w:rFonts w:asciiTheme="majorHAnsi" w:eastAsia="Times New Roman" w:hAnsiTheme="majorHAnsi" w:cs="Times New Roman"/>
          <w:sz w:val="20"/>
          <w:szCs w:val="20"/>
          <w:lang w:val="tr-TR"/>
        </w:rPr>
        <w:t xml:space="preserve">bu alanda </w:t>
      </w:r>
      <w:r w:rsidR="00191287" w:rsidRPr="003D53B9">
        <w:rPr>
          <w:rFonts w:asciiTheme="majorHAnsi" w:eastAsia="Times New Roman" w:hAnsiTheme="majorHAnsi" w:cs="Times New Roman"/>
          <w:sz w:val="20"/>
          <w:szCs w:val="20"/>
          <w:lang w:val="tr-TR"/>
        </w:rPr>
        <w:t xml:space="preserve">geçerli ve güvenilir bir </w:t>
      </w:r>
      <w:r w:rsidRPr="003D53B9">
        <w:rPr>
          <w:rFonts w:asciiTheme="majorHAnsi" w:eastAsia="Times New Roman" w:hAnsiTheme="majorHAnsi" w:cs="Times New Roman"/>
          <w:sz w:val="20"/>
          <w:szCs w:val="20"/>
          <w:lang w:val="tr-TR"/>
        </w:rPr>
        <w:t>ölçeğin</w:t>
      </w:r>
      <w:r w:rsidR="00191287" w:rsidRPr="003D53B9">
        <w:rPr>
          <w:rFonts w:asciiTheme="majorHAnsi" w:eastAsia="Times New Roman" w:hAnsiTheme="majorHAnsi" w:cs="Times New Roman"/>
          <w:sz w:val="20"/>
          <w:szCs w:val="20"/>
          <w:lang w:val="tr-TR"/>
        </w:rPr>
        <w:t xml:space="preserve"> sağlanması amaçlanmıştır.</w:t>
      </w:r>
    </w:p>
    <w:p w:rsidR="00C01287" w:rsidRDefault="00C01287" w:rsidP="00C01287">
      <w:pPr>
        <w:spacing w:before="240" w:after="240" w:line="240" w:lineRule="auto"/>
        <w:jc w:val="both"/>
        <w:rPr>
          <w:rFonts w:asciiTheme="majorHAnsi" w:eastAsia="Times New Roman" w:hAnsiTheme="majorHAnsi" w:cs="Times New Roman"/>
          <w:b/>
          <w:sz w:val="20"/>
          <w:szCs w:val="20"/>
          <w:highlight w:val="white"/>
        </w:rPr>
      </w:pPr>
      <w:proofErr w:type="spellStart"/>
      <w:r>
        <w:rPr>
          <w:rFonts w:asciiTheme="majorHAnsi" w:eastAsia="Times New Roman" w:hAnsiTheme="majorHAnsi" w:cs="Times New Roman"/>
          <w:b/>
          <w:sz w:val="20"/>
          <w:szCs w:val="20"/>
          <w:highlight w:val="white"/>
        </w:rPr>
        <w:t>Yöntem</w:t>
      </w:r>
      <w:proofErr w:type="spellEnd"/>
    </w:p>
    <w:p w:rsidR="002C2585" w:rsidRPr="003D53B9" w:rsidRDefault="00546E83" w:rsidP="00C01287">
      <w:pPr>
        <w:spacing w:after="0" w:line="240" w:lineRule="auto"/>
        <w:ind w:firstLine="567"/>
        <w:jc w:val="both"/>
        <w:rPr>
          <w:rFonts w:asciiTheme="majorHAnsi" w:eastAsia="Times New Roman" w:hAnsiTheme="majorHAnsi" w:cs="Times New Roman"/>
          <w:sz w:val="20"/>
          <w:szCs w:val="20"/>
          <w:lang w:val="tr-TR"/>
        </w:rPr>
      </w:pPr>
      <w:r w:rsidRPr="003D53B9">
        <w:rPr>
          <w:rFonts w:asciiTheme="majorHAnsi" w:eastAsia="Times New Roman" w:hAnsiTheme="majorHAnsi" w:cs="Times New Roman"/>
          <w:sz w:val="20"/>
          <w:szCs w:val="20"/>
          <w:lang w:val="tr-TR"/>
        </w:rPr>
        <w:t>Çalışmanın verileri</w:t>
      </w:r>
      <w:r w:rsidR="00162CF2" w:rsidRPr="003D53B9">
        <w:rPr>
          <w:rFonts w:asciiTheme="majorHAnsi" w:eastAsia="Times New Roman" w:hAnsiTheme="majorHAnsi" w:cs="Times New Roman"/>
          <w:sz w:val="20"/>
          <w:szCs w:val="20"/>
          <w:lang w:val="tr-TR"/>
        </w:rPr>
        <w:t xml:space="preserve"> pilot çalışma için</w:t>
      </w:r>
      <w:r w:rsidRPr="003D53B9">
        <w:rPr>
          <w:rFonts w:asciiTheme="majorHAnsi" w:eastAsia="Times New Roman" w:hAnsiTheme="majorHAnsi" w:cs="Times New Roman"/>
          <w:sz w:val="20"/>
          <w:szCs w:val="20"/>
          <w:lang w:val="tr-TR"/>
        </w:rPr>
        <w:t xml:space="preserve"> Türkiye’deki ortaokul öğrencilerinden seçilen 153 öğrenci</w:t>
      </w:r>
      <w:r w:rsidR="00162CF2" w:rsidRPr="003D53B9">
        <w:rPr>
          <w:rFonts w:asciiTheme="majorHAnsi" w:eastAsia="Times New Roman" w:hAnsiTheme="majorHAnsi" w:cs="Times New Roman"/>
          <w:sz w:val="20"/>
          <w:szCs w:val="20"/>
          <w:lang w:val="tr-TR"/>
        </w:rPr>
        <w:t>den; ana çalışma için</w:t>
      </w:r>
      <w:r w:rsidRPr="003D53B9">
        <w:rPr>
          <w:rFonts w:asciiTheme="majorHAnsi" w:eastAsia="Times New Roman" w:hAnsiTheme="majorHAnsi" w:cs="Times New Roman"/>
          <w:sz w:val="20"/>
          <w:szCs w:val="20"/>
          <w:lang w:val="tr-TR"/>
        </w:rPr>
        <w:t xml:space="preserve"> ise 744 öğrenci</w:t>
      </w:r>
      <w:r w:rsidR="00162CF2" w:rsidRPr="003D53B9">
        <w:rPr>
          <w:rFonts w:asciiTheme="majorHAnsi" w:eastAsia="Times New Roman" w:hAnsiTheme="majorHAnsi" w:cs="Times New Roman"/>
          <w:sz w:val="20"/>
          <w:szCs w:val="20"/>
          <w:lang w:val="tr-TR"/>
        </w:rPr>
        <w:t>den toplanmıştır</w:t>
      </w:r>
      <w:r w:rsidRPr="003D53B9">
        <w:rPr>
          <w:rFonts w:asciiTheme="majorHAnsi" w:eastAsia="Times New Roman" w:hAnsiTheme="majorHAnsi" w:cs="Times New Roman"/>
          <w:sz w:val="20"/>
          <w:szCs w:val="20"/>
          <w:lang w:val="tr-TR"/>
        </w:rPr>
        <w:t>. Verilerin toplanmasında “Öğrenmede Güdüsel Stratejiler Anketi” ve “</w:t>
      </w:r>
      <w:r w:rsidR="000417EB">
        <w:rPr>
          <w:rFonts w:asciiTheme="majorHAnsi" w:eastAsia="Times New Roman" w:hAnsiTheme="majorHAnsi" w:cs="Times New Roman"/>
          <w:sz w:val="20"/>
          <w:szCs w:val="20"/>
          <w:lang w:val="tr-TR"/>
        </w:rPr>
        <w:t>Katılım</w:t>
      </w:r>
      <w:r w:rsidRPr="003D53B9">
        <w:rPr>
          <w:rFonts w:asciiTheme="majorHAnsi" w:eastAsia="Times New Roman" w:hAnsiTheme="majorHAnsi" w:cs="Times New Roman"/>
          <w:sz w:val="20"/>
          <w:szCs w:val="20"/>
          <w:lang w:val="tr-TR"/>
        </w:rPr>
        <w:t xml:space="preserve"> Anketi” kullanılmıştır. </w:t>
      </w:r>
      <w:r w:rsidR="000417EB">
        <w:rPr>
          <w:rFonts w:asciiTheme="majorHAnsi" w:eastAsia="Times New Roman" w:hAnsiTheme="majorHAnsi" w:cs="Times New Roman"/>
          <w:sz w:val="20"/>
          <w:szCs w:val="20"/>
          <w:lang w:val="tr-TR"/>
        </w:rPr>
        <w:t>Katılım</w:t>
      </w:r>
      <w:r w:rsidR="00C56789" w:rsidRPr="003D53B9">
        <w:rPr>
          <w:rFonts w:asciiTheme="majorHAnsi" w:eastAsia="Times New Roman" w:hAnsiTheme="majorHAnsi" w:cs="Times New Roman"/>
          <w:sz w:val="20"/>
          <w:szCs w:val="20"/>
          <w:lang w:val="tr-TR"/>
        </w:rPr>
        <w:t xml:space="preserve"> Anketi, </w:t>
      </w:r>
      <w:r w:rsidRPr="003D53B9">
        <w:rPr>
          <w:rFonts w:asciiTheme="majorHAnsi" w:eastAsia="Times New Roman" w:hAnsiTheme="majorHAnsi" w:cs="Times New Roman"/>
          <w:sz w:val="20"/>
          <w:szCs w:val="20"/>
          <w:lang w:val="tr-TR"/>
        </w:rPr>
        <w:t xml:space="preserve">dört alt boyuttan (davranışsal, duygusal, bilişsel ve aracı </w:t>
      </w:r>
      <w:r w:rsidR="000417EB">
        <w:rPr>
          <w:rFonts w:asciiTheme="majorHAnsi" w:eastAsia="Times New Roman" w:hAnsiTheme="majorHAnsi" w:cs="Times New Roman"/>
          <w:sz w:val="20"/>
          <w:szCs w:val="20"/>
          <w:lang w:val="tr-TR"/>
        </w:rPr>
        <w:t>katılım</w:t>
      </w:r>
      <w:r w:rsidRPr="003D53B9">
        <w:rPr>
          <w:rFonts w:asciiTheme="majorHAnsi" w:eastAsia="Times New Roman" w:hAnsiTheme="majorHAnsi" w:cs="Times New Roman"/>
          <w:sz w:val="20"/>
          <w:szCs w:val="20"/>
          <w:lang w:val="tr-TR"/>
        </w:rPr>
        <w:t>) oluşan toplam 22 maddelik 7’li Likert tipinde bir öz-bildirim ölçeğidir. Öğrenmede Güdüsel Stratejiler Anketi</w:t>
      </w:r>
      <w:r w:rsidR="00162CF2" w:rsidRPr="003D53B9">
        <w:rPr>
          <w:rFonts w:asciiTheme="majorHAnsi" w:eastAsia="Times New Roman" w:hAnsiTheme="majorHAnsi" w:cs="Times New Roman"/>
          <w:sz w:val="20"/>
          <w:szCs w:val="20"/>
          <w:lang w:val="tr-TR"/>
        </w:rPr>
        <w:t>’nin bir boyutu</w:t>
      </w:r>
      <w:r w:rsidRPr="003D53B9">
        <w:rPr>
          <w:rFonts w:asciiTheme="majorHAnsi" w:eastAsia="Times New Roman" w:hAnsiTheme="majorHAnsi" w:cs="Times New Roman"/>
          <w:sz w:val="20"/>
          <w:szCs w:val="20"/>
          <w:lang w:val="tr-TR"/>
        </w:rPr>
        <w:t xml:space="preserve"> öğrencilerin öz-yeterlik seviyelerini belirlemek amacıyla kullanılmıştır. </w:t>
      </w:r>
      <w:r w:rsidR="002C2585" w:rsidRPr="003D53B9">
        <w:rPr>
          <w:rFonts w:asciiTheme="majorHAnsi" w:eastAsia="Times New Roman" w:hAnsiTheme="majorHAnsi" w:cs="Times New Roman"/>
          <w:sz w:val="20"/>
          <w:szCs w:val="20"/>
          <w:lang w:val="tr-TR"/>
        </w:rPr>
        <w:t xml:space="preserve">Pilot ve ana çalışma için doğrulayıcı faktör </w:t>
      </w:r>
      <w:r w:rsidR="00162CF2" w:rsidRPr="003D53B9">
        <w:rPr>
          <w:rFonts w:asciiTheme="majorHAnsi" w:eastAsia="Times New Roman" w:hAnsiTheme="majorHAnsi" w:cs="Times New Roman"/>
          <w:sz w:val="20"/>
          <w:szCs w:val="20"/>
          <w:lang w:val="tr-TR"/>
        </w:rPr>
        <w:t xml:space="preserve">analizi </w:t>
      </w:r>
      <w:r w:rsidR="00600C33" w:rsidRPr="003D53B9">
        <w:rPr>
          <w:rFonts w:asciiTheme="majorHAnsi" w:eastAsia="Times New Roman" w:hAnsiTheme="majorHAnsi" w:cs="Times New Roman"/>
          <w:sz w:val="20"/>
          <w:szCs w:val="20"/>
          <w:lang w:val="tr-TR"/>
        </w:rPr>
        <w:t>(DFA)</w:t>
      </w:r>
      <w:r w:rsidR="002C2585" w:rsidRPr="003D53B9">
        <w:rPr>
          <w:rFonts w:asciiTheme="majorHAnsi" w:eastAsia="Times New Roman" w:hAnsiTheme="majorHAnsi" w:cs="Times New Roman"/>
          <w:sz w:val="20"/>
          <w:szCs w:val="20"/>
          <w:lang w:val="tr-TR"/>
        </w:rPr>
        <w:t xml:space="preserve"> ve güvenirlik analizleri yapılmıştır.</w:t>
      </w:r>
      <w:r w:rsidR="00C56789" w:rsidRPr="003D53B9">
        <w:rPr>
          <w:rFonts w:asciiTheme="majorHAnsi" w:eastAsia="Times New Roman" w:hAnsiTheme="majorHAnsi" w:cs="Times New Roman"/>
          <w:sz w:val="20"/>
          <w:szCs w:val="20"/>
          <w:lang w:val="tr-TR"/>
        </w:rPr>
        <w:t xml:space="preserve"> </w:t>
      </w:r>
      <w:r w:rsidR="00162CF2" w:rsidRPr="003D53B9">
        <w:rPr>
          <w:rFonts w:asciiTheme="majorHAnsi" w:eastAsia="Times New Roman" w:hAnsiTheme="majorHAnsi" w:cs="Times New Roman"/>
          <w:sz w:val="20"/>
          <w:szCs w:val="20"/>
          <w:lang w:val="tr-TR"/>
        </w:rPr>
        <w:t xml:space="preserve">Ayrıca </w:t>
      </w:r>
      <w:r w:rsidR="002C2585" w:rsidRPr="003D53B9">
        <w:rPr>
          <w:rFonts w:asciiTheme="majorHAnsi" w:eastAsia="Times New Roman" w:hAnsiTheme="majorHAnsi" w:cs="Times New Roman"/>
          <w:sz w:val="20"/>
          <w:szCs w:val="20"/>
          <w:lang w:val="tr-TR"/>
        </w:rPr>
        <w:t>cinsiyetler arası ölç</w:t>
      </w:r>
      <w:r w:rsidR="00570FD0">
        <w:rPr>
          <w:rFonts w:asciiTheme="majorHAnsi" w:eastAsia="Times New Roman" w:hAnsiTheme="majorHAnsi" w:cs="Times New Roman"/>
          <w:sz w:val="20"/>
          <w:szCs w:val="20"/>
          <w:lang w:val="tr-TR"/>
        </w:rPr>
        <w:t>me</w:t>
      </w:r>
      <w:r w:rsidR="00C56789" w:rsidRPr="003D53B9">
        <w:rPr>
          <w:rFonts w:asciiTheme="majorHAnsi" w:eastAsia="Times New Roman" w:hAnsiTheme="majorHAnsi" w:cs="Times New Roman"/>
          <w:sz w:val="20"/>
          <w:szCs w:val="20"/>
          <w:lang w:val="tr-TR"/>
        </w:rPr>
        <w:t xml:space="preserve"> değişmezliği</w:t>
      </w:r>
      <w:r w:rsidR="002C2585" w:rsidRPr="003D53B9">
        <w:rPr>
          <w:rFonts w:asciiTheme="majorHAnsi" w:eastAsia="Times New Roman" w:hAnsiTheme="majorHAnsi" w:cs="Times New Roman"/>
          <w:sz w:val="20"/>
          <w:szCs w:val="20"/>
          <w:lang w:val="tr-TR"/>
        </w:rPr>
        <w:t xml:space="preserve"> incelenmiş ve geçerliğin ileri değerlendirmesi de yapılmıştır.</w:t>
      </w:r>
    </w:p>
    <w:p w:rsidR="00C01287" w:rsidRDefault="00C01287" w:rsidP="00C01287">
      <w:pPr>
        <w:spacing w:before="240" w:after="240" w:line="240" w:lineRule="auto"/>
        <w:jc w:val="both"/>
        <w:rPr>
          <w:rFonts w:asciiTheme="majorHAnsi" w:eastAsia="Times New Roman" w:hAnsiTheme="majorHAnsi" w:cs="Times New Roman"/>
          <w:b/>
          <w:sz w:val="20"/>
          <w:szCs w:val="20"/>
          <w:highlight w:val="white"/>
        </w:rPr>
      </w:pPr>
      <w:proofErr w:type="spellStart"/>
      <w:r>
        <w:rPr>
          <w:rFonts w:asciiTheme="majorHAnsi" w:eastAsia="Times New Roman" w:hAnsiTheme="majorHAnsi" w:cs="Times New Roman"/>
          <w:b/>
          <w:sz w:val="20"/>
          <w:szCs w:val="20"/>
          <w:highlight w:val="white"/>
        </w:rPr>
        <w:t>Bulgular</w:t>
      </w:r>
    </w:p>
    <w:p w:rsidR="00802CB2" w:rsidRPr="00C01287" w:rsidRDefault="00600C33" w:rsidP="00C01287">
      <w:pPr>
        <w:spacing w:after="0" w:line="240" w:lineRule="auto"/>
        <w:ind w:firstLine="567"/>
        <w:jc w:val="both"/>
        <w:rPr>
          <w:rFonts w:asciiTheme="majorHAnsi" w:hAnsiTheme="majorHAnsi" w:cs="Times New Roman"/>
          <w:b/>
          <w:color w:val="auto"/>
          <w:sz w:val="20"/>
          <w:szCs w:val="20"/>
          <w:lang w:val="tr-TR"/>
        </w:rPr>
      </w:pPr>
      <w:proofErr w:type="spellEnd"/>
      <w:r w:rsidRPr="003D53B9">
        <w:rPr>
          <w:rFonts w:asciiTheme="majorHAnsi" w:eastAsia="Times New Roman" w:hAnsiTheme="majorHAnsi" w:cs="Times New Roman"/>
          <w:sz w:val="20"/>
          <w:szCs w:val="20"/>
        </w:rPr>
        <w:t xml:space="preserve">Pilot </w:t>
      </w:r>
      <w:proofErr w:type="spellStart"/>
      <w:r w:rsidRPr="003D53B9">
        <w:rPr>
          <w:rFonts w:asciiTheme="majorHAnsi" w:eastAsia="Times New Roman" w:hAnsiTheme="majorHAnsi" w:cs="Times New Roman"/>
          <w:sz w:val="20"/>
          <w:szCs w:val="20"/>
        </w:rPr>
        <w:t>çalışma</w:t>
      </w:r>
      <w:proofErr w:type="spellEnd"/>
      <w:r w:rsidRPr="003D53B9">
        <w:rPr>
          <w:rFonts w:asciiTheme="majorHAnsi" w:eastAsia="Times New Roman" w:hAnsiTheme="majorHAnsi" w:cs="Times New Roman"/>
          <w:sz w:val="20"/>
          <w:szCs w:val="20"/>
        </w:rPr>
        <w:t xml:space="preserve"> </w:t>
      </w:r>
      <w:proofErr w:type="spellStart"/>
      <w:r w:rsidRPr="003D53B9">
        <w:rPr>
          <w:rFonts w:asciiTheme="majorHAnsi" w:eastAsia="Times New Roman" w:hAnsiTheme="majorHAnsi" w:cs="Times New Roman"/>
          <w:sz w:val="20"/>
          <w:szCs w:val="20"/>
        </w:rPr>
        <w:t>için</w:t>
      </w:r>
      <w:proofErr w:type="spellEnd"/>
      <w:r w:rsidRPr="003D53B9">
        <w:rPr>
          <w:rFonts w:asciiTheme="majorHAnsi" w:eastAsia="Times New Roman" w:hAnsiTheme="majorHAnsi" w:cs="Times New Roman"/>
          <w:sz w:val="20"/>
          <w:szCs w:val="20"/>
        </w:rPr>
        <w:t xml:space="preserve"> </w:t>
      </w:r>
      <w:proofErr w:type="spellStart"/>
      <w:r w:rsidRPr="003D53B9">
        <w:rPr>
          <w:rFonts w:asciiTheme="majorHAnsi" w:eastAsia="Times New Roman" w:hAnsiTheme="majorHAnsi" w:cs="Times New Roman"/>
          <w:sz w:val="20"/>
          <w:szCs w:val="20"/>
        </w:rPr>
        <w:t>yapılan</w:t>
      </w:r>
      <w:proofErr w:type="spellEnd"/>
      <w:r w:rsidRPr="003D53B9">
        <w:rPr>
          <w:rFonts w:asciiTheme="majorHAnsi" w:eastAsia="Times New Roman" w:hAnsiTheme="majorHAnsi" w:cs="Times New Roman"/>
          <w:b/>
          <w:sz w:val="20"/>
          <w:szCs w:val="20"/>
        </w:rPr>
        <w:t xml:space="preserve"> </w:t>
      </w:r>
      <w:r w:rsidRPr="003D53B9">
        <w:rPr>
          <w:rFonts w:asciiTheme="majorHAnsi" w:hAnsiTheme="majorHAnsi" w:cs="Times New Roman"/>
          <w:color w:val="auto"/>
          <w:sz w:val="20"/>
          <w:szCs w:val="20"/>
          <w:lang w:val="tr-TR"/>
        </w:rPr>
        <w:t xml:space="preserve">DFA sonucu iyi bir model uyumuna işaret etmiştir (CFI = .98, RMSEA = .05, SRMR= .05). Ayrıca açıklayıcı faktör analizindeki faktör yüklerine karşılık gelen tüm Lambda – X tahminleri yeterince yüksek ve istatiksel olarak manidardır. Güvenirlik analizlerinde ise Cronbach alfa katsayıları aracı </w:t>
      </w:r>
      <w:r w:rsidR="00DA2AFD">
        <w:rPr>
          <w:rFonts w:asciiTheme="majorHAnsi" w:hAnsiTheme="majorHAnsi" w:cs="Times New Roman"/>
          <w:color w:val="auto"/>
          <w:sz w:val="20"/>
          <w:szCs w:val="20"/>
          <w:lang w:val="tr-TR"/>
        </w:rPr>
        <w:t>katılım</w:t>
      </w:r>
      <w:r w:rsidRPr="003D53B9">
        <w:rPr>
          <w:rFonts w:asciiTheme="majorHAnsi" w:hAnsiTheme="majorHAnsi" w:cs="Times New Roman"/>
          <w:color w:val="auto"/>
          <w:sz w:val="20"/>
          <w:szCs w:val="20"/>
          <w:lang w:val="tr-TR"/>
        </w:rPr>
        <w:t xml:space="preserve"> için .82, davranışsal </w:t>
      </w:r>
      <w:bookmarkStart w:id="1" w:name="OLE_LINK10"/>
      <w:bookmarkStart w:id="2" w:name="OLE_LINK33"/>
      <w:r w:rsidR="00DA2AFD">
        <w:rPr>
          <w:rFonts w:asciiTheme="majorHAnsi" w:hAnsiTheme="majorHAnsi" w:cs="Times New Roman"/>
          <w:color w:val="auto"/>
          <w:sz w:val="20"/>
          <w:szCs w:val="20"/>
          <w:lang w:val="tr-TR"/>
        </w:rPr>
        <w:t>katılım</w:t>
      </w:r>
      <w:bookmarkEnd w:id="1"/>
      <w:bookmarkEnd w:id="2"/>
      <w:r w:rsidRPr="003D53B9">
        <w:rPr>
          <w:rFonts w:asciiTheme="majorHAnsi" w:hAnsiTheme="majorHAnsi" w:cs="Times New Roman"/>
          <w:color w:val="auto"/>
          <w:sz w:val="20"/>
          <w:szCs w:val="20"/>
          <w:lang w:val="tr-TR"/>
        </w:rPr>
        <w:t xml:space="preserve"> için .92, duygusal </w:t>
      </w:r>
      <w:r w:rsidR="00DA2AFD">
        <w:rPr>
          <w:rFonts w:asciiTheme="majorHAnsi" w:hAnsiTheme="majorHAnsi" w:cs="Times New Roman"/>
          <w:color w:val="auto"/>
          <w:sz w:val="20"/>
          <w:szCs w:val="20"/>
          <w:lang w:val="tr-TR"/>
        </w:rPr>
        <w:t>katılım</w:t>
      </w:r>
      <w:r w:rsidRPr="003D53B9">
        <w:rPr>
          <w:rFonts w:asciiTheme="majorHAnsi" w:hAnsiTheme="majorHAnsi" w:cs="Times New Roman"/>
          <w:color w:val="auto"/>
          <w:sz w:val="20"/>
          <w:szCs w:val="20"/>
          <w:lang w:val="tr-TR"/>
        </w:rPr>
        <w:t xml:space="preserve"> için .84, ve bilişssel </w:t>
      </w:r>
      <w:r w:rsidR="00DA2AFD">
        <w:rPr>
          <w:rFonts w:asciiTheme="majorHAnsi" w:hAnsiTheme="majorHAnsi" w:cs="Times New Roman"/>
          <w:color w:val="auto"/>
          <w:sz w:val="20"/>
          <w:szCs w:val="20"/>
          <w:lang w:val="tr-TR"/>
        </w:rPr>
        <w:t>katılım</w:t>
      </w:r>
      <w:r w:rsidRPr="003D53B9">
        <w:rPr>
          <w:rFonts w:asciiTheme="majorHAnsi" w:hAnsiTheme="majorHAnsi" w:cs="Times New Roman"/>
          <w:color w:val="auto"/>
          <w:sz w:val="20"/>
          <w:szCs w:val="20"/>
          <w:lang w:val="tr-TR"/>
        </w:rPr>
        <w:t xml:space="preserve"> için .86 olarak hesaplanmıştır. Ana çalışma için yapılan DFA sonuçları da benzer şekilde iyi bir model uyumu olduğunu göstermiştir (CFI = .99, RMSEA = .05, SRMR = .04). Ayrıca örüntü katsayıları</w:t>
      </w:r>
      <w:r w:rsidR="00802CB2" w:rsidRPr="003D53B9">
        <w:rPr>
          <w:rFonts w:asciiTheme="majorHAnsi" w:hAnsiTheme="majorHAnsi" w:cs="Times New Roman"/>
          <w:color w:val="auto"/>
          <w:sz w:val="20"/>
          <w:szCs w:val="20"/>
          <w:lang w:val="tr-TR"/>
        </w:rPr>
        <w:t xml:space="preserve"> ve yapı katsayıları</w:t>
      </w:r>
      <w:r w:rsidRPr="003D53B9">
        <w:rPr>
          <w:rFonts w:asciiTheme="majorHAnsi" w:hAnsiTheme="majorHAnsi" w:cs="Times New Roman"/>
          <w:color w:val="auto"/>
          <w:sz w:val="20"/>
          <w:szCs w:val="20"/>
          <w:lang w:val="tr-TR"/>
        </w:rPr>
        <w:t>, tüm maddelerin ilgili oldukları faktörlerle yüksek korelasyon gösterdiği ve aynı zamanda diğer faktörlerle de düşük oranda ilişkili olduğu</w:t>
      </w:r>
      <w:r w:rsidR="00802CB2" w:rsidRPr="003D53B9">
        <w:rPr>
          <w:rFonts w:asciiTheme="majorHAnsi" w:hAnsiTheme="majorHAnsi" w:cs="Times New Roman"/>
          <w:color w:val="auto"/>
          <w:sz w:val="20"/>
          <w:szCs w:val="20"/>
          <w:lang w:val="tr-TR"/>
        </w:rPr>
        <w:t>nu göstermiştir.</w:t>
      </w:r>
      <w:r w:rsidRPr="003D53B9">
        <w:rPr>
          <w:rFonts w:asciiTheme="majorHAnsi" w:hAnsiTheme="majorHAnsi" w:cs="Times New Roman"/>
          <w:color w:val="auto"/>
          <w:sz w:val="20"/>
          <w:szCs w:val="20"/>
          <w:lang w:val="tr-TR"/>
        </w:rPr>
        <w:t xml:space="preserve"> </w:t>
      </w:r>
      <w:r w:rsidR="00593DD8" w:rsidRPr="003D53B9">
        <w:rPr>
          <w:rFonts w:asciiTheme="majorHAnsi" w:hAnsiTheme="majorHAnsi" w:cs="Times New Roman"/>
          <w:color w:val="auto"/>
          <w:sz w:val="20"/>
          <w:szCs w:val="20"/>
          <w:lang w:val="tr-TR"/>
        </w:rPr>
        <w:t xml:space="preserve">Cronbach alfa değerleri </w:t>
      </w:r>
      <w:r w:rsidR="00802CB2" w:rsidRPr="003D53B9">
        <w:rPr>
          <w:rFonts w:asciiTheme="majorHAnsi" w:hAnsiTheme="majorHAnsi" w:cs="Times New Roman"/>
          <w:color w:val="auto"/>
          <w:sz w:val="20"/>
          <w:szCs w:val="20"/>
          <w:lang w:val="tr-TR"/>
        </w:rPr>
        <w:t xml:space="preserve">ise </w:t>
      </w:r>
      <w:r w:rsidR="00593DD8" w:rsidRPr="003D53B9">
        <w:rPr>
          <w:rFonts w:asciiTheme="majorHAnsi" w:hAnsiTheme="majorHAnsi" w:cs="Times New Roman"/>
          <w:color w:val="auto"/>
          <w:sz w:val="20"/>
          <w:szCs w:val="20"/>
          <w:lang w:val="tr-TR"/>
        </w:rPr>
        <w:t xml:space="preserve">aracı </w:t>
      </w:r>
      <w:r w:rsidR="00DA2AFD">
        <w:rPr>
          <w:rFonts w:asciiTheme="majorHAnsi" w:hAnsiTheme="majorHAnsi" w:cs="Times New Roman"/>
          <w:color w:val="auto"/>
          <w:sz w:val="20"/>
          <w:szCs w:val="20"/>
          <w:lang w:val="tr-TR"/>
        </w:rPr>
        <w:t>katılım</w:t>
      </w:r>
      <w:r w:rsidR="00593DD8" w:rsidRPr="003D53B9">
        <w:rPr>
          <w:rFonts w:asciiTheme="majorHAnsi" w:hAnsiTheme="majorHAnsi" w:cs="Times New Roman"/>
          <w:color w:val="auto"/>
          <w:sz w:val="20"/>
          <w:szCs w:val="20"/>
          <w:lang w:val="tr-TR"/>
        </w:rPr>
        <w:t xml:space="preserve"> için .82, davranışsal </w:t>
      </w:r>
      <w:r w:rsidR="00DA2AFD">
        <w:rPr>
          <w:rFonts w:asciiTheme="majorHAnsi" w:hAnsiTheme="majorHAnsi" w:cs="Times New Roman"/>
          <w:color w:val="auto"/>
          <w:sz w:val="20"/>
          <w:szCs w:val="20"/>
          <w:lang w:val="tr-TR"/>
        </w:rPr>
        <w:t>katılım</w:t>
      </w:r>
      <w:r w:rsidR="00593DD8" w:rsidRPr="003D53B9">
        <w:rPr>
          <w:rFonts w:asciiTheme="majorHAnsi" w:hAnsiTheme="majorHAnsi" w:cs="Times New Roman"/>
          <w:color w:val="auto"/>
          <w:sz w:val="20"/>
          <w:szCs w:val="20"/>
          <w:lang w:val="tr-TR"/>
        </w:rPr>
        <w:t xml:space="preserve"> için .88, bilişssel </w:t>
      </w:r>
      <w:r w:rsidR="00DA2AFD">
        <w:rPr>
          <w:rFonts w:asciiTheme="majorHAnsi" w:hAnsiTheme="majorHAnsi" w:cs="Times New Roman"/>
          <w:color w:val="auto"/>
          <w:sz w:val="20"/>
          <w:szCs w:val="20"/>
          <w:lang w:val="tr-TR"/>
        </w:rPr>
        <w:t>katılım</w:t>
      </w:r>
      <w:r w:rsidR="00802CB2" w:rsidRPr="003D53B9">
        <w:rPr>
          <w:rFonts w:asciiTheme="majorHAnsi" w:hAnsiTheme="majorHAnsi" w:cs="Times New Roman"/>
          <w:color w:val="auto"/>
          <w:sz w:val="20"/>
          <w:szCs w:val="20"/>
          <w:lang w:val="tr-TR"/>
        </w:rPr>
        <w:t xml:space="preserve"> için .86 ve </w:t>
      </w:r>
      <w:r w:rsidR="00593DD8" w:rsidRPr="003D53B9">
        <w:rPr>
          <w:rFonts w:asciiTheme="majorHAnsi" w:hAnsiTheme="majorHAnsi" w:cs="Times New Roman"/>
          <w:color w:val="auto"/>
          <w:sz w:val="20"/>
          <w:szCs w:val="20"/>
          <w:lang w:val="tr-TR"/>
        </w:rPr>
        <w:t xml:space="preserve">duygusal </w:t>
      </w:r>
      <w:r w:rsidR="00DA2AFD">
        <w:rPr>
          <w:rFonts w:asciiTheme="majorHAnsi" w:hAnsiTheme="majorHAnsi" w:cs="Times New Roman"/>
          <w:color w:val="auto"/>
          <w:sz w:val="20"/>
          <w:szCs w:val="20"/>
          <w:lang w:val="tr-TR"/>
        </w:rPr>
        <w:t>katılım</w:t>
      </w:r>
      <w:r w:rsidR="00593DD8" w:rsidRPr="003D53B9">
        <w:rPr>
          <w:rFonts w:asciiTheme="majorHAnsi" w:hAnsiTheme="majorHAnsi" w:cs="Times New Roman"/>
          <w:color w:val="auto"/>
          <w:sz w:val="20"/>
          <w:szCs w:val="20"/>
          <w:lang w:val="tr-TR"/>
        </w:rPr>
        <w:t xml:space="preserve"> için .83 olarak hesaplanmıştır.</w:t>
      </w:r>
      <w:r w:rsidR="00FE17D8" w:rsidRPr="003D53B9">
        <w:rPr>
          <w:rFonts w:asciiTheme="majorHAnsi" w:hAnsiTheme="majorHAnsi" w:cs="Times New Roman"/>
          <w:color w:val="auto"/>
          <w:sz w:val="20"/>
          <w:szCs w:val="20"/>
          <w:lang w:val="tr-TR"/>
        </w:rPr>
        <w:t xml:space="preserve"> </w:t>
      </w:r>
      <w:r w:rsidR="00802CB2" w:rsidRPr="003D53B9">
        <w:rPr>
          <w:rFonts w:asciiTheme="majorHAnsi" w:hAnsiTheme="majorHAnsi" w:cs="Times New Roman"/>
          <w:color w:val="auto"/>
          <w:sz w:val="20"/>
          <w:szCs w:val="20"/>
          <w:lang w:val="tr-TR"/>
        </w:rPr>
        <w:t>C</w:t>
      </w:r>
      <w:r w:rsidR="00FE17D8" w:rsidRPr="003D53B9">
        <w:rPr>
          <w:rFonts w:asciiTheme="majorHAnsi" w:hAnsiTheme="majorHAnsi" w:cs="Times New Roman"/>
          <w:color w:val="auto"/>
          <w:sz w:val="20"/>
          <w:szCs w:val="20"/>
          <w:lang w:val="tr-TR"/>
        </w:rPr>
        <w:t>insiyetler arası ölç</w:t>
      </w:r>
      <w:r w:rsidR="00570FD0">
        <w:rPr>
          <w:rFonts w:asciiTheme="majorHAnsi" w:hAnsiTheme="majorHAnsi" w:cs="Times New Roman"/>
          <w:color w:val="auto"/>
          <w:sz w:val="20"/>
          <w:szCs w:val="20"/>
          <w:lang w:val="tr-TR"/>
        </w:rPr>
        <w:t>me</w:t>
      </w:r>
      <w:r w:rsidR="009458AB" w:rsidRPr="003D53B9">
        <w:rPr>
          <w:rFonts w:asciiTheme="majorHAnsi" w:hAnsiTheme="majorHAnsi" w:cs="Times New Roman"/>
          <w:color w:val="auto"/>
          <w:sz w:val="20"/>
          <w:szCs w:val="20"/>
          <w:lang w:val="tr-TR"/>
        </w:rPr>
        <w:t xml:space="preserve"> değişmezliği </w:t>
      </w:r>
      <w:r w:rsidR="00802CB2" w:rsidRPr="003D53B9">
        <w:rPr>
          <w:rFonts w:asciiTheme="majorHAnsi" w:hAnsiTheme="majorHAnsi" w:cs="Times New Roman"/>
          <w:color w:val="auto"/>
          <w:sz w:val="20"/>
          <w:szCs w:val="20"/>
          <w:lang w:val="tr-TR"/>
        </w:rPr>
        <w:t xml:space="preserve">incelendiğinde ise </w:t>
      </w:r>
      <w:r w:rsidR="00FE17D8" w:rsidRPr="003D53B9">
        <w:rPr>
          <w:rFonts w:asciiTheme="majorHAnsi" w:hAnsiTheme="majorHAnsi" w:cs="Times New Roman"/>
          <w:color w:val="auto"/>
          <w:sz w:val="20"/>
          <w:szCs w:val="20"/>
          <w:lang w:val="tr-TR"/>
        </w:rPr>
        <w:t>sonuçlar</w:t>
      </w:r>
      <w:r w:rsidR="00802CB2" w:rsidRPr="003D53B9">
        <w:rPr>
          <w:rFonts w:asciiTheme="majorHAnsi" w:hAnsiTheme="majorHAnsi" w:cs="Times New Roman"/>
          <w:color w:val="auto"/>
          <w:sz w:val="20"/>
          <w:szCs w:val="20"/>
          <w:lang w:val="tr-TR"/>
        </w:rPr>
        <w:t>,</w:t>
      </w:r>
      <w:r w:rsidR="00FE17D8" w:rsidRPr="003D53B9">
        <w:rPr>
          <w:rFonts w:asciiTheme="majorHAnsi" w:hAnsiTheme="majorHAnsi" w:cs="Times New Roman"/>
          <w:color w:val="auto"/>
          <w:sz w:val="20"/>
          <w:szCs w:val="20"/>
          <w:lang w:val="tr-TR"/>
        </w:rPr>
        <w:t xml:space="preserve"> faktör yükleri, kovaryanslar, varyanslar ve hata terimlerinin cinsiyetler arasında değişmez olduğuna işaret etmektedir.  Geçerliğin ileri değerlendirmesinde ise beklen</w:t>
      </w:r>
      <w:r w:rsidR="00802CB2" w:rsidRPr="003D53B9">
        <w:rPr>
          <w:rFonts w:asciiTheme="majorHAnsi" w:hAnsiTheme="majorHAnsi" w:cs="Times New Roman"/>
          <w:color w:val="auto"/>
          <w:sz w:val="20"/>
          <w:szCs w:val="20"/>
          <w:lang w:val="tr-TR"/>
        </w:rPr>
        <w:t>ildiği gi</w:t>
      </w:r>
      <w:r w:rsidR="00FE17D8" w:rsidRPr="003D53B9">
        <w:rPr>
          <w:rFonts w:asciiTheme="majorHAnsi" w:hAnsiTheme="majorHAnsi" w:cs="Times New Roman"/>
          <w:color w:val="auto"/>
          <w:sz w:val="20"/>
          <w:szCs w:val="20"/>
          <w:lang w:val="tr-TR"/>
        </w:rPr>
        <w:t xml:space="preserve">bi özyeterliğin manidar olarak aracı </w:t>
      </w:r>
      <w:r w:rsidR="00DA2AFD">
        <w:rPr>
          <w:rFonts w:asciiTheme="majorHAnsi" w:hAnsiTheme="majorHAnsi" w:cs="Times New Roman"/>
          <w:color w:val="auto"/>
          <w:sz w:val="20"/>
          <w:szCs w:val="20"/>
          <w:lang w:val="tr-TR"/>
        </w:rPr>
        <w:t>katılım</w:t>
      </w:r>
      <w:r w:rsidR="00FE17D8" w:rsidRPr="003D53B9">
        <w:rPr>
          <w:rFonts w:asciiTheme="majorHAnsi" w:hAnsiTheme="majorHAnsi" w:cs="Times New Roman"/>
          <w:color w:val="auto"/>
          <w:sz w:val="20"/>
          <w:szCs w:val="20"/>
          <w:lang w:val="tr-TR"/>
        </w:rPr>
        <w:t>la (</w:t>
      </w:r>
      <w:r w:rsidR="00FE17D8" w:rsidRPr="003D53B9">
        <w:rPr>
          <w:rFonts w:asciiTheme="majorHAnsi" w:hAnsiTheme="majorHAnsi" w:cs="Times New Roman"/>
          <w:i/>
          <w:color w:val="auto"/>
          <w:sz w:val="20"/>
          <w:szCs w:val="20"/>
          <w:lang w:val="tr-TR"/>
        </w:rPr>
        <w:t xml:space="preserve">r </w:t>
      </w:r>
      <w:r w:rsidR="00FE17D8" w:rsidRPr="003D53B9">
        <w:rPr>
          <w:rFonts w:asciiTheme="majorHAnsi" w:hAnsiTheme="majorHAnsi" w:cs="Times New Roman"/>
          <w:color w:val="auto"/>
          <w:sz w:val="20"/>
          <w:szCs w:val="20"/>
          <w:lang w:val="tr-TR"/>
        </w:rPr>
        <w:t xml:space="preserve">= .53), davranışsal </w:t>
      </w:r>
      <w:r w:rsidR="00DA2AFD">
        <w:rPr>
          <w:rFonts w:asciiTheme="majorHAnsi" w:hAnsiTheme="majorHAnsi" w:cs="Times New Roman"/>
          <w:color w:val="auto"/>
          <w:sz w:val="20"/>
          <w:szCs w:val="20"/>
          <w:lang w:val="tr-TR"/>
        </w:rPr>
        <w:t>katılımla</w:t>
      </w:r>
      <w:r w:rsidR="00FE17D8" w:rsidRPr="003D53B9">
        <w:rPr>
          <w:rFonts w:asciiTheme="majorHAnsi" w:hAnsiTheme="majorHAnsi" w:cs="Times New Roman"/>
          <w:color w:val="auto"/>
          <w:sz w:val="20"/>
          <w:szCs w:val="20"/>
          <w:lang w:val="tr-TR"/>
        </w:rPr>
        <w:t xml:space="preserve"> (</w:t>
      </w:r>
      <w:r w:rsidR="00FE17D8" w:rsidRPr="003D53B9">
        <w:rPr>
          <w:rFonts w:asciiTheme="majorHAnsi" w:hAnsiTheme="majorHAnsi" w:cs="Times New Roman"/>
          <w:i/>
          <w:color w:val="auto"/>
          <w:sz w:val="20"/>
          <w:szCs w:val="20"/>
          <w:lang w:val="tr-TR"/>
        </w:rPr>
        <w:t xml:space="preserve">r </w:t>
      </w:r>
      <w:r w:rsidR="00FE17D8" w:rsidRPr="003D53B9">
        <w:rPr>
          <w:rFonts w:asciiTheme="majorHAnsi" w:hAnsiTheme="majorHAnsi" w:cs="Times New Roman"/>
          <w:color w:val="auto"/>
          <w:sz w:val="20"/>
          <w:szCs w:val="20"/>
          <w:lang w:val="tr-TR"/>
        </w:rPr>
        <w:t xml:space="preserve">= .57), bilişssel </w:t>
      </w:r>
      <w:r w:rsidR="00DA2AFD">
        <w:rPr>
          <w:rFonts w:asciiTheme="majorHAnsi" w:hAnsiTheme="majorHAnsi" w:cs="Times New Roman"/>
          <w:color w:val="auto"/>
          <w:sz w:val="20"/>
          <w:szCs w:val="20"/>
          <w:lang w:val="tr-TR"/>
        </w:rPr>
        <w:t>katılım</w:t>
      </w:r>
      <w:r w:rsidR="00FE17D8" w:rsidRPr="003D53B9">
        <w:rPr>
          <w:rFonts w:asciiTheme="majorHAnsi" w:hAnsiTheme="majorHAnsi" w:cs="Times New Roman"/>
          <w:color w:val="auto"/>
          <w:sz w:val="20"/>
          <w:szCs w:val="20"/>
          <w:lang w:val="tr-TR"/>
        </w:rPr>
        <w:t>la (</w:t>
      </w:r>
      <w:r w:rsidR="00FE17D8" w:rsidRPr="003D53B9">
        <w:rPr>
          <w:rFonts w:asciiTheme="majorHAnsi" w:hAnsiTheme="majorHAnsi" w:cs="Times New Roman"/>
          <w:i/>
          <w:color w:val="auto"/>
          <w:sz w:val="20"/>
          <w:szCs w:val="20"/>
          <w:lang w:val="tr-TR"/>
        </w:rPr>
        <w:t xml:space="preserve">r </w:t>
      </w:r>
      <w:r w:rsidR="00FE17D8" w:rsidRPr="003D53B9">
        <w:rPr>
          <w:rFonts w:asciiTheme="majorHAnsi" w:hAnsiTheme="majorHAnsi" w:cs="Times New Roman"/>
          <w:color w:val="auto"/>
          <w:sz w:val="20"/>
          <w:szCs w:val="20"/>
          <w:lang w:val="tr-TR"/>
        </w:rPr>
        <w:t xml:space="preserve">= .60) ve duygusal </w:t>
      </w:r>
      <w:r w:rsidR="00DA2AFD">
        <w:rPr>
          <w:rFonts w:asciiTheme="majorHAnsi" w:hAnsiTheme="majorHAnsi" w:cs="Times New Roman"/>
          <w:color w:val="auto"/>
          <w:sz w:val="20"/>
          <w:szCs w:val="20"/>
          <w:lang w:val="tr-TR"/>
        </w:rPr>
        <w:t>katılım</w:t>
      </w:r>
      <w:r w:rsidR="00FE17D8" w:rsidRPr="003D53B9">
        <w:rPr>
          <w:rFonts w:asciiTheme="majorHAnsi" w:hAnsiTheme="majorHAnsi" w:cs="Times New Roman"/>
          <w:color w:val="auto"/>
          <w:sz w:val="20"/>
          <w:szCs w:val="20"/>
          <w:lang w:val="tr-TR"/>
        </w:rPr>
        <w:t>la (</w:t>
      </w:r>
      <w:r w:rsidR="00FE17D8" w:rsidRPr="003D53B9">
        <w:rPr>
          <w:rFonts w:asciiTheme="majorHAnsi" w:hAnsiTheme="majorHAnsi" w:cs="Times New Roman"/>
          <w:i/>
          <w:color w:val="auto"/>
          <w:sz w:val="20"/>
          <w:szCs w:val="20"/>
          <w:lang w:val="tr-TR"/>
        </w:rPr>
        <w:t xml:space="preserve">r </w:t>
      </w:r>
      <w:r w:rsidR="00FE17D8" w:rsidRPr="003D53B9">
        <w:rPr>
          <w:rFonts w:asciiTheme="majorHAnsi" w:hAnsiTheme="majorHAnsi" w:cs="Times New Roman"/>
          <w:color w:val="auto"/>
          <w:sz w:val="20"/>
          <w:szCs w:val="20"/>
          <w:lang w:val="tr-TR"/>
        </w:rPr>
        <w:t xml:space="preserve">= .58) pozitif yönde ilişkili olduğu görülmüştür. </w:t>
      </w:r>
    </w:p>
    <w:p w:rsidR="00C01287" w:rsidRDefault="00087F3C" w:rsidP="00C01287">
      <w:pPr>
        <w:tabs>
          <w:tab w:val="center" w:pos="4536"/>
          <w:tab w:val="left" w:pos="6061"/>
        </w:tabs>
        <w:spacing w:before="240" w:after="240" w:line="240" w:lineRule="auto"/>
        <w:jc w:val="both"/>
        <w:rPr>
          <w:rFonts w:asciiTheme="majorHAnsi" w:eastAsia="Times New Roman" w:hAnsiTheme="majorHAnsi" w:cs="Times New Roman"/>
          <w:b/>
          <w:sz w:val="20"/>
          <w:szCs w:val="20"/>
          <w:highlight w:val="white"/>
        </w:rPr>
      </w:pPr>
      <w:proofErr w:type="spellStart"/>
      <w:r w:rsidRPr="003D53B9">
        <w:rPr>
          <w:rFonts w:asciiTheme="majorHAnsi" w:eastAsia="Times New Roman" w:hAnsiTheme="majorHAnsi" w:cs="Times New Roman"/>
          <w:b/>
          <w:sz w:val="20"/>
          <w:szCs w:val="20"/>
          <w:highlight w:val="white"/>
        </w:rPr>
        <w:t>Tartışma</w:t>
      </w:r>
      <w:proofErr w:type="spellEnd"/>
      <w:r w:rsidRPr="003D53B9">
        <w:rPr>
          <w:rFonts w:asciiTheme="majorHAnsi" w:eastAsia="Times New Roman" w:hAnsiTheme="majorHAnsi" w:cs="Times New Roman"/>
          <w:b/>
          <w:sz w:val="20"/>
          <w:szCs w:val="20"/>
          <w:highlight w:val="white"/>
        </w:rPr>
        <w:t xml:space="preserve">, </w:t>
      </w:r>
      <w:proofErr w:type="spellStart"/>
      <w:r w:rsidRPr="003D53B9">
        <w:rPr>
          <w:rFonts w:asciiTheme="majorHAnsi" w:eastAsia="Times New Roman" w:hAnsiTheme="majorHAnsi" w:cs="Times New Roman"/>
          <w:b/>
          <w:sz w:val="20"/>
          <w:szCs w:val="20"/>
          <w:highlight w:val="white"/>
        </w:rPr>
        <w:t>Sonuç</w:t>
      </w:r>
      <w:proofErr w:type="spellEnd"/>
      <w:r w:rsidRPr="003D53B9">
        <w:rPr>
          <w:rFonts w:asciiTheme="majorHAnsi" w:eastAsia="Times New Roman" w:hAnsiTheme="majorHAnsi" w:cs="Times New Roman"/>
          <w:b/>
          <w:sz w:val="20"/>
          <w:szCs w:val="20"/>
          <w:highlight w:val="white"/>
        </w:rPr>
        <w:t xml:space="preserve"> </w:t>
      </w:r>
      <w:proofErr w:type="spellStart"/>
      <w:r w:rsidR="00C01287">
        <w:rPr>
          <w:rFonts w:asciiTheme="majorHAnsi" w:eastAsia="Times New Roman" w:hAnsiTheme="majorHAnsi" w:cs="Times New Roman"/>
          <w:b/>
          <w:sz w:val="20"/>
          <w:szCs w:val="20"/>
          <w:highlight w:val="white"/>
        </w:rPr>
        <w:t>ve</w:t>
      </w:r>
      <w:proofErr w:type="spellEnd"/>
      <w:r w:rsidR="00C01287">
        <w:rPr>
          <w:rFonts w:asciiTheme="majorHAnsi" w:eastAsia="Times New Roman" w:hAnsiTheme="majorHAnsi" w:cs="Times New Roman"/>
          <w:b/>
          <w:sz w:val="20"/>
          <w:szCs w:val="20"/>
          <w:highlight w:val="white"/>
        </w:rPr>
        <w:t xml:space="preserve"> </w:t>
      </w:r>
      <w:proofErr w:type="spellStart"/>
      <w:r w:rsidR="00C01287">
        <w:rPr>
          <w:rFonts w:asciiTheme="majorHAnsi" w:eastAsia="Times New Roman" w:hAnsiTheme="majorHAnsi" w:cs="Times New Roman"/>
          <w:b/>
          <w:sz w:val="20"/>
          <w:szCs w:val="20"/>
          <w:highlight w:val="white"/>
        </w:rPr>
        <w:t>Öneriler</w:t>
      </w:r>
      <w:proofErr w:type="spellEnd"/>
    </w:p>
    <w:p w:rsidR="00087F3C" w:rsidRPr="003D53B9" w:rsidRDefault="00087F3C" w:rsidP="00C01287">
      <w:pPr>
        <w:spacing w:after="0" w:line="240" w:lineRule="auto"/>
        <w:ind w:firstLine="567"/>
        <w:jc w:val="both"/>
        <w:rPr>
          <w:rFonts w:asciiTheme="majorHAnsi" w:eastAsia="Times New Roman" w:hAnsiTheme="majorHAnsi" w:cs="Times New Roman"/>
          <w:b/>
          <w:sz w:val="20"/>
          <w:szCs w:val="20"/>
          <w:highlight w:val="white"/>
        </w:rPr>
      </w:pPr>
      <w:r w:rsidRPr="003D53B9">
        <w:rPr>
          <w:rFonts w:asciiTheme="majorHAnsi" w:hAnsiTheme="majorHAnsi" w:cs="Times New Roman"/>
          <w:color w:val="auto"/>
          <w:sz w:val="20"/>
          <w:szCs w:val="20"/>
          <w:lang w:val="tr-TR"/>
        </w:rPr>
        <w:t>Bu çalışma</w:t>
      </w:r>
      <w:r w:rsidR="00802CB2" w:rsidRPr="003D53B9">
        <w:rPr>
          <w:rFonts w:asciiTheme="majorHAnsi" w:hAnsiTheme="majorHAnsi" w:cs="Times New Roman"/>
          <w:color w:val="auto"/>
          <w:sz w:val="20"/>
          <w:szCs w:val="20"/>
          <w:lang w:val="tr-TR"/>
        </w:rPr>
        <w:t>,</w:t>
      </w:r>
      <w:r w:rsidRPr="003D53B9">
        <w:rPr>
          <w:rFonts w:asciiTheme="majorHAnsi" w:hAnsiTheme="majorHAnsi" w:cs="Times New Roman"/>
          <w:color w:val="auto"/>
          <w:sz w:val="20"/>
          <w:szCs w:val="20"/>
          <w:lang w:val="tr-TR"/>
        </w:rPr>
        <w:t xml:space="preserve"> yapılan analizler sonucunda </w:t>
      </w:r>
      <w:r w:rsidR="00DA2AFD">
        <w:rPr>
          <w:rFonts w:asciiTheme="majorHAnsi" w:hAnsiTheme="majorHAnsi" w:cs="Times New Roman"/>
          <w:color w:val="auto"/>
          <w:sz w:val="20"/>
          <w:szCs w:val="20"/>
          <w:lang w:val="tr-TR"/>
        </w:rPr>
        <w:t>katılım</w:t>
      </w:r>
      <w:r w:rsidRPr="003D53B9">
        <w:rPr>
          <w:rFonts w:asciiTheme="majorHAnsi" w:hAnsiTheme="majorHAnsi"/>
          <w:sz w:val="20"/>
          <w:szCs w:val="20"/>
        </w:rPr>
        <w:t xml:space="preserve"> </w:t>
      </w:r>
      <w:proofErr w:type="spellStart"/>
      <w:r w:rsidRPr="003D53B9">
        <w:rPr>
          <w:rFonts w:asciiTheme="majorHAnsi" w:hAnsiTheme="majorHAnsi"/>
          <w:sz w:val="20"/>
          <w:szCs w:val="20"/>
        </w:rPr>
        <w:t>ölçeğinin</w:t>
      </w:r>
      <w:proofErr w:type="spellEnd"/>
      <w:r w:rsidRPr="003D53B9">
        <w:rPr>
          <w:rFonts w:asciiTheme="majorHAnsi" w:hAnsiTheme="majorHAnsi" w:cs="Times New Roman"/>
          <w:color w:val="auto"/>
          <w:sz w:val="20"/>
          <w:szCs w:val="20"/>
          <w:lang w:val="tr-TR"/>
        </w:rPr>
        <w:t xml:space="preserve"> Türkçe formunun geçerli ve güvenilir bir ölçek olarak ortaokul öğrencilerinin fen derslerindeki </w:t>
      </w:r>
      <w:r w:rsidR="00D63187">
        <w:rPr>
          <w:rFonts w:asciiTheme="majorHAnsi" w:hAnsiTheme="majorHAnsi" w:cs="Times New Roman"/>
          <w:color w:val="auto"/>
          <w:sz w:val="20"/>
          <w:szCs w:val="20"/>
          <w:lang w:val="tr-TR"/>
        </w:rPr>
        <w:t>katılımı</w:t>
      </w:r>
      <w:r w:rsidRPr="003D53B9">
        <w:rPr>
          <w:rFonts w:asciiTheme="majorHAnsi" w:hAnsiTheme="majorHAnsi" w:cs="Times New Roman"/>
          <w:color w:val="auto"/>
          <w:sz w:val="20"/>
          <w:szCs w:val="20"/>
          <w:lang w:val="tr-TR"/>
        </w:rPr>
        <w:t xml:space="preserve">nı farklı boyutlarda ölçmek amacıyla kullanılabileceğini önermektedir. Öğrenci </w:t>
      </w:r>
      <w:r w:rsidR="00D63187">
        <w:rPr>
          <w:rFonts w:asciiTheme="majorHAnsi" w:hAnsiTheme="majorHAnsi" w:cs="Times New Roman"/>
          <w:color w:val="auto"/>
          <w:sz w:val="20"/>
          <w:szCs w:val="20"/>
          <w:lang w:val="tr-TR"/>
        </w:rPr>
        <w:t>katılımı</w:t>
      </w:r>
      <w:r w:rsidR="00802CB2" w:rsidRPr="003D53B9">
        <w:rPr>
          <w:rFonts w:asciiTheme="majorHAnsi" w:hAnsiTheme="majorHAnsi" w:cs="Times New Roman"/>
          <w:color w:val="auto"/>
          <w:sz w:val="20"/>
          <w:szCs w:val="20"/>
          <w:lang w:val="tr-TR"/>
        </w:rPr>
        <w:t>,</w:t>
      </w:r>
      <w:r w:rsidRPr="003D53B9">
        <w:rPr>
          <w:rFonts w:asciiTheme="majorHAnsi" w:hAnsiTheme="majorHAnsi" w:cs="Times New Roman"/>
          <w:color w:val="auto"/>
          <w:sz w:val="20"/>
          <w:szCs w:val="20"/>
          <w:lang w:val="tr-TR"/>
        </w:rPr>
        <w:t xml:space="preserve"> başarı ile ilgili çıktılarla yüksek oranda ilişkili bulunduğu için bu ölçekten elde edilen veriler öğrencilerin fen başarılarını geliştirmek için tanılayıcı bir araç olarak kullanılabilir.  </w:t>
      </w:r>
      <w:r w:rsidR="00802CB2" w:rsidRPr="003D53B9">
        <w:rPr>
          <w:rFonts w:asciiTheme="majorHAnsi" w:hAnsiTheme="majorHAnsi" w:cs="Times New Roman"/>
          <w:color w:val="auto"/>
          <w:sz w:val="20"/>
          <w:szCs w:val="20"/>
          <w:lang w:val="tr-TR"/>
        </w:rPr>
        <w:t>Ancak ölçeğin</w:t>
      </w:r>
      <w:r w:rsidRPr="003D53B9">
        <w:rPr>
          <w:rFonts w:asciiTheme="majorHAnsi" w:hAnsiTheme="majorHAnsi" w:cs="Times New Roman"/>
          <w:color w:val="auto"/>
          <w:sz w:val="20"/>
          <w:szCs w:val="20"/>
          <w:lang w:val="tr-TR"/>
        </w:rPr>
        <w:t xml:space="preserve"> sadece fen bilgisi alanında geçerli olduğunun </w:t>
      </w:r>
      <w:r w:rsidR="00802CB2" w:rsidRPr="003D53B9">
        <w:rPr>
          <w:rFonts w:asciiTheme="majorHAnsi" w:hAnsiTheme="majorHAnsi" w:cs="Times New Roman"/>
          <w:color w:val="auto"/>
          <w:sz w:val="20"/>
          <w:szCs w:val="20"/>
          <w:lang w:val="tr-TR"/>
        </w:rPr>
        <w:t>unutulmaması</w:t>
      </w:r>
      <w:r w:rsidRPr="003D53B9">
        <w:rPr>
          <w:rFonts w:asciiTheme="majorHAnsi" w:hAnsiTheme="majorHAnsi" w:cs="Times New Roman"/>
          <w:color w:val="auto"/>
          <w:sz w:val="20"/>
          <w:szCs w:val="20"/>
          <w:lang w:val="tr-TR"/>
        </w:rPr>
        <w:t xml:space="preserve"> gerekir çünkü öğrencilerin </w:t>
      </w:r>
      <w:r w:rsidR="00DA2AFD">
        <w:rPr>
          <w:rFonts w:asciiTheme="majorHAnsi" w:hAnsiTheme="majorHAnsi" w:cs="Times New Roman"/>
          <w:color w:val="auto"/>
          <w:sz w:val="20"/>
          <w:szCs w:val="20"/>
          <w:lang w:val="tr-TR"/>
        </w:rPr>
        <w:t>katılım</w:t>
      </w:r>
      <w:r w:rsidRPr="003D53B9">
        <w:rPr>
          <w:rFonts w:asciiTheme="majorHAnsi" w:hAnsiTheme="majorHAnsi" w:cs="Times New Roman"/>
          <w:color w:val="auto"/>
          <w:sz w:val="20"/>
          <w:szCs w:val="20"/>
          <w:lang w:val="tr-TR"/>
        </w:rPr>
        <w:t xml:space="preserve"> seviyesi farklı alanlarda farklılık gösterebilmektedir. Dolayısıyla, öğrencilerin alana özgü </w:t>
      </w:r>
      <w:r w:rsidR="00DA2AFD">
        <w:rPr>
          <w:rFonts w:asciiTheme="majorHAnsi" w:hAnsiTheme="majorHAnsi" w:cs="Times New Roman"/>
          <w:color w:val="auto"/>
          <w:sz w:val="20"/>
          <w:szCs w:val="20"/>
          <w:lang w:val="tr-TR"/>
        </w:rPr>
        <w:t>katılım</w:t>
      </w:r>
      <w:r w:rsidRPr="003D53B9">
        <w:rPr>
          <w:rFonts w:asciiTheme="majorHAnsi" w:hAnsiTheme="majorHAnsi" w:cs="Times New Roman"/>
          <w:color w:val="auto"/>
          <w:sz w:val="20"/>
          <w:szCs w:val="20"/>
          <w:lang w:val="tr-TR"/>
        </w:rPr>
        <w:t xml:space="preserve"> seviyelerinin incelenmesi gerekmektedir.  B</w:t>
      </w:r>
      <w:r w:rsidR="003D53B9" w:rsidRPr="003D53B9">
        <w:rPr>
          <w:rFonts w:asciiTheme="majorHAnsi" w:hAnsiTheme="majorHAnsi" w:cs="Times New Roman"/>
          <w:color w:val="auto"/>
          <w:sz w:val="20"/>
          <w:szCs w:val="20"/>
          <w:lang w:val="tr-TR"/>
        </w:rPr>
        <w:t xml:space="preserve">u yüzden, </w:t>
      </w:r>
      <w:r w:rsidR="009458AB" w:rsidRPr="003D53B9">
        <w:rPr>
          <w:rFonts w:asciiTheme="majorHAnsi" w:hAnsiTheme="majorHAnsi" w:cs="Times New Roman"/>
          <w:color w:val="auto"/>
          <w:sz w:val="20"/>
          <w:szCs w:val="20"/>
          <w:lang w:val="tr-TR"/>
        </w:rPr>
        <w:t xml:space="preserve">ölçeğin </w:t>
      </w:r>
      <w:r w:rsidRPr="003D53B9">
        <w:rPr>
          <w:rFonts w:asciiTheme="majorHAnsi" w:hAnsiTheme="majorHAnsi" w:cs="Times New Roman"/>
          <w:color w:val="auto"/>
          <w:sz w:val="20"/>
          <w:szCs w:val="20"/>
          <w:lang w:val="tr-TR"/>
        </w:rPr>
        <w:t xml:space="preserve">dış geçerliliğin artırılması için ortaokul düzeyindeki farklı alanlarda, ölçeğin geçerliliğine kanıt sağlanması gerekmektedir. Ayrıca, </w:t>
      </w:r>
      <w:r w:rsidR="00A64978" w:rsidRPr="003D53B9">
        <w:rPr>
          <w:rFonts w:asciiTheme="majorHAnsi" w:hAnsiTheme="majorHAnsi" w:cs="Times New Roman"/>
          <w:color w:val="auto"/>
          <w:sz w:val="20"/>
          <w:szCs w:val="20"/>
          <w:lang w:val="tr-TR"/>
        </w:rPr>
        <w:t xml:space="preserve">bu </w:t>
      </w:r>
      <w:r w:rsidRPr="003D53B9">
        <w:rPr>
          <w:rFonts w:asciiTheme="majorHAnsi" w:hAnsiTheme="majorHAnsi" w:cs="Times New Roman"/>
          <w:color w:val="auto"/>
          <w:sz w:val="20"/>
          <w:szCs w:val="20"/>
          <w:lang w:val="tr-TR"/>
        </w:rPr>
        <w:t xml:space="preserve">ölçek </w:t>
      </w:r>
      <w:r w:rsidR="009458AB" w:rsidRPr="003D53B9">
        <w:rPr>
          <w:rFonts w:asciiTheme="majorHAnsi" w:hAnsiTheme="majorHAnsi" w:cs="Times New Roman"/>
          <w:color w:val="auto"/>
          <w:sz w:val="20"/>
          <w:szCs w:val="20"/>
          <w:lang w:val="tr-TR"/>
        </w:rPr>
        <w:t xml:space="preserve">farklı sınıf düzeylerinde de </w:t>
      </w:r>
      <w:r w:rsidRPr="003D53B9">
        <w:rPr>
          <w:rFonts w:asciiTheme="majorHAnsi" w:hAnsiTheme="majorHAnsi" w:cs="Times New Roman"/>
          <w:color w:val="auto"/>
          <w:sz w:val="20"/>
          <w:szCs w:val="20"/>
          <w:lang w:val="tr-TR"/>
        </w:rPr>
        <w:t xml:space="preserve">başarı ile ilgili çıktıları geliştirmek amacıyla öğrenci </w:t>
      </w:r>
      <w:r w:rsidR="00D63187">
        <w:rPr>
          <w:rFonts w:asciiTheme="majorHAnsi" w:hAnsiTheme="majorHAnsi" w:cs="Times New Roman"/>
          <w:color w:val="auto"/>
          <w:sz w:val="20"/>
          <w:szCs w:val="20"/>
          <w:lang w:val="tr-TR"/>
        </w:rPr>
        <w:t>katılımı</w:t>
      </w:r>
      <w:r w:rsidRPr="003D53B9">
        <w:rPr>
          <w:rFonts w:asciiTheme="majorHAnsi" w:hAnsiTheme="majorHAnsi" w:cs="Times New Roman"/>
          <w:color w:val="auto"/>
          <w:sz w:val="20"/>
          <w:szCs w:val="20"/>
          <w:lang w:val="tr-TR"/>
        </w:rPr>
        <w:t>nı değerlen</w:t>
      </w:r>
      <w:r w:rsidR="00A64978" w:rsidRPr="003D53B9">
        <w:rPr>
          <w:rFonts w:asciiTheme="majorHAnsi" w:hAnsiTheme="majorHAnsi" w:cs="Times New Roman"/>
          <w:color w:val="auto"/>
          <w:sz w:val="20"/>
          <w:szCs w:val="20"/>
          <w:lang w:val="tr-TR"/>
        </w:rPr>
        <w:t xml:space="preserve">dirmek için </w:t>
      </w:r>
      <w:r w:rsidRPr="003D53B9">
        <w:rPr>
          <w:rFonts w:asciiTheme="majorHAnsi" w:hAnsiTheme="majorHAnsi" w:cs="Times New Roman"/>
          <w:color w:val="auto"/>
          <w:sz w:val="20"/>
          <w:szCs w:val="20"/>
          <w:lang w:val="tr-TR"/>
        </w:rPr>
        <w:t xml:space="preserve">geçerli kılınabilir. </w:t>
      </w:r>
    </w:p>
    <w:p w:rsidR="00853750" w:rsidRDefault="00853750" w:rsidP="00B37855">
      <w:pPr>
        <w:spacing w:after="0" w:line="240" w:lineRule="auto"/>
        <w:rPr>
          <w:rFonts w:asciiTheme="majorHAnsi" w:eastAsia="Times New Roman" w:hAnsiTheme="majorHAnsi" w:cs="Times New Roman"/>
          <w:b/>
          <w:highlight w:val="white"/>
        </w:rPr>
      </w:pPr>
    </w:p>
    <w:p w:rsidR="00C01287" w:rsidRDefault="00C01287" w:rsidP="00B37855">
      <w:pPr>
        <w:spacing w:after="0" w:line="240" w:lineRule="auto"/>
        <w:rPr>
          <w:rFonts w:asciiTheme="majorHAnsi" w:eastAsia="Times New Roman" w:hAnsiTheme="majorHAnsi" w:cs="Times New Roman"/>
          <w:b/>
          <w:highlight w:val="white"/>
        </w:rPr>
      </w:pPr>
    </w:p>
    <w:p w:rsidR="00215FE6" w:rsidRDefault="00215FE6" w:rsidP="00B37855">
      <w:pPr>
        <w:spacing w:after="0" w:line="240" w:lineRule="auto"/>
        <w:rPr>
          <w:rFonts w:asciiTheme="majorHAnsi" w:eastAsia="Times New Roman" w:hAnsiTheme="majorHAnsi" w:cs="Times New Roman"/>
          <w:b/>
          <w:highlight w:val="white"/>
        </w:rPr>
      </w:pPr>
    </w:p>
    <w:p w:rsidR="00C01287" w:rsidRDefault="00C01287" w:rsidP="00B37855">
      <w:pPr>
        <w:spacing w:after="0" w:line="240" w:lineRule="auto"/>
        <w:rPr>
          <w:rFonts w:asciiTheme="majorHAnsi" w:eastAsia="Times New Roman" w:hAnsiTheme="majorHAnsi" w:cs="Times New Roman"/>
          <w:b/>
          <w:highlight w:val="white"/>
        </w:rPr>
      </w:pPr>
    </w:p>
    <w:p w:rsidR="00B37855" w:rsidRDefault="00B37855" w:rsidP="00C01287">
      <w:pPr>
        <w:spacing w:after="240" w:line="240" w:lineRule="auto"/>
        <w:rPr>
          <w:rFonts w:asciiTheme="majorHAnsi" w:eastAsia="Times New Roman" w:hAnsiTheme="majorHAnsi" w:cs="Times New Roman"/>
          <w:b/>
        </w:rPr>
      </w:pPr>
      <w:r w:rsidRPr="001775C1">
        <w:rPr>
          <w:rFonts w:asciiTheme="majorHAnsi" w:eastAsia="Times New Roman" w:hAnsiTheme="majorHAnsi" w:cs="Times New Roman"/>
          <w:b/>
          <w:highlight w:val="white"/>
        </w:rPr>
        <w:lastRenderedPageBreak/>
        <w:t>INTRODUCTION</w:t>
      </w:r>
    </w:p>
    <w:p w:rsidR="005F4BE2" w:rsidRPr="001775C1" w:rsidRDefault="005F4BE2" w:rsidP="00C01287">
      <w:pPr>
        <w:spacing w:after="0" w:line="240" w:lineRule="auto"/>
        <w:ind w:firstLine="567"/>
        <w:jc w:val="both"/>
        <w:rPr>
          <w:rFonts w:asciiTheme="majorHAnsi" w:eastAsia="Times New Roman" w:hAnsiTheme="majorHAnsi" w:cs="Times New Roman"/>
        </w:rPr>
      </w:pPr>
      <w:r w:rsidRPr="001775C1">
        <w:rPr>
          <w:rFonts w:asciiTheme="majorHAnsi" w:eastAsia="Times New Roman" w:hAnsiTheme="majorHAnsi" w:cs="Times New Roman"/>
        </w:rPr>
        <w:t>In recent years, researchers, educators, and policymakers have been increasingly maintaining enthusiasm for understanding and collecting data on student engagement (</w:t>
      </w:r>
      <w:proofErr w:type="spellStart"/>
      <w:r w:rsidRPr="001775C1">
        <w:rPr>
          <w:rFonts w:asciiTheme="majorHAnsi" w:eastAsia="Times New Roman" w:hAnsiTheme="majorHAnsi" w:cs="Times New Roman"/>
        </w:rPr>
        <w:t>Fredricks</w:t>
      </w:r>
      <w:proofErr w:type="spellEnd"/>
      <w:r w:rsidRPr="001775C1">
        <w:rPr>
          <w:rFonts w:asciiTheme="majorHAnsi" w:eastAsia="Times New Roman" w:hAnsiTheme="majorHAnsi" w:cs="Times New Roman"/>
        </w:rPr>
        <w:t xml:space="preserve">, </w:t>
      </w:r>
      <w:proofErr w:type="spellStart"/>
      <w:r w:rsidRPr="001775C1">
        <w:rPr>
          <w:rFonts w:asciiTheme="majorHAnsi" w:eastAsia="Times New Roman" w:hAnsiTheme="majorHAnsi" w:cs="Times New Roman"/>
        </w:rPr>
        <w:t>Blumenfeld</w:t>
      </w:r>
      <w:proofErr w:type="spellEnd"/>
      <w:r w:rsidRPr="001775C1">
        <w:rPr>
          <w:rFonts w:asciiTheme="majorHAnsi" w:eastAsia="Times New Roman" w:hAnsiTheme="majorHAnsi" w:cs="Times New Roman"/>
        </w:rPr>
        <w:t xml:space="preserve">, &amp; Paris, 2004). Possible reason of this interest is that engagement shapes to students’ academic retention, resilience, and achievement (Skinner, </w:t>
      </w:r>
      <w:proofErr w:type="spellStart"/>
      <w:r w:rsidRPr="001775C1">
        <w:rPr>
          <w:rFonts w:asciiTheme="majorHAnsi" w:eastAsia="Times New Roman" w:hAnsiTheme="majorHAnsi" w:cs="Times New Roman"/>
        </w:rPr>
        <w:t>Kindermann</w:t>
      </w:r>
      <w:proofErr w:type="spellEnd"/>
      <w:r w:rsidRPr="001775C1">
        <w:rPr>
          <w:rFonts w:asciiTheme="majorHAnsi" w:eastAsia="Times New Roman" w:hAnsiTheme="majorHAnsi" w:cs="Times New Roman"/>
        </w:rPr>
        <w:t xml:space="preserve">, &amp; </w:t>
      </w:r>
      <w:proofErr w:type="spellStart"/>
      <w:r w:rsidRPr="001775C1">
        <w:rPr>
          <w:rFonts w:asciiTheme="majorHAnsi" w:eastAsia="Times New Roman" w:hAnsiTheme="majorHAnsi" w:cs="Times New Roman"/>
        </w:rPr>
        <w:t>Furrer</w:t>
      </w:r>
      <w:proofErr w:type="spellEnd"/>
      <w:r w:rsidRPr="001775C1">
        <w:rPr>
          <w:rFonts w:asciiTheme="majorHAnsi" w:eastAsia="Times New Roman" w:hAnsiTheme="majorHAnsi" w:cs="Times New Roman"/>
        </w:rPr>
        <w:t>, 2008) as well as it is considered as a solution to students’ high level of boredom, low achievement, and high dropping out rates (</w:t>
      </w:r>
      <w:proofErr w:type="spellStart"/>
      <w:r w:rsidRPr="001775C1">
        <w:rPr>
          <w:rFonts w:asciiTheme="majorHAnsi" w:eastAsia="Times New Roman" w:hAnsiTheme="majorHAnsi" w:cs="Times New Roman"/>
        </w:rPr>
        <w:t>Fredricks</w:t>
      </w:r>
      <w:proofErr w:type="spellEnd"/>
      <w:r w:rsidRPr="001775C1">
        <w:rPr>
          <w:rFonts w:asciiTheme="majorHAnsi" w:eastAsia="Times New Roman" w:hAnsiTheme="majorHAnsi" w:cs="Times New Roman"/>
        </w:rPr>
        <w:t xml:space="preserve">, </w:t>
      </w:r>
      <w:proofErr w:type="spellStart"/>
      <w:r w:rsidRPr="001775C1">
        <w:rPr>
          <w:rFonts w:asciiTheme="majorHAnsi" w:eastAsia="Times New Roman" w:hAnsiTheme="majorHAnsi" w:cs="Times New Roman"/>
        </w:rPr>
        <w:t>Blumenfeld</w:t>
      </w:r>
      <w:proofErr w:type="spellEnd"/>
      <w:r w:rsidRPr="001775C1">
        <w:rPr>
          <w:rFonts w:asciiTheme="majorHAnsi" w:eastAsia="Times New Roman" w:hAnsiTheme="majorHAnsi" w:cs="Times New Roman"/>
        </w:rPr>
        <w:t xml:space="preserve">, &amp; Paris, 2004). </w:t>
      </w:r>
    </w:p>
    <w:p w:rsidR="005F4BE2" w:rsidRPr="001775C1" w:rsidRDefault="005F4BE2" w:rsidP="00C01287">
      <w:pPr>
        <w:spacing w:after="0" w:line="240" w:lineRule="auto"/>
        <w:ind w:firstLine="567"/>
        <w:jc w:val="both"/>
        <w:rPr>
          <w:rFonts w:asciiTheme="majorHAnsi" w:eastAsia="Times New Roman" w:hAnsiTheme="majorHAnsi" w:cs="Times New Roman"/>
          <w:color w:val="0070C0"/>
        </w:rPr>
      </w:pPr>
      <w:r w:rsidRPr="001775C1">
        <w:rPr>
          <w:rFonts w:asciiTheme="majorHAnsi" w:eastAsia="Times New Roman" w:hAnsiTheme="majorHAnsi" w:cs="Times New Roman"/>
          <w:color w:val="0070C0"/>
        </w:rPr>
        <w:tab/>
      </w:r>
      <w:r w:rsidRPr="001775C1">
        <w:rPr>
          <w:rFonts w:asciiTheme="majorHAnsi" w:eastAsia="Times New Roman" w:hAnsiTheme="majorHAnsi" w:cs="Times New Roman"/>
        </w:rPr>
        <w:t>Despite the growing interest in student engagement, there is little consensus among researchers about how to conceptualize and define it due to being a wide construct</w:t>
      </w:r>
      <w:r w:rsidRPr="001775C1">
        <w:rPr>
          <w:rFonts w:asciiTheme="majorHAnsi" w:eastAsia="Times New Roman" w:hAnsiTheme="majorHAnsi" w:cs="Times New Roman"/>
          <w:color w:val="FF0000"/>
        </w:rPr>
        <w:t xml:space="preserve"> </w:t>
      </w:r>
      <w:r w:rsidRPr="001775C1">
        <w:rPr>
          <w:rFonts w:asciiTheme="majorHAnsi" w:eastAsia="Times New Roman" w:hAnsiTheme="majorHAnsi" w:cs="Times New Roman"/>
        </w:rPr>
        <w:t>(Farmer-</w:t>
      </w:r>
      <w:proofErr w:type="spellStart"/>
      <w:r w:rsidRPr="001775C1">
        <w:rPr>
          <w:rFonts w:asciiTheme="majorHAnsi" w:eastAsia="Times New Roman" w:hAnsiTheme="majorHAnsi" w:cs="Times New Roman"/>
        </w:rPr>
        <w:t>Dougan</w:t>
      </w:r>
      <w:proofErr w:type="spellEnd"/>
      <w:r w:rsidRPr="001775C1">
        <w:rPr>
          <w:rFonts w:asciiTheme="majorHAnsi" w:eastAsia="Times New Roman" w:hAnsiTheme="majorHAnsi" w:cs="Times New Roman"/>
        </w:rPr>
        <w:t>, &amp; McKinney, 2001).  Student engagement was formerly described through behaviors that are observable like participation (</w:t>
      </w:r>
      <w:proofErr w:type="spellStart"/>
      <w:r w:rsidRPr="001775C1">
        <w:rPr>
          <w:rFonts w:asciiTheme="majorHAnsi" w:eastAsia="Times New Roman" w:hAnsiTheme="majorHAnsi" w:cs="Times New Roman"/>
        </w:rPr>
        <w:t>Natriello</w:t>
      </w:r>
      <w:proofErr w:type="spellEnd"/>
      <w:r w:rsidRPr="001775C1">
        <w:rPr>
          <w:rFonts w:asciiTheme="majorHAnsi" w:eastAsia="Times New Roman" w:hAnsiTheme="majorHAnsi" w:cs="Times New Roman"/>
        </w:rPr>
        <w:t xml:space="preserve">, 1984 as cited in </w:t>
      </w:r>
      <w:proofErr w:type="spellStart"/>
      <w:r w:rsidRPr="001775C1">
        <w:rPr>
          <w:rFonts w:asciiTheme="majorHAnsi" w:eastAsia="Times New Roman" w:hAnsiTheme="majorHAnsi" w:cs="Times New Roman"/>
        </w:rPr>
        <w:t>Fredricks</w:t>
      </w:r>
      <w:proofErr w:type="spellEnd"/>
      <w:r w:rsidRPr="001775C1">
        <w:rPr>
          <w:rFonts w:asciiTheme="majorHAnsi" w:eastAsia="Times New Roman" w:hAnsiTheme="majorHAnsi" w:cs="Times New Roman"/>
        </w:rPr>
        <w:t xml:space="preserve"> et al., 2011). Then, emotional or affective aspects were also included into conceptualization of engagement (Connell, 1990; Finn, 1989). For example, most of the researchers adopted the following definition: engagement is the behavioral intensity and emotional quality of a student’s active participation in a task (Connell, 1990; Connell &amp; Wellborn, 1991; Wellborn, 1991). </w:t>
      </w:r>
      <w:proofErr w:type="spellStart"/>
      <w:r w:rsidRPr="001775C1">
        <w:rPr>
          <w:rFonts w:asciiTheme="majorHAnsi" w:eastAsia="Times New Roman" w:hAnsiTheme="majorHAnsi" w:cs="Times New Roman"/>
        </w:rPr>
        <w:t>Miserandino</w:t>
      </w:r>
      <w:proofErr w:type="spellEnd"/>
      <w:r w:rsidRPr="001775C1">
        <w:rPr>
          <w:rFonts w:asciiTheme="majorHAnsi" w:eastAsia="Times New Roman" w:hAnsiTheme="majorHAnsi" w:cs="Times New Roman"/>
        </w:rPr>
        <w:t xml:space="preserve"> (1996) also indicated that definition of student engagement covers students’ behaviors </w:t>
      </w:r>
      <w:r w:rsidR="00290416">
        <w:rPr>
          <w:rFonts w:asciiTheme="majorHAnsi" w:eastAsia="Times New Roman" w:hAnsiTheme="majorHAnsi" w:cs="Times New Roman"/>
        </w:rPr>
        <w:t>such as</w:t>
      </w:r>
      <w:r w:rsidR="00290416" w:rsidRPr="001775C1">
        <w:rPr>
          <w:rFonts w:asciiTheme="majorHAnsi" w:eastAsia="Times New Roman" w:hAnsiTheme="majorHAnsi" w:cs="Times New Roman"/>
        </w:rPr>
        <w:t xml:space="preserve"> </w:t>
      </w:r>
      <w:r w:rsidRPr="001775C1">
        <w:rPr>
          <w:rFonts w:asciiTheme="majorHAnsi" w:eastAsia="Times New Roman" w:hAnsiTheme="majorHAnsi" w:cs="Times New Roman"/>
        </w:rPr>
        <w:t>participation, having persistence, being curious and calm. These definitions contain feelings of belonging, attachment, and enjoyment, and hence it can be said that these researchers adopt the two-dimensional engagement model which contains emotion (e.g., attention, belonging, enjoy, and positive emotions) and behavior (e.g., involvement, exertion, and positive conduct). Recently, some researchers (</w:t>
      </w:r>
      <w:proofErr w:type="spellStart"/>
      <w:r w:rsidRPr="001775C1">
        <w:rPr>
          <w:rFonts w:asciiTheme="majorHAnsi" w:eastAsia="Times New Roman" w:hAnsiTheme="majorHAnsi" w:cs="Times New Roman"/>
        </w:rPr>
        <w:t>Archaumbault</w:t>
      </w:r>
      <w:proofErr w:type="spellEnd"/>
      <w:r w:rsidRPr="001775C1">
        <w:rPr>
          <w:rFonts w:asciiTheme="majorHAnsi" w:eastAsia="Times New Roman" w:hAnsiTheme="majorHAnsi" w:cs="Times New Roman"/>
        </w:rPr>
        <w:t xml:space="preserve"> et al., 2009; </w:t>
      </w:r>
      <w:proofErr w:type="spellStart"/>
      <w:r w:rsidRPr="001775C1">
        <w:rPr>
          <w:rFonts w:asciiTheme="majorHAnsi" w:eastAsia="Times New Roman" w:hAnsiTheme="majorHAnsi" w:cs="Times New Roman"/>
        </w:rPr>
        <w:t>Fredricks</w:t>
      </w:r>
      <w:proofErr w:type="spellEnd"/>
      <w:r w:rsidRPr="001775C1">
        <w:rPr>
          <w:rFonts w:asciiTheme="majorHAnsi" w:eastAsia="Times New Roman" w:hAnsiTheme="majorHAnsi" w:cs="Times New Roman"/>
        </w:rPr>
        <w:t xml:space="preserve"> et al., 2004; </w:t>
      </w:r>
      <w:proofErr w:type="spellStart"/>
      <w:r w:rsidRPr="001775C1">
        <w:rPr>
          <w:rFonts w:asciiTheme="majorHAnsi" w:hAnsiTheme="majorHAnsi" w:cs="Times New Roman"/>
        </w:rPr>
        <w:t>Jimerson</w:t>
      </w:r>
      <w:proofErr w:type="spellEnd"/>
      <w:r w:rsidRPr="001775C1">
        <w:rPr>
          <w:rFonts w:asciiTheme="majorHAnsi" w:hAnsiTheme="majorHAnsi" w:cs="Times New Roman"/>
        </w:rPr>
        <w:t xml:space="preserve">, Campos &amp; Grief, </w:t>
      </w:r>
      <w:r w:rsidRPr="001775C1">
        <w:rPr>
          <w:rFonts w:asciiTheme="majorHAnsi" w:hAnsiTheme="majorHAnsi" w:cs="Times New Roman"/>
          <w:color w:val="auto"/>
        </w:rPr>
        <w:t>2003</w:t>
      </w:r>
      <w:r w:rsidRPr="001775C1">
        <w:rPr>
          <w:rFonts w:asciiTheme="majorHAnsi" w:eastAsia="Times New Roman" w:hAnsiTheme="majorHAnsi" w:cs="Times New Roman"/>
          <w:color w:val="auto"/>
        </w:rPr>
        <w:t xml:space="preserve">; </w:t>
      </w:r>
      <w:proofErr w:type="spellStart"/>
      <w:r w:rsidRPr="001775C1">
        <w:rPr>
          <w:rFonts w:asciiTheme="majorHAnsi" w:eastAsia="Times New Roman" w:hAnsiTheme="majorHAnsi" w:cs="Times New Roman"/>
        </w:rPr>
        <w:t>Wigfield</w:t>
      </w:r>
      <w:proofErr w:type="spellEnd"/>
      <w:r w:rsidRPr="001775C1">
        <w:rPr>
          <w:rFonts w:asciiTheme="majorHAnsi" w:eastAsia="Times New Roman" w:hAnsiTheme="majorHAnsi" w:cs="Times New Roman"/>
        </w:rPr>
        <w:t xml:space="preserve"> et al., 2008) have proposed a three-component model which contains emotional, behavioral, and cognitive aspects (i.e., strategic thinking, self-regulation, mastering the knowledge, and strategy use). Although there are many types or subcategories of engagement in the literature, the most frequently used components of student engagement in the reviewed literature have been identified as cognitive, behavioral, and emotional engagement in recent years (e.g. Dunleavy, 2008; </w:t>
      </w:r>
      <w:proofErr w:type="spellStart"/>
      <w:r w:rsidRPr="001775C1">
        <w:rPr>
          <w:rFonts w:asciiTheme="majorHAnsi" w:eastAsia="Times New Roman" w:hAnsiTheme="majorHAnsi" w:cs="Times New Roman"/>
        </w:rPr>
        <w:t>Fredricks</w:t>
      </w:r>
      <w:proofErr w:type="spellEnd"/>
      <w:r w:rsidRPr="001775C1">
        <w:rPr>
          <w:rFonts w:asciiTheme="majorHAnsi" w:eastAsia="Times New Roman" w:hAnsiTheme="majorHAnsi" w:cs="Times New Roman"/>
        </w:rPr>
        <w:t xml:space="preserve"> et al., 2004; </w:t>
      </w:r>
      <w:proofErr w:type="spellStart"/>
      <w:r w:rsidRPr="001775C1">
        <w:rPr>
          <w:rFonts w:asciiTheme="majorHAnsi" w:eastAsia="Times New Roman" w:hAnsiTheme="majorHAnsi" w:cs="Times New Roman"/>
        </w:rPr>
        <w:t>Jimerson</w:t>
      </w:r>
      <w:proofErr w:type="spellEnd"/>
      <w:r w:rsidRPr="001775C1">
        <w:rPr>
          <w:rFonts w:asciiTheme="majorHAnsi" w:eastAsia="Times New Roman" w:hAnsiTheme="majorHAnsi" w:cs="Times New Roman"/>
        </w:rPr>
        <w:t xml:space="preserve"> et al., 2003; National Research Council, 2004). More recently, a four-component model for engagement was proposed by Reeve and Tseng (2011). This four-component model includes behavioral, emotional, cognitive and agentic dimensions</w:t>
      </w:r>
      <w:r w:rsidRPr="001775C1">
        <w:rPr>
          <w:rFonts w:asciiTheme="majorHAnsi" w:eastAsia="Times New Roman" w:hAnsiTheme="majorHAnsi" w:cs="Times New Roman"/>
          <w:color w:val="0070C0"/>
        </w:rPr>
        <w:t xml:space="preserve">. </w:t>
      </w:r>
      <w:r w:rsidR="00225EC1" w:rsidRPr="001775C1">
        <w:rPr>
          <w:rFonts w:asciiTheme="majorHAnsi" w:eastAsia="Times New Roman" w:hAnsiTheme="majorHAnsi" w:cs="Times New Roman"/>
        </w:rPr>
        <w:t xml:space="preserve">That is, they integrate a new aspect called agentic engagement to the three-component model. </w:t>
      </w:r>
      <w:r w:rsidRPr="001775C1">
        <w:rPr>
          <w:rFonts w:asciiTheme="majorHAnsi" w:eastAsia="Times New Roman" w:hAnsiTheme="majorHAnsi" w:cs="Times New Roman"/>
        </w:rPr>
        <w:t>They also supported the idea that three component models present incomplete understandings and thus a full understanding of how students engage themselves can be provided by adding this dimension. More specifically, according to this model, behavioral engagement can be described as students’ effort, involvement, persistence and on-task attention during the learning activity (</w:t>
      </w:r>
      <w:proofErr w:type="spellStart"/>
      <w:r w:rsidRPr="001775C1">
        <w:rPr>
          <w:rFonts w:asciiTheme="majorHAnsi" w:eastAsia="Times New Roman" w:hAnsiTheme="majorHAnsi" w:cs="Times New Roman"/>
        </w:rPr>
        <w:t>Furrer</w:t>
      </w:r>
      <w:proofErr w:type="spellEnd"/>
      <w:r w:rsidRPr="001775C1">
        <w:rPr>
          <w:rFonts w:asciiTheme="majorHAnsi" w:eastAsia="Times New Roman" w:hAnsiTheme="majorHAnsi" w:cs="Times New Roman"/>
        </w:rPr>
        <w:t xml:space="preserve"> &amp; Skinner, 2003; Skinner &amp; Belmont, 1993). Emotional engagement can be defined as students’ positive feelings like interest, enthusiasm, and enjoyment towards the topic, lesson, tasks and learning process rather than anxiety, anger or apathy (Skinner &amp; Belmont, 1993; Skinner, </w:t>
      </w:r>
      <w:proofErr w:type="spellStart"/>
      <w:r w:rsidRPr="001775C1">
        <w:rPr>
          <w:rFonts w:asciiTheme="majorHAnsi" w:eastAsia="Times New Roman" w:hAnsiTheme="majorHAnsi" w:cs="Times New Roman"/>
        </w:rPr>
        <w:t>Kindermann</w:t>
      </w:r>
      <w:proofErr w:type="spellEnd"/>
      <w:r w:rsidRPr="001775C1">
        <w:rPr>
          <w:rFonts w:asciiTheme="majorHAnsi" w:eastAsia="Times New Roman" w:hAnsiTheme="majorHAnsi" w:cs="Times New Roman"/>
        </w:rPr>
        <w:t>,</w:t>
      </w:r>
      <w:r w:rsidR="00225EC1" w:rsidRPr="001775C1">
        <w:rPr>
          <w:rFonts w:asciiTheme="majorHAnsi" w:eastAsia="Times New Roman" w:hAnsiTheme="majorHAnsi" w:cs="Times New Roman"/>
        </w:rPr>
        <w:t xml:space="preserve"> </w:t>
      </w:r>
      <w:r w:rsidRPr="001775C1">
        <w:rPr>
          <w:rFonts w:asciiTheme="majorHAnsi" w:eastAsia="Times New Roman" w:hAnsiTheme="majorHAnsi" w:cs="Times New Roman"/>
        </w:rPr>
        <w:t xml:space="preserve">&amp; </w:t>
      </w:r>
      <w:proofErr w:type="spellStart"/>
      <w:r w:rsidRPr="001775C1">
        <w:rPr>
          <w:rFonts w:asciiTheme="majorHAnsi" w:eastAsia="Times New Roman" w:hAnsiTheme="majorHAnsi" w:cs="Times New Roman"/>
        </w:rPr>
        <w:t>Furrer</w:t>
      </w:r>
      <w:proofErr w:type="spellEnd"/>
      <w:r w:rsidRPr="001775C1">
        <w:rPr>
          <w:rFonts w:asciiTheme="majorHAnsi" w:eastAsia="Times New Roman" w:hAnsiTheme="majorHAnsi" w:cs="Times New Roman"/>
        </w:rPr>
        <w:t>, 2009).</w:t>
      </w:r>
      <w:r w:rsidR="00225EC1" w:rsidRPr="001775C1">
        <w:rPr>
          <w:rFonts w:asciiTheme="majorHAnsi" w:eastAsia="Times New Roman" w:hAnsiTheme="majorHAnsi" w:cs="Times New Roman"/>
        </w:rPr>
        <w:t xml:space="preserve"> </w:t>
      </w:r>
      <w:r w:rsidRPr="001775C1">
        <w:rPr>
          <w:rFonts w:asciiTheme="majorHAnsi" w:eastAsia="Times New Roman" w:hAnsiTheme="majorHAnsi" w:cs="Times New Roman"/>
        </w:rPr>
        <w:t xml:space="preserve">Cognitive engagement refers to the degree to which students plan, organize, and reorganize learning duties in terms of academic ones by using strategic and sophisticated learning strategies (Greene &amp; Miller, 1996; </w:t>
      </w:r>
      <w:proofErr w:type="spellStart"/>
      <w:r w:rsidRPr="001775C1">
        <w:rPr>
          <w:rFonts w:asciiTheme="majorHAnsi" w:eastAsia="Times New Roman" w:hAnsiTheme="majorHAnsi" w:cs="Times New Roman"/>
        </w:rPr>
        <w:t>Meece</w:t>
      </w:r>
      <w:proofErr w:type="spellEnd"/>
      <w:r w:rsidRPr="001775C1">
        <w:rPr>
          <w:rFonts w:asciiTheme="majorHAnsi" w:eastAsia="Times New Roman" w:hAnsiTheme="majorHAnsi" w:cs="Times New Roman"/>
        </w:rPr>
        <w:t xml:space="preserve">, </w:t>
      </w:r>
      <w:proofErr w:type="spellStart"/>
      <w:r w:rsidRPr="001775C1">
        <w:rPr>
          <w:rFonts w:asciiTheme="majorHAnsi" w:eastAsia="Times New Roman" w:hAnsiTheme="majorHAnsi" w:cs="Times New Roman"/>
        </w:rPr>
        <w:t>Blumenfeld</w:t>
      </w:r>
      <w:proofErr w:type="spellEnd"/>
      <w:r w:rsidRPr="001775C1">
        <w:rPr>
          <w:rFonts w:asciiTheme="majorHAnsi" w:eastAsia="Times New Roman" w:hAnsiTheme="majorHAnsi" w:cs="Times New Roman"/>
        </w:rPr>
        <w:t>, &amp; Hoyle, 1988). Agentic engagement is more likely related to students’ proactive and constructive contrib</w:t>
      </w:r>
      <w:r w:rsidR="001F48F8" w:rsidRPr="001775C1">
        <w:rPr>
          <w:rFonts w:asciiTheme="majorHAnsi" w:eastAsia="Times New Roman" w:hAnsiTheme="majorHAnsi" w:cs="Times New Roman"/>
        </w:rPr>
        <w:t xml:space="preserve">utions in learning environment </w:t>
      </w:r>
      <w:r w:rsidRPr="001775C1">
        <w:rPr>
          <w:rFonts w:asciiTheme="majorHAnsi" w:eastAsia="Times New Roman" w:hAnsiTheme="majorHAnsi" w:cs="Times New Roman"/>
        </w:rPr>
        <w:t>by explaining what s/he prefers, asking questions, communicating with teacher such as making suggestion or requesting a demand an</w:t>
      </w:r>
      <w:r w:rsidR="001F48F8" w:rsidRPr="001775C1">
        <w:rPr>
          <w:rFonts w:asciiTheme="majorHAnsi" w:eastAsia="Times New Roman" w:hAnsiTheme="majorHAnsi" w:cs="Times New Roman"/>
        </w:rPr>
        <w:t xml:space="preserve">d so on </w:t>
      </w:r>
      <w:r w:rsidRPr="001775C1">
        <w:rPr>
          <w:rFonts w:asciiTheme="majorHAnsi" w:eastAsia="Times New Roman" w:hAnsiTheme="majorHAnsi" w:cs="Times New Roman"/>
        </w:rPr>
        <w:t xml:space="preserve">(Reeve &amp; Tseng, 2011; Reeve, 2013). In other words, it refers to the degree to which a student tries to enrich the instruction which s/he gets rather than just passively receive it as a given (Reeve, 2012). If a student is </w:t>
      </w:r>
      <w:proofErr w:type="spellStart"/>
      <w:r w:rsidRPr="001775C1">
        <w:rPr>
          <w:rFonts w:asciiTheme="majorHAnsi" w:eastAsia="Times New Roman" w:hAnsiTheme="majorHAnsi" w:cs="Times New Roman"/>
        </w:rPr>
        <w:t>agentically</w:t>
      </w:r>
      <w:proofErr w:type="spellEnd"/>
      <w:r w:rsidRPr="001775C1">
        <w:rPr>
          <w:rFonts w:asciiTheme="majorHAnsi" w:eastAsia="Times New Roman" w:hAnsiTheme="majorHAnsi" w:cs="Times New Roman"/>
        </w:rPr>
        <w:t xml:space="preserve"> engaged, he or she would respond with something useful, such as suggesting proposal, asking questions, asking for an explanation and an example, declaring his or her thoughts and needs, advising an objective to be achieved, requesting learning opportunities and resources, looking for opportunities for increasing personal interest to the lesson (Reeve, 2012). </w:t>
      </w:r>
    </w:p>
    <w:p w:rsidR="0097225F" w:rsidRPr="001775C1" w:rsidRDefault="005F4BE2" w:rsidP="00C01287">
      <w:pPr>
        <w:spacing w:after="0" w:line="240" w:lineRule="auto"/>
        <w:ind w:firstLine="567"/>
        <w:jc w:val="both"/>
        <w:rPr>
          <w:rFonts w:asciiTheme="majorHAnsi" w:eastAsia="Times New Roman" w:hAnsiTheme="majorHAnsi" w:cs="Times New Roman"/>
          <w:color w:val="0070C0"/>
        </w:rPr>
      </w:pPr>
      <w:r w:rsidRPr="001775C1">
        <w:rPr>
          <w:rFonts w:asciiTheme="majorHAnsi" w:eastAsia="Times New Roman" w:hAnsiTheme="majorHAnsi" w:cs="Times New Roman"/>
        </w:rPr>
        <w:t xml:space="preserve">Although, as indicated by aforementioned literature, there are many terms to conceptualize engagement the only common trait among all of these conceptualizations is that engagement is multidimensional construct and this multidimensionality results in quite variability in the content </w:t>
      </w:r>
      <w:r w:rsidRPr="001775C1">
        <w:rPr>
          <w:rFonts w:asciiTheme="majorHAnsi" w:eastAsia="Times New Roman" w:hAnsiTheme="majorHAnsi" w:cs="Times New Roman"/>
        </w:rPr>
        <w:lastRenderedPageBreak/>
        <w:t xml:space="preserve">of items measuring these dimensions. Therefore, it is important to determine the components which are unique constructs for engagement, and the model which describes engagement best, and finally the most valid, reliable and suitable measure. </w:t>
      </w:r>
    </w:p>
    <w:p w:rsidR="00B1731D" w:rsidRPr="001775C1" w:rsidRDefault="005F4BE2" w:rsidP="00C01287">
      <w:pPr>
        <w:spacing w:after="0" w:line="240" w:lineRule="auto"/>
        <w:ind w:firstLine="567"/>
        <w:jc w:val="both"/>
        <w:rPr>
          <w:rFonts w:asciiTheme="majorHAnsi" w:eastAsia="Times New Roman" w:hAnsiTheme="majorHAnsi" w:cs="Times New Roman"/>
        </w:rPr>
      </w:pPr>
      <w:r w:rsidRPr="001775C1">
        <w:rPr>
          <w:rFonts w:asciiTheme="majorHAnsi" w:eastAsia="Times New Roman" w:hAnsiTheme="majorHAnsi" w:cs="Times New Roman"/>
        </w:rPr>
        <w:t xml:space="preserve">Based on the study of </w:t>
      </w:r>
      <w:proofErr w:type="spellStart"/>
      <w:r w:rsidRPr="001775C1">
        <w:rPr>
          <w:rFonts w:asciiTheme="majorHAnsi" w:eastAsia="Times New Roman" w:hAnsiTheme="majorHAnsi" w:cs="Times New Roman"/>
        </w:rPr>
        <w:t>Fredricks</w:t>
      </w:r>
      <w:proofErr w:type="spellEnd"/>
      <w:r w:rsidRPr="001775C1">
        <w:rPr>
          <w:rFonts w:asciiTheme="majorHAnsi" w:eastAsia="Times New Roman" w:hAnsiTheme="majorHAnsi" w:cs="Times New Roman"/>
        </w:rPr>
        <w:t xml:space="preserve">, and </w:t>
      </w:r>
      <w:proofErr w:type="spellStart"/>
      <w:r w:rsidRPr="001775C1">
        <w:rPr>
          <w:rFonts w:asciiTheme="majorHAnsi" w:eastAsia="Times New Roman" w:hAnsiTheme="majorHAnsi" w:cs="Times New Roman"/>
        </w:rPr>
        <w:t>McColskey</w:t>
      </w:r>
      <w:proofErr w:type="spellEnd"/>
      <w:r w:rsidRPr="001775C1">
        <w:rPr>
          <w:rFonts w:asciiTheme="majorHAnsi" w:eastAsia="Times New Roman" w:hAnsiTheme="majorHAnsi" w:cs="Times New Roman"/>
        </w:rPr>
        <w:t xml:space="preserve"> (2012) in which the self-report measures of engagement were compared in terms of definition, usage, samples and psychometric information; </w:t>
      </w:r>
      <w:r w:rsidR="00225EC1" w:rsidRPr="001775C1">
        <w:rPr>
          <w:rFonts w:asciiTheme="majorHAnsi" w:eastAsia="Times New Roman" w:hAnsiTheme="majorHAnsi" w:cs="Times New Roman"/>
        </w:rPr>
        <w:t xml:space="preserve">it was thought that </w:t>
      </w:r>
      <w:r w:rsidRPr="001775C1">
        <w:rPr>
          <w:rFonts w:asciiTheme="majorHAnsi" w:eastAsia="Times New Roman" w:hAnsiTheme="majorHAnsi" w:cs="Times New Roman"/>
        </w:rPr>
        <w:t>positive and negative sides of each measure can be determined and the most suitable instrument to assess student engagement can be identified</w:t>
      </w:r>
      <w:r w:rsidR="00225EC1" w:rsidRPr="001775C1">
        <w:rPr>
          <w:rFonts w:asciiTheme="majorHAnsi" w:eastAsia="Times New Roman" w:hAnsiTheme="majorHAnsi" w:cs="Times New Roman"/>
        </w:rPr>
        <w:t xml:space="preserve"> for this study.</w:t>
      </w:r>
      <w:r w:rsidRPr="001775C1">
        <w:rPr>
          <w:rFonts w:asciiTheme="majorHAnsi" w:eastAsia="Times New Roman" w:hAnsiTheme="majorHAnsi" w:cs="Times New Roman"/>
        </w:rPr>
        <w:t xml:space="preserve"> </w:t>
      </w:r>
      <w:r w:rsidR="00225EC1" w:rsidRPr="001775C1">
        <w:rPr>
          <w:rFonts w:asciiTheme="majorHAnsi" w:eastAsia="Times New Roman" w:hAnsiTheme="majorHAnsi" w:cs="Times New Roman"/>
          <w:color w:val="auto"/>
        </w:rPr>
        <w:t>With this aim, f</w:t>
      </w:r>
      <w:r w:rsidRPr="001775C1">
        <w:rPr>
          <w:rFonts w:asciiTheme="majorHAnsi" w:eastAsia="Times New Roman" w:hAnsiTheme="majorHAnsi" w:cs="Times New Roman"/>
          <w:color w:val="auto"/>
        </w:rPr>
        <w:t xml:space="preserve">irstly, </w:t>
      </w:r>
      <w:r w:rsidRPr="001775C1">
        <w:rPr>
          <w:rFonts w:asciiTheme="majorHAnsi" w:eastAsia="Times New Roman" w:hAnsiTheme="majorHAnsi" w:cs="Times New Roman"/>
        </w:rPr>
        <w:t>when the measures that have been used as measures of engagement are examined</w:t>
      </w:r>
      <w:r w:rsidR="00C35B09">
        <w:rPr>
          <w:rFonts w:asciiTheme="majorHAnsi" w:eastAsia="Times New Roman" w:hAnsiTheme="majorHAnsi" w:cs="Times New Roman"/>
        </w:rPr>
        <w:t>,</w:t>
      </w:r>
      <w:r w:rsidRPr="001775C1">
        <w:rPr>
          <w:rFonts w:asciiTheme="majorHAnsi" w:eastAsia="Times New Roman" w:hAnsiTheme="majorHAnsi" w:cs="Times New Roman"/>
        </w:rPr>
        <w:t xml:space="preserve"> it is seen that some scales are not direct measures of engagement but indirect measures. In other words, some instruments were saliently developed to assess engagement, whereas some were developed to assess the similar concepts such as motivation, identification with school, self-regulation, and strategy use. For instance, the Identification with School Questionnaire (ISQ) (</w:t>
      </w:r>
      <w:proofErr w:type="spellStart"/>
      <w:r w:rsidRPr="001775C1">
        <w:rPr>
          <w:rFonts w:asciiTheme="majorHAnsi" w:eastAsia="Times New Roman" w:hAnsiTheme="majorHAnsi" w:cs="Times New Roman"/>
        </w:rPr>
        <w:t>Voelkl</w:t>
      </w:r>
      <w:proofErr w:type="spellEnd"/>
      <w:r w:rsidRPr="001775C1">
        <w:rPr>
          <w:rFonts w:asciiTheme="majorHAnsi" w:eastAsia="Times New Roman" w:hAnsiTheme="majorHAnsi" w:cs="Times New Roman"/>
        </w:rPr>
        <w:t>, 1996) measured sometimes student identification with school and sometimes emotional engagement from study to study. Likewise, the Motivated Strategies for Learning Questionnaire (MSLQ</w:t>
      </w:r>
      <w:r w:rsidRPr="001775C1">
        <w:rPr>
          <w:rFonts w:asciiTheme="majorHAnsi" w:eastAsia="Times New Roman" w:hAnsiTheme="majorHAnsi" w:cs="Times New Roman"/>
          <w:color w:val="auto"/>
        </w:rPr>
        <w:t>) (</w:t>
      </w:r>
      <w:proofErr w:type="spellStart"/>
      <w:r w:rsidRPr="001775C1">
        <w:rPr>
          <w:rFonts w:asciiTheme="majorHAnsi" w:eastAsia="Times New Roman" w:hAnsiTheme="majorHAnsi" w:cs="Times New Roman"/>
          <w:color w:val="auto"/>
        </w:rPr>
        <w:t>Pintrich</w:t>
      </w:r>
      <w:proofErr w:type="spellEnd"/>
      <w:r w:rsidRPr="001775C1">
        <w:rPr>
          <w:rFonts w:asciiTheme="majorHAnsi" w:eastAsia="Times New Roman" w:hAnsiTheme="majorHAnsi" w:cs="Times New Roman"/>
          <w:color w:val="auto"/>
        </w:rPr>
        <w:t xml:space="preserve"> &amp; </w:t>
      </w:r>
      <w:proofErr w:type="spellStart"/>
      <w:r w:rsidRPr="001775C1">
        <w:rPr>
          <w:rFonts w:asciiTheme="majorHAnsi" w:eastAsia="Times New Roman" w:hAnsiTheme="majorHAnsi" w:cs="Times New Roman"/>
          <w:color w:val="auto"/>
        </w:rPr>
        <w:t>DeGroot</w:t>
      </w:r>
      <w:proofErr w:type="spellEnd"/>
      <w:r w:rsidRPr="001775C1">
        <w:rPr>
          <w:rFonts w:asciiTheme="majorHAnsi" w:eastAsia="Times New Roman" w:hAnsiTheme="majorHAnsi" w:cs="Times New Roman"/>
          <w:color w:val="auto"/>
        </w:rPr>
        <w:t>, 1990) was used both to self-regulation and strategy use and cognitive engagement. Similarly, “psychological engagement” subscale of the Student Engagement Instrument (SEI) (Appleton et al., 2006) contains items related to students’ relationships with peers and teachers and support for learning from families, however, these items are indirect measures of engagement, not direct measures. Actually</w:t>
      </w:r>
      <w:r w:rsidRPr="001775C1">
        <w:rPr>
          <w:rFonts w:asciiTheme="majorHAnsi" w:eastAsia="Times New Roman" w:hAnsiTheme="majorHAnsi" w:cs="Times New Roman"/>
        </w:rPr>
        <w:t xml:space="preserve">, engagement is not a construct that should be assessed indirectly. </w:t>
      </w:r>
      <w:r w:rsidR="003F6EC1" w:rsidRPr="001775C1">
        <w:rPr>
          <w:rFonts w:asciiTheme="majorHAnsi" w:eastAsia="Times New Roman" w:hAnsiTheme="majorHAnsi" w:cs="Times New Roman"/>
        </w:rPr>
        <w:t xml:space="preserve">A measure which is designed for only assess the student engagement directly should be used to get more reliable results from the research especially on which the links between engagement and the other academic outcomes are investigated. </w:t>
      </w:r>
      <w:r w:rsidR="00D51D66" w:rsidRPr="001775C1">
        <w:rPr>
          <w:rFonts w:asciiTheme="majorHAnsi" w:eastAsia="Times New Roman" w:hAnsiTheme="majorHAnsi" w:cs="Times New Roman"/>
        </w:rPr>
        <w:t xml:space="preserve">Secondly, the elimination was made based on degree to which instrument represent the multidimensional nature of student engagement. </w:t>
      </w:r>
      <w:r w:rsidR="003F6EC1" w:rsidRPr="001775C1">
        <w:rPr>
          <w:rFonts w:asciiTheme="majorHAnsi" w:eastAsia="Times New Roman" w:hAnsiTheme="majorHAnsi" w:cs="Times New Roman"/>
        </w:rPr>
        <w:t xml:space="preserve">When the instruments are examined based on </w:t>
      </w:r>
      <w:r w:rsidR="00C35B09" w:rsidRPr="001775C1">
        <w:rPr>
          <w:rFonts w:asciiTheme="majorHAnsi" w:eastAsia="Times New Roman" w:hAnsiTheme="majorHAnsi" w:cs="Times New Roman"/>
        </w:rPr>
        <w:t>this criterion</w:t>
      </w:r>
      <w:r w:rsidR="003F6EC1" w:rsidRPr="001775C1">
        <w:rPr>
          <w:rFonts w:asciiTheme="majorHAnsi" w:eastAsia="Times New Roman" w:hAnsiTheme="majorHAnsi" w:cs="Times New Roman"/>
        </w:rPr>
        <w:t>, it is seen that there are only three instruments (i.e., High School Survey of Student Engagement (HSSSE) (Yazzie-</w:t>
      </w:r>
      <w:proofErr w:type="spellStart"/>
      <w:r w:rsidR="003F6EC1" w:rsidRPr="001775C1">
        <w:rPr>
          <w:rFonts w:asciiTheme="majorHAnsi" w:eastAsia="Times New Roman" w:hAnsiTheme="majorHAnsi" w:cs="Times New Roman"/>
        </w:rPr>
        <w:t>Mintz</w:t>
      </w:r>
      <w:proofErr w:type="spellEnd"/>
      <w:r w:rsidR="003F6EC1" w:rsidRPr="001775C1">
        <w:rPr>
          <w:rFonts w:asciiTheme="majorHAnsi" w:eastAsia="Times New Roman" w:hAnsiTheme="majorHAnsi" w:cs="Times New Roman"/>
        </w:rPr>
        <w:t>, 2007), School Engagement Measure (SEM) (</w:t>
      </w:r>
      <w:r w:rsidR="003F6EC1" w:rsidRPr="001775C1">
        <w:rPr>
          <w:rFonts w:asciiTheme="majorHAnsi" w:eastAsia="Times New Roman" w:hAnsiTheme="majorHAnsi" w:cs="Times New Roman"/>
          <w:highlight w:val="white"/>
        </w:rPr>
        <w:t xml:space="preserve">Fredericks, </w:t>
      </w:r>
      <w:proofErr w:type="spellStart"/>
      <w:r w:rsidR="003F6EC1" w:rsidRPr="001775C1">
        <w:rPr>
          <w:rFonts w:asciiTheme="majorHAnsi" w:eastAsia="Times New Roman" w:hAnsiTheme="majorHAnsi" w:cs="Times New Roman"/>
          <w:highlight w:val="white"/>
        </w:rPr>
        <w:t>Blumenfeld</w:t>
      </w:r>
      <w:proofErr w:type="spellEnd"/>
      <w:r w:rsidR="003F6EC1" w:rsidRPr="001775C1">
        <w:rPr>
          <w:rFonts w:asciiTheme="majorHAnsi" w:eastAsia="Times New Roman" w:hAnsiTheme="majorHAnsi" w:cs="Times New Roman"/>
          <w:highlight w:val="white"/>
        </w:rPr>
        <w:t xml:space="preserve">, </w:t>
      </w:r>
      <w:proofErr w:type="spellStart"/>
      <w:r w:rsidR="003F6EC1" w:rsidRPr="001775C1">
        <w:rPr>
          <w:rFonts w:asciiTheme="majorHAnsi" w:eastAsia="Times New Roman" w:hAnsiTheme="majorHAnsi" w:cs="Times New Roman"/>
          <w:highlight w:val="white"/>
        </w:rPr>
        <w:t>Friedel</w:t>
      </w:r>
      <w:proofErr w:type="spellEnd"/>
      <w:r w:rsidR="003F6EC1" w:rsidRPr="001775C1">
        <w:rPr>
          <w:rFonts w:asciiTheme="majorHAnsi" w:eastAsia="Times New Roman" w:hAnsiTheme="majorHAnsi" w:cs="Times New Roman"/>
          <w:highlight w:val="white"/>
        </w:rPr>
        <w:t xml:space="preserve"> &amp; Paris, 2005), and Engagement Questionnaire (EQ) (</w:t>
      </w:r>
      <w:r w:rsidR="003F6EC1" w:rsidRPr="001775C1">
        <w:rPr>
          <w:rFonts w:asciiTheme="majorHAnsi" w:eastAsia="Times New Roman" w:hAnsiTheme="majorHAnsi" w:cs="Times New Roman"/>
        </w:rPr>
        <w:t>Reeve &amp; Tseng, 2011)</w:t>
      </w:r>
      <w:r w:rsidR="003F6EC1" w:rsidRPr="001775C1">
        <w:rPr>
          <w:rFonts w:asciiTheme="majorHAnsi" w:eastAsia="Times New Roman" w:hAnsiTheme="majorHAnsi" w:cs="Times New Roman"/>
          <w:highlight w:val="white"/>
        </w:rPr>
        <w:t xml:space="preserve"> </w:t>
      </w:r>
      <w:r w:rsidR="003F6EC1" w:rsidRPr="001775C1">
        <w:rPr>
          <w:rFonts w:asciiTheme="majorHAnsi" w:eastAsia="Times New Roman" w:hAnsiTheme="majorHAnsi" w:cs="Times New Roman"/>
        </w:rPr>
        <w:t xml:space="preserve">that includes explicitly behavioral, emotional and cognitive engagement dimensions.  </w:t>
      </w:r>
      <w:r w:rsidR="00F5286E" w:rsidRPr="001775C1">
        <w:rPr>
          <w:rFonts w:asciiTheme="majorHAnsi" w:eastAsia="Times New Roman" w:hAnsiTheme="majorHAnsi" w:cs="Times New Roman"/>
        </w:rPr>
        <w:t xml:space="preserve">Concerning </w:t>
      </w:r>
      <w:r w:rsidR="00D51D66" w:rsidRPr="001775C1">
        <w:rPr>
          <w:rFonts w:asciiTheme="majorHAnsi" w:eastAsia="Times New Roman" w:hAnsiTheme="majorHAnsi" w:cs="Times New Roman"/>
        </w:rPr>
        <w:t xml:space="preserve">intended purpose of these </w:t>
      </w:r>
      <w:r w:rsidR="00F5286E" w:rsidRPr="001775C1">
        <w:rPr>
          <w:rFonts w:asciiTheme="majorHAnsi" w:eastAsia="Times New Roman" w:hAnsiTheme="majorHAnsi" w:cs="Times New Roman"/>
        </w:rPr>
        <w:t>instruments</w:t>
      </w:r>
      <w:r w:rsidR="00D51D66" w:rsidRPr="001775C1">
        <w:rPr>
          <w:rFonts w:asciiTheme="majorHAnsi" w:eastAsia="Times New Roman" w:hAnsiTheme="majorHAnsi" w:cs="Times New Roman"/>
        </w:rPr>
        <w:t>, SEM was designed to determine the link between classroom context and elementary students’ engagement (</w:t>
      </w:r>
      <w:proofErr w:type="spellStart"/>
      <w:r w:rsidR="00D51D66" w:rsidRPr="001775C1">
        <w:rPr>
          <w:rFonts w:asciiTheme="majorHAnsi" w:eastAsia="Times New Roman" w:hAnsiTheme="majorHAnsi" w:cs="Times New Roman"/>
        </w:rPr>
        <w:t>Fredricks</w:t>
      </w:r>
      <w:proofErr w:type="spellEnd"/>
      <w:r w:rsidR="003E116E" w:rsidRPr="001775C1">
        <w:rPr>
          <w:rFonts w:asciiTheme="majorHAnsi" w:eastAsia="Times New Roman" w:hAnsiTheme="majorHAnsi" w:cs="Times New Roman"/>
        </w:rPr>
        <w:t xml:space="preserve"> </w:t>
      </w:r>
      <w:r w:rsidR="00D51D66" w:rsidRPr="001775C1">
        <w:rPr>
          <w:rFonts w:asciiTheme="majorHAnsi" w:eastAsia="Times New Roman" w:hAnsiTheme="majorHAnsi" w:cs="Times New Roman"/>
        </w:rPr>
        <w:t xml:space="preserve">et al., 2005). </w:t>
      </w:r>
      <w:r w:rsidR="00DB06BF" w:rsidRPr="001775C1">
        <w:rPr>
          <w:rFonts w:asciiTheme="majorHAnsi" w:eastAsia="Times New Roman" w:hAnsiTheme="majorHAnsi" w:cs="Times New Roman"/>
        </w:rPr>
        <w:t>HSSSE was developed to determine high school students’ attitudes and perceptions towards their work, school learning environment, and their interaction with the school community (Yazzie-</w:t>
      </w:r>
      <w:proofErr w:type="spellStart"/>
      <w:r w:rsidR="00DB06BF" w:rsidRPr="001775C1">
        <w:rPr>
          <w:rFonts w:asciiTheme="majorHAnsi" w:eastAsia="Times New Roman" w:hAnsiTheme="majorHAnsi" w:cs="Times New Roman"/>
        </w:rPr>
        <w:t>Mintz</w:t>
      </w:r>
      <w:proofErr w:type="spellEnd"/>
      <w:r w:rsidR="00DB06BF" w:rsidRPr="001775C1">
        <w:rPr>
          <w:rFonts w:asciiTheme="majorHAnsi" w:eastAsia="Times New Roman" w:hAnsiTheme="majorHAnsi" w:cs="Times New Roman"/>
        </w:rPr>
        <w:t xml:space="preserve">, 2007). </w:t>
      </w:r>
      <w:r w:rsidR="00D51D66" w:rsidRPr="001775C1">
        <w:rPr>
          <w:rFonts w:asciiTheme="majorHAnsi" w:eastAsia="Times New Roman" w:hAnsiTheme="majorHAnsi" w:cs="Times New Roman"/>
        </w:rPr>
        <w:t xml:space="preserve">EQ was developed with the aim of assessing four aspects of student engagement–behavioral, emotional, cognitive and agentic to find out a more fully understand how students engage themselves in learning activities. </w:t>
      </w:r>
      <w:r w:rsidR="00F5286E" w:rsidRPr="001775C1">
        <w:rPr>
          <w:rFonts w:asciiTheme="majorHAnsi" w:eastAsia="Times New Roman" w:hAnsiTheme="majorHAnsi" w:cs="Times New Roman"/>
        </w:rPr>
        <w:t xml:space="preserve">When the </w:t>
      </w:r>
      <w:r w:rsidR="00D51D66" w:rsidRPr="001775C1">
        <w:rPr>
          <w:rFonts w:asciiTheme="majorHAnsi" w:eastAsia="Times New Roman" w:hAnsiTheme="majorHAnsi" w:cs="Times New Roman"/>
        </w:rPr>
        <w:t>reliabilities of these instruments were considered</w:t>
      </w:r>
      <w:r w:rsidR="00F5286E" w:rsidRPr="001775C1">
        <w:rPr>
          <w:rFonts w:asciiTheme="majorHAnsi" w:eastAsia="Times New Roman" w:hAnsiTheme="majorHAnsi" w:cs="Times New Roman"/>
        </w:rPr>
        <w:t xml:space="preserve">, </w:t>
      </w:r>
      <w:r w:rsidR="00D51D66" w:rsidRPr="001775C1">
        <w:rPr>
          <w:rFonts w:asciiTheme="majorHAnsi" w:eastAsia="Times New Roman" w:hAnsiTheme="majorHAnsi" w:cs="Times New Roman"/>
        </w:rPr>
        <w:t xml:space="preserve">it </w:t>
      </w:r>
      <w:r w:rsidR="00F5286E" w:rsidRPr="001775C1">
        <w:rPr>
          <w:rFonts w:asciiTheme="majorHAnsi" w:eastAsia="Times New Roman" w:hAnsiTheme="majorHAnsi" w:cs="Times New Roman"/>
        </w:rPr>
        <w:t>was</w:t>
      </w:r>
      <w:r w:rsidR="00D51D66" w:rsidRPr="001775C1">
        <w:rPr>
          <w:rFonts w:asciiTheme="majorHAnsi" w:eastAsia="Times New Roman" w:hAnsiTheme="majorHAnsi" w:cs="Times New Roman"/>
        </w:rPr>
        <w:t xml:space="preserve"> seen that the developers of SEM reported Cronbach’s alpha of .72–.77 for behavioral engagement, .83–.86 for emotional engagement, and .55–.82 for cognitive engagement, whereas developers of EQ reported .94 for behavioral engagement,</w:t>
      </w:r>
      <w:r w:rsidR="001F48F8" w:rsidRPr="001775C1">
        <w:rPr>
          <w:rFonts w:asciiTheme="majorHAnsi" w:eastAsia="Times New Roman" w:hAnsiTheme="majorHAnsi" w:cs="Times New Roman"/>
        </w:rPr>
        <w:t xml:space="preserve"> .78 for emotional engagement, </w:t>
      </w:r>
      <w:r w:rsidR="00D51D66" w:rsidRPr="001775C1">
        <w:rPr>
          <w:rFonts w:asciiTheme="majorHAnsi" w:eastAsia="Times New Roman" w:hAnsiTheme="majorHAnsi" w:cs="Times New Roman"/>
        </w:rPr>
        <w:t xml:space="preserve">.88 for cognitive engagement and .82 for agentic engagement. </w:t>
      </w:r>
      <w:r w:rsidR="003F6EC1" w:rsidRPr="001775C1">
        <w:rPr>
          <w:rFonts w:asciiTheme="majorHAnsi" w:eastAsia="Times New Roman" w:hAnsiTheme="majorHAnsi" w:cs="Times New Roman"/>
        </w:rPr>
        <w:t xml:space="preserve">However, no reliability information related to HSSE was found. </w:t>
      </w:r>
      <w:r w:rsidR="0064288C" w:rsidRPr="001775C1">
        <w:rPr>
          <w:rFonts w:asciiTheme="majorHAnsi" w:eastAsia="Times New Roman" w:hAnsiTheme="majorHAnsi" w:cs="Times New Roman"/>
        </w:rPr>
        <w:t xml:space="preserve">Concerning validity issue, Reeve and Tseng evaluated the fit of the 12 possible models for the EQ and they reported that among a single-factor model, all possible two-factor models, all possible three-factor models, and a four-factor, the best fit was shown by the four-factor model including behavioral, emotional, cognitive and agentic components. </w:t>
      </w:r>
      <w:r w:rsidR="002747E7" w:rsidRPr="001775C1">
        <w:rPr>
          <w:rFonts w:asciiTheme="majorHAnsi" w:eastAsia="Times New Roman" w:hAnsiTheme="majorHAnsi" w:cs="Times New Roman"/>
        </w:rPr>
        <w:t>Moreover</w:t>
      </w:r>
      <w:r w:rsidR="00D51D66" w:rsidRPr="001775C1">
        <w:rPr>
          <w:rFonts w:asciiTheme="majorHAnsi" w:eastAsia="Times New Roman" w:hAnsiTheme="majorHAnsi" w:cs="Times New Roman"/>
        </w:rPr>
        <w:t xml:space="preserve">, Reeve and Tseng suggested that agency should be added as a new aspect of engagement, since it is the one thing that could explain the variance in students’ achievement, and it completes the description of engagement and so fills the gap of the description of student engagement. </w:t>
      </w:r>
    </w:p>
    <w:p w:rsidR="00D27B37" w:rsidRPr="001775C1" w:rsidRDefault="00D51D66" w:rsidP="00C01287">
      <w:pPr>
        <w:spacing w:after="0" w:line="240" w:lineRule="auto"/>
        <w:ind w:firstLine="567"/>
        <w:jc w:val="both"/>
        <w:rPr>
          <w:rFonts w:asciiTheme="majorHAnsi" w:hAnsiTheme="majorHAnsi" w:cs="Times New Roman"/>
        </w:rPr>
      </w:pPr>
      <w:r w:rsidRPr="001775C1">
        <w:rPr>
          <w:rFonts w:asciiTheme="majorHAnsi" w:eastAsia="Times New Roman" w:hAnsiTheme="majorHAnsi" w:cs="Times New Roman"/>
        </w:rPr>
        <w:t xml:space="preserve">Additionally, there are also some studies </w:t>
      </w:r>
      <w:r w:rsidR="004F0FA9" w:rsidRPr="001775C1">
        <w:rPr>
          <w:rFonts w:asciiTheme="majorHAnsi" w:eastAsia="Times New Roman" w:hAnsiTheme="majorHAnsi" w:cs="Times New Roman"/>
        </w:rPr>
        <w:t xml:space="preserve">which </w:t>
      </w:r>
      <w:r w:rsidRPr="001775C1">
        <w:rPr>
          <w:rFonts w:asciiTheme="majorHAnsi" w:eastAsia="Times New Roman" w:hAnsiTheme="majorHAnsi" w:cs="Times New Roman"/>
        </w:rPr>
        <w:t xml:space="preserve">concluded that each of these components in this model is positively linked to students’ achievement and self-efficacy. </w:t>
      </w:r>
      <w:r w:rsidR="003F6EC1" w:rsidRPr="001775C1">
        <w:rPr>
          <w:rFonts w:asciiTheme="majorHAnsi" w:eastAsia="Times New Roman" w:hAnsiTheme="majorHAnsi" w:cs="Times New Roman"/>
        </w:rPr>
        <w:t>For example, behavioral engagement (i.e., attendance, effort, and insistence) was proposed to be positively related to self-efficacy (Bandura, 1997).</w:t>
      </w:r>
      <w:r w:rsidR="00F8683D" w:rsidRPr="001775C1">
        <w:rPr>
          <w:rFonts w:asciiTheme="majorHAnsi" w:eastAsia="Times New Roman" w:hAnsiTheme="majorHAnsi" w:cs="Times New Roman"/>
          <w:color w:val="0070C0"/>
        </w:rPr>
        <w:t xml:space="preserve">  </w:t>
      </w:r>
      <w:r w:rsidR="00837FD3" w:rsidRPr="001775C1">
        <w:rPr>
          <w:rFonts w:asciiTheme="majorHAnsi" w:eastAsia="Times New Roman" w:hAnsiTheme="majorHAnsi" w:cs="Times New Roman"/>
        </w:rPr>
        <w:t xml:space="preserve">Similarly, </w:t>
      </w:r>
      <w:proofErr w:type="spellStart"/>
      <w:r w:rsidR="00837FD3" w:rsidRPr="001775C1">
        <w:rPr>
          <w:rFonts w:asciiTheme="majorHAnsi" w:eastAsia="Times New Roman" w:hAnsiTheme="majorHAnsi" w:cs="Times New Roman"/>
        </w:rPr>
        <w:t>Linnenbrink</w:t>
      </w:r>
      <w:proofErr w:type="spellEnd"/>
      <w:r w:rsidR="00837FD3" w:rsidRPr="001775C1">
        <w:rPr>
          <w:rFonts w:asciiTheme="majorHAnsi" w:eastAsia="Times New Roman" w:hAnsiTheme="majorHAnsi" w:cs="Times New Roman"/>
        </w:rPr>
        <w:t xml:space="preserve"> and </w:t>
      </w:r>
      <w:proofErr w:type="spellStart"/>
      <w:r w:rsidR="00837FD3" w:rsidRPr="001775C1">
        <w:rPr>
          <w:rFonts w:asciiTheme="majorHAnsi" w:eastAsia="Times New Roman" w:hAnsiTheme="majorHAnsi" w:cs="Times New Roman"/>
        </w:rPr>
        <w:t>Pintrich</w:t>
      </w:r>
      <w:proofErr w:type="spellEnd"/>
      <w:r w:rsidR="00837FD3" w:rsidRPr="001775C1">
        <w:rPr>
          <w:rFonts w:asciiTheme="majorHAnsi" w:eastAsia="Times New Roman" w:hAnsiTheme="majorHAnsi" w:cs="Times New Roman"/>
        </w:rPr>
        <w:t xml:space="preserve"> (2003) reported that students who have confidence in their capabilities are inclined to make effort hard, continue to do, and look for help, otherwise they tended to give up easily when they meet with difficulties or get help to just complete the task, not to learn.</w:t>
      </w:r>
      <w:r w:rsidR="00F8683D" w:rsidRPr="001775C1">
        <w:rPr>
          <w:rFonts w:asciiTheme="majorHAnsi" w:eastAsia="Times New Roman" w:hAnsiTheme="majorHAnsi" w:cs="Times New Roman"/>
          <w:color w:val="0070C0"/>
        </w:rPr>
        <w:t xml:space="preserve">  </w:t>
      </w:r>
      <w:r w:rsidR="00837FD3" w:rsidRPr="001775C1">
        <w:rPr>
          <w:rFonts w:asciiTheme="majorHAnsi" w:eastAsia="Times New Roman" w:hAnsiTheme="majorHAnsi" w:cs="Times New Roman"/>
        </w:rPr>
        <w:t xml:space="preserve">In addition, higher levels of self-efficacy of students caused more positive emotions in academic contexts such as pride or happiness (Harter, 1992). </w:t>
      </w:r>
      <w:r w:rsidR="005A7BE4" w:rsidRPr="001775C1">
        <w:rPr>
          <w:rFonts w:asciiTheme="majorHAnsi" w:eastAsia="Times New Roman" w:hAnsiTheme="majorHAnsi" w:cs="Times New Roman"/>
        </w:rPr>
        <w:t xml:space="preserve">On the other </w:t>
      </w:r>
      <w:r w:rsidR="005A7BE4" w:rsidRPr="001775C1">
        <w:rPr>
          <w:rFonts w:asciiTheme="majorHAnsi" w:eastAsia="Times New Roman" w:hAnsiTheme="majorHAnsi" w:cs="Times New Roman"/>
        </w:rPr>
        <w:lastRenderedPageBreak/>
        <w:t xml:space="preserve">hand, negative emotions such as anxiety and depression rise when students feel lack of self-efficacy. (Bandura, </w:t>
      </w:r>
      <w:proofErr w:type="spellStart"/>
      <w:r w:rsidR="005A7BE4" w:rsidRPr="001775C1">
        <w:rPr>
          <w:rFonts w:asciiTheme="majorHAnsi" w:eastAsia="Times New Roman" w:hAnsiTheme="majorHAnsi" w:cs="Times New Roman"/>
        </w:rPr>
        <w:t>Barbaranelli</w:t>
      </w:r>
      <w:proofErr w:type="spellEnd"/>
      <w:r w:rsidR="005A7BE4" w:rsidRPr="001775C1">
        <w:rPr>
          <w:rFonts w:asciiTheme="majorHAnsi" w:eastAsia="Times New Roman" w:hAnsiTheme="majorHAnsi" w:cs="Times New Roman"/>
        </w:rPr>
        <w:t xml:space="preserve">, </w:t>
      </w:r>
      <w:proofErr w:type="spellStart"/>
      <w:r w:rsidR="005A7BE4" w:rsidRPr="001775C1">
        <w:rPr>
          <w:rFonts w:asciiTheme="majorHAnsi" w:eastAsia="Times New Roman" w:hAnsiTheme="majorHAnsi" w:cs="Times New Roman"/>
        </w:rPr>
        <w:t>Caprara</w:t>
      </w:r>
      <w:proofErr w:type="spellEnd"/>
      <w:r w:rsidR="005A7BE4" w:rsidRPr="001775C1">
        <w:rPr>
          <w:rFonts w:asciiTheme="majorHAnsi" w:eastAsia="Times New Roman" w:hAnsiTheme="majorHAnsi" w:cs="Times New Roman"/>
        </w:rPr>
        <w:t xml:space="preserve">, &amp; </w:t>
      </w:r>
      <w:proofErr w:type="spellStart"/>
      <w:r w:rsidR="005A7BE4" w:rsidRPr="001775C1">
        <w:rPr>
          <w:rFonts w:asciiTheme="majorHAnsi" w:eastAsia="Times New Roman" w:hAnsiTheme="majorHAnsi" w:cs="Times New Roman"/>
        </w:rPr>
        <w:t>Pastorelli</w:t>
      </w:r>
      <w:proofErr w:type="spellEnd"/>
      <w:r w:rsidR="005A7BE4" w:rsidRPr="001775C1">
        <w:rPr>
          <w:rFonts w:asciiTheme="majorHAnsi" w:eastAsia="Times New Roman" w:hAnsiTheme="majorHAnsi" w:cs="Times New Roman"/>
        </w:rPr>
        <w:t xml:space="preserve">, 1996; Harter, 1992; </w:t>
      </w:r>
      <w:proofErr w:type="spellStart"/>
      <w:r w:rsidR="005A7BE4" w:rsidRPr="001775C1">
        <w:rPr>
          <w:rFonts w:asciiTheme="majorHAnsi" w:eastAsia="Times New Roman" w:hAnsiTheme="majorHAnsi" w:cs="Times New Roman"/>
        </w:rPr>
        <w:t>Meece</w:t>
      </w:r>
      <w:proofErr w:type="spellEnd"/>
      <w:r w:rsidR="005A7BE4" w:rsidRPr="001775C1">
        <w:rPr>
          <w:rFonts w:asciiTheme="majorHAnsi" w:eastAsia="Times New Roman" w:hAnsiTheme="majorHAnsi" w:cs="Times New Roman"/>
        </w:rPr>
        <w:t xml:space="preserve">, </w:t>
      </w:r>
      <w:proofErr w:type="spellStart"/>
      <w:r w:rsidR="005A7BE4" w:rsidRPr="001775C1">
        <w:rPr>
          <w:rFonts w:asciiTheme="majorHAnsi" w:eastAsia="Times New Roman" w:hAnsiTheme="majorHAnsi" w:cs="Times New Roman"/>
        </w:rPr>
        <w:t>Wigfield</w:t>
      </w:r>
      <w:proofErr w:type="spellEnd"/>
      <w:r w:rsidR="005A7BE4" w:rsidRPr="001775C1">
        <w:rPr>
          <w:rFonts w:asciiTheme="majorHAnsi" w:eastAsia="Times New Roman" w:hAnsiTheme="majorHAnsi" w:cs="Times New Roman"/>
        </w:rPr>
        <w:t xml:space="preserve">, &amp; Eccles, 1990; </w:t>
      </w:r>
      <w:proofErr w:type="spellStart"/>
      <w:r w:rsidR="005A7BE4" w:rsidRPr="001775C1">
        <w:rPr>
          <w:rFonts w:asciiTheme="majorHAnsi" w:eastAsia="Times New Roman" w:hAnsiTheme="majorHAnsi" w:cs="Times New Roman"/>
        </w:rPr>
        <w:t>Pintrich</w:t>
      </w:r>
      <w:proofErr w:type="spellEnd"/>
      <w:r w:rsidR="005A7BE4" w:rsidRPr="001775C1">
        <w:rPr>
          <w:rFonts w:asciiTheme="majorHAnsi" w:eastAsia="Times New Roman" w:hAnsiTheme="majorHAnsi" w:cs="Times New Roman"/>
        </w:rPr>
        <w:t xml:space="preserve"> &amp; De Groot, 1990; </w:t>
      </w:r>
      <w:proofErr w:type="spellStart"/>
      <w:r w:rsidR="005A7BE4" w:rsidRPr="001775C1">
        <w:rPr>
          <w:rFonts w:asciiTheme="majorHAnsi" w:eastAsia="Times New Roman" w:hAnsiTheme="majorHAnsi" w:cs="Times New Roman"/>
        </w:rPr>
        <w:t>Pintrich</w:t>
      </w:r>
      <w:proofErr w:type="spellEnd"/>
      <w:r w:rsidR="005A7BE4" w:rsidRPr="001775C1">
        <w:rPr>
          <w:rFonts w:asciiTheme="majorHAnsi" w:eastAsia="Times New Roman" w:hAnsiTheme="majorHAnsi" w:cs="Times New Roman"/>
        </w:rPr>
        <w:t xml:space="preserve">, </w:t>
      </w:r>
      <w:proofErr w:type="spellStart"/>
      <w:r w:rsidR="005A7BE4" w:rsidRPr="001775C1">
        <w:rPr>
          <w:rFonts w:asciiTheme="majorHAnsi" w:eastAsia="Times New Roman" w:hAnsiTheme="majorHAnsi" w:cs="Times New Roman"/>
        </w:rPr>
        <w:t>Roeser</w:t>
      </w:r>
      <w:proofErr w:type="spellEnd"/>
      <w:r w:rsidR="005A7BE4" w:rsidRPr="001775C1">
        <w:rPr>
          <w:rFonts w:asciiTheme="majorHAnsi" w:eastAsia="Times New Roman" w:hAnsiTheme="majorHAnsi" w:cs="Times New Roman"/>
        </w:rPr>
        <w:t xml:space="preserve">, &amp; De Groot, 1994). </w:t>
      </w:r>
      <w:r w:rsidR="00837FD3" w:rsidRPr="001775C1">
        <w:rPr>
          <w:rFonts w:asciiTheme="majorHAnsi" w:eastAsia="Times New Roman" w:hAnsiTheme="majorHAnsi" w:cs="Times New Roman"/>
        </w:rPr>
        <w:t xml:space="preserve">In terms of cognitive engagement, </w:t>
      </w:r>
      <w:proofErr w:type="spellStart"/>
      <w:r w:rsidR="00837FD3" w:rsidRPr="001775C1">
        <w:rPr>
          <w:rFonts w:asciiTheme="majorHAnsi" w:eastAsia="Times New Roman" w:hAnsiTheme="majorHAnsi" w:cs="Times New Roman"/>
        </w:rPr>
        <w:t>Pintrich</w:t>
      </w:r>
      <w:proofErr w:type="spellEnd"/>
      <w:r w:rsidR="00837FD3" w:rsidRPr="001775C1">
        <w:rPr>
          <w:rFonts w:asciiTheme="majorHAnsi" w:eastAsia="Times New Roman" w:hAnsiTheme="majorHAnsi" w:cs="Times New Roman"/>
        </w:rPr>
        <w:t xml:space="preserve"> and De Groot (1990) revealed that students with high self-efficacy tended to use diverse cognitive, metacognitive or self-regulatory learning strategies. </w:t>
      </w:r>
      <w:r w:rsidR="005A7BE4" w:rsidRPr="001775C1">
        <w:rPr>
          <w:rFonts w:asciiTheme="majorHAnsi" w:eastAsia="Times New Roman" w:hAnsiTheme="majorHAnsi" w:cs="Times New Roman"/>
        </w:rPr>
        <w:t xml:space="preserve">In other study, </w:t>
      </w:r>
      <w:proofErr w:type="spellStart"/>
      <w:r w:rsidR="005A7BE4" w:rsidRPr="001775C1">
        <w:rPr>
          <w:rFonts w:asciiTheme="majorHAnsi" w:eastAsia="Times New Roman" w:hAnsiTheme="majorHAnsi" w:cs="Times New Roman"/>
        </w:rPr>
        <w:t>Linnenbrink</w:t>
      </w:r>
      <w:proofErr w:type="spellEnd"/>
      <w:r w:rsidR="005A7BE4" w:rsidRPr="001775C1">
        <w:rPr>
          <w:rFonts w:asciiTheme="majorHAnsi" w:eastAsia="Times New Roman" w:hAnsiTheme="majorHAnsi" w:cs="Times New Roman"/>
        </w:rPr>
        <w:t xml:space="preserve"> and </w:t>
      </w:r>
      <w:proofErr w:type="spellStart"/>
      <w:r w:rsidR="005A7BE4" w:rsidRPr="001775C1">
        <w:rPr>
          <w:rFonts w:asciiTheme="majorHAnsi" w:eastAsia="Times New Roman" w:hAnsiTheme="majorHAnsi" w:cs="Times New Roman"/>
        </w:rPr>
        <w:t>Pintrich</w:t>
      </w:r>
      <w:proofErr w:type="spellEnd"/>
      <w:r w:rsidR="005A7BE4" w:rsidRPr="001775C1">
        <w:rPr>
          <w:rFonts w:asciiTheme="majorHAnsi" w:eastAsia="Times New Roman" w:hAnsiTheme="majorHAnsi" w:cs="Times New Roman"/>
        </w:rPr>
        <w:t xml:space="preserve"> (2003) reported that if students have confidence in their skills, then they tend to strive to understand their tasks; to think deeply about it; to use deeper processing strategies over time such as elaboration, organizational strategies, and metacognitive strategies. </w:t>
      </w:r>
      <w:r w:rsidR="00D27B37" w:rsidRPr="001775C1">
        <w:rPr>
          <w:rFonts w:asciiTheme="majorHAnsi" w:eastAsia="Times New Roman" w:hAnsiTheme="majorHAnsi" w:cs="Times New Roman"/>
        </w:rPr>
        <w:t>Finally, Reeve and Lee (2014) revealed that high level of interest and self-efficacy can be considered as precursor of later obtaining of students' agentic engagement such as proactive contributions into the learning environment.</w:t>
      </w:r>
      <w:r w:rsidR="00D27B37" w:rsidRPr="001775C1">
        <w:rPr>
          <w:rFonts w:asciiTheme="majorHAnsi" w:hAnsiTheme="majorHAnsi" w:cs="Times New Roman"/>
        </w:rPr>
        <w:t xml:space="preserve"> </w:t>
      </w:r>
    </w:p>
    <w:p w:rsidR="004F0FA9" w:rsidRPr="001775C1" w:rsidRDefault="00D51D66" w:rsidP="00C01287">
      <w:pPr>
        <w:spacing w:after="0" w:line="240" w:lineRule="auto"/>
        <w:ind w:firstLine="567"/>
        <w:jc w:val="both"/>
        <w:rPr>
          <w:rFonts w:asciiTheme="majorHAnsi" w:eastAsia="Times New Roman" w:hAnsiTheme="majorHAnsi" w:cs="Times New Roman"/>
          <w:color w:val="0070C0"/>
        </w:rPr>
      </w:pPr>
      <w:r w:rsidRPr="001775C1">
        <w:rPr>
          <w:rFonts w:asciiTheme="majorHAnsi" w:eastAsia="Times New Roman" w:hAnsiTheme="majorHAnsi" w:cs="Times New Roman"/>
        </w:rPr>
        <w:t xml:space="preserve">Consequently, </w:t>
      </w:r>
      <w:r w:rsidR="004F0FA9" w:rsidRPr="001775C1">
        <w:rPr>
          <w:rFonts w:asciiTheme="majorHAnsi" w:eastAsia="Times New Roman" w:hAnsiTheme="majorHAnsi" w:cs="Times New Roman"/>
        </w:rPr>
        <w:t>the EQ developed based on the</w:t>
      </w:r>
      <w:r w:rsidRPr="001775C1">
        <w:rPr>
          <w:rFonts w:asciiTheme="majorHAnsi" w:eastAsia="Times New Roman" w:hAnsiTheme="majorHAnsi" w:cs="Times New Roman"/>
        </w:rPr>
        <w:t xml:space="preserve"> </w:t>
      </w:r>
      <w:r w:rsidR="00C35B09" w:rsidRPr="001775C1">
        <w:rPr>
          <w:rFonts w:asciiTheme="majorHAnsi" w:eastAsia="Times New Roman" w:hAnsiTheme="majorHAnsi" w:cs="Times New Roman"/>
        </w:rPr>
        <w:t>four-component</w:t>
      </w:r>
      <w:r w:rsidRPr="001775C1">
        <w:rPr>
          <w:rFonts w:asciiTheme="majorHAnsi" w:eastAsia="Times New Roman" w:hAnsiTheme="majorHAnsi" w:cs="Times New Roman"/>
        </w:rPr>
        <w:t xml:space="preserve"> model of student engagement (i.e., behavioral, emotional, cognitive and agentic engagement) </w:t>
      </w:r>
      <w:r w:rsidR="004F0FA9" w:rsidRPr="001775C1">
        <w:rPr>
          <w:rFonts w:asciiTheme="majorHAnsi" w:eastAsia="Times New Roman" w:hAnsiTheme="majorHAnsi" w:cs="Times New Roman"/>
        </w:rPr>
        <w:t>appears to provide a valid and reliable measure of student engagement. Accordingly, the current study aimed to adopt the EQ to Turkish to assess student engagement.</w:t>
      </w:r>
      <w:r w:rsidR="00D27B37" w:rsidRPr="001775C1">
        <w:rPr>
          <w:rFonts w:asciiTheme="majorHAnsi" w:eastAsia="Times New Roman" w:hAnsiTheme="majorHAnsi" w:cs="Times New Roman"/>
        </w:rPr>
        <w:t xml:space="preserve"> </w:t>
      </w:r>
    </w:p>
    <w:p w:rsidR="0097225F" w:rsidRPr="001775C1" w:rsidRDefault="004F0FA9" w:rsidP="00C01287">
      <w:pPr>
        <w:spacing w:after="0" w:line="240" w:lineRule="auto"/>
        <w:ind w:firstLine="567"/>
        <w:jc w:val="both"/>
        <w:rPr>
          <w:rFonts w:asciiTheme="majorHAnsi" w:eastAsia="Times New Roman" w:hAnsiTheme="majorHAnsi" w:cs="Times New Roman"/>
          <w:color w:val="0070C0"/>
        </w:rPr>
      </w:pPr>
      <w:r w:rsidRPr="001775C1">
        <w:rPr>
          <w:rFonts w:asciiTheme="majorHAnsi" w:eastAsia="Times New Roman" w:hAnsiTheme="majorHAnsi" w:cs="Times New Roman"/>
        </w:rPr>
        <w:t>At this point i</w:t>
      </w:r>
      <w:r w:rsidR="00D51D66" w:rsidRPr="001775C1">
        <w:rPr>
          <w:rFonts w:asciiTheme="majorHAnsi" w:eastAsia="Times New Roman" w:hAnsiTheme="majorHAnsi" w:cs="Times New Roman"/>
        </w:rPr>
        <w:t>t is important to note that each of the</w:t>
      </w:r>
      <w:r w:rsidRPr="001775C1">
        <w:rPr>
          <w:rFonts w:asciiTheme="majorHAnsi" w:eastAsia="Times New Roman" w:hAnsiTheme="majorHAnsi" w:cs="Times New Roman"/>
        </w:rPr>
        <w:t xml:space="preserve"> dimensions of student engagement</w:t>
      </w:r>
      <w:r w:rsidR="00D51D66" w:rsidRPr="001775C1">
        <w:rPr>
          <w:rFonts w:asciiTheme="majorHAnsi" w:eastAsia="Times New Roman" w:hAnsiTheme="majorHAnsi" w:cs="Times New Roman"/>
        </w:rPr>
        <w:t xml:space="preserve"> should be assessed specifically in one domain, </w:t>
      </w:r>
      <w:r w:rsidR="00D54963" w:rsidRPr="001775C1">
        <w:rPr>
          <w:rFonts w:asciiTheme="majorHAnsi" w:eastAsia="Times New Roman" w:hAnsiTheme="majorHAnsi" w:cs="Times New Roman"/>
        </w:rPr>
        <w:t xml:space="preserve">because </w:t>
      </w:r>
      <w:r w:rsidR="00D51D66" w:rsidRPr="001775C1">
        <w:rPr>
          <w:rFonts w:asciiTheme="majorHAnsi" w:eastAsia="Times New Roman" w:hAnsiTheme="majorHAnsi" w:cs="Times New Roman"/>
        </w:rPr>
        <w:t>engagement</w:t>
      </w:r>
      <w:r w:rsidR="001B6A44" w:rsidRPr="001775C1">
        <w:rPr>
          <w:rFonts w:asciiTheme="majorHAnsi" w:eastAsia="Times New Roman" w:hAnsiTheme="majorHAnsi" w:cs="Times New Roman"/>
        </w:rPr>
        <w:t xml:space="preserve"> and motivation </w:t>
      </w:r>
      <w:r w:rsidR="00D51D66" w:rsidRPr="001775C1">
        <w:rPr>
          <w:rFonts w:asciiTheme="majorHAnsi" w:eastAsia="Times New Roman" w:hAnsiTheme="majorHAnsi" w:cs="Times New Roman"/>
        </w:rPr>
        <w:t xml:space="preserve">issues are </w:t>
      </w:r>
      <w:r w:rsidR="001B6A44" w:rsidRPr="001775C1">
        <w:rPr>
          <w:rFonts w:asciiTheme="majorHAnsi" w:eastAsia="Times New Roman" w:hAnsiTheme="majorHAnsi" w:cs="Times New Roman"/>
        </w:rPr>
        <w:t xml:space="preserve">specific </w:t>
      </w:r>
      <w:r w:rsidR="00D51D66" w:rsidRPr="001775C1">
        <w:rPr>
          <w:rFonts w:asciiTheme="majorHAnsi" w:eastAsia="Times New Roman" w:hAnsiTheme="majorHAnsi" w:cs="Times New Roman"/>
        </w:rPr>
        <w:t>to domains such as Mathematics, English and Science and thus, global efforts to</w:t>
      </w:r>
      <w:r w:rsidR="001B6A44" w:rsidRPr="001775C1">
        <w:rPr>
          <w:rFonts w:asciiTheme="majorHAnsi" w:eastAsia="Times New Roman" w:hAnsiTheme="majorHAnsi" w:cs="Times New Roman"/>
        </w:rPr>
        <w:t xml:space="preserve"> enrich</w:t>
      </w:r>
      <w:r w:rsidR="00D51D66" w:rsidRPr="001775C1">
        <w:rPr>
          <w:rFonts w:asciiTheme="majorHAnsi" w:eastAsia="Times New Roman" w:hAnsiTheme="majorHAnsi" w:cs="Times New Roman"/>
        </w:rPr>
        <w:t xml:space="preserve"> academic engagement may not be as effective as efforts to increase domain specific engagement</w:t>
      </w:r>
      <w:r w:rsidR="001B6A44" w:rsidRPr="001775C1">
        <w:rPr>
          <w:rFonts w:asciiTheme="majorHAnsi" w:eastAsia="Times New Roman" w:hAnsiTheme="majorHAnsi" w:cs="Times New Roman"/>
        </w:rPr>
        <w:t xml:space="preserve"> and motivation</w:t>
      </w:r>
      <w:r w:rsidR="00D51D66" w:rsidRPr="001775C1">
        <w:rPr>
          <w:rFonts w:asciiTheme="majorHAnsi" w:eastAsia="Times New Roman" w:hAnsiTheme="majorHAnsi" w:cs="Times New Roman"/>
        </w:rPr>
        <w:t xml:space="preserve"> (Green, Martin &amp; Marsh, 2007; Martin, 2008). Therefore, subject-specific measures are more </w:t>
      </w:r>
      <w:r w:rsidR="001B6A44" w:rsidRPr="001775C1">
        <w:rPr>
          <w:rFonts w:asciiTheme="majorHAnsi" w:eastAsia="Times New Roman" w:hAnsiTheme="majorHAnsi" w:cs="Times New Roman"/>
        </w:rPr>
        <w:t>powerfully</w:t>
      </w:r>
      <w:r w:rsidR="00D51D66" w:rsidRPr="001775C1">
        <w:rPr>
          <w:rFonts w:asciiTheme="majorHAnsi" w:eastAsia="Times New Roman" w:hAnsiTheme="majorHAnsi" w:cs="Times New Roman"/>
        </w:rPr>
        <w:t xml:space="preserve"> </w:t>
      </w:r>
      <w:r w:rsidR="001B6A44" w:rsidRPr="001775C1">
        <w:rPr>
          <w:rFonts w:asciiTheme="majorHAnsi" w:eastAsia="Times New Roman" w:hAnsiTheme="majorHAnsi" w:cs="Times New Roman"/>
        </w:rPr>
        <w:t>linked</w:t>
      </w:r>
      <w:r w:rsidR="00D51D66" w:rsidRPr="001775C1">
        <w:rPr>
          <w:rFonts w:asciiTheme="majorHAnsi" w:eastAsia="Times New Roman" w:hAnsiTheme="majorHAnsi" w:cs="Times New Roman"/>
        </w:rPr>
        <w:t xml:space="preserve"> to the corresponding subject-specific engagement </w:t>
      </w:r>
      <w:r w:rsidR="001B6A44" w:rsidRPr="001775C1">
        <w:rPr>
          <w:rFonts w:asciiTheme="majorHAnsi" w:eastAsia="Times New Roman" w:hAnsiTheme="majorHAnsi" w:cs="Times New Roman"/>
        </w:rPr>
        <w:t xml:space="preserve">and motivation </w:t>
      </w:r>
      <w:r w:rsidR="00D51D66" w:rsidRPr="001775C1">
        <w:rPr>
          <w:rFonts w:asciiTheme="majorHAnsi" w:eastAsia="Times New Roman" w:hAnsiTheme="majorHAnsi" w:cs="Times New Roman"/>
        </w:rPr>
        <w:t xml:space="preserve">constructs (Green, Martin &amp; Marsh, 2007). Similarly, the study of the Martin’s (2008) brings to the fore the significance of domain specificity for assessment. </w:t>
      </w:r>
      <w:r w:rsidR="006052FB" w:rsidRPr="001775C1">
        <w:rPr>
          <w:rFonts w:asciiTheme="majorHAnsi" w:eastAsia="Times New Roman" w:hAnsiTheme="majorHAnsi" w:cs="Times New Roman"/>
        </w:rPr>
        <w:t xml:space="preserve"> According to his findings, motivation and engagement are not domain general, rather they are domain specific</w:t>
      </w:r>
      <w:r w:rsidR="006052FB" w:rsidRPr="001775C1">
        <w:rPr>
          <w:rFonts w:asciiTheme="majorHAnsi" w:eastAsia="Times New Roman" w:hAnsiTheme="majorHAnsi" w:cs="Times New Roman"/>
          <w:color w:val="auto"/>
        </w:rPr>
        <w:t xml:space="preserve">. </w:t>
      </w:r>
      <w:r w:rsidR="00D51D66" w:rsidRPr="001775C1">
        <w:rPr>
          <w:rFonts w:asciiTheme="majorHAnsi" w:eastAsia="Times New Roman" w:hAnsiTheme="majorHAnsi" w:cs="Times New Roman"/>
          <w:color w:val="auto"/>
        </w:rPr>
        <w:t xml:space="preserve">Therefore, </w:t>
      </w:r>
      <w:r w:rsidR="00F7466E" w:rsidRPr="001775C1">
        <w:rPr>
          <w:rFonts w:asciiTheme="majorHAnsi" w:eastAsia="Times New Roman" w:hAnsiTheme="majorHAnsi" w:cs="Times New Roman"/>
          <w:color w:val="auto"/>
        </w:rPr>
        <w:t>assessment should be more target oriented</w:t>
      </w:r>
      <w:r w:rsidR="006052FB" w:rsidRPr="001775C1">
        <w:rPr>
          <w:rFonts w:asciiTheme="majorHAnsi" w:eastAsia="Times New Roman" w:hAnsiTheme="majorHAnsi" w:cs="Times New Roman"/>
          <w:color w:val="auto"/>
        </w:rPr>
        <w:t>.</w:t>
      </w:r>
      <w:r w:rsidR="006052FB" w:rsidRPr="001775C1">
        <w:rPr>
          <w:rFonts w:asciiTheme="majorHAnsi" w:eastAsia="Times New Roman" w:hAnsiTheme="majorHAnsi" w:cs="Times New Roman"/>
          <w:color w:val="0070C0"/>
        </w:rPr>
        <w:t xml:space="preserve"> </w:t>
      </w:r>
      <w:r w:rsidR="00D51D66" w:rsidRPr="001775C1">
        <w:rPr>
          <w:rFonts w:asciiTheme="majorHAnsi" w:eastAsia="Times New Roman" w:hAnsiTheme="majorHAnsi" w:cs="Times New Roman"/>
        </w:rPr>
        <w:t xml:space="preserve">When this domain specificity is considered, </w:t>
      </w:r>
      <w:r w:rsidR="00D54963" w:rsidRPr="001775C1">
        <w:rPr>
          <w:rFonts w:asciiTheme="majorHAnsi" w:eastAsia="Times New Roman" w:hAnsiTheme="majorHAnsi" w:cs="Times New Roman"/>
        </w:rPr>
        <w:t>this study focuses</w:t>
      </w:r>
      <w:r w:rsidR="00D51D66" w:rsidRPr="001775C1">
        <w:rPr>
          <w:rFonts w:asciiTheme="majorHAnsi" w:eastAsia="Times New Roman" w:hAnsiTheme="majorHAnsi" w:cs="Times New Roman"/>
        </w:rPr>
        <w:t xml:space="preserve"> </w:t>
      </w:r>
      <w:r w:rsidR="00D54963" w:rsidRPr="001775C1">
        <w:rPr>
          <w:rFonts w:asciiTheme="majorHAnsi" w:eastAsia="Times New Roman" w:hAnsiTheme="majorHAnsi" w:cs="Times New Roman"/>
        </w:rPr>
        <w:t xml:space="preserve">specifically </w:t>
      </w:r>
      <w:r w:rsidR="00D51D66" w:rsidRPr="001775C1">
        <w:rPr>
          <w:rFonts w:asciiTheme="majorHAnsi" w:eastAsia="Times New Roman" w:hAnsiTheme="majorHAnsi" w:cs="Times New Roman"/>
        </w:rPr>
        <w:t>on science domain</w:t>
      </w:r>
      <w:r w:rsidR="00D54963" w:rsidRPr="001775C1">
        <w:rPr>
          <w:rFonts w:asciiTheme="majorHAnsi" w:eastAsia="Times New Roman" w:hAnsiTheme="majorHAnsi" w:cs="Times New Roman"/>
        </w:rPr>
        <w:t xml:space="preserve"> and intends to validate the EQ to assess student engagement only in science domain. </w:t>
      </w:r>
      <w:r w:rsidR="0073339C" w:rsidRPr="001775C1">
        <w:rPr>
          <w:rFonts w:asciiTheme="majorHAnsi" w:eastAsia="Times New Roman" w:hAnsiTheme="majorHAnsi" w:cs="Times New Roman"/>
        </w:rPr>
        <w:t xml:space="preserve">Future studies can attempt to validate the instrument for other domains such as math and language as well.  </w:t>
      </w:r>
    </w:p>
    <w:p w:rsidR="00B1731D" w:rsidRPr="001775C1" w:rsidRDefault="00D54963" w:rsidP="00C01287">
      <w:pPr>
        <w:spacing w:line="240" w:lineRule="auto"/>
        <w:ind w:firstLine="567"/>
        <w:jc w:val="both"/>
        <w:rPr>
          <w:rFonts w:asciiTheme="majorHAnsi" w:hAnsiTheme="majorHAnsi" w:cs="Times New Roman"/>
          <w:color w:val="0070C0"/>
        </w:rPr>
      </w:pPr>
      <w:r w:rsidRPr="001775C1">
        <w:rPr>
          <w:rFonts w:asciiTheme="majorHAnsi" w:eastAsia="Times New Roman" w:hAnsiTheme="majorHAnsi" w:cs="Times New Roman"/>
        </w:rPr>
        <w:t xml:space="preserve">Assessment of student engagement is important because </w:t>
      </w:r>
      <w:r w:rsidR="00D51D66" w:rsidRPr="001775C1">
        <w:rPr>
          <w:rFonts w:asciiTheme="majorHAnsi" w:eastAsia="Times New Roman" w:hAnsiTheme="majorHAnsi" w:cs="Times New Roman"/>
        </w:rPr>
        <w:t xml:space="preserve">engagement </w:t>
      </w:r>
      <w:r w:rsidRPr="001775C1">
        <w:rPr>
          <w:rFonts w:asciiTheme="majorHAnsi" w:eastAsia="Times New Roman" w:hAnsiTheme="majorHAnsi" w:cs="Times New Roman"/>
        </w:rPr>
        <w:t>is found to be related to</w:t>
      </w:r>
      <w:r w:rsidR="00D51D66" w:rsidRPr="001775C1">
        <w:rPr>
          <w:rFonts w:asciiTheme="majorHAnsi" w:eastAsia="Times New Roman" w:hAnsiTheme="majorHAnsi" w:cs="Times New Roman"/>
        </w:rPr>
        <w:t xml:space="preserve"> students’ achievement (</w:t>
      </w:r>
      <w:proofErr w:type="spellStart"/>
      <w:r w:rsidR="00F7466E" w:rsidRPr="001775C1">
        <w:rPr>
          <w:rFonts w:asciiTheme="majorHAnsi" w:hAnsiTheme="majorHAnsi"/>
        </w:rPr>
        <w:t>Fredricks</w:t>
      </w:r>
      <w:proofErr w:type="spellEnd"/>
      <w:r w:rsidR="00F7466E" w:rsidRPr="001775C1">
        <w:rPr>
          <w:rFonts w:asciiTheme="majorHAnsi" w:hAnsiTheme="majorHAnsi"/>
        </w:rPr>
        <w:t xml:space="preserve"> et al., 2004; Marks, 2000</w:t>
      </w:r>
      <w:r w:rsidR="00D51D66" w:rsidRPr="001775C1">
        <w:rPr>
          <w:rFonts w:asciiTheme="majorHAnsi" w:eastAsia="Times New Roman" w:hAnsiTheme="majorHAnsi" w:cs="Times New Roman"/>
        </w:rPr>
        <w:t xml:space="preserve">); </w:t>
      </w:r>
      <w:r w:rsidR="00D51D66" w:rsidRPr="001775C1">
        <w:rPr>
          <w:rFonts w:asciiTheme="majorHAnsi" w:eastAsia="Times New Roman" w:hAnsiTheme="majorHAnsi" w:cs="Times New Roman"/>
          <w:color w:val="auto"/>
        </w:rPr>
        <w:t>critical thinking skills (</w:t>
      </w:r>
      <w:proofErr w:type="spellStart"/>
      <w:r w:rsidR="00F7466E" w:rsidRPr="001775C1">
        <w:rPr>
          <w:rFonts w:asciiTheme="majorHAnsi" w:hAnsiTheme="majorHAnsi" w:cs="Times New Roman"/>
          <w:color w:val="auto"/>
        </w:rPr>
        <w:t>Pascarella</w:t>
      </w:r>
      <w:proofErr w:type="spellEnd"/>
      <w:r w:rsidR="00F7466E" w:rsidRPr="001775C1">
        <w:rPr>
          <w:rFonts w:asciiTheme="majorHAnsi" w:hAnsiTheme="majorHAnsi" w:cs="Times New Roman"/>
          <w:color w:val="auto"/>
        </w:rPr>
        <w:t xml:space="preserve">, Palmer, </w:t>
      </w:r>
      <w:proofErr w:type="spellStart"/>
      <w:r w:rsidR="00F7466E" w:rsidRPr="001775C1">
        <w:rPr>
          <w:rFonts w:asciiTheme="majorHAnsi" w:hAnsiTheme="majorHAnsi" w:cs="Times New Roman"/>
          <w:color w:val="auto"/>
        </w:rPr>
        <w:t>Moye</w:t>
      </w:r>
      <w:proofErr w:type="spellEnd"/>
      <w:r w:rsidR="00F7466E" w:rsidRPr="001775C1">
        <w:rPr>
          <w:rFonts w:asciiTheme="majorHAnsi" w:hAnsiTheme="majorHAnsi" w:cs="Times New Roman"/>
          <w:color w:val="auto"/>
        </w:rPr>
        <w:t xml:space="preserve">, &amp; Pierson, </w:t>
      </w:r>
      <w:r w:rsidR="00D51D66" w:rsidRPr="001775C1">
        <w:rPr>
          <w:rFonts w:asciiTheme="majorHAnsi" w:eastAsia="Times New Roman" w:hAnsiTheme="majorHAnsi" w:cs="Times New Roman"/>
          <w:color w:val="auto"/>
        </w:rPr>
        <w:t xml:space="preserve">2001), and problem solving skills </w:t>
      </w:r>
      <w:bookmarkStart w:id="3" w:name="OLE_LINK25"/>
      <w:bookmarkStart w:id="4" w:name="OLE_LINK26"/>
      <w:r w:rsidR="00D51D66" w:rsidRPr="001775C1">
        <w:rPr>
          <w:rFonts w:asciiTheme="majorHAnsi" w:eastAsia="Times New Roman" w:hAnsiTheme="majorHAnsi" w:cs="Times New Roman"/>
          <w:color w:val="auto"/>
        </w:rPr>
        <w:t xml:space="preserve">(Johnson, Johnson, &amp; Smith, 1998); </w:t>
      </w:r>
      <w:bookmarkEnd w:id="3"/>
      <w:bookmarkEnd w:id="4"/>
      <w:r w:rsidR="00D51D66" w:rsidRPr="001775C1">
        <w:rPr>
          <w:rFonts w:asciiTheme="majorHAnsi" w:eastAsia="Times New Roman" w:hAnsiTheme="majorHAnsi" w:cs="Times New Roman"/>
          <w:color w:val="auto"/>
        </w:rPr>
        <w:t xml:space="preserve">to </w:t>
      </w:r>
      <w:r w:rsidR="001F48F8" w:rsidRPr="001775C1">
        <w:rPr>
          <w:rFonts w:asciiTheme="majorHAnsi" w:eastAsia="Times New Roman" w:hAnsiTheme="majorHAnsi" w:cs="Times New Roman"/>
        </w:rPr>
        <w:t xml:space="preserve">be an indicator of </w:t>
      </w:r>
      <w:r w:rsidR="00D51D66" w:rsidRPr="001775C1">
        <w:rPr>
          <w:rFonts w:asciiTheme="majorHAnsi" w:eastAsia="Times New Roman" w:hAnsiTheme="majorHAnsi" w:cs="Times New Roman"/>
        </w:rPr>
        <w:t xml:space="preserve">students’ motivation during instruction </w:t>
      </w:r>
      <w:bookmarkStart w:id="5" w:name="OLE_LINK27"/>
      <w:bookmarkStart w:id="6" w:name="OLE_LINK28"/>
      <w:r w:rsidR="00D51D66" w:rsidRPr="001775C1">
        <w:rPr>
          <w:rFonts w:asciiTheme="majorHAnsi" w:eastAsia="Times New Roman" w:hAnsiTheme="majorHAnsi" w:cs="Times New Roman"/>
        </w:rPr>
        <w:t>(</w:t>
      </w:r>
      <w:proofErr w:type="spellStart"/>
      <w:r w:rsidR="00D51D66" w:rsidRPr="001775C1">
        <w:rPr>
          <w:rFonts w:asciiTheme="majorHAnsi" w:eastAsia="Times New Roman" w:hAnsiTheme="majorHAnsi" w:cs="Times New Roman"/>
        </w:rPr>
        <w:t>Furrer</w:t>
      </w:r>
      <w:proofErr w:type="spellEnd"/>
      <w:r w:rsidR="00D51D66" w:rsidRPr="001775C1">
        <w:rPr>
          <w:rFonts w:asciiTheme="majorHAnsi" w:eastAsia="Times New Roman" w:hAnsiTheme="majorHAnsi" w:cs="Times New Roman"/>
        </w:rPr>
        <w:t xml:space="preserve"> &amp; Skinner, 2003; Skinner &amp; Belmont, 1993)</w:t>
      </w:r>
      <w:bookmarkEnd w:id="5"/>
      <w:bookmarkEnd w:id="6"/>
      <w:r w:rsidR="00D51D66" w:rsidRPr="001775C1">
        <w:rPr>
          <w:rFonts w:asciiTheme="majorHAnsi" w:eastAsia="Times New Roman" w:hAnsiTheme="majorHAnsi" w:cs="Times New Roman"/>
        </w:rPr>
        <w:t>.</w:t>
      </w:r>
      <w:r w:rsidR="00726672" w:rsidRPr="001775C1">
        <w:rPr>
          <w:rFonts w:asciiTheme="majorHAnsi" w:eastAsia="Times New Roman" w:hAnsiTheme="majorHAnsi" w:cs="Times New Roman"/>
        </w:rPr>
        <w:t xml:space="preserve"> </w:t>
      </w:r>
      <w:r w:rsidR="00D51D66" w:rsidRPr="001775C1">
        <w:rPr>
          <w:rFonts w:asciiTheme="majorHAnsi" w:eastAsia="Times New Roman" w:hAnsiTheme="majorHAnsi" w:cs="Times New Roman"/>
        </w:rPr>
        <w:t xml:space="preserve">Therefore, teachers and researchers should be aware of this construct, determine the present condition and try to enhance student engagement. </w:t>
      </w:r>
    </w:p>
    <w:p w:rsidR="00631D2A" w:rsidRPr="001775C1" w:rsidRDefault="00B37855" w:rsidP="00C01287">
      <w:pPr>
        <w:spacing w:before="240" w:after="240" w:line="240" w:lineRule="auto"/>
        <w:jc w:val="center"/>
        <w:rPr>
          <w:rFonts w:asciiTheme="majorHAnsi" w:hAnsiTheme="majorHAnsi" w:cs="Times New Roman"/>
          <w:b/>
        </w:rPr>
      </w:pPr>
      <w:r w:rsidRPr="001775C1">
        <w:rPr>
          <w:rFonts w:asciiTheme="majorHAnsi" w:hAnsiTheme="majorHAnsi" w:cs="Times New Roman"/>
          <w:b/>
        </w:rPr>
        <w:t>METHOD</w:t>
      </w:r>
    </w:p>
    <w:p w:rsidR="00631D2A" w:rsidRPr="00B37855" w:rsidRDefault="00631D2A" w:rsidP="00C01287">
      <w:pPr>
        <w:spacing w:before="120" w:after="120" w:line="240" w:lineRule="auto"/>
        <w:jc w:val="both"/>
        <w:rPr>
          <w:rFonts w:asciiTheme="majorHAnsi" w:hAnsiTheme="majorHAnsi" w:cs="Times New Roman"/>
          <w:b/>
        </w:rPr>
      </w:pPr>
      <w:r w:rsidRPr="00B37855">
        <w:rPr>
          <w:rFonts w:asciiTheme="majorHAnsi" w:hAnsiTheme="majorHAnsi" w:cs="Times New Roman"/>
          <w:b/>
        </w:rPr>
        <w:t>Participants</w:t>
      </w:r>
    </w:p>
    <w:p w:rsidR="00631D2A" w:rsidRPr="001775C1" w:rsidRDefault="00631D2A" w:rsidP="00C01287">
      <w:pPr>
        <w:spacing w:after="120" w:line="240" w:lineRule="auto"/>
        <w:ind w:firstLine="567"/>
        <w:jc w:val="both"/>
        <w:rPr>
          <w:rFonts w:asciiTheme="majorHAnsi" w:hAnsiTheme="majorHAnsi" w:cs="Times New Roman"/>
          <w:color w:val="auto"/>
        </w:rPr>
      </w:pPr>
      <w:r w:rsidRPr="001775C1">
        <w:rPr>
          <w:rFonts w:asciiTheme="majorHAnsi" w:hAnsiTheme="majorHAnsi" w:cs="Times New Roman"/>
        </w:rPr>
        <w:t xml:space="preserve">Two separate samples were used to validate the EQ for Turkish middle school students. </w:t>
      </w:r>
      <w:r w:rsidR="00133A9C" w:rsidRPr="001775C1">
        <w:rPr>
          <w:rFonts w:asciiTheme="majorHAnsi" w:hAnsiTheme="majorHAnsi" w:cs="Times New Roman"/>
        </w:rPr>
        <w:t xml:space="preserve">Samples were selected using convenient sampling accompanied with cluster random sampling procedure: Districts from which the samples to be selected was chosen using convenient sampling. Then, within each district, public schools considered as clusters were selected randomly. </w:t>
      </w:r>
      <w:r w:rsidRPr="001775C1">
        <w:rPr>
          <w:rFonts w:asciiTheme="majorHAnsi" w:hAnsiTheme="majorHAnsi" w:cs="Times New Roman"/>
        </w:rPr>
        <w:t xml:space="preserve">Middle </w:t>
      </w:r>
      <w:r w:rsidRPr="001775C1">
        <w:rPr>
          <w:rFonts w:asciiTheme="majorHAnsi" w:hAnsiTheme="majorHAnsi" w:cs="Times New Roman"/>
          <w:color w:val="auto"/>
        </w:rPr>
        <w:t xml:space="preserve">school students from these schools constituted each sample. </w:t>
      </w:r>
      <w:r w:rsidR="00133A9C" w:rsidRPr="001775C1">
        <w:rPr>
          <w:rFonts w:asciiTheme="majorHAnsi" w:hAnsiTheme="majorHAnsi" w:cs="Times New Roman"/>
          <w:color w:val="auto"/>
        </w:rPr>
        <w:t>Samples ranged in age from 12 to 15 years.</w:t>
      </w:r>
      <w:r w:rsidR="00133A9C" w:rsidRPr="001775C1">
        <w:rPr>
          <w:rFonts w:asciiTheme="majorHAnsi" w:eastAsia="Times New Roman" w:hAnsiTheme="majorHAnsi" w:cs="Times New Roman"/>
          <w:b/>
          <w:color w:val="auto"/>
        </w:rPr>
        <w:t xml:space="preserve"> </w:t>
      </w:r>
      <w:r w:rsidR="00133A9C" w:rsidRPr="001775C1">
        <w:rPr>
          <w:rFonts w:asciiTheme="majorHAnsi" w:hAnsiTheme="majorHAnsi" w:cs="Times New Roman"/>
          <w:color w:val="auto"/>
        </w:rPr>
        <w:t xml:space="preserve">Sample 1 which consisted of 153 students (68 boys and 85 girls) was used to obtain preliminary findings concerning factor structure and internal consistency of Turkish version of the Engagement Questionnaire conducting confirmatory factor analysis and reliability analyses. Sample 2 which consisted of 744 students (403 girls and 337 boys) was used to examine the psychometric properties of Turkish version of the Engagement Questionnaire in detail. </w:t>
      </w:r>
      <w:r w:rsidRPr="001775C1">
        <w:rPr>
          <w:rFonts w:asciiTheme="majorHAnsi" w:hAnsiTheme="majorHAnsi" w:cs="Times New Roman"/>
          <w:color w:val="auto"/>
        </w:rPr>
        <w:t xml:space="preserve">For this purpose, confirmatory factor analysis and reliability analyses were again conducted. Pattern and structure coefficients were investigated and invariance across gender was explored. In addition, to provide further validity evidence for the questionnaire, the relation of each of its sub-scale with self-efficacy was examined. </w:t>
      </w:r>
    </w:p>
    <w:p w:rsidR="00631D2A" w:rsidRPr="00B37855" w:rsidRDefault="00324320" w:rsidP="00C01287">
      <w:pPr>
        <w:spacing w:before="120" w:after="120" w:line="240" w:lineRule="auto"/>
        <w:jc w:val="both"/>
        <w:rPr>
          <w:rFonts w:asciiTheme="majorHAnsi" w:hAnsiTheme="majorHAnsi" w:cs="Times New Roman"/>
          <w:b/>
          <w:shd w:val="clear" w:color="auto" w:fill="FFFFFF"/>
        </w:rPr>
      </w:pPr>
      <w:r w:rsidRPr="00B37855">
        <w:rPr>
          <w:rFonts w:asciiTheme="majorHAnsi" w:hAnsiTheme="majorHAnsi" w:cs="Times New Roman"/>
          <w:b/>
          <w:shd w:val="clear" w:color="auto" w:fill="FFFFFF"/>
        </w:rPr>
        <w:t>Data Collection Tools</w:t>
      </w:r>
    </w:p>
    <w:p w:rsidR="00631D2A" w:rsidRPr="00C01287" w:rsidRDefault="00631D2A" w:rsidP="00C01287">
      <w:pPr>
        <w:spacing w:after="120" w:line="240" w:lineRule="auto"/>
        <w:jc w:val="both"/>
        <w:rPr>
          <w:rFonts w:asciiTheme="majorHAnsi" w:hAnsiTheme="majorHAnsi" w:cs="Times New Roman"/>
          <w:b/>
          <w:bCs/>
          <w:i/>
        </w:rPr>
      </w:pPr>
      <w:r w:rsidRPr="00C01287">
        <w:rPr>
          <w:rFonts w:asciiTheme="majorHAnsi" w:hAnsiTheme="majorHAnsi" w:cs="Times New Roman"/>
          <w:b/>
          <w:bCs/>
          <w:i/>
        </w:rPr>
        <w:lastRenderedPageBreak/>
        <w:t>Engagement Questionnaire (EQ)</w:t>
      </w:r>
    </w:p>
    <w:p w:rsidR="0091236A" w:rsidRPr="001775C1" w:rsidRDefault="00631D2A" w:rsidP="00C01287">
      <w:pPr>
        <w:autoSpaceDE w:val="0"/>
        <w:autoSpaceDN w:val="0"/>
        <w:adjustRightInd w:val="0"/>
        <w:spacing w:after="0" w:line="240" w:lineRule="auto"/>
        <w:ind w:firstLine="567"/>
        <w:jc w:val="both"/>
        <w:rPr>
          <w:rFonts w:asciiTheme="majorHAnsi" w:hAnsiTheme="majorHAnsi" w:cs="Times New Roman"/>
          <w:color w:val="0070C0"/>
        </w:rPr>
      </w:pPr>
      <w:r w:rsidRPr="001775C1">
        <w:rPr>
          <w:rFonts w:asciiTheme="majorHAnsi" w:hAnsiTheme="majorHAnsi" w:cs="Times New Roman"/>
          <w:bCs/>
        </w:rPr>
        <w:t>The EQ</w:t>
      </w:r>
      <w:r w:rsidR="009F10BE" w:rsidRPr="001775C1">
        <w:rPr>
          <w:rFonts w:asciiTheme="majorHAnsi" w:hAnsiTheme="majorHAnsi" w:cs="Times New Roman"/>
          <w:bCs/>
        </w:rPr>
        <w:t xml:space="preserve"> (See Appendix)</w:t>
      </w:r>
      <w:r w:rsidRPr="001775C1">
        <w:rPr>
          <w:rFonts w:asciiTheme="majorHAnsi" w:hAnsiTheme="majorHAnsi" w:cs="Times New Roman"/>
          <w:bCs/>
        </w:rPr>
        <w:t xml:space="preserve">, developed by Reeve and Tseng (2011), was used to assess student engagement in terms of </w:t>
      </w:r>
      <w:r w:rsidRPr="001775C1">
        <w:rPr>
          <w:rFonts w:asciiTheme="majorHAnsi" w:hAnsiTheme="majorHAnsi" w:cs="Times New Roman"/>
        </w:rPr>
        <w:t xml:space="preserve">behavioral, emotional, cognitive and agentic engagement. </w:t>
      </w:r>
      <w:r w:rsidR="00133A9C" w:rsidRPr="001775C1">
        <w:rPr>
          <w:rFonts w:asciiTheme="majorHAnsi" w:hAnsiTheme="majorHAnsi" w:cs="Times New Roman"/>
        </w:rPr>
        <w:t xml:space="preserve">It is a seven-point-Likert type self-report instrument, and it has 22 items in four sub-scales. During its development, items from different instruments were utilized, and it was applied to 369 high school students.  </w:t>
      </w:r>
      <w:r w:rsidRPr="001775C1">
        <w:rPr>
          <w:rFonts w:asciiTheme="majorHAnsi" w:hAnsiTheme="majorHAnsi" w:cs="Times New Roman"/>
        </w:rPr>
        <w:t xml:space="preserve">To assess behavioral engagement, five-item measure was obtained from </w:t>
      </w:r>
      <w:proofErr w:type="spellStart"/>
      <w:r w:rsidRPr="001775C1">
        <w:rPr>
          <w:rFonts w:asciiTheme="majorHAnsi" w:hAnsiTheme="majorHAnsi" w:cs="Times New Roman"/>
        </w:rPr>
        <w:t>Miserandino’s</w:t>
      </w:r>
      <w:proofErr w:type="spellEnd"/>
      <w:r w:rsidRPr="001775C1">
        <w:rPr>
          <w:rFonts w:asciiTheme="majorHAnsi" w:hAnsiTheme="majorHAnsi" w:cs="Times New Roman"/>
        </w:rPr>
        <w:t xml:space="preserve"> (1996) task involvement questionnaire, and this measure showed high reliability (e.g., “I listen carefully in class”, α = .94). To assess emotional engagement, four items were selected from </w:t>
      </w:r>
      <w:proofErr w:type="spellStart"/>
      <w:r w:rsidRPr="001775C1">
        <w:rPr>
          <w:rFonts w:asciiTheme="majorHAnsi" w:hAnsiTheme="majorHAnsi" w:cs="Times New Roman"/>
        </w:rPr>
        <w:t>Wellborn’s</w:t>
      </w:r>
      <w:proofErr w:type="spellEnd"/>
      <w:r w:rsidRPr="001775C1">
        <w:rPr>
          <w:rFonts w:asciiTheme="majorHAnsi" w:hAnsiTheme="majorHAnsi" w:cs="Times New Roman"/>
        </w:rPr>
        <w:t xml:space="preserve"> (1991) conceptualization of emotional engagement, and this measure showed sufficient reliability (e.g., “When I am in class, I feel curious about what we are learning”, α = .78). </w:t>
      </w:r>
      <w:r w:rsidR="00D63693" w:rsidRPr="001775C1">
        <w:rPr>
          <w:rFonts w:asciiTheme="majorHAnsi" w:hAnsiTheme="majorHAnsi" w:cs="Times New Roman"/>
          <w:color w:val="0070C0"/>
        </w:rPr>
        <w:t xml:space="preserve"> </w:t>
      </w:r>
      <w:r w:rsidRPr="001775C1">
        <w:rPr>
          <w:rFonts w:asciiTheme="majorHAnsi" w:hAnsiTheme="majorHAnsi" w:cs="Times New Roman"/>
        </w:rPr>
        <w:t>To assess cognitive engagement, Wolters’ (2004</w:t>
      </w:r>
      <w:r w:rsidRPr="001775C1">
        <w:rPr>
          <w:rFonts w:asciiTheme="majorHAnsi" w:hAnsiTheme="majorHAnsi" w:cs="Times New Roman"/>
          <w:color w:val="000066"/>
        </w:rPr>
        <w:t xml:space="preserve">) </w:t>
      </w:r>
      <w:r w:rsidRPr="001775C1">
        <w:rPr>
          <w:rFonts w:asciiTheme="majorHAnsi" w:hAnsiTheme="majorHAnsi" w:cs="Times New Roman"/>
        </w:rPr>
        <w:t>lea</w:t>
      </w:r>
      <w:r w:rsidR="00907F12" w:rsidRPr="001775C1">
        <w:rPr>
          <w:rFonts w:asciiTheme="majorHAnsi" w:hAnsiTheme="majorHAnsi" w:cs="Times New Roman"/>
        </w:rPr>
        <w:t xml:space="preserve">rning strategies questionnaire </w:t>
      </w:r>
      <w:r w:rsidRPr="001775C1">
        <w:rPr>
          <w:rFonts w:asciiTheme="majorHAnsi" w:hAnsiTheme="majorHAnsi" w:cs="Times New Roman"/>
        </w:rPr>
        <w:t>was revised and new combined eight-item scale demonstrated high reliability (</w:t>
      </w:r>
      <w:r w:rsidR="00204CD3" w:rsidRPr="001775C1">
        <w:rPr>
          <w:rFonts w:asciiTheme="majorHAnsi" w:hAnsiTheme="majorHAnsi" w:cs="Times New Roman"/>
        </w:rPr>
        <w:t>e.g., “</w:t>
      </w:r>
      <w:r w:rsidRPr="001775C1">
        <w:rPr>
          <w:rFonts w:asciiTheme="majorHAnsi" w:hAnsiTheme="majorHAnsi" w:cs="Times New Roman"/>
        </w:rPr>
        <w:t>When I study, I try to connect what I am learning wit</w:t>
      </w:r>
      <w:r w:rsidR="00204CD3" w:rsidRPr="001775C1">
        <w:rPr>
          <w:rFonts w:asciiTheme="majorHAnsi" w:hAnsiTheme="majorHAnsi" w:cs="Times New Roman"/>
        </w:rPr>
        <w:t xml:space="preserve">h my own experiences”, α = .88). Finally, to assess agentic engagement five-item measure was developed by </w:t>
      </w:r>
      <w:r w:rsidR="00204CD3" w:rsidRPr="001775C1">
        <w:rPr>
          <w:rFonts w:asciiTheme="majorHAnsi" w:hAnsiTheme="majorHAnsi" w:cs="Times New Roman"/>
          <w:bCs/>
        </w:rPr>
        <w:t>Reeve and Tseng (2011). T</w:t>
      </w:r>
      <w:r w:rsidR="00204CD3" w:rsidRPr="001775C1">
        <w:rPr>
          <w:rFonts w:asciiTheme="majorHAnsi" w:hAnsiTheme="majorHAnsi" w:cs="Times New Roman"/>
        </w:rPr>
        <w:t>his measure showed sufficient reliability (e.g., “I offer suggestions about how to make the class better”, α = .82</w:t>
      </w:r>
      <w:r w:rsidR="00204CD3" w:rsidRPr="001775C1">
        <w:rPr>
          <w:rFonts w:asciiTheme="majorHAnsi" w:hAnsiTheme="majorHAnsi" w:cs="Times New Roman"/>
          <w:color w:val="auto"/>
        </w:rPr>
        <w:t xml:space="preserve">). </w:t>
      </w:r>
      <w:r w:rsidR="00133A9C" w:rsidRPr="001775C1">
        <w:rPr>
          <w:rFonts w:asciiTheme="majorHAnsi" w:hAnsiTheme="majorHAnsi" w:cs="Times New Roman"/>
          <w:color w:val="auto"/>
        </w:rPr>
        <w:t xml:space="preserve">In addition, researchers conducted an exploratory factor analysis to test whether agentic engagement is a distinct aspect of engagement or not. </w:t>
      </w:r>
      <w:r w:rsidR="00820A88" w:rsidRPr="001775C1">
        <w:rPr>
          <w:rFonts w:asciiTheme="majorHAnsi" w:hAnsiTheme="majorHAnsi" w:cs="Times New Roman"/>
          <w:color w:val="auto"/>
        </w:rPr>
        <w:t xml:space="preserve">Results </w:t>
      </w:r>
      <w:r w:rsidR="00FB3900" w:rsidRPr="001775C1">
        <w:rPr>
          <w:rFonts w:asciiTheme="majorHAnsi" w:hAnsiTheme="majorHAnsi" w:cs="Times New Roman"/>
          <w:color w:val="auto"/>
        </w:rPr>
        <w:t>confirm the</w:t>
      </w:r>
      <w:r w:rsidR="00820A88" w:rsidRPr="001775C1">
        <w:rPr>
          <w:rFonts w:asciiTheme="majorHAnsi" w:hAnsiTheme="majorHAnsi" w:cs="Times New Roman"/>
          <w:color w:val="auto"/>
        </w:rPr>
        <w:t xml:space="preserve"> four factors </w:t>
      </w:r>
      <w:r w:rsidR="00FB3900" w:rsidRPr="001775C1">
        <w:rPr>
          <w:rFonts w:asciiTheme="majorHAnsi" w:hAnsiTheme="majorHAnsi" w:cs="Times New Roman"/>
          <w:color w:val="auto"/>
        </w:rPr>
        <w:t>according to</w:t>
      </w:r>
      <w:r w:rsidR="00820A88" w:rsidRPr="001775C1">
        <w:rPr>
          <w:rFonts w:asciiTheme="majorHAnsi" w:hAnsiTheme="majorHAnsi" w:cs="Times New Roman"/>
          <w:color w:val="auto"/>
        </w:rPr>
        <w:t xml:space="preserve"> eigenvalue &gt;1, and these four factors accounted for 66.6% of the total</w:t>
      </w:r>
      <w:r w:rsidR="004C513C" w:rsidRPr="001775C1">
        <w:rPr>
          <w:rFonts w:asciiTheme="majorHAnsi" w:hAnsiTheme="majorHAnsi" w:cs="Times New Roman"/>
          <w:color w:val="auto"/>
        </w:rPr>
        <w:t xml:space="preserve"> variance in the </w:t>
      </w:r>
      <w:r w:rsidR="00F7466E" w:rsidRPr="001775C1">
        <w:rPr>
          <w:rFonts w:asciiTheme="majorHAnsi" w:hAnsiTheme="majorHAnsi" w:cs="Times New Roman"/>
          <w:color w:val="auto"/>
        </w:rPr>
        <w:t>instrument</w:t>
      </w:r>
      <w:r w:rsidR="004C513C" w:rsidRPr="001775C1">
        <w:rPr>
          <w:rFonts w:asciiTheme="majorHAnsi" w:hAnsiTheme="majorHAnsi" w:cs="Times New Roman"/>
          <w:color w:val="auto"/>
        </w:rPr>
        <w:t>.</w:t>
      </w:r>
      <w:r w:rsidR="00204CD3" w:rsidRPr="001775C1">
        <w:rPr>
          <w:rFonts w:asciiTheme="majorHAnsi" w:hAnsiTheme="majorHAnsi" w:cs="Times New Roman"/>
          <w:color w:val="auto"/>
        </w:rPr>
        <w:t xml:space="preserve"> </w:t>
      </w:r>
      <w:r w:rsidR="00631DA5" w:rsidRPr="001775C1">
        <w:rPr>
          <w:rFonts w:asciiTheme="majorHAnsi" w:hAnsiTheme="majorHAnsi" w:cs="Times New Roman"/>
          <w:color w:val="auto"/>
        </w:rPr>
        <w:t xml:space="preserve">All factor loadings were .30 or greater. A series of confirmatory factor analyses were also conducted to determine the most appropriate structure for engagement by comparing all possible models of how the various aspects of engagement might combine to define a best-fitting structure. </w:t>
      </w:r>
      <w:r w:rsidR="0091236A" w:rsidRPr="001775C1">
        <w:rPr>
          <w:rFonts w:asciiTheme="majorHAnsi" w:hAnsiTheme="majorHAnsi" w:cs="Times New Roman"/>
          <w:color w:val="auto"/>
        </w:rPr>
        <w:t xml:space="preserve">For this purpose, 12 possible models including a single-factor model in which all 22 indicators loaded onto a single </w:t>
      </w:r>
      <w:r w:rsidR="0091236A" w:rsidRPr="001775C1">
        <w:rPr>
          <w:rFonts w:asciiTheme="majorHAnsi" w:hAnsiTheme="majorHAnsi" w:cs="Times New Roman"/>
        </w:rPr>
        <w:t xml:space="preserve">latent variable; all possible two-factor models; all possible three-factor models; and four-factor model comprising four separate latent factors (i.e., behavioral, emotional, cognitive, and agentic) were tested. CFA results showed that all models fit the data based on to the chi-square statistic (all </w:t>
      </w:r>
      <w:proofErr w:type="spellStart"/>
      <w:r w:rsidR="0091236A" w:rsidRPr="001775C1">
        <w:rPr>
          <w:rFonts w:asciiTheme="majorHAnsi" w:hAnsiTheme="majorHAnsi" w:cs="Times New Roman"/>
        </w:rPr>
        <w:t>ps</w:t>
      </w:r>
      <w:proofErr w:type="spellEnd"/>
      <w:r w:rsidR="0091236A" w:rsidRPr="001775C1">
        <w:rPr>
          <w:rFonts w:asciiTheme="majorHAnsi" w:hAnsiTheme="majorHAnsi" w:cs="Times New Roman"/>
        </w:rPr>
        <w:t xml:space="preserve"> &lt; .01), however, four-factor model adequately fit the data based on all fit indices (SRMR, RMSEA, CFI, and AIC) (Reeve &amp; Tseng, 2011). </w:t>
      </w:r>
    </w:p>
    <w:p w:rsidR="00631D2A" w:rsidRPr="001775C1" w:rsidRDefault="0091236A" w:rsidP="00C01287">
      <w:pPr>
        <w:autoSpaceDE w:val="0"/>
        <w:autoSpaceDN w:val="0"/>
        <w:adjustRightInd w:val="0"/>
        <w:spacing w:after="0" w:line="240" w:lineRule="auto"/>
        <w:ind w:firstLine="567"/>
        <w:jc w:val="both"/>
        <w:rPr>
          <w:rFonts w:asciiTheme="majorHAnsi" w:eastAsia="TimesNewRoman" w:hAnsiTheme="majorHAnsi" w:cs="Times New Roman"/>
        </w:rPr>
      </w:pPr>
      <w:r w:rsidRPr="001775C1">
        <w:rPr>
          <w:rFonts w:asciiTheme="majorHAnsi" w:hAnsiTheme="majorHAnsi" w:cs="Times New Roman"/>
          <w:color w:val="auto"/>
        </w:rPr>
        <w:t xml:space="preserve"> </w:t>
      </w:r>
      <w:r w:rsidR="00631D2A" w:rsidRPr="001775C1">
        <w:rPr>
          <w:rFonts w:asciiTheme="majorHAnsi" w:hAnsiTheme="majorHAnsi" w:cs="Times New Roman"/>
        </w:rPr>
        <w:tab/>
        <w:t xml:space="preserve"> In order to validate the instrument for Turkish elementary school students, it was translated into Turkish by the first author. </w:t>
      </w:r>
      <w:r w:rsidR="00631DA5" w:rsidRPr="001775C1">
        <w:rPr>
          <w:rFonts w:asciiTheme="majorHAnsi" w:hAnsiTheme="majorHAnsi" w:cs="Times New Roman"/>
        </w:rPr>
        <w:t xml:space="preserve">During its translation, "in science class" statement was added to the items in scale. For example, in the behavioral engagement sub-scale, there was an item “I listen carefully in class”, and this item was edited as “I listen carefully in science classes”. </w:t>
      </w:r>
      <w:r w:rsidR="00631D2A" w:rsidRPr="001775C1">
        <w:rPr>
          <w:rFonts w:asciiTheme="majorHAnsi" w:hAnsiTheme="majorHAnsi" w:cs="Times New Roman"/>
        </w:rPr>
        <w:t>An instructor from science education department at a large public university whose are</w:t>
      </w:r>
      <w:r w:rsidR="00036783">
        <w:rPr>
          <w:rFonts w:asciiTheme="majorHAnsi" w:hAnsiTheme="majorHAnsi" w:cs="Times New Roman"/>
        </w:rPr>
        <w:t>a</w:t>
      </w:r>
      <w:r w:rsidR="00631D2A" w:rsidRPr="001775C1">
        <w:rPr>
          <w:rFonts w:asciiTheme="majorHAnsi" w:hAnsiTheme="majorHAnsi" w:cs="Times New Roman"/>
        </w:rPr>
        <w:t xml:space="preserve"> of research involves student motivation and self-regulation in science examined the translated instrument for content validity. </w:t>
      </w:r>
      <w:r w:rsidR="00F61EBA" w:rsidRPr="001775C1">
        <w:rPr>
          <w:rFonts w:asciiTheme="majorHAnsi" w:hAnsiTheme="majorHAnsi" w:cs="Times New Roman"/>
          <w:color w:val="0070C0"/>
        </w:rPr>
        <w:t xml:space="preserve"> </w:t>
      </w:r>
      <w:r w:rsidR="00631DA5" w:rsidRPr="001775C1">
        <w:rPr>
          <w:rFonts w:asciiTheme="majorHAnsi" w:hAnsiTheme="majorHAnsi" w:cs="Times New Roman"/>
        </w:rPr>
        <w:t>The instructor also checked the quality of items in terms of clearness, sentence structure, and comprehensiveness. After this process, support from Academic Writing Center was received for the grammar structure of the translation. In the directions of these expert opinions, the instrument was revised. In order to determine if the instrument is comprehensible enough for students or not, it was read by five students. Some small changes were made on some words</w:t>
      </w:r>
      <w:r w:rsidR="0097225F" w:rsidRPr="001775C1">
        <w:rPr>
          <w:rFonts w:asciiTheme="majorHAnsi" w:hAnsiTheme="majorHAnsi" w:cs="Times New Roman"/>
          <w:color w:val="0070C0"/>
        </w:rPr>
        <w:t xml:space="preserve">. </w:t>
      </w:r>
      <w:r w:rsidR="00631D2A" w:rsidRPr="001775C1">
        <w:rPr>
          <w:rFonts w:asciiTheme="majorHAnsi" w:hAnsiTheme="majorHAnsi" w:cs="Times New Roman"/>
        </w:rPr>
        <w:t xml:space="preserve">In addition, different from </w:t>
      </w:r>
      <w:r w:rsidR="00631D2A" w:rsidRPr="001775C1">
        <w:rPr>
          <w:rFonts w:asciiTheme="majorHAnsi" w:eastAsia="TimesNewRoman" w:hAnsiTheme="majorHAnsi" w:cs="Times New Roman"/>
        </w:rPr>
        <w:t>the original version of the EQ which was on 7-point scale, 4-point-likert scale was decided to be used in the current study based on the students’ comments: The students stated that it is easier for them to understand and respond to the 4-point format. Indeed, according to Bourke and Frampton (1992), younger individuals can respond to scales with fewer categories more easily.  Accordingly, 4-point response format was utilized for adaptation of the EQ for Turkish middle school students.</w:t>
      </w:r>
      <w:r w:rsidR="00460A6E" w:rsidRPr="001775C1">
        <w:rPr>
          <w:rFonts w:asciiTheme="majorHAnsi" w:eastAsia="TimesNewRoman" w:hAnsiTheme="majorHAnsi" w:cs="Times New Roman"/>
        </w:rPr>
        <w:t xml:space="preserve"> </w:t>
      </w:r>
    </w:p>
    <w:p w:rsidR="00631D2A" w:rsidRPr="00C01287" w:rsidRDefault="00631D2A" w:rsidP="00C01287">
      <w:pPr>
        <w:tabs>
          <w:tab w:val="left" w:pos="426"/>
        </w:tabs>
        <w:spacing w:before="120" w:after="120" w:line="240" w:lineRule="auto"/>
        <w:jc w:val="both"/>
        <w:rPr>
          <w:rFonts w:asciiTheme="majorHAnsi" w:hAnsiTheme="majorHAnsi" w:cs="Times New Roman"/>
          <w:b/>
        </w:rPr>
      </w:pPr>
      <w:r w:rsidRPr="00C01287">
        <w:rPr>
          <w:rFonts w:asciiTheme="majorHAnsi" w:hAnsiTheme="majorHAnsi" w:cs="Times New Roman"/>
          <w:b/>
          <w:i/>
        </w:rPr>
        <w:t>Motivated Strategies for Learning Questionnaire (MSLQ)</w:t>
      </w:r>
      <w:r w:rsidR="00D9235A" w:rsidRPr="00C01287">
        <w:rPr>
          <w:rFonts w:asciiTheme="majorHAnsi" w:hAnsiTheme="majorHAnsi" w:cs="Times New Roman"/>
          <w:b/>
          <w:i/>
        </w:rPr>
        <w:t xml:space="preserve"> </w:t>
      </w:r>
    </w:p>
    <w:p w:rsidR="00D9235A" w:rsidRPr="001775C1" w:rsidRDefault="00631D2A" w:rsidP="00B41093">
      <w:pPr>
        <w:spacing w:after="0" w:line="240" w:lineRule="auto"/>
        <w:ind w:firstLine="720"/>
        <w:jc w:val="both"/>
        <w:rPr>
          <w:rFonts w:asciiTheme="majorHAnsi" w:hAnsiTheme="majorHAnsi" w:cs="Times New Roman"/>
          <w:color w:val="0070C0"/>
        </w:rPr>
      </w:pPr>
      <w:r w:rsidRPr="001775C1">
        <w:rPr>
          <w:rFonts w:asciiTheme="majorHAnsi" w:hAnsiTheme="majorHAnsi" w:cs="Times New Roman"/>
        </w:rPr>
        <w:t xml:space="preserve">It is a self-report instrument developed by </w:t>
      </w:r>
      <w:proofErr w:type="spellStart"/>
      <w:r w:rsidR="00D9235A" w:rsidRPr="001775C1">
        <w:rPr>
          <w:rFonts w:asciiTheme="majorHAnsi" w:hAnsiTheme="majorHAnsi" w:cs="Times New Roman"/>
        </w:rPr>
        <w:t>Pintrich</w:t>
      </w:r>
      <w:proofErr w:type="spellEnd"/>
      <w:r w:rsidR="00D9235A" w:rsidRPr="001775C1">
        <w:rPr>
          <w:rFonts w:asciiTheme="majorHAnsi" w:hAnsiTheme="majorHAnsi" w:cs="Times New Roman"/>
        </w:rPr>
        <w:t xml:space="preserve">, Smith, Garcia, and </w:t>
      </w:r>
      <w:proofErr w:type="spellStart"/>
      <w:r w:rsidR="00D9235A" w:rsidRPr="001775C1">
        <w:rPr>
          <w:rFonts w:asciiTheme="majorHAnsi" w:hAnsiTheme="majorHAnsi" w:cs="Times New Roman"/>
        </w:rPr>
        <w:t>Mckeachie</w:t>
      </w:r>
      <w:proofErr w:type="spellEnd"/>
      <w:r w:rsidR="00D9235A" w:rsidRPr="001775C1">
        <w:rPr>
          <w:rFonts w:asciiTheme="majorHAnsi" w:hAnsiTheme="majorHAnsi" w:cs="Times New Roman"/>
        </w:rPr>
        <w:t xml:space="preserve"> (1993) </w:t>
      </w:r>
      <w:r w:rsidRPr="001775C1">
        <w:rPr>
          <w:rFonts w:asciiTheme="majorHAnsi" w:hAnsiTheme="majorHAnsi" w:cs="Times New Roman"/>
        </w:rPr>
        <w:t>to measure various aspects of student motivation, cognition, and behavior.  The MSLQ consists of eleven sub-scales designed to be modular to be used by the researchers according to the scope of their studies (</w:t>
      </w:r>
      <w:proofErr w:type="spellStart"/>
      <w:r w:rsidRPr="001775C1">
        <w:rPr>
          <w:rFonts w:asciiTheme="majorHAnsi" w:hAnsiTheme="majorHAnsi" w:cs="Times New Roman"/>
        </w:rPr>
        <w:t>Pintrich</w:t>
      </w:r>
      <w:proofErr w:type="spellEnd"/>
      <w:r w:rsidRPr="001775C1">
        <w:rPr>
          <w:rFonts w:asciiTheme="majorHAnsi" w:hAnsiTheme="majorHAnsi" w:cs="Times New Roman"/>
        </w:rPr>
        <w:t xml:space="preserve">, et al. 1993). It was translated and adapted into Turkish by </w:t>
      </w:r>
      <w:proofErr w:type="spellStart"/>
      <w:r w:rsidRPr="001775C1">
        <w:rPr>
          <w:rFonts w:asciiTheme="majorHAnsi" w:hAnsiTheme="majorHAnsi" w:cs="Times New Roman"/>
        </w:rPr>
        <w:t>Sungur</w:t>
      </w:r>
      <w:proofErr w:type="spellEnd"/>
      <w:r w:rsidRPr="001775C1">
        <w:rPr>
          <w:rFonts w:asciiTheme="majorHAnsi" w:hAnsiTheme="majorHAnsi" w:cs="Times New Roman"/>
        </w:rPr>
        <w:t xml:space="preserve"> (2004). </w:t>
      </w:r>
      <w:r w:rsidR="0002136D" w:rsidRPr="001775C1">
        <w:rPr>
          <w:rFonts w:asciiTheme="majorHAnsi" w:hAnsiTheme="majorHAnsi" w:cs="Times New Roman"/>
        </w:rPr>
        <w:t xml:space="preserve">Within the scope of the current study, self-efficacy for learning and performance sub-scale of the MSLQ was used to assess students’ self-efficacy in science (e.g., “I believe I will receive an excellent </w:t>
      </w:r>
      <w:r w:rsidR="0002136D" w:rsidRPr="001775C1">
        <w:rPr>
          <w:rFonts w:asciiTheme="majorHAnsi" w:hAnsiTheme="majorHAnsi" w:cs="Times New Roman"/>
        </w:rPr>
        <w:lastRenderedPageBreak/>
        <w:t xml:space="preserve">grade in science classes, </w:t>
      </w:r>
      <w:r w:rsidR="0002136D" w:rsidRPr="001775C1">
        <w:rPr>
          <w:rFonts w:asciiTheme="majorHAnsi" w:hAnsiTheme="majorHAnsi" w:cs="Times New Roman"/>
          <w:i/>
        </w:rPr>
        <w:t>n</w:t>
      </w:r>
      <w:r w:rsidR="0002136D" w:rsidRPr="001775C1">
        <w:rPr>
          <w:rFonts w:asciiTheme="majorHAnsi" w:hAnsiTheme="majorHAnsi" w:cs="Times New Roman"/>
        </w:rPr>
        <w:t xml:space="preserve"> = 8) was used to provide further validity evidence for the Turkish version of the EQ and the coefficient alpha was found to be .90.  </w:t>
      </w:r>
    </w:p>
    <w:p w:rsidR="00C01287" w:rsidRDefault="00B37855" w:rsidP="00C01287">
      <w:pPr>
        <w:spacing w:before="240" w:after="240" w:line="240" w:lineRule="auto"/>
        <w:jc w:val="center"/>
        <w:rPr>
          <w:rFonts w:asciiTheme="majorHAnsi" w:hAnsiTheme="majorHAnsi" w:cs="Times New Roman"/>
          <w:b/>
        </w:rPr>
      </w:pPr>
      <w:r w:rsidRPr="001775C1">
        <w:rPr>
          <w:rFonts w:asciiTheme="majorHAnsi" w:hAnsiTheme="majorHAnsi" w:cs="Times New Roman"/>
          <w:b/>
        </w:rPr>
        <w:t xml:space="preserve">RESULTS </w:t>
      </w:r>
    </w:p>
    <w:p w:rsidR="00631D2A" w:rsidRPr="00B37855" w:rsidRDefault="00631D2A" w:rsidP="00C01287">
      <w:pPr>
        <w:spacing w:before="120" w:after="120" w:line="240" w:lineRule="auto"/>
        <w:rPr>
          <w:rFonts w:asciiTheme="majorHAnsi" w:hAnsiTheme="majorHAnsi" w:cs="Times New Roman"/>
          <w:b/>
        </w:rPr>
      </w:pPr>
      <w:r w:rsidRPr="00B37855">
        <w:rPr>
          <w:rFonts w:asciiTheme="majorHAnsi" w:hAnsiTheme="majorHAnsi" w:cs="Times New Roman"/>
          <w:b/>
        </w:rPr>
        <w:t xml:space="preserve">Pilot Study </w:t>
      </w:r>
    </w:p>
    <w:p w:rsidR="00631D2A" w:rsidRPr="00C01287" w:rsidRDefault="00631D2A" w:rsidP="00C01287">
      <w:pPr>
        <w:tabs>
          <w:tab w:val="left" w:pos="567"/>
        </w:tabs>
        <w:spacing w:after="120" w:line="240" w:lineRule="auto"/>
        <w:rPr>
          <w:rFonts w:asciiTheme="majorHAnsi" w:hAnsiTheme="majorHAnsi" w:cs="Times New Roman"/>
          <w:b/>
          <w:i/>
        </w:rPr>
      </w:pPr>
      <w:r w:rsidRPr="00C01287">
        <w:rPr>
          <w:rFonts w:asciiTheme="majorHAnsi" w:hAnsiTheme="majorHAnsi" w:cs="Times New Roman"/>
          <w:b/>
          <w:i/>
        </w:rPr>
        <w:t>Confirmatory Factor Analysis</w:t>
      </w:r>
      <w:r w:rsidR="00731E8C" w:rsidRPr="00C01287">
        <w:rPr>
          <w:rFonts w:asciiTheme="majorHAnsi" w:hAnsiTheme="majorHAnsi" w:cs="Times New Roman"/>
          <w:b/>
          <w:i/>
        </w:rPr>
        <w:t xml:space="preserve"> </w:t>
      </w:r>
    </w:p>
    <w:p w:rsidR="00440FD9" w:rsidRPr="001775C1" w:rsidRDefault="00631D2A" w:rsidP="00C01287">
      <w:pPr>
        <w:spacing w:line="240" w:lineRule="auto"/>
        <w:ind w:left="-142" w:firstLine="709"/>
        <w:jc w:val="both"/>
        <w:rPr>
          <w:rFonts w:asciiTheme="majorHAnsi" w:hAnsiTheme="majorHAnsi" w:cs="Times New Roman"/>
        </w:rPr>
      </w:pPr>
      <w:r w:rsidRPr="001775C1">
        <w:rPr>
          <w:rFonts w:asciiTheme="majorHAnsi" w:hAnsiTheme="majorHAnsi" w:cs="Times New Roman"/>
        </w:rPr>
        <w:t xml:space="preserve">As part of the pilot study, Turkish version of the questionnaire was administered to 153 public middle school students (Sample 1). </w:t>
      </w:r>
      <w:r w:rsidR="00FC4BFB" w:rsidRPr="001775C1">
        <w:rPr>
          <w:rFonts w:asciiTheme="majorHAnsi" w:hAnsiTheme="majorHAnsi" w:cs="Times New Roman"/>
        </w:rPr>
        <w:t xml:space="preserve">Confirmatory factor analysis (CFA) was conducted using LISREL 8.80 for initial examination of the factor structure of the EQ.  The result of CFA indicated a good model fit (CFI = .98, RMSEA = .05, SRMR = .05). </w:t>
      </w:r>
      <w:r w:rsidR="005C4365" w:rsidRPr="001775C1">
        <w:rPr>
          <w:rFonts w:asciiTheme="majorHAnsi" w:hAnsiTheme="majorHAnsi" w:cs="Times New Roman"/>
        </w:rPr>
        <w:t>Table</w:t>
      </w:r>
      <w:r w:rsidR="00FC4BFB" w:rsidRPr="001775C1">
        <w:rPr>
          <w:rFonts w:asciiTheme="majorHAnsi" w:hAnsiTheme="majorHAnsi" w:cs="Times New Roman"/>
        </w:rPr>
        <w:t xml:space="preserve"> </w:t>
      </w:r>
      <w:r w:rsidR="005C4365" w:rsidRPr="001775C1">
        <w:rPr>
          <w:rFonts w:asciiTheme="majorHAnsi" w:hAnsiTheme="majorHAnsi" w:cs="Times New Roman"/>
        </w:rPr>
        <w:t>1</w:t>
      </w:r>
      <w:r w:rsidRPr="001775C1">
        <w:rPr>
          <w:rFonts w:asciiTheme="majorHAnsi" w:hAnsiTheme="majorHAnsi" w:cs="Times New Roman"/>
        </w:rPr>
        <w:t xml:space="preserve"> presents Lambda-</w:t>
      </w:r>
      <w:proofErr w:type="spellStart"/>
      <w:r w:rsidRPr="001775C1">
        <w:rPr>
          <w:rFonts w:asciiTheme="majorHAnsi" w:hAnsiTheme="majorHAnsi" w:cs="Times New Roman"/>
        </w:rPr>
        <w:t>Ksi</w:t>
      </w:r>
      <w:proofErr w:type="spellEnd"/>
      <w:r w:rsidRPr="001775C1">
        <w:rPr>
          <w:rFonts w:asciiTheme="majorHAnsi" w:hAnsiTheme="majorHAnsi" w:cs="Times New Roman"/>
        </w:rPr>
        <w:t xml:space="preserve"> estimates (pattern coefficients) for the subscales of EQ. </w:t>
      </w:r>
      <w:r w:rsidR="00FC4BFB" w:rsidRPr="001775C1">
        <w:rPr>
          <w:rFonts w:asciiTheme="majorHAnsi" w:hAnsiTheme="majorHAnsi" w:cs="Times New Roman"/>
        </w:rPr>
        <w:t xml:space="preserve">As shown in the table, all Lambda-X estimates analogous to factor loadings in exploratory factor analysis were sufficiently high and statistically significant. </w:t>
      </w:r>
    </w:p>
    <w:p w:rsidR="00C01287" w:rsidRPr="00C01287" w:rsidRDefault="00C01287" w:rsidP="00C01287">
      <w:pPr>
        <w:autoSpaceDE w:val="0"/>
        <w:autoSpaceDN w:val="0"/>
        <w:adjustRightInd w:val="0"/>
        <w:spacing w:after="120" w:line="240" w:lineRule="auto"/>
        <w:ind w:left="-142"/>
        <w:rPr>
          <w:rFonts w:asciiTheme="majorHAnsi" w:hAnsiTheme="majorHAnsi" w:cs="Times New Roman"/>
          <w:sz w:val="20"/>
        </w:rPr>
      </w:pPr>
      <w:r w:rsidRPr="00C01287">
        <w:rPr>
          <w:rFonts w:asciiTheme="majorHAnsi" w:hAnsiTheme="majorHAnsi" w:cs="Times New Roman"/>
          <w:b/>
          <w:sz w:val="20"/>
        </w:rPr>
        <w:t>Table1.</w:t>
      </w:r>
      <w:r w:rsidRPr="00C01287">
        <w:rPr>
          <w:rFonts w:asciiTheme="majorHAnsi" w:hAnsiTheme="majorHAnsi" w:cs="Times New Roman"/>
          <w:sz w:val="20"/>
        </w:rPr>
        <w:t xml:space="preserve"> </w:t>
      </w:r>
      <w:r w:rsidRPr="00C01287">
        <w:rPr>
          <w:rFonts w:asciiTheme="majorHAnsi" w:hAnsiTheme="majorHAnsi" w:cs="Times New Roman"/>
          <w:i/>
          <w:sz w:val="20"/>
        </w:rPr>
        <w:t>Lambda-</w:t>
      </w:r>
      <w:proofErr w:type="spellStart"/>
      <w:r w:rsidRPr="00C01287">
        <w:rPr>
          <w:rFonts w:asciiTheme="majorHAnsi" w:hAnsiTheme="majorHAnsi" w:cs="Times New Roman"/>
          <w:i/>
          <w:sz w:val="20"/>
        </w:rPr>
        <w:t>ksi</w:t>
      </w:r>
      <w:proofErr w:type="spellEnd"/>
      <w:r w:rsidRPr="00C01287">
        <w:rPr>
          <w:rFonts w:asciiTheme="majorHAnsi" w:hAnsiTheme="majorHAnsi" w:cs="Times New Roman"/>
          <w:i/>
          <w:sz w:val="20"/>
        </w:rPr>
        <w:t xml:space="preserve"> Estimates (Pattern Coefficients) in the Pilot Study</w:t>
      </w:r>
      <w:r w:rsidRPr="00C01287">
        <w:rPr>
          <w:rFonts w:asciiTheme="majorHAnsi" w:hAnsiTheme="majorHAnsi" w:cs="Times New Roman"/>
          <w:sz w:val="20"/>
        </w:rPr>
        <w:t xml:space="preserve"> </w:t>
      </w:r>
    </w:p>
    <w:tbl>
      <w:tblPr>
        <w:tblW w:w="4520" w:type="pct"/>
        <w:tblLook w:val="04A0" w:firstRow="1" w:lastRow="0" w:firstColumn="1" w:lastColumn="0" w:noHBand="0" w:noVBand="1"/>
      </w:tblPr>
      <w:tblGrid>
        <w:gridCol w:w="5344"/>
        <w:gridCol w:w="1407"/>
        <w:gridCol w:w="1450"/>
      </w:tblGrid>
      <w:tr w:rsidR="00C01287" w:rsidRPr="00853750" w:rsidTr="007D7F2C">
        <w:trPr>
          <w:trHeight w:val="620"/>
        </w:trPr>
        <w:tc>
          <w:tcPr>
            <w:tcW w:w="3258" w:type="pct"/>
            <w:tcBorders>
              <w:top w:val="single" w:sz="4" w:space="0" w:color="auto"/>
              <w:left w:val="nil"/>
              <w:bottom w:val="single" w:sz="4" w:space="0" w:color="auto"/>
              <w:right w:val="nil"/>
            </w:tcBorders>
            <w:hideMark/>
          </w:tcPr>
          <w:p w:rsidR="00C01287" w:rsidRPr="00853750" w:rsidRDefault="00C01287" w:rsidP="007D7F2C">
            <w:pPr>
              <w:pStyle w:val="NoSpacing"/>
              <w:spacing w:line="276" w:lineRule="auto"/>
              <w:ind w:left="175"/>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Subscale</w:t>
            </w:r>
          </w:p>
        </w:tc>
        <w:tc>
          <w:tcPr>
            <w:tcW w:w="858" w:type="pct"/>
            <w:tcBorders>
              <w:top w:val="single" w:sz="4" w:space="0" w:color="auto"/>
              <w:left w:val="nil"/>
              <w:bottom w:val="single" w:sz="4" w:space="0" w:color="auto"/>
              <w:right w:val="nil"/>
            </w:tcBorders>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Indicator</w:t>
            </w:r>
          </w:p>
        </w:tc>
        <w:tc>
          <w:tcPr>
            <w:tcW w:w="884" w:type="pct"/>
            <w:tcBorders>
              <w:top w:val="single" w:sz="4" w:space="0" w:color="auto"/>
              <w:left w:val="nil"/>
              <w:bottom w:val="single" w:sz="4" w:space="0" w:color="auto"/>
              <w:right w:val="nil"/>
            </w:tcBorders>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Pilot study</w:t>
            </w:r>
          </w:p>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LX estimates</w:t>
            </w:r>
          </w:p>
        </w:tc>
      </w:tr>
      <w:tr w:rsidR="00C01287" w:rsidRPr="00853750" w:rsidTr="007D7F2C">
        <w:trPr>
          <w:trHeight w:val="211"/>
        </w:trPr>
        <w:tc>
          <w:tcPr>
            <w:tcW w:w="3258" w:type="pct"/>
            <w:vMerge w:val="restart"/>
            <w:tcBorders>
              <w:top w:val="single" w:sz="4" w:space="0" w:color="auto"/>
              <w:left w:val="nil"/>
              <w:bottom w:val="single" w:sz="4" w:space="0" w:color="auto"/>
              <w:right w:val="nil"/>
            </w:tcBorders>
            <w:vAlign w:val="center"/>
            <w:hideMark/>
          </w:tcPr>
          <w:p w:rsidR="00C01287" w:rsidRPr="00853750" w:rsidRDefault="00C01287" w:rsidP="007D7F2C">
            <w:pPr>
              <w:pStyle w:val="NoSpacing"/>
              <w:spacing w:line="276" w:lineRule="auto"/>
              <w:ind w:left="175"/>
              <w:jc w:val="center"/>
              <w:rPr>
                <w:rFonts w:asciiTheme="majorHAnsi" w:hAnsiTheme="majorHAnsi"/>
                <w:color w:val="000000"/>
                <w:sz w:val="20"/>
                <w:szCs w:val="20"/>
                <w:lang w:eastAsia="zh-CN"/>
              </w:rPr>
            </w:pPr>
            <w:r w:rsidRPr="00853750">
              <w:rPr>
                <w:rFonts w:asciiTheme="majorHAnsi" w:hAnsiTheme="majorHAnsi"/>
                <w:color w:val="000000"/>
                <w:sz w:val="20"/>
                <w:szCs w:val="20"/>
                <w:lang w:eastAsia="en-US"/>
              </w:rPr>
              <w:t>Agentic Engagement</w:t>
            </w:r>
          </w:p>
        </w:tc>
        <w:tc>
          <w:tcPr>
            <w:tcW w:w="858" w:type="pct"/>
            <w:tcBorders>
              <w:top w:val="single" w:sz="4" w:space="0" w:color="auto"/>
              <w:left w:val="nil"/>
              <w:bottom w:val="nil"/>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q1</w:t>
            </w:r>
          </w:p>
        </w:tc>
        <w:tc>
          <w:tcPr>
            <w:tcW w:w="884" w:type="pct"/>
            <w:tcBorders>
              <w:top w:val="single" w:sz="4" w:space="0" w:color="auto"/>
              <w:left w:val="nil"/>
              <w:bottom w:val="nil"/>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.83</w:t>
            </w:r>
          </w:p>
        </w:tc>
      </w:tr>
      <w:tr w:rsidR="00C01287" w:rsidRPr="00853750" w:rsidTr="007D7F2C">
        <w:trPr>
          <w:trHeight w:val="191"/>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eastAsia="Times New Roman"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q2</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.63</w:t>
            </w:r>
          </w:p>
        </w:tc>
      </w:tr>
      <w:tr w:rsidR="00C01287" w:rsidRPr="00853750" w:rsidTr="007D7F2C">
        <w:trPr>
          <w:trHeight w:val="195"/>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eastAsia="Times New Roman"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q3</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.69</w:t>
            </w:r>
          </w:p>
        </w:tc>
      </w:tr>
      <w:tr w:rsidR="00C01287" w:rsidRPr="00853750" w:rsidTr="007D7F2C">
        <w:trPr>
          <w:trHeight w:val="195"/>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eastAsia="Times New Roman"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q4</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.64</w:t>
            </w:r>
          </w:p>
        </w:tc>
      </w:tr>
      <w:tr w:rsidR="00C01287" w:rsidRPr="00853750" w:rsidTr="007D7F2C">
        <w:trPr>
          <w:trHeight w:val="195"/>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eastAsia="Times New Roman"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q5</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.69</w:t>
            </w:r>
          </w:p>
        </w:tc>
      </w:tr>
      <w:tr w:rsidR="00C01287" w:rsidRPr="00853750" w:rsidTr="007D7F2C">
        <w:trPr>
          <w:trHeight w:val="243"/>
        </w:trPr>
        <w:tc>
          <w:tcPr>
            <w:tcW w:w="3258" w:type="pct"/>
            <w:vMerge w:val="restart"/>
            <w:tcBorders>
              <w:top w:val="single" w:sz="4" w:space="0" w:color="auto"/>
              <w:left w:val="nil"/>
              <w:bottom w:val="nil"/>
              <w:right w:val="nil"/>
            </w:tcBorders>
            <w:vAlign w:val="center"/>
            <w:hideMark/>
          </w:tcPr>
          <w:p w:rsidR="00C01287" w:rsidRPr="00853750" w:rsidRDefault="00C01287" w:rsidP="007D7F2C">
            <w:pPr>
              <w:spacing w:line="240" w:lineRule="auto"/>
              <w:ind w:left="175"/>
              <w:jc w:val="center"/>
              <w:rPr>
                <w:rFonts w:asciiTheme="majorHAnsi" w:hAnsiTheme="majorHAnsi" w:cs="Times New Roman"/>
                <w:sz w:val="20"/>
                <w:szCs w:val="20"/>
                <w:lang w:eastAsia="zh-CN"/>
              </w:rPr>
            </w:pPr>
            <w:r w:rsidRPr="00853750">
              <w:rPr>
                <w:rFonts w:asciiTheme="majorHAnsi" w:hAnsiTheme="majorHAnsi" w:cs="Times New Roman"/>
                <w:sz w:val="20"/>
                <w:szCs w:val="20"/>
                <w:lang w:eastAsia="zh-CN"/>
              </w:rPr>
              <w:t>Behavioral Engagement</w:t>
            </w:r>
          </w:p>
        </w:tc>
        <w:tc>
          <w:tcPr>
            <w:tcW w:w="858" w:type="pct"/>
            <w:tcBorders>
              <w:top w:val="single" w:sz="4" w:space="0" w:color="auto"/>
              <w:left w:val="nil"/>
              <w:bottom w:val="nil"/>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q6</w:t>
            </w:r>
          </w:p>
        </w:tc>
        <w:tc>
          <w:tcPr>
            <w:tcW w:w="884" w:type="pct"/>
            <w:tcBorders>
              <w:top w:val="single" w:sz="4" w:space="0" w:color="auto"/>
              <w:left w:val="nil"/>
              <w:bottom w:val="nil"/>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.86</w:t>
            </w:r>
          </w:p>
        </w:tc>
      </w:tr>
      <w:tr w:rsidR="00C01287" w:rsidRPr="00853750" w:rsidTr="007D7F2C">
        <w:trPr>
          <w:trHeight w:val="243"/>
        </w:trPr>
        <w:tc>
          <w:tcPr>
            <w:tcW w:w="0" w:type="auto"/>
            <w:vMerge/>
            <w:tcBorders>
              <w:top w:val="single" w:sz="4" w:space="0" w:color="auto"/>
              <w:left w:val="nil"/>
              <w:bottom w:val="nil"/>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q7</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.77</w:t>
            </w:r>
          </w:p>
        </w:tc>
      </w:tr>
      <w:tr w:rsidR="00C01287" w:rsidRPr="00853750" w:rsidTr="007D7F2C">
        <w:trPr>
          <w:trHeight w:val="243"/>
        </w:trPr>
        <w:tc>
          <w:tcPr>
            <w:tcW w:w="0" w:type="auto"/>
            <w:vMerge/>
            <w:tcBorders>
              <w:top w:val="single" w:sz="4" w:space="0" w:color="auto"/>
              <w:left w:val="nil"/>
              <w:bottom w:val="nil"/>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q8</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.84</w:t>
            </w:r>
          </w:p>
        </w:tc>
      </w:tr>
      <w:tr w:rsidR="00C01287" w:rsidRPr="00853750" w:rsidTr="007D7F2C">
        <w:trPr>
          <w:trHeight w:val="243"/>
        </w:trPr>
        <w:tc>
          <w:tcPr>
            <w:tcW w:w="0" w:type="auto"/>
            <w:vMerge/>
            <w:tcBorders>
              <w:top w:val="single" w:sz="4" w:space="0" w:color="auto"/>
              <w:left w:val="nil"/>
              <w:bottom w:val="nil"/>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q9</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.73</w:t>
            </w:r>
          </w:p>
        </w:tc>
      </w:tr>
      <w:tr w:rsidR="00C01287" w:rsidRPr="00853750" w:rsidTr="007D7F2C">
        <w:trPr>
          <w:trHeight w:val="243"/>
        </w:trPr>
        <w:tc>
          <w:tcPr>
            <w:tcW w:w="0" w:type="auto"/>
            <w:vMerge/>
            <w:tcBorders>
              <w:top w:val="single" w:sz="4" w:space="0" w:color="auto"/>
              <w:left w:val="nil"/>
              <w:bottom w:val="nil"/>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q10</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.86</w:t>
            </w:r>
          </w:p>
        </w:tc>
      </w:tr>
      <w:tr w:rsidR="00C01287" w:rsidRPr="00853750" w:rsidTr="007D7F2C">
        <w:trPr>
          <w:trHeight w:val="243"/>
        </w:trPr>
        <w:tc>
          <w:tcPr>
            <w:tcW w:w="3258" w:type="pct"/>
            <w:vMerge w:val="restart"/>
            <w:tcBorders>
              <w:top w:val="single" w:sz="4" w:space="0" w:color="auto"/>
              <w:left w:val="nil"/>
              <w:bottom w:val="single" w:sz="4" w:space="0" w:color="auto"/>
              <w:right w:val="nil"/>
            </w:tcBorders>
            <w:vAlign w:val="center"/>
            <w:hideMark/>
          </w:tcPr>
          <w:p w:rsidR="00C01287" w:rsidRPr="00853750" w:rsidRDefault="00C01287" w:rsidP="007D7F2C">
            <w:pPr>
              <w:spacing w:line="240" w:lineRule="auto"/>
              <w:ind w:left="175"/>
              <w:jc w:val="center"/>
              <w:rPr>
                <w:rFonts w:asciiTheme="majorHAnsi" w:hAnsiTheme="majorHAnsi" w:cs="Times New Roman"/>
                <w:sz w:val="20"/>
                <w:szCs w:val="20"/>
                <w:lang w:eastAsia="zh-CN"/>
              </w:rPr>
            </w:pPr>
            <w:r w:rsidRPr="00853750">
              <w:rPr>
                <w:rFonts w:asciiTheme="majorHAnsi" w:hAnsiTheme="majorHAnsi" w:cs="Times New Roman"/>
                <w:sz w:val="20"/>
                <w:szCs w:val="20"/>
                <w:lang w:eastAsia="zh-CN"/>
              </w:rPr>
              <w:t>Cognitive Engagement</w:t>
            </w:r>
          </w:p>
        </w:tc>
        <w:tc>
          <w:tcPr>
            <w:tcW w:w="858" w:type="pct"/>
            <w:tcBorders>
              <w:top w:val="single" w:sz="4" w:space="0" w:color="auto"/>
              <w:left w:val="nil"/>
              <w:bottom w:val="nil"/>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q15</w:t>
            </w:r>
          </w:p>
        </w:tc>
        <w:tc>
          <w:tcPr>
            <w:tcW w:w="884" w:type="pct"/>
            <w:tcBorders>
              <w:top w:val="single" w:sz="4" w:space="0" w:color="auto"/>
              <w:left w:val="nil"/>
              <w:bottom w:val="nil"/>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.67</w:t>
            </w:r>
          </w:p>
        </w:tc>
      </w:tr>
      <w:tr w:rsidR="00C01287" w:rsidRPr="00853750" w:rsidTr="007D7F2C">
        <w:trPr>
          <w:trHeight w:val="243"/>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q16</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.67</w:t>
            </w:r>
          </w:p>
        </w:tc>
      </w:tr>
      <w:tr w:rsidR="00C01287" w:rsidRPr="00853750" w:rsidTr="007D7F2C">
        <w:trPr>
          <w:trHeight w:val="243"/>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q17</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.66</w:t>
            </w:r>
          </w:p>
        </w:tc>
      </w:tr>
      <w:tr w:rsidR="00C01287" w:rsidRPr="00853750" w:rsidTr="007D7F2C">
        <w:trPr>
          <w:trHeight w:val="243"/>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q18</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.75</w:t>
            </w:r>
          </w:p>
        </w:tc>
      </w:tr>
      <w:tr w:rsidR="00C01287" w:rsidRPr="00853750" w:rsidTr="007D7F2C">
        <w:trPr>
          <w:trHeight w:val="243"/>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q19</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.75</w:t>
            </w:r>
          </w:p>
        </w:tc>
      </w:tr>
      <w:tr w:rsidR="00C01287" w:rsidRPr="00853750" w:rsidTr="007D7F2C">
        <w:trPr>
          <w:trHeight w:val="243"/>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q20</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.62</w:t>
            </w:r>
          </w:p>
        </w:tc>
      </w:tr>
      <w:tr w:rsidR="00C01287" w:rsidRPr="00853750" w:rsidTr="007D7F2C">
        <w:trPr>
          <w:trHeight w:val="243"/>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q21</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.65</w:t>
            </w:r>
          </w:p>
        </w:tc>
      </w:tr>
      <w:tr w:rsidR="00C01287" w:rsidRPr="00853750" w:rsidTr="007D7F2C">
        <w:trPr>
          <w:trHeight w:val="243"/>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tcBorders>
              <w:top w:val="nil"/>
              <w:left w:val="nil"/>
              <w:bottom w:val="single" w:sz="4" w:space="0" w:color="auto"/>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q22</w:t>
            </w:r>
          </w:p>
        </w:tc>
        <w:tc>
          <w:tcPr>
            <w:tcW w:w="884" w:type="pct"/>
            <w:tcBorders>
              <w:top w:val="nil"/>
              <w:left w:val="nil"/>
              <w:bottom w:val="single" w:sz="4" w:space="0" w:color="auto"/>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.54</w:t>
            </w:r>
          </w:p>
        </w:tc>
      </w:tr>
      <w:tr w:rsidR="00C01287" w:rsidRPr="00853750" w:rsidTr="007D7F2C">
        <w:trPr>
          <w:trHeight w:val="243"/>
        </w:trPr>
        <w:tc>
          <w:tcPr>
            <w:tcW w:w="3258" w:type="pct"/>
            <w:vMerge w:val="restart"/>
            <w:tcBorders>
              <w:top w:val="single" w:sz="4" w:space="0" w:color="auto"/>
              <w:left w:val="nil"/>
              <w:bottom w:val="single" w:sz="4" w:space="0" w:color="auto"/>
              <w:right w:val="nil"/>
            </w:tcBorders>
            <w:vAlign w:val="center"/>
            <w:hideMark/>
          </w:tcPr>
          <w:p w:rsidR="00C01287" w:rsidRPr="00853750" w:rsidRDefault="00C01287" w:rsidP="007D7F2C">
            <w:pPr>
              <w:spacing w:line="240" w:lineRule="auto"/>
              <w:ind w:left="175"/>
              <w:jc w:val="center"/>
              <w:rPr>
                <w:rFonts w:asciiTheme="majorHAnsi" w:hAnsiTheme="majorHAnsi" w:cs="Times New Roman"/>
                <w:sz w:val="20"/>
                <w:szCs w:val="20"/>
                <w:lang w:eastAsia="zh-CN"/>
              </w:rPr>
            </w:pPr>
            <w:r w:rsidRPr="00853750">
              <w:rPr>
                <w:rFonts w:asciiTheme="majorHAnsi" w:hAnsiTheme="majorHAnsi" w:cs="Times New Roman"/>
                <w:sz w:val="20"/>
                <w:szCs w:val="20"/>
                <w:lang w:eastAsia="zh-CN"/>
              </w:rPr>
              <w:t>Emotional Engagement</w:t>
            </w:r>
          </w:p>
        </w:tc>
        <w:tc>
          <w:tcPr>
            <w:tcW w:w="858" w:type="pct"/>
            <w:tcBorders>
              <w:top w:val="single" w:sz="4" w:space="0" w:color="auto"/>
              <w:left w:val="nil"/>
              <w:bottom w:val="nil"/>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q11</w:t>
            </w:r>
          </w:p>
        </w:tc>
        <w:tc>
          <w:tcPr>
            <w:tcW w:w="884" w:type="pct"/>
            <w:tcBorders>
              <w:top w:val="single" w:sz="4" w:space="0" w:color="auto"/>
              <w:left w:val="nil"/>
              <w:bottom w:val="nil"/>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.76</w:t>
            </w:r>
          </w:p>
        </w:tc>
      </w:tr>
      <w:tr w:rsidR="00C01287" w:rsidRPr="00853750" w:rsidTr="007D7F2C">
        <w:trPr>
          <w:trHeight w:val="243"/>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q12</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.74</w:t>
            </w:r>
          </w:p>
        </w:tc>
      </w:tr>
      <w:tr w:rsidR="00C01287" w:rsidRPr="00853750" w:rsidTr="007D7F2C">
        <w:trPr>
          <w:trHeight w:val="243"/>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q13</w:t>
            </w:r>
          </w:p>
        </w:tc>
        <w:tc>
          <w:tcPr>
            <w:tcW w:w="884" w:type="pct"/>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.73</w:t>
            </w:r>
          </w:p>
        </w:tc>
      </w:tr>
      <w:tr w:rsidR="00C01287" w:rsidRPr="00853750" w:rsidTr="007D7F2C">
        <w:trPr>
          <w:trHeight w:val="243"/>
        </w:trPr>
        <w:tc>
          <w:tcPr>
            <w:tcW w:w="0" w:type="auto"/>
            <w:vMerge/>
            <w:tcBorders>
              <w:top w:val="single" w:sz="4" w:space="0" w:color="auto"/>
              <w:left w:val="nil"/>
              <w:bottom w:val="single" w:sz="4" w:space="0" w:color="auto"/>
              <w:right w:val="nil"/>
            </w:tcBorders>
            <w:vAlign w:val="center"/>
            <w:hideMark/>
          </w:tcPr>
          <w:p w:rsidR="00C01287" w:rsidRPr="00853750" w:rsidRDefault="00C01287" w:rsidP="007D7F2C">
            <w:pPr>
              <w:spacing w:after="0"/>
              <w:rPr>
                <w:rFonts w:asciiTheme="majorHAnsi" w:hAnsiTheme="majorHAnsi" w:cs="Times New Roman"/>
                <w:sz w:val="20"/>
                <w:szCs w:val="20"/>
                <w:lang w:eastAsia="zh-CN"/>
              </w:rPr>
            </w:pPr>
          </w:p>
        </w:tc>
        <w:tc>
          <w:tcPr>
            <w:tcW w:w="858" w:type="pct"/>
            <w:tcBorders>
              <w:top w:val="nil"/>
              <w:left w:val="nil"/>
              <w:bottom w:val="single" w:sz="4" w:space="0" w:color="auto"/>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q14</w:t>
            </w:r>
          </w:p>
        </w:tc>
        <w:tc>
          <w:tcPr>
            <w:tcW w:w="884" w:type="pct"/>
            <w:tcBorders>
              <w:top w:val="nil"/>
              <w:left w:val="nil"/>
              <w:bottom w:val="single" w:sz="4" w:space="0" w:color="auto"/>
              <w:right w:val="nil"/>
            </w:tcBorders>
            <w:vAlign w:val="center"/>
            <w:hideMark/>
          </w:tcPr>
          <w:p w:rsidR="00C01287" w:rsidRPr="00853750" w:rsidRDefault="00C01287" w:rsidP="007D7F2C">
            <w:pPr>
              <w:pStyle w:val="NoSpacing"/>
              <w:spacing w:line="276" w:lineRule="auto"/>
              <w:ind w:left="-142"/>
              <w:jc w:val="center"/>
              <w:rPr>
                <w:rFonts w:asciiTheme="majorHAnsi" w:hAnsiTheme="majorHAnsi"/>
                <w:color w:val="000000"/>
                <w:sz w:val="20"/>
                <w:szCs w:val="20"/>
                <w:lang w:eastAsia="zh-CN"/>
              </w:rPr>
            </w:pPr>
            <w:r w:rsidRPr="00853750">
              <w:rPr>
                <w:rFonts w:asciiTheme="majorHAnsi" w:hAnsiTheme="majorHAnsi"/>
                <w:color w:val="000000"/>
                <w:sz w:val="20"/>
                <w:szCs w:val="20"/>
                <w:lang w:eastAsia="zh-CN"/>
              </w:rPr>
              <w:t>.72</w:t>
            </w:r>
          </w:p>
        </w:tc>
      </w:tr>
    </w:tbl>
    <w:p w:rsidR="00C01287" w:rsidRPr="00853750" w:rsidRDefault="00C01287" w:rsidP="00C01287">
      <w:pPr>
        <w:rPr>
          <w:rFonts w:asciiTheme="majorHAnsi" w:hAnsiTheme="majorHAnsi"/>
          <w:b/>
          <w:sz w:val="20"/>
          <w:szCs w:val="20"/>
        </w:rPr>
      </w:pPr>
    </w:p>
    <w:p w:rsidR="00A5233D" w:rsidRPr="00C01287" w:rsidRDefault="00C01287" w:rsidP="00C01287">
      <w:pPr>
        <w:autoSpaceDE w:val="0"/>
        <w:autoSpaceDN w:val="0"/>
        <w:adjustRightInd w:val="0"/>
        <w:spacing w:after="120" w:line="240" w:lineRule="auto"/>
        <w:jc w:val="both"/>
        <w:rPr>
          <w:rFonts w:asciiTheme="majorHAnsi" w:hAnsiTheme="majorHAnsi" w:cs="Times New Roman"/>
          <w:b/>
          <w:i/>
        </w:rPr>
      </w:pPr>
      <w:r w:rsidRPr="001775C1">
        <w:rPr>
          <w:rFonts w:asciiTheme="majorHAnsi" w:hAnsiTheme="majorHAnsi"/>
          <w:b/>
        </w:rPr>
        <w:br w:type="page"/>
      </w:r>
      <w:r w:rsidR="00631D2A" w:rsidRPr="00C01287">
        <w:rPr>
          <w:rFonts w:asciiTheme="majorHAnsi" w:hAnsiTheme="majorHAnsi" w:cs="Times New Roman"/>
          <w:b/>
          <w:i/>
        </w:rPr>
        <w:lastRenderedPageBreak/>
        <w:t>Reliability Analysis</w:t>
      </w:r>
      <w:r w:rsidR="00731E8C" w:rsidRPr="00C01287">
        <w:rPr>
          <w:rFonts w:asciiTheme="majorHAnsi" w:hAnsiTheme="majorHAnsi" w:cs="Times New Roman"/>
          <w:b/>
          <w:i/>
        </w:rPr>
        <w:t xml:space="preserve"> </w:t>
      </w:r>
    </w:p>
    <w:p w:rsidR="007F55D4" w:rsidRPr="001775C1" w:rsidRDefault="00631D2A" w:rsidP="00D52F0C">
      <w:pPr>
        <w:autoSpaceDE w:val="0"/>
        <w:autoSpaceDN w:val="0"/>
        <w:adjustRightInd w:val="0"/>
        <w:spacing w:after="0" w:line="240" w:lineRule="auto"/>
        <w:ind w:firstLine="720"/>
        <w:jc w:val="both"/>
        <w:rPr>
          <w:rFonts w:asciiTheme="majorHAnsi" w:hAnsiTheme="majorHAnsi"/>
        </w:rPr>
      </w:pPr>
      <w:r w:rsidRPr="001775C1">
        <w:rPr>
          <w:rFonts w:asciiTheme="majorHAnsi" w:hAnsiTheme="majorHAnsi" w:cs="Times New Roman"/>
        </w:rPr>
        <w:t xml:space="preserve">Concerning reliability analyses, Cronbach’s alpha coefficient was computed for each sub-scale as a measure of internal consistency.  </w:t>
      </w:r>
      <w:r w:rsidR="00FC4BFB" w:rsidRPr="001775C1">
        <w:rPr>
          <w:rFonts w:asciiTheme="majorHAnsi" w:hAnsiTheme="majorHAnsi" w:cs="Times New Roman"/>
        </w:rPr>
        <w:t>The item-total correlations ranging from .53 to .85 suggested that all items contribute to the variability well and all of the items should be included in their corresponding sub-scales without a need for revision.  Cronbach’s alpha coefficients were found to be .82 for agentic engagement, .92 for behavioral engagement, .84 for emotional engagement, and .86 for cognitive engagement.</w:t>
      </w:r>
      <w:r w:rsidR="001F35E4" w:rsidRPr="001775C1">
        <w:rPr>
          <w:rFonts w:asciiTheme="majorHAnsi" w:hAnsiTheme="majorHAnsi" w:cs="Times New Roman"/>
          <w:color w:val="0070C0"/>
        </w:rPr>
        <w:t xml:space="preserve"> </w:t>
      </w:r>
    </w:p>
    <w:p w:rsidR="00631D2A" w:rsidRPr="00BA7826" w:rsidRDefault="00631D2A" w:rsidP="00C01287">
      <w:pPr>
        <w:tabs>
          <w:tab w:val="left" w:pos="709"/>
        </w:tabs>
        <w:spacing w:before="120" w:after="120" w:line="240" w:lineRule="auto"/>
        <w:rPr>
          <w:rFonts w:asciiTheme="majorHAnsi" w:hAnsiTheme="majorHAnsi" w:cs="Times New Roman"/>
          <w:b/>
        </w:rPr>
      </w:pPr>
      <w:r w:rsidRPr="00BA7826">
        <w:rPr>
          <w:rFonts w:asciiTheme="majorHAnsi" w:hAnsiTheme="majorHAnsi" w:cs="Times New Roman"/>
          <w:b/>
        </w:rPr>
        <w:t>Main Study</w:t>
      </w:r>
      <w:r w:rsidR="009A347B" w:rsidRPr="00BA7826">
        <w:rPr>
          <w:rFonts w:asciiTheme="majorHAnsi" w:hAnsiTheme="majorHAnsi" w:cs="Times New Roman"/>
          <w:b/>
        </w:rPr>
        <w:t xml:space="preserve"> </w:t>
      </w:r>
    </w:p>
    <w:p w:rsidR="00631D2A" w:rsidRPr="00C01287" w:rsidRDefault="00631D2A" w:rsidP="00C01287">
      <w:pPr>
        <w:tabs>
          <w:tab w:val="left" w:pos="709"/>
        </w:tabs>
        <w:spacing w:before="120" w:after="120" w:line="240" w:lineRule="auto"/>
        <w:rPr>
          <w:rFonts w:asciiTheme="majorHAnsi" w:hAnsiTheme="majorHAnsi" w:cs="Times New Roman"/>
          <w:b/>
          <w:i/>
        </w:rPr>
      </w:pPr>
      <w:r w:rsidRPr="00C01287">
        <w:rPr>
          <w:rFonts w:asciiTheme="majorHAnsi" w:hAnsiTheme="majorHAnsi" w:cs="Times New Roman"/>
          <w:b/>
          <w:i/>
        </w:rPr>
        <w:t>Confirmatory Factor Analysis</w:t>
      </w:r>
      <w:r w:rsidR="001F35E4" w:rsidRPr="00C01287">
        <w:rPr>
          <w:rFonts w:asciiTheme="majorHAnsi" w:hAnsiTheme="majorHAnsi" w:cs="Times New Roman"/>
          <w:b/>
          <w:i/>
        </w:rPr>
        <w:t xml:space="preserve"> </w:t>
      </w:r>
    </w:p>
    <w:p w:rsidR="00604482" w:rsidRPr="001775C1" w:rsidRDefault="00631D2A" w:rsidP="00C01287">
      <w:pPr>
        <w:spacing w:after="120" w:line="240" w:lineRule="auto"/>
        <w:ind w:firstLine="720"/>
        <w:jc w:val="both"/>
        <w:rPr>
          <w:rFonts w:asciiTheme="majorHAnsi" w:hAnsiTheme="majorHAnsi" w:cs="Times New Roman"/>
        </w:rPr>
      </w:pPr>
      <w:r w:rsidRPr="001775C1">
        <w:rPr>
          <w:rFonts w:asciiTheme="majorHAnsi" w:hAnsiTheme="majorHAnsi" w:cs="Times New Roman"/>
        </w:rPr>
        <w:t>After the pilot study, a second CFA was carried out with a new sample of 744 middle school students (Sample 2) in order to make a detailed exploration of the proposed factor structures.</w:t>
      </w:r>
      <w:r w:rsidR="00831590" w:rsidRPr="001775C1">
        <w:rPr>
          <w:rFonts w:asciiTheme="majorHAnsi" w:hAnsiTheme="majorHAnsi" w:cs="Times New Roman"/>
        </w:rPr>
        <w:t xml:space="preserve"> </w:t>
      </w:r>
      <w:r w:rsidR="00FC4BFB" w:rsidRPr="001775C1">
        <w:rPr>
          <w:rFonts w:asciiTheme="majorHAnsi" w:hAnsiTheme="majorHAnsi" w:cs="Times New Roman"/>
        </w:rPr>
        <w:t>In addition, with this larger sample, measurement invariance across gender was examined. Consistent with the results of pilot study, second CFA results showed a good model to data fit</w:t>
      </w:r>
      <w:r w:rsidR="00FC4BFB" w:rsidRPr="001775C1">
        <w:rPr>
          <w:rFonts w:asciiTheme="majorHAnsi" w:hAnsiTheme="majorHAnsi" w:cs="Times New Roman"/>
          <w:color w:val="FF0000"/>
        </w:rPr>
        <w:t xml:space="preserve"> </w:t>
      </w:r>
      <w:r w:rsidR="00FC4BFB" w:rsidRPr="001775C1">
        <w:rPr>
          <w:rFonts w:asciiTheme="majorHAnsi" w:hAnsiTheme="majorHAnsi" w:cs="Times New Roman"/>
        </w:rPr>
        <w:t>with comparable fit indices</w:t>
      </w:r>
      <w:r w:rsidR="00FC4BFB" w:rsidRPr="001775C1">
        <w:rPr>
          <w:rFonts w:asciiTheme="majorHAnsi" w:hAnsiTheme="majorHAnsi" w:cs="Times New Roman"/>
          <w:color w:val="FF0000"/>
        </w:rPr>
        <w:t xml:space="preserve"> </w:t>
      </w:r>
      <w:r w:rsidR="00FC4BFB" w:rsidRPr="001775C1">
        <w:rPr>
          <w:rFonts w:asciiTheme="majorHAnsi" w:hAnsiTheme="majorHAnsi" w:cs="Times New Roman"/>
        </w:rPr>
        <w:t xml:space="preserve">(CFI = .99, RMSEA = .05, SRMR = .04). </w:t>
      </w:r>
      <w:r w:rsidR="00F213E0" w:rsidRPr="001775C1">
        <w:rPr>
          <w:rFonts w:asciiTheme="majorHAnsi" w:hAnsiTheme="majorHAnsi" w:cs="Times New Roman"/>
        </w:rPr>
        <w:t>Graham, Guthrie, and Thompson (2003) suggested that when CFA is conducted</w:t>
      </w:r>
      <w:r w:rsidR="00036783">
        <w:rPr>
          <w:rFonts w:asciiTheme="majorHAnsi" w:hAnsiTheme="majorHAnsi" w:cs="Times New Roman"/>
        </w:rPr>
        <w:t>,</w:t>
      </w:r>
      <w:r w:rsidR="00F213E0" w:rsidRPr="001775C1">
        <w:rPr>
          <w:rFonts w:asciiTheme="majorHAnsi" w:hAnsiTheme="majorHAnsi" w:cs="Times New Roman"/>
        </w:rPr>
        <w:t xml:space="preserve"> both pattern and structure coefficients should be reported and interpreted in the presence of factor correlation. The reason behind their suggestion was that when factors correlate with one another, observed variables correlate with all factors. Both pilot study and main study results demonstrated the presence of factor correlations. Thus, both Lambda-</w:t>
      </w:r>
      <w:proofErr w:type="spellStart"/>
      <w:r w:rsidR="00F213E0" w:rsidRPr="001775C1">
        <w:rPr>
          <w:rFonts w:asciiTheme="majorHAnsi" w:hAnsiTheme="majorHAnsi" w:cs="Times New Roman"/>
        </w:rPr>
        <w:t>Ksi</w:t>
      </w:r>
      <w:proofErr w:type="spellEnd"/>
      <w:r w:rsidR="00F213E0" w:rsidRPr="001775C1">
        <w:rPr>
          <w:rFonts w:asciiTheme="majorHAnsi" w:hAnsiTheme="majorHAnsi" w:cs="Times New Roman"/>
        </w:rPr>
        <w:t xml:space="preserve"> estimates (pattern coefficients) and structure coefficients were determined and displayed in Table 2.  </w:t>
      </w:r>
    </w:p>
    <w:p w:rsidR="00C01287" w:rsidRPr="00C01287" w:rsidRDefault="00C01287" w:rsidP="00C01287">
      <w:pPr>
        <w:spacing w:after="120" w:line="240" w:lineRule="auto"/>
        <w:contextualSpacing/>
        <w:rPr>
          <w:rFonts w:asciiTheme="majorHAnsi" w:hAnsiTheme="majorHAnsi" w:cs="Times New Roman"/>
          <w:sz w:val="20"/>
        </w:rPr>
      </w:pPr>
      <w:r w:rsidRPr="00C01287">
        <w:rPr>
          <w:rFonts w:asciiTheme="majorHAnsi" w:hAnsiTheme="majorHAnsi" w:cs="Times New Roman"/>
          <w:b/>
          <w:sz w:val="20"/>
        </w:rPr>
        <w:t>Table 2.</w:t>
      </w:r>
      <w:r w:rsidRPr="00C01287">
        <w:rPr>
          <w:rFonts w:asciiTheme="majorHAnsi" w:hAnsiTheme="majorHAnsi" w:cs="Times New Roman"/>
          <w:sz w:val="20"/>
        </w:rPr>
        <w:t xml:space="preserve"> </w:t>
      </w:r>
      <w:r w:rsidRPr="00C01287">
        <w:rPr>
          <w:rFonts w:asciiTheme="majorHAnsi" w:hAnsiTheme="majorHAnsi" w:cs="Times New Roman"/>
          <w:i/>
          <w:sz w:val="20"/>
        </w:rPr>
        <w:t>Pattern and Structure Coefficients in the Main Study</w:t>
      </w:r>
      <w:r w:rsidRPr="00C01287">
        <w:rPr>
          <w:rFonts w:asciiTheme="majorHAnsi" w:hAnsiTheme="majorHAnsi" w:cs="Times New Roman"/>
          <w:sz w:val="20"/>
        </w:rPr>
        <w:t xml:space="preserve"> </w:t>
      </w:r>
    </w:p>
    <w:tbl>
      <w:tblPr>
        <w:tblW w:w="4632" w:type="pct"/>
        <w:tblLook w:val="04A0" w:firstRow="1" w:lastRow="0" w:firstColumn="1" w:lastColumn="0" w:noHBand="0" w:noVBand="1"/>
      </w:tblPr>
      <w:tblGrid>
        <w:gridCol w:w="1401"/>
        <w:gridCol w:w="1755"/>
        <w:gridCol w:w="1750"/>
        <w:gridCol w:w="1750"/>
        <w:gridCol w:w="1748"/>
      </w:tblGrid>
      <w:tr w:rsidR="00C01287" w:rsidRPr="00853750" w:rsidTr="007D7F2C">
        <w:trPr>
          <w:trHeight w:val="515"/>
        </w:trPr>
        <w:tc>
          <w:tcPr>
            <w:tcW w:w="834" w:type="pct"/>
            <w:tcBorders>
              <w:top w:val="single" w:sz="4" w:space="0" w:color="auto"/>
              <w:left w:val="nil"/>
              <w:bottom w:val="single" w:sz="4" w:space="0" w:color="auto"/>
              <w:right w:val="nil"/>
            </w:tcBorders>
            <w:hideMark/>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Indicator</w:t>
            </w:r>
          </w:p>
        </w:tc>
        <w:tc>
          <w:tcPr>
            <w:tcW w:w="1044" w:type="pct"/>
            <w:tcBorders>
              <w:top w:val="single" w:sz="4" w:space="0" w:color="auto"/>
              <w:left w:val="nil"/>
              <w:bottom w:val="single" w:sz="4" w:space="0" w:color="auto"/>
              <w:right w:val="nil"/>
            </w:tcBorders>
            <w:hideMark/>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Agentic</w:t>
            </w:r>
          </w:p>
        </w:tc>
        <w:tc>
          <w:tcPr>
            <w:tcW w:w="1041" w:type="pct"/>
            <w:tcBorders>
              <w:top w:val="single" w:sz="4" w:space="0" w:color="auto"/>
              <w:left w:val="nil"/>
              <w:bottom w:val="single" w:sz="4" w:space="0" w:color="auto"/>
              <w:right w:val="nil"/>
            </w:tcBorders>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Behavioral</w:t>
            </w:r>
          </w:p>
        </w:tc>
        <w:tc>
          <w:tcPr>
            <w:tcW w:w="1041" w:type="pct"/>
            <w:tcBorders>
              <w:top w:val="single" w:sz="4" w:space="0" w:color="auto"/>
              <w:left w:val="nil"/>
              <w:bottom w:val="single" w:sz="4" w:space="0" w:color="auto"/>
              <w:right w:val="nil"/>
            </w:tcBorders>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 xml:space="preserve">Cognitive </w:t>
            </w:r>
          </w:p>
        </w:tc>
        <w:tc>
          <w:tcPr>
            <w:tcW w:w="1040" w:type="pct"/>
            <w:tcBorders>
              <w:top w:val="single" w:sz="4" w:space="0" w:color="auto"/>
              <w:left w:val="nil"/>
              <w:bottom w:val="single" w:sz="4" w:space="0" w:color="auto"/>
              <w:right w:val="nil"/>
            </w:tcBorders>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 xml:space="preserve">Emotional </w:t>
            </w:r>
          </w:p>
        </w:tc>
      </w:tr>
      <w:tr w:rsidR="00C01287" w:rsidRPr="00853750" w:rsidTr="007D7F2C">
        <w:trPr>
          <w:trHeight w:val="222"/>
        </w:trPr>
        <w:tc>
          <w:tcPr>
            <w:tcW w:w="834" w:type="pct"/>
            <w:tcBorders>
              <w:top w:val="single" w:sz="4" w:space="0" w:color="auto"/>
              <w:left w:val="nil"/>
              <w:bottom w:val="nil"/>
              <w:right w:val="nil"/>
            </w:tcBorders>
            <w:vAlign w:val="center"/>
            <w:hideMark/>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q1</w:t>
            </w:r>
          </w:p>
        </w:tc>
        <w:tc>
          <w:tcPr>
            <w:tcW w:w="1044" w:type="pct"/>
            <w:tcBorders>
              <w:top w:val="single" w:sz="4" w:space="0" w:color="auto"/>
              <w:left w:val="nil"/>
              <w:bottom w:val="nil"/>
              <w:right w:val="nil"/>
            </w:tcBorders>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.67</w:t>
            </w:r>
          </w:p>
        </w:tc>
        <w:tc>
          <w:tcPr>
            <w:tcW w:w="1041" w:type="pct"/>
            <w:tcBorders>
              <w:top w:val="single" w:sz="4" w:space="0" w:color="auto"/>
              <w:left w:val="nil"/>
              <w:bottom w:val="nil"/>
              <w:right w:val="nil"/>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.41</w:t>
            </w:r>
          </w:p>
        </w:tc>
        <w:tc>
          <w:tcPr>
            <w:tcW w:w="1041" w:type="pct"/>
            <w:tcBorders>
              <w:top w:val="single" w:sz="4" w:space="0" w:color="auto"/>
              <w:left w:val="nil"/>
              <w:bottom w:val="nil"/>
              <w:right w:val="nil"/>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.50</w:t>
            </w:r>
          </w:p>
        </w:tc>
        <w:tc>
          <w:tcPr>
            <w:tcW w:w="1040" w:type="pct"/>
            <w:tcBorders>
              <w:top w:val="single" w:sz="4" w:space="0" w:color="auto"/>
              <w:left w:val="nil"/>
              <w:bottom w:val="nil"/>
              <w:right w:val="nil"/>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.44</w:t>
            </w:r>
          </w:p>
        </w:tc>
      </w:tr>
      <w:tr w:rsidR="00C01287" w:rsidRPr="00853750" w:rsidTr="007D7F2C">
        <w:trPr>
          <w:trHeight w:val="200"/>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q2</w:t>
            </w:r>
          </w:p>
        </w:tc>
        <w:tc>
          <w:tcPr>
            <w:tcW w:w="104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.68</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.41</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.50</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.44</w:t>
            </w:r>
          </w:p>
        </w:tc>
      </w:tr>
      <w:tr w:rsidR="00C01287" w:rsidRPr="00853750" w:rsidTr="007D7F2C">
        <w:trPr>
          <w:trHeight w:val="204"/>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q3</w:t>
            </w:r>
          </w:p>
        </w:tc>
        <w:tc>
          <w:tcPr>
            <w:tcW w:w="104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.72</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.44</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.53</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.47</w:t>
            </w:r>
          </w:p>
        </w:tc>
      </w:tr>
      <w:tr w:rsidR="00C01287" w:rsidRPr="00853750" w:rsidTr="007D7F2C">
        <w:trPr>
          <w:trHeight w:val="204"/>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q4</w:t>
            </w:r>
          </w:p>
        </w:tc>
        <w:tc>
          <w:tcPr>
            <w:tcW w:w="104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.73</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.45</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.54</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.48</w:t>
            </w:r>
          </w:p>
        </w:tc>
      </w:tr>
      <w:tr w:rsidR="00C01287" w:rsidRPr="00853750" w:rsidTr="007D7F2C">
        <w:trPr>
          <w:trHeight w:val="204"/>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q5</w:t>
            </w:r>
          </w:p>
        </w:tc>
        <w:tc>
          <w:tcPr>
            <w:tcW w:w="104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.67</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.41</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.50</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.44</w:t>
            </w:r>
          </w:p>
        </w:tc>
      </w:tr>
      <w:tr w:rsidR="00C01287" w:rsidRPr="00853750" w:rsidTr="007D7F2C">
        <w:trPr>
          <w:trHeight w:val="256"/>
        </w:trPr>
        <w:tc>
          <w:tcPr>
            <w:tcW w:w="834" w:type="pct"/>
            <w:tcBorders>
              <w:top w:val="single" w:sz="4" w:space="0" w:color="auto"/>
            </w:tcBorders>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q6</w:t>
            </w:r>
          </w:p>
        </w:tc>
        <w:tc>
          <w:tcPr>
            <w:tcW w:w="1044" w:type="pct"/>
            <w:tcBorders>
              <w:top w:val="single" w:sz="4" w:space="0" w:color="auto"/>
            </w:tcBorders>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.49</w:t>
            </w:r>
          </w:p>
        </w:tc>
        <w:tc>
          <w:tcPr>
            <w:tcW w:w="1041" w:type="pct"/>
            <w:tcBorders>
              <w:top w:val="single" w:sz="4" w:space="0" w:color="auto"/>
            </w:tcBorders>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.81</w:t>
            </w:r>
          </w:p>
        </w:tc>
        <w:tc>
          <w:tcPr>
            <w:tcW w:w="1041" w:type="pct"/>
            <w:tcBorders>
              <w:top w:val="single" w:sz="4" w:space="0" w:color="auto"/>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.61</w:t>
            </w:r>
          </w:p>
        </w:tc>
        <w:tc>
          <w:tcPr>
            <w:tcW w:w="1040" w:type="pct"/>
            <w:tcBorders>
              <w:top w:val="single" w:sz="4" w:space="0" w:color="auto"/>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.66</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q7</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.43</w:t>
            </w:r>
          </w:p>
        </w:tc>
        <w:tc>
          <w:tcPr>
            <w:tcW w:w="1041"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.70</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.53</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.57</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q8</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.49</w:t>
            </w:r>
          </w:p>
        </w:tc>
        <w:tc>
          <w:tcPr>
            <w:tcW w:w="1041"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.80</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.60</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.66</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q9</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.44</w:t>
            </w:r>
          </w:p>
        </w:tc>
        <w:tc>
          <w:tcPr>
            <w:tcW w:w="1041"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.72</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.54</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.44</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q10</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.49</w:t>
            </w:r>
          </w:p>
        </w:tc>
        <w:tc>
          <w:tcPr>
            <w:tcW w:w="1041"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.80</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.60</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.66</w:t>
            </w:r>
          </w:p>
        </w:tc>
      </w:tr>
      <w:tr w:rsidR="00C01287" w:rsidRPr="00853750" w:rsidTr="007D7F2C">
        <w:trPr>
          <w:trHeight w:val="256"/>
        </w:trPr>
        <w:tc>
          <w:tcPr>
            <w:tcW w:w="834" w:type="pct"/>
            <w:tcBorders>
              <w:top w:val="single" w:sz="4" w:space="0" w:color="auto"/>
            </w:tcBorders>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q15</w:t>
            </w:r>
          </w:p>
        </w:tc>
        <w:tc>
          <w:tcPr>
            <w:tcW w:w="1044" w:type="pct"/>
            <w:tcBorders>
              <w:top w:val="single" w:sz="4" w:space="0" w:color="auto"/>
            </w:tcBorders>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.50</w:t>
            </w:r>
          </w:p>
        </w:tc>
        <w:tc>
          <w:tcPr>
            <w:tcW w:w="1041" w:type="pct"/>
            <w:tcBorders>
              <w:top w:val="single" w:sz="4" w:space="0" w:color="auto"/>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.51</w:t>
            </w:r>
          </w:p>
        </w:tc>
        <w:tc>
          <w:tcPr>
            <w:tcW w:w="1041" w:type="pct"/>
            <w:tcBorders>
              <w:top w:val="single" w:sz="4" w:space="0" w:color="auto"/>
            </w:tcBorders>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.68</w:t>
            </w:r>
          </w:p>
        </w:tc>
        <w:tc>
          <w:tcPr>
            <w:tcW w:w="1040" w:type="pct"/>
            <w:tcBorders>
              <w:top w:val="single" w:sz="4" w:space="0" w:color="auto"/>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.56</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q16</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.51</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.52</w:t>
            </w:r>
          </w:p>
        </w:tc>
        <w:tc>
          <w:tcPr>
            <w:tcW w:w="1041"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.69</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.57</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q17</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.50</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.50</w:t>
            </w:r>
          </w:p>
        </w:tc>
        <w:tc>
          <w:tcPr>
            <w:tcW w:w="1041"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.67</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.56</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q18</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.50</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.51</w:t>
            </w:r>
          </w:p>
        </w:tc>
        <w:tc>
          <w:tcPr>
            <w:tcW w:w="1041"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.68</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.56</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q19</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.49</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.50</w:t>
            </w:r>
          </w:p>
        </w:tc>
        <w:tc>
          <w:tcPr>
            <w:tcW w:w="1041"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.66</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.55</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q20</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.49</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.50</w:t>
            </w:r>
          </w:p>
        </w:tc>
        <w:tc>
          <w:tcPr>
            <w:tcW w:w="1041"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.66</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.55</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q21</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.50</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.50</w:t>
            </w:r>
          </w:p>
        </w:tc>
        <w:tc>
          <w:tcPr>
            <w:tcW w:w="1041"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.67</w:t>
            </w:r>
          </w:p>
        </w:tc>
        <w:tc>
          <w:tcPr>
            <w:tcW w:w="1040"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.56</w:t>
            </w:r>
          </w:p>
        </w:tc>
      </w:tr>
      <w:tr w:rsidR="00C01287" w:rsidRPr="00853750" w:rsidTr="007D7F2C">
        <w:trPr>
          <w:trHeight w:val="256"/>
        </w:trPr>
        <w:tc>
          <w:tcPr>
            <w:tcW w:w="834" w:type="pct"/>
            <w:tcBorders>
              <w:bottom w:val="single" w:sz="4" w:space="0" w:color="auto"/>
            </w:tcBorders>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q22</w:t>
            </w:r>
          </w:p>
        </w:tc>
        <w:tc>
          <w:tcPr>
            <w:tcW w:w="1044" w:type="pct"/>
            <w:tcBorders>
              <w:bottom w:val="single" w:sz="4" w:space="0" w:color="auto"/>
            </w:tcBorders>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.46</w:t>
            </w:r>
          </w:p>
        </w:tc>
        <w:tc>
          <w:tcPr>
            <w:tcW w:w="1041" w:type="pct"/>
            <w:tcBorders>
              <w:bottom w:val="single" w:sz="4" w:space="0" w:color="auto"/>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.47</w:t>
            </w:r>
          </w:p>
        </w:tc>
        <w:tc>
          <w:tcPr>
            <w:tcW w:w="1041" w:type="pct"/>
            <w:tcBorders>
              <w:bottom w:val="single" w:sz="4" w:space="0" w:color="auto"/>
            </w:tcBorders>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.62</w:t>
            </w:r>
          </w:p>
        </w:tc>
        <w:tc>
          <w:tcPr>
            <w:tcW w:w="1040" w:type="pct"/>
            <w:tcBorders>
              <w:bottom w:val="single" w:sz="4" w:space="0" w:color="auto"/>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.51</w:t>
            </w:r>
          </w:p>
        </w:tc>
      </w:tr>
      <w:tr w:rsidR="00C01287" w:rsidRPr="00853750" w:rsidTr="007D7F2C">
        <w:trPr>
          <w:trHeight w:val="256"/>
        </w:trPr>
        <w:tc>
          <w:tcPr>
            <w:tcW w:w="834" w:type="pct"/>
            <w:tcBorders>
              <w:top w:val="single" w:sz="4" w:space="0" w:color="auto"/>
            </w:tcBorders>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q11</w:t>
            </w:r>
          </w:p>
        </w:tc>
        <w:tc>
          <w:tcPr>
            <w:tcW w:w="1044" w:type="pct"/>
            <w:tcBorders>
              <w:top w:val="single" w:sz="4" w:space="0" w:color="auto"/>
            </w:tcBorders>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.51</w:t>
            </w:r>
          </w:p>
        </w:tc>
        <w:tc>
          <w:tcPr>
            <w:tcW w:w="1041" w:type="pct"/>
            <w:tcBorders>
              <w:top w:val="single" w:sz="4" w:space="0" w:color="auto"/>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.64</w:t>
            </w:r>
          </w:p>
        </w:tc>
        <w:tc>
          <w:tcPr>
            <w:tcW w:w="1041" w:type="pct"/>
            <w:tcBorders>
              <w:top w:val="single" w:sz="4" w:space="0" w:color="auto"/>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.65</w:t>
            </w:r>
          </w:p>
        </w:tc>
        <w:tc>
          <w:tcPr>
            <w:tcW w:w="1040" w:type="pct"/>
            <w:tcBorders>
              <w:top w:val="single" w:sz="4" w:space="0" w:color="auto"/>
            </w:tcBorders>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.78</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q12</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.47</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.60</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.61</w:t>
            </w:r>
          </w:p>
        </w:tc>
        <w:tc>
          <w:tcPr>
            <w:tcW w:w="1040"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.73</w:t>
            </w:r>
          </w:p>
        </w:tc>
      </w:tr>
      <w:tr w:rsidR="00C01287" w:rsidRPr="00853750" w:rsidTr="007D7F2C">
        <w:trPr>
          <w:trHeight w:val="256"/>
        </w:trPr>
        <w:tc>
          <w:tcPr>
            <w:tcW w:w="834"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q13</w:t>
            </w:r>
          </w:p>
        </w:tc>
        <w:tc>
          <w:tcPr>
            <w:tcW w:w="1044" w:type="pct"/>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.51</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.64</w:t>
            </w:r>
          </w:p>
        </w:tc>
        <w:tc>
          <w:tcPr>
            <w:tcW w:w="1041" w:type="pct"/>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.65</w:t>
            </w:r>
          </w:p>
        </w:tc>
        <w:tc>
          <w:tcPr>
            <w:tcW w:w="1040" w:type="pct"/>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.78</w:t>
            </w:r>
          </w:p>
        </w:tc>
      </w:tr>
      <w:tr w:rsidR="00C01287" w:rsidRPr="00853750" w:rsidTr="007D7F2C">
        <w:trPr>
          <w:trHeight w:val="256"/>
        </w:trPr>
        <w:tc>
          <w:tcPr>
            <w:tcW w:w="834" w:type="pct"/>
            <w:tcBorders>
              <w:bottom w:val="single" w:sz="4" w:space="0" w:color="auto"/>
            </w:tcBorders>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q14</w:t>
            </w:r>
          </w:p>
        </w:tc>
        <w:tc>
          <w:tcPr>
            <w:tcW w:w="1044" w:type="pct"/>
            <w:tcBorders>
              <w:bottom w:val="single" w:sz="4" w:space="0" w:color="auto"/>
            </w:tcBorders>
            <w:vAlign w:val="center"/>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.40</w:t>
            </w:r>
          </w:p>
        </w:tc>
        <w:tc>
          <w:tcPr>
            <w:tcW w:w="1041" w:type="pct"/>
            <w:tcBorders>
              <w:bottom w:val="single" w:sz="4" w:space="0" w:color="auto"/>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.53</w:t>
            </w:r>
          </w:p>
        </w:tc>
        <w:tc>
          <w:tcPr>
            <w:tcW w:w="1041" w:type="pct"/>
            <w:tcBorders>
              <w:bottom w:val="single" w:sz="4" w:space="0" w:color="auto"/>
            </w:tcBorders>
          </w:tcPr>
          <w:p w:rsidR="00C01287" w:rsidRPr="00853750" w:rsidRDefault="00C01287" w:rsidP="007D7F2C">
            <w:pPr>
              <w:pStyle w:val="NoSpacing"/>
              <w:ind w:left="-142"/>
              <w:jc w:val="center"/>
              <w:rPr>
                <w:rFonts w:asciiTheme="minorHAnsi" w:hAnsiTheme="minorHAnsi" w:cstheme="minorHAnsi"/>
                <w:i/>
                <w:sz w:val="20"/>
                <w:szCs w:val="20"/>
                <w:lang w:eastAsia="zh-CN"/>
              </w:rPr>
            </w:pPr>
            <w:r w:rsidRPr="00853750">
              <w:rPr>
                <w:rFonts w:asciiTheme="minorHAnsi" w:hAnsiTheme="minorHAnsi" w:cstheme="minorHAnsi"/>
                <w:i/>
                <w:sz w:val="20"/>
                <w:szCs w:val="20"/>
                <w:lang w:eastAsia="zh-CN"/>
              </w:rPr>
              <w:t>.54</w:t>
            </w:r>
          </w:p>
        </w:tc>
        <w:tc>
          <w:tcPr>
            <w:tcW w:w="1040" w:type="pct"/>
            <w:tcBorders>
              <w:bottom w:val="single" w:sz="4" w:space="0" w:color="auto"/>
            </w:tcBorders>
            <w:vAlign w:val="center"/>
          </w:tcPr>
          <w:p w:rsidR="00C01287" w:rsidRPr="00853750" w:rsidRDefault="00C01287" w:rsidP="007D7F2C">
            <w:pPr>
              <w:pStyle w:val="NoSpacing"/>
              <w:ind w:left="-142"/>
              <w:jc w:val="center"/>
              <w:rPr>
                <w:rFonts w:asciiTheme="minorHAnsi" w:hAnsiTheme="minorHAnsi" w:cstheme="minorHAnsi"/>
                <w:sz w:val="20"/>
                <w:szCs w:val="20"/>
                <w:lang w:eastAsia="zh-CN"/>
              </w:rPr>
            </w:pPr>
            <w:r w:rsidRPr="00853750">
              <w:rPr>
                <w:rFonts w:asciiTheme="minorHAnsi" w:hAnsiTheme="minorHAnsi" w:cstheme="minorHAnsi"/>
                <w:sz w:val="20"/>
                <w:szCs w:val="20"/>
                <w:lang w:eastAsia="zh-CN"/>
              </w:rPr>
              <w:t>.65</w:t>
            </w:r>
          </w:p>
        </w:tc>
      </w:tr>
    </w:tbl>
    <w:p w:rsidR="00C01287" w:rsidRPr="00853750" w:rsidRDefault="00C01287" w:rsidP="00C01287">
      <w:pPr>
        <w:spacing w:after="0" w:line="240" w:lineRule="auto"/>
        <w:rPr>
          <w:rFonts w:asciiTheme="minorHAnsi" w:hAnsiTheme="minorHAnsi" w:cstheme="minorHAnsi"/>
          <w:sz w:val="20"/>
          <w:szCs w:val="20"/>
        </w:rPr>
      </w:pPr>
      <w:r w:rsidRPr="00853750">
        <w:rPr>
          <w:rFonts w:asciiTheme="minorHAnsi" w:hAnsiTheme="minorHAnsi" w:cstheme="minorHAnsi"/>
          <w:sz w:val="20"/>
          <w:szCs w:val="20"/>
        </w:rPr>
        <w:t xml:space="preserve">Note: Non-italicized numbers are the pattern coefficient for each item with its designated factor.  </w:t>
      </w:r>
    </w:p>
    <w:p w:rsidR="00C01287" w:rsidRPr="001775C1" w:rsidRDefault="00C01287" w:rsidP="00C01287">
      <w:pPr>
        <w:rPr>
          <w:rFonts w:asciiTheme="majorHAnsi" w:hAnsiTheme="majorHAnsi" w:cs="Times New Roman"/>
        </w:rPr>
      </w:pPr>
      <w:r w:rsidRPr="00853750">
        <w:rPr>
          <w:rFonts w:asciiTheme="minorHAnsi" w:hAnsiTheme="minorHAnsi" w:cstheme="minorHAnsi"/>
          <w:sz w:val="20"/>
          <w:szCs w:val="20"/>
        </w:rPr>
        <w:t xml:space="preserve">Italicized numbers are the structure coefficient of each item with its </w:t>
      </w:r>
      <w:proofErr w:type="spellStart"/>
      <w:r w:rsidRPr="00853750">
        <w:rPr>
          <w:rFonts w:asciiTheme="minorHAnsi" w:hAnsiTheme="minorHAnsi" w:cstheme="minorHAnsi"/>
          <w:sz w:val="20"/>
          <w:szCs w:val="20"/>
        </w:rPr>
        <w:t>nondesignated</w:t>
      </w:r>
      <w:proofErr w:type="spellEnd"/>
      <w:r w:rsidRPr="00853750">
        <w:rPr>
          <w:rFonts w:asciiTheme="minorHAnsi" w:hAnsiTheme="minorHAnsi" w:cstheme="minorHAnsi"/>
          <w:sz w:val="20"/>
          <w:szCs w:val="20"/>
        </w:rPr>
        <w:t xml:space="preserve"> factors.</w:t>
      </w:r>
    </w:p>
    <w:p w:rsidR="00A00AEF" w:rsidRPr="001775C1" w:rsidRDefault="00631D2A" w:rsidP="00C01287">
      <w:pPr>
        <w:autoSpaceDE w:val="0"/>
        <w:autoSpaceDN w:val="0"/>
        <w:adjustRightInd w:val="0"/>
        <w:spacing w:after="0" w:line="240" w:lineRule="auto"/>
        <w:ind w:firstLine="567"/>
        <w:jc w:val="both"/>
        <w:rPr>
          <w:rFonts w:asciiTheme="majorHAnsi" w:hAnsiTheme="majorHAnsi" w:cs="Times New Roman"/>
          <w:color w:val="auto"/>
        </w:rPr>
      </w:pPr>
      <w:r w:rsidRPr="001775C1">
        <w:rPr>
          <w:rFonts w:asciiTheme="majorHAnsi" w:hAnsiTheme="majorHAnsi" w:cs="Times New Roman"/>
          <w:color w:val="auto"/>
        </w:rPr>
        <w:t xml:space="preserve">As shown in the table all items had high correlations with their </w:t>
      </w:r>
      <w:bookmarkStart w:id="7" w:name="OLE_LINK5"/>
      <w:bookmarkStart w:id="8" w:name="OLE_LINK6"/>
      <w:r w:rsidRPr="001775C1">
        <w:rPr>
          <w:rFonts w:asciiTheme="majorHAnsi" w:hAnsiTheme="majorHAnsi" w:cs="Times New Roman"/>
          <w:color w:val="auto"/>
        </w:rPr>
        <w:t>corresponding</w:t>
      </w:r>
      <w:bookmarkEnd w:id="7"/>
      <w:bookmarkEnd w:id="8"/>
      <w:r w:rsidRPr="001775C1">
        <w:rPr>
          <w:rFonts w:asciiTheme="majorHAnsi" w:hAnsiTheme="majorHAnsi" w:cs="Times New Roman"/>
          <w:color w:val="auto"/>
        </w:rPr>
        <w:t xml:space="preserve"> factors (non-italicized numbers) and they were also correlated with their non-designated factors (italicized </w:t>
      </w:r>
      <w:r w:rsidRPr="001775C1">
        <w:rPr>
          <w:rFonts w:asciiTheme="majorHAnsi" w:hAnsiTheme="majorHAnsi" w:cs="Times New Roman"/>
          <w:color w:val="auto"/>
        </w:rPr>
        <w:lastRenderedPageBreak/>
        <w:t xml:space="preserve">numbers) </w:t>
      </w:r>
      <w:bookmarkStart w:id="9" w:name="OLE_LINK7"/>
      <w:bookmarkStart w:id="10" w:name="OLE_LINK8"/>
      <w:r w:rsidRPr="001775C1">
        <w:rPr>
          <w:rFonts w:asciiTheme="majorHAnsi" w:hAnsiTheme="majorHAnsi" w:cs="Times New Roman"/>
          <w:color w:val="auto"/>
        </w:rPr>
        <w:t xml:space="preserve">but to a lower extent. </w:t>
      </w:r>
      <w:r w:rsidR="003D0189" w:rsidRPr="001775C1">
        <w:rPr>
          <w:rFonts w:asciiTheme="majorHAnsi" w:hAnsiTheme="majorHAnsi" w:cs="Times New Roman"/>
          <w:color w:val="auto"/>
        </w:rPr>
        <w:t xml:space="preserve"> </w:t>
      </w:r>
      <w:bookmarkEnd w:id="9"/>
      <w:bookmarkEnd w:id="10"/>
      <w:r w:rsidR="00AE5004" w:rsidRPr="001775C1">
        <w:rPr>
          <w:rFonts w:asciiTheme="majorHAnsi" w:hAnsiTheme="majorHAnsi" w:cs="Times New Roman"/>
        </w:rPr>
        <w:t xml:space="preserve">All pattern </w:t>
      </w:r>
      <w:r w:rsidR="00AE5004" w:rsidRPr="001775C1">
        <w:rPr>
          <w:rFonts w:asciiTheme="majorHAnsi" w:hAnsiTheme="majorHAnsi" w:cs="Times New Roman"/>
          <w:color w:val="auto"/>
        </w:rPr>
        <w:t xml:space="preserve">coefficients were statistically significant. The range of pattern coefficients provided evidence for convergent validity.  </w:t>
      </w:r>
    </w:p>
    <w:p w:rsidR="00631D2A" w:rsidRDefault="00631D2A" w:rsidP="00C01287">
      <w:pPr>
        <w:autoSpaceDE w:val="0"/>
        <w:autoSpaceDN w:val="0"/>
        <w:adjustRightInd w:val="0"/>
        <w:spacing w:after="0" w:line="240" w:lineRule="auto"/>
        <w:ind w:firstLine="567"/>
        <w:jc w:val="both"/>
        <w:rPr>
          <w:rFonts w:asciiTheme="majorHAnsi" w:hAnsiTheme="majorHAnsi" w:cs="Times New Roman"/>
          <w:color w:val="auto"/>
        </w:rPr>
      </w:pPr>
      <w:r w:rsidRPr="001775C1">
        <w:rPr>
          <w:rFonts w:asciiTheme="majorHAnsi" w:hAnsiTheme="majorHAnsi" w:cs="Times New Roman"/>
          <w:color w:val="auto"/>
        </w:rPr>
        <w:t xml:space="preserve">In addition, </w:t>
      </w:r>
      <w:bookmarkStart w:id="11" w:name="OLE_LINK3"/>
      <w:bookmarkStart w:id="12" w:name="OLE_LINK4"/>
      <w:r w:rsidRPr="001775C1">
        <w:rPr>
          <w:rFonts w:asciiTheme="majorHAnsi" w:hAnsiTheme="majorHAnsi" w:cs="Times New Roman"/>
          <w:color w:val="auto"/>
        </w:rPr>
        <w:t xml:space="preserve">all the </w:t>
      </w:r>
      <w:bookmarkStart w:id="13" w:name="OLE_LINK1"/>
      <w:bookmarkStart w:id="14" w:name="OLE_LINK2"/>
      <w:r w:rsidRPr="001775C1">
        <w:rPr>
          <w:rFonts w:asciiTheme="majorHAnsi" w:hAnsiTheme="majorHAnsi" w:cs="Times New Roman"/>
          <w:color w:val="auto"/>
        </w:rPr>
        <w:t xml:space="preserve">confidence intervals </w:t>
      </w:r>
      <w:bookmarkEnd w:id="13"/>
      <w:bookmarkEnd w:id="14"/>
      <w:r w:rsidRPr="001775C1">
        <w:rPr>
          <w:rFonts w:asciiTheme="majorHAnsi" w:hAnsiTheme="majorHAnsi" w:cs="Times New Roman"/>
          <w:color w:val="auto"/>
        </w:rPr>
        <w:t xml:space="preserve">(±2 standard errors) around correlations between any two factors (phi) which did not contain 1, provided an evidence for discriminant validity </w:t>
      </w:r>
      <w:bookmarkStart w:id="15" w:name="OLE_LINK31"/>
      <w:bookmarkStart w:id="16" w:name="OLE_LINK32"/>
      <w:r w:rsidRPr="001775C1">
        <w:rPr>
          <w:rFonts w:asciiTheme="majorHAnsi" w:hAnsiTheme="majorHAnsi" w:cs="Times New Roman"/>
          <w:color w:val="auto"/>
        </w:rPr>
        <w:t xml:space="preserve">(Anderson &amp; </w:t>
      </w:r>
      <w:proofErr w:type="spellStart"/>
      <w:r w:rsidRPr="001775C1">
        <w:rPr>
          <w:rFonts w:asciiTheme="majorHAnsi" w:hAnsiTheme="majorHAnsi" w:cs="Times New Roman"/>
          <w:color w:val="auto"/>
        </w:rPr>
        <w:t>Gerbing</w:t>
      </w:r>
      <w:proofErr w:type="spellEnd"/>
      <w:r w:rsidRPr="001775C1">
        <w:rPr>
          <w:rFonts w:asciiTheme="majorHAnsi" w:hAnsiTheme="majorHAnsi" w:cs="Times New Roman"/>
          <w:color w:val="auto"/>
        </w:rPr>
        <w:t>, 1988).</w:t>
      </w:r>
      <w:bookmarkEnd w:id="11"/>
      <w:bookmarkEnd w:id="12"/>
      <w:r w:rsidR="003D0189" w:rsidRPr="001775C1">
        <w:rPr>
          <w:rFonts w:asciiTheme="majorHAnsi" w:hAnsiTheme="majorHAnsi" w:cs="Times New Roman"/>
          <w:color w:val="auto"/>
        </w:rPr>
        <w:t xml:space="preserve"> </w:t>
      </w:r>
      <w:bookmarkEnd w:id="15"/>
      <w:bookmarkEnd w:id="16"/>
      <w:r w:rsidRPr="001775C1">
        <w:rPr>
          <w:rFonts w:asciiTheme="majorHAnsi" w:hAnsiTheme="majorHAnsi" w:cs="Times New Roman"/>
          <w:color w:val="auto"/>
        </w:rPr>
        <w:t xml:space="preserve">The maximum phi coefficient was found to be .83 with a confidence interval of .79 to .87. </w:t>
      </w:r>
      <w:r w:rsidR="003D0189" w:rsidRPr="001775C1">
        <w:rPr>
          <w:rFonts w:asciiTheme="majorHAnsi" w:hAnsiTheme="majorHAnsi" w:cs="Times New Roman"/>
          <w:color w:val="auto"/>
        </w:rPr>
        <w:t xml:space="preserve"> </w:t>
      </w:r>
    </w:p>
    <w:p w:rsidR="00631D2A" w:rsidRPr="00C01287" w:rsidRDefault="00631D2A" w:rsidP="00C01287">
      <w:pPr>
        <w:autoSpaceDE w:val="0"/>
        <w:autoSpaceDN w:val="0"/>
        <w:adjustRightInd w:val="0"/>
        <w:spacing w:before="120" w:after="120" w:line="240" w:lineRule="auto"/>
        <w:jc w:val="both"/>
        <w:rPr>
          <w:rFonts w:asciiTheme="majorHAnsi" w:hAnsiTheme="majorHAnsi" w:cs="Times New Roman"/>
          <w:b/>
          <w:i/>
          <w:color w:val="0070C0"/>
        </w:rPr>
      </w:pPr>
      <w:r w:rsidRPr="00C01287">
        <w:rPr>
          <w:rFonts w:asciiTheme="majorHAnsi" w:hAnsiTheme="majorHAnsi" w:cs="Times New Roman"/>
          <w:b/>
          <w:i/>
        </w:rPr>
        <w:t>Reliability Analysis</w:t>
      </w:r>
      <w:r w:rsidR="00AB3ABB" w:rsidRPr="00C01287">
        <w:rPr>
          <w:rFonts w:asciiTheme="majorHAnsi" w:hAnsiTheme="majorHAnsi" w:cs="Times New Roman"/>
          <w:b/>
          <w:i/>
        </w:rPr>
        <w:t xml:space="preserve"> </w:t>
      </w:r>
    </w:p>
    <w:p w:rsidR="00032B78" w:rsidRPr="001775C1" w:rsidRDefault="00631D2A" w:rsidP="00C01287">
      <w:pPr>
        <w:autoSpaceDE w:val="0"/>
        <w:autoSpaceDN w:val="0"/>
        <w:adjustRightInd w:val="0"/>
        <w:spacing w:after="0" w:line="240" w:lineRule="auto"/>
        <w:ind w:firstLine="567"/>
        <w:jc w:val="both"/>
        <w:rPr>
          <w:rFonts w:asciiTheme="majorHAnsi" w:hAnsiTheme="majorHAnsi" w:cs="Times New Roman"/>
          <w:color w:val="0070C0"/>
        </w:rPr>
      </w:pPr>
      <w:r w:rsidRPr="001775C1">
        <w:rPr>
          <w:rFonts w:asciiTheme="majorHAnsi" w:hAnsiTheme="majorHAnsi" w:cs="Times New Roman"/>
        </w:rPr>
        <w:t xml:space="preserve">As part of reliability analyses, exploration of item-total correlations ranging from .55 to .76 revealed that all items contribute to the total variability well. In addition, </w:t>
      </w:r>
      <w:bookmarkStart w:id="17" w:name="OLE_LINK11"/>
      <w:bookmarkStart w:id="18" w:name="OLE_LINK12"/>
      <w:r w:rsidRPr="001775C1">
        <w:rPr>
          <w:rFonts w:asciiTheme="majorHAnsi" w:hAnsiTheme="majorHAnsi" w:cs="Times New Roman"/>
        </w:rPr>
        <w:t>Cronbach</w:t>
      </w:r>
      <w:bookmarkEnd w:id="17"/>
      <w:bookmarkEnd w:id="18"/>
      <w:r w:rsidR="00036783">
        <w:rPr>
          <w:rFonts w:asciiTheme="majorHAnsi" w:hAnsiTheme="majorHAnsi" w:cs="Times New Roman"/>
        </w:rPr>
        <w:t>’s</w:t>
      </w:r>
      <w:r w:rsidRPr="001775C1">
        <w:rPr>
          <w:rFonts w:asciiTheme="majorHAnsi" w:hAnsiTheme="majorHAnsi" w:cs="Times New Roman"/>
        </w:rPr>
        <w:t xml:space="preserve"> alpha values were found to be .82 for agentic engagement, .88 for behavioral engagement, .86 for cognitive engagement and .83 for emotional engagement. These reliability values were close to those found in the original version of the EQ and Turkish version of the EQ in the pilot study.</w:t>
      </w:r>
      <w:r w:rsidR="00AE5004" w:rsidRPr="001775C1">
        <w:rPr>
          <w:rFonts w:asciiTheme="majorHAnsi" w:hAnsiTheme="majorHAnsi" w:cs="Times New Roman"/>
          <w:color w:val="0070C0"/>
        </w:rPr>
        <w:t xml:space="preserve"> </w:t>
      </w:r>
    </w:p>
    <w:p w:rsidR="00631D2A" w:rsidRPr="00C01287" w:rsidRDefault="00631D2A" w:rsidP="00C01287">
      <w:pPr>
        <w:spacing w:before="120" w:after="120" w:line="240" w:lineRule="auto"/>
        <w:jc w:val="both"/>
        <w:rPr>
          <w:rFonts w:asciiTheme="majorHAnsi" w:hAnsiTheme="majorHAnsi" w:cs="Times New Roman"/>
          <w:b/>
          <w:i/>
        </w:rPr>
      </w:pPr>
      <w:r w:rsidRPr="00C01287">
        <w:rPr>
          <w:rFonts w:asciiTheme="majorHAnsi" w:hAnsiTheme="majorHAnsi" w:cs="Times New Roman"/>
          <w:b/>
          <w:i/>
        </w:rPr>
        <w:t>Measurement Invariance across Gender</w:t>
      </w:r>
      <w:r w:rsidR="00032B78" w:rsidRPr="00C01287">
        <w:rPr>
          <w:rFonts w:asciiTheme="majorHAnsi" w:hAnsiTheme="majorHAnsi" w:cs="Times New Roman"/>
          <w:b/>
          <w:i/>
        </w:rPr>
        <w:t xml:space="preserve"> </w:t>
      </w:r>
    </w:p>
    <w:p w:rsidR="00631D2A" w:rsidRPr="001775C1" w:rsidRDefault="00631D2A" w:rsidP="00C01287">
      <w:pPr>
        <w:spacing w:after="0" w:line="240" w:lineRule="auto"/>
        <w:ind w:firstLine="567"/>
        <w:jc w:val="both"/>
        <w:rPr>
          <w:rFonts w:asciiTheme="majorHAnsi" w:hAnsiTheme="majorHAnsi"/>
        </w:rPr>
      </w:pPr>
      <w:r w:rsidRPr="001775C1">
        <w:rPr>
          <w:rFonts w:asciiTheme="majorHAnsi" w:hAnsiTheme="majorHAnsi" w:cs="Times New Roman"/>
        </w:rPr>
        <w:t xml:space="preserve">After conducting second CFA and reliability analyses, measurement invariance across gender was examined. </w:t>
      </w:r>
      <w:r w:rsidR="00AE5004" w:rsidRPr="001775C1">
        <w:rPr>
          <w:rFonts w:asciiTheme="majorHAnsi" w:hAnsiTheme="majorHAnsi" w:cs="Times New Roman"/>
        </w:rPr>
        <w:t xml:space="preserve">Demonstration of and evidence for invariance across samples, increase the generalizability of the instrument. In order to determine the invariance, first, </w:t>
      </w:r>
      <w:bookmarkStart w:id="19" w:name="OLE_LINK13"/>
      <w:bookmarkStart w:id="20" w:name="OLE_LINK14"/>
      <w:r w:rsidR="00AE5004" w:rsidRPr="001775C1">
        <w:rPr>
          <w:rFonts w:asciiTheme="majorHAnsi" w:hAnsiTheme="majorHAnsi" w:cs="Times New Roman"/>
        </w:rPr>
        <w:t xml:space="preserve">unconstrained baseline model </w:t>
      </w:r>
      <w:bookmarkEnd w:id="19"/>
      <w:bookmarkEnd w:id="20"/>
      <w:r w:rsidR="00AE5004" w:rsidRPr="001775C1">
        <w:rPr>
          <w:rFonts w:asciiTheme="majorHAnsi" w:hAnsiTheme="majorHAnsi" w:cs="Times New Roman"/>
        </w:rPr>
        <w:t>was tested.</w:t>
      </w:r>
      <w:r w:rsidR="00AE5004" w:rsidRPr="001775C1">
        <w:rPr>
          <w:rFonts w:asciiTheme="majorHAnsi" w:hAnsiTheme="majorHAnsi" w:cs="Times New Roman"/>
          <w:color w:val="0070C0"/>
        </w:rPr>
        <w:t xml:space="preserve"> </w:t>
      </w:r>
      <w:r w:rsidR="003A72BF" w:rsidRPr="001775C1">
        <w:rPr>
          <w:rFonts w:asciiTheme="majorHAnsi" w:hAnsiTheme="majorHAnsi" w:cs="Times New Roman"/>
        </w:rPr>
        <w:t xml:space="preserve">Second, metric (weak) invariance in which factor loadings were set to be invariant across gender was specified. </w:t>
      </w:r>
      <w:r w:rsidR="00AE5004" w:rsidRPr="001775C1">
        <w:rPr>
          <w:rFonts w:asciiTheme="majorHAnsi" w:hAnsiTheme="majorHAnsi" w:cs="Times New Roman"/>
        </w:rPr>
        <w:t xml:space="preserve">Third, the factor loadings and </w:t>
      </w:r>
      <w:bookmarkStart w:id="21" w:name="OLE_LINK19"/>
      <w:bookmarkStart w:id="22" w:name="OLE_LINK20"/>
      <w:bookmarkStart w:id="23" w:name="OLE_LINK17"/>
      <w:bookmarkStart w:id="24" w:name="OLE_LINK18"/>
      <w:r w:rsidR="00AE5004" w:rsidRPr="001775C1">
        <w:rPr>
          <w:rFonts w:asciiTheme="majorHAnsi" w:hAnsiTheme="majorHAnsi" w:cs="Times New Roman"/>
        </w:rPr>
        <w:t xml:space="preserve">factor </w:t>
      </w:r>
      <w:proofErr w:type="spellStart"/>
      <w:r w:rsidR="00AE5004" w:rsidRPr="001775C1">
        <w:rPr>
          <w:rFonts w:asciiTheme="majorHAnsi" w:hAnsiTheme="majorHAnsi" w:cs="Times New Roman"/>
        </w:rPr>
        <w:t>covariances</w:t>
      </w:r>
      <w:bookmarkStart w:id="25" w:name="OLE_LINK15"/>
      <w:bookmarkStart w:id="26" w:name="OLE_LINK16"/>
      <w:proofErr w:type="spellEnd"/>
      <w:r w:rsidR="00AE5004" w:rsidRPr="001775C1">
        <w:rPr>
          <w:rFonts w:asciiTheme="majorHAnsi" w:hAnsiTheme="majorHAnsi" w:cs="Times New Roman"/>
        </w:rPr>
        <w:t xml:space="preserve"> </w:t>
      </w:r>
      <w:bookmarkEnd w:id="21"/>
      <w:bookmarkEnd w:id="22"/>
      <w:r w:rsidR="00AE5004" w:rsidRPr="001775C1">
        <w:rPr>
          <w:rFonts w:asciiTheme="majorHAnsi" w:hAnsiTheme="majorHAnsi" w:cs="Times New Roman"/>
        </w:rPr>
        <w:t xml:space="preserve">invariant </w:t>
      </w:r>
      <w:bookmarkEnd w:id="25"/>
      <w:bookmarkEnd w:id="26"/>
      <w:r w:rsidR="00AE5004" w:rsidRPr="001775C1">
        <w:rPr>
          <w:rFonts w:asciiTheme="majorHAnsi" w:hAnsiTheme="majorHAnsi" w:cs="Times New Roman"/>
        </w:rPr>
        <w:t xml:space="preserve">model </w:t>
      </w:r>
      <w:bookmarkEnd w:id="23"/>
      <w:bookmarkEnd w:id="24"/>
      <w:r w:rsidR="00AE5004" w:rsidRPr="001775C1">
        <w:rPr>
          <w:rFonts w:asciiTheme="majorHAnsi" w:hAnsiTheme="majorHAnsi" w:cs="Times New Roman"/>
        </w:rPr>
        <w:t xml:space="preserve">was tested. Fourth, besides factor loadings, and factor </w:t>
      </w:r>
      <w:proofErr w:type="spellStart"/>
      <w:r w:rsidR="00AE5004" w:rsidRPr="001775C1">
        <w:rPr>
          <w:rFonts w:asciiTheme="majorHAnsi" w:hAnsiTheme="majorHAnsi" w:cs="Times New Roman"/>
        </w:rPr>
        <w:t>covariances</w:t>
      </w:r>
      <w:proofErr w:type="spellEnd"/>
      <w:r w:rsidR="00AE5004" w:rsidRPr="001775C1">
        <w:rPr>
          <w:rFonts w:asciiTheme="majorHAnsi" w:hAnsiTheme="majorHAnsi" w:cs="Times New Roman"/>
        </w:rPr>
        <w:t xml:space="preserve">, factor variances were </w:t>
      </w:r>
      <w:bookmarkStart w:id="27" w:name="OLE_LINK23"/>
      <w:bookmarkStart w:id="28" w:name="OLE_LINK24"/>
      <w:r w:rsidR="00AE5004" w:rsidRPr="001775C1">
        <w:rPr>
          <w:rFonts w:asciiTheme="majorHAnsi" w:hAnsiTheme="majorHAnsi" w:cs="Times New Roman"/>
        </w:rPr>
        <w:t xml:space="preserve">specified as </w:t>
      </w:r>
      <w:bookmarkEnd w:id="27"/>
      <w:bookmarkEnd w:id="28"/>
      <w:r w:rsidR="00AE5004" w:rsidRPr="001775C1">
        <w:rPr>
          <w:rFonts w:asciiTheme="majorHAnsi" w:hAnsiTheme="majorHAnsi" w:cs="Times New Roman"/>
        </w:rPr>
        <w:t xml:space="preserve">invariant and tested. Finally, factor loadings, factor </w:t>
      </w:r>
      <w:proofErr w:type="spellStart"/>
      <w:r w:rsidR="00AE5004" w:rsidRPr="001775C1">
        <w:rPr>
          <w:rFonts w:asciiTheme="majorHAnsi" w:hAnsiTheme="majorHAnsi" w:cs="Times New Roman"/>
        </w:rPr>
        <w:t>covariances</w:t>
      </w:r>
      <w:proofErr w:type="spellEnd"/>
      <w:r w:rsidR="00AE5004" w:rsidRPr="001775C1">
        <w:rPr>
          <w:rFonts w:asciiTheme="majorHAnsi" w:hAnsiTheme="majorHAnsi" w:cs="Times New Roman"/>
        </w:rPr>
        <w:t xml:space="preserve">, factor variances, and error terms were specified as invariant. </w:t>
      </w:r>
      <w:r w:rsidRPr="001775C1">
        <w:rPr>
          <w:rFonts w:asciiTheme="majorHAnsi" w:hAnsiTheme="majorHAnsi" w:cs="Times New Roman"/>
        </w:rPr>
        <w:t>In the current study, changes in CFI rather than chi-square difference (Δ</w:t>
      </w:r>
      <w:r w:rsidRPr="001775C1">
        <w:rPr>
          <w:rFonts w:asciiTheme="majorHAnsi" w:hAnsiTheme="majorHAnsi" w:cs="Times New Roman"/>
          <w:i/>
          <w:iCs/>
        </w:rPr>
        <w:t>χ</w:t>
      </w:r>
      <w:r w:rsidRPr="001775C1">
        <w:rPr>
          <w:rFonts w:asciiTheme="majorHAnsi" w:hAnsiTheme="majorHAnsi" w:cs="Times New Roman"/>
          <w:vertAlign w:val="superscript"/>
        </w:rPr>
        <w:t>2</w:t>
      </w:r>
      <w:r w:rsidRPr="001775C1">
        <w:rPr>
          <w:rFonts w:asciiTheme="majorHAnsi" w:hAnsiTheme="majorHAnsi" w:cs="Times New Roman"/>
        </w:rPr>
        <w:t xml:space="preserve">) were explored to test measurement invariance, examined because chi-square test is sensitive to </w:t>
      </w:r>
      <w:bookmarkStart w:id="29" w:name="OLE_LINK29"/>
      <w:bookmarkStart w:id="30" w:name="OLE_LINK30"/>
      <w:r w:rsidRPr="001775C1">
        <w:rPr>
          <w:rFonts w:asciiTheme="majorHAnsi" w:hAnsiTheme="majorHAnsi" w:cs="Times New Roman"/>
        </w:rPr>
        <w:t xml:space="preserve">sample size </w:t>
      </w:r>
      <w:bookmarkEnd w:id="29"/>
      <w:bookmarkEnd w:id="30"/>
      <w:r w:rsidRPr="001775C1">
        <w:rPr>
          <w:rFonts w:asciiTheme="majorHAnsi" w:hAnsiTheme="majorHAnsi" w:cs="Times New Roman"/>
        </w:rPr>
        <w:t xml:space="preserve">(Cheung &amp; </w:t>
      </w:r>
      <w:proofErr w:type="spellStart"/>
      <w:r w:rsidRPr="001775C1">
        <w:rPr>
          <w:rFonts w:asciiTheme="majorHAnsi" w:hAnsiTheme="majorHAnsi" w:cs="Times New Roman"/>
        </w:rPr>
        <w:t>Rensvold</w:t>
      </w:r>
      <w:proofErr w:type="spellEnd"/>
      <w:r w:rsidRPr="001775C1">
        <w:rPr>
          <w:rFonts w:asciiTheme="majorHAnsi" w:hAnsiTheme="majorHAnsi" w:cs="Times New Roman"/>
        </w:rPr>
        <w:t xml:space="preserve">, 2002; Chen, 2007). </w:t>
      </w:r>
      <w:r w:rsidR="006308D3" w:rsidRPr="001775C1">
        <w:rPr>
          <w:rFonts w:asciiTheme="majorHAnsi" w:hAnsiTheme="majorHAnsi" w:cs="Times New Roman"/>
        </w:rPr>
        <w:t xml:space="preserve"> </w:t>
      </w:r>
      <w:r w:rsidR="00AE5004" w:rsidRPr="001775C1">
        <w:rPr>
          <w:rFonts w:asciiTheme="majorHAnsi" w:hAnsiTheme="majorHAnsi" w:cs="Times New Roman"/>
        </w:rPr>
        <w:t xml:space="preserve">Guided by Cheung and </w:t>
      </w:r>
      <w:proofErr w:type="spellStart"/>
      <w:r w:rsidR="00AE5004" w:rsidRPr="001775C1">
        <w:rPr>
          <w:rFonts w:asciiTheme="majorHAnsi" w:hAnsiTheme="majorHAnsi" w:cs="Times New Roman"/>
        </w:rPr>
        <w:t>Rensvold</w:t>
      </w:r>
      <w:proofErr w:type="spellEnd"/>
      <w:r w:rsidR="00AE5004" w:rsidRPr="001775C1">
        <w:rPr>
          <w:rFonts w:asciiTheme="majorHAnsi" w:hAnsiTheme="majorHAnsi" w:cs="Times New Roman"/>
        </w:rPr>
        <w:t xml:space="preserve"> (2002) and Chen (2007) cut-off values of ΔCFI ≤ .01 were used and results supported measurement invariance across gender (see Table 3). All ΔCFI values were less than 0.01.</w:t>
      </w:r>
      <w:r w:rsidR="00AE5004" w:rsidRPr="001775C1">
        <w:rPr>
          <w:rFonts w:asciiTheme="majorHAnsi" w:hAnsiTheme="majorHAnsi" w:cs="Times New Roman"/>
          <w:color w:val="0070C0"/>
        </w:rPr>
        <w:t xml:space="preserve"> </w:t>
      </w:r>
    </w:p>
    <w:p w:rsidR="00AE5004" w:rsidRPr="001775C1" w:rsidRDefault="00631D2A" w:rsidP="00C01287">
      <w:pPr>
        <w:spacing w:after="0" w:line="240" w:lineRule="auto"/>
        <w:ind w:firstLine="567"/>
        <w:jc w:val="both"/>
        <w:rPr>
          <w:rFonts w:asciiTheme="majorHAnsi" w:hAnsiTheme="majorHAnsi" w:cs="Times New Roman"/>
          <w:color w:val="auto"/>
        </w:rPr>
      </w:pPr>
      <w:r w:rsidRPr="001775C1">
        <w:rPr>
          <w:rFonts w:asciiTheme="majorHAnsi" w:hAnsiTheme="majorHAnsi" w:cs="Times New Roman"/>
          <w:color w:val="auto"/>
        </w:rPr>
        <w:t>More specifically, according to the results, the unconstrained baseline model provided a good fit (χ</w:t>
      </w:r>
      <w:r w:rsidRPr="001775C1">
        <w:rPr>
          <w:rFonts w:asciiTheme="majorHAnsi" w:hAnsiTheme="majorHAnsi" w:cs="Times New Roman"/>
          <w:color w:val="auto"/>
          <w:vertAlign w:val="superscript"/>
        </w:rPr>
        <w:t>2</w:t>
      </w:r>
      <w:r w:rsidRPr="001775C1">
        <w:rPr>
          <w:rFonts w:asciiTheme="majorHAnsi" w:hAnsiTheme="majorHAnsi" w:cs="Times New Roman"/>
          <w:color w:val="auto"/>
        </w:rPr>
        <w:t>/</w:t>
      </w:r>
      <w:proofErr w:type="spellStart"/>
      <w:r w:rsidRPr="001775C1">
        <w:rPr>
          <w:rFonts w:asciiTheme="majorHAnsi" w:hAnsiTheme="majorHAnsi" w:cs="Times New Roman"/>
          <w:color w:val="auto"/>
        </w:rPr>
        <w:t>df</w:t>
      </w:r>
      <w:proofErr w:type="spellEnd"/>
      <w:r w:rsidRPr="001775C1">
        <w:rPr>
          <w:rFonts w:asciiTheme="majorHAnsi" w:hAnsiTheme="majorHAnsi" w:cs="Times New Roman"/>
          <w:color w:val="auto"/>
        </w:rPr>
        <w:t xml:space="preserve"> = 2.56, CFI = .980). </w:t>
      </w:r>
      <w:r w:rsidR="00532BA3" w:rsidRPr="001775C1">
        <w:rPr>
          <w:rFonts w:asciiTheme="majorHAnsi" w:hAnsiTheme="majorHAnsi" w:cs="Times New Roman"/>
          <w:color w:val="auto"/>
        </w:rPr>
        <w:t xml:space="preserve"> </w:t>
      </w:r>
      <w:r w:rsidR="00AE5004" w:rsidRPr="001775C1">
        <w:rPr>
          <w:rFonts w:asciiTheme="majorHAnsi" w:hAnsiTheme="majorHAnsi" w:cs="Times New Roman"/>
          <w:color w:val="auto"/>
        </w:rPr>
        <w:t xml:space="preserve">Pattern coefficients of all items were significant across gender. The difference between baseline model and factor loading invariant model was non-significant (ΔCFI = .001) supporting factor invariance. Similarly, the difference between baseline model and the model specifying the factor loadings and </w:t>
      </w:r>
      <w:proofErr w:type="spellStart"/>
      <w:r w:rsidR="00AE5004" w:rsidRPr="001775C1">
        <w:rPr>
          <w:rFonts w:asciiTheme="majorHAnsi" w:hAnsiTheme="majorHAnsi" w:cs="Times New Roman"/>
          <w:color w:val="auto"/>
        </w:rPr>
        <w:t>covariances</w:t>
      </w:r>
      <w:proofErr w:type="spellEnd"/>
      <w:r w:rsidR="00AE5004" w:rsidRPr="001775C1">
        <w:rPr>
          <w:rFonts w:asciiTheme="majorHAnsi" w:hAnsiTheme="majorHAnsi" w:cs="Times New Roman"/>
          <w:color w:val="auto"/>
        </w:rPr>
        <w:t xml:space="preserve"> to be invariant across gender was not significant (ΔCFI = .001). </w:t>
      </w:r>
      <w:r w:rsidRPr="001775C1">
        <w:rPr>
          <w:rFonts w:asciiTheme="majorHAnsi" w:hAnsiTheme="majorHAnsi" w:cs="Times New Roman"/>
          <w:color w:val="auto"/>
        </w:rPr>
        <w:t xml:space="preserve">In addition, the same as the previous findings, there was a trivial difference between the baseline model and the model constraining factor loadings, </w:t>
      </w:r>
      <w:proofErr w:type="spellStart"/>
      <w:r w:rsidRPr="001775C1">
        <w:rPr>
          <w:rFonts w:asciiTheme="majorHAnsi" w:hAnsiTheme="majorHAnsi" w:cs="Times New Roman"/>
          <w:color w:val="auto"/>
        </w:rPr>
        <w:t>covariances</w:t>
      </w:r>
      <w:proofErr w:type="spellEnd"/>
      <w:r w:rsidRPr="001775C1">
        <w:rPr>
          <w:rFonts w:asciiTheme="majorHAnsi" w:hAnsiTheme="majorHAnsi" w:cs="Times New Roman"/>
          <w:color w:val="auto"/>
        </w:rPr>
        <w:t xml:space="preserve">, and variances invariant across gender (ΔCFI = .001). Finally, there was a non-significant difference between the baseline model and the model constraining factor loadings, </w:t>
      </w:r>
      <w:proofErr w:type="spellStart"/>
      <w:r w:rsidRPr="001775C1">
        <w:rPr>
          <w:rFonts w:asciiTheme="majorHAnsi" w:hAnsiTheme="majorHAnsi" w:cs="Times New Roman"/>
          <w:color w:val="auto"/>
        </w:rPr>
        <w:t>covariances</w:t>
      </w:r>
      <w:proofErr w:type="spellEnd"/>
      <w:r w:rsidRPr="001775C1">
        <w:rPr>
          <w:rFonts w:asciiTheme="majorHAnsi" w:hAnsiTheme="majorHAnsi" w:cs="Times New Roman"/>
          <w:color w:val="auto"/>
        </w:rPr>
        <w:t>, and variances and individual item error</w:t>
      </w:r>
      <w:r w:rsidR="004C7C0C" w:rsidRPr="001775C1">
        <w:rPr>
          <w:rFonts w:asciiTheme="majorHAnsi" w:hAnsiTheme="majorHAnsi" w:cs="Times New Roman"/>
          <w:color w:val="auto"/>
        </w:rPr>
        <w:t xml:space="preserve"> terms invariant across gender </w:t>
      </w:r>
      <w:r w:rsidRPr="001775C1">
        <w:rPr>
          <w:rFonts w:asciiTheme="majorHAnsi" w:hAnsiTheme="majorHAnsi" w:cs="Times New Roman"/>
          <w:color w:val="auto"/>
        </w:rPr>
        <w:t xml:space="preserve">(ΔCFI = .002). Overall, with cut-off values of ΔCFI ≤ .01, results provided evidence for the statistical invariance of factor loadings, factor </w:t>
      </w:r>
      <w:proofErr w:type="spellStart"/>
      <w:r w:rsidRPr="001775C1">
        <w:rPr>
          <w:rFonts w:asciiTheme="majorHAnsi" w:hAnsiTheme="majorHAnsi" w:cs="Times New Roman"/>
          <w:color w:val="auto"/>
        </w:rPr>
        <w:t>covariances</w:t>
      </w:r>
      <w:proofErr w:type="spellEnd"/>
      <w:r w:rsidRPr="001775C1">
        <w:rPr>
          <w:rFonts w:asciiTheme="majorHAnsi" w:hAnsiTheme="majorHAnsi" w:cs="Times New Roman"/>
          <w:color w:val="auto"/>
        </w:rPr>
        <w:t>, factor variances and individual item error terms</w:t>
      </w:r>
      <w:r w:rsidR="0097225F" w:rsidRPr="001775C1">
        <w:rPr>
          <w:rFonts w:asciiTheme="majorHAnsi" w:hAnsiTheme="majorHAnsi" w:cs="Times New Roman"/>
          <w:color w:val="auto"/>
        </w:rPr>
        <w:t>.</w:t>
      </w:r>
    </w:p>
    <w:p w:rsidR="00C01287" w:rsidRPr="00C01287" w:rsidRDefault="00C01287" w:rsidP="00C01287">
      <w:pPr>
        <w:spacing w:before="120" w:after="120" w:line="240" w:lineRule="auto"/>
        <w:rPr>
          <w:rFonts w:asciiTheme="majorHAnsi" w:hAnsiTheme="majorHAnsi" w:cs="Times New Roman"/>
          <w:i/>
          <w:sz w:val="20"/>
        </w:rPr>
      </w:pPr>
      <w:r w:rsidRPr="00C01287">
        <w:rPr>
          <w:rFonts w:asciiTheme="majorHAnsi" w:hAnsiTheme="majorHAnsi" w:cs="Times New Roman"/>
          <w:b/>
          <w:sz w:val="20"/>
        </w:rPr>
        <w:t>Table 3.</w:t>
      </w:r>
      <w:r w:rsidRPr="00C01287">
        <w:rPr>
          <w:rFonts w:asciiTheme="majorHAnsi" w:hAnsiTheme="majorHAnsi" w:cs="Times New Roman"/>
          <w:sz w:val="20"/>
        </w:rPr>
        <w:t xml:space="preserve"> </w:t>
      </w:r>
      <w:r w:rsidRPr="00C01287">
        <w:rPr>
          <w:rFonts w:asciiTheme="majorHAnsi" w:hAnsiTheme="majorHAnsi" w:cs="Times New Roman"/>
          <w:i/>
          <w:sz w:val="20"/>
        </w:rPr>
        <w:t xml:space="preserve">Measurement Invariance of the EQ  </w:t>
      </w:r>
    </w:p>
    <w:tbl>
      <w:tblPr>
        <w:tblW w:w="4662" w:type="pct"/>
        <w:tblBorders>
          <w:top w:val="single" w:sz="4" w:space="0" w:color="auto"/>
          <w:bottom w:val="single" w:sz="4" w:space="0" w:color="auto"/>
        </w:tblBorders>
        <w:tblLook w:val="04A0" w:firstRow="1" w:lastRow="0" w:firstColumn="1" w:lastColumn="0" w:noHBand="0" w:noVBand="1"/>
      </w:tblPr>
      <w:tblGrid>
        <w:gridCol w:w="5044"/>
        <w:gridCol w:w="2062"/>
        <w:gridCol w:w="1353"/>
      </w:tblGrid>
      <w:tr w:rsidR="00C01287" w:rsidRPr="001775C1" w:rsidTr="007D7F2C">
        <w:trPr>
          <w:trHeight w:val="306"/>
        </w:trPr>
        <w:tc>
          <w:tcPr>
            <w:tcW w:w="2981" w:type="pct"/>
            <w:tcBorders>
              <w:top w:val="single" w:sz="4" w:space="0" w:color="auto"/>
              <w:left w:val="nil"/>
              <w:bottom w:val="single" w:sz="4" w:space="0" w:color="auto"/>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Model</w:t>
            </w:r>
          </w:p>
        </w:tc>
        <w:tc>
          <w:tcPr>
            <w:tcW w:w="1219" w:type="pct"/>
            <w:tcBorders>
              <w:top w:val="single" w:sz="4" w:space="0" w:color="auto"/>
              <w:left w:val="nil"/>
              <w:bottom w:val="single" w:sz="4" w:space="0" w:color="auto"/>
              <w:right w:val="nil"/>
            </w:tcBorders>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i/>
                <w:iCs/>
                <w:sz w:val="20"/>
                <w:szCs w:val="20"/>
              </w:rPr>
              <w:t>χ</w:t>
            </w:r>
            <w:r w:rsidRPr="00853750">
              <w:rPr>
                <w:rFonts w:asciiTheme="majorHAnsi" w:hAnsiTheme="majorHAnsi" w:cs="Times New Roman"/>
                <w:sz w:val="20"/>
                <w:szCs w:val="20"/>
                <w:vertAlign w:val="superscript"/>
              </w:rPr>
              <w:t>2</w:t>
            </w:r>
            <w:r w:rsidRPr="00853750">
              <w:rPr>
                <w:rFonts w:asciiTheme="majorHAnsi" w:hAnsiTheme="majorHAnsi" w:cs="Times New Roman"/>
                <w:sz w:val="20"/>
                <w:szCs w:val="20"/>
              </w:rPr>
              <w:t>/</w:t>
            </w:r>
            <w:proofErr w:type="spellStart"/>
            <w:r w:rsidRPr="00853750">
              <w:rPr>
                <w:rFonts w:asciiTheme="majorHAnsi" w:hAnsiTheme="majorHAnsi" w:cs="Times New Roman"/>
                <w:sz w:val="20"/>
                <w:szCs w:val="20"/>
              </w:rPr>
              <w:t>df</w:t>
            </w:r>
            <w:proofErr w:type="spellEnd"/>
          </w:p>
        </w:tc>
        <w:tc>
          <w:tcPr>
            <w:tcW w:w="801" w:type="pct"/>
            <w:tcBorders>
              <w:top w:val="single" w:sz="4" w:space="0" w:color="auto"/>
              <w:left w:val="nil"/>
              <w:bottom w:val="single" w:sz="4" w:space="0" w:color="auto"/>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CFI</w:t>
            </w:r>
          </w:p>
        </w:tc>
      </w:tr>
      <w:tr w:rsidR="00C01287" w:rsidRPr="001775C1" w:rsidTr="007D7F2C">
        <w:trPr>
          <w:trHeight w:val="327"/>
        </w:trPr>
        <w:tc>
          <w:tcPr>
            <w:tcW w:w="2981" w:type="pct"/>
            <w:tcBorders>
              <w:top w:val="single" w:sz="4" w:space="0" w:color="auto"/>
              <w:left w:val="nil"/>
              <w:bottom w:val="nil"/>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 xml:space="preserve">Baseline </w:t>
            </w:r>
          </w:p>
        </w:tc>
        <w:tc>
          <w:tcPr>
            <w:tcW w:w="1219" w:type="pct"/>
            <w:tcBorders>
              <w:top w:val="single" w:sz="4" w:space="0" w:color="auto"/>
              <w:left w:val="nil"/>
              <w:bottom w:val="nil"/>
              <w:right w:val="nil"/>
            </w:tcBorders>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2.56</w:t>
            </w:r>
          </w:p>
        </w:tc>
        <w:tc>
          <w:tcPr>
            <w:tcW w:w="801" w:type="pct"/>
            <w:tcBorders>
              <w:top w:val="single" w:sz="4" w:space="0" w:color="auto"/>
              <w:left w:val="nil"/>
              <w:bottom w:val="nil"/>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.980</w:t>
            </w:r>
          </w:p>
        </w:tc>
      </w:tr>
      <w:tr w:rsidR="00C01287" w:rsidRPr="001775C1" w:rsidTr="007D7F2C">
        <w:trPr>
          <w:trHeight w:val="308"/>
        </w:trPr>
        <w:tc>
          <w:tcPr>
            <w:tcW w:w="2981" w:type="pct"/>
            <w:tcBorders>
              <w:top w:val="nil"/>
              <w:left w:val="nil"/>
              <w:bottom w:val="nil"/>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 xml:space="preserve">Factor loadings invariant </w:t>
            </w:r>
          </w:p>
        </w:tc>
        <w:tc>
          <w:tcPr>
            <w:tcW w:w="1219" w:type="pct"/>
            <w:tcBorders>
              <w:top w:val="nil"/>
              <w:left w:val="nil"/>
              <w:bottom w:val="nil"/>
              <w:right w:val="nil"/>
            </w:tcBorders>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2.52</w:t>
            </w:r>
          </w:p>
        </w:tc>
        <w:tc>
          <w:tcPr>
            <w:tcW w:w="801" w:type="pct"/>
            <w:tcBorders>
              <w:top w:val="nil"/>
              <w:left w:val="nil"/>
              <w:bottom w:val="nil"/>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.979</w:t>
            </w:r>
          </w:p>
        </w:tc>
      </w:tr>
      <w:tr w:rsidR="00C01287" w:rsidRPr="001775C1" w:rsidTr="007D7F2C">
        <w:trPr>
          <w:trHeight w:val="358"/>
        </w:trPr>
        <w:tc>
          <w:tcPr>
            <w:tcW w:w="2981" w:type="pct"/>
            <w:tcBorders>
              <w:top w:val="nil"/>
              <w:left w:val="nil"/>
              <w:bottom w:val="nil"/>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 xml:space="preserve">Factor loadings and factor </w:t>
            </w:r>
            <w:proofErr w:type="spellStart"/>
            <w:r w:rsidRPr="00853750">
              <w:rPr>
                <w:rFonts w:asciiTheme="majorHAnsi" w:hAnsiTheme="majorHAnsi" w:cs="Times New Roman"/>
                <w:sz w:val="20"/>
                <w:szCs w:val="20"/>
              </w:rPr>
              <w:t>covariances</w:t>
            </w:r>
            <w:proofErr w:type="spellEnd"/>
            <w:r w:rsidRPr="00853750">
              <w:rPr>
                <w:rFonts w:asciiTheme="majorHAnsi" w:hAnsiTheme="majorHAnsi" w:cs="Times New Roman"/>
                <w:sz w:val="20"/>
                <w:szCs w:val="20"/>
              </w:rPr>
              <w:t xml:space="preserve"> invariant </w:t>
            </w:r>
          </w:p>
        </w:tc>
        <w:tc>
          <w:tcPr>
            <w:tcW w:w="1219" w:type="pct"/>
            <w:tcBorders>
              <w:top w:val="nil"/>
              <w:left w:val="nil"/>
              <w:bottom w:val="nil"/>
              <w:right w:val="nil"/>
            </w:tcBorders>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2.52</w:t>
            </w:r>
          </w:p>
        </w:tc>
        <w:tc>
          <w:tcPr>
            <w:tcW w:w="801" w:type="pct"/>
            <w:tcBorders>
              <w:top w:val="nil"/>
              <w:left w:val="nil"/>
              <w:bottom w:val="nil"/>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.979</w:t>
            </w:r>
          </w:p>
        </w:tc>
      </w:tr>
      <w:tr w:rsidR="00C01287" w:rsidRPr="001775C1" w:rsidTr="007D7F2C">
        <w:trPr>
          <w:trHeight w:val="340"/>
        </w:trPr>
        <w:tc>
          <w:tcPr>
            <w:tcW w:w="2981" w:type="pct"/>
            <w:tcBorders>
              <w:top w:val="nil"/>
              <w:left w:val="nil"/>
              <w:bottom w:val="nil"/>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 xml:space="preserve">Factor loadings, factor </w:t>
            </w:r>
            <w:proofErr w:type="spellStart"/>
            <w:r w:rsidRPr="00853750">
              <w:rPr>
                <w:rFonts w:asciiTheme="majorHAnsi" w:hAnsiTheme="majorHAnsi" w:cs="Times New Roman"/>
                <w:sz w:val="20"/>
                <w:szCs w:val="20"/>
              </w:rPr>
              <w:t>covariances</w:t>
            </w:r>
            <w:proofErr w:type="spellEnd"/>
            <w:r w:rsidRPr="00853750">
              <w:rPr>
                <w:rFonts w:asciiTheme="majorHAnsi" w:hAnsiTheme="majorHAnsi" w:cs="Times New Roman"/>
                <w:sz w:val="20"/>
                <w:szCs w:val="20"/>
              </w:rPr>
              <w:t xml:space="preserve"> and factor variances invariant</w:t>
            </w:r>
          </w:p>
        </w:tc>
        <w:tc>
          <w:tcPr>
            <w:tcW w:w="1219" w:type="pct"/>
            <w:tcBorders>
              <w:top w:val="nil"/>
              <w:left w:val="nil"/>
              <w:bottom w:val="nil"/>
              <w:right w:val="nil"/>
            </w:tcBorders>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2.52</w:t>
            </w:r>
          </w:p>
        </w:tc>
        <w:tc>
          <w:tcPr>
            <w:tcW w:w="801" w:type="pct"/>
            <w:tcBorders>
              <w:top w:val="nil"/>
              <w:left w:val="nil"/>
              <w:bottom w:val="nil"/>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.979</w:t>
            </w:r>
          </w:p>
        </w:tc>
      </w:tr>
      <w:tr w:rsidR="00C01287" w:rsidRPr="001775C1" w:rsidTr="007D7F2C">
        <w:trPr>
          <w:trHeight w:val="410"/>
        </w:trPr>
        <w:tc>
          <w:tcPr>
            <w:tcW w:w="2981" w:type="pct"/>
            <w:tcBorders>
              <w:top w:val="nil"/>
              <w:left w:val="nil"/>
              <w:bottom w:val="single" w:sz="4" w:space="0" w:color="auto"/>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 xml:space="preserve">Factor loadings, factor </w:t>
            </w:r>
            <w:proofErr w:type="spellStart"/>
            <w:r w:rsidRPr="00853750">
              <w:rPr>
                <w:rFonts w:asciiTheme="majorHAnsi" w:hAnsiTheme="majorHAnsi" w:cs="Times New Roman"/>
                <w:sz w:val="20"/>
                <w:szCs w:val="20"/>
              </w:rPr>
              <w:t>covariances</w:t>
            </w:r>
            <w:proofErr w:type="spellEnd"/>
            <w:r w:rsidRPr="00853750">
              <w:rPr>
                <w:rFonts w:asciiTheme="majorHAnsi" w:hAnsiTheme="majorHAnsi" w:cs="Times New Roman"/>
                <w:sz w:val="20"/>
                <w:szCs w:val="20"/>
              </w:rPr>
              <w:t>, factor variances, and error terms invariant</w:t>
            </w:r>
          </w:p>
        </w:tc>
        <w:tc>
          <w:tcPr>
            <w:tcW w:w="1219" w:type="pct"/>
            <w:tcBorders>
              <w:top w:val="nil"/>
              <w:left w:val="nil"/>
              <w:bottom w:val="single" w:sz="4" w:space="0" w:color="auto"/>
              <w:right w:val="nil"/>
            </w:tcBorders>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2.60</w:t>
            </w:r>
          </w:p>
        </w:tc>
        <w:tc>
          <w:tcPr>
            <w:tcW w:w="801" w:type="pct"/>
            <w:tcBorders>
              <w:top w:val="nil"/>
              <w:left w:val="nil"/>
              <w:bottom w:val="single" w:sz="4" w:space="0" w:color="auto"/>
              <w:right w:val="nil"/>
            </w:tcBorders>
            <w:hideMark/>
          </w:tcPr>
          <w:p w:rsidR="00C01287" w:rsidRPr="00853750" w:rsidRDefault="00C01287" w:rsidP="007D7F2C">
            <w:pPr>
              <w:spacing w:after="0" w:line="240" w:lineRule="auto"/>
              <w:contextualSpacing/>
              <w:rPr>
                <w:rFonts w:asciiTheme="majorHAnsi" w:hAnsiTheme="majorHAnsi" w:cs="Times New Roman"/>
                <w:sz w:val="20"/>
                <w:szCs w:val="20"/>
              </w:rPr>
            </w:pPr>
            <w:r w:rsidRPr="00853750">
              <w:rPr>
                <w:rFonts w:asciiTheme="majorHAnsi" w:hAnsiTheme="majorHAnsi" w:cs="Times New Roman"/>
                <w:sz w:val="20"/>
                <w:szCs w:val="20"/>
              </w:rPr>
              <w:t>.977</w:t>
            </w:r>
          </w:p>
        </w:tc>
      </w:tr>
    </w:tbl>
    <w:p w:rsidR="00AE2727" w:rsidRDefault="00AE2727" w:rsidP="00C01287">
      <w:pPr>
        <w:spacing w:before="120" w:after="120" w:line="240" w:lineRule="auto"/>
        <w:jc w:val="both"/>
        <w:rPr>
          <w:rFonts w:asciiTheme="majorHAnsi" w:hAnsiTheme="majorHAnsi" w:cs="Times New Roman"/>
          <w:b/>
          <w:i/>
        </w:rPr>
      </w:pPr>
    </w:p>
    <w:p w:rsidR="00AE2727" w:rsidRDefault="00AE2727" w:rsidP="00C01287">
      <w:pPr>
        <w:spacing w:before="120" w:after="120" w:line="240" w:lineRule="auto"/>
        <w:jc w:val="both"/>
        <w:rPr>
          <w:rFonts w:asciiTheme="majorHAnsi" w:hAnsiTheme="majorHAnsi" w:cs="Times New Roman"/>
          <w:b/>
          <w:i/>
        </w:rPr>
      </w:pPr>
    </w:p>
    <w:p w:rsidR="00631D2A" w:rsidRPr="00C01287" w:rsidRDefault="00631D2A" w:rsidP="00C01287">
      <w:pPr>
        <w:spacing w:before="120" w:after="120" w:line="240" w:lineRule="auto"/>
        <w:jc w:val="both"/>
        <w:rPr>
          <w:rFonts w:asciiTheme="majorHAnsi" w:hAnsiTheme="majorHAnsi" w:cs="Times New Roman"/>
          <w:b/>
          <w:i/>
          <w:highlight w:val="yellow"/>
        </w:rPr>
      </w:pPr>
      <w:r w:rsidRPr="00C01287">
        <w:rPr>
          <w:rFonts w:asciiTheme="majorHAnsi" w:hAnsiTheme="majorHAnsi" w:cs="Times New Roman"/>
          <w:b/>
          <w:i/>
        </w:rPr>
        <w:lastRenderedPageBreak/>
        <w:t xml:space="preserve">Further </w:t>
      </w:r>
      <w:r w:rsidR="00E94E92" w:rsidRPr="00C01287">
        <w:rPr>
          <w:rFonts w:asciiTheme="majorHAnsi" w:hAnsiTheme="majorHAnsi" w:cs="Times New Roman"/>
          <w:b/>
          <w:i/>
        </w:rPr>
        <w:t>Validity E</w:t>
      </w:r>
      <w:r w:rsidRPr="00C01287">
        <w:rPr>
          <w:rFonts w:asciiTheme="majorHAnsi" w:hAnsiTheme="majorHAnsi" w:cs="Times New Roman"/>
          <w:b/>
          <w:i/>
        </w:rPr>
        <w:t>vidence</w:t>
      </w:r>
      <w:r w:rsidRPr="00C01287" w:rsidDel="003F7E8C">
        <w:rPr>
          <w:rFonts w:asciiTheme="majorHAnsi" w:hAnsiTheme="majorHAnsi" w:cs="Times New Roman"/>
          <w:b/>
          <w:i/>
        </w:rPr>
        <w:t xml:space="preserve"> </w:t>
      </w:r>
      <w:r w:rsidR="000F4587" w:rsidRPr="00C01287">
        <w:rPr>
          <w:rFonts w:asciiTheme="majorHAnsi" w:hAnsiTheme="majorHAnsi" w:cs="Times New Roman"/>
          <w:b/>
          <w:i/>
        </w:rPr>
        <w:t xml:space="preserve"> </w:t>
      </w:r>
    </w:p>
    <w:p w:rsidR="0027507B" w:rsidRPr="001775C1" w:rsidRDefault="00631D2A" w:rsidP="00C01287">
      <w:pPr>
        <w:spacing w:after="0" w:line="240" w:lineRule="auto"/>
        <w:ind w:firstLine="567"/>
        <w:jc w:val="both"/>
        <w:rPr>
          <w:rFonts w:asciiTheme="majorHAnsi" w:hAnsiTheme="majorHAnsi" w:cs="Times New Roman"/>
          <w:b/>
          <w:color w:val="0070C0"/>
        </w:rPr>
      </w:pPr>
      <w:r w:rsidRPr="001775C1">
        <w:rPr>
          <w:rFonts w:asciiTheme="majorHAnsi" w:hAnsiTheme="majorHAnsi" w:cs="Times New Roman"/>
        </w:rPr>
        <w:t>Based on the available literature, positive correlations were expected between self-efficacy and engagement. Bivariate correlations revealed that self-efficacy was significantly and positively related to agentic (</w:t>
      </w:r>
      <w:r w:rsidRPr="001775C1">
        <w:rPr>
          <w:rFonts w:asciiTheme="majorHAnsi" w:hAnsiTheme="majorHAnsi" w:cs="Times New Roman"/>
          <w:i/>
        </w:rPr>
        <w:t xml:space="preserve">r </w:t>
      </w:r>
      <w:r w:rsidRPr="001775C1">
        <w:rPr>
          <w:rFonts w:asciiTheme="majorHAnsi" w:hAnsiTheme="majorHAnsi" w:cs="Times New Roman"/>
        </w:rPr>
        <w:t>= .53), behavioral (</w:t>
      </w:r>
      <w:r w:rsidRPr="001775C1">
        <w:rPr>
          <w:rFonts w:asciiTheme="majorHAnsi" w:hAnsiTheme="majorHAnsi" w:cs="Times New Roman"/>
          <w:i/>
        </w:rPr>
        <w:t xml:space="preserve">r </w:t>
      </w:r>
      <w:r w:rsidRPr="001775C1">
        <w:rPr>
          <w:rFonts w:asciiTheme="majorHAnsi" w:hAnsiTheme="majorHAnsi" w:cs="Times New Roman"/>
        </w:rPr>
        <w:t>= .57), cognitive (</w:t>
      </w:r>
      <w:r w:rsidRPr="001775C1">
        <w:rPr>
          <w:rFonts w:asciiTheme="majorHAnsi" w:hAnsiTheme="majorHAnsi" w:cs="Times New Roman"/>
          <w:i/>
        </w:rPr>
        <w:t xml:space="preserve">r </w:t>
      </w:r>
      <w:r w:rsidRPr="001775C1">
        <w:rPr>
          <w:rFonts w:asciiTheme="majorHAnsi" w:hAnsiTheme="majorHAnsi" w:cs="Times New Roman"/>
        </w:rPr>
        <w:t>= .60), and emotional engagement (</w:t>
      </w:r>
      <w:r w:rsidRPr="001775C1">
        <w:rPr>
          <w:rFonts w:asciiTheme="majorHAnsi" w:hAnsiTheme="majorHAnsi" w:cs="Times New Roman"/>
          <w:i/>
        </w:rPr>
        <w:t xml:space="preserve">r </w:t>
      </w:r>
      <w:r w:rsidRPr="001775C1">
        <w:rPr>
          <w:rFonts w:asciiTheme="majorHAnsi" w:hAnsiTheme="majorHAnsi" w:cs="Times New Roman"/>
        </w:rPr>
        <w:t>= .58)</w:t>
      </w:r>
      <w:r w:rsidR="00540F83" w:rsidRPr="001775C1">
        <w:rPr>
          <w:rFonts w:asciiTheme="majorHAnsi" w:hAnsiTheme="majorHAnsi" w:cs="Times New Roman"/>
        </w:rPr>
        <w:t>.</w:t>
      </w:r>
      <w:r w:rsidRPr="001775C1">
        <w:rPr>
          <w:rFonts w:asciiTheme="majorHAnsi" w:hAnsiTheme="majorHAnsi" w:cs="Times New Roman"/>
        </w:rPr>
        <w:t xml:space="preserve"> </w:t>
      </w:r>
    </w:p>
    <w:p w:rsidR="00631D2A" w:rsidRDefault="00D52F0C" w:rsidP="00C01287">
      <w:pPr>
        <w:spacing w:before="240" w:after="240" w:line="240" w:lineRule="auto"/>
        <w:jc w:val="center"/>
        <w:rPr>
          <w:rFonts w:asciiTheme="majorHAnsi" w:hAnsiTheme="majorHAnsi" w:cs="Times New Roman"/>
          <w:b/>
          <w:color w:val="0070C0"/>
        </w:rPr>
      </w:pPr>
      <w:r w:rsidRPr="001775C1">
        <w:rPr>
          <w:rFonts w:asciiTheme="majorHAnsi" w:hAnsiTheme="majorHAnsi" w:cs="Times New Roman"/>
          <w:b/>
        </w:rPr>
        <w:t>DISCUSSION</w:t>
      </w:r>
      <w:r w:rsidRPr="001775C1">
        <w:rPr>
          <w:rFonts w:asciiTheme="majorHAnsi" w:hAnsiTheme="majorHAnsi" w:cs="Times New Roman"/>
          <w:b/>
          <w:color w:val="0070C0"/>
        </w:rPr>
        <w:t xml:space="preserve"> </w:t>
      </w:r>
    </w:p>
    <w:p w:rsidR="00D34791" w:rsidRPr="001775C1" w:rsidRDefault="00631D2A" w:rsidP="00D52F0C">
      <w:pPr>
        <w:spacing w:after="0" w:line="240" w:lineRule="auto"/>
        <w:ind w:firstLine="720"/>
        <w:jc w:val="both"/>
        <w:rPr>
          <w:rFonts w:asciiTheme="majorHAnsi" w:eastAsia="TimesNewRoman" w:hAnsiTheme="majorHAnsi" w:cs="Times New Roman"/>
        </w:rPr>
      </w:pPr>
      <w:r w:rsidRPr="001775C1">
        <w:rPr>
          <w:rFonts w:asciiTheme="majorHAnsi" w:hAnsiTheme="majorHAnsi" w:cs="Times New Roman"/>
        </w:rPr>
        <w:t xml:space="preserve">The purpose of the present study was to validate the EQ to be used for Turkish middle school students in science classes. </w:t>
      </w:r>
      <w:r w:rsidR="00453557" w:rsidRPr="001775C1">
        <w:rPr>
          <w:rFonts w:asciiTheme="majorHAnsi" w:hAnsiTheme="majorHAnsi" w:cs="Times New Roman"/>
        </w:rPr>
        <w:t xml:space="preserve"> </w:t>
      </w:r>
      <w:r w:rsidR="00AE5004" w:rsidRPr="001775C1">
        <w:rPr>
          <w:rFonts w:asciiTheme="majorHAnsi" w:hAnsiTheme="majorHAnsi" w:cs="Times New Roman"/>
        </w:rPr>
        <w:t xml:space="preserve">For this purpose, the EQ consisting of 22 items in four </w:t>
      </w:r>
      <w:r w:rsidR="00AA60B8" w:rsidRPr="001775C1">
        <w:rPr>
          <w:rFonts w:asciiTheme="majorHAnsi" w:hAnsiTheme="majorHAnsi" w:cs="Times New Roman"/>
        </w:rPr>
        <w:t>dimensions</w:t>
      </w:r>
      <w:r w:rsidR="00AE5004" w:rsidRPr="001775C1">
        <w:rPr>
          <w:rFonts w:asciiTheme="majorHAnsi" w:hAnsiTheme="majorHAnsi" w:cs="Times New Roman"/>
        </w:rPr>
        <w:t xml:space="preserve"> was first, translated into Turkish by the first author and considering expert opinions and middle school students’ suggestions necessary changes were made in wording and scale format: The original questionnaire items was on a</w:t>
      </w:r>
      <w:r w:rsidR="00AA60B8">
        <w:rPr>
          <w:rFonts w:asciiTheme="majorHAnsi" w:hAnsiTheme="majorHAnsi" w:cs="Times New Roman"/>
        </w:rPr>
        <w:t xml:space="preserve"> </w:t>
      </w:r>
      <w:r w:rsidR="00AE5004" w:rsidRPr="001775C1">
        <w:rPr>
          <w:rFonts w:asciiTheme="majorHAnsi" w:hAnsiTheme="majorHAnsi" w:cs="Times New Roman"/>
        </w:rPr>
        <w:t xml:space="preserve">7-point Likert scale. </w:t>
      </w:r>
      <w:r w:rsidR="00E57190" w:rsidRPr="001775C1">
        <w:rPr>
          <w:rFonts w:asciiTheme="majorHAnsi" w:hAnsiTheme="majorHAnsi" w:cs="Times New Roman"/>
        </w:rPr>
        <w:t>However, students commented that it is easier for them to respond to 4-point format.</w:t>
      </w:r>
      <w:r w:rsidR="00E57190" w:rsidRPr="001775C1">
        <w:rPr>
          <w:rFonts w:asciiTheme="majorHAnsi" w:hAnsiTheme="majorHAnsi" w:cs="Times New Roman"/>
          <w:color w:val="0070C0"/>
        </w:rPr>
        <w:t xml:space="preserve"> </w:t>
      </w:r>
      <w:r w:rsidR="00FB4D9D" w:rsidRPr="001775C1">
        <w:rPr>
          <w:rFonts w:asciiTheme="majorHAnsi" w:hAnsiTheme="majorHAnsi" w:cs="Times New Roman"/>
        </w:rPr>
        <w:t xml:space="preserve">Actually, Bourke and Frampton (1992) reported that younger individuals can respond to scales with fewer categories more easily. </w:t>
      </w:r>
      <w:r w:rsidR="00E57190" w:rsidRPr="001775C1">
        <w:rPr>
          <w:rFonts w:asciiTheme="majorHAnsi" w:eastAsia="TimesNewRoman" w:hAnsiTheme="majorHAnsi" w:cs="Times New Roman"/>
        </w:rPr>
        <w:t xml:space="preserve">In addition, a scale involving finer discrimination than the respondents can accomplish may cause a measurement error (Symonds, 1924 as cited in </w:t>
      </w:r>
      <w:proofErr w:type="spellStart"/>
      <w:r w:rsidR="00E57190" w:rsidRPr="001775C1">
        <w:rPr>
          <w:rFonts w:asciiTheme="majorHAnsi" w:eastAsia="TimesNewRoman" w:hAnsiTheme="majorHAnsi" w:cs="Times New Roman"/>
        </w:rPr>
        <w:t>Weng</w:t>
      </w:r>
      <w:proofErr w:type="spellEnd"/>
      <w:r w:rsidR="00E57190" w:rsidRPr="001775C1">
        <w:rPr>
          <w:rFonts w:asciiTheme="majorHAnsi" w:eastAsia="TimesNewRoman" w:hAnsiTheme="majorHAnsi" w:cs="Times New Roman"/>
        </w:rPr>
        <w:t xml:space="preserve">, 2004). Accordingly, if the scales with many categories such as 7-point scales are used for young students who may not discriminate well among the categories, a measurement error can </w:t>
      </w:r>
      <w:r w:rsidR="00E57190" w:rsidRPr="001775C1">
        <w:rPr>
          <w:rFonts w:asciiTheme="majorHAnsi" w:eastAsia="TimesNewRoman" w:hAnsiTheme="majorHAnsi" w:cs="Times New Roman"/>
          <w:color w:val="auto"/>
        </w:rPr>
        <w:t xml:space="preserve">be introduced.  On the other hand, too few categories can lead to less variability lowering reliability. </w:t>
      </w:r>
      <w:r w:rsidR="00752CF0" w:rsidRPr="001775C1">
        <w:rPr>
          <w:rFonts w:asciiTheme="majorHAnsi" w:hAnsiTheme="majorHAnsi" w:cs="Times New Roman"/>
          <w:color w:val="auto"/>
        </w:rPr>
        <w:t xml:space="preserve">For example, </w:t>
      </w:r>
      <w:r w:rsidR="004C7C0C" w:rsidRPr="001775C1">
        <w:rPr>
          <w:rFonts w:asciiTheme="majorHAnsi" w:eastAsia="TimesNewRoman" w:hAnsiTheme="majorHAnsi" w:cs="Times New Roman"/>
          <w:color w:val="auto"/>
        </w:rPr>
        <w:t>w</w:t>
      </w:r>
      <w:r w:rsidR="00E3112B" w:rsidRPr="001775C1">
        <w:rPr>
          <w:rFonts w:asciiTheme="majorHAnsi" w:eastAsia="TimesNewRoman" w:hAnsiTheme="majorHAnsi" w:cs="Times New Roman"/>
          <w:color w:val="auto"/>
        </w:rPr>
        <w:t xml:space="preserve">orking </w:t>
      </w:r>
      <w:r w:rsidR="00E3112B" w:rsidRPr="001775C1">
        <w:rPr>
          <w:rFonts w:asciiTheme="majorHAnsi" w:eastAsia="TimesNewRoman" w:hAnsiTheme="majorHAnsi" w:cs="Times New Roman"/>
        </w:rPr>
        <w:t xml:space="preserve">with students with a mean age of approximately 12 years, </w:t>
      </w:r>
      <w:proofErr w:type="spellStart"/>
      <w:r w:rsidR="00E3112B" w:rsidRPr="001775C1">
        <w:rPr>
          <w:rFonts w:asciiTheme="majorHAnsi" w:eastAsia="TimesNewRoman" w:hAnsiTheme="majorHAnsi" w:cs="Times New Roman"/>
        </w:rPr>
        <w:t>Halpin</w:t>
      </w:r>
      <w:proofErr w:type="spellEnd"/>
      <w:r w:rsidR="00E3112B" w:rsidRPr="001775C1">
        <w:rPr>
          <w:rFonts w:asciiTheme="majorHAnsi" w:eastAsia="TimesNewRoman" w:hAnsiTheme="majorHAnsi" w:cs="Times New Roman"/>
        </w:rPr>
        <w:t xml:space="preserve">, </w:t>
      </w:r>
      <w:proofErr w:type="spellStart"/>
      <w:r w:rsidR="00E3112B" w:rsidRPr="001775C1">
        <w:rPr>
          <w:rFonts w:asciiTheme="majorHAnsi" w:eastAsia="TimesNewRoman" w:hAnsiTheme="majorHAnsi" w:cs="Times New Roman"/>
        </w:rPr>
        <w:t>Halpin</w:t>
      </w:r>
      <w:proofErr w:type="spellEnd"/>
      <w:r w:rsidR="00E3112B" w:rsidRPr="001775C1">
        <w:rPr>
          <w:rFonts w:asciiTheme="majorHAnsi" w:eastAsia="TimesNewRoman" w:hAnsiTheme="majorHAnsi" w:cs="Times New Roman"/>
        </w:rPr>
        <w:t xml:space="preserve"> and </w:t>
      </w:r>
      <w:proofErr w:type="spellStart"/>
      <w:r w:rsidR="00E3112B" w:rsidRPr="001775C1">
        <w:rPr>
          <w:rFonts w:asciiTheme="majorHAnsi" w:eastAsia="TimesNewRoman" w:hAnsiTheme="majorHAnsi" w:cs="Times New Roman"/>
        </w:rPr>
        <w:t>Arbet</w:t>
      </w:r>
      <w:proofErr w:type="spellEnd"/>
      <w:r w:rsidR="00E3112B" w:rsidRPr="001775C1">
        <w:rPr>
          <w:rFonts w:asciiTheme="majorHAnsi" w:eastAsia="TimesNewRoman" w:hAnsiTheme="majorHAnsi" w:cs="Times New Roman"/>
        </w:rPr>
        <w:t xml:space="preserve"> (1994) found that changing the true-false format to 4-point Likert scale increased the estimates of Cronbach coefficient alpha. </w:t>
      </w:r>
      <w:r w:rsidR="00E57190" w:rsidRPr="001775C1">
        <w:rPr>
          <w:rFonts w:asciiTheme="majorHAnsi" w:eastAsia="TimesNewRoman" w:hAnsiTheme="majorHAnsi" w:cs="Times New Roman"/>
        </w:rPr>
        <w:t xml:space="preserve">Thus, 4-point format appears to be more appropriate for middle school students. Accordingly, 4-point response format was decided to be used for adaptation of the EQ for Turkish middle school students. </w:t>
      </w:r>
    </w:p>
    <w:p w:rsidR="0059211F" w:rsidRPr="001775C1" w:rsidRDefault="00E3112B" w:rsidP="00D52F0C">
      <w:pPr>
        <w:spacing w:after="0" w:line="240" w:lineRule="auto"/>
        <w:ind w:firstLine="720"/>
        <w:jc w:val="both"/>
        <w:rPr>
          <w:rFonts w:asciiTheme="majorHAnsi" w:eastAsia="TimesNewRoman" w:hAnsiTheme="majorHAnsi" w:cs="Times New Roman"/>
        </w:rPr>
      </w:pPr>
      <w:r w:rsidRPr="001775C1">
        <w:rPr>
          <w:rFonts w:asciiTheme="majorHAnsi" w:hAnsiTheme="majorHAnsi" w:cs="Times New Roman"/>
        </w:rPr>
        <w:t>Then, as part of the pilot study, Turkish version of the instrument was administered to 153 mi</w:t>
      </w:r>
      <w:r w:rsidR="0059211F" w:rsidRPr="001775C1">
        <w:rPr>
          <w:rFonts w:asciiTheme="majorHAnsi" w:hAnsiTheme="majorHAnsi" w:cs="Times New Roman"/>
        </w:rPr>
        <w:t>ddle school students (Sample 1)</w:t>
      </w:r>
      <w:r w:rsidRPr="001775C1">
        <w:rPr>
          <w:rFonts w:asciiTheme="majorHAnsi" w:eastAsia="TimesNewRoman" w:hAnsiTheme="majorHAnsi" w:cs="Times New Roman"/>
        </w:rPr>
        <w:t xml:space="preserve">. </w:t>
      </w:r>
      <w:r w:rsidR="0059211F" w:rsidRPr="001775C1">
        <w:rPr>
          <w:rFonts w:asciiTheme="majorHAnsi" w:hAnsiTheme="majorHAnsi" w:cs="Times New Roman"/>
        </w:rPr>
        <w:t xml:space="preserve">CFA results supported the proposed factor structure. </w:t>
      </w:r>
      <w:r w:rsidR="00E57190" w:rsidRPr="001775C1">
        <w:rPr>
          <w:rFonts w:asciiTheme="majorHAnsi" w:hAnsiTheme="majorHAnsi" w:cs="Times New Roman"/>
        </w:rPr>
        <w:t xml:space="preserve">Moreover, reliability coefficients all above .80 demonstrated good internal consistency. </w:t>
      </w:r>
      <w:r w:rsidR="00631D2A" w:rsidRPr="001775C1">
        <w:rPr>
          <w:rFonts w:asciiTheme="majorHAnsi" w:hAnsiTheme="majorHAnsi" w:cs="Times New Roman"/>
        </w:rPr>
        <w:t>Additionally, item-to-total correlations ranged from .53 to .85.  Researcher</w:t>
      </w:r>
      <w:r w:rsidR="0059211F" w:rsidRPr="001775C1">
        <w:rPr>
          <w:rFonts w:asciiTheme="majorHAnsi" w:hAnsiTheme="majorHAnsi" w:cs="Times New Roman"/>
        </w:rPr>
        <w:t xml:space="preserve">s </w:t>
      </w:r>
      <w:r w:rsidR="00631D2A" w:rsidRPr="001775C1">
        <w:rPr>
          <w:rFonts w:asciiTheme="majorHAnsi" w:hAnsiTheme="majorHAnsi" w:cs="Times New Roman"/>
        </w:rPr>
        <w:t>in the field used different decision rules of item-to-total correlations for retention or deletion of items: For example, some retained items with item-to-total correlations greater than .35 (Bearden, Hardesty, &amp; Rose, 2001), while others retained the items with item-to-total correlations greater than .50 (</w:t>
      </w:r>
      <w:proofErr w:type="spellStart"/>
      <w:r w:rsidR="00631D2A" w:rsidRPr="001775C1">
        <w:rPr>
          <w:rFonts w:asciiTheme="majorHAnsi" w:hAnsiTheme="majorHAnsi" w:cs="Times New Roman"/>
        </w:rPr>
        <w:t>Obermiller</w:t>
      </w:r>
      <w:proofErr w:type="spellEnd"/>
      <w:r w:rsidR="00631D2A" w:rsidRPr="001775C1">
        <w:rPr>
          <w:rFonts w:asciiTheme="majorHAnsi" w:hAnsiTheme="majorHAnsi" w:cs="Times New Roman"/>
        </w:rPr>
        <w:t xml:space="preserve"> &amp; </w:t>
      </w:r>
      <w:proofErr w:type="spellStart"/>
      <w:r w:rsidR="00631D2A" w:rsidRPr="001775C1">
        <w:rPr>
          <w:rFonts w:asciiTheme="majorHAnsi" w:hAnsiTheme="majorHAnsi" w:cs="Times New Roman"/>
        </w:rPr>
        <w:t>Spangenberg</w:t>
      </w:r>
      <w:proofErr w:type="spellEnd"/>
      <w:r w:rsidR="00631D2A" w:rsidRPr="001775C1">
        <w:rPr>
          <w:rFonts w:asciiTheme="majorHAnsi" w:hAnsiTheme="majorHAnsi" w:cs="Times New Roman"/>
        </w:rPr>
        <w:t xml:space="preserve">, 1998).  When all these rules were considered, item-to-total correlations found in the current study which were all greater than .50 suggested that all items should be retained in their designated factors. </w:t>
      </w:r>
    </w:p>
    <w:p w:rsidR="00631D2A" w:rsidRPr="001775C1" w:rsidRDefault="00631D2A" w:rsidP="00D52F0C">
      <w:pPr>
        <w:spacing w:after="0" w:line="240" w:lineRule="auto"/>
        <w:ind w:firstLine="720"/>
        <w:jc w:val="both"/>
        <w:rPr>
          <w:rFonts w:asciiTheme="majorHAnsi" w:hAnsiTheme="majorHAnsi" w:cs="Times New Roman"/>
          <w:color w:val="FF0000"/>
        </w:rPr>
      </w:pPr>
      <w:r w:rsidRPr="001775C1">
        <w:rPr>
          <w:rFonts w:asciiTheme="majorHAnsi" w:hAnsiTheme="majorHAnsi" w:cs="Times New Roman"/>
        </w:rPr>
        <w:t xml:space="preserve">After pilot study, a second CFA was conducted with a larger sample (Sample 2, </w:t>
      </w:r>
      <w:r w:rsidRPr="001775C1">
        <w:rPr>
          <w:rFonts w:asciiTheme="majorHAnsi" w:hAnsiTheme="majorHAnsi" w:cs="Times New Roman"/>
          <w:i/>
        </w:rPr>
        <w:t xml:space="preserve">n </w:t>
      </w:r>
      <w:r w:rsidRPr="001775C1">
        <w:rPr>
          <w:rFonts w:asciiTheme="majorHAnsi" w:hAnsiTheme="majorHAnsi" w:cs="Times New Roman"/>
        </w:rPr>
        <w:t>= 744</w:t>
      </w:r>
      <w:r w:rsidRPr="001775C1">
        <w:rPr>
          <w:rFonts w:asciiTheme="majorHAnsi" w:hAnsiTheme="majorHAnsi" w:cs="Times New Roman"/>
          <w:i/>
        </w:rPr>
        <w:t xml:space="preserve">) </w:t>
      </w:r>
      <w:r w:rsidRPr="001775C1">
        <w:rPr>
          <w:rFonts w:asciiTheme="majorHAnsi" w:hAnsiTheme="majorHAnsi" w:cs="Times New Roman"/>
        </w:rPr>
        <w:t>to investigate the proposed factor structures in detail.</w:t>
      </w:r>
      <w:r w:rsidRPr="001775C1">
        <w:rPr>
          <w:rFonts w:asciiTheme="majorHAnsi" w:hAnsiTheme="majorHAnsi" w:cs="Times New Roman"/>
          <w:color w:val="0070C0"/>
        </w:rPr>
        <w:t xml:space="preserve"> </w:t>
      </w:r>
      <w:r w:rsidR="00FF2B45" w:rsidRPr="001775C1">
        <w:rPr>
          <w:rFonts w:asciiTheme="majorHAnsi" w:hAnsiTheme="majorHAnsi" w:cs="Times New Roman"/>
        </w:rPr>
        <w:t xml:space="preserve">Additionally, measurement invariance across gender was explored. </w:t>
      </w:r>
      <w:r w:rsidR="000D51E6" w:rsidRPr="001775C1">
        <w:rPr>
          <w:rFonts w:asciiTheme="majorHAnsi" w:hAnsiTheme="majorHAnsi" w:cs="Times New Roman"/>
        </w:rPr>
        <w:t xml:space="preserve">The fit indices found in the second CFA were comparable with those found in the pilot study. Thus, the results concerning the validity of the proposed factor structure of the EQ based on the CFA results were consistent across pilot and main studies. In addition, all pattern coefficients obtained from both CFAs were high and statistically significant suggesting convergent validity.  </w:t>
      </w:r>
      <w:r w:rsidRPr="001775C1">
        <w:rPr>
          <w:rFonts w:asciiTheme="majorHAnsi" w:hAnsiTheme="majorHAnsi" w:cs="Times New Roman"/>
        </w:rPr>
        <w:t>Examination of structure correlations, on the other hand, revealed that items have correlation with their non-designated factors as well.  Some of the correlations were high which may suggest that discriminant validity was not well established.</w:t>
      </w:r>
      <w:r w:rsidR="00FF2B45" w:rsidRPr="001775C1">
        <w:rPr>
          <w:rFonts w:asciiTheme="majorHAnsi" w:hAnsiTheme="majorHAnsi" w:cs="Times New Roman"/>
          <w:color w:val="00B0F0"/>
        </w:rPr>
        <w:t xml:space="preserve"> </w:t>
      </w:r>
      <w:r w:rsidRPr="001775C1">
        <w:rPr>
          <w:rFonts w:asciiTheme="majorHAnsi" w:hAnsiTheme="majorHAnsi" w:cs="Times New Roman"/>
          <w:color w:val="000000" w:themeColor="text1"/>
        </w:rPr>
        <w:t>However, when the confidence intervals (±2 standard errors) around correlations between any two factors (phi) were examined as an evidence for discriminant validity, it was found that none of the intervals contained 1. This finding provided an evi</w:t>
      </w:r>
      <w:r w:rsidR="000549CC" w:rsidRPr="001775C1">
        <w:rPr>
          <w:rFonts w:asciiTheme="majorHAnsi" w:hAnsiTheme="majorHAnsi" w:cs="Times New Roman"/>
          <w:color w:val="000000" w:themeColor="text1"/>
        </w:rPr>
        <w:t>dence for discriminant validity</w:t>
      </w:r>
      <w:r w:rsidR="00D34791" w:rsidRPr="001775C1">
        <w:rPr>
          <w:rFonts w:asciiTheme="majorHAnsi" w:hAnsiTheme="majorHAnsi" w:cs="Times New Roman"/>
          <w:color w:val="000000" w:themeColor="text1"/>
        </w:rPr>
        <w:t>.</w:t>
      </w:r>
    </w:p>
    <w:p w:rsidR="002119CB" w:rsidRPr="001775C1" w:rsidRDefault="002119CB" w:rsidP="00D52F0C">
      <w:pPr>
        <w:spacing w:after="0" w:line="240" w:lineRule="auto"/>
        <w:ind w:firstLine="720"/>
        <w:jc w:val="both"/>
        <w:rPr>
          <w:rFonts w:asciiTheme="majorHAnsi" w:hAnsiTheme="majorHAnsi" w:cs="Times New Roman"/>
          <w:color w:val="0070C0"/>
        </w:rPr>
      </w:pPr>
      <w:r w:rsidRPr="001775C1">
        <w:rPr>
          <w:rFonts w:asciiTheme="majorHAnsi" w:hAnsiTheme="majorHAnsi" w:cs="Times New Roman"/>
        </w:rPr>
        <w:t xml:space="preserve">Regarding reliability of sub-scales, similar with the findings from the pilot study, the reliability coefficients obtained in the main study, suggested high internal consistency and all items were found to contribute to the total variability well with item-to-total correlations ranging from .55 to .76. </w:t>
      </w:r>
    </w:p>
    <w:p w:rsidR="00DF14C3" w:rsidRPr="001775C1" w:rsidRDefault="00631D2A" w:rsidP="00D52F0C">
      <w:pPr>
        <w:spacing w:after="0" w:line="240" w:lineRule="auto"/>
        <w:ind w:firstLine="720"/>
        <w:jc w:val="both"/>
        <w:rPr>
          <w:rFonts w:asciiTheme="majorHAnsi" w:hAnsiTheme="majorHAnsi" w:cs="Times New Roman"/>
          <w:color w:val="0070C0"/>
        </w:rPr>
      </w:pPr>
      <w:r w:rsidRPr="001775C1">
        <w:rPr>
          <w:rFonts w:asciiTheme="majorHAnsi" w:hAnsiTheme="majorHAnsi" w:cs="Times New Roman"/>
        </w:rPr>
        <w:t xml:space="preserve">The results concerning the measurement invariance across gender revealed evidence for the statistical invariance of factor loadings, factor </w:t>
      </w:r>
      <w:proofErr w:type="spellStart"/>
      <w:r w:rsidRPr="001775C1">
        <w:rPr>
          <w:rFonts w:asciiTheme="majorHAnsi" w:hAnsiTheme="majorHAnsi" w:cs="Times New Roman"/>
        </w:rPr>
        <w:t>covariances</w:t>
      </w:r>
      <w:proofErr w:type="spellEnd"/>
      <w:r w:rsidRPr="001775C1">
        <w:rPr>
          <w:rFonts w:asciiTheme="majorHAnsi" w:hAnsiTheme="majorHAnsi" w:cs="Times New Roman"/>
        </w:rPr>
        <w:t xml:space="preserve">, factor variances and individual </w:t>
      </w:r>
      <w:r w:rsidRPr="001775C1">
        <w:rPr>
          <w:rFonts w:asciiTheme="majorHAnsi" w:hAnsiTheme="majorHAnsi" w:cs="Times New Roman"/>
        </w:rPr>
        <w:lastRenderedPageBreak/>
        <w:t xml:space="preserve">item error terms. This finding implies that the items are likely to function in a similar way for boys and girls contributing to the generalizability of the instrument. Accordingly, it is expected that the data from both genders lead to equally valid conclusions regarding their engagement levels. </w:t>
      </w:r>
    </w:p>
    <w:p w:rsidR="00B316C6" w:rsidRPr="001775C1" w:rsidRDefault="00631D2A" w:rsidP="00D52F0C">
      <w:pPr>
        <w:spacing w:after="0" w:line="240" w:lineRule="auto"/>
        <w:ind w:firstLine="720"/>
        <w:jc w:val="both"/>
        <w:rPr>
          <w:rFonts w:asciiTheme="majorHAnsi" w:hAnsiTheme="majorHAnsi" w:cs="Times New Roman"/>
        </w:rPr>
      </w:pPr>
      <w:r w:rsidRPr="001775C1">
        <w:rPr>
          <w:rFonts w:asciiTheme="majorHAnsi" w:hAnsiTheme="majorHAnsi" w:cs="Times New Roman"/>
        </w:rPr>
        <w:t>In order to provide further validity evidence for the EQ, bivariate correlations between self-efficacy and each of the EQ sub-scale were determined. As expected, positive and significant correlation were found. Indeed, re</w:t>
      </w:r>
      <w:r w:rsidR="004C7C0C" w:rsidRPr="001775C1">
        <w:rPr>
          <w:rFonts w:asciiTheme="majorHAnsi" w:hAnsiTheme="majorHAnsi" w:cs="Times New Roman"/>
        </w:rPr>
        <w:t xml:space="preserve">levant literature demonstrated </w:t>
      </w:r>
      <w:r w:rsidRPr="001775C1">
        <w:rPr>
          <w:rFonts w:asciiTheme="majorHAnsi" w:hAnsiTheme="majorHAnsi" w:cs="Times New Roman"/>
        </w:rPr>
        <w:t>that self-efficacy has an important role in student engagement (</w:t>
      </w:r>
      <w:proofErr w:type="spellStart"/>
      <w:r w:rsidRPr="001775C1">
        <w:rPr>
          <w:rFonts w:asciiTheme="majorHAnsi" w:hAnsiTheme="majorHAnsi" w:cs="Times New Roman"/>
        </w:rPr>
        <w:t>Linnenbrink</w:t>
      </w:r>
      <w:proofErr w:type="spellEnd"/>
      <w:r w:rsidRPr="001775C1">
        <w:rPr>
          <w:rFonts w:asciiTheme="majorHAnsi" w:hAnsiTheme="majorHAnsi" w:cs="Times New Roman"/>
        </w:rPr>
        <w:t xml:space="preserve"> &amp; </w:t>
      </w:r>
      <w:proofErr w:type="spellStart"/>
      <w:r w:rsidRPr="001775C1">
        <w:rPr>
          <w:rFonts w:asciiTheme="majorHAnsi" w:hAnsiTheme="majorHAnsi" w:cs="Times New Roman"/>
        </w:rPr>
        <w:t>Pintrich</w:t>
      </w:r>
      <w:proofErr w:type="spellEnd"/>
      <w:r w:rsidRPr="001775C1">
        <w:rPr>
          <w:rFonts w:asciiTheme="majorHAnsi" w:hAnsiTheme="majorHAnsi" w:cs="Times New Roman"/>
        </w:rPr>
        <w:t>, 2003)</w:t>
      </w:r>
      <w:r w:rsidR="00B316C6" w:rsidRPr="001775C1">
        <w:rPr>
          <w:rFonts w:asciiTheme="majorHAnsi" w:hAnsiTheme="majorHAnsi" w:cs="Times New Roman"/>
        </w:rPr>
        <w:t>.</w:t>
      </w:r>
      <w:r w:rsidRPr="001775C1">
        <w:rPr>
          <w:rFonts w:asciiTheme="majorHAnsi" w:hAnsiTheme="majorHAnsi" w:cs="Times New Roman"/>
        </w:rPr>
        <w:t xml:space="preserve">  Actually, self-efficacious students are likely to persist in the face of </w:t>
      </w:r>
      <w:r w:rsidR="00F7466E" w:rsidRPr="001775C1">
        <w:rPr>
          <w:rFonts w:asciiTheme="majorHAnsi" w:hAnsiTheme="majorHAnsi" w:cs="Times New Roman"/>
        </w:rPr>
        <w:t>challenging</w:t>
      </w:r>
      <w:r w:rsidRPr="001775C1">
        <w:rPr>
          <w:rFonts w:asciiTheme="majorHAnsi" w:hAnsiTheme="majorHAnsi" w:cs="Times New Roman"/>
        </w:rPr>
        <w:t xml:space="preserve"> situations (</w:t>
      </w:r>
      <w:r w:rsidRPr="001775C1">
        <w:rPr>
          <w:rFonts w:asciiTheme="majorHAnsi" w:eastAsia="MyriadPro-Regular" w:hAnsiTheme="majorHAnsi" w:cs="Times New Roman"/>
        </w:rPr>
        <w:t>Bandura, 1997)</w:t>
      </w:r>
      <w:r w:rsidRPr="001775C1">
        <w:rPr>
          <w:rFonts w:asciiTheme="majorHAnsi" w:hAnsiTheme="majorHAnsi" w:cs="Times New Roman"/>
        </w:rPr>
        <w:t xml:space="preserve">, use various </w:t>
      </w:r>
      <w:r w:rsidR="00F7466E" w:rsidRPr="001775C1">
        <w:rPr>
          <w:rFonts w:asciiTheme="majorHAnsi" w:hAnsiTheme="majorHAnsi" w:cs="Times New Roman"/>
        </w:rPr>
        <w:t>strategies</w:t>
      </w:r>
      <w:r w:rsidRPr="001775C1">
        <w:rPr>
          <w:rFonts w:asciiTheme="majorHAnsi" w:hAnsiTheme="majorHAnsi" w:cs="Times New Roman"/>
        </w:rPr>
        <w:t xml:space="preserve"> to achieve their goals (Walker, Greene, &amp; Mansell, 2006), have positive emotions </w:t>
      </w:r>
      <w:r w:rsidRPr="001775C1">
        <w:rPr>
          <w:rFonts w:asciiTheme="majorHAnsi" w:hAnsiTheme="majorHAnsi" w:cs="Times New Roman"/>
          <w:bCs/>
        </w:rPr>
        <w:t>(Harter, 1992)</w:t>
      </w:r>
      <w:r w:rsidR="004C7C0C" w:rsidRPr="001775C1">
        <w:rPr>
          <w:rFonts w:asciiTheme="majorHAnsi" w:hAnsiTheme="majorHAnsi" w:cs="Times New Roman"/>
        </w:rPr>
        <w:t xml:space="preserve">, and </w:t>
      </w:r>
      <w:r w:rsidRPr="001775C1">
        <w:rPr>
          <w:rFonts w:asciiTheme="majorHAnsi" w:hAnsiTheme="majorHAnsi" w:cs="Times New Roman"/>
        </w:rPr>
        <w:t>make proactive contributions to the learning environment (Reeve &amp; Lee, 2014)</w:t>
      </w:r>
      <w:r w:rsidR="00B316C6" w:rsidRPr="001775C1">
        <w:rPr>
          <w:rFonts w:asciiTheme="majorHAnsi" w:hAnsiTheme="majorHAnsi" w:cs="Times New Roman"/>
        </w:rPr>
        <w:t>.</w:t>
      </w:r>
      <w:r w:rsidR="00FF2B45" w:rsidRPr="001775C1">
        <w:rPr>
          <w:rFonts w:asciiTheme="majorHAnsi" w:hAnsiTheme="majorHAnsi" w:cs="Times New Roman"/>
        </w:rPr>
        <w:t xml:space="preserve"> </w:t>
      </w:r>
    </w:p>
    <w:p w:rsidR="00B316C6" w:rsidRPr="001775C1" w:rsidRDefault="00631D2A" w:rsidP="00D52F0C">
      <w:pPr>
        <w:spacing w:after="0" w:line="240" w:lineRule="auto"/>
        <w:ind w:firstLine="720"/>
        <w:jc w:val="both"/>
        <w:rPr>
          <w:rFonts w:asciiTheme="majorHAnsi" w:hAnsiTheme="majorHAnsi" w:cs="Times New Roman"/>
        </w:rPr>
      </w:pPr>
      <w:r w:rsidRPr="001775C1">
        <w:rPr>
          <w:rFonts w:asciiTheme="majorHAnsi" w:hAnsiTheme="majorHAnsi" w:cs="Times New Roman"/>
        </w:rPr>
        <w:t>Overall, the present study suggests that Turkish version of the EQ can be used as a valid and reliable measure</w:t>
      </w:r>
      <w:r w:rsidR="00AA60B8">
        <w:rPr>
          <w:rFonts w:asciiTheme="majorHAnsi" w:hAnsiTheme="majorHAnsi" w:cs="Times New Roman"/>
        </w:rPr>
        <w:t xml:space="preserve"> to assess</w:t>
      </w:r>
      <w:r w:rsidRPr="001775C1">
        <w:rPr>
          <w:rFonts w:asciiTheme="majorHAnsi" w:hAnsiTheme="majorHAnsi" w:cs="Times New Roman"/>
        </w:rPr>
        <w:t xml:space="preserve"> different aspects of middle school students’ engagement in science. Because, engagement is found to be highly correlated with achievement related outcomes (Appleton, Christenson, &amp; Furlong, 2008; </w:t>
      </w:r>
      <w:proofErr w:type="spellStart"/>
      <w:r w:rsidRPr="001775C1">
        <w:rPr>
          <w:rFonts w:asciiTheme="majorHAnsi" w:hAnsiTheme="majorHAnsi" w:cs="Times New Roman"/>
        </w:rPr>
        <w:t>Avenilla</w:t>
      </w:r>
      <w:proofErr w:type="spellEnd"/>
      <w:r w:rsidRPr="001775C1">
        <w:rPr>
          <w:rFonts w:asciiTheme="majorHAnsi" w:hAnsiTheme="majorHAnsi" w:cs="Times New Roman"/>
        </w:rPr>
        <w:t xml:space="preserve">, 2003; Miller, Greene, Montalvo, </w:t>
      </w:r>
      <w:proofErr w:type="spellStart"/>
      <w:r w:rsidRPr="001775C1">
        <w:rPr>
          <w:rFonts w:asciiTheme="majorHAnsi" w:hAnsiTheme="majorHAnsi" w:cs="Times New Roman"/>
        </w:rPr>
        <w:t>Ravindran</w:t>
      </w:r>
      <w:proofErr w:type="spellEnd"/>
      <w:r w:rsidRPr="001775C1">
        <w:rPr>
          <w:rFonts w:asciiTheme="majorHAnsi" w:hAnsiTheme="majorHAnsi" w:cs="Times New Roman"/>
        </w:rPr>
        <w:t>, &amp; Nichols, 1996), the data from this instrument can be used as diagnostic tool to improve students’ achievement in science.</w:t>
      </w:r>
      <w:r w:rsidR="00FF2B45" w:rsidRPr="001775C1">
        <w:rPr>
          <w:rFonts w:asciiTheme="majorHAnsi" w:hAnsiTheme="majorHAnsi" w:cs="Times New Roman"/>
        </w:rPr>
        <w:t xml:space="preserve"> </w:t>
      </w:r>
    </w:p>
    <w:p w:rsidR="00F14B88" w:rsidRPr="001775C1" w:rsidRDefault="00631D2A" w:rsidP="00B41093">
      <w:pPr>
        <w:spacing w:line="240" w:lineRule="auto"/>
        <w:ind w:firstLine="720"/>
        <w:jc w:val="both"/>
        <w:rPr>
          <w:rFonts w:asciiTheme="majorHAnsi" w:hAnsiTheme="majorHAnsi" w:cs="Times New Roman"/>
          <w:color w:val="FF0000"/>
        </w:rPr>
      </w:pPr>
      <w:r w:rsidRPr="001775C1">
        <w:rPr>
          <w:rFonts w:asciiTheme="majorHAnsi" w:hAnsiTheme="majorHAnsi" w:cs="Times New Roman"/>
        </w:rPr>
        <w:t>At this point, it is important to note that the EQ was validated only for science domain because according to relevant literature students’ engagement level may show differences in different domains (</w:t>
      </w:r>
      <w:r w:rsidRPr="001775C1">
        <w:rPr>
          <w:rFonts w:asciiTheme="majorHAnsi" w:eastAsia="Times New Roman" w:hAnsiTheme="majorHAnsi" w:cs="Times New Roman"/>
        </w:rPr>
        <w:t>Green, Martin &amp; Marsh, 2007; Martin, 2008)</w:t>
      </w:r>
      <w:r w:rsidRPr="001775C1">
        <w:rPr>
          <w:rFonts w:asciiTheme="majorHAnsi" w:hAnsiTheme="majorHAnsi" w:cs="Times New Roman"/>
        </w:rPr>
        <w:t xml:space="preserve">. Accordingly, it is essential to examine students’ domain specific engagement </w:t>
      </w:r>
      <w:r w:rsidRPr="001775C1">
        <w:rPr>
          <w:rFonts w:asciiTheme="majorHAnsi" w:hAnsiTheme="majorHAnsi" w:cs="Times New Roman"/>
          <w:color w:val="auto"/>
        </w:rPr>
        <w:t>levels. So, in order to increase external validity of the EQ, there is a need for providing validity evidences for the instrument across different domains at middle school level</w:t>
      </w:r>
      <w:r w:rsidR="00F14B88" w:rsidRPr="001775C1">
        <w:rPr>
          <w:rFonts w:asciiTheme="majorHAnsi" w:hAnsiTheme="majorHAnsi" w:cs="Times New Roman"/>
          <w:color w:val="auto"/>
        </w:rPr>
        <w:t>.</w:t>
      </w:r>
      <w:r w:rsidRPr="001775C1">
        <w:rPr>
          <w:rFonts w:asciiTheme="majorHAnsi" w:hAnsiTheme="majorHAnsi" w:cs="Times New Roman"/>
          <w:color w:val="auto"/>
        </w:rPr>
        <w:t xml:space="preserve"> In addition, the instrument can be validated for students at different schooling levels to assess their engagement with an ultimate aim of improving achievement related outcomes.</w:t>
      </w:r>
      <w:r w:rsidR="00FF2B45" w:rsidRPr="001775C1">
        <w:rPr>
          <w:rFonts w:asciiTheme="majorHAnsi" w:hAnsiTheme="majorHAnsi" w:cs="Times New Roman"/>
          <w:color w:val="FF0000"/>
        </w:rPr>
        <w:t xml:space="preserve"> </w:t>
      </w:r>
    </w:p>
    <w:p w:rsidR="00E80274" w:rsidRPr="001775C1" w:rsidRDefault="00D52F0C" w:rsidP="00D52F0C">
      <w:pPr>
        <w:spacing w:line="240" w:lineRule="auto"/>
        <w:rPr>
          <w:rFonts w:asciiTheme="majorHAnsi" w:hAnsiTheme="majorHAnsi" w:cs="Times New Roman"/>
          <w:b/>
        </w:rPr>
      </w:pPr>
      <w:r w:rsidRPr="001775C1">
        <w:rPr>
          <w:rFonts w:asciiTheme="majorHAnsi" w:hAnsiTheme="majorHAnsi" w:cs="Times New Roman"/>
          <w:b/>
        </w:rPr>
        <w:t>REFERENCES</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Anderson, J.C. &amp; Gerbing, D.W. (1988). Structural equation modeling in practice: A review and recommended two-step approach. </w:t>
      </w:r>
      <w:r w:rsidRPr="00D52F0C">
        <w:rPr>
          <w:rFonts w:asciiTheme="majorHAnsi" w:hAnsiTheme="majorHAnsi" w:cs="Times New Roman"/>
          <w:i/>
          <w:color w:val="auto"/>
          <w:sz w:val="20"/>
          <w:szCs w:val="20"/>
          <w:lang w:val="tr-TR"/>
        </w:rPr>
        <w:t xml:space="preserve">Psychological Bulletin, 103, </w:t>
      </w:r>
      <w:r w:rsidRPr="00D52F0C">
        <w:rPr>
          <w:rFonts w:asciiTheme="majorHAnsi" w:hAnsiTheme="majorHAnsi" w:cs="Times New Roman"/>
          <w:color w:val="auto"/>
          <w:sz w:val="20"/>
          <w:szCs w:val="20"/>
          <w:lang w:val="tr-TR"/>
        </w:rPr>
        <w:t>411-423.</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Appleton, J. J., Christenson, S. L., &amp; Furlong, M. 1. (2008). Student engagement with school: Critical conceptual and methodological issues of the construct. </w:t>
      </w:r>
      <w:r w:rsidRPr="00D52F0C">
        <w:rPr>
          <w:rFonts w:asciiTheme="majorHAnsi" w:hAnsiTheme="majorHAnsi" w:cs="Times New Roman"/>
          <w:i/>
          <w:iCs/>
          <w:color w:val="auto"/>
          <w:sz w:val="20"/>
          <w:szCs w:val="20"/>
          <w:lang w:val="tr-TR"/>
        </w:rPr>
        <w:t xml:space="preserve">Psychology in the Schools, </w:t>
      </w:r>
      <w:r w:rsidRPr="00D52F0C">
        <w:rPr>
          <w:rFonts w:asciiTheme="majorHAnsi" w:hAnsiTheme="majorHAnsi" w:cs="Times New Roman"/>
          <w:i/>
          <w:color w:val="auto"/>
          <w:sz w:val="20"/>
          <w:szCs w:val="20"/>
          <w:lang w:val="tr-TR"/>
        </w:rPr>
        <w:t>45</w:t>
      </w:r>
      <w:r w:rsidRPr="00D52F0C">
        <w:rPr>
          <w:rFonts w:asciiTheme="majorHAnsi" w:hAnsiTheme="majorHAnsi" w:cs="Times New Roman"/>
          <w:color w:val="auto"/>
          <w:sz w:val="20"/>
          <w:szCs w:val="20"/>
          <w:lang w:val="tr-TR"/>
        </w:rPr>
        <w:t xml:space="preserve">(5), 369-386. </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t>Archambault, I., Janosz, M., Fallu, J. S., &amp; Pagani, L. S. (2009). Student engagement and its relationship with early high school dropout.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Journal of adolescence</w:t>
      </w:r>
      <w:r w:rsidRPr="00D52F0C">
        <w:rPr>
          <w:rFonts w:asciiTheme="majorHAnsi" w:hAnsiTheme="majorHAnsi" w:cs="Times New Roman"/>
          <w:color w:val="auto"/>
          <w:sz w:val="20"/>
          <w:szCs w:val="20"/>
          <w:shd w:val="clear" w:color="auto" w:fill="FFFFFF"/>
          <w:lang w:val="tr-TR"/>
        </w:rPr>
        <w: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32</w:t>
      </w:r>
      <w:r w:rsidRPr="00D52F0C">
        <w:rPr>
          <w:rFonts w:asciiTheme="majorHAnsi" w:hAnsiTheme="majorHAnsi" w:cs="Times New Roman"/>
          <w:color w:val="auto"/>
          <w:sz w:val="20"/>
          <w:szCs w:val="20"/>
          <w:shd w:val="clear" w:color="auto" w:fill="FFFFFF"/>
          <w:lang w:val="tr-TR"/>
        </w:rPr>
        <w:t>(3), 651-670.</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shd w:val="clear" w:color="auto" w:fill="FFFFFF"/>
          <w:lang w:val="tr-TR"/>
        </w:rPr>
        <w:t>Archambault, I., Janosz, M., Morizot, J., &amp; Pagani, L. (2009). Adolescent behavioral, affective, and cognitive engagement in school: Relationship to dropout.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Journal of school Health</w:t>
      </w:r>
      <w:r w:rsidRPr="00D52F0C">
        <w:rPr>
          <w:rFonts w:asciiTheme="majorHAnsi" w:hAnsiTheme="majorHAnsi" w:cs="Times New Roman"/>
          <w:color w:val="auto"/>
          <w:sz w:val="20"/>
          <w:szCs w:val="20"/>
          <w:shd w:val="clear" w:color="auto" w:fill="FFFFFF"/>
          <w:lang w:val="tr-TR"/>
        </w:rPr>
        <w: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79</w:t>
      </w:r>
      <w:r w:rsidRPr="00D52F0C">
        <w:rPr>
          <w:rFonts w:asciiTheme="majorHAnsi" w:hAnsiTheme="majorHAnsi" w:cs="Times New Roman"/>
          <w:color w:val="auto"/>
          <w:sz w:val="20"/>
          <w:szCs w:val="20"/>
          <w:shd w:val="clear" w:color="auto" w:fill="FFFFFF"/>
          <w:lang w:val="tr-TR"/>
        </w:rPr>
        <w:t>(9), 408-415.</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Avenilla, F. R. (2003). </w:t>
      </w:r>
      <w:r w:rsidRPr="00D52F0C">
        <w:rPr>
          <w:rFonts w:asciiTheme="majorHAnsi" w:hAnsiTheme="majorHAnsi" w:cs="Times New Roman"/>
          <w:i/>
          <w:iCs/>
          <w:color w:val="auto"/>
          <w:sz w:val="20"/>
          <w:szCs w:val="20"/>
          <w:lang w:val="tr-TR"/>
        </w:rPr>
        <w:t xml:space="preserve">Assessing the links between emotional and behavioral school engagement and academic outcomes among high school students. </w:t>
      </w:r>
      <w:r w:rsidRPr="00D52F0C">
        <w:rPr>
          <w:rFonts w:asciiTheme="majorHAnsi" w:hAnsiTheme="majorHAnsi" w:cs="Times New Roman"/>
          <w:iCs/>
          <w:color w:val="auto"/>
          <w:sz w:val="20"/>
          <w:szCs w:val="20"/>
          <w:lang w:val="tr-TR"/>
        </w:rPr>
        <w:t>Unpublished d</w:t>
      </w:r>
      <w:r w:rsidRPr="00D52F0C">
        <w:rPr>
          <w:rFonts w:asciiTheme="majorHAnsi" w:hAnsiTheme="majorHAnsi" w:cs="Times New Roman"/>
          <w:color w:val="auto"/>
          <w:sz w:val="20"/>
          <w:szCs w:val="20"/>
          <w:lang w:val="tr-TR"/>
        </w:rPr>
        <w:t>octoral dissertation, The Pennsylvania State University.</w:t>
      </w:r>
    </w:p>
    <w:p w:rsidR="00993FFF" w:rsidRPr="00D52F0C" w:rsidRDefault="00993FFF" w:rsidP="00C01287">
      <w:pPr>
        <w:autoSpaceDE w:val="0"/>
        <w:autoSpaceDN w:val="0"/>
        <w:adjustRightInd w:val="0"/>
        <w:spacing w:before="120" w:after="0" w:line="60" w:lineRule="atLeast"/>
        <w:ind w:left="426" w:hanging="426"/>
        <w:jc w:val="both"/>
        <w:rPr>
          <w:rFonts w:asciiTheme="majorHAnsi" w:eastAsia="TimesNewRoman" w:hAnsiTheme="majorHAnsi" w:cs="Times New Roman"/>
          <w:color w:val="auto"/>
          <w:sz w:val="20"/>
          <w:szCs w:val="20"/>
          <w:lang w:val="tr-TR"/>
        </w:rPr>
      </w:pPr>
      <w:r w:rsidRPr="00D52F0C">
        <w:rPr>
          <w:rFonts w:asciiTheme="majorHAnsi" w:eastAsia="TimesNewRoman" w:hAnsiTheme="majorHAnsi" w:cs="Times New Roman"/>
          <w:color w:val="auto"/>
          <w:sz w:val="20"/>
          <w:szCs w:val="20"/>
          <w:lang w:val="tr-TR"/>
        </w:rPr>
        <w:t xml:space="preserve">Bandura, A. (1997). </w:t>
      </w:r>
      <w:r w:rsidRPr="00D52F0C">
        <w:rPr>
          <w:rFonts w:asciiTheme="majorHAnsi" w:eastAsia="TimesNewRoman" w:hAnsiTheme="majorHAnsi" w:cs="Times New Roman"/>
          <w:i/>
          <w:color w:val="auto"/>
          <w:sz w:val="20"/>
          <w:szCs w:val="20"/>
          <w:lang w:val="tr-TR"/>
        </w:rPr>
        <w:t>Self-efficacy: The exercise of control</w:t>
      </w:r>
      <w:r w:rsidRPr="00D52F0C">
        <w:rPr>
          <w:rFonts w:asciiTheme="majorHAnsi" w:eastAsia="TimesNewRoman" w:hAnsiTheme="majorHAnsi" w:cs="Times New Roman"/>
          <w:color w:val="auto"/>
          <w:sz w:val="20"/>
          <w:szCs w:val="20"/>
          <w:lang w:val="tr-TR"/>
        </w:rPr>
        <w:t>. New York:W.H.Freeman.</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Bandura, A., Barbaranelli, C., Caprara, G. V., &amp; Pastorelli, C. (1996). Multifaceted impact of self</w:t>
      </w:r>
      <w:r w:rsidRPr="00D52F0C">
        <w:rPr>
          <w:rFonts w:asciiTheme="majorHAnsi" w:hAnsiTheme="majorHAnsi" w:cs="Cambria Math"/>
          <w:color w:val="auto"/>
          <w:sz w:val="20"/>
          <w:szCs w:val="20"/>
          <w:lang w:val="tr-TR"/>
        </w:rPr>
        <w:t>‐</w:t>
      </w:r>
      <w:r w:rsidRPr="00D52F0C">
        <w:rPr>
          <w:rFonts w:asciiTheme="majorHAnsi" w:hAnsiTheme="majorHAnsi" w:cs="Times New Roman"/>
          <w:color w:val="auto"/>
          <w:sz w:val="20"/>
          <w:szCs w:val="20"/>
          <w:lang w:val="tr-TR"/>
        </w:rPr>
        <w:t>efficacy beliefs on academic functioning. </w:t>
      </w:r>
      <w:r w:rsidRPr="00D52F0C">
        <w:rPr>
          <w:rFonts w:asciiTheme="majorHAnsi" w:hAnsiTheme="majorHAnsi" w:cs="Times New Roman"/>
          <w:i/>
          <w:iCs/>
          <w:color w:val="auto"/>
          <w:sz w:val="20"/>
          <w:szCs w:val="20"/>
          <w:lang w:val="tr-TR"/>
        </w:rPr>
        <w:t>Child Development</w:t>
      </w:r>
      <w:r w:rsidRPr="00D52F0C">
        <w:rPr>
          <w:rFonts w:asciiTheme="majorHAnsi" w:hAnsiTheme="majorHAnsi" w:cs="Times New Roman"/>
          <w:color w:val="auto"/>
          <w:sz w:val="20"/>
          <w:szCs w:val="20"/>
          <w:lang w:val="tr-TR"/>
        </w:rPr>
        <w:t>, </w:t>
      </w:r>
      <w:r w:rsidRPr="00D52F0C">
        <w:rPr>
          <w:rFonts w:asciiTheme="majorHAnsi" w:hAnsiTheme="majorHAnsi" w:cs="Times New Roman"/>
          <w:i/>
          <w:iCs/>
          <w:color w:val="auto"/>
          <w:sz w:val="20"/>
          <w:szCs w:val="20"/>
          <w:lang w:val="tr-TR"/>
        </w:rPr>
        <w:t>67</w:t>
      </w:r>
      <w:r w:rsidRPr="00D52F0C">
        <w:rPr>
          <w:rFonts w:asciiTheme="majorHAnsi" w:hAnsiTheme="majorHAnsi" w:cs="Times New Roman"/>
          <w:color w:val="auto"/>
          <w:sz w:val="20"/>
          <w:szCs w:val="20"/>
          <w:lang w:val="tr-TR"/>
        </w:rPr>
        <w:t>(3), 1206-1222.</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Bearden, W. O., Hardesty, D.M, &amp; Rose, R.L. (2001). Consumer self-confidence: Refinements in conceptualization and measurement</w:t>
      </w:r>
      <w:r w:rsidRPr="00D52F0C">
        <w:rPr>
          <w:rFonts w:asciiTheme="majorHAnsi" w:hAnsiTheme="majorHAnsi" w:cs="Times New Roman"/>
          <w:i/>
          <w:color w:val="auto"/>
          <w:sz w:val="20"/>
          <w:szCs w:val="20"/>
          <w:lang w:val="tr-TR"/>
        </w:rPr>
        <w:t>. Journal of Consumer Research, 28</w:t>
      </w:r>
      <w:r w:rsidRPr="00D52F0C">
        <w:rPr>
          <w:rFonts w:asciiTheme="majorHAnsi" w:hAnsiTheme="majorHAnsi" w:cs="Times New Roman"/>
          <w:color w:val="auto"/>
          <w:sz w:val="20"/>
          <w:szCs w:val="20"/>
          <w:lang w:val="tr-TR"/>
        </w:rPr>
        <w:t>, 121–34.</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Bourke, S. &amp; Frampton, J. (1992, November). </w:t>
      </w:r>
      <w:r w:rsidRPr="00D52F0C">
        <w:rPr>
          <w:rFonts w:asciiTheme="majorHAnsi" w:hAnsiTheme="majorHAnsi" w:cs="Times New Roman"/>
          <w:i/>
          <w:iCs/>
          <w:color w:val="auto"/>
          <w:sz w:val="20"/>
          <w:szCs w:val="20"/>
          <w:lang w:val="tr-TR"/>
        </w:rPr>
        <w:t xml:space="preserve">Assessing the quality of school life: Some technical considerations. </w:t>
      </w:r>
      <w:r w:rsidRPr="00D52F0C">
        <w:rPr>
          <w:rFonts w:asciiTheme="majorHAnsi" w:hAnsiTheme="majorHAnsi" w:cs="Times New Roman"/>
          <w:color w:val="auto"/>
          <w:sz w:val="20"/>
          <w:szCs w:val="20"/>
          <w:lang w:val="tr-TR"/>
        </w:rPr>
        <w:t xml:space="preserve">Paper presented at the Annual Conference of the AARE, Deakin University, Geelong, Australia.. </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Chen, F.F. (2007). Sensitivity of goodness of fit ındexes to lack of measurement invariance. </w:t>
      </w:r>
      <w:r w:rsidRPr="00D52F0C">
        <w:rPr>
          <w:rFonts w:asciiTheme="majorHAnsi" w:hAnsiTheme="majorHAnsi" w:cs="Times New Roman"/>
          <w:i/>
          <w:color w:val="auto"/>
          <w:sz w:val="20"/>
          <w:szCs w:val="20"/>
          <w:lang w:val="tr-TR"/>
        </w:rPr>
        <w:t>Structural Equation Modeling, 14(3),</w:t>
      </w:r>
      <w:r w:rsidRPr="00D52F0C">
        <w:rPr>
          <w:rFonts w:asciiTheme="majorHAnsi" w:hAnsiTheme="majorHAnsi" w:cs="Times New Roman"/>
          <w:color w:val="auto"/>
          <w:sz w:val="20"/>
          <w:szCs w:val="20"/>
          <w:lang w:val="tr-TR"/>
        </w:rPr>
        <w:t xml:space="preserve"> 464-504.</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Cheung, G. W., &amp; Rensvold, R. B. (2002). Evaluating goodness-of-fit indexes for testing measurement invariance. </w:t>
      </w:r>
      <w:r w:rsidRPr="00D52F0C">
        <w:rPr>
          <w:rFonts w:asciiTheme="majorHAnsi" w:hAnsiTheme="majorHAnsi" w:cs="Times New Roman"/>
          <w:i/>
          <w:iCs/>
          <w:color w:val="auto"/>
          <w:sz w:val="20"/>
          <w:szCs w:val="20"/>
          <w:lang w:val="tr-TR"/>
        </w:rPr>
        <w:t>Structural Equation Modeling, 9</w:t>
      </w:r>
      <w:r w:rsidRPr="00D52F0C">
        <w:rPr>
          <w:rFonts w:asciiTheme="majorHAnsi" w:hAnsiTheme="majorHAnsi" w:cs="Times New Roman"/>
          <w:color w:val="auto"/>
          <w:sz w:val="20"/>
          <w:szCs w:val="20"/>
          <w:lang w:val="tr-TR"/>
        </w:rPr>
        <w:t>(2), 233-255.</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lastRenderedPageBreak/>
        <w:t>Christenson, S. L., Reschly, A. L., &amp; Wylie, C. (Eds.). (2012).</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Handbook of research on student engagement</w:t>
      </w:r>
      <w:r w:rsidRPr="00D52F0C">
        <w:rPr>
          <w:rFonts w:asciiTheme="majorHAnsi" w:hAnsiTheme="majorHAnsi" w:cs="Times New Roman"/>
          <w:color w:val="auto"/>
          <w:sz w:val="20"/>
          <w:szCs w:val="20"/>
          <w:shd w:val="clear" w:color="auto" w:fill="FFFFFF"/>
          <w:lang w:val="tr-TR"/>
        </w:rPr>
        <w:t>. Springer Science &amp; Business Media.</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Connell, J. P. (1990). Context, self, and action: A motivational analysis of self-system processes across the life span. </w:t>
      </w:r>
      <w:r w:rsidRPr="00D52F0C">
        <w:rPr>
          <w:rFonts w:asciiTheme="majorHAnsi" w:hAnsiTheme="majorHAnsi" w:cs="Times New Roman"/>
          <w:i/>
          <w:iCs/>
          <w:color w:val="auto"/>
          <w:sz w:val="20"/>
          <w:szCs w:val="20"/>
          <w:lang w:val="tr-TR"/>
        </w:rPr>
        <w:t>The self in transition: Infancy to childhood</w:t>
      </w:r>
      <w:r w:rsidRPr="00D52F0C">
        <w:rPr>
          <w:rFonts w:asciiTheme="majorHAnsi" w:hAnsiTheme="majorHAnsi" w:cs="Times New Roman"/>
          <w:color w:val="auto"/>
          <w:sz w:val="20"/>
          <w:szCs w:val="20"/>
          <w:lang w:val="tr-TR"/>
        </w:rPr>
        <w:t>, 61-97.</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Connell, J. P., &amp; Wellborn, J. G. (1991). Competence, autonomy, and relatedness: A motivational analysis of self-system processes. In M. R. Gunnar &amp; L. A. Sroufe (Eds.), </w:t>
      </w:r>
      <w:r w:rsidRPr="00D52F0C">
        <w:rPr>
          <w:rFonts w:asciiTheme="majorHAnsi" w:hAnsiTheme="majorHAnsi" w:cs="Times New Roman"/>
          <w:i/>
          <w:color w:val="auto"/>
          <w:sz w:val="20"/>
          <w:szCs w:val="20"/>
          <w:lang w:val="tr-TR"/>
        </w:rPr>
        <w:t>Self-processes and development</w:t>
      </w:r>
      <w:r w:rsidRPr="00D52F0C">
        <w:rPr>
          <w:rFonts w:asciiTheme="majorHAnsi" w:hAnsiTheme="majorHAnsi" w:cs="Times New Roman"/>
          <w:color w:val="auto"/>
          <w:sz w:val="20"/>
          <w:szCs w:val="20"/>
          <w:lang w:val="tr-TR"/>
        </w:rPr>
        <w:t xml:space="preserve"> (pp. 43-77). Hillsdale, NJ: Lawrence Erlbaum.</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t>Dogan, U. (2014). Validity and Reliability of Student Engagement Scale.</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Bartin Üniversitesi Egitim Fakültesi Dergisi</w:t>
      </w:r>
      <w:r w:rsidRPr="00D52F0C">
        <w:rPr>
          <w:rFonts w:asciiTheme="majorHAnsi" w:hAnsiTheme="majorHAnsi" w:cs="Times New Roman"/>
          <w:color w:val="auto"/>
          <w:sz w:val="20"/>
          <w:szCs w:val="20"/>
          <w:shd w:val="clear" w:color="auto" w:fill="FFFFFF"/>
          <w:lang w:val="tr-TR"/>
        </w:rPr>
        <w: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3</w:t>
      </w:r>
      <w:r w:rsidRPr="00D52F0C">
        <w:rPr>
          <w:rFonts w:asciiTheme="majorHAnsi" w:hAnsiTheme="majorHAnsi" w:cs="Times New Roman"/>
          <w:color w:val="auto"/>
          <w:sz w:val="20"/>
          <w:szCs w:val="20"/>
          <w:shd w:val="clear" w:color="auto" w:fill="FFFFFF"/>
          <w:lang w:val="tr-TR"/>
        </w:rPr>
        <w:t>(2), 390.</w:t>
      </w:r>
    </w:p>
    <w:p w:rsidR="00993FFF" w:rsidRPr="00D52F0C" w:rsidRDefault="00993FFF" w:rsidP="00C01287">
      <w:pPr>
        <w:pStyle w:val="Articles"/>
        <w:spacing w:before="120" w:after="0" w:line="60" w:lineRule="atLeast"/>
        <w:ind w:left="426" w:hanging="426"/>
        <w:jc w:val="both"/>
        <w:rPr>
          <w:rFonts w:asciiTheme="majorHAnsi" w:hAnsiTheme="majorHAnsi"/>
          <w:color w:val="auto"/>
          <w:lang w:val="tr-TR"/>
        </w:rPr>
      </w:pPr>
      <w:r w:rsidRPr="00D52F0C">
        <w:rPr>
          <w:rFonts w:asciiTheme="majorHAnsi" w:hAnsiTheme="majorHAnsi"/>
          <w:color w:val="auto"/>
          <w:lang w:val="tr-TR"/>
        </w:rPr>
        <w:t>Dunleavy, J., &amp; Milton, P. (2008). Student Engagement for Effective Teaching and Deep Learning. </w:t>
      </w:r>
      <w:r w:rsidRPr="00D52F0C">
        <w:rPr>
          <w:rFonts w:asciiTheme="majorHAnsi" w:hAnsiTheme="majorHAnsi"/>
          <w:i/>
          <w:iCs/>
          <w:color w:val="auto"/>
          <w:lang w:val="tr-TR"/>
        </w:rPr>
        <w:t>Education Canada</w:t>
      </w:r>
      <w:r w:rsidRPr="00D52F0C">
        <w:rPr>
          <w:rFonts w:asciiTheme="majorHAnsi" w:hAnsiTheme="majorHAnsi"/>
          <w:color w:val="auto"/>
          <w:lang w:val="tr-TR"/>
        </w:rPr>
        <w:t>, </w:t>
      </w:r>
      <w:r w:rsidRPr="00D52F0C">
        <w:rPr>
          <w:rFonts w:asciiTheme="majorHAnsi" w:hAnsiTheme="majorHAnsi"/>
          <w:i/>
          <w:iCs/>
          <w:color w:val="auto"/>
          <w:lang w:val="tr-TR"/>
        </w:rPr>
        <w:t>48</w:t>
      </w:r>
      <w:r w:rsidRPr="00D52F0C">
        <w:rPr>
          <w:rFonts w:asciiTheme="majorHAnsi" w:hAnsiTheme="majorHAnsi"/>
          <w:color w:val="auto"/>
          <w:lang w:val="tr-TR"/>
        </w:rPr>
        <w:t>(5), 4-8.</w:t>
      </w:r>
    </w:p>
    <w:p w:rsidR="00993FFF" w:rsidRPr="00D52F0C" w:rsidRDefault="00993FFF" w:rsidP="00C01287">
      <w:pPr>
        <w:spacing w:before="120" w:after="0" w:line="60" w:lineRule="atLeast"/>
        <w:ind w:left="426" w:hanging="426"/>
        <w:jc w:val="both"/>
        <w:rPr>
          <w:rFonts w:asciiTheme="majorHAnsi" w:eastAsia="TimesNewRoman" w:hAnsiTheme="majorHAnsi" w:cs="Times New Roman"/>
          <w:iCs/>
          <w:color w:val="auto"/>
          <w:sz w:val="20"/>
          <w:szCs w:val="20"/>
          <w:lang w:val="tr-TR"/>
        </w:rPr>
      </w:pPr>
      <w:r w:rsidRPr="00D52F0C">
        <w:rPr>
          <w:rFonts w:asciiTheme="majorHAnsi" w:eastAsia="TimesNewRoman" w:hAnsiTheme="majorHAnsi" w:cs="Times New Roman"/>
          <w:color w:val="auto"/>
          <w:sz w:val="20"/>
          <w:szCs w:val="20"/>
          <w:lang w:val="tr-TR"/>
        </w:rPr>
        <w:t>Farmer-Dougan, V., &amp; McKinney, K. (2001). Examining student engagement at Illinois State University: An exploratory investigation. </w:t>
      </w:r>
      <w:r w:rsidRPr="00D52F0C">
        <w:rPr>
          <w:rFonts w:asciiTheme="majorHAnsi" w:eastAsia="TimesNewRoman" w:hAnsiTheme="majorHAnsi" w:cs="Times New Roman"/>
          <w:i/>
          <w:iCs/>
          <w:color w:val="auto"/>
          <w:sz w:val="20"/>
          <w:szCs w:val="20"/>
          <w:lang w:val="tr-TR"/>
        </w:rPr>
        <w:t xml:space="preserve">Center for Teaching, Learning &amp; Technology. </w:t>
      </w:r>
      <w:r w:rsidRPr="00D52F0C">
        <w:rPr>
          <w:rFonts w:asciiTheme="majorHAnsi" w:eastAsia="TimesNewRoman" w:hAnsiTheme="majorHAnsi" w:cs="Times New Roman"/>
          <w:iCs/>
          <w:color w:val="auto"/>
          <w:sz w:val="20"/>
          <w:szCs w:val="20"/>
          <w:lang w:val="tr-TR"/>
        </w:rPr>
        <w:t>Illinois State University</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Finn, J. D. (1989). Withdrawing from school. </w:t>
      </w:r>
      <w:r w:rsidRPr="00D52F0C">
        <w:rPr>
          <w:rFonts w:asciiTheme="majorHAnsi" w:hAnsiTheme="majorHAnsi" w:cs="Times New Roman"/>
          <w:i/>
          <w:iCs/>
          <w:color w:val="auto"/>
          <w:sz w:val="20"/>
          <w:szCs w:val="20"/>
          <w:lang w:val="tr-TR"/>
        </w:rPr>
        <w:t>Review of Educational Research</w:t>
      </w:r>
      <w:r w:rsidRPr="00D52F0C">
        <w:rPr>
          <w:rFonts w:asciiTheme="majorHAnsi" w:hAnsiTheme="majorHAnsi" w:cs="Times New Roman"/>
          <w:color w:val="auto"/>
          <w:sz w:val="20"/>
          <w:szCs w:val="20"/>
          <w:lang w:val="tr-TR"/>
        </w:rPr>
        <w:t>,</w:t>
      </w:r>
      <w:r w:rsidRPr="00D52F0C">
        <w:rPr>
          <w:rFonts w:asciiTheme="majorHAnsi" w:hAnsiTheme="majorHAnsi" w:cs="Times New Roman"/>
          <w:i/>
          <w:iCs/>
          <w:color w:val="auto"/>
          <w:sz w:val="20"/>
          <w:szCs w:val="20"/>
          <w:lang w:val="tr-TR"/>
        </w:rPr>
        <w:t xml:space="preserve"> 59</w:t>
      </w:r>
      <w:r w:rsidRPr="00D52F0C">
        <w:rPr>
          <w:rFonts w:asciiTheme="majorHAnsi" w:hAnsiTheme="majorHAnsi" w:cs="Times New Roman"/>
          <w:color w:val="auto"/>
          <w:sz w:val="20"/>
          <w:szCs w:val="20"/>
          <w:lang w:val="tr-TR"/>
        </w:rPr>
        <w:t>(2), 117-142.</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bCs/>
          <w:color w:val="auto"/>
          <w:sz w:val="20"/>
          <w:szCs w:val="20"/>
          <w:lang w:val="tr-TR"/>
        </w:rPr>
      </w:pPr>
      <w:r w:rsidRPr="00D52F0C">
        <w:rPr>
          <w:rFonts w:asciiTheme="majorHAnsi" w:hAnsiTheme="majorHAnsi" w:cs="Times New Roman"/>
          <w:color w:val="auto"/>
          <w:sz w:val="20"/>
          <w:szCs w:val="20"/>
          <w:lang w:val="tr-TR"/>
        </w:rPr>
        <w:t xml:space="preserve">Fredericks, J. A., Blumenfeld, P. C., &amp; Paris, A. H. (2004). School engagement: Potential of the concept, state of the evidence. </w:t>
      </w:r>
      <w:r w:rsidRPr="00D52F0C">
        <w:rPr>
          <w:rFonts w:asciiTheme="majorHAnsi" w:hAnsiTheme="majorHAnsi" w:cs="Times New Roman"/>
          <w:i/>
          <w:color w:val="auto"/>
          <w:sz w:val="20"/>
          <w:szCs w:val="20"/>
          <w:lang w:val="tr-TR"/>
        </w:rPr>
        <w:t>Review of Educational Research</w:t>
      </w:r>
      <w:r w:rsidRPr="00D52F0C">
        <w:rPr>
          <w:rFonts w:asciiTheme="majorHAnsi" w:hAnsiTheme="majorHAnsi" w:cs="Times New Roman"/>
          <w:color w:val="auto"/>
          <w:sz w:val="20"/>
          <w:szCs w:val="20"/>
          <w:lang w:val="tr-TR"/>
        </w:rPr>
        <w:t xml:space="preserve">, </w:t>
      </w:r>
      <w:r w:rsidRPr="00D52F0C">
        <w:rPr>
          <w:rFonts w:asciiTheme="majorHAnsi" w:hAnsiTheme="majorHAnsi" w:cs="Times New Roman"/>
          <w:i/>
          <w:color w:val="auto"/>
          <w:sz w:val="20"/>
          <w:szCs w:val="20"/>
          <w:lang w:val="tr-TR"/>
        </w:rPr>
        <w:t>74</w:t>
      </w:r>
      <w:r w:rsidRPr="00D52F0C">
        <w:rPr>
          <w:rFonts w:asciiTheme="majorHAnsi" w:hAnsiTheme="majorHAnsi" w:cs="Times New Roman"/>
          <w:color w:val="auto"/>
          <w:sz w:val="20"/>
          <w:szCs w:val="20"/>
          <w:lang w:val="tr-TR"/>
        </w:rPr>
        <w:t>, 59-109.</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t>Fredricks, J. A., &amp; McColskey, W. (2012). The measurement of student engagement: A comparative analysis of various methods and student self-report instruments. In</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Handbook of research on student engagement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color w:val="auto"/>
          <w:sz w:val="20"/>
          <w:szCs w:val="20"/>
          <w:shd w:val="clear" w:color="auto" w:fill="FFFFFF"/>
          <w:lang w:val="tr-TR"/>
        </w:rPr>
        <w:t>(pp. 763-782). Springer US.</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Fredricks, J. A., Blumenfeld, P. C., Friedel, J., &amp; Paris, A. (2005). School engagement. In K. A. Moore &amp; L. Lippman (Eds.), c</w:t>
      </w:r>
      <w:r w:rsidRPr="00D52F0C">
        <w:rPr>
          <w:rFonts w:asciiTheme="majorHAnsi" w:hAnsiTheme="majorHAnsi" w:cs="Times New Roman"/>
          <w:i/>
          <w:iCs/>
          <w:color w:val="auto"/>
          <w:sz w:val="20"/>
          <w:szCs w:val="20"/>
          <w:lang w:val="tr-TR"/>
        </w:rPr>
        <w:t xml:space="preserve">onceptualizing and measuring indicators of positive development: What do children need to flourish </w:t>
      </w:r>
      <w:r w:rsidRPr="00D52F0C">
        <w:rPr>
          <w:rFonts w:asciiTheme="majorHAnsi" w:hAnsiTheme="majorHAnsi" w:cs="Times New Roman"/>
          <w:color w:val="auto"/>
          <w:sz w:val="20"/>
          <w:szCs w:val="20"/>
          <w:lang w:val="tr-TR"/>
        </w:rPr>
        <w:t>(pp. 305–321). New York: Kluwer Academic/Plenum Press</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t>Fredricks, J., McColskey, W., Meli, J., Mordica, J., Montrosse, B., &amp; Mooney, K. (2011). Measuring Student Engagement in Upper Elementary through High School: A Description of 21 Instruments. Issues &amp; Answers. REL 2011-No. 098.</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Regional Educational Laboratory Southeast</w:t>
      </w:r>
      <w:r w:rsidRPr="00D52F0C">
        <w:rPr>
          <w:rFonts w:asciiTheme="majorHAnsi" w:hAnsiTheme="majorHAnsi" w:cs="Times New Roman"/>
          <w:color w:val="auto"/>
          <w:sz w:val="20"/>
          <w:szCs w:val="20"/>
          <w:shd w:val="clear" w:color="auto" w:fill="FFFFFF"/>
          <w:lang w:val="tr-TR"/>
        </w:rPr>
        <w:t>.</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shd w:val="clear" w:color="auto" w:fill="FFFFFF"/>
          <w:lang w:val="tr-TR"/>
        </w:rPr>
        <w:t>Furrer, C., &amp; Skinner, E. (2003). Sense of relatedness as a factor in children's academic engagement and performance.</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Journal of educational psychology</w:t>
      </w:r>
      <w:r w:rsidRPr="00D52F0C">
        <w:rPr>
          <w:rFonts w:asciiTheme="majorHAnsi" w:hAnsiTheme="majorHAnsi" w:cs="Times New Roman"/>
          <w:color w:val="auto"/>
          <w:sz w:val="20"/>
          <w:szCs w:val="20"/>
          <w:shd w:val="clear" w:color="auto" w:fill="FFFFFF"/>
          <w:lang w:val="tr-TR"/>
        </w:rPr>
        <w:t>,</w:t>
      </w:r>
      <w:r w:rsidRPr="00D52F0C">
        <w:rPr>
          <w:rFonts w:asciiTheme="majorHAnsi" w:hAnsiTheme="majorHAnsi" w:cs="Times New Roman"/>
          <w:i/>
          <w:iCs/>
          <w:color w:val="auto"/>
          <w:sz w:val="20"/>
          <w:szCs w:val="20"/>
          <w:shd w:val="clear" w:color="auto" w:fill="FFFFFF"/>
          <w:lang w:val="tr-TR"/>
        </w:rPr>
        <w:t>95</w:t>
      </w:r>
      <w:r w:rsidRPr="00D52F0C">
        <w:rPr>
          <w:rFonts w:asciiTheme="majorHAnsi" w:hAnsiTheme="majorHAnsi" w:cs="Times New Roman"/>
          <w:color w:val="auto"/>
          <w:sz w:val="20"/>
          <w:szCs w:val="20"/>
          <w:shd w:val="clear" w:color="auto" w:fill="FFFFFF"/>
          <w:lang w:val="tr-TR"/>
        </w:rPr>
        <w:t>(1), 148.</w:t>
      </w:r>
    </w:p>
    <w:p w:rsidR="00993FFF" w:rsidRPr="00D52F0C" w:rsidRDefault="00993FFF" w:rsidP="00C01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eastAsia="Times New Roman" w:hAnsiTheme="majorHAnsi" w:cs="Times New Roman"/>
          <w:color w:val="auto"/>
          <w:sz w:val="20"/>
          <w:szCs w:val="20"/>
          <w:highlight w:val="white"/>
          <w:lang w:val="tr-TR"/>
        </w:rPr>
        <w:t xml:space="preserve">Goetz, T., Frenzel, A. C., Pekrun, R., Hall, N. C., &amp; Lüdtke, O. (2007). Between-and within-domain relations of students' academic emotions. </w:t>
      </w:r>
      <w:r w:rsidRPr="00D52F0C">
        <w:rPr>
          <w:rFonts w:asciiTheme="majorHAnsi" w:eastAsia="Times New Roman" w:hAnsiTheme="majorHAnsi" w:cs="Times New Roman"/>
          <w:i/>
          <w:color w:val="auto"/>
          <w:sz w:val="20"/>
          <w:szCs w:val="20"/>
          <w:highlight w:val="white"/>
          <w:lang w:val="tr-TR"/>
        </w:rPr>
        <w:t>Journal of Educational Psychology</w:t>
      </w:r>
      <w:r w:rsidRPr="00D52F0C">
        <w:rPr>
          <w:rFonts w:asciiTheme="majorHAnsi" w:eastAsia="Times New Roman" w:hAnsiTheme="majorHAnsi" w:cs="Times New Roman"/>
          <w:color w:val="auto"/>
          <w:sz w:val="20"/>
          <w:szCs w:val="20"/>
          <w:highlight w:val="white"/>
          <w:lang w:val="tr-TR"/>
        </w:rPr>
        <w:t xml:space="preserve">, </w:t>
      </w:r>
      <w:r w:rsidRPr="00D52F0C">
        <w:rPr>
          <w:rFonts w:asciiTheme="majorHAnsi" w:eastAsia="Times New Roman" w:hAnsiTheme="majorHAnsi" w:cs="Times New Roman"/>
          <w:i/>
          <w:color w:val="auto"/>
          <w:sz w:val="20"/>
          <w:szCs w:val="20"/>
          <w:highlight w:val="white"/>
          <w:lang w:val="tr-TR"/>
        </w:rPr>
        <w:t>99</w:t>
      </w:r>
      <w:r w:rsidRPr="00D52F0C">
        <w:rPr>
          <w:rFonts w:asciiTheme="majorHAnsi" w:eastAsia="Times New Roman" w:hAnsiTheme="majorHAnsi" w:cs="Times New Roman"/>
          <w:color w:val="auto"/>
          <w:sz w:val="20"/>
          <w:szCs w:val="20"/>
          <w:highlight w:val="white"/>
          <w:lang w:val="tr-TR"/>
        </w:rPr>
        <w:t>(4), 715.</w:t>
      </w:r>
    </w:p>
    <w:p w:rsidR="00993FFF" w:rsidRPr="00D52F0C" w:rsidRDefault="00993FFF" w:rsidP="00C01287">
      <w:pPr>
        <w:spacing w:before="120" w:after="0" w:line="60" w:lineRule="atLeast"/>
        <w:ind w:left="426" w:hanging="426"/>
        <w:jc w:val="both"/>
        <w:rPr>
          <w:rStyle w:val="ft"/>
          <w:rFonts w:asciiTheme="majorHAnsi" w:hAnsiTheme="majorHAnsi"/>
          <w:sz w:val="20"/>
          <w:szCs w:val="20"/>
        </w:rPr>
      </w:pPr>
      <w:r w:rsidRPr="00D52F0C">
        <w:rPr>
          <w:rStyle w:val="ft"/>
          <w:rFonts w:asciiTheme="majorHAnsi" w:hAnsiTheme="majorHAnsi" w:cs="Times New Roman"/>
          <w:color w:val="auto"/>
          <w:sz w:val="20"/>
          <w:szCs w:val="20"/>
          <w:lang w:val="tr-TR"/>
        </w:rPr>
        <w:t xml:space="preserve">Graham, J. M., Guthrie, A. C., &amp; Thompson, B. (2003). Consequences of not interpreting structure coefficients in published CFA research: A reminder. </w:t>
      </w:r>
      <w:r w:rsidRPr="00D52F0C">
        <w:rPr>
          <w:rStyle w:val="ft"/>
          <w:rFonts w:asciiTheme="majorHAnsi" w:hAnsiTheme="majorHAnsi" w:cs="Times New Roman"/>
          <w:i/>
          <w:color w:val="auto"/>
          <w:sz w:val="20"/>
          <w:szCs w:val="20"/>
          <w:lang w:val="tr-TR"/>
        </w:rPr>
        <w:t xml:space="preserve">Structural Equation Modeling, 10, </w:t>
      </w:r>
      <w:r w:rsidRPr="00D52F0C">
        <w:rPr>
          <w:rStyle w:val="ft"/>
          <w:rFonts w:asciiTheme="majorHAnsi" w:hAnsiTheme="majorHAnsi" w:cs="Times New Roman"/>
          <w:color w:val="auto"/>
          <w:sz w:val="20"/>
          <w:szCs w:val="20"/>
          <w:lang w:val="tr-TR"/>
        </w:rPr>
        <w:t>142-153.</w:t>
      </w:r>
    </w:p>
    <w:p w:rsidR="00993FFF" w:rsidRPr="00D52F0C" w:rsidRDefault="00993FFF" w:rsidP="00C01287">
      <w:pPr>
        <w:spacing w:before="120" w:after="0" w:line="60" w:lineRule="atLeast"/>
        <w:ind w:left="426" w:hanging="426"/>
        <w:jc w:val="both"/>
        <w:rPr>
          <w:rFonts w:asciiTheme="majorHAnsi" w:hAnsiTheme="majorHAnsi"/>
          <w:sz w:val="20"/>
          <w:szCs w:val="20"/>
          <w:shd w:val="clear" w:color="auto" w:fill="FFFFFF"/>
        </w:rPr>
      </w:pPr>
      <w:r w:rsidRPr="00D52F0C">
        <w:rPr>
          <w:rFonts w:asciiTheme="majorHAnsi" w:hAnsiTheme="majorHAnsi" w:cs="Times New Roman"/>
          <w:color w:val="auto"/>
          <w:sz w:val="20"/>
          <w:szCs w:val="20"/>
          <w:shd w:val="clear" w:color="auto" w:fill="FFFFFF"/>
          <w:lang w:val="tr-TR"/>
        </w:rPr>
        <w:t>Green, J., Martin, A. J., &amp; Marsh, H. W. (2007). Motivation and engagement in English, mathematics and science high school subjects: Towards an understanding of multidimensional domain specificity.</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Learning and Individual Differences</w:t>
      </w:r>
      <w:r w:rsidRPr="00D52F0C">
        <w:rPr>
          <w:rFonts w:asciiTheme="majorHAnsi" w:hAnsiTheme="majorHAnsi" w:cs="Times New Roman"/>
          <w:color w:val="auto"/>
          <w:sz w:val="20"/>
          <w:szCs w:val="20"/>
          <w:shd w:val="clear" w:color="auto" w:fill="FFFFFF"/>
          <w:lang w:val="tr-TR"/>
        </w:rPr>
        <w: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17</w:t>
      </w:r>
      <w:r w:rsidRPr="00D52F0C">
        <w:rPr>
          <w:rFonts w:asciiTheme="majorHAnsi" w:hAnsiTheme="majorHAnsi" w:cs="Times New Roman"/>
          <w:color w:val="auto"/>
          <w:sz w:val="20"/>
          <w:szCs w:val="20"/>
          <w:shd w:val="clear" w:color="auto" w:fill="FFFFFF"/>
          <w:lang w:val="tr-TR"/>
        </w:rPr>
        <w:t>(3), 269-279.</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Greene, B. A., &amp; Miller, R. B. (1996). Influences on achievement: Goals, perceived ability, and cognitive engagement. </w:t>
      </w:r>
      <w:r w:rsidRPr="00D52F0C">
        <w:rPr>
          <w:rFonts w:asciiTheme="majorHAnsi" w:hAnsiTheme="majorHAnsi" w:cs="Times New Roman"/>
          <w:i/>
          <w:iCs/>
          <w:color w:val="auto"/>
          <w:sz w:val="20"/>
          <w:szCs w:val="20"/>
          <w:lang w:val="tr-TR"/>
        </w:rPr>
        <w:t>Contemporary Educational Psychology</w:t>
      </w:r>
      <w:r w:rsidRPr="00D52F0C">
        <w:rPr>
          <w:rFonts w:asciiTheme="majorHAnsi" w:hAnsiTheme="majorHAnsi" w:cs="Times New Roman"/>
          <w:color w:val="auto"/>
          <w:sz w:val="20"/>
          <w:szCs w:val="20"/>
          <w:lang w:val="tr-TR"/>
        </w:rPr>
        <w:t>, </w:t>
      </w:r>
      <w:r w:rsidRPr="00D52F0C">
        <w:rPr>
          <w:rFonts w:asciiTheme="majorHAnsi" w:hAnsiTheme="majorHAnsi" w:cs="Times New Roman"/>
          <w:i/>
          <w:iCs/>
          <w:color w:val="auto"/>
          <w:sz w:val="20"/>
          <w:szCs w:val="20"/>
          <w:lang w:val="tr-TR"/>
        </w:rPr>
        <w:t>21</w:t>
      </w:r>
      <w:r w:rsidRPr="00D52F0C">
        <w:rPr>
          <w:rFonts w:asciiTheme="majorHAnsi" w:hAnsiTheme="majorHAnsi" w:cs="Times New Roman"/>
          <w:color w:val="auto"/>
          <w:sz w:val="20"/>
          <w:szCs w:val="20"/>
          <w:lang w:val="tr-TR"/>
        </w:rPr>
        <w:t>(2), 181-192.</w:t>
      </w:r>
    </w:p>
    <w:p w:rsidR="00993FFF" w:rsidRPr="00D52F0C" w:rsidRDefault="00993FFF" w:rsidP="00C01287">
      <w:pPr>
        <w:spacing w:before="120" w:after="0" w:line="60" w:lineRule="atLeast"/>
        <w:ind w:left="426" w:hanging="426"/>
        <w:jc w:val="both"/>
        <w:rPr>
          <w:rFonts w:asciiTheme="majorHAnsi" w:hAnsiTheme="majorHAnsi"/>
          <w:sz w:val="20"/>
          <w:szCs w:val="20"/>
        </w:rPr>
      </w:pPr>
      <w:proofErr w:type="spellStart"/>
      <w:r w:rsidRPr="00D52F0C">
        <w:rPr>
          <w:rFonts w:asciiTheme="majorHAnsi" w:hAnsiTheme="majorHAnsi" w:cs="Arial"/>
          <w:color w:val="222222"/>
          <w:sz w:val="20"/>
          <w:szCs w:val="20"/>
          <w:shd w:val="clear" w:color="auto" w:fill="FFFFFF"/>
        </w:rPr>
        <w:t>Halpin</w:t>
      </w:r>
      <w:proofErr w:type="spellEnd"/>
      <w:r w:rsidRPr="00D52F0C">
        <w:rPr>
          <w:rFonts w:asciiTheme="majorHAnsi" w:hAnsiTheme="majorHAnsi" w:cs="Arial"/>
          <w:color w:val="222222"/>
          <w:sz w:val="20"/>
          <w:szCs w:val="20"/>
          <w:shd w:val="clear" w:color="auto" w:fill="FFFFFF"/>
        </w:rPr>
        <w:t xml:space="preserve">, G., </w:t>
      </w:r>
      <w:proofErr w:type="spellStart"/>
      <w:r w:rsidRPr="00D52F0C">
        <w:rPr>
          <w:rFonts w:asciiTheme="majorHAnsi" w:hAnsiTheme="majorHAnsi" w:cs="Arial"/>
          <w:color w:val="222222"/>
          <w:sz w:val="20"/>
          <w:szCs w:val="20"/>
          <w:shd w:val="clear" w:color="auto" w:fill="FFFFFF"/>
        </w:rPr>
        <w:t>Halpin</w:t>
      </w:r>
      <w:proofErr w:type="spellEnd"/>
      <w:r w:rsidRPr="00D52F0C">
        <w:rPr>
          <w:rFonts w:asciiTheme="majorHAnsi" w:hAnsiTheme="majorHAnsi" w:cs="Arial"/>
          <w:color w:val="222222"/>
          <w:sz w:val="20"/>
          <w:szCs w:val="20"/>
          <w:shd w:val="clear" w:color="auto" w:fill="FFFFFF"/>
        </w:rPr>
        <w:t xml:space="preserve">, G., &amp; </w:t>
      </w:r>
      <w:proofErr w:type="spellStart"/>
      <w:r w:rsidRPr="00D52F0C">
        <w:rPr>
          <w:rFonts w:asciiTheme="majorHAnsi" w:hAnsiTheme="majorHAnsi" w:cs="Arial"/>
          <w:color w:val="222222"/>
          <w:sz w:val="20"/>
          <w:szCs w:val="20"/>
          <w:shd w:val="clear" w:color="auto" w:fill="FFFFFF"/>
        </w:rPr>
        <w:t>Arbet</w:t>
      </w:r>
      <w:proofErr w:type="spellEnd"/>
      <w:r w:rsidRPr="00D52F0C">
        <w:rPr>
          <w:rFonts w:asciiTheme="majorHAnsi" w:hAnsiTheme="majorHAnsi" w:cs="Arial"/>
          <w:color w:val="222222"/>
          <w:sz w:val="20"/>
          <w:szCs w:val="20"/>
          <w:shd w:val="clear" w:color="auto" w:fill="FFFFFF"/>
        </w:rPr>
        <w:t>, S. (1994). Effects of number and type of response choices on internal consistency reliability.</w:t>
      </w:r>
      <w:r w:rsidRPr="00D52F0C">
        <w:rPr>
          <w:rStyle w:val="apple-converted-space"/>
          <w:rFonts w:asciiTheme="majorHAnsi" w:hAnsiTheme="majorHAnsi" w:cs="Arial"/>
          <w:color w:val="222222"/>
          <w:sz w:val="20"/>
          <w:szCs w:val="20"/>
          <w:shd w:val="clear" w:color="auto" w:fill="FFFFFF"/>
        </w:rPr>
        <w:t> </w:t>
      </w:r>
      <w:r w:rsidRPr="00D52F0C">
        <w:rPr>
          <w:rFonts w:asciiTheme="majorHAnsi" w:hAnsiTheme="majorHAnsi"/>
          <w:i/>
          <w:iCs/>
          <w:sz w:val="20"/>
          <w:szCs w:val="20"/>
        </w:rPr>
        <w:t>Perceptual and Motor Skills</w:t>
      </w:r>
      <w:r w:rsidRPr="00D52F0C">
        <w:rPr>
          <w:rFonts w:asciiTheme="majorHAnsi" w:hAnsiTheme="majorHAnsi"/>
          <w:sz w:val="20"/>
          <w:szCs w:val="20"/>
        </w:rPr>
        <w:t>,</w:t>
      </w:r>
      <w:r w:rsidRPr="00D52F0C">
        <w:rPr>
          <w:rStyle w:val="apple-converted-space"/>
          <w:rFonts w:asciiTheme="majorHAnsi" w:hAnsiTheme="majorHAnsi"/>
          <w:sz w:val="20"/>
          <w:szCs w:val="20"/>
        </w:rPr>
        <w:t> </w:t>
      </w:r>
      <w:r w:rsidRPr="00D52F0C">
        <w:rPr>
          <w:rFonts w:asciiTheme="majorHAnsi" w:hAnsiTheme="majorHAnsi"/>
          <w:i/>
          <w:iCs/>
          <w:sz w:val="20"/>
          <w:szCs w:val="20"/>
        </w:rPr>
        <w:t>79</w:t>
      </w:r>
      <w:r w:rsidRPr="00D52F0C">
        <w:rPr>
          <w:rFonts w:asciiTheme="majorHAnsi" w:hAnsiTheme="majorHAnsi"/>
          <w:sz w:val="20"/>
          <w:szCs w:val="20"/>
        </w:rPr>
        <w:t>(2), 928-930.</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Harter, S. P. (1992). Psychological relevance and information science. </w:t>
      </w:r>
      <w:r w:rsidRPr="00D52F0C">
        <w:rPr>
          <w:rFonts w:asciiTheme="majorHAnsi" w:hAnsiTheme="majorHAnsi" w:cs="Times New Roman"/>
          <w:i/>
          <w:iCs/>
          <w:color w:val="auto"/>
          <w:sz w:val="20"/>
          <w:szCs w:val="20"/>
          <w:lang w:val="tr-TR"/>
        </w:rPr>
        <w:t>Journal of the American Society for Information Science</w:t>
      </w:r>
      <w:r w:rsidRPr="00D52F0C">
        <w:rPr>
          <w:rFonts w:asciiTheme="majorHAnsi" w:hAnsiTheme="majorHAnsi" w:cs="Times New Roman"/>
          <w:color w:val="auto"/>
          <w:sz w:val="20"/>
          <w:szCs w:val="20"/>
          <w:lang w:val="tr-TR"/>
        </w:rPr>
        <w:t>, </w:t>
      </w:r>
      <w:r w:rsidRPr="00D52F0C">
        <w:rPr>
          <w:rFonts w:asciiTheme="majorHAnsi" w:hAnsiTheme="majorHAnsi" w:cs="Times New Roman"/>
          <w:i/>
          <w:iCs/>
          <w:color w:val="auto"/>
          <w:sz w:val="20"/>
          <w:szCs w:val="20"/>
          <w:lang w:val="tr-TR"/>
        </w:rPr>
        <w:t>43</w:t>
      </w:r>
      <w:r w:rsidRPr="00D52F0C">
        <w:rPr>
          <w:rFonts w:asciiTheme="majorHAnsi" w:hAnsiTheme="majorHAnsi" w:cs="Times New Roman"/>
          <w:color w:val="auto"/>
          <w:sz w:val="20"/>
          <w:szCs w:val="20"/>
          <w:lang w:val="tr-TR"/>
        </w:rPr>
        <w:t>(9), 602-615.</w:t>
      </w:r>
    </w:p>
    <w:p w:rsidR="00993FFF" w:rsidRPr="00D52F0C" w:rsidRDefault="00993FFF" w:rsidP="00C01287">
      <w:pPr>
        <w:spacing w:before="120" w:after="0" w:line="60" w:lineRule="atLeast"/>
        <w:ind w:left="426" w:hanging="426"/>
        <w:jc w:val="both"/>
        <w:rPr>
          <w:rFonts w:asciiTheme="majorHAnsi" w:eastAsia="TimesNewRoman" w:hAnsiTheme="majorHAnsi" w:cs="Times New Roman"/>
          <w:iCs/>
          <w:color w:val="auto"/>
          <w:sz w:val="20"/>
          <w:szCs w:val="20"/>
          <w:lang w:val="tr-TR"/>
        </w:rPr>
      </w:pPr>
      <w:r w:rsidRPr="00D52F0C">
        <w:rPr>
          <w:rFonts w:asciiTheme="majorHAnsi" w:hAnsiTheme="majorHAnsi" w:cs="Times New Roman"/>
          <w:color w:val="auto"/>
          <w:sz w:val="20"/>
          <w:szCs w:val="20"/>
          <w:shd w:val="clear" w:color="auto" w:fill="FFFFFF"/>
          <w:lang w:val="tr-TR"/>
        </w:rPr>
        <w:t>Jimerson, S. R., Campos, E., &amp; Greif, J. L. (2003). Toward an understanding of definitions and measures of school engagement and related terms.</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The California School Psychologist</w:t>
      </w:r>
      <w:r w:rsidRPr="00D52F0C">
        <w:rPr>
          <w:rFonts w:asciiTheme="majorHAnsi" w:hAnsiTheme="majorHAnsi" w:cs="Times New Roman"/>
          <w:color w:val="auto"/>
          <w:sz w:val="20"/>
          <w:szCs w:val="20"/>
          <w:shd w:val="clear" w:color="auto" w:fill="FFFFFF"/>
          <w:lang w:val="tr-TR"/>
        </w:rPr>
        <w: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8</w:t>
      </w:r>
      <w:r w:rsidRPr="00D52F0C">
        <w:rPr>
          <w:rFonts w:asciiTheme="majorHAnsi" w:hAnsiTheme="majorHAnsi" w:cs="Times New Roman"/>
          <w:color w:val="auto"/>
          <w:sz w:val="20"/>
          <w:szCs w:val="20"/>
          <w:shd w:val="clear" w:color="auto" w:fill="FFFFFF"/>
          <w:lang w:val="tr-TR"/>
        </w:rPr>
        <w:t>(1), 7-27.</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t>Johnson, D. W., Johnson, R., &amp; Smith, K. (1998).Active learning: Cooperation in the college classroom. Edina, MN: Interaction Book Company.</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t>Kahraman, N. (2014). Cross-Grade Comparison of Relationship between Students' Engagement and TIMSS 2011 Science Achievement.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Egitim ve Bilim</w:t>
      </w:r>
      <w:r w:rsidRPr="00D52F0C">
        <w:rPr>
          <w:rFonts w:asciiTheme="majorHAnsi" w:hAnsiTheme="majorHAnsi" w:cs="Times New Roman"/>
          <w:color w:val="auto"/>
          <w:sz w:val="20"/>
          <w:szCs w:val="20"/>
          <w:shd w:val="clear" w:color="auto" w:fill="FFFFFF"/>
          <w:lang w:val="tr-TR"/>
        </w:rPr>
        <w: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39</w:t>
      </w:r>
      <w:r w:rsidRPr="00D52F0C">
        <w:rPr>
          <w:rFonts w:asciiTheme="majorHAnsi" w:hAnsiTheme="majorHAnsi" w:cs="Times New Roman"/>
          <w:color w:val="auto"/>
          <w:sz w:val="20"/>
          <w:szCs w:val="20"/>
          <w:shd w:val="clear" w:color="auto" w:fill="FFFFFF"/>
          <w:lang w:val="tr-TR"/>
        </w:rPr>
        <w:t>(172).</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shd w:val="clear" w:color="auto" w:fill="FFFFFF"/>
          <w:lang w:val="tr-TR"/>
        </w:rPr>
        <w:lastRenderedPageBreak/>
        <w:t>Ladd, G. W., &amp; Dinella, L. M. (2009). Continuity and change in early school engagement: Predictive of children's achievement trajectories from first to eighth grade?.</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Journal of Educational Psychology</w:t>
      </w:r>
      <w:r w:rsidRPr="00D52F0C">
        <w:rPr>
          <w:rFonts w:asciiTheme="majorHAnsi" w:hAnsiTheme="majorHAnsi" w:cs="Times New Roman"/>
          <w:color w:val="auto"/>
          <w:sz w:val="20"/>
          <w:szCs w:val="20"/>
          <w:shd w:val="clear" w:color="auto" w:fill="FFFFFF"/>
          <w:lang w:val="tr-TR"/>
        </w:rPr>
        <w: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101</w:t>
      </w:r>
      <w:r w:rsidRPr="00D52F0C">
        <w:rPr>
          <w:rFonts w:asciiTheme="majorHAnsi" w:hAnsiTheme="majorHAnsi" w:cs="Times New Roman"/>
          <w:color w:val="auto"/>
          <w:sz w:val="20"/>
          <w:szCs w:val="20"/>
          <w:shd w:val="clear" w:color="auto" w:fill="FFFFFF"/>
          <w:lang w:val="tr-TR"/>
        </w:rPr>
        <w:t>(1), 190.</w:t>
      </w:r>
    </w:p>
    <w:p w:rsidR="00993FFF" w:rsidRPr="00D52F0C" w:rsidRDefault="00993FFF" w:rsidP="00C01287">
      <w:pPr>
        <w:spacing w:before="120" w:after="0" w:line="60" w:lineRule="atLeast"/>
        <w:ind w:left="426" w:hanging="426"/>
        <w:jc w:val="both"/>
        <w:rPr>
          <w:rFonts w:asciiTheme="majorHAnsi" w:hAnsiTheme="majorHAnsi" w:cs="Times New Roman"/>
          <w:bCs/>
          <w:color w:val="auto"/>
          <w:sz w:val="20"/>
          <w:szCs w:val="20"/>
          <w:lang w:val="tr-TR"/>
        </w:rPr>
      </w:pPr>
      <w:r w:rsidRPr="00D52F0C">
        <w:rPr>
          <w:rFonts w:asciiTheme="majorHAnsi" w:hAnsiTheme="majorHAnsi" w:cs="Times New Roman"/>
          <w:color w:val="auto"/>
          <w:sz w:val="20"/>
          <w:szCs w:val="20"/>
          <w:lang w:val="tr-TR"/>
        </w:rPr>
        <w:t xml:space="preserve">Linnenbrink, E. A. &amp; Pintrich, P.R. (2003). The role of self-efficacy beliefs in student engagement and learning in the classroom. </w:t>
      </w:r>
      <w:r w:rsidRPr="00D52F0C">
        <w:rPr>
          <w:rFonts w:asciiTheme="majorHAnsi" w:hAnsiTheme="majorHAnsi" w:cs="Times New Roman"/>
          <w:i/>
          <w:iCs/>
          <w:color w:val="auto"/>
          <w:sz w:val="20"/>
          <w:szCs w:val="20"/>
          <w:lang w:val="tr-TR"/>
        </w:rPr>
        <w:t xml:space="preserve">Reading &amp; Writing Quarterly, 19, </w:t>
      </w:r>
      <w:r w:rsidRPr="00D52F0C">
        <w:rPr>
          <w:rFonts w:asciiTheme="majorHAnsi" w:hAnsiTheme="majorHAnsi" w:cs="Times New Roman"/>
          <w:color w:val="auto"/>
          <w:sz w:val="20"/>
          <w:szCs w:val="20"/>
          <w:lang w:val="tr-TR"/>
        </w:rPr>
        <w:t>119-137.</w:t>
      </w:r>
    </w:p>
    <w:p w:rsidR="00993FFF" w:rsidRPr="00D52F0C" w:rsidRDefault="00993FFF" w:rsidP="00C01287">
      <w:pPr>
        <w:pStyle w:val="Articles"/>
        <w:spacing w:before="120" w:after="0" w:line="60" w:lineRule="atLeast"/>
        <w:ind w:left="426" w:hanging="426"/>
        <w:jc w:val="both"/>
        <w:rPr>
          <w:rFonts w:asciiTheme="majorHAnsi" w:hAnsiTheme="majorHAnsi"/>
          <w:color w:val="auto"/>
          <w:lang w:val="tr-TR"/>
        </w:rPr>
      </w:pPr>
      <w:r w:rsidRPr="00D52F0C">
        <w:rPr>
          <w:rFonts w:asciiTheme="majorHAnsi" w:hAnsiTheme="majorHAnsi"/>
          <w:color w:val="auto"/>
          <w:lang w:val="tr-TR"/>
        </w:rPr>
        <w:t>Marks, H. M. (2000). Student engagement in instructional activity: Patterns in the elementary, middle, and high school years. </w:t>
      </w:r>
      <w:r w:rsidRPr="00D52F0C">
        <w:rPr>
          <w:rFonts w:asciiTheme="majorHAnsi" w:hAnsiTheme="majorHAnsi"/>
          <w:i/>
          <w:iCs/>
          <w:color w:val="auto"/>
          <w:lang w:val="tr-TR"/>
        </w:rPr>
        <w:t>American Educational Research Journal</w:t>
      </w:r>
      <w:r w:rsidRPr="00D52F0C">
        <w:rPr>
          <w:rFonts w:asciiTheme="majorHAnsi" w:hAnsiTheme="majorHAnsi"/>
          <w:color w:val="auto"/>
          <w:lang w:val="tr-TR"/>
        </w:rPr>
        <w:t>, </w:t>
      </w:r>
      <w:r w:rsidRPr="00D52F0C">
        <w:rPr>
          <w:rFonts w:asciiTheme="majorHAnsi" w:hAnsiTheme="majorHAnsi"/>
          <w:i/>
          <w:iCs/>
          <w:color w:val="auto"/>
          <w:lang w:val="tr-TR"/>
        </w:rPr>
        <w:t>37</w:t>
      </w:r>
      <w:r w:rsidRPr="00D52F0C">
        <w:rPr>
          <w:rFonts w:asciiTheme="majorHAnsi" w:hAnsiTheme="majorHAnsi"/>
          <w:color w:val="auto"/>
          <w:lang w:val="tr-TR"/>
        </w:rPr>
        <w:t>(1), 153-184.</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t>Martin, A. J. (2008). Enhancing student motivation and engagement: The effects of a multidimensional intervention.</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Contemporary Educational Psychology</w:t>
      </w:r>
      <w:r w:rsidRPr="00D52F0C">
        <w:rPr>
          <w:rFonts w:asciiTheme="majorHAnsi" w:hAnsiTheme="majorHAnsi" w:cs="Times New Roman"/>
          <w:color w:val="auto"/>
          <w:sz w:val="20"/>
          <w:szCs w:val="20"/>
          <w:shd w:val="clear" w:color="auto" w:fill="FFFFFF"/>
          <w:lang w:val="tr-TR"/>
        </w:rPr>
        <w: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33</w:t>
      </w:r>
      <w:r w:rsidRPr="00D52F0C">
        <w:rPr>
          <w:rFonts w:asciiTheme="majorHAnsi" w:hAnsiTheme="majorHAnsi" w:cs="Times New Roman"/>
          <w:color w:val="auto"/>
          <w:sz w:val="20"/>
          <w:szCs w:val="20"/>
          <w:shd w:val="clear" w:color="auto" w:fill="FFFFFF"/>
          <w:lang w:val="tr-TR"/>
        </w:rPr>
        <w:t>(2), 239-269.</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t>Mazer, J. P. (2013). Associations among teacher communication behaviors, student interest, and engagement: A validity test.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Communication Education</w:t>
      </w:r>
      <w:r w:rsidRPr="00D52F0C">
        <w:rPr>
          <w:rFonts w:asciiTheme="majorHAnsi" w:hAnsiTheme="majorHAnsi" w:cs="Times New Roman"/>
          <w:color w:val="auto"/>
          <w:sz w:val="20"/>
          <w:szCs w:val="20"/>
          <w:shd w:val="clear" w:color="auto" w:fill="FFFFFF"/>
          <w:lang w:val="tr-TR"/>
        </w:rPr>
        <w:t>,</w:t>
      </w:r>
      <w:r w:rsidRPr="00D52F0C">
        <w:rPr>
          <w:rFonts w:asciiTheme="majorHAnsi" w:hAnsiTheme="majorHAnsi" w:cs="Times New Roman"/>
          <w:i/>
          <w:iCs/>
          <w:color w:val="auto"/>
          <w:sz w:val="20"/>
          <w:szCs w:val="20"/>
          <w:shd w:val="clear" w:color="auto" w:fill="FFFFFF"/>
          <w:lang w:val="tr-TR"/>
        </w:rPr>
        <w:t>62</w:t>
      </w:r>
      <w:r w:rsidRPr="00D52F0C">
        <w:rPr>
          <w:rFonts w:asciiTheme="majorHAnsi" w:hAnsiTheme="majorHAnsi" w:cs="Times New Roman"/>
          <w:color w:val="auto"/>
          <w:sz w:val="20"/>
          <w:szCs w:val="20"/>
          <w:shd w:val="clear" w:color="auto" w:fill="FFFFFF"/>
          <w:lang w:val="tr-TR"/>
        </w:rPr>
        <w:t>(1), 86-96.</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Meece, J. L., Wigfield, A., &amp; Eccles, J. S. (1990). Predictors of math anxiety and its influence on young adolescents' course enrollment intentions and performance in mathematics. </w:t>
      </w:r>
      <w:r w:rsidRPr="00D52F0C">
        <w:rPr>
          <w:rFonts w:asciiTheme="majorHAnsi" w:hAnsiTheme="majorHAnsi" w:cs="Times New Roman"/>
          <w:i/>
          <w:iCs/>
          <w:color w:val="auto"/>
          <w:sz w:val="20"/>
          <w:szCs w:val="20"/>
          <w:lang w:val="tr-TR"/>
        </w:rPr>
        <w:t>Journal of Educational Psychology</w:t>
      </w:r>
      <w:r w:rsidRPr="00D52F0C">
        <w:rPr>
          <w:rFonts w:asciiTheme="majorHAnsi" w:hAnsiTheme="majorHAnsi" w:cs="Times New Roman"/>
          <w:color w:val="auto"/>
          <w:sz w:val="20"/>
          <w:szCs w:val="20"/>
          <w:lang w:val="tr-TR"/>
        </w:rPr>
        <w:t>, </w:t>
      </w:r>
      <w:r w:rsidRPr="00D52F0C">
        <w:rPr>
          <w:rFonts w:asciiTheme="majorHAnsi" w:hAnsiTheme="majorHAnsi" w:cs="Times New Roman"/>
          <w:i/>
          <w:iCs/>
          <w:color w:val="auto"/>
          <w:sz w:val="20"/>
          <w:szCs w:val="20"/>
          <w:lang w:val="tr-TR"/>
        </w:rPr>
        <w:t>82</w:t>
      </w:r>
      <w:r w:rsidRPr="00D52F0C">
        <w:rPr>
          <w:rFonts w:asciiTheme="majorHAnsi" w:hAnsiTheme="majorHAnsi" w:cs="Times New Roman"/>
          <w:color w:val="auto"/>
          <w:sz w:val="20"/>
          <w:szCs w:val="20"/>
          <w:lang w:val="tr-TR"/>
        </w:rPr>
        <w:t>(1), 60.</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Meece, J., Blumenfeld, P. C., &amp; Hoyle, R. H. (1988).Students’ goal orientation and cognitive engagement in classroom activities. </w:t>
      </w:r>
      <w:r w:rsidRPr="00D52F0C">
        <w:rPr>
          <w:rFonts w:asciiTheme="majorHAnsi" w:hAnsiTheme="majorHAnsi" w:cs="Times New Roman"/>
          <w:i/>
          <w:iCs/>
          <w:color w:val="auto"/>
          <w:sz w:val="20"/>
          <w:szCs w:val="20"/>
          <w:lang w:val="tr-TR"/>
        </w:rPr>
        <w:t>Journal of Educational Psychology, 80</w:t>
      </w:r>
      <w:r w:rsidRPr="00D52F0C">
        <w:rPr>
          <w:rFonts w:asciiTheme="majorHAnsi" w:hAnsiTheme="majorHAnsi" w:cs="Times New Roman"/>
          <w:color w:val="auto"/>
          <w:sz w:val="20"/>
          <w:szCs w:val="20"/>
          <w:lang w:val="tr-TR"/>
        </w:rPr>
        <w:t>, 514–523.</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Miller, R. B., Greene, B. A., Montalvo, G. P., Ravindran, B., &amp; Nichols, J. D. (1996). Engagement in academic work: The role of learning goals, future consequences, pleasing others, and perceived ability. </w:t>
      </w:r>
      <w:r w:rsidRPr="00D52F0C">
        <w:rPr>
          <w:rFonts w:asciiTheme="majorHAnsi" w:hAnsiTheme="majorHAnsi" w:cs="Times New Roman"/>
          <w:i/>
          <w:iCs/>
          <w:color w:val="auto"/>
          <w:sz w:val="20"/>
          <w:szCs w:val="20"/>
          <w:lang w:val="tr-TR"/>
        </w:rPr>
        <w:t>Contemporary Educational Psychology</w:t>
      </w:r>
      <w:r w:rsidRPr="00D52F0C">
        <w:rPr>
          <w:rFonts w:asciiTheme="majorHAnsi" w:hAnsiTheme="majorHAnsi" w:cs="Times New Roman"/>
          <w:color w:val="auto"/>
          <w:sz w:val="20"/>
          <w:szCs w:val="20"/>
          <w:lang w:val="tr-TR"/>
        </w:rPr>
        <w:t>, </w:t>
      </w:r>
      <w:r w:rsidRPr="00D52F0C">
        <w:rPr>
          <w:rFonts w:asciiTheme="majorHAnsi" w:hAnsiTheme="majorHAnsi" w:cs="Times New Roman"/>
          <w:i/>
          <w:iCs/>
          <w:color w:val="auto"/>
          <w:sz w:val="20"/>
          <w:szCs w:val="20"/>
          <w:lang w:val="tr-TR"/>
        </w:rPr>
        <w:t>21</w:t>
      </w:r>
      <w:r w:rsidRPr="00D52F0C">
        <w:rPr>
          <w:rFonts w:asciiTheme="majorHAnsi" w:hAnsiTheme="majorHAnsi" w:cs="Times New Roman"/>
          <w:color w:val="auto"/>
          <w:sz w:val="20"/>
          <w:szCs w:val="20"/>
          <w:lang w:val="tr-TR"/>
        </w:rPr>
        <w:t>(4), 388-422.</w:t>
      </w:r>
    </w:p>
    <w:p w:rsidR="00993FFF" w:rsidRPr="00D52F0C" w:rsidRDefault="00993FFF" w:rsidP="00C01287">
      <w:pPr>
        <w:pStyle w:val="Articles"/>
        <w:spacing w:before="120" w:after="0" w:line="60" w:lineRule="atLeast"/>
        <w:ind w:left="426" w:hanging="426"/>
        <w:jc w:val="both"/>
        <w:rPr>
          <w:rFonts w:asciiTheme="majorHAnsi" w:hAnsiTheme="majorHAnsi"/>
          <w:color w:val="auto"/>
          <w:lang w:val="tr-TR"/>
        </w:rPr>
      </w:pPr>
      <w:r w:rsidRPr="00D52F0C">
        <w:rPr>
          <w:rFonts w:asciiTheme="majorHAnsi" w:hAnsiTheme="majorHAnsi"/>
          <w:color w:val="auto"/>
          <w:lang w:val="tr-TR"/>
        </w:rPr>
        <w:t xml:space="preserve">Miserandino, M. (1996). Children who do well in school: Individual differences in perceived competence and autonomy in above-average children. </w:t>
      </w:r>
      <w:r w:rsidRPr="00D52F0C">
        <w:rPr>
          <w:rFonts w:asciiTheme="majorHAnsi" w:hAnsiTheme="majorHAnsi"/>
          <w:i/>
          <w:iCs/>
          <w:color w:val="auto"/>
          <w:lang w:val="tr-TR"/>
        </w:rPr>
        <w:t xml:space="preserve">Journal of Educational Psychology, 88, </w:t>
      </w:r>
      <w:r w:rsidRPr="00D52F0C">
        <w:rPr>
          <w:rFonts w:asciiTheme="majorHAnsi" w:hAnsiTheme="majorHAnsi"/>
          <w:iCs/>
          <w:color w:val="auto"/>
          <w:lang w:val="tr-TR"/>
        </w:rPr>
        <w:t>203</w:t>
      </w:r>
      <w:r w:rsidRPr="00D52F0C">
        <w:rPr>
          <w:rFonts w:asciiTheme="majorHAnsi" w:hAnsiTheme="majorHAnsi"/>
          <w:color w:val="auto"/>
          <w:lang w:val="tr-TR"/>
        </w:rPr>
        <w:t>-214.</w:t>
      </w:r>
    </w:p>
    <w:p w:rsidR="00993FFF" w:rsidRPr="00D52F0C" w:rsidRDefault="00993FFF" w:rsidP="00C01287">
      <w:pPr>
        <w:pStyle w:val="Articles"/>
        <w:spacing w:before="120" w:after="0" w:line="60" w:lineRule="atLeast"/>
        <w:ind w:left="426" w:hanging="426"/>
        <w:jc w:val="both"/>
        <w:rPr>
          <w:rFonts w:asciiTheme="majorHAnsi" w:hAnsiTheme="majorHAnsi"/>
          <w:color w:val="auto"/>
          <w:lang w:val="tr-TR"/>
        </w:rPr>
      </w:pPr>
      <w:r w:rsidRPr="00D52F0C">
        <w:rPr>
          <w:rFonts w:asciiTheme="majorHAnsi" w:hAnsiTheme="majorHAnsi"/>
          <w:color w:val="auto"/>
          <w:lang w:val="tr-TR"/>
        </w:rPr>
        <w:t xml:space="preserve">National Research Council and the Institute of Medicine. (2004). </w:t>
      </w:r>
      <w:r w:rsidRPr="00D52F0C">
        <w:rPr>
          <w:rFonts w:asciiTheme="majorHAnsi" w:hAnsiTheme="majorHAnsi"/>
          <w:i/>
          <w:color w:val="auto"/>
          <w:lang w:val="tr-TR"/>
        </w:rPr>
        <w:t>Engaging schools: Fostering high school students’ motivation to learn</w:t>
      </w:r>
      <w:r w:rsidRPr="00D52F0C">
        <w:rPr>
          <w:rFonts w:asciiTheme="majorHAnsi" w:hAnsiTheme="majorHAnsi"/>
          <w:color w:val="auto"/>
          <w:lang w:val="tr-TR"/>
        </w:rPr>
        <w:t xml:space="preserve">. Committee on Increasing High School Students’ Engagement and Motivation to Learn. Board on Children, Youth, and Families, Division of Behavioral and Social Sciences and Education. Washington, DC: The National Academies Press.  </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Natriello, G. (1984). Problems in the evaluation of students and student disengagement for secondary schools. Journal of Research and Development in Education, 17, 14–24.</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Obermiller, C., &amp; Spangenberg, E.R. (1998). Development of a scale to measure consumer skepticism toward advertising. </w:t>
      </w:r>
      <w:r w:rsidRPr="00D52F0C">
        <w:rPr>
          <w:rFonts w:asciiTheme="majorHAnsi" w:hAnsiTheme="majorHAnsi" w:cs="Times New Roman"/>
          <w:i/>
          <w:color w:val="auto"/>
          <w:sz w:val="20"/>
          <w:szCs w:val="20"/>
          <w:lang w:val="tr-TR"/>
        </w:rPr>
        <w:t>Journal of Consumer Psychology</w:t>
      </w:r>
      <w:r w:rsidR="00AA60B8">
        <w:rPr>
          <w:rFonts w:asciiTheme="majorHAnsi" w:hAnsiTheme="majorHAnsi" w:cs="Times New Roman"/>
          <w:i/>
          <w:color w:val="auto"/>
          <w:sz w:val="20"/>
          <w:szCs w:val="20"/>
          <w:lang w:val="tr-TR"/>
        </w:rPr>
        <w:t>,</w:t>
      </w:r>
      <w:r w:rsidRPr="00D52F0C">
        <w:rPr>
          <w:rFonts w:asciiTheme="majorHAnsi" w:hAnsiTheme="majorHAnsi" w:cs="Times New Roman"/>
          <w:i/>
          <w:color w:val="auto"/>
          <w:sz w:val="20"/>
          <w:szCs w:val="20"/>
          <w:lang w:val="tr-TR"/>
        </w:rPr>
        <w:t xml:space="preserve"> 7,</w:t>
      </w:r>
      <w:r w:rsidRPr="00D52F0C">
        <w:rPr>
          <w:rFonts w:asciiTheme="majorHAnsi" w:hAnsiTheme="majorHAnsi" w:cs="Times New Roman"/>
          <w:color w:val="auto"/>
          <w:sz w:val="20"/>
          <w:szCs w:val="20"/>
          <w:lang w:val="tr-TR"/>
        </w:rPr>
        <w:t xml:space="preserve"> 159 </w:t>
      </w:r>
      <w:r w:rsidR="00AA60B8">
        <w:rPr>
          <w:rFonts w:asciiTheme="majorHAnsi" w:hAnsiTheme="majorHAnsi" w:cs="Times New Roman"/>
          <w:color w:val="auto"/>
          <w:sz w:val="20"/>
          <w:szCs w:val="20"/>
          <w:lang w:val="tr-TR"/>
        </w:rPr>
        <w:t>–</w:t>
      </w:r>
      <w:r w:rsidRPr="00D52F0C">
        <w:rPr>
          <w:rFonts w:asciiTheme="majorHAnsi" w:hAnsiTheme="majorHAnsi" w:cs="Times New Roman"/>
          <w:color w:val="auto"/>
          <w:sz w:val="20"/>
          <w:szCs w:val="20"/>
          <w:lang w:val="tr-TR"/>
        </w:rPr>
        <w:t xml:space="preserve"> 186</w:t>
      </w:r>
      <w:r w:rsidR="00AA60B8">
        <w:rPr>
          <w:rFonts w:asciiTheme="majorHAnsi" w:hAnsiTheme="majorHAnsi" w:cs="Times New Roman"/>
          <w:color w:val="auto"/>
          <w:sz w:val="20"/>
          <w:szCs w:val="20"/>
          <w:lang w:val="tr-TR"/>
        </w:rPr>
        <w:t>.</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Pascarella, E. T., Palmer, B., Moye, M., &amp; Pierson, C. T. (2001). Do diversity experiences influence the development of critical thinking? </w:t>
      </w:r>
      <w:r w:rsidRPr="00D52F0C">
        <w:rPr>
          <w:rFonts w:asciiTheme="majorHAnsi" w:hAnsiTheme="majorHAnsi" w:cs="Times New Roman"/>
          <w:i/>
          <w:color w:val="auto"/>
          <w:sz w:val="20"/>
          <w:szCs w:val="20"/>
          <w:lang w:val="tr-TR"/>
        </w:rPr>
        <w:t>Journal of College Student Development</w:t>
      </w:r>
      <w:r w:rsidRPr="00D52F0C">
        <w:rPr>
          <w:rFonts w:asciiTheme="majorHAnsi" w:hAnsiTheme="majorHAnsi" w:cs="Times New Roman"/>
          <w:color w:val="auto"/>
          <w:sz w:val="20"/>
          <w:szCs w:val="20"/>
          <w:lang w:val="tr-TR"/>
        </w:rPr>
        <w:t>, 42, 257-271.</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Pintrich, P. R., &amp; De Groot, E. V. (1990). Motivational and self-regulated learning components of classroom academic performance. </w:t>
      </w:r>
      <w:r w:rsidRPr="00D52F0C">
        <w:rPr>
          <w:rFonts w:asciiTheme="majorHAnsi" w:hAnsiTheme="majorHAnsi" w:cs="Times New Roman"/>
          <w:i/>
          <w:iCs/>
          <w:color w:val="auto"/>
          <w:sz w:val="20"/>
          <w:szCs w:val="20"/>
          <w:lang w:val="tr-TR"/>
        </w:rPr>
        <w:t>Journal of Educational Psychology</w:t>
      </w:r>
      <w:r w:rsidRPr="00D52F0C">
        <w:rPr>
          <w:rFonts w:asciiTheme="majorHAnsi" w:hAnsiTheme="majorHAnsi" w:cs="Times New Roman"/>
          <w:color w:val="auto"/>
          <w:sz w:val="20"/>
          <w:szCs w:val="20"/>
          <w:lang w:val="tr-TR"/>
        </w:rPr>
        <w:t>, </w:t>
      </w:r>
      <w:r w:rsidRPr="00D52F0C">
        <w:rPr>
          <w:rFonts w:asciiTheme="majorHAnsi" w:hAnsiTheme="majorHAnsi" w:cs="Times New Roman"/>
          <w:i/>
          <w:iCs/>
          <w:color w:val="auto"/>
          <w:sz w:val="20"/>
          <w:szCs w:val="20"/>
          <w:lang w:val="tr-TR"/>
        </w:rPr>
        <w:t>82</w:t>
      </w:r>
      <w:r w:rsidRPr="00D52F0C">
        <w:rPr>
          <w:rFonts w:asciiTheme="majorHAnsi" w:hAnsiTheme="majorHAnsi" w:cs="Times New Roman"/>
          <w:color w:val="auto"/>
          <w:sz w:val="20"/>
          <w:szCs w:val="20"/>
          <w:lang w:val="tr-TR"/>
        </w:rPr>
        <w:t>(1), 33.</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Pintrich, P. R., Roeser, R. W., &amp; De Groot, E. A. (1994). Classroom and individual differences in early adolescents' motivation and self-regulated learning.</w:t>
      </w:r>
      <w:r w:rsidRPr="00D52F0C">
        <w:rPr>
          <w:rFonts w:asciiTheme="majorHAnsi" w:hAnsiTheme="majorHAnsi" w:cs="Times New Roman"/>
          <w:i/>
          <w:iCs/>
          <w:color w:val="auto"/>
          <w:sz w:val="20"/>
          <w:szCs w:val="20"/>
          <w:lang w:val="tr-TR"/>
        </w:rPr>
        <w:t xml:space="preserve"> The Journal of Early Adolescence</w:t>
      </w:r>
      <w:r w:rsidRPr="00D52F0C">
        <w:rPr>
          <w:rFonts w:asciiTheme="majorHAnsi" w:hAnsiTheme="majorHAnsi" w:cs="Times New Roman"/>
          <w:color w:val="auto"/>
          <w:sz w:val="20"/>
          <w:szCs w:val="20"/>
          <w:lang w:val="tr-TR"/>
        </w:rPr>
        <w:t>, </w:t>
      </w:r>
      <w:r w:rsidRPr="00D52F0C">
        <w:rPr>
          <w:rFonts w:asciiTheme="majorHAnsi" w:hAnsiTheme="majorHAnsi" w:cs="Times New Roman"/>
          <w:i/>
          <w:iCs/>
          <w:color w:val="auto"/>
          <w:sz w:val="20"/>
          <w:szCs w:val="20"/>
          <w:lang w:val="tr-TR"/>
        </w:rPr>
        <w:t>14</w:t>
      </w:r>
      <w:r w:rsidRPr="00D52F0C">
        <w:rPr>
          <w:rFonts w:asciiTheme="majorHAnsi" w:hAnsiTheme="majorHAnsi" w:cs="Times New Roman"/>
          <w:color w:val="auto"/>
          <w:sz w:val="20"/>
          <w:szCs w:val="20"/>
          <w:lang w:val="tr-TR"/>
        </w:rPr>
        <w:t>(2), 139-161.</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Pintrich, P. R., Smith, D. A., Garcia, T., &amp; McKeachie, W. J. (1993). Reliability and predictive validity of the Motivated Strategies for Learning Questionnaire (MSLQ). </w:t>
      </w:r>
      <w:r w:rsidRPr="00D52F0C">
        <w:rPr>
          <w:rFonts w:asciiTheme="majorHAnsi" w:hAnsiTheme="majorHAnsi" w:cs="Times New Roman"/>
          <w:i/>
          <w:iCs/>
          <w:color w:val="auto"/>
          <w:sz w:val="20"/>
          <w:szCs w:val="20"/>
          <w:lang w:val="tr-TR"/>
        </w:rPr>
        <w:t>Educational and Psychological Measurement</w:t>
      </w:r>
      <w:r w:rsidRPr="00D52F0C">
        <w:rPr>
          <w:rFonts w:asciiTheme="majorHAnsi" w:hAnsiTheme="majorHAnsi" w:cs="Times New Roman"/>
          <w:color w:val="auto"/>
          <w:sz w:val="20"/>
          <w:szCs w:val="20"/>
          <w:lang w:val="tr-TR"/>
        </w:rPr>
        <w:t>, </w:t>
      </w:r>
      <w:r w:rsidRPr="00D52F0C">
        <w:rPr>
          <w:rFonts w:asciiTheme="majorHAnsi" w:hAnsiTheme="majorHAnsi" w:cs="Times New Roman"/>
          <w:i/>
          <w:iCs/>
          <w:color w:val="auto"/>
          <w:sz w:val="20"/>
          <w:szCs w:val="20"/>
          <w:lang w:val="tr-TR"/>
        </w:rPr>
        <w:t>53</w:t>
      </w:r>
      <w:r w:rsidRPr="00D52F0C">
        <w:rPr>
          <w:rFonts w:asciiTheme="majorHAnsi" w:hAnsiTheme="majorHAnsi" w:cs="Times New Roman"/>
          <w:color w:val="auto"/>
          <w:sz w:val="20"/>
          <w:szCs w:val="20"/>
          <w:lang w:val="tr-TR"/>
        </w:rPr>
        <w:t>(3), 801-813.</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Reeve, J. (2012). A Self-determination Theory Perspective on student Engagement. In S.L. Christenson et al. (eds.), </w:t>
      </w:r>
      <w:r w:rsidRPr="00D52F0C">
        <w:rPr>
          <w:rFonts w:asciiTheme="majorHAnsi" w:hAnsiTheme="majorHAnsi" w:cs="Times New Roman"/>
          <w:i/>
          <w:color w:val="auto"/>
          <w:sz w:val="20"/>
          <w:szCs w:val="20"/>
          <w:lang w:val="tr-TR"/>
        </w:rPr>
        <w:t>Handbook of research on student engagement</w:t>
      </w:r>
      <w:r w:rsidRPr="00D52F0C">
        <w:rPr>
          <w:rFonts w:asciiTheme="majorHAnsi" w:hAnsiTheme="majorHAnsi" w:cs="Times New Roman"/>
          <w:color w:val="auto"/>
          <w:sz w:val="20"/>
          <w:szCs w:val="20"/>
          <w:lang w:val="tr-TR"/>
        </w:rPr>
        <w:t>. (pp. 149-171). New York, NY: Springer.</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Reeve, J. (2013). How students create motivationally supportive learning environments for themselves: The concept of agentic engagement. </w:t>
      </w:r>
      <w:r w:rsidRPr="00D52F0C">
        <w:rPr>
          <w:rFonts w:asciiTheme="majorHAnsi" w:hAnsiTheme="majorHAnsi" w:cs="Times New Roman"/>
          <w:i/>
          <w:iCs/>
          <w:color w:val="auto"/>
          <w:sz w:val="20"/>
          <w:szCs w:val="20"/>
          <w:lang w:val="tr-TR"/>
        </w:rPr>
        <w:t xml:space="preserve">Journal of Educational Psychology, 105, </w:t>
      </w:r>
      <w:r w:rsidRPr="00D52F0C">
        <w:rPr>
          <w:rFonts w:asciiTheme="majorHAnsi" w:hAnsiTheme="majorHAnsi" w:cs="Times New Roman"/>
          <w:color w:val="auto"/>
          <w:sz w:val="20"/>
          <w:szCs w:val="20"/>
          <w:lang w:val="tr-TR"/>
        </w:rPr>
        <w:t>579-595. doi:10.1037/a0032690</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Reeve, J., &amp; Lee, W. (2014).  Students' classroom engagement produces longitudinal changes in classroom motivation. </w:t>
      </w:r>
      <w:r w:rsidRPr="00D52F0C">
        <w:rPr>
          <w:rFonts w:asciiTheme="majorHAnsi" w:hAnsiTheme="majorHAnsi" w:cs="Times New Roman"/>
          <w:i/>
          <w:color w:val="auto"/>
          <w:sz w:val="20"/>
          <w:szCs w:val="20"/>
          <w:lang w:val="tr-TR"/>
        </w:rPr>
        <w:t>Journal of Educational Psychology</w:t>
      </w:r>
      <w:r w:rsidRPr="00D52F0C">
        <w:rPr>
          <w:rFonts w:asciiTheme="majorHAnsi" w:hAnsiTheme="majorHAnsi" w:cs="Times New Roman"/>
          <w:color w:val="auto"/>
          <w:sz w:val="20"/>
          <w:szCs w:val="20"/>
          <w:lang w:val="tr-TR"/>
        </w:rPr>
        <w:t>, 106, 527-540.</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Reeve, J., &amp; Tseng, C.-M (2011). Agency as a fourth aspect of students’ engagement during learning activities. </w:t>
      </w:r>
      <w:r w:rsidRPr="00D52F0C">
        <w:rPr>
          <w:rFonts w:asciiTheme="majorHAnsi" w:hAnsiTheme="majorHAnsi" w:cs="Times New Roman"/>
          <w:i/>
          <w:color w:val="auto"/>
          <w:sz w:val="20"/>
          <w:szCs w:val="20"/>
          <w:lang w:val="tr-TR"/>
        </w:rPr>
        <w:t>Contemporary Educational Psychology</w:t>
      </w:r>
      <w:r w:rsidRPr="00D52F0C">
        <w:rPr>
          <w:rFonts w:asciiTheme="majorHAnsi" w:hAnsiTheme="majorHAnsi" w:cs="Times New Roman"/>
          <w:color w:val="auto"/>
          <w:sz w:val="20"/>
          <w:szCs w:val="20"/>
          <w:lang w:val="tr-TR"/>
        </w:rPr>
        <w:t xml:space="preserve">, </w:t>
      </w:r>
      <w:r w:rsidRPr="00D52F0C">
        <w:rPr>
          <w:rFonts w:asciiTheme="majorHAnsi" w:hAnsiTheme="majorHAnsi" w:cs="Times New Roman"/>
          <w:i/>
          <w:color w:val="auto"/>
          <w:sz w:val="20"/>
          <w:szCs w:val="20"/>
          <w:lang w:val="tr-TR"/>
        </w:rPr>
        <w:t>36</w:t>
      </w:r>
      <w:r w:rsidRPr="00D52F0C">
        <w:rPr>
          <w:rFonts w:asciiTheme="majorHAnsi" w:hAnsiTheme="majorHAnsi" w:cs="Times New Roman"/>
          <w:color w:val="auto"/>
          <w:sz w:val="20"/>
          <w:szCs w:val="20"/>
          <w:lang w:val="tr-TR"/>
        </w:rPr>
        <w:t>, 257-267.</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Reschly, A. L., &amp; Christenson, S. L. (2006). Prediction of dropout among students with mild disabilities: A case for inclusion of student engagement variables. </w:t>
      </w:r>
      <w:r w:rsidRPr="00D52F0C">
        <w:rPr>
          <w:rFonts w:asciiTheme="majorHAnsi" w:hAnsiTheme="majorHAnsi" w:cs="Times New Roman"/>
          <w:i/>
          <w:iCs/>
          <w:color w:val="auto"/>
          <w:sz w:val="20"/>
          <w:szCs w:val="20"/>
          <w:lang w:val="tr-TR"/>
        </w:rPr>
        <w:t xml:space="preserve">Remedial and Special Education, </w:t>
      </w:r>
      <w:r w:rsidR="00960485" w:rsidRPr="00D52F0C">
        <w:rPr>
          <w:rFonts w:asciiTheme="majorHAnsi" w:hAnsiTheme="majorHAnsi" w:cs="Times New Roman"/>
          <w:i/>
          <w:iCs/>
          <w:color w:val="auto"/>
          <w:sz w:val="20"/>
          <w:szCs w:val="20"/>
          <w:lang w:val="tr-TR"/>
        </w:rPr>
        <w:t>27,</w:t>
      </w:r>
      <w:r w:rsidRPr="00D52F0C">
        <w:rPr>
          <w:rFonts w:asciiTheme="majorHAnsi" w:hAnsiTheme="majorHAnsi" w:cs="Times New Roman"/>
          <w:color w:val="auto"/>
          <w:sz w:val="20"/>
          <w:szCs w:val="20"/>
          <w:lang w:val="tr-TR"/>
        </w:rPr>
        <w:t xml:space="preserve"> 276–292.</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lastRenderedPageBreak/>
        <w:t>Skinner, E. A., Kindermann, T. A., &amp; Furrer, C. J. (2008). A motivational perspective on engagement and disaffection: Conceptualization and assessment of children’s behavioral and emotional participation in academic activities in the classroom. </w:t>
      </w:r>
      <w:r w:rsidRPr="00D52F0C">
        <w:rPr>
          <w:rFonts w:asciiTheme="majorHAnsi" w:hAnsiTheme="majorHAnsi" w:cs="Times New Roman"/>
          <w:i/>
          <w:iCs/>
          <w:color w:val="auto"/>
          <w:sz w:val="20"/>
          <w:szCs w:val="20"/>
          <w:lang w:val="tr-TR"/>
        </w:rPr>
        <w:t>Educational and Psychological Measurement</w:t>
      </w:r>
      <w:r w:rsidRPr="00D52F0C">
        <w:rPr>
          <w:rFonts w:asciiTheme="majorHAnsi" w:hAnsiTheme="majorHAnsi" w:cs="Times New Roman"/>
          <w:color w:val="auto"/>
          <w:sz w:val="20"/>
          <w:szCs w:val="20"/>
          <w:lang w:val="tr-TR"/>
        </w:rPr>
        <w:t>.</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t>Skinner, E. A., Kindermann, T. A., Connell, J. P., &amp; Wellborn, J. G. (2009). Engagement and disaffection as organizational constructs in the dynamics of motivational development.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Handbook of motivation at school</w:t>
      </w:r>
      <w:r w:rsidRPr="00D52F0C">
        <w:rPr>
          <w:rFonts w:asciiTheme="majorHAnsi" w:hAnsiTheme="majorHAnsi" w:cs="Times New Roman"/>
          <w:color w:val="auto"/>
          <w:sz w:val="20"/>
          <w:szCs w:val="20"/>
          <w:shd w:val="clear" w:color="auto" w:fill="FFFFFF"/>
          <w:lang w:val="tr-TR"/>
        </w:rPr>
        <w:t>, 223-245.</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Skinner, E., &amp; Belmont, M. J. (1993). Motivation in the classroom: Reciprocal effect of teacher behavior and student engagement across the school year. </w:t>
      </w:r>
      <w:r w:rsidRPr="00D52F0C">
        <w:rPr>
          <w:rFonts w:asciiTheme="majorHAnsi" w:hAnsiTheme="majorHAnsi" w:cs="Times New Roman"/>
          <w:i/>
          <w:iCs/>
          <w:color w:val="auto"/>
          <w:sz w:val="20"/>
          <w:szCs w:val="20"/>
          <w:lang w:val="tr-TR"/>
        </w:rPr>
        <w:t xml:space="preserve">Journal of Educational Psychology, </w:t>
      </w:r>
      <w:r w:rsidR="00960485" w:rsidRPr="00D52F0C">
        <w:rPr>
          <w:rFonts w:asciiTheme="majorHAnsi" w:hAnsiTheme="majorHAnsi" w:cs="Times New Roman"/>
          <w:i/>
          <w:iCs/>
          <w:color w:val="auto"/>
          <w:sz w:val="20"/>
          <w:szCs w:val="20"/>
          <w:lang w:val="tr-TR"/>
        </w:rPr>
        <w:t>85,</w:t>
      </w:r>
      <w:r w:rsidRPr="00D52F0C">
        <w:rPr>
          <w:rFonts w:asciiTheme="majorHAnsi" w:hAnsiTheme="majorHAnsi" w:cs="Times New Roman"/>
          <w:color w:val="auto"/>
          <w:sz w:val="20"/>
          <w:szCs w:val="20"/>
          <w:lang w:val="tr-TR"/>
        </w:rPr>
        <w:t xml:space="preserve"> 571–581.</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Sungur, S. (2004). </w:t>
      </w:r>
      <w:r w:rsidRPr="00D52F0C">
        <w:rPr>
          <w:rFonts w:asciiTheme="majorHAnsi" w:hAnsiTheme="majorHAnsi" w:cs="Times New Roman"/>
          <w:i/>
          <w:iCs/>
          <w:color w:val="auto"/>
          <w:sz w:val="20"/>
          <w:szCs w:val="20"/>
          <w:lang w:val="tr-TR"/>
        </w:rPr>
        <w:t>An implementation of problem based learning in high school biology courses</w:t>
      </w:r>
      <w:r w:rsidRPr="00D52F0C">
        <w:rPr>
          <w:rFonts w:asciiTheme="majorHAnsi" w:hAnsiTheme="majorHAnsi" w:cs="Times New Roman"/>
          <w:color w:val="auto"/>
          <w:sz w:val="20"/>
          <w:szCs w:val="20"/>
          <w:lang w:val="tr-TR"/>
        </w:rPr>
        <w:t xml:space="preserve"> (Doctoral dissertation, Middle East Technical University). </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t>Uğur, E., &amp; Akın, A. (2015). The Psychometric Properties of Turkish Version of the Student Engagement Scale.</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SDU International Journal of Educational Studies</w:t>
      </w:r>
      <w:r w:rsidRPr="00D52F0C">
        <w:rPr>
          <w:rFonts w:asciiTheme="majorHAnsi" w:hAnsiTheme="majorHAnsi" w:cs="Times New Roman"/>
          <w:color w:val="auto"/>
          <w:sz w:val="20"/>
          <w:szCs w:val="20"/>
          <w:shd w:val="clear" w:color="auto" w:fill="FFFFFF"/>
          <w:lang w:val="tr-TR"/>
        </w:rPr>
        <w: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2</w:t>
      </w:r>
      <w:r w:rsidRPr="00D52F0C">
        <w:rPr>
          <w:rFonts w:asciiTheme="majorHAnsi" w:hAnsiTheme="majorHAnsi" w:cs="Times New Roman"/>
          <w:color w:val="auto"/>
          <w:sz w:val="20"/>
          <w:szCs w:val="20"/>
          <w:shd w:val="clear" w:color="auto" w:fill="FFFFFF"/>
          <w:lang w:val="tr-TR"/>
        </w:rPr>
        <w:t>(1), 53-59.</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Voelkl, K. E. (1996). Measuring students’ identification with school. </w:t>
      </w:r>
      <w:r w:rsidRPr="00D52F0C">
        <w:rPr>
          <w:rFonts w:asciiTheme="majorHAnsi" w:hAnsiTheme="majorHAnsi" w:cs="Times New Roman"/>
          <w:i/>
          <w:iCs/>
          <w:color w:val="auto"/>
          <w:sz w:val="20"/>
          <w:szCs w:val="20"/>
          <w:lang w:val="tr-TR"/>
        </w:rPr>
        <w:t>Educational and Psychological</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Walker, C. O., Greene, B. A., &amp; Mansell, R. A. (2006). Identification with academics, intrinsic/extrinsic motivation, and self-efficacy as predictors of cognitive engagement. </w:t>
      </w:r>
      <w:r w:rsidRPr="00D52F0C">
        <w:rPr>
          <w:rFonts w:asciiTheme="majorHAnsi" w:hAnsiTheme="majorHAnsi" w:cs="Times New Roman"/>
          <w:i/>
          <w:iCs/>
          <w:color w:val="auto"/>
          <w:sz w:val="20"/>
          <w:szCs w:val="20"/>
          <w:lang w:val="tr-TR"/>
        </w:rPr>
        <w:t>Learning and Individual Differences</w:t>
      </w:r>
      <w:r w:rsidRPr="00D52F0C">
        <w:rPr>
          <w:rFonts w:asciiTheme="majorHAnsi" w:hAnsiTheme="majorHAnsi" w:cs="Times New Roman"/>
          <w:color w:val="auto"/>
          <w:sz w:val="20"/>
          <w:szCs w:val="20"/>
          <w:lang w:val="tr-TR"/>
        </w:rPr>
        <w:t>, </w:t>
      </w:r>
      <w:r w:rsidRPr="00D52F0C">
        <w:rPr>
          <w:rFonts w:asciiTheme="majorHAnsi" w:hAnsiTheme="majorHAnsi" w:cs="Times New Roman"/>
          <w:i/>
          <w:iCs/>
          <w:color w:val="auto"/>
          <w:sz w:val="20"/>
          <w:szCs w:val="20"/>
          <w:lang w:val="tr-TR"/>
        </w:rPr>
        <w:t>16</w:t>
      </w:r>
      <w:r w:rsidRPr="00D52F0C">
        <w:rPr>
          <w:rFonts w:asciiTheme="majorHAnsi" w:hAnsiTheme="majorHAnsi" w:cs="Times New Roman"/>
          <w:color w:val="auto"/>
          <w:sz w:val="20"/>
          <w:szCs w:val="20"/>
          <w:lang w:val="tr-TR"/>
        </w:rPr>
        <w:t>(1), 1-12.</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Wellborn, J. G. (1991). </w:t>
      </w:r>
      <w:r w:rsidRPr="00D52F0C">
        <w:rPr>
          <w:rFonts w:asciiTheme="majorHAnsi" w:hAnsiTheme="majorHAnsi" w:cs="Times New Roman"/>
          <w:i/>
          <w:iCs/>
          <w:color w:val="auto"/>
          <w:sz w:val="20"/>
          <w:szCs w:val="20"/>
          <w:lang w:val="tr-TR"/>
        </w:rPr>
        <w:t>Engaged and disaffected action: The conceptualization and measurement of motivation in the academic domain</w:t>
      </w:r>
      <w:r w:rsidRPr="00D52F0C">
        <w:rPr>
          <w:rFonts w:asciiTheme="majorHAnsi" w:hAnsiTheme="majorHAnsi" w:cs="Times New Roman"/>
          <w:color w:val="auto"/>
          <w:sz w:val="20"/>
          <w:szCs w:val="20"/>
          <w:lang w:val="tr-TR"/>
        </w:rPr>
        <w:t>. (Unpublished doctoral dissertation). University of Rochester, Rochester, NY.</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eastAsia="TimesNewRoman" w:hAnsiTheme="majorHAnsi" w:cs="Times New Roman"/>
          <w:color w:val="auto"/>
          <w:sz w:val="20"/>
          <w:szCs w:val="20"/>
          <w:lang w:val="tr-TR"/>
        </w:rPr>
        <w:t xml:space="preserve">Weng, L.J. (2004). </w:t>
      </w:r>
      <w:r w:rsidRPr="00D52F0C">
        <w:rPr>
          <w:rFonts w:asciiTheme="majorHAnsi" w:hAnsiTheme="majorHAnsi" w:cs="Times New Roman"/>
          <w:color w:val="auto"/>
          <w:sz w:val="20"/>
          <w:szCs w:val="20"/>
          <w:lang w:val="tr-TR"/>
        </w:rPr>
        <w:t xml:space="preserve">Impact of the number of response categories and anchor labels on coefficient alpha and test-retest reliability. </w:t>
      </w:r>
      <w:r w:rsidRPr="00D52F0C">
        <w:rPr>
          <w:rStyle w:val="HTMLCite"/>
          <w:rFonts w:asciiTheme="majorHAnsi" w:hAnsiTheme="majorHAnsi" w:cs="Times New Roman"/>
          <w:color w:val="auto"/>
          <w:sz w:val="20"/>
          <w:szCs w:val="20"/>
          <w:lang w:val="tr-TR"/>
        </w:rPr>
        <w:t>Educational and Psychological Measurement</w:t>
      </w:r>
      <w:r w:rsidRPr="00D52F0C">
        <w:rPr>
          <w:rFonts w:asciiTheme="majorHAnsi" w:hAnsiTheme="majorHAnsi" w:cs="Times New Roman"/>
          <w:color w:val="auto"/>
          <w:sz w:val="20"/>
          <w:szCs w:val="20"/>
          <w:lang w:val="tr-TR"/>
        </w:rPr>
        <w:t xml:space="preserve">, </w:t>
      </w:r>
      <w:r w:rsidRPr="00D52F0C">
        <w:rPr>
          <w:rFonts w:asciiTheme="majorHAnsi" w:hAnsiTheme="majorHAnsi" w:cs="Times New Roman"/>
          <w:i/>
          <w:color w:val="auto"/>
          <w:sz w:val="20"/>
          <w:szCs w:val="20"/>
          <w:lang w:val="tr-TR"/>
        </w:rPr>
        <w:t>64,</w:t>
      </w:r>
      <w:r w:rsidRPr="00D52F0C">
        <w:rPr>
          <w:rFonts w:asciiTheme="majorHAnsi" w:hAnsiTheme="majorHAnsi" w:cs="Times New Roman"/>
          <w:color w:val="auto"/>
          <w:sz w:val="20"/>
          <w:szCs w:val="20"/>
          <w:lang w:val="tr-TR"/>
        </w:rPr>
        <w:t xml:space="preserve"> 956-972. </w:t>
      </w:r>
    </w:p>
    <w:p w:rsidR="00993FFF" w:rsidRPr="00D52F0C" w:rsidRDefault="00993FFF" w:rsidP="00C01287">
      <w:pPr>
        <w:spacing w:before="120" w:after="0" w:line="60" w:lineRule="atLeast"/>
        <w:ind w:left="426" w:hanging="426"/>
        <w:jc w:val="both"/>
        <w:rPr>
          <w:rFonts w:asciiTheme="majorHAnsi" w:hAnsiTheme="majorHAnsi" w:cs="Times New Roman"/>
          <w:color w:val="auto"/>
          <w:sz w:val="20"/>
          <w:szCs w:val="20"/>
          <w:shd w:val="clear" w:color="auto" w:fill="FFFFFF"/>
          <w:lang w:val="tr-TR"/>
        </w:rPr>
      </w:pPr>
      <w:r w:rsidRPr="00D52F0C">
        <w:rPr>
          <w:rFonts w:asciiTheme="majorHAnsi" w:hAnsiTheme="majorHAnsi" w:cs="Times New Roman"/>
          <w:color w:val="auto"/>
          <w:sz w:val="20"/>
          <w:szCs w:val="20"/>
          <w:shd w:val="clear" w:color="auto" w:fill="FFFFFF"/>
          <w:lang w:val="tr-TR"/>
        </w:rPr>
        <w:t>Wigfield, A., Guthrie, J. T., Perencevich, K. C., Taboada, A., Klauda, S. L., McRae, A., &amp; Barbosa, P. (2008). Role of reading engagement in mediating effects of reading comprehension instruction on reading outcomes.</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Psychology in the Schools</w:t>
      </w:r>
      <w:r w:rsidRPr="00D52F0C">
        <w:rPr>
          <w:rFonts w:asciiTheme="majorHAnsi" w:hAnsiTheme="majorHAnsi" w:cs="Times New Roman"/>
          <w:color w:val="auto"/>
          <w:sz w:val="20"/>
          <w:szCs w:val="20"/>
          <w:shd w:val="clear" w:color="auto" w:fill="FFFFFF"/>
          <w:lang w:val="tr-TR"/>
        </w:rPr>
        <w:t>,</w:t>
      </w:r>
      <w:r w:rsidRPr="00D52F0C">
        <w:rPr>
          <w:rStyle w:val="apple-converted-space"/>
          <w:rFonts w:asciiTheme="majorHAnsi" w:hAnsiTheme="majorHAnsi" w:cs="Times New Roman"/>
          <w:color w:val="auto"/>
          <w:sz w:val="20"/>
          <w:szCs w:val="20"/>
          <w:shd w:val="clear" w:color="auto" w:fill="FFFFFF"/>
          <w:lang w:val="tr-TR"/>
        </w:rPr>
        <w:t> </w:t>
      </w:r>
      <w:r w:rsidRPr="00D52F0C">
        <w:rPr>
          <w:rFonts w:asciiTheme="majorHAnsi" w:hAnsiTheme="majorHAnsi" w:cs="Times New Roman"/>
          <w:i/>
          <w:iCs/>
          <w:color w:val="auto"/>
          <w:sz w:val="20"/>
          <w:szCs w:val="20"/>
          <w:shd w:val="clear" w:color="auto" w:fill="FFFFFF"/>
          <w:lang w:val="tr-TR"/>
        </w:rPr>
        <w:t>45</w:t>
      </w:r>
      <w:r w:rsidRPr="00D52F0C">
        <w:rPr>
          <w:rFonts w:asciiTheme="majorHAnsi" w:hAnsiTheme="majorHAnsi" w:cs="Times New Roman"/>
          <w:color w:val="auto"/>
          <w:sz w:val="20"/>
          <w:szCs w:val="20"/>
          <w:shd w:val="clear" w:color="auto" w:fill="FFFFFF"/>
          <w:lang w:val="tr-TR"/>
        </w:rPr>
        <w:t>(5), 432-445.</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sz w:val="20"/>
          <w:szCs w:val="20"/>
        </w:rPr>
      </w:pPr>
      <w:r w:rsidRPr="00D52F0C">
        <w:rPr>
          <w:rFonts w:asciiTheme="majorHAnsi" w:hAnsiTheme="majorHAnsi" w:cs="Arial"/>
          <w:color w:val="222222"/>
          <w:sz w:val="20"/>
          <w:szCs w:val="20"/>
          <w:shd w:val="clear" w:color="auto" w:fill="FFFFFF"/>
        </w:rPr>
        <w:t>Wolters, C. A. (2004). Advancing Achievement Goal Theory: Using Goal Structures and Goal Orientations to Predict Students' Motivation, Cognition, and Achievement.</w:t>
      </w:r>
      <w:r w:rsidRPr="00D52F0C">
        <w:rPr>
          <w:rStyle w:val="apple-converted-space"/>
          <w:rFonts w:asciiTheme="majorHAnsi" w:hAnsiTheme="majorHAnsi" w:cs="Arial"/>
          <w:color w:val="222222"/>
          <w:sz w:val="20"/>
          <w:szCs w:val="20"/>
          <w:shd w:val="clear" w:color="auto" w:fill="FFFFFF"/>
        </w:rPr>
        <w:t> </w:t>
      </w:r>
      <w:r w:rsidRPr="00D52F0C">
        <w:rPr>
          <w:rFonts w:asciiTheme="majorHAnsi" w:hAnsiTheme="majorHAnsi"/>
          <w:i/>
          <w:iCs/>
          <w:sz w:val="20"/>
          <w:szCs w:val="20"/>
        </w:rPr>
        <w:t>Journal of educational psychology</w:t>
      </w:r>
      <w:r w:rsidRPr="00D52F0C">
        <w:rPr>
          <w:rFonts w:asciiTheme="majorHAnsi" w:hAnsiTheme="majorHAnsi"/>
          <w:sz w:val="20"/>
          <w:szCs w:val="20"/>
        </w:rPr>
        <w:t>,</w:t>
      </w:r>
      <w:r w:rsidRPr="00D52F0C">
        <w:rPr>
          <w:rStyle w:val="apple-converted-space"/>
          <w:rFonts w:asciiTheme="majorHAnsi" w:hAnsiTheme="majorHAnsi"/>
          <w:sz w:val="20"/>
          <w:szCs w:val="20"/>
        </w:rPr>
        <w:t> </w:t>
      </w:r>
      <w:r w:rsidRPr="00D52F0C">
        <w:rPr>
          <w:rFonts w:asciiTheme="majorHAnsi" w:hAnsiTheme="majorHAnsi"/>
          <w:i/>
          <w:iCs/>
          <w:sz w:val="20"/>
          <w:szCs w:val="20"/>
        </w:rPr>
        <w:t>96</w:t>
      </w:r>
      <w:r w:rsidRPr="00D52F0C">
        <w:rPr>
          <w:rFonts w:asciiTheme="majorHAnsi" w:hAnsiTheme="majorHAnsi"/>
          <w:sz w:val="20"/>
          <w:szCs w:val="20"/>
        </w:rPr>
        <w:t>(2), 236.</w:t>
      </w:r>
    </w:p>
    <w:p w:rsidR="00993FFF" w:rsidRPr="00D52F0C" w:rsidRDefault="00993FFF" w:rsidP="00C01287">
      <w:pPr>
        <w:autoSpaceDE w:val="0"/>
        <w:autoSpaceDN w:val="0"/>
        <w:adjustRightInd w:val="0"/>
        <w:spacing w:before="120" w:after="0" w:line="60" w:lineRule="atLeast"/>
        <w:ind w:left="426" w:hanging="426"/>
        <w:jc w:val="both"/>
        <w:rPr>
          <w:rFonts w:asciiTheme="majorHAnsi" w:hAnsiTheme="majorHAnsi" w:cs="Times New Roman"/>
          <w:color w:val="auto"/>
          <w:sz w:val="20"/>
          <w:szCs w:val="20"/>
          <w:lang w:val="tr-TR"/>
        </w:rPr>
      </w:pPr>
      <w:r w:rsidRPr="00D52F0C">
        <w:rPr>
          <w:rFonts w:asciiTheme="majorHAnsi" w:hAnsiTheme="majorHAnsi" w:cs="Times New Roman"/>
          <w:color w:val="auto"/>
          <w:sz w:val="20"/>
          <w:szCs w:val="20"/>
          <w:lang w:val="tr-TR"/>
        </w:rPr>
        <w:t xml:space="preserve">Yazzie- Mintz, E. (2007). </w:t>
      </w:r>
      <w:r w:rsidRPr="00D52F0C">
        <w:rPr>
          <w:rFonts w:asciiTheme="majorHAnsi" w:hAnsiTheme="majorHAnsi" w:cs="Times New Roman"/>
          <w:i/>
          <w:iCs/>
          <w:color w:val="auto"/>
          <w:sz w:val="20"/>
          <w:szCs w:val="20"/>
          <w:lang w:val="tr-TR"/>
        </w:rPr>
        <w:t>Voices of students on engagement: A report on the 2006 High School Survey of Student Engagement</w:t>
      </w:r>
      <w:r w:rsidRPr="00D52F0C">
        <w:rPr>
          <w:rFonts w:asciiTheme="majorHAnsi" w:hAnsiTheme="majorHAnsi" w:cs="Times New Roman"/>
          <w:color w:val="auto"/>
          <w:sz w:val="20"/>
          <w:szCs w:val="20"/>
          <w:lang w:val="tr-TR"/>
        </w:rPr>
        <w:t xml:space="preserve">. Bloomington, IN: Center for Evaluation &amp; Educational Policy, Indiana University. </w:t>
      </w:r>
    </w:p>
    <w:p w:rsidR="00993FFF" w:rsidRPr="00D52F0C" w:rsidRDefault="00993FFF" w:rsidP="00E94E92">
      <w:pPr>
        <w:spacing w:line="60" w:lineRule="atLeast"/>
        <w:jc w:val="both"/>
        <w:rPr>
          <w:rFonts w:asciiTheme="majorHAnsi" w:hAnsiTheme="majorHAnsi"/>
          <w:b/>
          <w:color w:val="auto"/>
          <w:sz w:val="20"/>
          <w:szCs w:val="20"/>
          <w:lang w:val="tr-TR"/>
        </w:rPr>
      </w:pPr>
      <w:r w:rsidRPr="00D52F0C">
        <w:rPr>
          <w:rFonts w:asciiTheme="majorHAnsi" w:hAnsiTheme="majorHAnsi"/>
          <w:b/>
          <w:color w:val="auto"/>
          <w:sz w:val="20"/>
          <w:szCs w:val="20"/>
          <w:lang w:val="tr-TR"/>
        </w:rPr>
        <w:br w:type="page"/>
      </w:r>
    </w:p>
    <w:p w:rsidR="00E94E92" w:rsidRPr="001775C1" w:rsidRDefault="00E94E92" w:rsidP="00E94E92">
      <w:pPr>
        <w:spacing w:after="0" w:line="240" w:lineRule="auto"/>
        <w:ind w:firstLine="720"/>
        <w:jc w:val="both"/>
        <w:rPr>
          <w:rFonts w:asciiTheme="majorHAnsi" w:hAnsiTheme="majorHAnsi" w:cs="Times New Roman"/>
          <w:b/>
          <w:i/>
        </w:rPr>
      </w:pPr>
    </w:p>
    <w:p w:rsidR="00E94E92" w:rsidRPr="001775C1" w:rsidRDefault="00E94E92" w:rsidP="00E94E92">
      <w:pPr>
        <w:rPr>
          <w:rFonts w:asciiTheme="majorHAnsi" w:hAnsiTheme="majorHAnsi"/>
          <w:b/>
        </w:rPr>
      </w:pPr>
    </w:p>
    <w:p w:rsidR="0002602A" w:rsidRPr="001775C1" w:rsidRDefault="00044764" w:rsidP="00B41093">
      <w:pPr>
        <w:spacing w:after="0" w:line="240" w:lineRule="auto"/>
        <w:jc w:val="center"/>
        <w:rPr>
          <w:rFonts w:asciiTheme="majorHAnsi" w:hAnsiTheme="majorHAnsi"/>
          <w:b/>
        </w:rPr>
      </w:pPr>
      <w:r w:rsidRPr="001775C1">
        <w:rPr>
          <w:rFonts w:asciiTheme="majorHAnsi" w:hAnsiTheme="majorHAnsi"/>
          <w:b/>
        </w:rPr>
        <w:t>A</w:t>
      </w:r>
      <w:r w:rsidR="0075576C" w:rsidRPr="001775C1">
        <w:rPr>
          <w:rFonts w:asciiTheme="majorHAnsi" w:hAnsiTheme="majorHAnsi"/>
          <w:b/>
        </w:rPr>
        <w:t>ppendix</w:t>
      </w:r>
      <w:r w:rsidR="00F1139A" w:rsidRPr="001775C1">
        <w:rPr>
          <w:rFonts w:asciiTheme="majorHAnsi" w:hAnsiTheme="majorHAnsi"/>
          <w:b/>
        </w:rPr>
        <w:t>- Engagement Questionnaire</w:t>
      </w:r>
    </w:p>
    <w:tbl>
      <w:tblPr>
        <w:tblpPr w:leftFromText="180" w:rightFromText="180" w:vertAnchor="text" w:horzAnchor="margin" w:tblpX="-214" w:tblpY="108"/>
        <w:tblW w:w="10240" w:type="dxa"/>
        <w:tblLayout w:type="fixed"/>
        <w:tblCellMar>
          <w:left w:w="70" w:type="dxa"/>
          <w:right w:w="70" w:type="dxa"/>
        </w:tblCellMar>
        <w:tblLook w:val="04A0" w:firstRow="1" w:lastRow="0" w:firstColumn="1" w:lastColumn="0" w:noHBand="0" w:noVBand="1"/>
      </w:tblPr>
      <w:tblGrid>
        <w:gridCol w:w="7951"/>
        <w:gridCol w:w="572"/>
        <w:gridCol w:w="572"/>
        <w:gridCol w:w="572"/>
        <w:gridCol w:w="573"/>
      </w:tblGrid>
      <w:tr w:rsidR="009B1BB3" w:rsidRPr="00853750" w:rsidTr="00421313">
        <w:trPr>
          <w:cantSplit/>
          <w:trHeight w:val="1423"/>
        </w:trPr>
        <w:tc>
          <w:tcPr>
            <w:tcW w:w="7951" w:type="dxa"/>
            <w:tcBorders>
              <w:top w:val="single" w:sz="4" w:space="0" w:color="auto"/>
              <w:left w:val="single" w:sz="8" w:space="0" w:color="000000"/>
              <w:bottom w:val="single" w:sz="8" w:space="0" w:color="auto"/>
              <w:right w:val="single" w:sz="8" w:space="0" w:color="000000"/>
            </w:tcBorders>
            <w:shd w:val="clear" w:color="auto" w:fill="auto"/>
            <w:vAlign w:val="center"/>
            <w:hideMark/>
          </w:tcPr>
          <w:p w:rsidR="009B1BB3" w:rsidRPr="00853750" w:rsidRDefault="009B1BB3" w:rsidP="00B41093">
            <w:pPr>
              <w:autoSpaceDE w:val="0"/>
              <w:autoSpaceDN w:val="0"/>
              <w:adjustRightInd w:val="0"/>
              <w:spacing w:line="240" w:lineRule="auto"/>
              <w:ind w:left="-142"/>
              <w:jc w:val="center"/>
              <w:rPr>
                <w:rFonts w:asciiTheme="majorHAnsi" w:hAnsiTheme="majorHAnsi"/>
                <w:sz w:val="20"/>
                <w:szCs w:val="20"/>
              </w:rPr>
            </w:pPr>
          </w:p>
        </w:tc>
        <w:tc>
          <w:tcPr>
            <w:tcW w:w="572" w:type="dxa"/>
            <w:tcBorders>
              <w:top w:val="single" w:sz="4" w:space="0" w:color="auto"/>
              <w:left w:val="nil"/>
              <w:bottom w:val="single" w:sz="8" w:space="0" w:color="auto"/>
              <w:right w:val="single" w:sz="8" w:space="0" w:color="000000"/>
            </w:tcBorders>
            <w:shd w:val="clear" w:color="auto" w:fill="auto"/>
            <w:textDirection w:val="btLr"/>
            <w:vAlign w:val="center"/>
            <w:hideMark/>
          </w:tcPr>
          <w:p w:rsidR="009B1BB3" w:rsidRPr="00853750" w:rsidRDefault="009B1BB3" w:rsidP="00B41093">
            <w:pPr>
              <w:spacing w:line="240" w:lineRule="auto"/>
              <w:ind w:left="-142" w:right="113"/>
              <w:jc w:val="center"/>
              <w:rPr>
                <w:rFonts w:asciiTheme="majorHAnsi" w:hAnsiTheme="majorHAnsi"/>
                <w:b/>
                <w:bCs/>
                <w:sz w:val="20"/>
                <w:szCs w:val="20"/>
              </w:rPr>
            </w:pPr>
            <w:proofErr w:type="spellStart"/>
            <w:r w:rsidRPr="00853750">
              <w:rPr>
                <w:rFonts w:asciiTheme="majorHAnsi" w:hAnsiTheme="majorHAnsi"/>
                <w:b/>
                <w:bCs/>
                <w:sz w:val="20"/>
                <w:szCs w:val="20"/>
              </w:rPr>
              <w:t>Kesinlikle</w:t>
            </w:r>
            <w:proofErr w:type="spellEnd"/>
            <w:r w:rsidRPr="00853750">
              <w:rPr>
                <w:rFonts w:asciiTheme="majorHAnsi" w:hAnsiTheme="majorHAnsi"/>
                <w:b/>
                <w:bCs/>
                <w:sz w:val="20"/>
                <w:szCs w:val="20"/>
              </w:rPr>
              <w:t xml:space="preserve"> </w:t>
            </w:r>
            <w:proofErr w:type="spellStart"/>
            <w:r w:rsidRPr="00853750">
              <w:rPr>
                <w:rFonts w:asciiTheme="majorHAnsi" w:hAnsiTheme="majorHAnsi"/>
                <w:b/>
                <w:bCs/>
                <w:sz w:val="20"/>
                <w:szCs w:val="20"/>
              </w:rPr>
              <w:t>katılmıyorum</w:t>
            </w:r>
            <w:proofErr w:type="spellEnd"/>
          </w:p>
        </w:tc>
        <w:tc>
          <w:tcPr>
            <w:tcW w:w="572" w:type="dxa"/>
            <w:tcBorders>
              <w:top w:val="single" w:sz="4" w:space="0" w:color="auto"/>
              <w:left w:val="nil"/>
              <w:bottom w:val="single" w:sz="8" w:space="0" w:color="auto"/>
              <w:right w:val="single" w:sz="8" w:space="0" w:color="000000"/>
            </w:tcBorders>
            <w:shd w:val="clear" w:color="auto" w:fill="auto"/>
            <w:textDirection w:val="btLr"/>
            <w:vAlign w:val="center"/>
            <w:hideMark/>
          </w:tcPr>
          <w:p w:rsidR="009B1BB3" w:rsidRPr="00853750" w:rsidRDefault="009B1BB3" w:rsidP="00B41093">
            <w:pPr>
              <w:spacing w:line="240" w:lineRule="auto"/>
              <w:ind w:left="-142" w:right="113"/>
              <w:jc w:val="center"/>
              <w:rPr>
                <w:rFonts w:asciiTheme="majorHAnsi" w:hAnsiTheme="majorHAnsi"/>
                <w:b/>
                <w:bCs/>
                <w:sz w:val="20"/>
                <w:szCs w:val="20"/>
              </w:rPr>
            </w:pPr>
            <w:proofErr w:type="spellStart"/>
            <w:r w:rsidRPr="00853750">
              <w:rPr>
                <w:rFonts w:asciiTheme="majorHAnsi" w:hAnsiTheme="majorHAnsi"/>
                <w:b/>
                <w:bCs/>
                <w:sz w:val="20"/>
                <w:szCs w:val="20"/>
              </w:rPr>
              <w:t>Katılmıyorm</w:t>
            </w:r>
            <w:proofErr w:type="spellEnd"/>
          </w:p>
        </w:tc>
        <w:tc>
          <w:tcPr>
            <w:tcW w:w="572" w:type="dxa"/>
            <w:tcBorders>
              <w:top w:val="single" w:sz="4" w:space="0" w:color="auto"/>
              <w:left w:val="nil"/>
              <w:bottom w:val="single" w:sz="8" w:space="0" w:color="auto"/>
              <w:right w:val="single" w:sz="8" w:space="0" w:color="000000"/>
            </w:tcBorders>
            <w:shd w:val="clear" w:color="auto" w:fill="auto"/>
            <w:textDirection w:val="btLr"/>
            <w:vAlign w:val="center"/>
            <w:hideMark/>
          </w:tcPr>
          <w:p w:rsidR="009B1BB3" w:rsidRPr="00853750" w:rsidRDefault="009B1BB3" w:rsidP="00B41093">
            <w:pPr>
              <w:spacing w:line="240" w:lineRule="auto"/>
              <w:ind w:left="-142" w:right="113"/>
              <w:jc w:val="center"/>
              <w:rPr>
                <w:rFonts w:asciiTheme="majorHAnsi" w:hAnsiTheme="majorHAnsi"/>
                <w:b/>
                <w:bCs/>
                <w:sz w:val="20"/>
                <w:szCs w:val="20"/>
              </w:rPr>
            </w:pPr>
            <w:proofErr w:type="spellStart"/>
            <w:r w:rsidRPr="00853750">
              <w:rPr>
                <w:rFonts w:asciiTheme="majorHAnsi" w:hAnsiTheme="majorHAnsi"/>
                <w:b/>
                <w:bCs/>
                <w:sz w:val="20"/>
                <w:szCs w:val="20"/>
              </w:rPr>
              <w:t>Katılıyorum</w:t>
            </w:r>
            <w:proofErr w:type="spellEnd"/>
          </w:p>
        </w:tc>
        <w:tc>
          <w:tcPr>
            <w:tcW w:w="573" w:type="dxa"/>
            <w:tcBorders>
              <w:top w:val="single" w:sz="4" w:space="0" w:color="auto"/>
              <w:left w:val="nil"/>
              <w:bottom w:val="single" w:sz="8" w:space="0" w:color="auto"/>
              <w:right w:val="single" w:sz="8" w:space="0" w:color="000000"/>
            </w:tcBorders>
            <w:shd w:val="clear" w:color="auto" w:fill="auto"/>
            <w:textDirection w:val="btLr"/>
            <w:vAlign w:val="center"/>
            <w:hideMark/>
          </w:tcPr>
          <w:p w:rsidR="009B1BB3" w:rsidRPr="00853750" w:rsidRDefault="009B1BB3" w:rsidP="00B41093">
            <w:pPr>
              <w:spacing w:line="240" w:lineRule="auto"/>
              <w:ind w:left="-142" w:right="113"/>
              <w:jc w:val="center"/>
              <w:rPr>
                <w:rFonts w:asciiTheme="majorHAnsi" w:hAnsiTheme="majorHAnsi"/>
                <w:b/>
                <w:bCs/>
                <w:sz w:val="20"/>
                <w:szCs w:val="20"/>
              </w:rPr>
            </w:pPr>
            <w:proofErr w:type="spellStart"/>
            <w:r w:rsidRPr="00853750">
              <w:rPr>
                <w:rFonts w:asciiTheme="majorHAnsi" w:hAnsiTheme="majorHAnsi"/>
                <w:b/>
                <w:bCs/>
                <w:sz w:val="20"/>
                <w:szCs w:val="20"/>
              </w:rPr>
              <w:t>Kesinlikle</w:t>
            </w:r>
            <w:proofErr w:type="spellEnd"/>
            <w:r w:rsidRPr="00853750">
              <w:rPr>
                <w:rFonts w:asciiTheme="majorHAnsi" w:hAnsiTheme="majorHAnsi"/>
                <w:b/>
                <w:bCs/>
                <w:sz w:val="20"/>
                <w:szCs w:val="20"/>
              </w:rPr>
              <w:t xml:space="preserve"> </w:t>
            </w:r>
            <w:proofErr w:type="spellStart"/>
            <w:r w:rsidRPr="00853750">
              <w:rPr>
                <w:rFonts w:asciiTheme="majorHAnsi" w:hAnsiTheme="majorHAnsi"/>
                <w:b/>
                <w:bCs/>
                <w:sz w:val="20"/>
                <w:szCs w:val="20"/>
              </w:rPr>
              <w:t>Katılıyorum</w:t>
            </w:r>
            <w:proofErr w:type="spellEnd"/>
          </w:p>
        </w:tc>
      </w:tr>
      <w:tr w:rsidR="009B1BB3" w:rsidRPr="00853750" w:rsidTr="00421313">
        <w:trPr>
          <w:trHeight w:val="235"/>
        </w:trPr>
        <w:tc>
          <w:tcPr>
            <w:tcW w:w="7951" w:type="dxa"/>
            <w:tcBorders>
              <w:top w:val="single" w:sz="8" w:space="0" w:color="auto"/>
              <w:left w:val="single" w:sz="8" w:space="0" w:color="000000"/>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1) Fen </w:t>
            </w:r>
            <w:proofErr w:type="spellStart"/>
            <w:r w:rsidRPr="00853750">
              <w:rPr>
                <w:rFonts w:asciiTheme="majorHAnsi" w:hAnsiTheme="majorHAnsi"/>
                <w:sz w:val="20"/>
                <w:szCs w:val="20"/>
              </w:rPr>
              <w:t>dersinde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öğretmenime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sorular</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sorarım</w:t>
            </w:r>
            <w:proofErr w:type="spellEnd"/>
            <w:r w:rsidRPr="00853750">
              <w:rPr>
                <w:rFonts w:asciiTheme="majorHAnsi" w:hAnsiTheme="majorHAnsi"/>
                <w:sz w:val="20"/>
                <w:szCs w:val="20"/>
              </w:rPr>
              <w:t>.</w:t>
            </w:r>
          </w:p>
        </w:tc>
        <w:tc>
          <w:tcPr>
            <w:tcW w:w="572" w:type="dxa"/>
            <w:tcBorders>
              <w:top w:val="single" w:sz="8" w:space="0" w:color="auto"/>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single" w:sz="8" w:space="0" w:color="auto"/>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single" w:sz="8" w:space="0" w:color="auto"/>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single" w:sz="8" w:space="0" w:color="auto"/>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124"/>
        </w:trPr>
        <w:tc>
          <w:tcPr>
            <w:tcW w:w="7951" w:type="dxa"/>
            <w:tcBorders>
              <w:top w:val="nil"/>
              <w:left w:val="single" w:sz="8" w:space="0" w:color="000000"/>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2) </w:t>
            </w:r>
            <w:proofErr w:type="spellStart"/>
            <w:r w:rsidRPr="00853750">
              <w:rPr>
                <w:rFonts w:asciiTheme="majorHAnsi" w:hAnsiTheme="majorHAnsi"/>
                <w:sz w:val="20"/>
                <w:szCs w:val="20"/>
              </w:rPr>
              <w:t>Dersle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ilgili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sevdiğim</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ya</w:t>
            </w:r>
            <w:proofErr w:type="spellEnd"/>
            <w:r w:rsidRPr="00853750">
              <w:rPr>
                <w:rFonts w:asciiTheme="majorHAnsi" w:hAnsiTheme="majorHAnsi"/>
                <w:sz w:val="20"/>
                <w:szCs w:val="20"/>
              </w:rPr>
              <w:t xml:space="preserve"> da </w:t>
            </w:r>
            <w:proofErr w:type="spellStart"/>
            <w:r w:rsidRPr="00853750">
              <w:rPr>
                <w:rFonts w:asciiTheme="majorHAnsi" w:hAnsiTheme="majorHAnsi"/>
                <w:sz w:val="20"/>
                <w:szCs w:val="20"/>
              </w:rPr>
              <w:t>sevmediğim</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şeyleri</w:t>
            </w:r>
            <w:proofErr w:type="spellEnd"/>
            <w:r w:rsidRPr="00853750">
              <w:rPr>
                <w:rFonts w:asciiTheme="majorHAnsi" w:hAnsiTheme="majorHAnsi"/>
                <w:sz w:val="20"/>
                <w:szCs w:val="20"/>
              </w:rPr>
              <w:t xml:space="preserve"> fen </w:t>
            </w:r>
            <w:proofErr w:type="spellStart"/>
            <w:r w:rsidRPr="00853750">
              <w:rPr>
                <w:rFonts w:asciiTheme="majorHAnsi" w:hAnsiTheme="majorHAnsi"/>
                <w:sz w:val="20"/>
                <w:szCs w:val="20"/>
              </w:rPr>
              <w:t>öğretmenime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söylerim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216"/>
        </w:trPr>
        <w:tc>
          <w:tcPr>
            <w:tcW w:w="7951" w:type="dxa"/>
            <w:tcBorders>
              <w:top w:val="nil"/>
              <w:left w:val="single" w:sz="8" w:space="0" w:color="000000"/>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3) Fen </w:t>
            </w:r>
            <w:proofErr w:type="spellStart"/>
            <w:r w:rsidRPr="00853750">
              <w:rPr>
                <w:rFonts w:asciiTheme="majorHAnsi" w:hAnsiTheme="majorHAnsi"/>
                <w:sz w:val="20"/>
                <w:szCs w:val="20"/>
              </w:rPr>
              <w:t>dersiyle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ilgili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nelere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ilgi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duyduğumu</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öğretmenime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söylerim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249"/>
        </w:trPr>
        <w:tc>
          <w:tcPr>
            <w:tcW w:w="7951" w:type="dxa"/>
            <w:tcBorders>
              <w:top w:val="nil"/>
              <w:left w:val="single" w:sz="8" w:space="0" w:color="000000"/>
              <w:bottom w:val="single" w:sz="8" w:space="0" w:color="000000"/>
              <w:right w:val="single" w:sz="8" w:space="0" w:color="000000"/>
            </w:tcBorders>
            <w:shd w:val="clear" w:color="auto" w:fill="D9D9D9"/>
            <w:vAlign w:val="center"/>
            <w:hideMark/>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4) Fen </w:t>
            </w:r>
            <w:proofErr w:type="spellStart"/>
            <w:r w:rsidRPr="00853750">
              <w:rPr>
                <w:rFonts w:asciiTheme="majorHAnsi" w:hAnsiTheme="majorHAnsi"/>
                <w:sz w:val="20"/>
                <w:szCs w:val="20"/>
              </w:rPr>
              <w:t>dersiyle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ilgili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tercihlerimi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ve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düşüncelerimi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açıkça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ifade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ederim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auto"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auto"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auto"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auto"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266"/>
        </w:trPr>
        <w:tc>
          <w:tcPr>
            <w:tcW w:w="7951" w:type="dxa"/>
            <w:tcBorders>
              <w:top w:val="nil"/>
              <w:left w:val="single" w:sz="8" w:space="0" w:color="000000"/>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5) Fen </w:t>
            </w:r>
            <w:proofErr w:type="spellStart"/>
            <w:r w:rsidRPr="00853750">
              <w:rPr>
                <w:rFonts w:asciiTheme="majorHAnsi" w:hAnsiTheme="majorHAnsi"/>
                <w:sz w:val="20"/>
                <w:szCs w:val="20"/>
              </w:rPr>
              <w:t>dersini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daha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iyi</w:t>
            </w:r>
            <w:proofErr w:type="spellEnd"/>
            <w:r w:rsidRPr="00853750">
              <w:rPr>
                <w:rFonts w:asciiTheme="majorHAnsi" w:hAnsiTheme="majorHAnsi"/>
                <w:sz w:val="20"/>
                <w:szCs w:val="20"/>
              </w:rPr>
              <w:t xml:space="preserve"> hale </w:t>
            </w:r>
            <w:proofErr w:type="spellStart"/>
            <w:r w:rsidRPr="00853750">
              <w:rPr>
                <w:rFonts w:asciiTheme="majorHAnsi" w:hAnsiTheme="majorHAnsi"/>
                <w:sz w:val="20"/>
                <w:szCs w:val="20"/>
              </w:rPr>
              <w:t>getirebilmek</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için</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önerilerde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bulunurum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114"/>
        </w:trPr>
        <w:tc>
          <w:tcPr>
            <w:tcW w:w="7951" w:type="dxa"/>
            <w:tcBorders>
              <w:top w:val="nil"/>
              <w:left w:val="single" w:sz="8" w:space="0" w:color="000000"/>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6) Fen </w:t>
            </w:r>
            <w:proofErr w:type="spellStart"/>
            <w:r w:rsidRPr="00853750">
              <w:rPr>
                <w:rFonts w:asciiTheme="majorHAnsi" w:hAnsiTheme="majorHAnsi"/>
                <w:sz w:val="20"/>
                <w:szCs w:val="20"/>
              </w:rPr>
              <w:t>dersini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dikkatle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dinlerim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301"/>
        </w:trPr>
        <w:tc>
          <w:tcPr>
            <w:tcW w:w="7951" w:type="dxa"/>
            <w:tcBorders>
              <w:top w:val="nil"/>
              <w:left w:val="single" w:sz="8" w:space="0" w:color="000000"/>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7) Fen </w:t>
            </w:r>
            <w:proofErr w:type="spellStart"/>
            <w:r w:rsidRPr="00853750">
              <w:rPr>
                <w:rFonts w:asciiTheme="majorHAnsi" w:hAnsiTheme="majorHAnsi"/>
                <w:sz w:val="20"/>
                <w:szCs w:val="20"/>
              </w:rPr>
              <w:t>dersine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çok</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çalışırım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auto" w:fill="auto"/>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251"/>
        </w:trPr>
        <w:tc>
          <w:tcPr>
            <w:tcW w:w="7951" w:type="dxa"/>
            <w:tcBorders>
              <w:top w:val="nil"/>
              <w:left w:val="single" w:sz="8" w:space="0" w:color="000000"/>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8) Fen </w:t>
            </w:r>
            <w:proofErr w:type="spellStart"/>
            <w:r w:rsidRPr="00853750">
              <w:rPr>
                <w:rFonts w:asciiTheme="majorHAnsi" w:hAnsiTheme="majorHAnsi"/>
                <w:sz w:val="20"/>
                <w:szCs w:val="20"/>
              </w:rPr>
              <w:t>öğretmenimiz</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yeni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bir</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konuya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başladığında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dikkatle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dinlerim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000000" w:fill="D9D9D9"/>
            <w:vAlign w:val="center"/>
            <w:hideMark/>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126"/>
        </w:trPr>
        <w:tc>
          <w:tcPr>
            <w:tcW w:w="7951" w:type="dxa"/>
            <w:tcBorders>
              <w:top w:val="single" w:sz="8" w:space="0" w:color="000000"/>
              <w:left w:val="single" w:sz="8" w:space="0" w:color="000000"/>
              <w:bottom w:val="single" w:sz="8" w:space="0" w:color="000000"/>
              <w:right w:val="single" w:sz="8" w:space="0" w:color="000000"/>
            </w:tcBorders>
            <w:shd w:val="clear" w:color="000000" w:fill="auto"/>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9) Fen </w:t>
            </w:r>
            <w:proofErr w:type="spellStart"/>
            <w:r w:rsidRPr="00853750">
              <w:rPr>
                <w:rFonts w:asciiTheme="majorHAnsi" w:hAnsiTheme="majorHAnsi"/>
                <w:sz w:val="20"/>
                <w:szCs w:val="20"/>
              </w:rPr>
              <w:t>dersinde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yeni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bir</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konuya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başladığımızda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çok</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çalışırım</w:t>
            </w:r>
            <w:proofErr w:type="spellEnd"/>
            <w:r w:rsidRPr="00853750">
              <w:rPr>
                <w:rFonts w:asciiTheme="majorHAnsi" w:hAnsiTheme="majorHAnsi"/>
                <w:sz w:val="20"/>
                <w:szCs w:val="20"/>
              </w:rPr>
              <w:t>.</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173"/>
        </w:trPr>
        <w:tc>
          <w:tcPr>
            <w:tcW w:w="7951" w:type="dxa"/>
            <w:tcBorders>
              <w:top w:val="nil"/>
              <w:left w:val="single" w:sz="8" w:space="0" w:color="000000"/>
              <w:bottom w:val="single" w:sz="8" w:space="0" w:color="000000"/>
              <w:right w:val="single" w:sz="8" w:space="0" w:color="000000"/>
            </w:tcBorders>
            <w:shd w:val="clear" w:color="000000" w:fill="D9D9D9"/>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10) Fen </w:t>
            </w:r>
            <w:proofErr w:type="spellStart"/>
            <w:r w:rsidRPr="00853750">
              <w:rPr>
                <w:rFonts w:asciiTheme="majorHAnsi" w:hAnsiTheme="majorHAnsi"/>
                <w:sz w:val="20"/>
                <w:szCs w:val="20"/>
              </w:rPr>
              <w:t>dersine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dikkatimi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veririm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60"/>
        </w:trPr>
        <w:tc>
          <w:tcPr>
            <w:tcW w:w="7951" w:type="dxa"/>
            <w:tcBorders>
              <w:top w:val="single" w:sz="8" w:space="0" w:color="000000"/>
              <w:left w:val="single" w:sz="8" w:space="0" w:color="000000"/>
              <w:bottom w:val="single" w:sz="8" w:space="0" w:color="000000"/>
              <w:right w:val="single" w:sz="8" w:space="0" w:color="000000"/>
            </w:tcBorders>
            <w:shd w:val="clear" w:color="000000" w:fill="auto"/>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11) Fen </w:t>
            </w:r>
            <w:proofErr w:type="spellStart"/>
            <w:r w:rsidRPr="00853750">
              <w:rPr>
                <w:rFonts w:asciiTheme="majorHAnsi" w:hAnsiTheme="majorHAnsi"/>
                <w:sz w:val="20"/>
                <w:szCs w:val="20"/>
              </w:rPr>
              <w:t>dersinde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yeni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şeyler</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öğrenmekten</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hoşlanırım</w:t>
            </w:r>
            <w:proofErr w:type="spellEnd"/>
            <w:r w:rsidRPr="00853750">
              <w:rPr>
                <w:rFonts w:asciiTheme="majorHAnsi" w:hAnsiTheme="majorHAnsi"/>
                <w:sz w:val="20"/>
                <w:szCs w:val="20"/>
              </w:rPr>
              <w:t>.</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60"/>
        </w:trPr>
        <w:tc>
          <w:tcPr>
            <w:tcW w:w="7951" w:type="dxa"/>
            <w:tcBorders>
              <w:top w:val="nil"/>
              <w:left w:val="single" w:sz="8" w:space="0" w:color="000000"/>
              <w:bottom w:val="single" w:sz="8" w:space="0" w:color="000000"/>
              <w:right w:val="single" w:sz="8" w:space="0" w:color="000000"/>
            </w:tcBorders>
            <w:shd w:val="clear" w:color="000000" w:fill="D9D9D9"/>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12) Fen </w:t>
            </w:r>
            <w:proofErr w:type="spellStart"/>
            <w:r w:rsidRPr="00853750">
              <w:rPr>
                <w:rFonts w:asciiTheme="majorHAnsi" w:hAnsiTheme="majorHAnsi"/>
                <w:sz w:val="20"/>
                <w:szCs w:val="20"/>
              </w:rPr>
              <w:t>dersinde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herhangi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bir</w:t>
            </w:r>
            <w:proofErr w:type="spellEnd"/>
            <w:r w:rsidR="00D63693" w:rsidRPr="00853750">
              <w:rPr>
                <w:rFonts w:asciiTheme="majorHAnsi" w:hAnsiTheme="majorHAnsi"/>
                <w:sz w:val="20"/>
                <w:szCs w:val="20"/>
              </w:rPr>
              <w:t xml:space="preserve"> </w:t>
            </w:r>
            <w:proofErr w:type="spellStart"/>
            <w:r w:rsidRPr="00853750">
              <w:rPr>
                <w:rFonts w:asciiTheme="majorHAnsi" w:hAnsiTheme="majorHAnsi"/>
                <w:sz w:val="20"/>
                <w:szCs w:val="20"/>
              </w:rPr>
              <w:t>şey</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üzerinde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çalışmak</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ilgimi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çeker</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60"/>
        </w:trPr>
        <w:tc>
          <w:tcPr>
            <w:tcW w:w="7951" w:type="dxa"/>
            <w:tcBorders>
              <w:top w:val="single" w:sz="8" w:space="0" w:color="000000"/>
              <w:left w:val="single" w:sz="8" w:space="0" w:color="000000"/>
              <w:bottom w:val="single" w:sz="8" w:space="0" w:color="000000"/>
              <w:right w:val="single" w:sz="8" w:space="0" w:color="000000"/>
            </w:tcBorders>
            <w:shd w:val="clear" w:color="000000" w:fill="auto"/>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13) Fen </w:t>
            </w:r>
            <w:proofErr w:type="spellStart"/>
            <w:r w:rsidRPr="00853750">
              <w:rPr>
                <w:rFonts w:asciiTheme="majorHAnsi" w:hAnsiTheme="majorHAnsi"/>
                <w:sz w:val="20"/>
                <w:szCs w:val="20"/>
              </w:rPr>
              <w:t>dersinde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öğrendiklerimize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karşı</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merak</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duyuyorum</w:t>
            </w:r>
            <w:proofErr w:type="spellEnd"/>
            <w:r w:rsidRPr="00853750">
              <w:rPr>
                <w:rFonts w:asciiTheme="majorHAnsi" w:hAnsiTheme="majorHAnsi"/>
                <w:sz w:val="20"/>
                <w:szCs w:val="20"/>
              </w:rPr>
              <w:t>.</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60"/>
        </w:trPr>
        <w:tc>
          <w:tcPr>
            <w:tcW w:w="7951" w:type="dxa"/>
            <w:tcBorders>
              <w:top w:val="nil"/>
              <w:left w:val="single" w:sz="8" w:space="0" w:color="000000"/>
              <w:bottom w:val="single" w:sz="8" w:space="0" w:color="000000"/>
              <w:right w:val="single" w:sz="8" w:space="0" w:color="000000"/>
            </w:tcBorders>
            <w:shd w:val="clear" w:color="000000" w:fill="D9D9D9"/>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14) Fen </w:t>
            </w:r>
            <w:proofErr w:type="spellStart"/>
            <w:r w:rsidRPr="00853750">
              <w:rPr>
                <w:rFonts w:asciiTheme="majorHAnsi" w:hAnsiTheme="majorHAnsi"/>
                <w:sz w:val="20"/>
                <w:szCs w:val="20"/>
              </w:rPr>
              <w:t>dersi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eğlencelidir</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60"/>
        </w:trPr>
        <w:tc>
          <w:tcPr>
            <w:tcW w:w="7951" w:type="dxa"/>
            <w:tcBorders>
              <w:top w:val="single" w:sz="8" w:space="0" w:color="000000"/>
              <w:left w:val="single" w:sz="8" w:space="0" w:color="000000"/>
              <w:bottom w:val="single" w:sz="8" w:space="0" w:color="000000"/>
              <w:right w:val="single" w:sz="8" w:space="0" w:color="000000"/>
            </w:tcBorders>
            <w:shd w:val="clear" w:color="000000" w:fill="auto"/>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15) Fen </w:t>
            </w:r>
            <w:proofErr w:type="spellStart"/>
            <w:r w:rsidRPr="00853750">
              <w:rPr>
                <w:rFonts w:asciiTheme="majorHAnsi" w:hAnsiTheme="majorHAnsi"/>
                <w:sz w:val="20"/>
                <w:szCs w:val="20"/>
              </w:rPr>
              <w:t>dersindeki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yeni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bilgileri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eski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bilgilerimle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ilişkilendirmeye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çalışırım</w:t>
            </w:r>
            <w:proofErr w:type="spellEnd"/>
            <w:r w:rsidRPr="00853750">
              <w:rPr>
                <w:rFonts w:asciiTheme="majorHAnsi" w:hAnsiTheme="majorHAnsi"/>
                <w:sz w:val="20"/>
                <w:szCs w:val="20"/>
              </w:rPr>
              <w:t xml:space="preserve">.  </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363"/>
        </w:trPr>
        <w:tc>
          <w:tcPr>
            <w:tcW w:w="7951" w:type="dxa"/>
            <w:tcBorders>
              <w:top w:val="nil"/>
              <w:left w:val="single" w:sz="8" w:space="0" w:color="000000"/>
              <w:bottom w:val="single" w:sz="8" w:space="0" w:color="000000"/>
              <w:right w:val="single" w:sz="8" w:space="0" w:color="000000"/>
            </w:tcBorders>
            <w:shd w:val="clear" w:color="000000" w:fill="D9D9D9"/>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16) Fen </w:t>
            </w:r>
            <w:proofErr w:type="spellStart"/>
            <w:r w:rsidRPr="00853750">
              <w:rPr>
                <w:rFonts w:asciiTheme="majorHAnsi" w:hAnsiTheme="majorHAnsi"/>
                <w:sz w:val="20"/>
                <w:szCs w:val="20"/>
              </w:rPr>
              <w:t>dersine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çalışırken</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yeni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bilgilerle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kendi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deneyimlerim</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arasında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bağlantı</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kurmaya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çalışırım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173"/>
        </w:trPr>
        <w:tc>
          <w:tcPr>
            <w:tcW w:w="7951" w:type="dxa"/>
            <w:tcBorders>
              <w:top w:val="single" w:sz="8" w:space="0" w:color="000000"/>
              <w:left w:val="single" w:sz="8" w:space="0" w:color="000000"/>
              <w:bottom w:val="single" w:sz="8" w:space="0" w:color="000000"/>
              <w:right w:val="single" w:sz="8" w:space="0" w:color="000000"/>
            </w:tcBorders>
            <w:shd w:val="clear" w:color="000000" w:fill="auto"/>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17) Fen </w:t>
            </w:r>
            <w:proofErr w:type="spellStart"/>
            <w:r w:rsidRPr="00853750">
              <w:rPr>
                <w:rFonts w:asciiTheme="majorHAnsi" w:hAnsiTheme="majorHAnsi"/>
                <w:sz w:val="20"/>
                <w:szCs w:val="20"/>
              </w:rPr>
              <w:t>dersine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çalışırken</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tüm</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farklı</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fikirleri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bir</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araya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getirerek</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onları</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anlamlandırmaya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çalışırım</w:t>
            </w:r>
            <w:proofErr w:type="spellEnd"/>
            <w:r w:rsidRPr="00853750">
              <w:rPr>
                <w:rFonts w:asciiTheme="majorHAnsi" w:hAnsiTheme="majorHAnsi"/>
                <w:sz w:val="20"/>
                <w:szCs w:val="20"/>
              </w:rPr>
              <w:t>.</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405"/>
        </w:trPr>
        <w:tc>
          <w:tcPr>
            <w:tcW w:w="7951" w:type="dxa"/>
            <w:tcBorders>
              <w:top w:val="nil"/>
              <w:left w:val="single" w:sz="8" w:space="0" w:color="000000"/>
              <w:bottom w:val="single" w:sz="8" w:space="0" w:color="000000"/>
              <w:right w:val="single" w:sz="8" w:space="0" w:color="000000"/>
            </w:tcBorders>
            <w:shd w:val="clear" w:color="000000" w:fill="D9D9D9"/>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18) Fe</w:t>
            </w:r>
            <w:r w:rsidR="000E1393" w:rsidRPr="00853750">
              <w:rPr>
                <w:rFonts w:asciiTheme="majorHAnsi" w:hAnsiTheme="majorHAnsi"/>
                <w:sz w:val="20"/>
                <w:szCs w:val="20"/>
              </w:rPr>
              <w:t xml:space="preserve">n </w:t>
            </w:r>
            <w:proofErr w:type="spellStart"/>
            <w:r w:rsidR="000E1393" w:rsidRPr="00853750">
              <w:rPr>
                <w:rFonts w:asciiTheme="majorHAnsi" w:hAnsiTheme="majorHAnsi"/>
                <w:sz w:val="20"/>
                <w:szCs w:val="20"/>
              </w:rPr>
              <w:t>dersine</w:t>
            </w:r>
            <w:proofErr w:type="spellEnd"/>
            <w:r w:rsidR="000E1393" w:rsidRPr="00853750">
              <w:rPr>
                <w:rFonts w:asciiTheme="majorHAnsi" w:hAnsiTheme="majorHAnsi"/>
                <w:sz w:val="20"/>
                <w:szCs w:val="20"/>
              </w:rPr>
              <w:t xml:space="preserve"> </w:t>
            </w:r>
            <w:proofErr w:type="spellStart"/>
            <w:r w:rsidR="000E1393" w:rsidRPr="00853750">
              <w:rPr>
                <w:rFonts w:asciiTheme="majorHAnsi" w:hAnsiTheme="majorHAnsi"/>
                <w:sz w:val="20"/>
                <w:szCs w:val="20"/>
              </w:rPr>
              <w:t>çalışırken</w:t>
            </w:r>
            <w:proofErr w:type="spellEnd"/>
            <w:r w:rsidR="000E1393" w:rsidRPr="00853750">
              <w:rPr>
                <w:rFonts w:asciiTheme="majorHAnsi" w:hAnsiTheme="majorHAnsi"/>
                <w:sz w:val="20"/>
                <w:szCs w:val="20"/>
              </w:rPr>
              <w:t xml:space="preserve">, </w:t>
            </w:r>
            <w:proofErr w:type="spellStart"/>
            <w:r w:rsidR="000E1393" w:rsidRPr="00853750">
              <w:rPr>
                <w:rFonts w:asciiTheme="majorHAnsi" w:hAnsiTheme="majorHAnsi"/>
                <w:sz w:val="20"/>
                <w:szCs w:val="20"/>
              </w:rPr>
              <w:t>kendi</w:t>
            </w:r>
            <w:proofErr w:type="spellEnd"/>
            <w:r w:rsidR="000E1393" w:rsidRPr="00853750">
              <w:rPr>
                <w:rFonts w:asciiTheme="majorHAnsi" w:hAnsiTheme="majorHAnsi"/>
                <w:sz w:val="20"/>
                <w:szCs w:val="20"/>
              </w:rPr>
              <w:t xml:space="preserve"> </w:t>
            </w:r>
            <w:proofErr w:type="spellStart"/>
            <w:r w:rsidR="000E1393" w:rsidRPr="00853750">
              <w:rPr>
                <w:rFonts w:asciiTheme="majorHAnsi" w:hAnsiTheme="majorHAnsi"/>
                <w:sz w:val="20"/>
                <w:szCs w:val="20"/>
              </w:rPr>
              <w:t>örnekl</w:t>
            </w:r>
            <w:r w:rsidRPr="00853750">
              <w:rPr>
                <w:rFonts w:asciiTheme="majorHAnsi" w:hAnsiTheme="majorHAnsi"/>
                <w:sz w:val="20"/>
                <w:szCs w:val="20"/>
              </w:rPr>
              <w:t>erimi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oluşturarak</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önemli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kavramları</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anlamaya</w:t>
            </w:r>
            <w:proofErr w:type="spellEnd"/>
            <w:r w:rsidRPr="00853750">
              <w:rPr>
                <w:rFonts w:asciiTheme="majorHAnsi" w:hAnsiTheme="majorHAnsi"/>
                <w:sz w:val="20"/>
                <w:szCs w:val="20"/>
              </w:rPr>
              <w:t xml:space="preserve"> </w:t>
            </w:r>
            <w:proofErr w:type="spellStart"/>
            <w:r w:rsidR="000E1393" w:rsidRPr="00853750">
              <w:rPr>
                <w:rFonts w:asciiTheme="majorHAnsi" w:hAnsiTheme="majorHAnsi"/>
                <w:sz w:val="20"/>
                <w:szCs w:val="20"/>
              </w:rPr>
              <w:t>çalışırım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60"/>
        </w:trPr>
        <w:tc>
          <w:tcPr>
            <w:tcW w:w="7951" w:type="dxa"/>
            <w:tcBorders>
              <w:top w:val="single" w:sz="8" w:space="0" w:color="000000"/>
              <w:left w:val="single" w:sz="8" w:space="0" w:color="000000"/>
              <w:bottom w:val="single" w:sz="8" w:space="0" w:color="000000"/>
              <w:right w:val="single" w:sz="8" w:space="0" w:color="000000"/>
            </w:tcBorders>
            <w:shd w:val="clear" w:color="000000" w:fill="auto"/>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19) Fen </w:t>
            </w:r>
            <w:proofErr w:type="spellStart"/>
            <w:r w:rsidRPr="00853750">
              <w:rPr>
                <w:rFonts w:asciiTheme="majorHAnsi" w:hAnsiTheme="majorHAnsi"/>
                <w:sz w:val="20"/>
                <w:szCs w:val="20"/>
              </w:rPr>
              <w:t>dersine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çalışmaya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başlamadan</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önce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ulaşmak</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istediğim</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hedefi</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belirlerim</w:t>
            </w:r>
            <w:proofErr w:type="spellEnd"/>
            <w:r w:rsidRPr="00853750">
              <w:rPr>
                <w:rFonts w:asciiTheme="majorHAnsi" w:hAnsiTheme="majorHAnsi"/>
                <w:sz w:val="20"/>
                <w:szCs w:val="20"/>
              </w:rPr>
              <w:t>.</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60"/>
        </w:trPr>
        <w:tc>
          <w:tcPr>
            <w:tcW w:w="7951" w:type="dxa"/>
            <w:tcBorders>
              <w:top w:val="nil"/>
              <w:left w:val="single" w:sz="8" w:space="0" w:color="000000"/>
              <w:bottom w:val="single" w:sz="8" w:space="0" w:color="000000"/>
              <w:right w:val="single" w:sz="8" w:space="0" w:color="000000"/>
            </w:tcBorders>
            <w:shd w:val="clear" w:color="000000" w:fill="D9D9D9"/>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20) Fen </w:t>
            </w:r>
            <w:proofErr w:type="spellStart"/>
            <w:r w:rsidRPr="00853750">
              <w:rPr>
                <w:rFonts w:asciiTheme="majorHAnsi" w:hAnsiTheme="majorHAnsi"/>
                <w:sz w:val="20"/>
                <w:szCs w:val="20"/>
              </w:rPr>
              <w:t>dersine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çalışırken</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ara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sıra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durur</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yaptıklarımı</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gözden</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geçiririm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466"/>
        </w:trPr>
        <w:tc>
          <w:tcPr>
            <w:tcW w:w="7951" w:type="dxa"/>
            <w:tcBorders>
              <w:top w:val="single" w:sz="8" w:space="0" w:color="000000"/>
              <w:left w:val="single" w:sz="8" w:space="0" w:color="000000"/>
              <w:bottom w:val="single" w:sz="8" w:space="0" w:color="000000"/>
              <w:right w:val="single" w:sz="8" w:space="0" w:color="000000"/>
            </w:tcBorders>
            <w:shd w:val="clear" w:color="000000" w:fill="auto"/>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21) Fen </w:t>
            </w:r>
            <w:proofErr w:type="spellStart"/>
            <w:r w:rsidRPr="00853750">
              <w:rPr>
                <w:rFonts w:asciiTheme="majorHAnsi" w:hAnsiTheme="majorHAnsi"/>
                <w:sz w:val="20"/>
                <w:szCs w:val="20"/>
              </w:rPr>
              <w:t>dersine</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çalışırken</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yalnızca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doğru</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cevapları</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bulup</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bulamadığıma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değil</w:t>
            </w:r>
            <w:proofErr w:type="spellEnd"/>
            <w:r w:rsidRPr="00853750">
              <w:rPr>
                <w:rFonts w:asciiTheme="majorHAnsi" w:hAnsiTheme="majorHAnsi"/>
                <w:sz w:val="20"/>
                <w:szCs w:val="20"/>
              </w:rPr>
              <w:t xml:space="preserve">, ne </w:t>
            </w:r>
            <w:proofErr w:type="spellStart"/>
            <w:r w:rsidRPr="00853750">
              <w:rPr>
                <w:rFonts w:asciiTheme="majorHAnsi" w:hAnsiTheme="majorHAnsi"/>
                <w:sz w:val="20"/>
                <w:szCs w:val="20"/>
              </w:rPr>
              <w:t>kadar</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anladığıma</w:t>
            </w:r>
            <w:proofErr w:type="spellEnd"/>
            <w:r w:rsidRPr="00853750">
              <w:rPr>
                <w:rFonts w:asciiTheme="majorHAnsi" w:hAnsiTheme="majorHAnsi"/>
                <w:sz w:val="20"/>
                <w:szCs w:val="20"/>
              </w:rPr>
              <w:t xml:space="preserve"> da </w:t>
            </w:r>
            <w:proofErr w:type="spellStart"/>
            <w:r w:rsidRPr="00853750">
              <w:rPr>
                <w:rFonts w:asciiTheme="majorHAnsi" w:hAnsiTheme="majorHAnsi"/>
                <w:sz w:val="20"/>
                <w:szCs w:val="20"/>
              </w:rPr>
              <w:t>dikkat</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ederim</w:t>
            </w:r>
            <w:proofErr w:type="spellEnd"/>
            <w:r w:rsidRPr="00853750">
              <w:rPr>
                <w:rFonts w:asciiTheme="majorHAnsi" w:hAnsiTheme="majorHAnsi"/>
                <w:sz w:val="20"/>
                <w:szCs w:val="20"/>
              </w:rPr>
              <w:t>.</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single" w:sz="8" w:space="0" w:color="000000"/>
              <w:left w:val="nil"/>
              <w:bottom w:val="single" w:sz="8" w:space="0" w:color="000000"/>
              <w:right w:val="single" w:sz="8" w:space="0" w:color="000000"/>
            </w:tcBorders>
            <w:shd w:val="clear" w:color="000000" w:fill="auto"/>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r w:rsidR="009B1BB3" w:rsidRPr="00853750" w:rsidTr="00421313">
        <w:trPr>
          <w:trHeight w:val="401"/>
        </w:trPr>
        <w:tc>
          <w:tcPr>
            <w:tcW w:w="7951" w:type="dxa"/>
            <w:tcBorders>
              <w:top w:val="nil"/>
              <w:left w:val="single" w:sz="8" w:space="0" w:color="000000"/>
              <w:bottom w:val="single" w:sz="8" w:space="0" w:color="000000"/>
              <w:right w:val="single" w:sz="8" w:space="0" w:color="000000"/>
            </w:tcBorders>
            <w:shd w:val="clear" w:color="000000" w:fill="D9D9D9"/>
            <w:vAlign w:val="center"/>
          </w:tcPr>
          <w:p w:rsidR="009B1BB3" w:rsidRPr="00853750" w:rsidRDefault="009B1BB3" w:rsidP="00B41093">
            <w:pPr>
              <w:spacing w:line="240" w:lineRule="auto"/>
              <w:rPr>
                <w:rFonts w:asciiTheme="majorHAnsi" w:hAnsiTheme="majorHAnsi"/>
                <w:sz w:val="20"/>
                <w:szCs w:val="20"/>
              </w:rPr>
            </w:pPr>
            <w:r w:rsidRPr="00853750">
              <w:rPr>
                <w:rFonts w:asciiTheme="majorHAnsi" w:hAnsiTheme="majorHAnsi"/>
                <w:sz w:val="20"/>
                <w:szCs w:val="20"/>
              </w:rPr>
              <w:t xml:space="preserve">22) </w:t>
            </w:r>
            <w:proofErr w:type="spellStart"/>
            <w:r w:rsidRPr="00853750">
              <w:rPr>
                <w:rFonts w:asciiTheme="majorHAnsi" w:hAnsiTheme="majorHAnsi"/>
                <w:sz w:val="20"/>
                <w:szCs w:val="20"/>
              </w:rPr>
              <w:t>Eğer</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bir</w:t>
            </w:r>
            <w:proofErr w:type="spellEnd"/>
            <w:r w:rsidRPr="00853750">
              <w:rPr>
                <w:rFonts w:asciiTheme="majorHAnsi" w:hAnsiTheme="majorHAnsi"/>
                <w:sz w:val="20"/>
                <w:szCs w:val="20"/>
              </w:rPr>
              <w:t xml:space="preserve"> fen </w:t>
            </w:r>
            <w:proofErr w:type="spellStart"/>
            <w:r w:rsidRPr="00853750">
              <w:rPr>
                <w:rFonts w:asciiTheme="majorHAnsi" w:hAnsiTheme="majorHAnsi"/>
                <w:sz w:val="20"/>
                <w:szCs w:val="20"/>
              </w:rPr>
              <w:t>konusunu</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anlamakta</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zorlanıyorsam</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onu</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öğrenmek</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için</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izlediğim</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yolu</w:t>
            </w:r>
            <w:proofErr w:type="spellEnd"/>
            <w:r w:rsidRPr="00853750">
              <w:rPr>
                <w:rFonts w:asciiTheme="majorHAnsi" w:hAnsiTheme="majorHAnsi"/>
                <w:sz w:val="20"/>
                <w:szCs w:val="20"/>
              </w:rPr>
              <w:t xml:space="preserve"> </w:t>
            </w:r>
            <w:proofErr w:type="spellStart"/>
            <w:r w:rsidRPr="00853750">
              <w:rPr>
                <w:rFonts w:asciiTheme="majorHAnsi" w:hAnsiTheme="majorHAnsi"/>
                <w:sz w:val="20"/>
                <w:szCs w:val="20"/>
              </w:rPr>
              <w:t>değiştiririm</w:t>
            </w:r>
            <w:proofErr w:type="spellEnd"/>
            <w:r w:rsidRPr="00853750">
              <w:rPr>
                <w:rFonts w:asciiTheme="majorHAnsi" w:hAnsiTheme="majorHAnsi"/>
                <w:sz w:val="20"/>
                <w:szCs w:val="20"/>
              </w:rPr>
              <w:t>.</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1</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2</w:t>
            </w:r>
          </w:p>
        </w:tc>
        <w:tc>
          <w:tcPr>
            <w:tcW w:w="572"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3</w:t>
            </w:r>
          </w:p>
        </w:tc>
        <w:tc>
          <w:tcPr>
            <w:tcW w:w="573" w:type="dxa"/>
            <w:tcBorders>
              <w:top w:val="nil"/>
              <w:left w:val="nil"/>
              <w:bottom w:val="single" w:sz="8" w:space="0" w:color="000000"/>
              <w:right w:val="single" w:sz="8" w:space="0" w:color="000000"/>
            </w:tcBorders>
            <w:shd w:val="clear" w:color="000000" w:fill="D9D9D9"/>
            <w:vAlign w:val="center"/>
          </w:tcPr>
          <w:p w:rsidR="009B1BB3" w:rsidRPr="00853750" w:rsidRDefault="009B1BB3" w:rsidP="00B41093">
            <w:pPr>
              <w:spacing w:line="240" w:lineRule="auto"/>
              <w:ind w:left="-142"/>
              <w:jc w:val="center"/>
              <w:rPr>
                <w:rFonts w:asciiTheme="majorHAnsi" w:hAnsiTheme="majorHAnsi"/>
                <w:bCs/>
                <w:sz w:val="20"/>
                <w:szCs w:val="20"/>
              </w:rPr>
            </w:pPr>
            <w:r w:rsidRPr="00853750">
              <w:rPr>
                <w:rFonts w:asciiTheme="majorHAnsi" w:hAnsiTheme="majorHAnsi"/>
                <w:bCs/>
                <w:sz w:val="20"/>
                <w:szCs w:val="20"/>
              </w:rPr>
              <w:t>4</w:t>
            </w:r>
          </w:p>
        </w:tc>
      </w:tr>
    </w:tbl>
    <w:p w:rsidR="00B1731D" w:rsidRPr="00853750" w:rsidRDefault="00B1731D" w:rsidP="00B41093">
      <w:pPr>
        <w:spacing w:after="0" w:line="240" w:lineRule="auto"/>
        <w:rPr>
          <w:rFonts w:asciiTheme="majorHAnsi" w:hAnsiTheme="majorHAnsi"/>
          <w:sz w:val="20"/>
          <w:szCs w:val="20"/>
        </w:rPr>
      </w:pPr>
    </w:p>
    <w:sectPr w:rsidR="00B1731D" w:rsidRPr="00853750" w:rsidSect="00C01287">
      <w:footerReference w:type="default" r:id="rId8"/>
      <w:headerReference w:type="first" r:id="rId9"/>
      <w:footerReference w:type="first" r:id="rId10"/>
      <w:pgSz w:w="11906" w:h="16838"/>
      <w:pgMar w:top="1417" w:right="1417" w:bottom="1417" w:left="1417" w:header="720" w:footer="720" w:gutter="0"/>
      <w:pgNumType w:start="169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DC9" w:rsidRDefault="00612DC9" w:rsidP="0002136D">
      <w:pPr>
        <w:spacing w:after="0" w:line="240" w:lineRule="auto"/>
      </w:pPr>
      <w:r>
        <w:separator/>
      </w:r>
    </w:p>
  </w:endnote>
  <w:endnote w:type="continuationSeparator" w:id="0">
    <w:p w:rsidR="00612DC9" w:rsidRDefault="00612DC9" w:rsidP="0002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00004FF" w:usb2="00000000" w:usb3="00000000" w:csb0="0000019F"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Cambria" w:hAnsi="Cambria"/>
        <w:color w:val="948A54" w:themeColor="background2" w:themeShade="80"/>
        <w:sz w:val="18"/>
        <w:szCs w:val="18"/>
      </w:rPr>
    </w:sdtEndPr>
    <w:sdtContent>
      <w:p w:rsidR="00C01287" w:rsidRPr="00C01287" w:rsidRDefault="00C01287" w:rsidP="00C01287">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215FE6" w:rsidRPr="00215FE6">
          <w:rPr>
            <w:rFonts w:ascii="Cambria" w:hAnsi="Cambria"/>
            <w:b/>
            <w:bCs/>
            <w:noProof/>
            <w:sz w:val="20"/>
            <w:szCs w:val="20"/>
          </w:rPr>
          <w:t>1692</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Pr>
            <w:rFonts w:ascii="Cambria" w:hAnsi="Cambria"/>
            <w:color w:val="948A54" w:themeColor="background2" w:themeShade="80"/>
            <w:sz w:val="16"/>
            <w:szCs w:val="16"/>
          </w:rPr>
          <w:t xml:space="preserve">UÇAR &amp; SUNGUR                    </w:t>
        </w:r>
        <w:r>
          <w:rPr>
            <w:rFonts w:ascii="Cambria" w:hAnsi="Cambria"/>
            <w:color w:val="948A54" w:themeColor="background2" w:themeShade="80"/>
            <w:sz w:val="16"/>
            <w:szCs w:val="16"/>
          </w:rPr>
          <w:t xml:space="preserve">  </w:t>
        </w:r>
        <w:r>
          <w:rPr>
            <w:rFonts w:ascii="Cambria" w:hAnsi="Cambria"/>
            <w:color w:val="948A54" w:themeColor="background2" w:themeShade="80"/>
            <w:sz w:val="16"/>
            <w:szCs w:val="16"/>
          </w:rPr>
          <w:t xml:space="preserve"> </w:t>
        </w:r>
        <w:r w:rsidRPr="00C01287">
          <w:rPr>
            <w:rFonts w:ascii="Garamond" w:hAnsi="Garamond"/>
            <w:color w:val="595959" w:themeColor="text1" w:themeTint="A6"/>
            <w:sz w:val="16"/>
            <w:szCs w:val="16"/>
          </w:rPr>
          <w:t>Adaptation of Engagement Questionnaire to Turkish for Science Classes: Validity and Reliability Study</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B563F6" w:rsidRPr="00C71F46" w:rsidTr="00B563F6">
      <w:trPr>
        <w:trHeight w:val="365"/>
      </w:trPr>
      <w:tc>
        <w:tcPr>
          <w:tcW w:w="9498" w:type="dxa"/>
        </w:tcPr>
        <w:p w:rsidR="00B563F6" w:rsidRPr="002B18B3" w:rsidRDefault="00B563F6" w:rsidP="00B563F6">
          <w:pPr>
            <w:pStyle w:val="Footer"/>
            <w:rPr>
              <w:rFonts w:ascii="Cambria" w:hAnsi="Cambria"/>
              <w:sz w:val="18"/>
              <w:szCs w:val="18"/>
            </w:rPr>
          </w:pPr>
          <w:r>
            <w:rPr>
              <w:rFonts w:ascii="Cambria" w:hAnsi="Cambria"/>
              <w:sz w:val="18"/>
              <w:szCs w:val="18"/>
            </w:rPr>
            <w:t>Received</w:t>
          </w:r>
          <w:r w:rsidRPr="002B18B3">
            <w:rPr>
              <w:rFonts w:ascii="Cambria" w:hAnsi="Cambria"/>
              <w:sz w:val="18"/>
              <w:szCs w:val="18"/>
            </w:rPr>
            <w:t>:</w:t>
          </w:r>
          <w:r w:rsidR="00C01287">
            <w:rPr>
              <w:rFonts w:ascii="Cambria" w:hAnsi="Cambria"/>
              <w:sz w:val="18"/>
              <w:szCs w:val="18"/>
            </w:rPr>
            <w:t xml:space="preserve"> 29.11.2016</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sidR="00215FE6">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Accepted</w:t>
          </w:r>
          <w:r w:rsidRPr="002B18B3">
            <w:rPr>
              <w:rFonts w:ascii="Cambria" w:hAnsi="Cambria"/>
              <w:sz w:val="18"/>
              <w:szCs w:val="18"/>
            </w:rPr>
            <w:t>:</w:t>
          </w:r>
          <w:r w:rsidR="00C01287">
            <w:rPr>
              <w:rFonts w:ascii="Cambria" w:hAnsi="Cambria"/>
              <w:sz w:val="18"/>
              <w:szCs w:val="18"/>
            </w:rPr>
            <w:t xml:space="preserve"> 23</w:t>
          </w:r>
          <w:r>
            <w:rPr>
              <w:rFonts w:ascii="Cambria" w:hAnsi="Cambria"/>
              <w:sz w:val="18"/>
              <w:szCs w:val="18"/>
            </w:rPr>
            <w:t>.03.2018</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 xml:space="preserve">        </w:t>
          </w:r>
          <w:r w:rsidRPr="002B18B3">
            <w:rPr>
              <w:rFonts w:ascii="Cambria" w:hAnsi="Cambria"/>
              <w:sz w:val="18"/>
              <w:szCs w:val="18"/>
            </w:rPr>
            <w:t xml:space="preserve">   </w:t>
          </w:r>
          <w:r w:rsidR="00215FE6">
            <w:rPr>
              <w:rFonts w:ascii="Cambria" w:hAnsi="Cambria"/>
              <w:sz w:val="18"/>
              <w:szCs w:val="18"/>
            </w:rPr>
            <w:t xml:space="preserve">       </w:t>
          </w:r>
          <w:r w:rsidRPr="002B18B3">
            <w:rPr>
              <w:rFonts w:ascii="Cambria" w:hAnsi="Cambria"/>
              <w:sz w:val="18"/>
              <w:szCs w:val="18"/>
            </w:rPr>
            <w:t xml:space="preserve">   </w:t>
          </w:r>
          <w:r>
            <w:rPr>
              <w:rFonts w:ascii="Cambria" w:hAnsi="Cambria"/>
              <w:sz w:val="18"/>
              <w:szCs w:val="18"/>
            </w:rPr>
            <w:t>Published</w:t>
          </w:r>
          <w:r w:rsidRPr="002B18B3">
            <w:rPr>
              <w:rFonts w:ascii="Cambria" w:hAnsi="Cambria"/>
              <w:sz w:val="18"/>
              <w:szCs w:val="18"/>
            </w:rPr>
            <w:t>:</w:t>
          </w:r>
          <w:r>
            <w:rPr>
              <w:rFonts w:ascii="Cambria" w:hAnsi="Cambria"/>
              <w:sz w:val="18"/>
              <w:szCs w:val="18"/>
            </w:rPr>
            <w:t xml:space="preserve"> 31.07.2018</w:t>
          </w:r>
          <w:r w:rsidRPr="002B18B3">
            <w:rPr>
              <w:rFonts w:ascii="Cambria" w:hAnsi="Cambria"/>
              <w:sz w:val="18"/>
              <w:szCs w:val="18"/>
            </w:rPr>
            <w:t xml:space="preserve">    </w:t>
          </w:r>
        </w:p>
      </w:tc>
    </w:tr>
  </w:tbl>
  <w:p w:rsidR="00B563F6" w:rsidRDefault="00B563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DC9" w:rsidRDefault="00612DC9" w:rsidP="0002136D">
      <w:pPr>
        <w:spacing w:after="0" w:line="240" w:lineRule="auto"/>
      </w:pPr>
      <w:r>
        <w:separator/>
      </w:r>
    </w:p>
  </w:footnote>
  <w:footnote w:type="continuationSeparator" w:id="0">
    <w:p w:rsidR="00612DC9" w:rsidRDefault="00612DC9" w:rsidP="00021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3F6" w:rsidRDefault="00B563F6" w:rsidP="00B563F6">
    <w:pPr>
      <w:pStyle w:val="Header"/>
    </w:pPr>
    <w:r>
      <w:rPr>
        <w:noProof/>
      </w:rPr>
      <mc:AlternateContent>
        <mc:Choice Requires="wpg">
          <w:drawing>
            <wp:inline distT="0" distB="0" distL="0" distR="0" wp14:anchorId="37EDE5AF" wp14:editId="3C913AE6">
              <wp:extent cx="6127750" cy="611505"/>
              <wp:effectExtent l="0" t="0" r="25400" b="171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11505"/>
                        <a:chOff x="1418" y="768"/>
                        <a:chExt cx="8520" cy="600"/>
                      </a:xfrm>
                    </wpg:grpSpPr>
                    <wpg:grpSp>
                      <wpg:cNvPr id="2" name="Group 2"/>
                      <wpg:cNvGrpSpPr>
                        <a:grpSpLocks/>
                      </wpg:cNvGrpSpPr>
                      <wpg:grpSpPr bwMode="auto">
                        <a:xfrm>
                          <a:off x="1418" y="768"/>
                          <a:ext cx="7804" cy="600"/>
                          <a:chOff x="1733" y="638"/>
                          <a:chExt cx="7444" cy="600"/>
                        </a:xfrm>
                      </wpg:grpSpPr>
                      <wps:wsp>
                        <wps:cNvPr id="5"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63F6" w:rsidRPr="009F0097" w:rsidRDefault="00B563F6" w:rsidP="00B563F6">
                              <w:pPr>
                                <w:spacing w:after="0"/>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on Online, 2018; 17(3): pp. 1</w:t>
                              </w:r>
                              <w:r w:rsidR="00215FE6">
                                <w:rPr>
                                  <w:rFonts w:asciiTheme="minorHAnsi" w:hAnsiTheme="minorHAnsi" w:cstheme="minorHAnsi"/>
                                  <w:sz w:val="18"/>
                                  <w:szCs w:val="20"/>
                                </w:rPr>
                                <w:t>691</w:t>
                              </w:r>
                              <w:r w:rsidRPr="009F0097">
                                <w:rPr>
                                  <w:rFonts w:asciiTheme="minorHAnsi" w:hAnsiTheme="minorHAnsi" w:cstheme="minorHAnsi"/>
                                  <w:sz w:val="18"/>
                                  <w:szCs w:val="20"/>
                                </w:rPr>
                                <w:t>-</w:t>
                              </w:r>
                              <w:r w:rsidR="00215FE6">
                                <w:rPr>
                                  <w:rFonts w:asciiTheme="minorHAnsi" w:hAnsiTheme="minorHAnsi" w:cstheme="minorHAnsi"/>
                                  <w:sz w:val="18"/>
                                  <w:szCs w:val="20"/>
                                </w:rPr>
                                <w:t>1705</w:t>
                              </w:r>
                            </w:p>
                            <w:p w:rsidR="00B563F6" w:rsidRPr="009F0097" w:rsidRDefault="00B563F6" w:rsidP="00B563F6">
                              <w:pPr>
                                <w:spacing w:after="0"/>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17(3): s.</w:t>
                              </w:r>
                              <w:r w:rsidR="00215FE6" w:rsidRPr="00215FE6">
                                <w:rPr>
                                  <w:rFonts w:asciiTheme="minorHAnsi" w:hAnsiTheme="minorHAnsi" w:cstheme="minorHAnsi"/>
                                  <w:sz w:val="18"/>
                                  <w:szCs w:val="20"/>
                                </w:rPr>
                                <w:t xml:space="preserve"> </w:t>
                              </w:r>
                              <w:r w:rsidR="00215FE6">
                                <w:rPr>
                                  <w:rFonts w:asciiTheme="minorHAnsi" w:hAnsiTheme="minorHAnsi" w:cstheme="minorHAnsi"/>
                                  <w:sz w:val="18"/>
                                  <w:szCs w:val="20"/>
                                </w:rPr>
                                <w:t>1691</w:t>
                              </w:r>
                              <w:r w:rsidR="00215FE6" w:rsidRPr="009F0097">
                                <w:rPr>
                                  <w:rFonts w:asciiTheme="minorHAnsi" w:hAnsiTheme="minorHAnsi" w:cstheme="minorHAnsi"/>
                                  <w:sz w:val="18"/>
                                  <w:szCs w:val="20"/>
                                </w:rPr>
                                <w:t>-</w:t>
                              </w:r>
                              <w:r w:rsidR="00215FE6">
                                <w:rPr>
                                  <w:rFonts w:asciiTheme="minorHAnsi" w:hAnsiTheme="minorHAnsi" w:cstheme="minorHAnsi"/>
                                  <w:sz w:val="18"/>
                                  <w:szCs w:val="20"/>
                                </w:rPr>
                                <w:t>1705</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1" w:history="1">
                                <w:r w:rsidRPr="009F0097">
                                  <w:rPr>
                                    <w:rStyle w:val="Hyperlink"/>
                                    <w:rFonts w:asciiTheme="minorHAnsi" w:hAnsiTheme="minorHAnsi" w:cstheme="minorHAnsi"/>
                                    <w:sz w:val="18"/>
                                    <w:szCs w:val="20"/>
                                  </w:rPr>
                                  <w:t>http://ilkogretim-online.org.tr</w:t>
                                </w:r>
                              </w:hyperlink>
                            </w:p>
                            <w:p w:rsidR="00B563F6" w:rsidRPr="009F0097" w:rsidRDefault="00B563F6" w:rsidP="00B563F6">
                              <w:pPr>
                                <w:rPr>
                                  <w:rStyle w:val="Hyperlink"/>
                                  <w:rFonts w:asciiTheme="minorHAnsi" w:hAnsiTheme="minorHAnsi" w:cstheme="minorHAnsi"/>
                                  <w:color w:val="00B050"/>
                                  <w:sz w:val="18"/>
                                  <w:szCs w:val="20"/>
                                </w:rPr>
                              </w:pPr>
                              <w:hyperlink r:id="rId2" w:history="1">
                                <w:proofErr w:type="spellStart"/>
                                <w:r w:rsidRPr="009F0097">
                                  <w:rPr>
                                    <w:rFonts w:asciiTheme="minorHAnsi" w:hAnsiTheme="minorHAnsi" w:cstheme="minorHAnsi"/>
                                    <w:color w:val="00B050"/>
                                    <w:sz w:val="18"/>
                                    <w:szCs w:val="20"/>
                                    <w:u w:val="single"/>
                                    <w:shd w:val="clear" w:color="auto" w:fill="FFFFFF"/>
                                  </w:rPr>
                                  <w:t>doi</w:t>
                                </w:r>
                                <w:proofErr w:type="spellEnd"/>
                              </w:hyperlink>
                            </w:p>
                          </w:txbxContent>
                        </wps:txbx>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7"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EDE5AF" id="Group 1" o:spid="_x0000_s1026" style="width:482.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dBP/v90EAAAhDgAADgAAAAAAAAAAAAAAAAA6AgAAZHJzL2Uy&#10;b0RvYy54bWxQSwECLQAUAAYACAAAACEAqiYOvrwAAAAhAQAAGQAAAAAAAAAAAAAAAABDBwAAZHJz&#10;L19yZWxzL2Uyb0RvYy54bWwucmVsc1BLAQItABQABgAIAAAAIQCScndJ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" stroked="f">
                  <v:fill opacity="0"/>
                  <v:textbox>
                    <w:txbxContent>
                      <w:p w:rsidR="00B563F6" w:rsidRPr="009F0097" w:rsidRDefault="00B563F6" w:rsidP="00B563F6">
                        <w:pPr>
                          <w:spacing w:after="0"/>
                          <w:rPr>
                            <w:rFonts w:asciiTheme="minorHAnsi" w:hAnsiTheme="minorHAnsi" w:cstheme="minorHAnsi"/>
                            <w:sz w:val="18"/>
                            <w:szCs w:val="20"/>
                          </w:rPr>
                        </w:pPr>
                        <w:r w:rsidRPr="009F0097">
                          <w:rPr>
                            <w:rFonts w:asciiTheme="minorHAnsi" w:hAnsiTheme="minorHAnsi" w:cstheme="minorHAnsi"/>
                            <w:sz w:val="18"/>
                            <w:szCs w:val="20"/>
                          </w:rPr>
                          <w:t>Elementary Educati</w:t>
                        </w:r>
                        <w:r>
                          <w:rPr>
                            <w:rFonts w:asciiTheme="minorHAnsi" w:hAnsiTheme="minorHAnsi" w:cstheme="minorHAnsi"/>
                            <w:sz w:val="18"/>
                            <w:szCs w:val="20"/>
                          </w:rPr>
                          <w:t>on Online, 2018; 17(3): pp. 1</w:t>
                        </w:r>
                        <w:r w:rsidR="00215FE6">
                          <w:rPr>
                            <w:rFonts w:asciiTheme="minorHAnsi" w:hAnsiTheme="minorHAnsi" w:cstheme="minorHAnsi"/>
                            <w:sz w:val="18"/>
                            <w:szCs w:val="20"/>
                          </w:rPr>
                          <w:t>691</w:t>
                        </w:r>
                        <w:r w:rsidRPr="009F0097">
                          <w:rPr>
                            <w:rFonts w:asciiTheme="minorHAnsi" w:hAnsiTheme="minorHAnsi" w:cstheme="minorHAnsi"/>
                            <w:sz w:val="18"/>
                            <w:szCs w:val="20"/>
                          </w:rPr>
                          <w:t>-</w:t>
                        </w:r>
                        <w:r w:rsidR="00215FE6">
                          <w:rPr>
                            <w:rFonts w:asciiTheme="minorHAnsi" w:hAnsiTheme="minorHAnsi" w:cstheme="minorHAnsi"/>
                            <w:sz w:val="18"/>
                            <w:szCs w:val="20"/>
                          </w:rPr>
                          <w:t>1705</w:t>
                        </w:r>
                      </w:p>
                      <w:p w:rsidR="00B563F6" w:rsidRPr="009F0097" w:rsidRDefault="00B563F6" w:rsidP="00B563F6">
                        <w:pPr>
                          <w:spacing w:after="0"/>
                          <w:rPr>
                            <w:rStyle w:val="Hyperlink"/>
                            <w:rFonts w:asciiTheme="minorHAnsi" w:hAnsiTheme="minorHAnsi" w:cstheme="minorHAnsi"/>
                            <w:sz w:val="18"/>
                            <w:szCs w:val="20"/>
                          </w:rPr>
                        </w:pPr>
                        <w:r w:rsidRPr="009F0097">
                          <w:rPr>
                            <w:rFonts w:asciiTheme="minorHAnsi" w:hAnsiTheme="minorHAnsi" w:cstheme="minorHAnsi"/>
                            <w:sz w:val="18"/>
                            <w:szCs w:val="20"/>
                          </w:rPr>
                          <w:t>İlkö</w:t>
                        </w:r>
                        <w:r>
                          <w:rPr>
                            <w:rFonts w:asciiTheme="minorHAnsi" w:hAnsiTheme="minorHAnsi" w:cstheme="minorHAnsi"/>
                            <w:sz w:val="18"/>
                            <w:szCs w:val="20"/>
                          </w:rPr>
                          <w:t>ğretim Online, 2018; 17(3): s.</w:t>
                        </w:r>
                        <w:r w:rsidR="00215FE6" w:rsidRPr="00215FE6">
                          <w:rPr>
                            <w:rFonts w:asciiTheme="minorHAnsi" w:hAnsiTheme="minorHAnsi" w:cstheme="minorHAnsi"/>
                            <w:sz w:val="18"/>
                            <w:szCs w:val="20"/>
                          </w:rPr>
                          <w:t xml:space="preserve"> </w:t>
                        </w:r>
                        <w:r w:rsidR="00215FE6">
                          <w:rPr>
                            <w:rFonts w:asciiTheme="minorHAnsi" w:hAnsiTheme="minorHAnsi" w:cstheme="minorHAnsi"/>
                            <w:sz w:val="18"/>
                            <w:szCs w:val="20"/>
                          </w:rPr>
                          <w:t>1691</w:t>
                        </w:r>
                        <w:r w:rsidR="00215FE6" w:rsidRPr="009F0097">
                          <w:rPr>
                            <w:rFonts w:asciiTheme="minorHAnsi" w:hAnsiTheme="minorHAnsi" w:cstheme="minorHAnsi"/>
                            <w:sz w:val="18"/>
                            <w:szCs w:val="20"/>
                          </w:rPr>
                          <w:t>-</w:t>
                        </w:r>
                        <w:r w:rsidR="00215FE6">
                          <w:rPr>
                            <w:rFonts w:asciiTheme="minorHAnsi" w:hAnsiTheme="minorHAnsi" w:cstheme="minorHAnsi"/>
                            <w:sz w:val="18"/>
                            <w:szCs w:val="20"/>
                          </w:rPr>
                          <w:t>1705</w:t>
                        </w:r>
                        <w:r w:rsidRPr="009F0097">
                          <w:rPr>
                            <w:rFonts w:asciiTheme="minorHAnsi" w:hAnsiTheme="minorHAnsi" w:cstheme="minorHAnsi"/>
                            <w:sz w:val="18"/>
                            <w:szCs w:val="20"/>
                          </w:rPr>
                          <w:t>. [Online]:</w:t>
                        </w:r>
                        <w:r w:rsidRPr="009F0097">
                          <w:rPr>
                            <w:rFonts w:asciiTheme="minorHAnsi" w:hAnsiTheme="minorHAnsi" w:cstheme="minorHAnsi"/>
                            <w:b/>
                            <w:bCs/>
                            <w:sz w:val="18"/>
                            <w:szCs w:val="20"/>
                          </w:rPr>
                          <w:t xml:space="preserve"> </w:t>
                        </w:r>
                        <w:hyperlink r:id="rId4" w:history="1">
                          <w:r w:rsidRPr="009F0097">
                            <w:rPr>
                              <w:rStyle w:val="Hyperlink"/>
                              <w:rFonts w:asciiTheme="minorHAnsi" w:hAnsiTheme="minorHAnsi" w:cstheme="minorHAnsi"/>
                              <w:sz w:val="18"/>
                              <w:szCs w:val="20"/>
                            </w:rPr>
                            <w:t>http://ilkogretim-online.org.tr</w:t>
                          </w:r>
                        </w:hyperlink>
                      </w:p>
                      <w:p w:rsidR="00B563F6" w:rsidRPr="009F0097" w:rsidRDefault="00B563F6" w:rsidP="00B563F6">
                        <w:pPr>
                          <w:rPr>
                            <w:rStyle w:val="Hyperlink"/>
                            <w:rFonts w:asciiTheme="minorHAnsi" w:hAnsiTheme="minorHAnsi" w:cstheme="minorHAnsi"/>
                            <w:color w:val="00B050"/>
                            <w:sz w:val="18"/>
                            <w:szCs w:val="20"/>
                          </w:rPr>
                        </w:pPr>
                        <w:hyperlink r:id="rId5" w:history="1">
                          <w:proofErr w:type="spellStart"/>
                          <w:r w:rsidRPr="009F0097">
                            <w:rPr>
                              <w:rFonts w:asciiTheme="minorHAnsi" w:hAnsiTheme="minorHAnsi" w:cstheme="minorHAnsi"/>
                              <w:color w:val="00B050"/>
                              <w:sz w:val="18"/>
                              <w:szCs w:val="20"/>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w10:anchorlock/>
            </v:group>
          </w:pict>
        </mc:Fallback>
      </mc:AlternateContent>
    </w:r>
  </w:p>
  <w:p w:rsidR="00B563F6" w:rsidRDefault="00B56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31D"/>
    <w:rsid w:val="00015459"/>
    <w:rsid w:val="0002136D"/>
    <w:rsid w:val="0002602A"/>
    <w:rsid w:val="00026264"/>
    <w:rsid w:val="0003049E"/>
    <w:rsid w:val="00031839"/>
    <w:rsid w:val="00032B78"/>
    <w:rsid w:val="00036783"/>
    <w:rsid w:val="000417EB"/>
    <w:rsid w:val="00044764"/>
    <w:rsid w:val="00052C8A"/>
    <w:rsid w:val="000549CC"/>
    <w:rsid w:val="00064C06"/>
    <w:rsid w:val="000676F6"/>
    <w:rsid w:val="00073B7C"/>
    <w:rsid w:val="000754DB"/>
    <w:rsid w:val="00084626"/>
    <w:rsid w:val="00087F3C"/>
    <w:rsid w:val="000A59DE"/>
    <w:rsid w:val="000B5751"/>
    <w:rsid w:val="000B7AF0"/>
    <w:rsid w:val="000D51E6"/>
    <w:rsid w:val="000E1393"/>
    <w:rsid w:val="000F330B"/>
    <w:rsid w:val="000F4587"/>
    <w:rsid w:val="000F45D9"/>
    <w:rsid w:val="00101DF7"/>
    <w:rsid w:val="00112015"/>
    <w:rsid w:val="00124E84"/>
    <w:rsid w:val="00130E21"/>
    <w:rsid w:val="00131FA9"/>
    <w:rsid w:val="00133A9C"/>
    <w:rsid w:val="00136712"/>
    <w:rsid w:val="00162CF2"/>
    <w:rsid w:val="001775C1"/>
    <w:rsid w:val="00191287"/>
    <w:rsid w:val="001A75B9"/>
    <w:rsid w:val="001B69CF"/>
    <w:rsid w:val="001B6A44"/>
    <w:rsid w:val="001C4EDC"/>
    <w:rsid w:val="001D55F1"/>
    <w:rsid w:val="001F35E4"/>
    <w:rsid w:val="001F48F8"/>
    <w:rsid w:val="00204CD3"/>
    <w:rsid w:val="00207D77"/>
    <w:rsid w:val="002105E2"/>
    <w:rsid w:val="002119CB"/>
    <w:rsid w:val="002130B3"/>
    <w:rsid w:val="00215FE6"/>
    <w:rsid w:val="00225EC1"/>
    <w:rsid w:val="00233994"/>
    <w:rsid w:val="002429D6"/>
    <w:rsid w:val="00247591"/>
    <w:rsid w:val="00247ABA"/>
    <w:rsid w:val="0026053C"/>
    <w:rsid w:val="00260A37"/>
    <w:rsid w:val="00272DF0"/>
    <w:rsid w:val="002747E7"/>
    <w:rsid w:val="0027507B"/>
    <w:rsid w:val="00290416"/>
    <w:rsid w:val="00290DFA"/>
    <w:rsid w:val="002972D2"/>
    <w:rsid w:val="0029757F"/>
    <w:rsid w:val="002A085B"/>
    <w:rsid w:val="002A2367"/>
    <w:rsid w:val="002A7E15"/>
    <w:rsid w:val="002B36E9"/>
    <w:rsid w:val="002B4EE9"/>
    <w:rsid w:val="002B67CD"/>
    <w:rsid w:val="002B7A6F"/>
    <w:rsid w:val="002C2585"/>
    <w:rsid w:val="002E131B"/>
    <w:rsid w:val="002F43A9"/>
    <w:rsid w:val="002F651B"/>
    <w:rsid w:val="00307474"/>
    <w:rsid w:val="00324320"/>
    <w:rsid w:val="00331F0F"/>
    <w:rsid w:val="00333A54"/>
    <w:rsid w:val="00334E70"/>
    <w:rsid w:val="00353706"/>
    <w:rsid w:val="00371E7F"/>
    <w:rsid w:val="00396F25"/>
    <w:rsid w:val="003A72BF"/>
    <w:rsid w:val="003D0189"/>
    <w:rsid w:val="003D44B5"/>
    <w:rsid w:val="003D53B9"/>
    <w:rsid w:val="003D7A7C"/>
    <w:rsid w:val="003E116E"/>
    <w:rsid w:val="003E75B4"/>
    <w:rsid w:val="003F6EC1"/>
    <w:rsid w:val="00416615"/>
    <w:rsid w:val="00421313"/>
    <w:rsid w:val="00433897"/>
    <w:rsid w:val="00440D0F"/>
    <w:rsid w:val="00440FD9"/>
    <w:rsid w:val="004438C5"/>
    <w:rsid w:val="00453557"/>
    <w:rsid w:val="004607F3"/>
    <w:rsid w:val="00460A6E"/>
    <w:rsid w:val="0047437E"/>
    <w:rsid w:val="004940E9"/>
    <w:rsid w:val="00497C3D"/>
    <w:rsid w:val="004B033C"/>
    <w:rsid w:val="004B7A7C"/>
    <w:rsid w:val="004C513C"/>
    <w:rsid w:val="004C7C0C"/>
    <w:rsid w:val="004E04ED"/>
    <w:rsid w:val="004F0FA9"/>
    <w:rsid w:val="004F2584"/>
    <w:rsid w:val="004F33A1"/>
    <w:rsid w:val="004F36E4"/>
    <w:rsid w:val="0052387C"/>
    <w:rsid w:val="00532BA3"/>
    <w:rsid w:val="00540F83"/>
    <w:rsid w:val="00546E83"/>
    <w:rsid w:val="00555567"/>
    <w:rsid w:val="00561AE8"/>
    <w:rsid w:val="00570FD0"/>
    <w:rsid w:val="00571E2A"/>
    <w:rsid w:val="00581F2F"/>
    <w:rsid w:val="005841C3"/>
    <w:rsid w:val="0059211F"/>
    <w:rsid w:val="00593DD8"/>
    <w:rsid w:val="005A188D"/>
    <w:rsid w:val="005A4367"/>
    <w:rsid w:val="005A7BE4"/>
    <w:rsid w:val="005C4365"/>
    <w:rsid w:val="005C4B3A"/>
    <w:rsid w:val="005D2EEE"/>
    <w:rsid w:val="005D522B"/>
    <w:rsid w:val="005D58A4"/>
    <w:rsid w:val="005D6D36"/>
    <w:rsid w:val="005F4BE2"/>
    <w:rsid w:val="00600C33"/>
    <w:rsid w:val="00604482"/>
    <w:rsid w:val="006052FB"/>
    <w:rsid w:val="006060EE"/>
    <w:rsid w:val="00612DC9"/>
    <w:rsid w:val="0061699C"/>
    <w:rsid w:val="00621692"/>
    <w:rsid w:val="006277D4"/>
    <w:rsid w:val="006308D3"/>
    <w:rsid w:val="00631D2A"/>
    <w:rsid w:val="00631DA5"/>
    <w:rsid w:val="00635D2C"/>
    <w:rsid w:val="00641AAC"/>
    <w:rsid w:val="0064288C"/>
    <w:rsid w:val="0065412C"/>
    <w:rsid w:val="00657675"/>
    <w:rsid w:val="006C285E"/>
    <w:rsid w:val="006D1FEC"/>
    <w:rsid w:val="006E65D2"/>
    <w:rsid w:val="006F5DD6"/>
    <w:rsid w:val="007013EE"/>
    <w:rsid w:val="00721AA1"/>
    <w:rsid w:val="00726672"/>
    <w:rsid w:val="00731E8C"/>
    <w:rsid w:val="0073339C"/>
    <w:rsid w:val="00752CF0"/>
    <w:rsid w:val="0075576C"/>
    <w:rsid w:val="0079320D"/>
    <w:rsid w:val="00795A12"/>
    <w:rsid w:val="007A42E8"/>
    <w:rsid w:val="007F55D4"/>
    <w:rsid w:val="00802CB2"/>
    <w:rsid w:val="00810A86"/>
    <w:rsid w:val="00820A88"/>
    <w:rsid w:val="00823CBF"/>
    <w:rsid w:val="00831590"/>
    <w:rsid w:val="00834E5B"/>
    <w:rsid w:val="00837FD3"/>
    <w:rsid w:val="00853750"/>
    <w:rsid w:val="008A0EC9"/>
    <w:rsid w:val="008B5E11"/>
    <w:rsid w:val="008B6E91"/>
    <w:rsid w:val="008C4426"/>
    <w:rsid w:val="008F04F7"/>
    <w:rsid w:val="008F7483"/>
    <w:rsid w:val="00903F3D"/>
    <w:rsid w:val="00907F12"/>
    <w:rsid w:val="0091236A"/>
    <w:rsid w:val="009133AA"/>
    <w:rsid w:val="009273F7"/>
    <w:rsid w:val="00931C2E"/>
    <w:rsid w:val="009458AB"/>
    <w:rsid w:val="00955B90"/>
    <w:rsid w:val="00960485"/>
    <w:rsid w:val="00966D79"/>
    <w:rsid w:val="0097225F"/>
    <w:rsid w:val="00993FFF"/>
    <w:rsid w:val="00995520"/>
    <w:rsid w:val="009A347B"/>
    <w:rsid w:val="009A4940"/>
    <w:rsid w:val="009B1BB3"/>
    <w:rsid w:val="009B6D8C"/>
    <w:rsid w:val="009C4D4C"/>
    <w:rsid w:val="009D12E3"/>
    <w:rsid w:val="009E1E93"/>
    <w:rsid w:val="009E317B"/>
    <w:rsid w:val="009E41B7"/>
    <w:rsid w:val="009F10BE"/>
    <w:rsid w:val="009F3322"/>
    <w:rsid w:val="00A00AEF"/>
    <w:rsid w:val="00A21FE9"/>
    <w:rsid w:val="00A271F8"/>
    <w:rsid w:val="00A4635C"/>
    <w:rsid w:val="00A5233D"/>
    <w:rsid w:val="00A64978"/>
    <w:rsid w:val="00A66BC0"/>
    <w:rsid w:val="00A71FCC"/>
    <w:rsid w:val="00A72EAF"/>
    <w:rsid w:val="00AA60B8"/>
    <w:rsid w:val="00AA61AF"/>
    <w:rsid w:val="00AB3ABB"/>
    <w:rsid w:val="00AE2727"/>
    <w:rsid w:val="00AE5004"/>
    <w:rsid w:val="00AE58FA"/>
    <w:rsid w:val="00B01408"/>
    <w:rsid w:val="00B0449C"/>
    <w:rsid w:val="00B1731D"/>
    <w:rsid w:val="00B316C6"/>
    <w:rsid w:val="00B32F52"/>
    <w:rsid w:val="00B37855"/>
    <w:rsid w:val="00B41093"/>
    <w:rsid w:val="00B43D14"/>
    <w:rsid w:val="00B563F6"/>
    <w:rsid w:val="00B83295"/>
    <w:rsid w:val="00B85E3D"/>
    <w:rsid w:val="00BA5091"/>
    <w:rsid w:val="00BA7826"/>
    <w:rsid w:val="00BD5E4B"/>
    <w:rsid w:val="00BD723E"/>
    <w:rsid w:val="00BF3047"/>
    <w:rsid w:val="00C01287"/>
    <w:rsid w:val="00C1124E"/>
    <w:rsid w:val="00C3006A"/>
    <w:rsid w:val="00C35B09"/>
    <w:rsid w:val="00C43709"/>
    <w:rsid w:val="00C47AFA"/>
    <w:rsid w:val="00C51533"/>
    <w:rsid w:val="00C56789"/>
    <w:rsid w:val="00CA71B2"/>
    <w:rsid w:val="00CE4A66"/>
    <w:rsid w:val="00CF4CAB"/>
    <w:rsid w:val="00D036A7"/>
    <w:rsid w:val="00D221B1"/>
    <w:rsid w:val="00D27B37"/>
    <w:rsid w:val="00D32B33"/>
    <w:rsid w:val="00D341EF"/>
    <w:rsid w:val="00D34791"/>
    <w:rsid w:val="00D404C3"/>
    <w:rsid w:val="00D42BB1"/>
    <w:rsid w:val="00D45366"/>
    <w:rsid w:val="00D5032A"/>
    <w:rsid w:val="00D51D66"/>
    <w:rsid w:val="00D52F0C"/>
    <w:rsid w:val="00D54963"/>
    <w:rsid w:val="00D63187"/>
    <w:rsid w:val="00D63693"/>
    <w:rsid w:val="00D9235A"/>
    <w:rsid w:val="00DA2AFD"/>
    <w:rsid w:val="00DB06BF"/>
    <w:rsid w:val="00DC0895"/>
    <w:rsid w:val="00DC533A"/>
    <w:rsid w:val="00DE3C4D"/>
    <w:rsid w:val="00DF0AF1"/>
    <w:rsid w:val="00DF14C3"/>
    <w:rsid w:val="00DF1BB1"/>
    <w:rsid w:val="00E12BAA"/>
    <w:rsid w:val="00E17F47"/>
    <w:rsid w:val="00E23162"/>
    <w:rsid w:val="00E25639"/>
    <w:rsid w:val="00E268F7"/>
    <w:rsid w:val="00E3112B"/>
    <w:rsid w:val="00E31A7B"/>
    <w:rsid w:val="00E372F2"/>
    <w:rsid w:val="00E437B1"/>
    <w:rsid w:val="00E44ED9"/>
    <w:rsid w:val="00E53E6F"/>
    <w:rsid w:val="00E57190"/>
    <w:rsid w:val="00E64518"/>
    <w:rsid w:val="00E7019D"/>
    <w:rsid w:val="00E719E7"/>
    <w:rsid w:val="00E80274"/>
    <w:rsid w:val="00E8193B"/>
    <w:rsid w:val="00E8762A"/>
    <w:rsid w:val="00E94E92"/>
    <w:rsid w:val="00EC4D5B"/>
    <w:rsid w:val="00ED6718"/>
    <w:rsid w:val="00F1139A"/>
    <w:rsid w:val="00F14B88"/>
    <w:rsid w:val="00F15552"/>
    <w:rsid w:val="00F15ED1"/>
    <w:rsid w:val="00F20CC7"/>
    <w:rsid w:val="00F213E0"/>
    <w:rsid w:val="00F5286E"/>
    <w:rsid w:val="00F61EBA"/>
    <w:rsid w:val="00F65478"/>
    <w:rsid w:val="00F658FB"/>
    <w:rsid w:val="00F7466E"/>
    <w:rsid w:val="00F81FA6"/>
    <w:rsid w:val="00F8683D"/>
    <w:rsid w:val="00FA3A86"/>
    <w:rsid w:val="00FB3900"/>
    <w:rsid w:val="00FB3F7E"/>
    <w:rsid w:val="00FB4D9D"/>
    <w:rsid w:val="00FC0497"/>
    <w:rsid w:val="00FC4BFB"/>
    <w:rsid w:val="00FE17D8"/>
    <w:rsid w:val="00FF2B45"/>
    <w:rsid w:val="00FF6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D589B"/>
  <w15:docId w15:val="{947A0294-E9F9-4C68-AC1A-892A0EE9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26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02A"/>
    <w:rPr>
      <w:rFonts w:ascii="Tahoma" w:hAnsi="Tahoma" w:cs="Tahoma"/>
      <w:sz w:val="16"/>
      <w:szCs w:val="16"/>
    </w:rPr>
  </w:style>
  <w:style w:type="character" w:customStyle="1" w:styleId="ft">
    <w:name w:val="ft"/>
    <w:basedOn w:val="DefaultParagraphFont"/>
    <w:rsid w:val="00E80274"/>
  </w:style>
  <w:style w:type="character" w:styleId="HTMLCite">
    <w:name w:val="HTML Cite"/>
    <w:basedOn w:val="DefaultParagraphFont"/>
    <w:uiPriority w:val="99"/>
    <w:semiHidden/>
    <w:unhideWhenUsed/>
    <w:rsid w:val="00E80274"/>
    <w:rPr>
      <w:i/>
      <w:iCs/>
    </w:rPr>
  </w:style>
  <w:style w:type="paragraph" w:customStyle="1" w:styleId="Articles">
    <w:name w:val="Articles"/>
    <w:rsid w:val="00E80274"/>
    <w:pPr>
      <w:autoSpaceDE w:val="0"/>
      <w:autoSpaceDN w:val="0"/>
      <w:spacing w:after="144" w:line="240" w:lineRule="auto"/>
      <w:ind w:left="360" w:hanging="360"/>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E8027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E80274"/>
  </w:style>
  <w:style w:type="character" w:styleId="Hyperlink">
    <w:name w:val="Hyperlink"/>
    <w:basedOn w:val="DefaultParagraphFont"/>
    <w:uiPriority w:val="99"/>
    <w:unhideWhenUsed/>
    <w:rsid w:val="00E80274"/>
    <w:rPr>
      <w:color w:val="0000FF"/>
      <w:u w:val="single"/>
    </w:rPr>
  </w:style>
  <w:style w:type="character" w:styleId="Emphasis">
    <w:name w:val="Emphasis"/>
    <w:basedOn w:val="DefaultParagraphFont"/>
    <w:uiPriority w:val="20"/>
    <w:qFormat/>
    <w:rsid w:val="00E80274"/>
    <w:rPr>
      <w:i/>
      <w:iCs/>
    </w:rPr>
  </w:style>
  <w:style w:type="paragraph" w:styleId="NoSpacing">
    <w:name w:val="No Spacing"/>
    <w:uiPriority w:val="1"/>
    <w:qFormat/>
    <w:rsid w:val="00631D2A"/>
    <w:pPr>
      <w:spacing w:after="0" w:line="240" w:lineRule="auto"/>
    </w:pPr>
    <w:rPr>
      <w:rFonts w:ascii="Times New Roman" w:eastAsia="Times New Roman" w:hAnsi="Times New Roman" w:cs="Times New Roman"/>
      <w:color w:val="auto"/>
      <w:sz w:val="24"/>
      <w:szCs w:val="24"/>
      <w:lang w:eastAsia="tr-TR"/>
    </w:rPr>
  </w:style>
  <w:style w:type="character" w:styleId="Strong">
    <w:name w:val="Strong"/>
    <w:basedOn w:val="DefaultParagraphFont"/>
    <w:uiPriority w:val="22"/>
    <w:qFormat/>
    <w:rsid w:val="002A7E15"/>
    <w:rPr>
      <w:b/>
      <w:bCs/>
    </w:rPr>
  </w:style>
  <w:style w:type="paragraph" w:styleId="Header">
    <w:name w:val="header"/>
    <w:aliases w:val=" Char,Char"/>
    <w:basedOn w:val="Normal"/>
    <w:link w:val="HeaderChar"/>
    <w:uiPriority w:val="99"/>
    <w:unhideWhenUsed/>
    <w:rsid w:val="0002136D"/>
    <w:pPr>
      <w:tabs>
        <w:tab w:val="center" w:pos="4703"/>
        <w:tab w:val="right" w:pos="9406"/>
      </w:tabs>
      <w:spacing w:after="0" w:line="240" w:lineRule="auto"/>
    </w:pPr>
  </w:style>
  <w:style w:type="character" w:customStyle="1" w:styleId="HeaderChar">
    <w:name w:val="Header Char"/>
    <w:aliases w:val=" Char Char,Char Char"/>
    <w:basedOn w:val="DefaultParagraphFont"/>
    <w:link w:val="Header"/>
    <w:uiPriority w:val="99"/>
    <w:rsid w:val="0002136D"/>
  </w:style>
  <w:style w:type="paragraph" w:styleId="Footer">
    <w:name w:val="footer"/>
    <w:basedOn w:val="Normal"/>
    <w:link w:val="FooterChar"/>
    <w:uiPriority w:val="99"/>
    <w:unhideWhenUsed/>
    <w:rsid w:val="000213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02136D"/>
  </w:style>
  <w:style w:type="paragraph" w:customStyle="1" w:styleId="Default">
    <w:name w:val="Default"/>
    <w:rsid w:val="00731E8C"/>
    <w:pPr>
      <w:autoSpaceDE w:val="0"/>
      <w:autoSpaceDN w:val="0"/>
      <w:adjustRightInd w:val="0"/>
      <w:spacing w:after="0" w:line="240" w:lineRule="auto"/>
    </w:pPr>
    <w:rPr>
      <w:rFonts w:ascii="Palatino Linotype" w:hAnsi="Palatino Linotype" w:cs="Palatino Linotype"/>
      <w:sz w:val="24"/>
      <w:szCs w:val="24"/>
      <w:lang w:val="tr-TR"/>
    </w:rPr>
  </w:style>
  <w:style w:type="paragraph" w:styleId="CommentSubject">
    <w:name w:val="annotation subject"/>
    <w:basedOn w:val="CommentText"/>
    <w:next w:val="CommentText"/>
    <w:link w:val="CommentSubjectChar"/>
    <w:uiPriority w:val="99"/>
    <w:semiHidden/>
    <w:unhideWhenUsed/>
    <w:rsid w:val="00247ABA"/>
    <w:rPr>
      <w:b/>
      <w:bCs/>
    </w:rPr>
  </w:style>
  <w:style w:type="character" w:customStyle="1" w:styleId="CommentSubjectChar">
    <w:name w:val="Comment Subject Char"/>
    <w:basedOn w:val="CommentTextChar"/>
    <w:link w:val="CommentSubject"/>
    <w:uiPriority w:val="99"/>
    <w:semiHidden/>
    <w:rsid w:val="00247ABA"/>
    <w:rPr>
      <w:b/>
      <w:bCs/>
      <w:sz w:val="20"/>
      <w:szCs w:val="20"/>
    </w:rPr>
  </w:style>
  <w:style w:type="table" w:styleId="TableGrid">
    <w:name w:val="Table Grid"/>
    <w:basedOn w:val="TableNormal"/>
    <w:uiPriority w:val="59"/>
    <w:rsid w:val="00B563F6"/>
    <w:pPr>
      <w:spacing w:after="0" w:line="240" w:lineRule="auto"/>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1035">
      <w:bodyDiv w:val="1"/>
      <w:marLeft w:val="0"/>
      <w:marRight w:val="0"/>
      <w:marTop w:val="0"/>
      <w:marBottom w:val="0"/>
      <w:divBdr>
        <w:top w:val="none" w:sz="0" w:space="0" w:color="auto"/>
        <w:left w:val="none" w:sz="0" w:space="0" w:color="auto"/>
        <w:bottom w:val="none" w:sz="0" w:space="0" w:color="auto"/>
        <w:right w:val="none" w:sz="0" w:space="0" w:color="auto"/>
      </w:divBdr>
    </w:div>
    <w:div w:id="234440444">
      <w:bodyDiv w:val="1"/>
      <w:marLeft w:val="0"/>
      <w:marRight w:val="0"/>
      <w:marTop w:val="0"/>
      <w:marBottom w:val="0"/>
      <w:divBdr>
        <w:top w:val="none" w:sz="0" w:space="0" w:color="auto"/>
        <w:left w:val="none" w:sz="0" w:space="0" w:color="auto"/>
        <w:bottom w:val="none" w:sz="0" w:space="0" w:color="auto"/>
        <w:right w:val="none" w:sz="0" w:space="0" w:color="auto"/>
      </w:divBdr>
    </w:div>
    <w:div w:id="912357491">
      <w:bodyDiv w:val="1"/>
      <w:marLeft w:val="0"/>
      <w:marRight w:val="0"/>
      <w:marTop w:val="0"/>
      <w:marBottom w:val="0"/>
      <w:divBdr>
        <w:top w:val="none" w:sz="0" w:space="0" w:color="auto"/>
        <w:left w:val="none" w:sz="0" w:space="0" w:color="auto"/>
        <w:bottom w:val="none" w:sz="0" w:space="0" w:color="auto"/>
        <w:right w:val="none" w:sz="0" w:space="0" w:color="auto"/>
      </w:divBdr>
    </w:div>
    <w:div w:id="1335500066">
      <w:bodyDiv w:val="1"/>
      <w:marLeft w:val="0"/>
      <w:marRight w:val="0"/>
      <w:marTop w:val="0"/>
      <w:marBottom w:val="0"/>
      <w:divBdr>
        <w:top w:val="none" w:sz="0" w:space="0" w:color="auto"/>
        <w:left w:val="none" w:sz="0" w:space="0" w:color="auto"/>
        <w:bottom w:val="none" w:sz="0" w:space="0" w:color="auto"/>
        <w:right w:val="none" w:sz="0" w:space="0" w:color="auto"/>
      </w:divBdr>
    </w:div>
    <w:div w:id="1876966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sungur@metu.edu.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like.ucar@hku.edu.t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8022</Words>
  <Characters>45732</Characters>
  <Application>Microsoft Office Word</Application>
  <DocSecurity>0</DocSecurity>
  <Lines>381</Lines>
  <Paragraphs>107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-=[By NeC]=-</Company>
  <LinksUpToDate>false</LinksUpToDate>
  <CharactersWithSpaces>53647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Kokoc</dc:creator>
  <cp:lastModifiedBy>Author</cp:lastModifiedBy>
  <cp:revision>3</cp:revision>
  <dcterms:created xsi:type="dcterms:W3CDTF">2018-08-10T16:02:00Z</dcterms:created>
  <dcterms:modified xsi:type="dcterms:W3CDTF">2018-08-10T16:03:00Z</dcterms:modified>
</cp:coreProperties>
</file>