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7AB6E6" w14:textId="77777777" w:rsidR="00B47B05" w:rsidRPr="00906C1C" w:rsidRDefault="00B47B05" w:rsidP="00B47B05">
      <w:pPr>
        <w:tabs>
          <w:tab w:val="left" w:pos="7929"/>
        </w:tabs>
        <w:rPr>
          <w:color w:val="000000" w:themeColor="text1"/>
          <w:lang w:val="en-US"/>
        </w:rPr>
      </w:pPr>
      <w:r w:rsidRPr="00906C1C">
        <w:rPr>
          <w:noProof/>
          <w:color w:val="000000" w:themeColor="text1"/>
          <w:lang w:eastAsia="tr-TR"/>
        </w:rPr>
        <w:drawing>
          <wp:anchor distT="0" distB="0" distL="114300" distR="114300" simplePos="0" relativeHeight="251659264" behindDoc="1" locked="0" layoutInCell="1" allowOverlap="1" wp14:anchorId="3907BC05" wp14:editId="78C4EEA5">
            <wp:simplePos x="0" y="0"/>
            <wp:positionH relativeFrom="column">
              <wp:posOffset>5043878</wp:posOffset>
            </wp:positionH>
            <wp:positionV relativeFrom="paragraph">
              <wp:posOffset>-623570</wp:posOffset>
            </wp:positionV>
            <wp:extent cx="1590675" cy="979215"/>
            <wp:effectExtent l="0" t="0" r="0" b="0"/>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4083" b="37332"/>
                    <a:stretch/>
                  </pic:blipFill>
                  <pic:spPr bwMode="auto">
                    <a:xfrm>
                      <a:off x="0" y="0"/>
                      <a:ext cx="1590675" cy="979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C783B2" w14:textId="77777777" w:rsidR="00B47B05" w:rsidRPr="00906C1C" w:rsidRDefault="00B47B05" w:rsidP="00B47B05">
      <w:pPr>
        <w:tabs>
          <w:tab w:val="left" w:pos="7929"/>
        </w:tabs>
        <w:rPr>
          <w:color w:val="000000" w:themeColor="text1"/>
          <w:lang w:val="en-US"/>
        </w:rPr>
      </w:pPr>
    </w:p>
    <w:p w14:paraId="25144478" w14:textId="77777777" w:rsidR="00B47B05" w:rsidRPr="00906C1C" w:rsidRDefault="00B47B05" w:rsidP="00B47B05">
      <w:pPr>
        <w:tabs>
          <w:tab w:val="left" w:pos="7929"/>
        </w:tabs>
        <w:rPr>
          <w:color w:val="000000" w:themeColor="text1"/>
          <w:lang w:val="en-US"/>
        </w:rPr>
      </w:pPr>
    </w:p>
    <w:p w14:paraId="354E7845" w14:textId="1F2E6C54" w:rsidR="0065724A" w:rsidRPr="00906C1C" w:rsidRDefault="0065724A" w:rsidP="0065724A">
      <w:pPr>
        <w:rPr>
          <w:rFonts w:ascii="Times New Roman" w:hAnsi="Times New Roman" w:cs="Times New Roman"/>
          <w:b/>
          <w:bCs/>
          <w:color w:val="000000" w:themeColor="text1"/>
          <w:sz w:val="28"/>
          <w:szCs w:val="28"/>
        </w:rPr>
      </w:pPr>
      <w:r w:rsidRPr="00906C1C">
        <w:rPr>
          <w:rFonts w:ascii="Times New Roman" w:hAnsi="Times New Roman" w:cs="Times New Roman"/>
          <w:b/>
          <w:bCs/>
          <w:color w:val="000000" w:themeColor="text1"/>
          <w:sz w:val="28"/>
          <w:szCs w:val="28"/>
        </w:rPr>
        <w:t>Halka Açık Türk KOBİ Şirketleri Dijital</w:t>
      </w:r>
      <w:r w:rsidR="008655D8" w:rsidRPr="00906C1C">
        <w:rPr>
          <w:rFonts w:ascii="Times New Roman" w:hAnsi="Times New Roman" w:cs="Times New Roman"/>
          <w:b/>
          <w:bCs/>
          <w:color w:val="000000" w:themeColor="text1"/>
          <w:sz w:val="28"/>
          <w:szCs w:val="28"/>
        </w:rPr>
        <w:t xml:space="preserve"> Dönüşüm</w:t>
      </w:r>
      <w:r w:rsidRPr="00906C1C">
        <w:rPr>
          <w:rFonts w:ascii="Times New Roman" w:hAnsi="Times New Roman" w:cs="Times New Roman"/>
          <w:b/>
          <w:bCs/>
          <w:color w:val="000000" w:themeColor="text1"/>
          <w:sz w:val="28"/>
          <w:szCs w:val="28"/>
        </w:rPr>
        <w:t xml:space="preserve"> Endeksi KODIDEKS-H</w:t>
      </w:r>
    </w:p>
    <w:p w14:paraId="53B0EB2C" w14:textId="77777777" w:rsidR="00B47B05" w:rsidRPr="00906C1C" w:rsidRDefault="00B47B05" w:rsidP="00B47B05">
      <w:pPr>
        <w:tabs>
          <w:tab w:val="left" w:pos="7929"/>
        </w:tabs>
        <w:rPr>
          <w:color w:val="000000" w:themeColor="text1"/>
          <w:sz w:val="6"/>
          <w:lang w:val="en-US"/>
        </w:rPr>
      </w:pPr>
    </w:p>
    <w:p w14:paraId="453AEA73" w14:textId="583E8CB5" w:rsidR="00B47B05" w:rsidRPr="00906C1C" w:rsidRDefault="0065724A" w:rsidP="00B47B05">
      <w:pPr>
        <w:tabs>
          <w:tab w:val="left" w:pos="7929"/>
        </w:tabs>
        <w:spacing w:after="0" w:line="240" w:lineRule="auto"/>
        <w:ind w:right="-233"/>
        <w:rPr>
          <w:rFonts w:ascii="Times New Roman" w:hAnsi="Times New Roman" w:cs="Times New Roman"/>
          <w:i/>
          <w:color w:val="000000" w:themeColor="text1"/>
          <w:sz w:val="18"/>
        </w:rPr>
      </w:pPr>
      <w:r w:rsidRPr="00906C1C">
        <w:rPr>
          <w:rFonts w:ascii="Times New Roman" w:hAnsi="Times New Roman" w:cs="Times New Roman"/>
          <w:b/>
          <w:i/>
          <w:color w:val="000000" w:themeColor="text1"/>
          <w:sz w:val="18"/>
        </w:rPr>
        <w:t>Ebru Gül YILMAZ</w:t>
      </w:r>
      <w:r w:rsidR="00B47B05" w:rsidRPr="00906C1C">
        <w:rPr>
          <w:rFonts w:ascii="Times New Roman" w:hAnsi="Times New Roman" w:cs="Times New Roman"/>
          <w:i/>
          <w:color w:val="000000" w:themeColor="text1"/>
          <w:sz w:val="18"/>
        </w:rPr>
        <w:t xml:space="preserve"> (https://orcid.org/</w:t>
      </w:r>
      <w:r w:rsidRPr="00906C1C">
        <w:rPr>
          <w:rFonts w:ascii="Times New Roman" w:hAnsi="Times New Roman" w:cs="Times New Roman"/>
          <w:iCs/>
          <w:color w:val="000000" w:themeColor="text1"/>
          <w:sz w:val="18"/>
          <w:szCs w:val="18"/>
          <w:lang w:val="pl-PL"/>
        </w:rPr>
        <w:t>0000-0002-3610-4982</w:t>
      </w:r>
      <w:r w:rsidR="00B47B05" w:rsidRPr="00906C1C">
        <w:rPr>
          <w:rFonts w:ascii="Times New Roman" w:hAnsi="Times New Roman" w:cs="Times New Roman"/>
          <w:i/>
          <w:color w:val="000000" w:themeColor="text1"/>
          <w:sz w:val="18"/>
          <w:szCs w:val="18"/>
        </w:rPr>
        <w:t>),</w:t>
      </w:r>
      <w:r w:rsidR="00B47B05" w:rsidRPr="00906C1C">
        <w:rPr>
          <w:rFonts w:ascii="Times New Roman" w:hAnsi="Times New Roman" w:cs="Times New Roman"/>
          <w:i/>
          <w:color w:val="000000" w:themeColor="text1"/>
          <w:sz w:val="18"/>
        </w:rPr>
        <w:t xml:space="preserve"> </w:t>
      </w:r>
      <w:r w:rsidRPr="00906C1C">
        <w:rPr>
          <w:rFonts w:ascii="Times New Roman" w:hAnsi="Times New Roman" w:cs="Times New Roman"/>
          <w:i/>
          <w:color w:val="000000" w:themeColor="text1"/>
          <w:sz w:val="18"/>
        </w:rPr>
        <w:t>İstanbul Gelişim Üniversitesi İPUAM, Türkiye</w:t>
      </w:r>
      <w:r w:rsidR="00B47B05" w:rsidRPr="00906C1C">
        <w:rPr>
          <w:rFonts w:ascii="Times New Roman" w:hAnsi="Times New Roman" w:cs="Times New Roman"/>
          <w:i/>
          <w:color w:val="000000" w:themeColor="text1"/>
          <w:sz w:val="18"/>
        </w:rPr>
        <w:t xml:space="preserve"> </w:t>
      </w:r>
    </w:p>
    <w:p w14:paraId="00411419" w14:textId="73F4C414" w:rsidR="00B47B05" w:rsidRPr="00906C1C" w:rsidRDefault="00B47B05" w:rsidP="00B47B05">
      <w:pPr>
        <w:tabs>
          <w:tab w:val="left" w:pos="7929"/>
        </w:tabs>
        <w:spacing w:after="0" w:line="240" w:lineRule="auto"/>
        <w:ind w:right="-233"/>
        <w:rPr>
          <w:rFonts w:ascii="Times New Roman" w:hAnsi="Times New Roman" w:cs="Times New Roman"/>
          <w:i/>
          <w:color w:val="000000" w:themeColor="text1"/>
          <w:sz w:val="18"/>
        </w:rPr>
      </w:pPr>
      <w:r w:rsidRPr="00906C1C">
        <w:rPr>
          <w:rFonts w:ascii="Times New Roman" w:hAnsi="Times New Roman" w:cs="Times New Roman"/>
          <w:i/>
          <w:color w:val="000000" w:themeColor="text1"/>
          <w:sz w:val="18"/>
        </w:rPr>
        <w:t>e-mail:</w:t>
      </w:r>
      <w:hyperlink r:id="rId8" w:history="1">
        <w:r w:rsidR="0065724A" w:rsidRPr="00906C1C">
          <w:rPr>
            <w:rStyle w:val="Kpr"/>
            <w:rFonts w:ascii="Times New Roman" w:hAnsi="Times New Roman" w:cs="Times New Roman"/>
            <w:i/>
            <w:color w:val="000000" w:themeColor="text1"/>
            <w:sz w:val="18"/>
          </w:rPr>
          <w:t>.egyilmaz.@gelisim.edu.tr.</w:t>
        </w:r>
      </w:hyperlink>
    </w:p>
    <w:p w14:paraId="5BACC026" w14:textId="77777777" w:rsidR="00B47B05" w:rsidRPr="00906C1C" w:rsidRDefault="00B47B05" w:rsidP="00B47B05">
      <w:pPr>
        <w:tabs>
          <w:tab w:val="left" w:pos="7929"/>
        </w:tabs>
        <w:rPr>
          <w:color w:val="000000" w:themeColor="text1"/>
          <w:lang w:val="en-US"/>
        </w:rPr>
      </w:pPr>
    </w:p>
    <w:p w14:paraId="0D544D12" w14:textId="77777777" w:rsidR="00B47B05" w:rsidRPr="00906C1C" w:rsidRDefault="00B47B05" w:rsidP="00B47B05">
      <w:pPr>
        <w:tabs>
          <w:tab w:val="left" w:pos="7929"/>
        </w:tabs>
        <w:spacing w:after="0" w:line="240" w:lineRule="auto"/>
        <w:jc w:val="both"/>
        <w:rPr>
          <w:rFonts w:ascii="Times New Roman" w:eastAsia="Calibri" w:hAnsi="Times New Roman" w:cs="Times New Roman"/>
          <w:b/>
          <w:color w:val="000000" w:themeColor="text1"/>
          <w:sz w:val="20"/>
          <w:lang w:val="en-US"/>
        </w:rPr>
      </w:pPr>
      <w:r w:rsidRPr="00906C1C">
        <w:rPr>
          <w:rFonts w:ascii="Times New Roman" w:eastAsia="Calibri" w:hAnsi="Times New Roman" w:cs="Times New Roman"/>
          <w:b/>
          <w:color w:val="000000" w:themeColor="text1"/>
          <w:sz w:val="20"/>
          <w:lang w:val="en-US"/>
        </w:rPr>
        <w:t>Öz</w:t>
      </w:r>
    </w:p>
    <w:p w14:paraId="67CA1345" w14:textId="77777777" w:rsidR="0065724A" w:rsidRPr="00906C1C" w:rsidRDefault="0065724A" w:rsidP="0065724A">
      <w:pPr>
        <w:spacing w:after="0" w:line="360" w:lineRule="auto"/>
        <w:jc w:val="both"/>
        <w:rPr>
          <w:rFonts w:ascii="Times New Roman" w:hAnsi="Times New Roman" w:cs="Times New Roman"/>
          <w:color w:val="000000" w:themeColor="text1"/>
          <w:sz w:val="18"/>
          <w:szCs w:val="18"/>
        </w:rPr>
      </w:pPr>
      <w:r w:rsidRPr="00906C1C">
        <w:rPr>
          <w:rFonts w:ascii="Times New Roman" w:hAnsi="Times New Roman" w:cs="Times New Roman"/>
          <w:color w:val="000000" w:themeColor="text1"/>
          <w:sz w:val="18"/>
          <w:szCs w:val="18"/>
        </w:rPr>
        <w:t xml:space="preserve">Dünya genelinde olduğu gibi ülkemizde de KOBİ'ler (Küçük ve Orta Ölçekli İşletmeler) faaliyet gösteren işletmelerin büyük çoğunluğunu oluşturmaktadır. 2023 Türkiye İstatistik Enstitüsü (TÜİK) verilerine göre, KOBİ'ler toplam cironun %47,4'ünü, üretim değeri açısından yarattıkları katma değerin ise %41,6'sını oluştururken, toplam işgücünün %70,5'ini istihdam etmektedirler. Sadece bu rakamlar bile göz önüne alındığında, çalışan sayısına kıyasla yaratılan katma değer açısından KOBİ segmentinde verimliliğin artırılmasının bir zorunluluk olduğu açıktır. Makalenin amacı, KOBİ segmentinde verimlilik artışı yaratma motivasyonuyla, KOBİ'lerin dijitalleşme düzeyini mikro ve makro düzeyde ölçen bir endeks oluşturmaktır. Bu yolla endeks ölçüm çıktılarına dayanarak mikro ve makro düzeyde stratejiler geliştirilebilecek ve KOBİ'lerin dijitalleşme düzeyini artırarak ülkemizin refah düzeyinin artışına da katkı sunulabilecektir. Halihazırda dijitalleşmeyi ölçen bazı endeksler mevcuttur. Bu endeksler firma ve segment düzeyinde ölçümleme yapmamaktadırlar. Bu nedenle, bu çalışmanın konusu olan endeks, halka açık KOBİ'ler için dijitalleşme düzeyini ölçen ilk endeks olacaktır. </w:t>
      </w:r>
    </w:p>
    <w:p w14:paraId="4E521EF3" w14:textId="77777777" w:rsidR="0065724A" w:rsidRPr="00906C1C" w:rsidRDefault="0065724A" w:rsidP="0065724A">
      <w:pPr>
        <w:jc w:val="both"/>
        <w:rPr>
          <w:rFonts w:ascii="Times New Roman" w:hAnsi="Times New Roman" w:cs="Times New Roman"/>
          <w:color w:val="000000" w:themeColor="text1"/>
        </w:rPr>
      </w:pPr>
    </w:p>
    <w:p w14:paraId="7C63FCAE" w14:textId="14E700E7" w:rsidR="00B47B05" w:rsidRPr="00906C1C" w:rsidRDefault="00B47B05" w:rsidP="00B47B05">
      <w:pPr>
        <w:spacing w:after="0" w:line="240" w:lineRule="auto"/>
        <w:jc w:val="both"/>
        <w:rPr>
          <w:rFonts w:ascii="Times New Roman" w:eastAsia="Calibri" w:hAnsi="Times New Roman" w:cs="Times New Roman"/>
          <w:bCs/>
          <w:color w:val="000000" w:themeColor="text1"/>
          <w:sz w:val="18"/>
          <w:szCs w:val="18"/>
        </w:rPr>
      </w:pPr>
      <w:r w:rsidRPr="00906C1C">
        <w:rPr>
          <w:rFonts w:ascii="Times New Roman" w:eastAsia="Calibri" w:hAnsi="Times New Roman" w:cs="Times New Roman"/>
          <w:b/>
          <w:color w:val="000000" w:themeColor="text1"/>
          <w:sz w:val="18"/>
          <w:szCs w:val="18"/>
        </w:rPr>
        <w:t xml:space="preserve">Anahtar Kelimeler: </w:t>
      </w:r>
      <w:r w:rsidR="0065724A" w:rsidRPr="00906C1C">
        <w:rPr>
          <w:rFonts w:ascii="Times New Roman" w:eastAsia="Calibri" w:hAnsi="Times New Roman" w:cs="Times New Roman"/>
          <w:bCs/>
          <w:color w:val="000000" w:themeColor="text1"/>
          <w:sz w:val="18"/>
          <w:szCs w:val="18"/>
        </w:rPr>
        <w:t>KOBİ, Dijitalleşme, Endeks, Refah, Toplam Faktör Verimliliği</w:t>
      </w:r>
    </w:p>
    <w:p w14:paraId="22E19659" w14:textId="77777777" w:rsidR="00B47B05" w:rsidRPr="00906C1C" w:rsidRDefault="00B47B05" w:rsidP="00B47B05">
      <w:pPr>
        <w:spacing w:after="0" w:line="240" w:lineRule="auto"/>
        <w:jc w:val="both"/>
        <w:rPr>
          <w:rFonts w:ascii="Times New Roman" w:eastAsia="Calibri" w:hAnsi="Times New Roman" w:cs="Times New Roman"/>
          <w:color w:val="000000" w:themeColor="text1"/>
          <w:sz w:val="18"/>
          <w:szCs w:val="18"/>
        </w:rPr>
      </w:pPr>
    </w:p>
    <w:p w14:paraId="2E7FAC13" w14:textId="3CB654BE" w:rsidR="00B47B05" w:rsidRPr="00906C1C" w:rsidRDefault="00B47B05" w:rsidP="00B47B05">
      <w:pPr>
        <w:spacing w:after="0" w:line="240" w:lineRule="auto"/>
        <w:jc w:val="both"/>
        <w:rPr>
          <w:rFonts w:ascii="Times New Roman" w:eastAsia="Calibri" w:hAnsi="Times New Roman" w:cs="Times New Roman"/>
          <w:color w:val="000000" w:themeColor="text1"/>
          <w:sz w:val="18"/>
          <w:szCs w:val="18"/>
        </w:rPr>
      </w:pPr>
      <w:r w:rsidRPr="00906C1C">
        <w:rPr>
          <w:rFonts w:ascii="Times New Roman" w:eastAsia="Calibri" w:hAnsi="Times New Roman" w:cs="Times New Roman"/>
          <w:b/>
          <w:bCs/>
          <w:color w:val="000000" w:themeColor="text1"/>
          <w:sz w:val="18"/>
          <w:szCs w:val="18"/>
        </w:rPr>
        <w:t xml:space="preserve">Jel Kodları: </w:t>
      </w:r>
      <w:r w:rsidR="009F51F2" w:rsidRPr="00906C1C">
        <w:rPr>
          <w:rFonts w:ascii="Times New Roman" w:eastAsia="Calibri" w:hAnsi="Times New Roman" w:cs="Times New Roman"/>
          <w:color w:val="000000" w:themeColor="text1"/>
          <w:sz w:val="18"/>
          <w:szCs w:val="18"/>
        </w:rPr>
        <w:t xml:space="preserve">C81, C82, </w:t>
      </w:r>
      <w:r w:rsidR="009F51F2" w:rsidRPr="00906C1C">
        <w:rPr>
          <w:rFonts w:ascii="Times New Roman" w:eastAsia="Calibri" w:hAnsi="Times New Roman" w:cs="Times New Roman"/>
          <w:bCs/>
          <w:color w:val="000000" w:themeColor="text1"/>
          <w:sz w:val="18"/>
          <w:szCs w:val="18"/>
        </w:rPr>
        <w:t>D24</w:t>
      </w:r>
    </w:p>
    <w:p w14:paraId="72F913EA" w14:textId="77777777" w:rsidR="00B47B05" w:rsidRPr="00906C1C" w:rsidRDefault="00B47B05" w:rsidP="00B47B05">
      <w:pPr>
        <w:spacing w:after="0" w:line="240" w:lineRule="auto"/>
        <w:jc w:val="both"/>
        <w:rPr>
          <w:rFonts w:ascii="Times New Roman" w:eastAsia="Calibri" w:hAnsi="Times New Roman" w:cs="Times New Roman"/>
          <w:color w:val="000000" w:themeColor="text1"/>
          <w:sz w:val="18"/>
          <w:szCs w:val="18"/>
        </w:rPr>
      </w:pPr>
    </w:p>
    <w:p w14:paraId="587DEEFE" w14:textId="77777777" w:rsidR="00B47B05" w:rsidRPr="00906C1C" w:rsidRDefault="00B47B05" w:rsidP="00B47B05">
      <w:pPr>
        <w:spacing w:after="0" w:line="240" w:lineRule="atLeast"/>
        <w:rPr>
          <w:rFonts w:ascii="Times New Roman" w:eastAsia="Calibri" w:hAnsi="Times New Roman" w:cs="Times New Roman"/>
          <w:b/>
          <w:color w:val="000000" w:themeColor="text1"/>
          <w:sz w:val="28"/>
          <w:szCs w:val="28"/>
        </w:rPr>
      </w:pPr>
    </w:p>
    <w:p w14:paraId="13716CB9" w14:textId="4E5E41AB" w:rsidR="00B47B05" w:rsidRPr="00906C1C" w:rsidRDefault="008655D8" w:rsidP="00B47B05">
      <w:pPr>
        <w:spacing w:after="0" w:line="240" w:lineRule="atLeast"/>
        <w:rPr>
          <w:rFonts w:ascii="Times New Roman" w:eastAsia="Calibri" w:hAnsi="Times New Roman" w:cs="Times New Roman"/>
          <w:b/>
          <w:color w:val="000000" w:themeColor="text1"/>
          <w:sz w:val="28"/>
          <w:szCs w:val="28"/>
        </w:rPr>
      </w:pPr>
      <w:r w:rsidRPr="00906C1C">
        <w:rPr>
          <w:rFonts w:ascii="Times New Roman" w:eastAsia="Calibri" w:hAnsi="Times New Roman" w:cs="Times New Roman"/>
          <w:b/>
          <w:color w:val="000000" w:themeColor="text1"/>
          <w:sz w:val="28"/>
          <w:szCs w:val="28"/>
        </w:rPr>
        <w:t>Digital Transformation Index for Publicly Listed Turkish SMEs- KODIDEKS-H</w:t>
      </w:r>
    </w:p>
    <w:p w14:paraId="49E09B65" w14:textId="77777777" w:rsidR="008655D8" w:rsidRPr="00906C1C" w:rsidRDefault="008655D8" w:rsidP="00B47B05">
      <w:pPr>
        <w:spacing w:after="0" w:line="240" w:lineRule="atLeast"/>
        <w:rPr>
          <w:rFonts w:ascii="Times New Roman" w:eastAsia="Calibri" w:hAnsi="Times New Roman" w:cs="Times New Roman"/>
          <w:b/>
          <w:color w:val="000000" w:themeColor="text1"/>
          <w:sz w:val="2"/>
          <w:szCs w:val="28"/>
        </w:rPr>
      </w:pPr>
    </w:p>
    <w:p w14:paraId="0164BBDE" w14:textId="77777777" w:rsidR="00B47B05" w:rsidRPr="00906C1C" w:rsidRDefault="00B47B05" w:rsidP="00B47B05">
      <w:pPr>
        <w:spacing w:after="0" w:line="240" w:lineRule="auto"/>
        <w:rPr>
          <w:rFonts w:ascii="Times New Roman" w:eastAsia="Calibri" w:hAnsi="Times New Roman" w:cs="Times New Roman"/>
          <w:b/>
          <w:iCs/>
          <w:color w:val="000000" w:themeColor="text1"/>
          <w:sz w:val="18"/>
          <w:szCs w:val="18"/>
          <w:lang w:val="en-US"/>
        </w:rPr>
      </w:pPr>
      <w:r w:rsidRPr="00906C1C">
        <w:rPr>
          <w:rFonts w:ascii="Times New Roman" w:eastAsia="Calibri" w:hAnsi="Times New Roman" w:cs="Times New Roman"/>
          <w:b/>
          <w:iCs/>
          <w:color w:val="000000" w:themeColor="text1"/>
          <w:sz w:val="18"/>
          <w:szCs w:val="18"/>
          <w:lang w:val="en-US"/>
        </w:rPr>
        <w:t>Abstract</w:t>
      </w:r>
    </w:p>
    <w:p w14:paraId="1D75E9FD" w14:textId="0FBF5206" w:rsidR="004C51D9" w:rsidRPr="00906C1C" w:rsidRDefault="004C51D9" w:rsidP="004C51D9">
      <w:pPr>
        <w:spacing w:after="0" w:line="360" w:lineRule="auto"/>
        <w:jc w:val="both"/>
        <w:rPr>
          <w:rFonts w:ascii="Times New Roman" w:hAnsi="Times New Roman" w:cs="Times New Roman"/>
          <w:color w:val="000000" w:themeColor="text1"/>
          <w:sz w:val="18"/>
          <w:szCs w:val="18"/>
        </w:rPr>
      </w:pPr>
      <w:r w:rsidRPr="00906C1C">
        <w:rPr>
          <w:rFonts w:ascii="Times New Roman" w:hAnsi="Times New Roman" w:cs="Times New Roman"/>
          <w:color w:val="000000" w:themeColor="text1"/>
          <w:sz w:val="18"/>
          <w:szCs w:val="18"/>
        </w:rPr>
        <w:t xml:space="preserve">As is the case worldwide, SMEs (Small and Medium-Sized Enterprises) constitute the vast majority of businesses operating in </w:t>
      </w:r>
      <w:r w:rsidR="00D51B78" w:rsidRPr="00906C1C">
        <w:rPr>
          <w:rFonts w:ascii="Times New Roman" w:hAnsi="Times New Roman" w:cs="Times New Roman"/>
          <w:color w:val="000000" w:themeColor="text1"/>
          <w:sz w:val="18"/>
          <w:szCs w:val="18"/>
        </w:rPr>
        <w:t>Turkiye</w:t>
      </w:r>
      <w:r w:rsidRPr="00906C1C">
        <w:rPr>
          <w:rFonts w:ascii="Times New Roman" w:hAnsi="Times New Roman" w:cs="Times New Roman"/>
          <w:color w:val="000000" w:themeColor="text1"/>
          <w:sz w:val="18"/>
          <w:szCs w:val="18"/>
        </w:rPr>
        <w:t xml:space="preserve">. According to 2023 data from the Turkish Statistical Institute (TÜİK), SMEs account for 47.4% of total turnover, generate 41.6% of total value added in terms of production value, and employ 70.5% of the total workforce. Even these figures alone clearly indicate that increasing productivity within the SME segment is essential, particularly in terms of the value added generated per employee.. This article aims to develop an index that measures the level of digitalization in SMEs at both the micro and macro levels, </w:t>
      </w:r>
      <w:r w:rsidR="00D51B78" w:rsidRPr="00906C1C">
        <w:rPr>
          <w:rFonts w:ascii="Times New Roman" w:hAnsi="Times New Roman" w:cs="Times New Roman"/>
          <w:color w:val="000000" w:themeColor="text1"/>
          <w:sz w:val="18"/>
          <w:szCs w:val="18"/>
        </w:rPr>
        <w:t>to enhance</w:t>
      </w:r>
      <w:r w:rsidRPr="00906C1C">
        <w:rPr>
          <w:rFonts w:ascii="Times New Roman" w:hAnsi="Times New Roman" w:cs="Times New Roman"/>
          <w:color w:val="000000" w:themeColor="text1"/>
          <w:sz w:val="18"/>
          <w:szCs w:val="18"/>
        </w:rPr>
        <w:t xml:space="preserve"> productivity within the SME segment. Through this index, strategies can be formulated at both levels based on the measurement outcomes. By increasing </w:t>
      </w:r>
      <w:r w:rsidR="0047493D" w:rsidRPr="00906C1C">
        <w:rPr>
          <w:rFonts w:ascii="Times New Roman" w:hAnsi="Times New Roman" w:cs="Times New Roman"/>
          <w:color w:val="000000" w:themeColor="text1"/>
          <w:sz w:val="18"/>
          <w:szCs w:val="18"/>
        </w:rPr>
        <w:t>SMEs' digitalization levels, it is expected that a meaningful contribution can be made to improving our country's overall welfare</w:t>
      </w:r>
      <w:r w:rsidRPr="00906C1C">
        <w:rPr>
          <w:rFonts w:ascii="Times New Roman" w:hAnsi="Times New Roman" w:cs="Times New Roman"/>
          <w:color w:val="000000" w:themeColor="text1"/>
          <w:sz w:val="18"/>
          <w:szCs w:val="18"/>
        </w:rPr>
        <w:t>. There are currently several indices that measure digitalization. However, these indices do not provide measurement at the firm or segment level. Therefore, the index proposed in this study will be the first to measure the level of digitalization among publicly traded SMEs.</w:t>
      </w:r>
    </w:p>
    <w:p w14:paraId="4A40C56C" w14:textId="4F9E6381" w:rsidR="004C51D9" w:rsidRPr="00906C1C" w:rsidRDefault="004C51D9" w:rsidP="004C51D9">
      <w:pPr>
        <w:spacing w:after="0" w:line="360" w:lineRule="auto"/>
        <w:jc w:val="both"/>
        <w:rPr>
          <w:rFonts w:ascii="Times New Roman" w:hAnsi="Times New Roman" w:cs="Times New Roman"/>
          <w:color w:val="000000" w:themeColor="text1"/>
          <w:sz w:val="18"/>
          <w:szCs w:val="18"/>
        </w:rPr>
      </w:pPr>
    </w:p>
    <w:p w14:paraId="46866A7F" w14:textId="77777777" w:rsidR="004C51D9" w:rsidRPr="00906C1C" w:rsidRDefault="004C51D9" w:rsidP="004C51D9">
      <w:pPr>
        <w:spacing w:after="0" w:line="240" w:lineRule="auto"/>
        <w:jc w:val="both"/>
        <w:rPr>
          <w:rFonts w:ascii="Times New Roman" w:eastAsia="Calibri" w:hAnsi="Times New Roman" w:cs="Times New Roman"/>
          <w:color w:val="000000" w:themeColor="text1"/>
          <w:sz w:val="18"/>
          <w:szCs w:val="18"/>
        </w:rPr>
      </w:pPr>
    </w:p>
    <w:p w14:paraId="097A7E6E" w14:textId="5C2E1D3B" w:rsidR="00B47B05" w:rsidRPr="00906C1C" w:rsidRDefault="00B47B05" w:rsidP="00B47B05">
      <w:pPr>
        <w:spacing w:after="0" w:line="240" w:lineRule="auto"/>
        <w:jc w:val="both"/>
        <w:rPr>
          <w:rFonts w:ascii="Times New Roman" w:eastAsia="Calibri" w:hAnsi="Times New Roman" w:cs="Times New Roman"/>
          <w:iCs/>
          <w:color w:val="000000" w:themeColor="text1"/>
          <w:sz w:val="18"/>
          <w:szCs w:val="18"/>
          <w:lang w:val="en-US"/>
        </w:rPr>
      </w:pPr>
      <w:r w:rsidRPr="00906C1C">
        <w:rPr>
          <w:rFonts w:ascii="Times New Roman" w:eastAsia="Calibri" w:hAnsi="Times New Roman" w:cs="Times New Roman"/>
          <w:b/>
          <w:iCs/>
          <w:color w:val="000000" w:themeColor="text1"/>
          <w:sz w:val="18"/>
          <w:szCs w:val="18"/>
          <w:lang w:val="en-US"/>
        </w:rPr>
        <w:t xml:space="preserve">Keywords: </w:t>
      </w:r>
      <w:r w:rsidR="00485C37" w:rsidRPr="00906C1C">
        <w:rPr>
          <w:rFonts w:ascii="Times New Roman" w:eastAsia="Calibri" w:hAnsi="Times New Roman" w:cs="Times New Roman"/>
          <w:iCs/>
          <w:color w:val="000000" w:themeColor="text1"/>
          <w:sz w:val="18"/>
          <w:szCs w:val="18"/>
          <w:lang w:val="en-US"/>
        </w:rPr>
        <w:t>SME, Digitalization, Index, Welfare, Total Factor Productivity</w:t>
      </w:r>
    </w:p>
    <w:p w14:paraId="3B510925" w14:textId="77777777" w:rsidR="00B47B05" w:rsidRPr="00906C1C" w:rsidRDefault="00B47B05" w:rsidP="00B47B05">
      <w:pPr>
        <w:spacing w:after="0" w:line="240" w:lineRule="auto"/>
        <w:jc w:val="both"/>
        <w:rPr>
          <w:rFonts w:ascii="Times New Roman" w:eastAsia="Calibri" w:hAnsi="Times New Roman" w:cs="Times New Roman"/>
          <w:iCs/>
          <w:color w:val="000000" w:themeColor="text1"/>
          <w:sz w:val="18"/>
          <w:szCs w:val="18"/>
          <w:lang w:val="en-US"/>
        </w:rPr>
      </w:pPr>
    </w:p>
    <w:p w14:paraId="2ED89959" w14:textId="0CE1054E" w:rsidR="00B762DF" w:rsidRPr="00906C1C" w:rsidRDefault="00B47B05" w:rsidP="00B762DF">
      <w:pPr>
        <w:spacing w:after="0" w:line="240" w:lineRule="auto"/>
        <w:jc w:val="both"/>
        <w:rPr>
          <w:rFonts w:ascii="Times New Roman" w:eastAsia="Calibri" w:hAnsi="Times New Roman" w:cs="Times New Roman"/>
          <w:iCs/>
          <w:color w:val="000000" w:themeColor="text1"/>
          <w:sz w:val="18"/>
          <w:szCs w:val="18"/>
          <w:lang w:val="en-US"/>
        </w:rPr>
      </w:pPr>
      <w:r w:rsidRPr="00906C1C">
        <w:rPr>
          <w:rFonts w:ascii="Times New Roman" w:eastAsia="Calibri" w:hAnsi="Times New Roman" w:cs="Times New Roman"/>
          <w:b/>
          <w:iCs/>
          <w:color w:val="000000" w:themeColor="text1"/>
          <w:sz w:val="18"/>
          <w:szCs w:val="18"/>
          <w:lang w:val="en-US"/>
        </w:rPr>
        <w:t xml:space="preserve">JEL Codes: </w:t>
      </w:r>
      <w:r w:rsidR="00485C37" w:rsidRPr="00906C1C">
        <w:rPr>
          <w:rFonts w:ascii="Times New Roman" w:eastAsia="Calibri" w:hAnsi="Times New Roman" w:cs="Times New Roman"/>
          <w:b/>
          <w:bCs/>
          <w:color w:val="000000" w:themeColor="text1"/>
          <w:sz w:val="18"/>
          <w:szCs w:val="18"/>
        </w:rPr>
        <w:t xml:space="preserve"> </w:t>
      </w:r>
      <w:r w:rsidR="00485C37" w:rsidRPr="00906C1C">
        <w:rPr>
          <w:rFonts w:ascii="Times New Roman" w:eastAsia="Calibri" w:hAnsi="Times New Roman" w:cs="Times New Roman"/>
          <w:color w:val="000000" w:themeColor="text1"/>
          <w:sz w:val="18"/>
          <w:szCs w:val="18"/>
        </w:rPr>
        <w:t xml:space="preserve">C81, C82, </w:t>
      </w:r>
      <w:r w:rsidR="00485C37" w:rsidRPr="00906C1C">
        <w:rPr>
          <w:rFonts w:ascii="Times New Roman" w:eastAsia="Calibri" w:hAnsi="Times New Roman" w:cs="Times New Roman"/>
          <w:bCs/>
          <w:color w:val="000000" w:themeColor="text1"/>
          <w:sz w:val="18"/>
          <w:szCs w:val="18"/>
        </w:rPr>
        <w:t>D24</w:t>
      </w:r>
    </w:p>
    <w:p w14:paraId="467FBB0E" w14:textId="77777777" w:rsidR="00B47B05" w:rsidRPr="00906C1C" w:rsidRDefault="00B47B05" w:rsidP="00B47B05">
      <w:pPr>
        <w:spacing w:after="0" w:line="240" w:lineRule="auto"/>
        <w:jc w:val="both"/>
        <w:rPr>
          <w:rFonts w:ascii="Times New Roman" w:eastAsia="Calibri" w:hAnsi="Times New Roman" w:cs="Times New Roman"/>
          <w:iCs/>
          <w:color w:val="000000" w:themeColor="text1"/>
          <w:sz w:val="18"/>
          <w:szCs w:val="18"/>
          <w:lang w:val="en-US"/>
        </w:rPr>
      </w:pPr>
    </w:p>
    <w:p w14:paraId="2D37EC1E" w14:textId="77777777" w:rsidR="00B47B05" w:rsidRPr="00906C1C" w:rsidRDefault="00B47B05" w:rsidP="00B47B05">
      <w:pPr>
        <w:tabs>
          <w:tab w:val="left" w:pos="7929"/>
        </w:tabs>
        <w:rPr>
          <w:color w:val="000000" w:themeColor="text1"/>
          <w:lang w:val="en-US"/>
        </w:rPr>
      </w:pPr>
    </w:p>
    <w:p w14:paraId="399A8D2C" w14:textId="77777777" w:rsidR="005440AF" w:rsidRPr="00906C1C" w:rsidRDefault="005440AF" w:rsidP="00B47B05">
      <w:pPr>
        <w:tabs>
          <w:tab w:val="left" w:pos="7929"/>
        </w:tabs>
        <w:rPr>
          <w:color w:val="000000" w:themeColor="text1"/>
          <w:lang w:val="en-US"/>
        </w:rPr>
      </w:pPr>
    </w:p>
    <w:p w14:paraId="556A012E" w14:textId="28B7A3ED" w:rsidR="00B47B05" w:rsidRPr="00906C1C" w:rsidRDefault="00B47B05" w:rsidP="00B47B05">
      <w:pPr>
        <w:pStyle w:val="ListeParagraf"/>
        <w:widowControl w:val="0"/>
        <w:numPr>
          <w:ilvl w:val="0"/>
          <w:numId w:val="1"/>
        </w:numPr>
        <w:autoSpaceDE w:val="0"/>
        <w:autoSpaceDN w:val="0"/>
        <w:spacing w:after="0" w:line="360" w:lineRule="auto"/>
        <w:ind w:left="426" w:hanging="426"/>
        <w:jc w:val="both"/>
        <w:rPr>
          <w:rFonts w:ascii="Times New Roman" w:eastAsia="Times New Roman" w:hAnsi="Times New Roman" w:cs="Times New Roman"/>
          <w:b/>
          <w:color w:val="000000" w:themeColor="text1"/>
          <w:lang w:val="en-GB"/>
        </w:rPr>
      </w:pPr>
      <w:r w:rsidRPr="00906C1C">
        <w:rPr>
          <w:rFonts w:ascii="Times New Roman" w:eastAsia="Times New Roman" w:hAnsi="Times New Roman" w:cs="Times New Roman"/>
          <w:b/>
          <w:color w:val="000000" w:themeColor="text1"/>
          <w:lang w:val="en-GB"/>
        </w:rPr>
        <w:t xml:space="preserve">Giriş </w:t>
      </w:r>
    </w:p>
    <w:p w14:paraId="541E9C3B" w14:textId="77777777" w:rsidR="009F51F2" w:rsidRPr="00906C1C" w:rsidRDefault="009F51F2" w:rsidP="009F51F2">
      <w:pPr>
        <w:jc w:val="both"/>
        <w:rPr>
          <w:rFonts w:ascii="Times New Roman" w:hAnsi="Times New Roman" w:cs="Times New Roman"/>
          <w:color w:val="000000" w:themeColor="text1"/>
        </w:rPr>
      </w:pPr>
      <w:r w:rsidRPr="00906C1C">
        <w:rPr>
          <w:rFonts w:ascii="Times New Roman" w:hAnsi="Times New Roman" w:cs="Times New Roman"/>
          <w:color w:val="000000" w:themeColor="text1"/>
        </w:rPr>
        <w:t xml:space="preserve">Türkiye coğrafi konumuyla, dünya ortalaması üzerinde gerçekleştirdiği büyüme düzeyiyle, dünyanın 17. En büyük ekonomisi olmasıyla, her ne kadar nüfus artış oranı azalmış olsa da, hâlâ genç nüfus oranının gelişmiş ülkelerin üzerinde olmasıyla iktisadi açıdan potansiyelli bir ülke konumundadır. Bununla birlikte ithal bağımlılığı bazlı kronik cari açık, yüksek enflasyon, yüksek CDS değeri, son yıllarda bütçe dengesindeki bozulmalar, yüksek teknolojili ürün ihracatının çok düşük seyrediyor oluşu, demokrasi endeksi, hukuka erişim endeksi, akademik özgürlük endeksi gibi yabancı yatırımcıların yatırım yapacakları ülkeleri seçme noktasında dikkate aldıkları değerlerdeki keskin düşüş, ülke ekonomisini kırılgan kılmaktadır. Elbette ülkeyi bu kırılgan yapıdan sağlam bir noktaya taşımanın farklı yolları vardır. Üretim girdi-çıktı oranı olarak değerlendirildiğinde, verimlilik düzeyi henüz istenilen düzeyde olmayan KOBİ’lerin verimliliklerini artırmak üzere oluşturulacak stratejiler ve bu stratejiler doğrultusunda alınacak aksiyonlar bu yollardan biridir. Makalenin motivasyonu ülke ekonomisine katkı sunmak üzere KOBİ’lerin dijitalleşme düzeyini hem segment bazında hem de işletme bazında ölçümleyecek bir ‘KOBİ Dijital Dönüşüm Endeksi’ oluşturmaktır. Bu noktada dijitalleşmeye yönelik en önemli kavramların açıklamalarına yer vermek faydalı olacaktır.  </w:t>
      </w:r>
      <w:r w:rsidRPr="00906C1C">
        <w:rPr>
          <w:rFonts w:ascii="Times New Roman" w:hAnsi="Times New Roman" w:cs="Times New Roman"/>
          <w:b/>
          <w:bCs/>
          <w:color w:val="000000" w:themeColor="text1"/>
        </w:rPr>
        <w:t>Dijitalleşme, dijital imkânların kullanılarak yeni iş modelleri ve prosedürler geliştirildiği sosyoteknik süreci kapsar (Unruh &amp; Kiron, 2017; Karakaş vd.</w:t>
      </w:r>
      <w:r w:rsidRPr="00906C1C">
        <w:rPr>
          <w:rFonts w:ascii="Times New Roman" w:hAnsi="Times New Roman" w:cs="Times New Roman"/>
          <w:color w:val="000000" w:themeColor="text1"/>
        </w:rPr>
        <w:t xml:space="preserve">, 2009).  </w:t>
      </w:r>
      <w:r w:rsidRPr="00906C1C">
        <w:rPr>
          <w:rFonts w:ascii="Times New Roman" w:hAnsi="Times New Roman" w:cs="Times New Roman"/>
          <w:b/>
          <w:bCs/>
          <w:color w:val="000000" w:themeColor="text1"/>
        </w:rPr>
        <w:t xml:space="preserve">Dijitalleştirme </w:t>
      </w:r>
      <w:r w:rsidRPr="00906C1C">
        <w:rPr>
          <w:rFonts w:ascii="Times New Roman" w:hAnsi="Times New Roman" w:cs="Times New Roman"/>
          <w:color w:val="000000" w:themeColor="text1"/>
        </w:rPr>
        <w:t xml:space="preserve">analog verilerin dijital setlere dönüştürülmesi gibi teknik süreçleri ifade etmektedir (Külcü, 2010; Çakmak &amp; Yılmaz, 2017). </w:t>
      </w:r>
      <w:r w:rsidRPr="00906C1C">
        <w:rPr>
          <w:rFonts w:ascii="Times New Roman" w:hAnsi="Times New Roman" w:cs="Times New Roman"/>
          <w:b/>
          <w:bCs/>
          <w:color w:val="000000" w:themeColor="text1"/>
        </w:rPr>
        <w:t xml:space="preserve">Dijital Dönüşüm </w:t>
      </w:r>
      <w:r w:rsidRPr="00906C1C">
        <w:rPr>
          <w:rFonts w:ascii="Times New Roman" w:hAnsi="Times New Roman" w:cs="Times New Roman"/>
          <w:color w:val="000000" w:themeColor="text1"/>
        </w:rPr>
        <w:t>ise ekonomilerin, kurumların ve toplumun dijitalleşme yoluyla yeniden yapılandırılmasıdır (Bozkurt vd., 2021). Dijitalleşmenin hem mikro hem makro düzeyde verimlilik artırıcı etkisi yadsınamaz noktadadır. İktisat biliminin tanımında yer alan kaynakların kıtlığı olgusu ise etkin bir kaynak yönetimini zorunlu hale getirmekte ve verimlilik kavramının önemini ortaya çıkarmaktadır. Hem makro hem mikro düzeyde başarının anahtarı olarak görülen verimlilik artışının bir başka ifade ile kıt olan kaynakların etkin kullanımı suretiyle daha az girdi ile aynı ya da daha yüksek düzeyde çıktı elde edebilmenin en önemli yollarından biri de dijitalleşmektir. Ülke, sektör, firma bazlı çalışmalar dijitalleşmenin verimlilik üzerindeki olumlu etkilerini ortaya koymaktadırlar. Zu ve arkadaşları Çin firmaları özelinde 2007-2022 dönemi için gerçekleştirdikleri araştırmalarında dijitalleşmenin tedarik zinciri verimliliği üzerinde pozitif etki yarattığını ortaya koymuşlardır (Zu vd, 2024). Bueno ve arkadaşları 2024 yılında gerçekleştirdikleri çalışmalarında iki temel amaca odaklanmışlardır. Bunlardan ilki bankacılık</w:t>
      </w:r>
      <w:r w:rsidRPr="00906C1C">
        <w:rPr>
          <w:rFonts w:ascii="Times New Roman" w:hAnsi="Times New Roman" w:cs="Times New Roman"/>
          <w:b/>
          <w:bCs/>
          <w:color w:val="000000" w:themeColor="text1"/>
        </w:rPr>
        <w:t xml:space="preserve"> </w:t>
      </w:r>
      <w:r w:rsidRPr="00906C1C">
        <w:rPr>
          <w:rFonts w:ascii="Times New Roman" w:hAnsi="Times New Roman" w:cs="Times New Roman"/>
          <w:color w:val="000000" w:themeColor="text1"/>
        </w:rPr>
        <w:t>sektöründe dijitalleşme ile operasyonel verimliliği birbirine bağlayan tematik kategorileri ve merkezi konuları tanımlamak ikincisi ise dijital operasyonel verimlilik alanındaki bilgileri ilerletmek amacıyla gelecekteki araştırmalara rehberlik edecek bir araştırma gündemi geliştirmektir. Çalışma, 2018-2023 yılları arasında yayımlanan akademik makalelerin içerik analizine dayanan iki aşamalı bir inceleme yöntemi kullanmıştır. Çalışmada dijital teknolojilerin ve stratejik iş birliklerinin bankacılık sektörünün performansını şekillendirmedeki kritik role sahip olduğu, yeni dijital iş modellerini benimsemek için gerekli olan kurumsal adaptasyonların önemi</w:t>
      </w:r>
      <w:r w:rsidRPr="00906C1C">
        <w:rPr>
          <w:rFonts w:ascii="Times New Roman" w:hAnsi="Times New Roman" w:cs="Times New Roman"/>
          <w:b/>
          <w:bCs/>
          <w:color w:val="000000" w:themeColor="text1"/>
        </w:rPr>
        <w:t xml:space="preserve"> </w:t>
      </w:r>
      <w:r w:rsidRPr="00906C1C">
        <w:rPr>
          <w:rFonts w:ascii="Times New Roman" w:hAnsi="Times New Roman" w:cs="Times New Roman"/>
          <w:color w:val="000000" w:themeColor="text1"/>
        </w:rPr>
        <w:t xml:space="preserve">ortaya konulmuştur. Li ve arkadaşları 2023 yılında gerçekleştirdikleri çalışmalarında veri madenciliği yoluyla bir dijitalleşme endeksi oluşturmuşlar ve firma ölçeğinde dijitalleşmenin verimlilik artışına sebebiyet verdiğini, toplam faktör verimliliğini bağımlı değişken olarak belirledikleri bir modelle kanıtlamışlardır (Liv d., 2023). Mikro bazda firma ölçekli çalışmaların yanı süre dijitalleşmenin belli bir üretim faktörü üzerindeki verimlilik artışına etkisini inceleyen çalışmalar da mevcuttur. Demirkan ve arkadaşları 2005-2020 dönemi için dijitalleşmenin emek verimliliği üzerine etkisini yapay sinir ağları ile ölçümlemişlerdir. Geniş bant abonelikleri, internet erişimi, sabit telefon abonelikleri, kamu bilgi ve iletişim teknolojileri yatırımları gibi makro ölçekte dijitalleşme belirleyicilerini araştırmalarına dahil ederek dijitalleşmenin emek verimliliği üzerindeki pozitif katma değerini vurgulamışlardır (Demirkıran vd, 2022). Sektör bazlı dijitaleşme etkisini değerlendiren çalışmalardan Beyoğlu’nun 2025 yılında yayınlanan ‘Türk Bankacılık Sektöründe Dijital Bankacılık Verimlilik Analizi’ isimli çalışmasında 11 adet banka için veri zarflama tekniğini kullanarak etkinlik skorları hesaplamıştır. Sonuç olarak inceleme dönemi olan 2023 yılı için araştırmaya konu edilen bankaların ortalama verimliliğini halen düşük kabul edilebileceğine kanaat </w:t>
      </w:r>
      <w:r w:rsidRPr="00906C1C">
        <w:rPr>
          <w:rFonts w:ascii="Times New Roman" w:hAnsi="Times New Roman" w:cs="Times New Roman"/>
          <w:color w:val="000000" w:themeColor="text1"/>
        </w:rPr>
        <w:lastRenderedPageBreak/>
        <w:t>getirilmiştir (Beyoğlu, 2025). Dijitalleşmenin ve</w:t>
      </w:r>
      <w:r w:rsidRPr="00906C1C">
        <w:rPr>
          <w:rFonts w:ascii="Times New Roman" w:hAnsi="Times New Roman" w:cs="Times New Roman"/>
          <w:b/>
          <w:bCs/>
          <w:color w:val="000000" w:themeColor="text1"/>
        </w:rPr>
        <w:t xml:space="preserve"> </w:t>
      </w:r>
      <w:r w:rsidRPr="00906C1C">
        <w:rPr>
          <w:rFonts w:ascii="Times New Roman" w:hAnsi="Times New Roman" w:cs="Times New Roman"/>
          <w:color w:val="000000" w:themeColor="text1"/>
        </w:rPr>
        <w:t>Sürdürülebilir Kalkınma Amaçlarının KOBİ Stratejilerindeki Etkisi: Çok Ülkeli Bir Avrupa Çalışması"</w:t>
      </w:r>
      <w:r w:rsidRPr="00906C1C">
        <w:rPr>
          <w:rFonts w:ascii="Times New Roman" w:hAnsi="Times New Roman" w:cs="Times New Roman"/>
          <w:b/>
          <w:bCs/>
          <w:color w:val="000000" w:themeColor="text1"/>
        </w:rPr>
        <w:t xml:space="preserve"> </w:t>
      </w:r>
      <w:r w:rsidRPr="00906C1C">
        <w:rPr>
          <w:rFonts w:ascii="Times New Roman" w:hAnsi="Times New Roman" w:cs="Times New Roman"/>
          <w:color w:val="000000" w:themeColor="text1"/>
        </w:rPr>
        <w:t>başlıklı araştırma altı Avrupa ülkesinde (İngiltere, Almanya, İspanya, Polonya, Hırvatistan ve Rusya) yiyecek ve içecek sektöründe faaliyet gösteren 750 KOBİ üzerinde yapılan nitel ve nicel analizlere dayanmaktadır. Araştırmanın temel amacı, dijitalleşme ile Sürdürülebilir Kalkınma Amaçları (SKA) arasındaki bağı KOBİ düzeyinde ampirik olarak tanımlamaktır. Çevrimiçi anket yoluyla toplanan veriler probit regresyon yöntemiyle analiz edilmiştir. Elde edilen sonuçlara göre dijitalleşmenin KOBİ'lerde sürdürülebilir kalkınma için etkili bir faktör olabileceğini, ancak bu potansiyelin tam olarak anlaşılması ve olumsuz yan etkilerden kaçınılması için dijitalleşen işletmelerin sürdürülebilirliğine daha fazla odaklanılması gerektiği ortaya konulmuştur. 27 Avrupa ülkesinin 5 yıllık dönemini incelemeye alan ve panel analiz gerçekleştirilen bir başka araştırma ise dijital teknolojilerin entegrasyonunun ve dijital yoğunluğun Avrupa KOBİ'lerinde dijitalleşmeyi önemli ölçüde yönlendirdiğini ve performans üzerinde olumlu etkiler yarattığını ortaya koymuştur (Kadarova vd., 2023) Maiti ve Kayal 2017 yılında kaleme aldıkları çalışmalarında dijitalleşmenin Hindistan ekonomisi üzerindeki etkilerini, özellikle hizmet sektörü ile mikro, küçük ve orta ölçekli işletmeler odağında incelemektedir. 2000 yılından itibaren teknolojik gelişmelerin bu alanlarda verimliliği ve kaliteyi artırarak ekonomik büyümeyi hızlandırdığı vurgulamışlardır.  Dijitalleşmenin, geleneksel finansmana erişim sorunları yaşayan küçük işletmeler için kitle fonlaması ve e-ticaret gibi alternatif çözümler sunduğunu, finansal kurumlarda bilişim teknolojisi altyapısının gelişmesinin operasyonel süreçleri otomatikleştirdiğini ve müşterilere daha hızlı hizmet sunulmasını sağladığını, e-ticaretin pazarlama maliyetlerini düşürürken, bankaların potansiyel kredi müşterilerini satış verileri üzerinden analiz etmesine olanak tanıdığını, dijital alt yapının imkan yarattığı kitle fonlaması (crowdfunding) yoluyla yine finansmana erişimde yol alındığı, verimlilik artışı sebebiyle üretim miktarlarında artış yaşandığı hususlarını çalışmalarında belirtmişlerdir (Maiti ve Kayal, 2017). Maiti ve Kayal’ın çalışması KOBİ’lerin dijitalleşmesini ele alması açısından değerli bir araştırma niteliğindedir. Bu çalışma, ülkemizde olduğu gibi diğer gelişmekte olan ülkelerde de verimliliğin KOBİ’ler açısından majör bir problem olduğunu ortaya koymaktadır. KOBİ’lerin yaşadığı genel özkaynak yetersizliği sorununun nitelikli insan kaynağı istihdam etme ve araştırma ve geliştirmeye kaynak aktarma noktasında önemli bir engel teşkil etmektedir. Söz konusu engeller ise dijitalleşme gibi verimlilik artırıcı unsurların iş yapma modellerine dahil edilmesini oldukça zorlaştırmaktadır. Maiti ve Kayal araştırmalarında dijitalleşmenin ciro artışı, etkin pazarlama gibi olumlu etkilerinin yanı sıra bahsi geçen majör engel olan özkaynak yetersizliğine çözüm olarak, dijitalleşmenin finansa erişime olan katkısına vurgu yapmışlardır. Yine KOBİ’leri incelemeye alan Mate (2026) çalışmasında küçük ve orta ölçekli işletmelerin (KOBİ) dijitalleşme sürecinde izlemesi gereken stratejik yolları ve karşılaştıkları temel engelleri kapsamlı bir şekilde incelemektedir. Araştırma, dijital dönüşümün yalnızca teknolojik bir yenilik olmadığını, aynı zamanda liderlik kararlılığı ve organizasyonel kültüre dayalı stratejik bir değişim süreci olduğunu vurgulamaktadır. Kaynakta belirtildiği üzere, KOBİ'lerin kısıtlı kaynaklarını aşabilmeleri için dijital yetkinliklerini kademeli yaklaşımlarla geliştirmeleri ve dış destek mekanizmalarından faydalanmaları büyük önem taşımaktadır. Sonuçlar, dijital stratejilerin işletme hedefleriyle uyumlu hale getirilmesinin operasyonel verimliliği ve inovasyon kapasitesini doğrudan artırdığını göstermektedir (Mate, 2026). Marcysiak ve Pleskacz, Polonya’nın Dijital Ekonomi ve Toplum Endeksi (</w:t>
      </w:r>
      <w:r w:rsidRPr="00906C1C">
        <w:rPr>
          <w:rFonts w:ascii="Times New Roman" w:hAnsi="Times New Roman" w:cs="Times New Roman"/>
          <w:b/>
          <w:bCs/>
          <w:color w:val="000000" w:themeColor="text1"/>
        </w:rPr>
        <w:t>DESI</w:t>
      </w:r>
      <w:r w:rsidRPr="00906C1C">
        <w:rPr>
          <w:rFonts w:ascii="Times New Roman" w:hAnsi="Times New Roman" w:cs="Times New Roman"/>
          <w:color w:val="000000" w:themeColor="text1"/>
        </w:rPr>
        <w:t>) verilerine göre, dijital teknolojilerin işletmelere entegrasyonu açısından 28 ülke arasında 25. sırada yer alarak AB ortalamasının altında kalmasından hareketle gerçekleştirdikleri araştırmalarında, dijitalleşme önündeki en büyük engelin veri güvenliği gibi güvenlik endişeleri olduğunu ortaya koymuşlardır. Güvenlik endişelerini ise finansal kaynak yetersizliği ve üçüncü sırada ise işletmelerin dijital yetkinliklere sahip olmaması izlemektedir (Marcysiak &amp; Pleskacz, 2021).</w:t>
      </w:r>
    </w:p>
    <w:p w14:paraId="355C56FB" w14:textId="62DADCDC" w:rsidR="009F51F2" w:rsidRPr="00906C1C" w:rsidRDefault="009F51F2" w:rsidP="009F51F2">
      <w:pPr>
        <w:jc w:val="both"/>
        <w:rPr>
          <w:rFonts w:ascii="Times New Roman" w:hAnsi="Times New Roman" w:cs="Times New Roman"/>
          <w:color w:val="000000" w:themeColor="text1"/>
        </w:rPr>
      </w:pPr>
      <w:r w:rsidRPr="00906C1C">
        <w:rPr>
          <w:rFonts w:ascii="Times New Roman" w:hAnsi="Times New Roman" w:cs="Times New Roman"/>
          <w:color w:val="000000" w:themeColor="text1"/>
        </w:rPr>
        <w:t>Ulusal ve uluslararası literatür genel olarak değerlendirildiğinde</w:t>
      </w:r>
      <w:r w:rsidR="00D35222" w:rsidRPr="00906C1C">
        <w:rPr>
          <w:rFonts w:ascii="Times New Roman" w:hAnsi="Times New Roman" w:cs="Times New Roman"/>
          <w:color w:val="000000" w:themeColor="text1"/>
        </w:rPr>
        <w:t>,</w:t>
      </w:r>
      <w:r w:rsidRPr="00906C1C">
        <w:rPr>
          <w:rFonts w:ascii="Times New Roman" w:hAnsi="Times New Roman" w:cs="Times New Roman"/>
          <w:color w:val="000000" w:themeColor="text1"/>
        </w:rPr>
        <w:t xml:space="preserve"> dijitalleşmenin firmalar, sektörler, üretim faktörleri ve ülkeler düzeyinde verimlilik artırıcı etkisinin açık olduğu söylenebilir. Türkiye özelinde gerçekleştirilen çalışmaların ise genellikle ülke ve sektör bazlı olduğu görülmektedir. Ve bu çalışmaların neredeyse tamamı Türkiye’nin dijitalleşme noktasında </w:t>
      </w:r>
      <w:r w:rsidR="00D35222" w:rsidRPr="00906C1C">
        <w:rPr>
          <w:rFonts w:ascii="Times New Roman" w:hAnsi="Times New Roman" w:cs="Times New Roman"/>
          <w:color w:val="000000" w:themeColor="text1"/>
        </w:rPr>
        <w:t>beklenen düzeyde olmadığını göstermektedir (Yılmaz, 2021;</w:t>
      </w:r>
      <w:r w:rsidRPr="00906C1C">
        <w:rPr>
          <w:rFonts w:ascii="Times New Roman" w:hAnsi="Times New Roman" w:cs="Times New Roman"/>
          <w:color w:val="000000" w:themeColor="text1"/>
        </w:rPr>
        <w:t xml:space="preserve"> Beyoğlu, 2025). </w:t>
      </w:r>
    </w:p>
    <w:p w14:paraId="5B20D613" w14:textId="77777777" w:rsidR="005440AF" w:rsidRPr="00906C1C" w:rsidRDefault="005440AF" w:rsidP="009F51F2">
      <w:pPr>
        <w:jc w:val="both"/>
        <w:rPr>
          <w:rFonts w:ascii="Times New Roman" w:hAnsi="Times New Roman" w:cs="Times New Roman"/>
          <w:color w:val="000000" w:themeColor="text1"/>
        </w:rPr>
      </w:pPr>
    </w:p>
    <w:p w14:paraId="33ADCAC9" w14:textId="1679001A" w:rsidR="00D35222" w:rsidRPr="00906C1C" w:rsidRDefault="00D35222" w:rsidP="00D35222">
      <w:pPr>
        <w:pStyle w:val="ListeParagraf"/>
        <w:numPr>
          <w:ilvl w:val="1"/>
          <w:numId w:val="3"/>
        </w:numPr>
        <w:jc w:val="both"/>
        <w:rPr>
          <w:rFonts w:ascii="Times New Roman" w:hAnsi="Times New Roman" w:cs="Times New Roman"/>
          <w:b/>
          <w:bCs/>
          <w:color w:val="000000" w:themeColor="text1"/>
        </w:rPr>
      </w:pPr>
      <w:r w:rsidRPr="00906C1C">
        <w:rPr>
          <w:rFonts w:ascii="Times New Roman" w:hAnsi="Times New Roman" w:cs="Times New Roman"/>
          <w:b/>
          <w:bCs/>
          <w:color w:val="000000" w:themeColor="text1"/>
        </w:rPr>
        <w:t>Mevcut Dijital Ölçümleme Çalışmalarının Değerlendirilmesi</w:t>
      </w:r>
    </w:p>
    <w:p w14:paraId="3281A2F7" w14:textId="15EEA7FA" w:rsidR="009F51F2" w:rsidRPr="00906C1C" w:rsidRDefault="009F51F2" w:rsidP="009F51F2">
      <w:pPr>
        <w:jc w:val="both"/>
        <w:rPr>
          <w:rFonts w:ascii="Times New Roman" w:hAnsi="Times New Roman" w:cs="Times New Roman"/>
          <w:color w:val="000000" w:themeColor="text1"/>
        </w:rPr>
      </w:pPr>
      <w:r w:rsidRPr="00906C1C">
        <w:rPr>
          <w:rFonts w:ascii="Times New Roman" w:hAnsi="Times New Roman" w:cs="Times New Roman"/>
          <w:color w:val="000000" w:themeColor="text1"/>
        </w:rPr>
        <w:t>Dijitalleşme düzeyi ölçümleme çalışmalarını ikiye ayırarak ele almak</w:t>
      </w:r>
      <w:r w:rsidR="00D35222" w:rsidRPr="00906C1C">
        <w:rPr>
          <w:rFonts w:ascii="Times New Roman" w:hAnsi="Times New Roman" w:cs="Times New Roman"/>
          <w:color w:val="000000" w:themeColor="text1"/>
        </w:rPr>
        <w:t>,</w:t>
      </w:r>
      <w:r w:rsidRPr="00906C1C">
        <w:rPr>
          <w:rFonts w:ascii="Times New Roman" w:hAnsi="Times New Roman" w:cs="Times New Roman"/>
          <w:color w:val="000000" w:themeColor="text1"/>
        </w:rPr>
        <w:t xml:space="preserve"> KODİDEKS’in bu alana katkısını ortaya koyabilmek adına önem arz etmektedir.</w:t>
      </w:r>
    </w:p>
    <w:p w14:paraId="3255B805" w14:textId="239A1FA0" w:rsidR="009F51F2" w:rsidRPr="00906C1C" w:rsidRDefault="00E75B24" w:rsidP="00D35222">
      <w:pPr>
        <w:pStyle w:val="ListeParagraf"/>
        <w:numPr>
          <w:ilvl w:val="2"/>
          <w:numId w:val="3"/>
        </w:numPr>
        <w:jc w:val="both"/>
        <w:rPr>
          <w:rFonts w:ascii="Times New Roman" w:hAnsi="Times New Roman" w:cs="Times New Roman"/>
          <w:b/>
          <w:bCs/>
          <w:color w:val="000000" w:themeColor="text1"/>
        </w:rPr>
      </w:pPr>
      <w:r w:rsidRPr="00906C1C">
        <w:rPr>
          <w:rFonts w:ascii="Times New Roman" w:hAnsi="Times New Roman" w:cs="Times New Roman"/>
          <w:b/>
          <w:bCs/>
          <w:color w:val="000000" w:themeColor="text1"/>
        </w:rPr>
        <w:t xml:space="preserve">Kurum ve Kuruluşların </w:t>
      </w:r>
      <w:bookmarkStart w:id="0" w:name="_Hlk221881007"/>
      <w:r w:rsidR="009F51F2" w:rsidRPr="00906C1C">
        <w:rPr>
          <w:rFonts w:ascii="Times New Roman" w:hAnsi="Times New Roman" w:cs="Times New Roman"/>
          <w:b/>
          <w:bCs/>
          <w:color w:val="000000" w:themeColor="text1"/>
        </w:rPr>
        <w:t>Dijitalleşme Ölçümleme Çalışmaları</w:t>
      </w:r>
      <w:bookmarkEnd w:id="0"/>
    </w:p>
    <w:p w14:paraId="1D816CF0" w14:textId="77777777" w:rsidR="009F51F2" w:rsidRPr="00906C1C" w:rsidRDefault="009F51F2" w:rsidP="009F51F2">
      <w:pPr>
        <w:jc w:val="both"/>
        <w:rPr>
          <w:rFonts w:ascii="Times New Roman" w:hAnsi="Times New Roman" w:cs="Times New Roman"/>
          <w:color w:val="000000" w:themeColor="text1"/>
        </w:rPr>
      </w:pPr>
      <w:r w:rsidRPr="00906C1C">
        <w:rPr>
          <w:rFonts w:ascii="Times New Roman" w:hAnsi="Times New Roman" w:cs="Times New Roman"/>
          <w:color w:val="000000" w:themeColor="text1"/>
        </w:rPr>
        <w:t>Mevcut dijitalleşme endeksleri hem kamu hem de özel sektördeki karar vericilere yatırımların sonuçları ve hangi alanlara odaklanılması gerektiği konusunda kritik içgörüler sağlar. Bu endekslerin yapısal farklılıkları ve benzerlikleri üzerine yapılan çalışmalar, temel olarak şu unsurlara odaklanmaktadır:</w:t>
      </w:r>
    </w:p>
    <w:p w14:paraId="093CF3DB" w14:textId="77777777" w:rsidR="009F51F2" w:rsidRPr="00906C1C" w:rsidRDefault="009F51F2" w:rsidP="009F51F2">
      <w:pPr>
        <w:jc w:val="both"/>
        <w:rPr>
          <w:rFonts w:ascii="Times New Roman" w:hAnsi="Times New Roman" w:cs="Times New Roman"/>
          <w:color w:val="000000" w:themeColor="text1"/>
        </w:rPr>
      </w:pPr>
      <w:r w:rsidRPr="00906C1C">
        <w:rPr>
          <w:rFonts w:ascii="Times New Roman" w:hAnsi="Times New Roman" w:cs="Times New Roman"/>
          <w:b/>
          <w:bCs/>
          <w:color w:val="000000" w:themeColor="text1"/>
        </w:rPr>
        <w:t>Yapısal Farklılıklar ve Kategorizasyon</w:t>
      </w:r>
      <w:r w:rsidRPr="00906C1C">
        <w:rPr>
          <w:rFonts w:ascii="Times New Roman" w:hAnsi="Times New Roman" w:cs="Times New Roman"/>
          <w:color w:val="000000" w:themeColor="text1"/>
        </w:rPr>
        <w:t xml:space="preserve"> Dijitalleşme endeksleri arasındaki en temel yapısal fark, odaklandıkları sektör ve coğrafi kapsamdır:</w:t>
      </w:r>
    </w:p>
    <w:p w14:paraId="0263C2AC" w14:textId="77777777" w:rsidR="009F51F2" w:rsidRPr="00906C1C" w:rsidRDefault="009F51F2" w:rsidP="009F51F2">
      <w:pPr>
        <w:jc w:val="both"/>
        <w:rPr>
          <w:rFonts w:ascii="Times New Roman" w:hAnsi="Times New Roman" w:cs="Times New Roman"/>
          <w:color w:val="000000" w:themeColor="text1"/>
        </w:rPr>
      </w:pPr>
      <w:r w:rsidRPr="00906C1C">
        <w:rPr>
          <w:rFonts w:ascii="Times New Roman" w:hAnsi="Times New Roman" w:cs="Times New Roman"/>
          <w:b/>
          <w:bCs/>
          <w:color w:val="000000" w:themeColor="text1"/>
        </w:rPr>
        <w:t>Kamu Sektörü Odaklı Endeksler:</w:t>
      </w:r>
      <w:r w:rsidRPr="00906C1C">
        <w:rPr>
          <w:rFonts w:ascii="Times New Roman" w:hAnsi="Times New Roman" w:cs="Times New Roman"/>
          <w:color w:val="000000" w:themeColor="text1"/>
        </w:rPr>
        <w:t xml:space="preserve"> Avrupa Birliği tarafından kullanılan </w:t>
      </w:r>
      <w:r w:rsidRPr="00906C1C">
        <w:rPr>
          <w:rFonts w:ascii="Times New Roman" w:hAnsi="Times New Roman" w:cs="Times New Roman"/>
          <w:b/>
          <w:bCs/>
          <w:color w:val="000000" w:themeColor="text1"/>
        </w:rPr>
        <w:t>DESI</w:t>
      </w:r>
      <w:r w:rsidRPr="00906C1C">
        <w:rPr>
          <w:rFonts w:ascii="Times New Roman" w:hAnsi="Times New Roman" w:cs="Times New Roman"/>
          <w:color w:val="000000" w:themeColor="text1"/>
        </w:rPr>
        <w:t xml:space="preserve"> ve Uluslararası Telekomünikasyon Birliği tarafından geliştirilen </w:t>
      </w:r>
      <w:r w:rsidRPr="00906C1C">
        <w:rPr>
          <w:rFonts w:ascii="Times New Roman" w:hAnsi="Times New Roman" w:cs="Times New Roman"/>
          <w:b/>
          <w:bCs/>
          <w:color w:val="000000" w:themeColor="text1"/>
        </w:rPr>
        <w:t>ICT Gelişim Endeksi (ICT Development Index)</w:t>
      </w:r>
      <w:r w:rsidRPr="00906C1C">
        <w:rPr>
          <w:rFonts w:ascii="Times New Roman" w:hAnsi="Times New Roman" w:cs="Times New Roman"/>
          <w:color w:val="000000" w:themeColor="text1"/>
        </w:rPr>
        <w:t xml:space="preserve"> bu kategoride yer alır.</w:t>
      </w:r>
    </w:p>
    <w:p w14:paraId="482FF71B" w14:textId="77777777" w:rsidR="009F51F2" w:rsidRPr="00906C1C" w:rsidRDefault="009F51F2" w:rsidP="009F51F2">
      <w:pPr>
        <w:jc w:val="both"/>
        <w:rPr>
          <w:rFonts w:ascii="Times New Roman" w:hAnsi="Times New Roman" w:cs="Times New Roman"/>
          <w:color w:val="000000" w:themeColor="text1"/>
        </w:rPr>
      </w:pPr>
      <w:r w:rsidRPr="00906C1C">
        <w:rPr>
          <w:rFonts w:ascii="Times New Roman" w:hAnsi="Times New Roman" w:cs="Times New Roman"/>
          <w:b/>
          <w:bCs/>
          <w:color w:val="000000" w:themeColor="text1"/>
        </w:rPr>
        <w:t>Özel Sektör Odaklı Endeksler:</w:t>
      </w:r>
      <w:r w:rsidRPr="00906C1C">
        <w:rPr>
          <w:rFonts w:ascii="Times New Roman" w:hAnsi="Times New Roman" w:cs="Times New Roman"/>
          <w:color w:val="000000" w:themeColor="text1"/>
        </w:rPr>
        <w:t xml:space="preserve"> BBVA tarafından geliştirilen </w:t>
      </w:r>
      <w:r w:rsidRPr="00906C1C">
        <w:rPr>
          <w:rFonts w:ascii="Times New Roman" w:hAnsi="Times New Roman" w:cs="Times New Roman"/>
          <w:b/>
          <w:bCs/>
          <w:color w:val="000000" w:themeColor="text1"/>
        </w:rPr>
        <w:t>DiGiX</w:t>
      </w:r>
      <w:r w:rsidRPr="00906C1C">
        <w:rPr>
          <w:rFonts w:ascii="Times New Roman" w:hAnsi="Times New Roman" w:cs="Times New Roman"/>
          <w:color w:val="000000" w:themeColor="text1"/>
        </w:rPr>
        <w:t xml:space="preserve"> ve </w:t>
      </w:r>
      <w:r w:rsidRPr="00906C1C">
        <w:rPr>
          <w:rFonts w:ascii="Times New Roman" w:hAnsi="Times New Roman" w:cs="Times New Roman"/>
          <w:b/>
          <w:bCs/>
          <w:color w:val="000000" w:themeColor="text1"/>
        </w:rPr>
        <w:t>CISCO Dijital Hazırlık (CISCO Digital Readiness)</w:t>
      </w:r>
      <w:r w:rsidRPr="00906C1C">
        <w:rPr>
          <w:rFonts w:ascii="Times New Roman" w:hAnsi="Times New Roman" w:cs="Times New Roman"/>
          <w:color w:val="000000" w:themeColor="text1"/>
        </w:rPr>
        <w:t xml:space="preserve"> endeksleri özel sektörün dijitalleşme süreçlerine odaklanır. DIGIX 100 ülkenin alt yapı kalitesi, yasal düzenlemeler, internet kullanım oranları gibi makro ölçekli dijitalleşme göstergelerini ele alarak oluşturulmuştur (Camara &amp; Tuesta 2017).</w:t>
      </w:r>
    </w:p>
    <w:p w14:paraId="7327B09B" w14:textId="77777777" w:rsidR="009F51F2" w:rsidRPr="00906C1C" w:rsidRDefault="009F51F2" w:rsidP="009F51F2">
      <w:pPr>
        <w:jc w:val="both"/>
        <w:rPr>
          <w:rFonts w:ascii="Times New Roman" w:hAnsi="Times New Roman" w:cs="Times New Roman"/>
          <w:color w:val="000000" w:themeColor="text1"/>
        </w:rPr>
      </w:pPr>
      <w:r w:rsidRPr="00906C1C">
        <w:rPr>
          <w:rFonts w:ascii="Times New Roman" w:hAnsi="Times New Roman" w:cs="Times New Roman"/>
          <w:color w:val="000000" w:themeColor="text1"/>
        </w:rPr>
        <w:t>Endeksler arasındaki farklılıkların temel nedenleri arasında siyasi durumlar, ideolojiler, kültürel yapılar ve ülkelerin kalkınma düzeyleri yer almaktadır. Ayrıca, her endeksin kullandığı yapı, kapsam, gösterge ağırlıkları ve sıralama metodolojisi birbirinden farklılık gösterir.</w:t>
      </w:r>
    </w:p>
    <w:p w14:paraId="54AF2D6F" w14:textId="77777777" w:rsidR="009F51F2" w:rsidRPr="00906C1C" w:rsidRDefault="009F51F2" w:rsidP="009F51F2">
      <w:pPr>
        <w:jc w:val="both"/>
        <w:rPr>
          <w:rFonts w:ascii="Times New Roman" w:hAnsi="Times New Roman" w:cs="Times New Roman"/>
          <w:color w:val="000000" w:themeColor="text1"/>
        </w:rPr>
      </w:pPr>
      <w:r w:rsidRPr="00906C1C">
        <w:rPr>
          <w:rFonts w:ascii="Times New Roman" w:hAnsi="Times New Roman" w:cs="Times New Roman"/>
          <w:color w:val="000000" w:themeColor="text1"/>
        </w:rPr>
        <w:t>Kavramsal farklılıklar endekslerin neyi ölçtüğünü anlamak için şu kavramsal ayrım önemlidir:</w:t>
      </w:r>
    </w:p>
    <w:p w14:paraId="5F6ED05E" w14:textId="77777777" w:rsidR="009F51F2" w:rsidRPr="00906C1C" w:rsidRDefault="009F51F2" w:rsidP="009F51F2">
      <w:pPr>
        <w:jc w:val="both"/>
        <w:rPr>
          <w:rFonts w:ascii="Times New Roman" w:hAnsi="Times New Roman" w:cs="Times New Roman"/>
          <w:color w:val="000000" w:themeColor="text1"/>
        </w:rPr>
      </w:pPr>
      <w:r w:rsidRPr="00906C1C">
        <w:rPr>
          <w:rFonts w:ascii="Times New Roman" w:hAnsi="Times New Roman" w:cs="Times New Roman"/>
          <w:color w:val="000000" w:themeColor="text1"/>
        </w:rPr>
        <w:t>Dijitalleşme endekslerini farklı merceklerle dünyaya bakan gözlemcilere benzetebiliriz; bir gözlemci (DESI gibi) sadece kamu binalarının yollarını incelerken, bir diğeri (CISCO gibi) fabrikaların içindeki makinelerin hızına odaklanır</w:t>
      </w:r>
      <w:r w:rsidRPr="00906C1C">
        <w:rPr>
          <w:rFonts w:ascii="Times New Roman" w:hAnsi="Times New Roman" w:cs="Times New Roman"/>
          <w:b/>
          <w:bCs/>
          <w:color w:val="000000" w:themeColor="text1"/>
        </w:rPr>
        <w:t>.</w:t>
      </w:r>
      <w:r w:rsidRPr="00906C1C">
        <w:rPr>
          <w:rFonts w:ascii="Times New Roman" w:hAnsi="Times New Roman" w:cs="Times New Roman"/>
          <w:color w:val="000000" w:themeColor="text1"/>
        </w:rPr>
        <w:t xml:space="preserve"> Sonuçta hepsi aynı ülkeye bakar ancak gördükleri manzara kullandıkları merceğin odak noktasına göre değişmektedir.</w:t>
      </w:r>
    </w:p>
    <w:p w14:paraId="393C8635" w14:textId="77777777" w:rsidR="009F51F2" w:rsidRPr="00906C1C" w:rsidRDefault="009F51F2" w:rsidP="009F51F2">
      <w:pPr>
        <w:jc w:val="both"/>
        <w:rPr>
          <w:rFonts w:ascii="Times New Roman" w:hAnsi="Times New Roman" w:cs="Times New Roman"/>
          <w:color w:val="000000" w:themeColor="text1"/>
        </w:rPr>
      </w:pPr>
      <w:r w:rsidRPr="00906C1C">
        <w:rPr>
          <w:rFonts w:ascii="Times New Roman" w:hAnsi="Times New Roman" w:cs="Times New Roman"/>
          <w:color w:val="000000" w:themeColor="text1"/>
        </w:rPr>
        <w:t>Dijitalleşme düzeyi verileri hem kamu hem de özel sektördeki karar vericiler için stratejik bir yol haritası niteliğindedir. Kaynaklara göre, bu verilerin önem arz etmesinin temel nedenleri şunlardır:</w:t>
      </w:r>
    </w:p>
    <w:p w14:paraId="61F573D9" w14:textId="77777777" w:rsidR="009F51F2" w:rsidRPr="00906C1C" w:rsidRDefault="009F51F2" w:rsidP="009F51F2">
      <w:pPr>
        <w:pStyle w:val="ListeParagraf"/>
        <w:jc w:val="both"/>
        <w:rPr>
          <w:rFonts w:ascii="Times New Roman" w:hAnsi="Times New Roman" w:cs="Times New Roman"/>
          <w:color w:val="000000" w:themeColor="text1"/>
        </w:rPr>
      </w:pPr>
      <w:r w:rsidRPr="00906C1C">
        <w:rPr>
          <w:rFonts w:ascii="Times New Roman" w:hAnsi="Times New Roman" w:cs="Times New Roman"/>
          <w:color w:val="000000" w:themeColor="text1"/>
        </w:rPr>
        <w:t>•</w:t>
      </w:r>
      <w:r w:rsidRPr="00906C1C">
        <w:rPr>
          <w:rFonts w:ascii="Times New Roman" w:hAnsi="Times New Roman" w:cs="Times New Roman"/>
          <w:b/>
          <w:bCs/>
          <w:color w:val="000000" w:themeColor="text1"/>
        </w:rPr>
        <w:t>Yatırım Stratejileri ve Geri Bildirim:</w:t>
      </w:r>
      <w:r w:rsidRPr="00906C1C">
        <w:rPr>
          <w:rFonts w:ascii="Times New Roman" w:hAnsi="Times New Roman" w:cs="Times New Roman"/>
          <w:color w:val="000000" w:themeColor="text1"/>
        </w:rPr>
        <w:t xml:space="preserve"> Dijitalleşme düzeyi bilgisi, karar vericilere hangi alanların en çok yatırıma ihtiyaç duyduğu konusunda kritik içgörüler sunar. Ayrıca, yapılmış olan yatırımların sonuçlarını değerlendirmek ve bu yatırımlardan elde edilen çıktıları takip etmek (geri bildirim almak) için temel bir araçtır.</w:t>
      </w:r>
    </w:p>
    <w:p w14:paraId="206A2872" w14:textId="77777777" w:rsidR="009F51F2" w:rsidRPr="00906C1C" w:rsidRDefault="009F51F2" w:rsidP="009F51F2">
      <w:pPr>
        <w:pStyle w:val="ListeParagraf"/>
        <w:jc w:val="both"/>
        <w:rPr>
          <w:rFonts w:ascii="Times New Roman" w:hAnsi="Times New Roman" w:cs="Times New Roman"/>
          <w:color w:val="000000" w:themeColor="text1"/>
        </w:rPr>
      </w:pPr>
      <w:r w:rsidRPr="00906C1C">
        <w:rPr>
          <w:rFonts w:ascii="Times New Roman" w:hAnsi="Times New Roman" w:cs="Times New Roman"/>
          <w:color w:val="000000" w:themeColor="text1"/>
        </w:rPr>
        <w:t xml:space="preserve">• </w:t>
      </w:r>
      <w:r w:rsidRPr="00906C1C">
        <w:rPr>
          <w:rFonts w:ascii="Times New Roman" w:hAnsi="Times New Roman" w:cs="Times New Roman"/>
          <w:b/>
          <w:bCs/>
          <w:color w:val="000000" w:themeColor="text1"/>
        </w:rPr>
        <w:t>Rekabet Avantajı ve Evrim:</w:t>
      </w:r>
      <w:r w:rsidRPr="00906C1C">
        <w:rPr>
          <w:rFonts w:ascii="Times New Roman" w:hAnsi="Times New Roman" w:cs="Times New Roman"/>
          <w:color w:val="000000" w:themeColor="text1"/>
        </w:rPr>
        <w:t xml:space="preserve"> Dijital teknolojilerin benimsenmesi, organizasyonların dinamik beklenti ve taleplere yanıt vererek evrimleşmesine ve rekabet avantajı kazanmasına olanak tanır.</w:t>
      </w:r>
    </w:p>
    <w:p w14:paraId="239E6460" w14:textId="77777777" w:rsidR="009F51F2" w:rsidRPr="00906C1C" w:rsidRDefault="009F51F2" w:rsidP="009F51F2">
      <w:pPr>
        <w:pStyle w:val="ListeParagraf"/>
        <w:jc w:val="both"/>
        <w:rPr>
          <w:rFonts w:ascii="Times New Roman" w:hAnsi="Times New Roman" w:cs="Times New Roman"/>
          <w:color w:val="000000" w:themeColor="text1"/>
        </w:rPr>
      </w:pPr>
      <w:r w:rsidRPr="00906C1C">
        <w:rPr>
          <w:rFonts w:ascii="Times New Roman" w:hAnsi="Times New Roman" w:cs="Times New Roman"/>
          <w:color w:val="000000" w:themeColor="text1"/>
        </w:rPr>
        <w:t xml:space="preserve">• </w:t>
      </w:r>
      <w:r w:rsidRPr="00906C1C">
        <w:rPr>
          <w:rFonts w:ascii="Times New Roman" w:hAnsi="Times New Roman" w:cs="Times New Roman"/>
          <w:b/>
          <w:bCs/>
          <w:color w:val="000000" w:themeColor="text1"/>
        </w:rPr>
        <w:t>İnovasyon ve Ekonomik Liderlik:</w:t>
      </w:r>
      <w:r w:rsidRPr="00906C1C">
        <w:rPr>
          <w:rFonts w:ascii="Times New Roman" w:hAnsi="Times New Roman" w:cs="Times New Roman"/>
          <w:color w:val="000000" w:themeColor="text1"/>
        </w:rPr>
        <w:t xml:space="preserve"> Dijitalleşme değerlendirmesinin yapılmaması, ülkelerin inovasyon, çok kanallı hizmet sunumu, e-ticaret ve dijital ekonomi gibi alanlarda liderlik etmesini engelleyen bir unsurdur.</w:t>
      </w:r>
    </w:p>
    <w:p w14:paraId="0E7D6AE1" w14:textId="77777777" w:rsidR="009F51F2" w:rsidRPr="00906C1C" w:rsidRDefault="009F51F2" w:rsidP="009F51F2">
      <w:pPr>
        <w:pStyle w:val="ListeParagraf"/>
        <w:jc w:val="both"/>
        <w:rPr>
          <w:rFonts w:ascii="Times New Roman" w:hAnsi="Times New Roman" w:cs="Times New Roman"/>
          <w:color w:val="000000" w:themeColor="text1"/>
        </w:rPr>
      </w:pPr>
      <w:r w:rsidRPr="00906C1C">
        <w:rPr>
          <w:rFonts w:ascii="Times New Roman" w:hAnsi="Times New Roman" w:cs="Times New Roman"/>
          <w:color w:val="000000" w:themeColor="text1"/>
        </w:rPr>
        <w:t xml:space="preserve">• </w:t>
      </w:r>
      <w:r w:rsidRPr="00906C1C">
        <w:rPr>
          <w:rFonts w:ascii="Times New Roman" w:hAnsi="Times New Roman" w:cs="Times New Roman"/>
          <w:b/>
          <w:bCs/>
          <w:color w:val="000000" w:themeColor="text1"/>
        </w:rPr>
        <w:t>Girişimcilik ve Büyüme:</w:t>
      </w:r>
      <w:r w:rsidRPr="00906C1C">
        <w:rPr>
          <w:rFonts w:ascii="Times New Roman" w:hAnsi="Times New Roman" w:cs="Times New Roman"/>
          <w:color w:val="000000" w:themeColor="text1"/>
        </w:rPr>
        <w:t xml:space="preserve"> Modern dünyada dijitalleşme, girişimciliğin büyümesinin kaçınılmaz bir parçası haline gelmiştir. Karar vericiler bu verileri kullanarak ekonomik büyümeyi ve girişimcilik ekosistemini destekleyebilirler.</w:t>
      </w:r>
    </w:p>
    <w:p w14:paraId="7C79EF75" w14:textId="77777777" w:rsidR="009F51F2" w:rsidRPr="00906C1C" w:rsidRDefault="009F51F2" w:rsidP="009F51F2">
      <w:pPr>
        <w:pStyle w:val="ListeParagraf"/>
        <w:jc w:val="both"/>
        <w:rPr>
          <w:rFonts w:ascii="Times New Roman" w:hAnsi="Times New Roman" w:cs="Times New Roman"/>
          <w:color w:val="000000" w:themeColor="text1"/>
        </w:rPr>
      </w:pPr>
      <w:r w:rsidRPr="00906C1C">
        <w:rPr>
          <w:rFonts w:ascii="Times New Roman" w:hAnsi="Times New Roman" w:cs="Times New Roman"/>
          <w:color w:val="000000" w:themeColor="text1"/>
        </w:rPr>
        <w:t xml:space="preserve">• </w:t>
      </w:r>
      <w:r w:rsidRPr="00906C1C">
        <w:rPr>
          <w:rFonts w:ascii="Times New Roman" w:hAnsi="Times New Roman" w:cs="Times New Roman"/>
          <w:b/>
          <w:bCs/>
          <w:color w:val="000000" w:themeColor="text1"/>
        </w:rPr>
        <w:t>Değişime Uyum Sağlama:</w:t>
      </w:r>
      <w:r w:rsidRPr="00906C1C">
        <w:rPr>
          <w:rFonts w:ascii="Times New Roman" w:hAnsi="Times New Roman" w:cs="Times New Roman"/>
          <w:color w:val="000000" w:themeColor="text1"/>
        </w:rPr>
        <w:t xml:space="preserve"> Hızlı teknolojik değişimler, artan karmaşıklık ve değişen müşteri tercihleri karşısında karar vericilerin kurumsal yapılarını ve stratejilerini güncel tutmaları bu verilerin doğru analiz edilmesine bağlıdır.</w:t>
      </w:r>
    </w:p>
    <w:p w14:paraId="6CE464C5" w14:textId="77777777" w:rsidR="009F51F2" w:rsidRPr="00906C1C" w:rsidRDefault="009F51F2" w:rsidP="009F51F2">
      <w:pPr>
        <w:pStyle w:val="ListeParagraf"/>
        <w:jc w:val="both"/>
        <w:rPr>
          <w:rFonts w:ascii="Times New Roman" w:hAnsi="Times New Roman" w:cs="Times New Roman"/>
          <w:color w:val="000000" w:themeColor="text1"/>
        </w:rPr>
      </w:pPr>
      <w:r w:rsidRPr="00906C1C">
        <w:rPr>
          <w:rFonts w:ascii="Times New Roman" w:hAnsi="Times New Roman" w:cs="Times New Roman"/>
          <w:color w:val="000000" w:themeColor="text1"/>
        </w:rPr>
        <w:lastRenderedPageBreak/>
        <w:t xml:space="preserve">• </w:t>
      </w:r>
      <w:r w:rsidRPr="00906C1C">
        <w:rPr>
          <w:rFonts w:ascii="Times New Roman" w:hAnsi="Times New Roman" w:cs="Times New Roman"/>
          <w:b/>
          <w:bCs/>
          <w:color w:val="000000" w:themeColor="text1"/>
        </w:rPr>
        <w:t>Yapısal Dönüşüm:</w:t>
      </w:r>
      <w:r w:rsidRPr="00906C1C">
        <w:rPr>
          <w:rFonts w:ascii="Times New Roman" w:hAnsi="Times New Roman" w:cs="Times New Roman"/>
          <w:color w:val="000000" w:themeColor="text1"/>
        </w:rPr>
        <w:t xml:space="preserve"> Dijitalleşme verileri; ekonomilerin, kurumların ve toplumun yeniden yapılandırıldığı dijital dönüşüm sürecini yönetmek için gereklidir.</w:t>
      </w:r>
    </w:p>
    <w:p w14:paraId="01283BD6" w14:textId="77777777" w:rsidR="009F51F2" w:rsidRPr="00906C1C" w:rsidRDefault="009F51F2" w:rsidP="009F51F2">
      <w:pPr>
        <w:jc w:val="both"/>
        <w:rPr>
          <w:rFonts w:ascii="Times New Roman" w:hAnsi="Times New Roman" w:cs="Times New Roman"/>
          <w:color w:val="000000" w:themeColor="text1"/>
        </w:rPr>
      </w:pPr>
      <w:r w:rsidRPr="00906C1C">
        <w:rPr>
          <w:rFonts w:ascii="Times New Roman" w:hAnsi="Times New Roman" w:cs="Times New Roman"/>
          <w:color w:val="000000" w:themeColor="text1"/>
        </w:rPr>
        <w:t>Ulusal ve uluslararası en önemli dijitalleşme endekslerinden biri de DESI - Dijital Ekonomi ve Toplum Endeksi'dir. Bu endeks yalnızca Avrupa Birliği üye ülkeleri için ölçülmektedir. Mikro düzey ölçümler yapmaz. Türkiye için TÜBİSAD'ın bir dijital dönüşüm endeksi bulunmaktadır. Ancak, bu endeks segment bazlı değildir ve KOBİ'ler için hesaplamalar yapmamaktadır. TÜSİAD ve KOSGEB bazı veri setleri yayınlamakta ancak endeks hesaplamaları yapmamaktadır (Tablo 1)</w:t>
      </w:r>
    </w:p>
    <w:p w14:paraId="7F8C368A" w14:textId="77777777" w:rsidR="009F51F2" w:rsidRPr="00906C1C" w:rsidRDefault="009F51F2" w:rsidP="00485C37">
      <w:pPr>
        <w:jc w:val="center"/>
        <w:rPr>
          <w:rFonts w:ascii="Times New Roman" w:hAnsi="Times New Roman" w:cs="Times New Roman"/>
          <w:color w:val="000000" w:themeColor="text1"/>
        </w:rPr>
      </w:pPr>
      <w:r w:rsidRPr="00906C1C">
        <w:rPr>
          <w:rFonts w:ascii="Times New Roman" w:hAnsi="Times New Roman" w:cs="Times New Roman"/>
          <w:b/>
          <w:bCs/>
          <w:color w:val="000000" w:themeColor="text1"/>
        </w:rPr>
        <w:t>Tablo 1</w:t>
      </w:r>
      <w:r w:rsidRPr="00906C1C">
        <w:rPr>
          <w:rFonts w:ascii="Times New Roman" w:hAnsi="Times New Roman" w:cs="Times New Roman"/>
          <w:color w:val="000000" w:themeColor="text1"/>
        </w:rPr>
        <w:t>: Dijitalleşme Ölçüm Karşılaştırma Tablosu</w:t>
      </w:r>
    </w:p>
    <w:p w14:paraId="6D556638" w14:textId="0CE12514" w:rsidR="00E75B24" w:rsidRPr="00906C1C" w:rsidRDefault="00E75B24" w:rsidP="00E75B24">
      <w:pPr>
        <w:pStyle w:val="ListeParagraf"/>
        <w:numPr>
          <w:ilvl w:val="2"/>
          <w:numId w:val="3"/>
        </w:numPr>
        <w:jc w:val="both"/>
        <w:rPr>
          <w:rFonts w:ascii="Times New Roman" w:hAnsi="Times New Roman" w:cs="Times New Roman"/>
          <w:b/>
          <w:bCs/>
          <w:color w:val="000000" w:themeColor="text1"/>
        </w:rPr>
      </w:pPr>
      <w:r w:rsidRPr="00906C1C">
        <w:rPr>
          <w:rFonts w:ascii="Times New Roman" w:hAnsi="Times New Roman" w:cs="Times New Roman"/>
          <w:b/>
          <w:bCs/>
          <w:color w:val="000000" w:themeColor="text1"/>
        </w:rPr>
        <w:t>Araştırmacıların Dijitalleşme Ölçümleme Çalışmaları</w:t>
      </w:r>
    </w:p>
    <w:p w14:paraId="5766932C" w14:textId="61B4BA21" w:rsidR="009F51F2" w:rsidRPr="00906C1C" w:rsidRDefault="009F51F2" w:rsidP="009254CC">
      <w:pPr>
        <w:jc w:val="both"/>
        <w:rPr>
          <w:rFonts w:ascii="Times New Roman" w:hAnsi="Times New Roman" w:cs="Times New Roman"/>
          <w:color w:val="000000" w:themeColor="text1"/>
        </w:rPr>
      </w:pPr>
      <w:r w:rsidRPr="00906C1C">
        <w:rPr>
          <w:rFonts w:ascii="Times New Roman" w:hAnsi="Times New Roman" w:cs="Times New Roman"/>
          <w:color w:val="000000" w:themeColor="text1"/>
        </w:rPr>
        <w:t>Literatürde bilimsel araştırmacıların çalışmaları incelendiğinde</w:t>
      </w:r>
      <w:r w:rsidR="00E75B24" w:rsidRPr="00906C1C">
        <w:rPr>
          <w:rFonts w:ascii="Times New Roman" w:hAnsi="Times New Roman" w:cs="Times New Roman"/>
          <w:color w:val="000000" w:themeColor="text1"/>
        </w:rPr>
        <w:t>,</w:t>
      </w:r>
      <w:r w:rsidRPr="00906C1C">
        <w:rPr>
          <w:rFonts w:ascii="Times New Roman" w:hAnsi="Times New Roman" w:cs="Times New Roman"/>
          <w:color w:val="000000" w:themeColor="text1"/>
        </w:rPr>
        <w:t xml:space="preserve"> tamamında bir tanesi hariç bir endeks üretiminin bulunmadığı görülmüştür. Endeks üretimi olan tek çalışmada (Li vd., 2023) ise endeks hesaplama metodolojisi sadece veri madenciliğine dayanmaktadır. Endeks üretmeyen çalışmaların sadece Gamache’nin çalışmasının KOBİ uyumu yüksektir. Bu çalışma da tamamen niteldir (Tablo 2).</w:t>
      </w:r>
    </w:p>
    <w:p w14:paraId="1528DD8C" w14:textId="77777777" w:rsidR="009F51F2" w:rsidRPr="00906C1C" w:rsidRDefault="009F51F2" w:rsidP="009254CC">
      <w:pPr>
        <w:rPr>
          <w:rFonts w:ascii="Times New Roman" w:hAnsi="Times New Roman" w:cs="Times New Roman"/>
          <w:color w:val="000000" w:themeColor="text1"/>
        </w:rPr>
      </w:pPr>
      <w:r w:rsidRPr="00906C1C">
        <w:rPr>
          <w:rFonts w:ascii="Times New Roman" w:hAnsi="Times New Roman" w:cs="Times New Roman"/>
          <w:color w:val="000000" w:themeColor="text1"/>
        </w:rPr>
        <w:t>Tablo 2: Araştırmacıların Dijitalleşme Düzeyleri Ölçümü Üzerine Çalışmaları Karşılaştırma</w:t>
      </w:r>
    </w:p>
    <w:p w14:paraId="02716CD1" w14:textId="4602D3DE" w:rsidR="00E22208" w:rsidRDefault="00E22208" w:rsidP="00485C37">
      <w:pPr>
        <w:rPr>
          <w:rFonts w:ascii="Times New Roman" w:hAnsi="Times New Roman" w:cs="Times New Roman"/>
          <w:b/>
          <w:bCs/>
          <w:color w:val="000000" w:themeColor="text1"/>
        </w:rPr>
      </w:pPr>
      <w:r w:rsidRPr="00E22208">
        <w:rPr>
          <w:noProof/>
          <w:lang w:eastAsia="tr-TR"/>
        </w:rPr>
        <w:drawing>
          <wp:inline distT="0" distB="0" distL="0" distR="0" wp14:anchorId="1C45172D" wp14:editId="693814E7">
            <wp:extent cx="5760720" cy="5158740"/>
            <wp:effectExtent l="0" t="0" r="0" b="0"/>
            <wp:docPr id="91800094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5158740"/>
                    </a:xfrm>
                    <a:prstGeom prst="rect">
                      <a:avLst/>
                    </a:prstGeom>
                    <a:noFill/>
                    <a:ln>
                      <a:noFill/>
                    </a:ln>
                  </pic:spPr>
                </pic:pic>
              </a:graphicData>
            </a:graphic>
          </wp:inline>
        </w:drawing>
      </w:r>
    </w:p>
    <w:p w14:paraId="5BB01AB5" w14:textId="227F2314" w:rsidR="00485C37" w:rsidRPr="00906C1C" w:rsidRDefault="00485C37" w:rsidP="00485C37">
      <w:pPr>
        <w:rPr>
          <w:rFonts w:ascii="Times New Roman" w:hAnsi="Times New Roman" w:cs="Times New Roman"/>
          <w:b/>
          <w:bCs/>
          <w:color w:val="000000" w:themeColor="text1"/>
        </w:rPr>
      </w:pPr>
      <w:r w:rsidRPr="00906C1C">
        <w:rPr>
          <w:rFonts w:ascii="Times New Roman" w:hAnsi="Times New Roman" w:cs="Times New Roman"/>
          <w:b/>
          <w:bCs/>
          <w:color w:val="000000" w:themeColor="text1"/>
        </w:rPr>
        <w:t xml:space="preserve">Kaynak: </w:t>
      </w:r>
      <w:r w:rsidRPr="00906C1C">
        <w:rPr>
          <w:rFonts w:ascii="Times New Roman" w:hAnsi="Times New Roman" w:cs="Times New Roman"/>
          <w:color w:val="000000" w:themeColor="text1"/>
        </w:rPr>
        <w:t>Yazar tarafından oluşturulmuştur.</w:t>
      </w:r>
    </w:p>
    <w:p w14:paraId="0A2F6693" w14:textId="77777777" w:rsidR="009F51F2" w:rsidRPr="00906C1C" w:rsidRDefault="009F51F2" w:rsidP="009254CC">
      <w:pPr>
        <w:rPr>
          <w:rFonts w:ascii="Times New Roman" w:hAnsi="Times New Roman" w:cs="Times New Roman"/>
          <w:color w:val="000000" w:themeColor="text1"/>
        </w:rPr>
      </w:pPr>
    </w:p>
    <w:p w14:paraId="577EDD42" w14:textId="6FB0DA1C" w:rsidR="009F51F2" w:rsidRPr="00906C1C" w:rsidRDefault="009F51F2" w:rsidP="009254CC">
      <w:pPr>
        <w:jc w:val="both"/>
        <w:rPr>
          <w:rFonts w:ascii="Times New Roman" w:hAnsi="Times New Roman" w:cs="Times New Roman"/>
          <w:color w:val="000000" w:themeColor="text1"/>
        </w:rPr>
      </w:pPr>
      <w:r w:rsidRPr="00906C1C">
        <w:rPr>
          <w:rFonts w:ascii="Times New Roman" w:hAnsi="Times New Roman" w:cs="Times New Roman"/>
          <w:color w:val="000000" w:themeColor="text1"/>
        </w:rPr>
        <w:lastRenderedPageBreak/>
        <w:t>Araştırmacı çalışmaları genel olarak değerlendirildiğinde</w:t>
      </w:r>
      <w:r w:rsidR="00D35222" w:rsidRPr="00906C1C">
        <w:rPr>
          <w:rFonts w:ascii="Times New Roman" w:hAnsi="Times New Roman" w:cs="Times New Roman"/>
          <w:color w:val="000000" w:themeColor="text1"/>
        </w:rPr>
        <w:t>, Kodideks-h’nin endeks üretmesi yönüyle politika üretmeye elverişli bir altyapı</w:t>
      </w:r>
      <w:r w:rsidRPr="00906C1C">
        <w:rPr>
          <w:rFonts w:ascii="Times New Roman" w:hAnsi="Times New Roman" w:cs="Times New Roman"/>
          <w:color w:val="000000" w:themeColor="text1"/>
        </w:rPr>
        <w:t xml:space="preserve"> sunması, KOBİ uyumunun yüksek olması, faaliyet raporları ve mali tablolar üzerinden bir analiz gerçekleştirmesi yönüyle nesnel oluşu açısından literatüre katkı sunduğu düşünülmektedir (Tablo 2-3).</w:t>
      </w:r>
    </w:p>
    <w:p w14:paraId="125DE4CC" w14:textId="77777777" w:rsidR="009F51F2" w:rsidRPr="00906C1C" w:rsidRDefault="009F51F2" w:rsidP="00485C37">
      <w:pPr>
        <w:jc w:val="center"/>
        <w:rPr>
          <w:rFonts w:ascii="Times New Roman" w:hAnsi="Times New Roman" w:cs="Times New Roman"/>
          <w:color w:val="000000" w:themeColor="text1"/>
        </w:rPr>
      </w:pPr>
      <w:r w:rsidRPr="00906C1C">
        <w:rPr>
          <w:rFonts w:ascii="Times New Roman" w:hAnsi="Times New Roman" w:cs="Times New Roman"/>
          <w:b/>
          <w:bCs/>
          <w:color w:val="000000" w:themeColor="text1"/>
        </w:rPr>
        <w:t>Tablo 3:</w:t>
      </w:r>
      <w:r w:rsidRPr="00906C1C">
        <w:rPr>
          <w:rFonts w:ascii="Times New Roman" w:hAnsi="Times New Roman" w:cs="Times New Roman"/>
          <w:color w:val="000000" w:themeColor="text1"/>
        </w:rPr>
        <w:t xml:space="preserve"> Araştırma Karşılaştırma Tablosu</w:t>
      </w:r>
    </w:p>
    <w:p w14:paraId="6B0EA74D" w14:textId="30526068" w:rsidR="002B4DC3" w:rsidRDefault="002B4DC3" w:rsidP="00485C37">
      <w:pPr>
        <w:rPr>
          <w:rFonts w:ascii="Times New Roman" w:hAnsi="Times New Roman" w:cs="Times New Roman"/>
          <w:b/>
          <w:bCs/>
          <w:color w:val="000000" w:themeColor="text1"/>
        </w:rPr>
      </w:pPr>
      <w:r w:rsidRPr="002B4DC3">
        <w:rPr>
          <w:noProof/>
          <w:lang w:eastAsia="tr-TR"/>
        </w:rPr>
        <w:drawing>
          <wp:inline distT="0" distB="0" distL="0" distR="0" wp14:anchorId="614B4AA0" wp14:editId="3572537F">
            <wp:extent cx="5760720" cy="2668905"/>
            <wp:effectExtent l="0" t="0" r="0" b="0"/>
            <wp:docPr id="14924735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2668905"/>
                    </a:xfrm>
                    <a:prstGeom prst="rect">
                      <a:avLst/>
                    </a:prstGeom>
                    <a:noFill/>
                    <a:ln>
                      <a:noFill/>
                    </a:ln>
                  </pic:spPr>
                </pic:pic>
              </a:graphicData>
            </a:graphic>
          </wp:inline>
        </w:drawing>
      </w:r>
    </w:p>
    <w:p w14:paraId="1DDAA0B6" w14:textId="548AC75A" w:rsidR="00485C37" w:rsidRPr="00906C1C" w:rsidRDefault="00485C37" w:rsidP="00485C37">
      <w:pPr>
        <w:rPr>
          <w:rFonts w:ascii="Times New Roman" w:hAnsi="Times New Roman" w:cs="Times New Roman"/>
          <w:b/>
          <w:bCs/>
          <w:color w:val="000000" w:themeColor="text1"/>
        </w:rPr>
      </w:pPr>
      <w:r w:rsidRPr="00906C1C">
        <w:rPr>
          <w:rFonts w:ascii="Times New Roman" w:hAnsi="Times New Roman" w:cs="Times New Roman"/>
          <w:b/>
          <w:bCs/>
          <w:color w:val="000000" w:themeColor="text1"/>
        </w:rPr>
        <w:t xml:space="preserve">Kaynak: </w:t>
      </w:r>
      <w:r w:rsidRPr="00906C1C">
        <w:rPr>
          <w:rFonts w:ascii="Times New Roman" w:hAnsi="Times New Roman" w:cs="Times New Roman"/>
          <w:color w:val="000000" w:themeColor="text1"/>
        </w:rPr>
        <w:t>Yazar tarafından oluşturulmuştur.</w:t>
      </w:r>
    </w:p>
    <w:p w14:paraId="54E82429" w14:textId="77777777" w:rsidR="009F51F2" w:rsidRPr="00906C1C" w:rsidRDefault="009F51F2" w:rsidP="004D7019">
      <w:pPr>
        <w:rPr>
          <w:rFonts w:ascii="Times New Roman" w:hAnsi="Times New Roman" w:cs="Times New Roman"/>
          <w:b/>
          <w:bCs/>
          <w:color w:val="000000" w:themeColor="text1"/>
        </w:rPr>
      </w:pPr>
    </w:p>
    <w:p w14:paraId="68C01654" w14:textId="6CEA05F7" w:rsidR="009F51F2" w:rsidRPr="00906C1C" w:rsidRDefault="009F51F2" w:rsidP="00E75B24">
      <w:pPr>
        <w:pStyle w:val="ListeParagraf"/>
        <w:numPr>
          <w:ilvl w:val="1"/>
          <w:numId w:val="3"/>
        </w:numPr>
        <w:rPr>
          <w:rFonts w:ascii="Times New Roman" w:hAnsi="Times New Roman" w:cs="Times New Roman"/>
          <w:b/>
          <w:bCs/>
          <w:color w:val="000000" w:themeColor="text1"/>
        </w:rPr>
      </w:pPr>
      <w:r w:rsidRPr="00906C1C">
        <w:rPr>
          <w:rFonts w:ascii="Times New Roman" w:hAnsi="Times New Roman" w:cs="Times New Roman"/>
          <w:b/>
          <w:bCs/>
          <w:color w:val="000000" w:themeColor="text1"/>
        </w:rPr>
        <w:t>Toplam Faktör Verimliliği</w:t>
      </w:r>
    </w:p>
    <w:p w14:paraId="2C2581C3" w14:textId="77777777" w:rsidR="009F51F2" w:rsidRPr="00906C1C" w:rsidRDefault="009F51F2" w:rsidP="004D7019">
      <w:pPr>
        <w:jc w:val="both"/>
        <w:rPr>
          <w:rFonts w:ascii="Times New Roman" w:hAnsi="Times New Roman" w:cs="Times New Roman"/>
          <w:color w:val="000000" w:themeColor="text1"/>
        </w:rPr>
      </w:pPr>
      <w:r w:rsidRPr="00906C1C">
        <w:rPr>
          <w:rFonts w:ascii="Times New Roman" w:hAnsi="Times New Roman" w:cs="Times New Roman"/>
          <w:color w:val="000000" w:themeColor="text1"/>
        </w:rPr>
        <w:t>TFV bir firmanın veya ekonominin üretim sürecinde kullandığı emek ve sermaye gibi girdilerin ötesinde, teknolojik ilerleme, organizasyonel etkinlik, yönetim kalitesi ve bilgi birikimi gibi unsurlardan kaynaklanan üretim kapasitesini ifade etmektedir (Solow, 1957). Bu yönüyle TFP, sadece üretim miktarındaki artışı değil, aynı girdilerle daha fazla çıktı elde edebilme yeteneğini ölçen kapsamlı bir performans göstergesidir.</w:t>
      </w:r>
    </w:p>
    <w:p w14:paraId="35EFE93C" w14:textId="1BD336B6" w:rsidR="009F51F2" w:rsidRPr="00906C1C" w:rsidRDefault="009F51F2" w:rsidP="004D7019">
      <w:pPr>
        <w:jc w:val="both"/>
        <w:rPr>
          <w:rFonts w:ascii="Times New Roman" w:hAnsi="Times New Roman" w:cs="Times New Roman"/>
          <w:color w:val="000000" w:themeColor="text1"/>
        </w:rPr>
      </w:pPr>
      <w:r w:rsidRPr="00906C1C">
        <w:rPr>
          <w:rFonts w:ascii="Times New Roman" w:hAnsi="Times New Roman" w:cs="Times New Roman"/>
          <w:color w:val="000000" w:themeColor="text1"/>
        </w:rPr>
        <w:t>Neoklasik büyüme literatüründe TF</w:t>
      </w:r>
      <w:r w:rsidR="004D7019" w:rsidRPr="00906C1C">
        <w:rPr>
          <w:rFonts w:ascii="Times New Roman" w:hAnsi="Times New Roman" w:cs="Times New Roman"/>
          <w:color w:val="000000" w:themeColor="text1"/>
        </w:rPr>
        <w:t>V</w:t>
      </w:r>
      <w:r w:rsidRPr="00906C1C">
        <w:rPr>
          <w:rFonts w:ascii="Times New Roman" w:hAnsi="Times New Roman" w:cs="Times New Roman"/>
          <w:color w:val="000000" w:themeColor="text1"/>
        </w:rPr>
        <w:t>, uzun dönemli ekonomik büyümenin temel belirleyicilerinden biri olarak kabul edilmektedir. Solow (1957) tarafından geliştirilen büyüme muhasebesi yaklaşımında, çıktı artışının emek ve sermaye artışıyla açıklanamayan kısmı “artık” olarak tanımlanmış ve bu artık TFP ile ilişkilendirilmiştir. Daha sonraki çalışmalar, bu artığın yalnızca teknolojik gelişmeleri değil, aynı zamanda kurumsal yapı, yönetim becerileri, organizasyonel yenilikler ve dijitalleşme düzeyi gibi faktörleri de yansıttığını ortaya koymuştur (Abramovitz, 1986; Syverson, 2011).</w:t>
      </w:r>
    </w:p>
    <w:p w14:paraId="4FD38301" w14:textId="77777777" w:rsidR="009F51F2" w:rsidRPr="00906C1C" w:rsidRDefault="009F51F2" w:rsidP="004D7019">
      <w:pPr>
        <w:jc w:val="both"/>
        <w:rPr>
          <w:rFonts w:ascii="Times New Roman" w:hAnsi="Times New Roman" w:cs="Times New Roman"/>
          <w:color w:val="000000" w:themeColor="text1"/>
        </w:rPr>
      </w:pPr>
      <w:r w:rsidRPr="00906C1C">
        <w:rPr>
          <w:rFonts w:ascii="Times New Roman" w:hAnsi="Times New Roman" w:cs="Times New Roman"/>
          <w:color w:val="000000" w:themeColor="text1"/>
        </w:rPr>
        <w:t>Firma düzeyinde TFP ölçümü, özellikle mikroekonomik performans analizlerinde yaygın olarak kullanılmaktadır. Bu bağlamda TFP, firmaların rekabet gücünü, verimlilik farklarını ve kaynak tahsis etkinliğini karşılaştırmalı olarak analiz etmeye imkân tanımaktadır. Özellikle KOBİ’ler açısından TFP, ölçek ekonomilerinden ziyade yönetim kalitesi ve dijital yetkinlikler gibi soyut unsurların performans üzerindeki etkisini yakalayabilen önemli bir gösterge niteliğindedir (Syverson, 2011).</w:t>
      </w:r>
    </w:p>
    <w:p w14:paraId="00559FE6" w14:textId="7D8E2322" w:rsidR="009F51F2" w:rsidRPr="00906C1C" w:rsidRDefault="009F51F2" w:rsidP="004D7019">
      <w:pPr>
        <w:jc w:val="both"/>
        <w:rPr>
          <w:rFonts w:ascii="Times New Roman" w:hAnsi="Times New Roman" w:cs="Times New Roman"/>
          <w:color w:val="000000" w:themeColor="text1"/>
        </w:rPr>
      </w:pPr>
      <w:r w:rsidRPr="00906C1C">
        <w:rPr>
          <w:rFonts w:ascii="Times New Roman" w:hAnsi="Times New Roman" w:cs="Times New Roman"/>
          <w:color w:val="000000" w:themeColor="text1"/>
        </w:rPr>
        <w:t>TF</w:t>
      </w:r>
      <w:r w:rsidR="004D7019" w:rsidRPr="00906C1C">
        <w:rPr>
          <w:rFonts w:ascii="Times New Roman" w:hAnsi="Times New Roman" w:cs="Times New Roman"/>
          <w:color w:val="000000" w:themeColor="text1"/>
        </w:rPr>
        <w:t>V</w:t>
      </w:r>
      <w:r w:rsidRPr="00906C1C">
        <w:rPr>
          <w:rFonts w:ascii="Times New Roman" w:hAnsi="Times New Roman" w:cs="Times New Roman"/>
          <w:color w:val="000000" w:themeColor="text1"/>
        </w:rPr>
        <w:t xml:space="preserve">’nin ampirik olarak ölçülmesinde genellikle Cobb–Douglas türü üretim fonksiyonları kullanılmaktadır. Ancak emek ve sermaye girdilerinin eşanlılık (simultaneity) ve seçilim (selection bias) sorunları nedeniyle klasik OLS tahminleri yanlı sonuçlar üretebilmektedir. Bu nedenle literatürde Levinsohn–Petrin (LP) ve Olley–Pakes (OP) gibi yarı parametrik yöntemler geliştirilmiştir (Olley &amp; Pakes, 1996; Levinsohn &amp; Petrin, 2003). Bu yöntemler, ara girdi veya yatırım değişkenlerini vekil </w:t>
      </w:r>
      <w:r w:rsidRPr="00906C1C">
        <w:rPr>
          <w:rFonts w:ascii="Times New Roman" w:hAnsi="Times New Roman" w:cs="Times New Roman"/>
          <w:color w:val="000000" w:themeColor="text1"/>
        </w:rPr>
        <w:lastRenderedPageBreak/>
        <w:t>(proxy) olarak kullanarak, firma düzeyinde TFP’nin daha tutarlı biçimde tahmin edilmesini amaçlamaktadır.</w:t>
      </w:r>
    </w:p>
    <w:p w14:paraId="6FE3E88F" w14:textId="77777777" w:rsidR="009F51F2" w:rsidRPr="00906C1C" w:rsidRDefault="009F51F2" w:rsidP="004D7019">
      <w:pPr>
        <w:jc w:val="both"/>
        <w:rPr>
          <w:rFonts w:ascii="Times New Roman" w:hAnsi="Times New Roman" w:cs="Times New Roman"/>
          <w:color w:val="000000" w:themeColor="text1"/>
        </w:rPr>
      </w:pPr>
      <w:r w:rsidRPr="00906C1C">
        <w:rPr>
          <w:rFonts w:ascii="Times New Roman" w:hAnsi="Times New Roman" w:cs="Times New Roman"/>
          <w:color w:val="000000" w:themeColor="text1"/>
        </w:rPr>
        <w:t xml:space="preserve">Toplam Faktör Verimliliği (TFV) ise bir işletmenin üretim sürecinde kullandığı emek, sermaye ve ara girdilerle açıklanamayan çıktı artışını temsil eden temel bir performans göstergesidir. Teknolojik değişimin kurumsal TFV üzerindeki etkisi akademik dünyada hâlâ tartışılan bir konu olsa da, dijitalleşmenin operasyonel verimlilik üzerindeki potansiyeli giderek daha fazla kabul görmektedir. </w:t>
      </w:r>
    </w:p>
    <w:p w14:paraId="155DA406" w14:textId="77777777" w:rsidR="009F51F2" w:rsidRPr="00906C1C" w:rsidRDefault="009F51F2" w:rsidP="004D7019">
      <w:pPr>
        <w:jc w:val="both"/>
        <w:rPr>
          <w:rFonts w:ascii="Times New Roman" w:hAnsi="Times New Roman" w:cs="Times New Roman"/>
          <w:color w:val="000000" w:themeColor="text1"/>
        </w:rPr>
      </w:pPr>
      <w:r w:rsidRPr="00906C1C">
        <w:rPr>
          <w:rFonts w:ascii="Times New Roman" w:hAnsi="Times New Roman" w:cs="Times New Roman"/>
          <w:color w:val="000000" w:themeColor="text1"/>
        </w:rPr>
        <w:t>Geleneksel yöntemler genellikle dijitalleşmeyi sadece donanım veya yazılım yatırımlarıyla kısıtlı bir perspektiften ölçerken, güncel çalışmalar kurumsal raporlar üzerinden yapılan metin analizi ve veri madenciliği tekniklerine odaklanmaktadır. Bu bağlamda veri madenciliği, özellikle yapay zekâ algoritmaları ve makine öğrenmesi ile birleştiğinde, yöneticilerin pazarı daha doğru tahmin etmesine ve rasyonel kararlar almasına yardımcı olan kritik bir araçtır. (Li vd. 2023).</w:t>
      </w:r>
    </w:p>
    <w:p w14:paraId="446A3599" w14:textId="77777777" w:rsidR="009F51F2" w:rsidRPr="00906C1C" w:rsidRDefault="009F51F2" w:rsidP="004D7019">
      <w:pPr>
        <w:jc w:val="both"/>
        <w:rPr>
          <w:rFonts w:ascii="Times New Roman" w:hAnsi="Times New Roman" w:cs="Times New Roman"/>
          <w:color w:val="000000" w:themeColor="text1"/>
        </w:rPr>
      </w:pPr>
      <w:r w:rsidRPr="00906C1C">
        <w:rPr>
          <w:rFonts w:ascii="Times New Roman" w:hAnsi="Times New Roman" w:cs="Times New Roman"/>
          <w:color w:val="000000" w:themeColor="text1"/>
        </w:rPr>
        <w:t>Dijital teknolojiler, tasarım, üretim, yönetim ve pazarlama gibi pek çok iş sürecinde verimliliği artırarak kurumsal performansı güçlendirir. Bu ilişkinin temelinde yatan mekanizma bireysel verimlilik artışıdır; veri madenciliği ve büyük veri analitiği gibi araçlar, çalışanların devasa veri yığınları içinden anlamlı bilgiler çıkarmasını ve daha hızlı kişisel kararlar almasını sağlayarak TFV'ye katkıda bulunur. Ayrıca, dijitalleşme dikey ve yatay bilgi asimetrisini azaltarak, karar mekanizmalarını daha şeffaf ve etkin hale getirir.</w:t>
      </w:r>
    </w:p>
    <w:p w14:paraId="399709FF" w14:textId="77777777" w:rsidR="009F51F2" w:rsidRPr="00906C1C" w:rsidRDefault="009F51F2" w:rsidP="004D7019">
      <w:pPr>
        <w:jc w:val="both"/>
        <w:rPr>
          <w:rFonts w:ascii="Times New Roman" w:hAnsi="Times New Roman" w:cs="Times New Roman"/>
          <w:color w:val="000000" w:themeColor="text1"/>
        </w:rPr>
      </w:pPr>
      <w:r w:rsidRPr="00906C1C">
        <w:rPr>
          <w:rFonts w:ascii="Times New Roman" w:hAnsi="Times New Roman" w:cs="Times New Roman"/>
          <w:color w:val="000000" w:themeColor="text1"/>
        </w:rPr>
        <w:t>Sonuç olarak, kurumsal dijital dönüşüm; sadece teknolojik bir araç değil, veri madenciliği ve analitik yetkinlikler aracılığıyla kurumsal verimliliği (TFV) besleyen stratejik bir kaldıraç görevi görür.</w:t>
      </w:r>
    </w:p>
    <w:p w14:paraId="7EFC955F" w14:textId="0C6AD61E" w:rsidR="009F51F2" w:rsidRPr="00906C1C" w:rsidRDefault="009F51F2" w:rsidP="00E75B24">
      <w:pPr>
        <w:pStyle w:val="ListeParagraf"/>
        <w:numPr>
          <w:ilvl w:val="1"/>
          <w:numId w:val="3"/>
        </w:numPr>
        <w:rPr>
          <w:rFonts w:ascii="Times New Roman" w:hAnsi="Times New Roman" w:cs="Times New Roman"/>
          <w:b/>
          <w:bCs/>
          <w:color w:val="000000" w:themeColor="text1"/>
        </w:rPr>
      </w:pPr>
      <w:r w:rsidRPr="00906C1C">
        <w:rPr>
          <w:rFonts w:ascii="Times New Roman" w:hAnsi="Times New Roman" w:cs="Times New Roman"/>
          <w:b/>
          <w:bCs/>
          <w:color w:val="000000" w:themeColor="text1"/>
        </w:rPr>
        <w:t>Türkiye’de KOBİ’lerin Önemi</w:t>
      </w:r>
    </w:p>
    <w:p w14:paraId="3AFB5A1E" w14:textId="77777777" w:rsidR="009F51F2" w:rsidRPr="00906C1C" w:rsidRDefault="009F51F2" w:rsidP="004D7019">
      <w:pPr>
        <w:jc w:val="both"/>
        <w:rPr>
          <w:rFonts w:ascii="Times New Roman" w:hAnsi="Times New Roman" w:cs="Times New Roman"/>
          <w:color w:val="000000" w:themeColor="text1"/>
        </w:rPr>
      </w:pPr>
      <w:r w:rsidRPr="00906C1C">
        <w:rPr>
          <w:rFonts w:ascii="Times New Roman" w:hAnsi="Times New Roman" w:cs="Times New Roman"/>
          <w:color w:val="000000" w:themeColor="text1"/>
        </w:rPr>
        <w:t xml:space="preserve">Güncellenen kriterlere göre 250 kişiden az çalışan istihdam eden ve cirosu yıllık 1 Milyar TL altında olan firmalar KOBİ tanımına girmektedir. 2024 verilerine göre ülkemizde 3,9 Milyon adet KOBİ segmentinde firma faaliyet göstermektedir. Söz konusu firmalar ülke toplam çalışan sayısının %68,5’ine sahipken (Grafik 2) üretim değerinin %39,8’ine katkı sunmaktadır (TUIK, 2026). Yine aynı dönemde KOBİ’lerin toplam cirodan aldıkları pay %44,1 ile sınırlı kalmıştır (Grafik 1).  Sadece bu veriler dikkate alındığında dahi fazla girdi ile kısıtlı çıktı üreten KOBİ segmentinin verimlilik noktasında gelişim göstermesi gerektiği açıktır. Türkiye firma sayısının %99,8’ini oluşturan KOBİ’lerin 2023 yılı toplam Ar-Ge harcamalarından aldığı pay %30 ile sınırlı kalmıştır. Patent sayıları açısından değerlendirildiğinde ise Büyük işletmelerin 1536 tescili varken KOBİ segmentinin sadece 445 adet tescili olduğu görülmektedir. </w:t>
      </w:r>
    </w:p>
    <w:p w14:paraId="0AB941AE" w14:textId="77777777" w:rsidR="009F51F2" w:rsidRPr="00906C1C" w:rsidRDefault="009F51F2" w:rsidP="004D7019">
      <w:pPr>
        <w:pStyle w:val="ListeParagraf"/>
        <w:jc w:val="both"/>
        <w:rPr>
          <w:rFonts w:ascii="Times New Roman" w:hAnsi="Times New Roman" w:cs="Times New Roman"/>
          <w:color w:val="000000" w:themeColor="text1"/>
        </w:rPr>
      </w:pPr>
      <w:r w:rsidRPr="00906C1C">
        <w:rPr>
          <w:rFonts w:ascii="Times New Roman" w:hAnsi="Times New Roman" w:cs="Times New Roman"/>
          <w:b/>
          <w:bCs/>
          <w:color w:val="000000" w:themeColor="text1"/>
        </w:rPr>
        <w:t>Grafik 1&amp;2-</w:t>
      </w:r>
      <w:r w:rsidRPr="00906C1C">
        <w:rPr>
          <w:rFonts w:ascii="Times New Roman" w:hAnsi="Times New Roman" w:cs="Times New Roman"/>
          <w:color w:val="000000" w:themeColor="text1"/>
        </w:rPr>
        <w:t xml:space="preserve"> 2024 Ciro Segment Dağılımı &amp; 2024 Çalışan Sayısı Segment Dağılımı</w:t>
      </w:r>
    </w:p>
    <w:p w14:paraId="2677BE00" w14:textId="70D91FAC" w:rsidR="00B4446B" w:rsidRDefault="00B4446B" w:rsidP="004D7019">
      <w:pPr>
        <w:pStyle w:val="ListeParagraf"/>
        <w:jc w:val="both"/>
        <w:rPr>
          <w:rFonts w:ascii="Times New Roman" w:hAnsi="Times New Roman" w:cs="Times New Roman"/>
          <w:noProof/>
          <w:color w:val="000000" w:themeColor="text1"/>
        </w:rPr>
      </w:pPr>
      <w:r w:rsidRPr="00B4446B">
        <w:rPr>
          <w:noProof/>
          <w:lang w:eastAsia="tr-TR"/>
        </w:rPr>
        <w:drawing>
          <wp:inline distT="0" distB="0" distL="0" distR="0" wp14:anchorId="551231BF" wp14:editId="11F7B39A">
            <wp:extent cx="5760720" cy="1732280"/>
            <wp:effectExtent l="0" t="0" r="0" b="0"/>
            <wp:docPr id="1806996053"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1732280"/>
                    </a:xfrm>
                    <a:prstGeom prst="rect">
                      <a:avLst/>
                    </a:prstGeom>
                    <a:noFill/>
                    <a:ln>
                      <a:noFill/>
                    </a:ln>
                  </pic:spPr>
                </pic:pic>
              </a:graphicData>
            </a:graphic>
          </wp:inline>
        </w:drawing>
      </w:r>
    </w:p>
    <w:p w14:paraId="787FE379" w14:textId="68913A55" w:rsidR="00485C37" w:rsidRPr="00906C1C" w:rsidRDefault="00485C37" w:rsidP="004D7019">
      <w:pPr>
        <w:pStyle w:val="ListeParagraf"/>
        <w:jc w:val="both"/>
        <w:rPr>
          <w:rFonts w:ascii="Times New Roman" w:hAnsi="Times New Roman" w:cs="Times New Roman"/>
          <w:color w:val="000000" w:themeColor="text1"/>
        </w:rPr>
      </w:pPr>
      <w:r w:rsidRPr="00906C1C">
        <w:rPr>
          <w:rFonts w:ascii="Times New Roman" w:hAnsi="Times New Roman" w:cs="Times New Roman"/>
          <w:noProof/>
          <w:color w:val="000000" w:themeColor="text1"/>
        </w:rPr>
        <w:t>Kaynak: TUIK, 2026</w:t>
      </w:r>
    </w:p>
    <w:p w14:paraId="1D029D58" w14:textId="7DC3C52B" w:rsidR="00B47B05" w:rsidRDefault="009F51F2" w:rsidP="004D7019">
      <w:pPr>
        <w:widowControl w:val="0"/>
        <w:autoSpaceDE w:val="0"/>
        <w:autoSpaceDN w:val="0"/>
        <w:spacing w:after="0"/>
        <w:jc w:val="both"/>
        <w:rPr>
          <w:rFonts w:ascii="Times New Roman" w:hAnsi="Times New Roman" w:cs="Times New Roman"/>
          <w:color w:val="000000" w:themeColor="text1"/>
        </w:rPr>
      </w:pPr>
      <w:r w:rsidRPr="00906C1C">
        <w:rPr>
          <w:rFonts w:ascii="Times New Roman" w:hAnsi="Times New Roman" w:cs="Times New Roman"/>
          <w:color w:val="000000" w:themeColor="text1"/>
        </w:rPr>
        <w:t xml:space="preserve">Türkiye’de faaliyet gösteren KOBİ’lerin yaşadıkları verimlilik sorunu ve bu sorunu aşma noktasında en önemli stratejik unsur olan dijitalleşme düzeyinin yetersizliği, mevcut bilimsel çalışmaların incelenmesi sonucu belirlenmiştir. Bu noktadan hareketle çalışmanın amacı, Türkiye’deki KOBİ’lerin dijitalleşme düzeylerini firma ve segment bazında ve 5 alt boyutta </w:t>
      </w:r>
      <w:r w:rsidRPr="00906C1C">
        <w:rPr>
          <w:rFonts w:ascii="Times New Roman" w:hAnsi="Times New Roman" w:cs="Times New Roman"/>
          <w:b/>
          <w:bCs/>
          <w:color w:val="000000" w:themeColor="text1"/>
        </w:rPr>
        <w:t xml:space="preserve">KODİDEKS-H Halka Açık KOBİ Dijital </w:t>
      </w:r>
      <w:r w:rsidRPr="00906C1C">
        <w:rPr>
          <w:rFonts w:ascii="Times New Roman" w:hAnsi="Times New Roman" w:cs="Times New Roman"/>
          <w:b/>
          <w:bCs/>
          <w:color w:val="000000" w:themeColor="text1"/>
        </w:rPr>
        <w:lastRenderedPageBreak/>
        <w:t>Dönüşüm Endeksi</w:t>
      </w:r>
      <w:r w:rsidRPr="00906C1C">
        <w:rPr>
          <w:rFonts w:ascii="Times New Roman" w:hAnsi="Times New Roman" w:cs="Times New Roman"/>
          <w:color w:val="000000" w:themeColor="text1"/>
        </w:rPr>
        <w:t xml:space="preserve"> aracılığıyla periyodik olarak ölçümleyerek hem politika yapıcılara strateji oluşturmak adına veri sağlamak hem de firma bazında mikro düzeyde alınacak önlemler, atılacak dijitalleşme adımlarıyla KOBİ segmentinin verimliliğini dijital dönüşümü yakalamak yoluyla artırmaktır. KODİDEKS-h’yi diğer firma bazlı ölçümlemelerden ayrıştıran unsurlardan ilki KOBİ’ler için endeks niteliği taşıyan ilk ölçümleme olması, ikincisi ise hem mali verilerden faydalanılarak hesaplanan TFV hem de veri madenciliğini bir arada kullanan hibrit yapıdaki ilk endeks oluşudur</w:t>
      </w:r>
      <w:r w:rsidR="00926434">
        <w:rPr>
          <w:rFonts w:ascii="Times New Roman" w:hAnsi="Times New Roman" w:cs="Times New Roman"/>
          <w:color w:val="000000" w:themeColor="text1"/>
        </w:rPr>
        <w:t>.</w:t>
      </w:r>
    </w:p>
    <w:p w14:paraId="17C437FC" w14:textId="77777777" w:rsidR="00926434" w:rsidRPr="00906C1C" w:rsidRDefault="00926434" w:rsidP="004D7019">
      <w:pPr>
        <w:widowControl w:val="0"/>
        <w:autoSpaceDE w:val="0"/>
        <w:autoSpaceDN w:val="0"/>
        <w:spacing w:after="0"/>
        <w:jc w:val="both"/>
        <w:rPr>
          <w:rFonts w:ascii="Times New Roman" w:eastAsia="Times New Roman" w:hAnsi="Times New Roman" w:cs="Times New Roman"/>
          <w:color w:val="000000" w:themeColor="text1"/>
          <w:lang w:val="en-GB"/>
        </w:rPr>
      </w:pPr>
    </w:p>
    <w:p w14:paraId="262480F2" w14:textId="1D40E0D7" w:rsidR="00B47B05" w:rsidRPr="00906C1C" w:rsidRDefault="004D7019" w:rsidP="00B47B05">
      <w:pPr>
        <w:pStyle w:val="ListeParagraf"/>
        <w:widowControl w:val="0"/>
        <w:numPr>
          <w:ilvl w:val="0"/>
          <w:numId w:val="1"/>
        </w:numPr>
        <w:autoSpaceDE w:val="0"/>
        <w:autoSpaceDN w:val="0"/>
        <w:spacing w:after="0" w:line="360" w:lineRule="auto"/>
        <w:ind w:left="426" w:hanging="426"/>
        <w:jc w:val="both"/>
        <w:rPr>
          <w:rFonts w:ascii="Times New Roman" w:eastAsia="Times New Roman" w:hAnsi="Times New Roman" w:cs="Times New Roman"/>
          <w:b/>
          <w:color w:val="000000" w:themeColor="text1"/>
          <w:lang w:val="en-GB"/>
        </w:rPr>
      </w:pPr>
      <w:r w:rsidRPr="00906C1C">
        <w:rPr>
          <w:rFonts w:ascii="Times New Roman" w:eastAsia="Times New Roman" w:hAnsi="Times New Roman" w:cs="Times New Roman"/>
          <w:b/>
          <w:color w:val="000000" w:themeColor="text1"/>
          <w:lang w:val="en-GB"/>
        </w:rPr>
        <w:t>Veri ve Metodoloji</w:t>
      </w:r>
    </w:p>
    <w:p w14:paraId="5D9427A5" w14:textId="6E77B599" w:rsidR="00E75B24" w:rsidRPr="00906C1C" w:rsidRDefault="004D7019" w:rsidP="004D7019">
      <w:pPr>
        <w:jc w:val="both"/>
        <w:rPr>
          <w:rFonts w:ascii="Times New Roman" w:hAnsi="Times New Roman" w:cs="Times New Roman"/>
          <w:color w:val="000000" w:themeColor="text1"/>
        </w:rPr>
      </w:pPr>
      <w:r w:rsidRPr="00906C1C">
        <w:rPr>
          <w:rFonts w:ascii="Times New Roman" w:hAnsi="Times New Roman" w:cs="Times New Roman"/>
          <w:color w:val="000000" w:themeColor="text1"/>
        </w:rPr>
        <w:t>KOBİ’lerin dijitalleşme seviyelerini ölçümleyebilmek amacıyla oluşturulan endeks hibrit yapıda tasarlanmıştır. Bu yapıya girdi sağlayan kaynaklar BIST-İstanbul’da XKOBI endeksi altında listelenen 16 adet K</w:t>
      </w:r>
      <w:r w:rsidR="00311DB3">
        <w:rPr>
          <w:rFonts w:ascii="Times New Roman" w:hAnsi="Times New Roman" w:cs="Times New Roman"/>
          <w:color w:val="000000" w:themeColor="text1"/>
        </w:rPr>
        <w:t>OBI segmentindeki firmanın, regü</w:t>
      </w:r>
      <w:r w:rsidRPr="00906C1C">
        <w:rPr>
          <w:rFonts w:ascii="Times New Roman" w:hAnsi="Times New Roman" w:cs="Times New Roman"/>
          <w:color w:val="000000" w:themeColor="text1"/>
        </w:rPr>
        <w:t xml:space="preserve">lasyonlar gereği resmi sitelerinde yayınlamak zorunda oldukları mali raporları ve faaliyet raporları olmuştur.  Hibrit modelin </w:t>
      </w:r>
      <w:r w:rsidRPr="00906C1C">
        <w:rPr>
          <w:rFonts w:ascii="Times New Roman" w:hAnsi="Times New Roman" w:cs="Times New Roman"/>
          <w:b/>
          <w:bCs/>
          <w:color w:val="000000" w:themeColor="text1"/>
        </w:rPr>
        <w:t xml:space="preserve">performans </w:t>
      </w:r>
      <w:r w:rsidRPr="00906C1C">
        <w:rPr>
          <w:rFonts w:ascii="Times New Roman" w:hAnsi="Times New Roman" w:cs="Times New Roman"/>
          <w:color w:val="000000" w:themeColor="text1"/>
        </w:rPr>
        <w:t>boyutu Toplam Faktör Ve</w:t>
      </w:r>
      <w:r w:rsidR="00311DB3">
        <w:rPr>
          <w:rFonts w:ascii="Times New Roman" w:hAnsi="Times New Roman" w:cs="Times New Roman"/>
          <w:color w:val="000000" w:themeColor="text1"/>
        </w:rPr>
        <w:t>rimliliği (TFV) hesaplaması ile</w:t>
      </w:r>
      <w:r w:rsidRPr="00906C1C">
        <w:rPr>
          <w:rFonts w:ascii="Times New Roman" w:hAnsi="Times New Roman" w:cs="Times New Roman"/>
          <w:color w:val="000000" w:themeColor="text1"/>
        </w:rPr>
        <w:t xml:space="preserve"> </w:t>
      </w:r>
      <w:r w:rsidRPr="00906C1C">
        <w:rPr>
          <w:rFonts w:ascii="Times New Roman" w:hAnsi="Times New Roman" w:cs="Times New Roman"/>
          <w:b/>
          <w:bCs/>
          <w:color w:val="000000" w:themeColor="text1"/>
        </w:rPr>
        <w:t>dijital olgunluk boyutu</w:t>
      </w:r>
      <w:r w:rsidRPr="00906C1C">
        <w:rPr>
          <w:rFonts w:ascii="Times New Roman" w:hAnsi="Times New Roman" w:cs="Times New Roman"/>
          <w:color w:val="000000" w:themeColor="text1"/>
        </w:rPr>
        <w:t xml:space="preserve"> ise firmaların yıllık faaliyet raporlarından 5 alt boyutta veri madenciliği yöntemi uygulanarak ve Python kullanılarak kelime saydırma yöntemiyle belirlenmiştir. Word2Vec-4 ile ise kelimelerin bağlam kontrolleri sağlanmıştır (Şekil 1).</w:t>
      </w:r>
    </w:p>
    <w:p w14:paraId="3850C323" w14:textId="78B904E8" w:rsidR="00E75B24" w:rsidRPr="00906C1C" w:rsidRDefault="00E75B24" w:rsidP="00AD2C25">
      <w:pPr>
        <w:jc w:val="center"/>
        <w:rPr>
          <w:rFonts w:ascii="Times New Roman" w:hAnsi="Times New Roman" w:cs="Times New Roman"/>
          <w:color w:val="000000" w:themeColor="text1"/>
        </w:rPr>
      </w:pPr>
      <w:r w:rsidRPr="00906C1C">
        <w:rPr>
          <w:rFonts w:ascii="Times New Roman" w:hAnsi="Times New Roman" w:cs="Times New Roman"/>
          <w:b/>
          <w:bCs/>
          <w:color w:val="000000" w:themeColor="text1"/>
        </w:rPr>
        <w:t>Şekil 1:</w:t>
      </w:r>
      <w:r w:rsidRPr="00906C1C">
        <w:rPr>
          <w:rFonts w:ascii="Times New Roman" w:hAnsi="Times New Roman" w:cs="Times New Roman"/>
          <w:color w:val="000000" w:themeColor="text1"/>
        </w:rPr>
        <w:t xml:space="preserve"> Analiz Aşamaları</w:t>
      </w:r>
    </w:p>
    <w:p w14:paraId="29559F5C" w14:textId="0738F272" w:rsidR="00B47B05" w:rsidRPr="00906C1C" w:rsidRDefault="00E75B24" w:rsidP="00D35222">
      <w:pPr>
        <w:widowControl w:val="0"/>
        <w:autoSpaceDE w:val="0"/>
        <w:autoSpaceDN w:val="0"/>
        <w:spacing w:after="0" w:line="240" w:lineRule="auto"/>
        <w:jc w:val="both"/>
        <w:rPr>
          <w:rFonts w:ascii="Times New Roman" w:eastAsia="Times New Roman" w:hAnsi="Times New Roman" w:cs="Times New Roman"/>
          <w:color w:val="000000" w:themeColor="text1"/>
          <w:lang w:val="en-GB"/>
        </w:rPr>
      </w:pPr>
      <w:r w:rsidRPr="00906C1C">
        <w:rPr>
          <w:noProof/>
          <w:color w:val="000000" w:themeColor="text1"/>
          <w:lang w:eastAsia="tr-TR"/>
        </w:rPr>
        <w:drawing>
          <wp:inline distT="0" distB="0" distL="0" distR="0" wp14:anchorId="331E6E35" wp14:editId="6FBF9B4E">
            <wp:extent cx="3456878" cy="2969895"/>
            <wp:effectExtent l="0" t="0" r="0" b="0"/>
            <wp:docPr id="11713404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63751" cy="2975800"/>
                    </a:xfrm>
                    <a:prstGeom prst="rect">
                      <a:avLst/>
                    </a:prstGeom>
                    <a:noFill/>
                    <a:ln>
                      <a:noFill/>
                    </a:ln>
                  </pic:spPr>
                </pic:pic>
              </a:graphicData>
            </a:graphic>
          </wp:inline>
        </w:drawing>
      </w:r>
    </w:p>
    <w:p w14:paraId="5CC7726F" w14:textId="33A0AA8C" w:rsidR="00485C37" w:rsidRPr="00906C1C" w:rsidRDefault="00485C37" w:rsidP="00485C37">
      <w:pPr>
        <w:rPr>
          <w:rFonts w:ascii="Times New Roman" w:hAnsi="Times New Roman" w:cs="Times New Roman"/>
          <w:b/>
          <w:bCs/>
          <w:color w:val="000000" w:themeColor="text1"/>
        </w:rPr>
      </w:pPr>
      <w:r w:rsidRPr="00906C1C">
        <w:rPr>
          <w:rFonts w:ascii="Times New Roman" w:hAnsi="Times New Roman" w:cs="Times New Roman"/>
          <w:b/>
          <w:bCs/>
          <w:color w:val="000000" w:themeColor="text1"/>
        </w:rPr>
        <w:t xml:space="preserve">Kaynak: </w:t>
      </w:r>
      <w:r w:rsidRPr="00906C1C">
        <w:rPr>
          <w:rFonts w:ascii="Times New Roman" w:hAnsi="Times New Roman" w:cs="Times New Roman"/>
          <w:color w:val="000000" w:themeColor="text1"/>
        </w:rPr>
        <w:t>Yazar tarafından oluşturulmuştur.</w:t>
      </w:r>
    </w:p>
    <w:p w14:paraId="19FA3D91" w14:textId="197B15EF" w:rsidR="00D35222" w:rsidRPr="001D6079" w:rsidRDefault="00D35222" w:rsidP="00D35222">
      <w:pPr>
        <w:widowControl w:val="0"/>
        <w:autoSpaceDE w:val="0"/>
        <w:autoSpaceDN w:val="0"/>
        <w:spacing w:after="0" w:line="240" w:lineRule="auto"/>
        <w:jc w:val="both"/>
        <w:rPr>
          <w:rFonts w:ascii="Times New Roman" w:eastAsia="Times New Roman" w:hAnsi="Times New Roman" w:cs="Times New Roman"/>
          <w:color w:val="000000" w:themeColor="text1"/>
          <w:lang w:val="en-GB"/>
        </w:rPr>
      </w:pPr>
    </w:p>
    <w:p w14:paraId="53C5B05D" w14:textId="77777777" w:rsidR="00E75B24" w:rsidRPr="001D6079" w:rsidRDefault="00E75B24" w:rsidP="00E75B24">
      <w:pPr>
        <w:jc w:val="both"/>
        <w:rPr>
          <w:rFonts w:ascii="Times New Roman" w:hAnsi="Times New Roman" w:cs="Times New Roman"/>
          <w:color w:val="000000" w:themeColor="text1"/>
        </w:rPr>
      </w:pPr>
      <w:r w:rsidRPr="001D6079">
        <w:rPr>
          <w:rFonts w:ascii="Times New Roman" w:hAnsi="Times New Roman" w:cs="Times New Roman"/>
          <w:color w:val="000000" w:themeColor="text1"/>
        </w:rPr>
        <w:t>Dijital kelime skoru belirlenirken, yıllık faaliyet raporlarında yer alan dijital kelime sayısının, raporların toplam kelime sayısına oranı baz alınmıştır.</w:t>
      </w:r>
    </w:p>
    <w:p w14:paraId="620BC097" w14:textId="5A8FC0AF" w:rsidR="00E75B24" w:rsidRPr="001D6079" w:rsidRDefault="00E75B24" w:rsidP="00E75B24">
      <w:pPr>
        <w:jc w:val="both"/>
        <w:rPr>
          <w:rFonts w:ascii="Times New Roman" w:hAnsi="Times New Roman" w:cs="Times New Roman"/>
          <w:color w:val="000000" w:themeColor="text1"/>
        </w:rPr>
      </w:pPr>
      <w:r w:rsidRPr="001D6079">
        <w:rPr>
          <w:rFonts w:ascii="Times New Roman" w:hAnsi="Times New Roman" w:cs="Times New Roman"/>
          <w:color w:val="000000" w:themeColor="text1"/>
        </w:rPr>
        <w:t xml:space="preserve">Dijital Kelime Skoru=Toplam kelime sayısı / Dijital kelime sayısı​                        </w:t>
      </w:r>
      <w:r w:rsidR="009B12BF" w:rsidRPr="001D6079">
        <w:rPr>
          <w:rFonts w:ascii="Times New Roman" w:hAnsi="Times New Roman" w:cs="Times New Roman"/>
          <w:color w:val="000000" w:themeColor="text1"/>
        </w:rPr>
        <w:t xml:space="preserve">       </w:t>
      </w:r>
      <w:r w:rsidRPr="001D6079">
        <w:rPr>
          <w:rFonts w:ascii="Times New Roman" w:hAnsi="Times New Roman" w:cs="Times New Roman"/>
          <w:color w:val="000000" w:themeColor="text1"/>
        </w:rPr>
        <w:t xml:space="preserve">            (1)</w:t>
      </w:r>
    </w:p>
    <w:p w14:paraId="77E854C4" w14:textId="77777777" w:rsidR="00E75B24" w:rsidRPr="001D6079" w:rsidRDefault="00E75B24" w:rsidP="00E75B24">
      <w:pPr>
        <w:jc w:val="both"/>
        <w:rPr>
          <w:rFonts w:ascii="Times New Roman" w:hAnsi="Times New Roman" w:cs="Times New Roman"/>
          <w:color w:val="000000" w:themeColor="text1"/>
        </w:rPr>
      </w:pPr>
      <w:r w:rsidRPr="001D6079">
        <w:rPr>
          <w:rFonts w:ascii="Times New Roman" w:hAnsi="Times New Roman" w:cs="Times New Roman"/>
          <w:color w:val="000000" w:themeColor="text1"/>
        </w:rPr>
        <w:t xml:space="preserve">TFV hesaplamasında ise Cobb-Douglas üretim fonksiyonundan yararlanılmıştır. </w:t>
      </w:r>
    </w:p>
    <w:p w14:paraId="2708E355" w14:textId="1614273E" w:rsidR="00E75B24" w:rsidRPr="001D6079" w:rsidRDefault="00E75B24" w:rsidP="00E75B24">
      <w:pPr>
        <w:jc w:val="both"/>
        <w:rPr>
          <w:rFonts w:ascii="Times New Roman" w:eastAsiaTheme="minorEastAsia" w:hAnsi="Times New Roman" w:cs="Times New Roman"/>
          <w:color w:val="000000" w:themeColor="text1"/>
        </w:rPr>
      </w:pPr>
      <m:oMath>
        <m:r>
          <w:rPr>
            <w:rFonts w:ascii="Cambria Math" w:eastAsiaTheme="minorEastAsia" w:hAnsi="Cambria Math" w:cs="Times New Roman"/>
            <w:color w:val="000000" w:themeColor="text1"/>
          </w:rPr>
          <m:t>Y=A.</m:t>
        </m:r>
        <m:sSup>
          <m:sSupPr>
            <m:ctrlPr>
              <w:rPr>
                <w:rFonts w:ascii="Cambria Math" w:eastAsiaTheme="minorEastAsia" w:hAnsi="Cambria Math" w:cs="Times New Roman"/>
                <w:color w:val="000000" w:themeColor="text1"/>
              </w:rPr>
            </m:ctrlPr>
          </m:sSupPr>
          <m:e>
            <m:r>
              <w:rPr>
                <w:rFonts w:ascii="Cambria Math" w:eastAsiaTheme="minorEastAsia" w:hAnsi="Cambria Math" w:cs="Times New Roman"/>
                <w:color w:val="000000" w:themeColor="text1"/>
              </w:rPr>
              <m:t>K</m:t>
            </m:r>
          </m:e>
          <m:sup>
            <m:r>
              <w:rPr>
                <w:rFonts w:ascii="Cambria Math" w:eastAsiaTheme="minorEastAsia" w:hAnsi="Cambria Math" w:cs="Times New Roman"/>
                <w:color w:val="000000" w:themeColor="text1"/>
              </w:rPr>
              <m:t>α</m:t>
            </m:r>
          </m:sup>
        </m:sSup>
        <m:r>
          <w:rPr>
            <w:rFonts w:ascii="Cambria Math" w:eastAsiaTheme="minorEastAsia" w:hAnsi="Cambria Math" w:cs="Times New Roman"/>
            <w:color w:val="000000" w:themeColor="text1"/>
          </w:rPr>
          <m:t>.</m:t>
        </m:r>
        <m:sSup>
          <m:sSupPr>
            <m:ctrlPr>
              <w:rPr>
                <w:rFonts w:ascii="Cambria Math" w:eastAsiaTheme="minorEastAsia" w:hAnsi="Cambria Math" w:cs="Times New Roman"/>
                <w:color w:val="000000" w:themeColor="text1"/>
              </w:rPr>
            </m:ctrlPr>
          </m:sSupPr>
          <m:e>
            <m:r>
              <w:rPr>
                <w:rFonts w:ascii="Cambria Math" w:eastAsiaTheme="minorEastAsia" w:hAnsi="Cambria Math" w:cs="Times New Roman"/>
                <w:color w:val="000000" w:themeColor="text1"/>
              </w:rPr>
              <m:t>L</m:t>
            </m:r>
          </m:e>
          <m:sup>
            <m:r>
              <w:rPr>
                <w:rFonts w:ascii="Cambria Math" w:eastAsiaTheme="minorEastAsia" w:hAnsi="Cambria Math" w:cs="Times New Roman"/>
                <w:color w:val="000000" w:themeColor="text1"/>
              </w:rPr>
              <m:t>β</m:t>
            </m:r>
          </m:sup>
        </m:sSup>
      </m:oMath>
      <w:r w:rsidRPr="001D6079">
        <w:rPr>
          <w:rFonts w:ascii="Times New Roman" w:eastAsiaTheme="minorEastAsia" w:hAnsi="Times New Roman" w:cs="Times New Roman"/>
          <w:color w:val="000000" w:themeColor="text1"/>
        </w:rPr>
        <w:t xml:space="preserve">  </w:t>
      </w:r>
      <w:r w:rsidRPr="001D6079">
        <w:rPr>
          <w:rFonts w:ascii="Times New Roman" w:eastAsiaTheme="minorEastAsia" w:hAnsi="Times New Roman" w:cs="Times New Roman"/>
          <w:color w:val="000000" w:themeColor="text1"/>
        </w:rPr>
        <w:tab/>
      </w:r>
      <w:r w:rsidRPr="001D6079">
        <w:rPr>
          <w:rFonts w:ascii="Times New Roman" w:eastAsiaTheme="minorEastAsia" w:hAnsi="Times New Roman" w:cs="Times New Roman"/>
          <w:color w:val="000000" w:themeColor="text1"/>
        </w:rPr>
        <w:tab/>
      </w:r>
      <w:r w:rsidRPr="001D6079">
        <w:rPr>
          <w:rFonts w:ascii="Times New Roman" w:eastAsiaTheme="minorEastAsia" w:hAnsi="Times New Roman" w:cs="Times New Roman"/>
          <w:color w:val="000000" w:themeColor="text1"/>
        </w:rPr>
        <w:tab/>
      </w:r>
      <w:r w:rsidRPr="001D6079">
        <w:rPr>
          <w:rFonts w:ascii="Times New Roman" w:eastAsiaTheme="minorEastAsia" w:hAnsi="Times New Roman" w:cs="Times New Roman"/>
          <w:color w:val="000000" w:themeColor="text1"/>
        </w:rPr>
        <w:tab/>
      </w:r>
      <w:r w:rsidRPr="001D6079">
        <w:rPr>
          <w:rFonts w:ascii="Times New Roman" w:eastAsiaTheme="minorEastAsia" w:hAnsi="Times New Roman" w:cs="Times New Roman"/>
          <w:color w:val="000000" w:themeColor="text1"/>
        </w:rPr>
        <w:tab/>
      </w:r>
      <w:r w:rsidRPr="001D6079">
        <w:rPr>
          <w:rFonts w:ascii="Times New Roman" w:eastAsiaTheme="minorEastAsia" w:hAnsi="Times New Roman" w:cs="Times New Roman"/>
          <w:color w:val="000000" w:themeColor="text1"/>
        </w:rPr>
        <w:tab/>
      </w:r>
      <w:r w:rsidRPr="001D6079">
        <w:rPr>
          <w:rFonts w:ascii="Times New Roman" w:eastAsiaTheme="minorEastAsia" w:hAnsi="Times New Roman" w:cs="Times New Roman"/>
          <w:color w:val="000000" w:themeColor="text1"/>
        </w:rPr>
        <w:tab/>
      </w:r>
      <w:r w:rsidRPr="001D6079">
        <w:rPr>
          <w:rFonts w:ascii="Times New Roman" w:eastAsiaTheme="minorEastAsia" w:hAnsi="Times New Roman" w:cs="Times New Roman"/>
          <w:color w:val="000000" w:themeColor="text1"/>
        </w:rPr>
        <w:tab/>
      </w:r>
      <w:r w:rsidR="009B12BF" w:rsidRPr="001D6079">
        <w:rPr>
          <w:rFonts w:ascii="Times New Roman" w:eastAsiaTheme="minorEastAsia" w:hAnsi="Times New Roman" w:cs="Times New Roman"/>
          <w:color w:val="000000" w:themeColor="text1"/>
        </w:rPr>
        <w:t xml:space="preserve">                         </w:t>
      </w:r>
      <w:r w:rsidRPr="001D6079">
        <w:rPr>
          <w:rFonts w:ascii="Times New Roman" w:eastAsiaTheme="minorEastAsia" w:hAnsi="Times New Roman" w:cs="Times New Roman"/>
          <w:color w:val="000000" w:themeColor="text1"/>
        </w:rPr>
        <w:tab/>
        <w:t xml:space="preserve">       (2)</w:t>
      </w:r>
    </w:p>
    <w:p w14:paraId="1B05FEBC" w14:textId="77777777" w:rsidR="00E75B24" w:rsidRPr="001D6079" w:rsidRDefault="00E75B24" w:rsidP="00E75B24">
      <w:pPr>
        <w:jc w:val="both"/>
        <w:rPr>
          <w:rFonts w:ascii="Times New Roman" w:hAnsi="Times New Roman" w:cs="Times New Roman"/>
          <w:color w:val="000000" w:themeColor="text1"/>
        </w:rPr>
      </w:pPr>
      <w:r w:rsidRPr="001D6079">
        <w:rPr>
          <w:rFonts w:ascii="Times New Roman" w:hAnsi="Times New Roman" w:cs="Times New Roman"/>
          <w:color w:val="000000" w:themeColor="text1"/>
        </w:rPr>
        <w:t>Formüldeki değişkenlerden</w:t>
      </w:r>
    </w:p>
    <w:p w14:paraId="500A3761" w14:textId="77777777" w:rsidR="00E75B24" w:rsidRPr="001D6079" w:rsidRDefault="00E75B24" w:rsidP="00E75B24">
      <w:pPr>
        <w:jc w:val="both"/>
        <w:rPr>
          <w:rFonts w:ascii="Times New Roman" w:hAnsi="Times New Roman" w:cs="Times New Roman"/>
          <w:color w:val="000000" w:themeColor="text1"/>
        </w:rPr>
      </w:pPr>
      <w:r w:rsidRPr="001D6079">
        <w:rPr>
          <w:rFonts w:ascii="Times New Roman" w:hAnsi="Times New Roman" w:cs="Times New Roman"/>
          <w:color w:val="000000" w:themeColor="text1"/>
        </w:rPr>
        <w:t>Y: Toplam çıktı (üretim, katma değer, hasıla)</w:t>
      </w:r>
    </w:p>
    <w:p w14:paraId="32FB7036" w14:textId="77777777" w:rsidR="00E75B24" w:rsidRPr="001D6079" w:rsidRDefault="00E75B24" w:rsidP="00E75B24">
      <w:pPr>
        <w:rPr>
          <w:rFonts w:ascii="Times New Roman" w:hAnsi="Times New Roman" w:cs="Times New Roman"/>
          <w:color w:val="000000" w:themeColor="text1"/>
        </w:rPr>
      </w:pPr>
      <m:oMath>
        <m:r>
          <w:rPr>
            <w:rFonts w:ascii="Cambria Math" w:hAnsi="Cambria Math" w:cs="Times New Roman"/>
            <w:color w:val="000000" w:themeColor="text1"/>
          </w:rPr>
          <m:t>A</m:t>
        </m:r>
      </m:oMath>
      <w:r w:rsidRPr="001D6079">
        <w:rPr>
          <w:rFonts w:ascii="Times New Roman" w:hAnsi="Times New Roman" w:cs="Times New Roman"/>
          <w:color w:val="000000" w:themeColor="text1"/>
        </w:rPr>
        <w:t xml:space="preserve">: </w:t>
      </w:r>
      <w:r w:rsidRPr="001D6079">
        <w:rPr>
          <w:rFonts w:ascii="Times New Roman" w:hAnsi="Times New Roman" w:cs="Times New Roman"/>
          <w:b/>
          <w:bCs/>
          <w:color w:val="000000" w:themeColor="text1"/>
        </w:rPr>
        <w:t>Toplam Faktör Verimliliği (TFV)</w:t>
      </w:r>
      <w:r w:rsidRPr="001D6079">
        <w:rPr>
          <w:rFonts w:ascii="Times New Roman" w:hAnsi="Times New Roman" w:cs="Times New Roman"/>
          <w:color w:val="000000" w:themeColor="text1"/>
        </w:rPr>
        <w:br/>
        <w:t>(teknoloji, organizasyon, kurumsal yapı, bilgi, verimlilik)</w:t>
      </w:r>
    </w:p>
    <w:p w14:paraId="730C97A3" w14:textId="77777777" w:rsidR="00E75B24" w:rsidRPr="001D6079" w:rsidRDefault="00E75B24" w:rsidP="00E75B24">
      <w:pPr>
        <w:jc w:val="both"/>
        <w:rPr>
          <w:rFonts w:ascii="Times New Roman" w:hAnsi="Times New Roman" w:cs="Times New Roman"/>
          <w:color w:val="000000" w:themeColor="text1"/>
        </w:rPr>
      </w:pPr>
      <m:oMath>
        <m:r>
          <w:rPr>
            <w:rFonts w:ascii="Cambria Math" w:hAnsi="Cambria Math" w:cs="Times New Roman"/>
            <w:color w:val="000000" w:themeColor="text1"/>
          </w:rPr>
          <w:lastRenderedPageBreak/>
          <m:t>K</m:t>
        </m:r>
      </m:oMath>
      <w:r w:rsidRPr="001D6079">
        <w:rPr>
          <w:rFonts w:ascii="Times New Roman" w:hAnsi="Times New Roman" w:cs="Times New Roman"/>
          <w:color w:val="000000" w:themeColor="text1"/>
        </w:rPr>
        <w:t>: Sermaye girdisi</w:t>
      </w:r>
    </w:p>
    <w:p w14:paraId="4522481E" w14:textId="77777777" w:rsidR="00E75B24" w:rsidRPr="001D6079" w:rsidRDefault="00E75B24" w:rsidP="00E75B24">
      <w:pPr>
        <w:jc w:val="both"/>
        <w:rPr>
          <w:rFonts w:ascii="Times New Roman" w:hAnsi="Times New Roman" w:cs="Times New Roman"/>
          <w:color w:val="000000" w:themeColor="text1"/>
        </w:rPr>
      </w:pPr>
      <m:oMath>
        <m:r>
          <w:rPr>
            <w:rFonts w:ascii="Cambria Math" w:hAnsi="Cambria Math" w:cs="Times New Roman"/>
            <w:color w:val="000000" w:themeColor="text1"/>
          </w:rPr>
          <m:t>L</m:t>
        </m:r>
      </m:oMath>
      <w:r w:rsidRPr="001D6079">
        <w:rPr>
          <w:rFonts w:ascii="Times New Roman" w:hAnsi="Times New Roman" w:cs="Times New Roman"/>
          <w:color w:val="000000" w:themeColor="text1"/>
        </w:rPr>
        <w:t>: Emek girdisi</w:t>
      </w:r>
    </w:p>
    <w:p w14:paraId="4F358322" w14:textId="77777777" w:rsidR="00E75B24" w:rsidRPr="001D6079" w:rsidRDefault="00E75B24" w:rsidP="00E75B24">
      <w:pPr>
        <w:jc w:val="both"/>
        <w:rPr>
          <w:rFonts w:ascii="Times New Roman" w:hAnsi="Times New Roman" w:cs="Times New Roman"/>
          <w:color w:val="000000" w:themeColor="text1"/>
        </w:rPr>
      </w:pPr>
      <m:oMath>
        <m:r>
          <w:rPr>
            <w:rFonts w:ascii="Cambria Math" w:hAnsi="Cambria Math" w:cs="Times New Roman"/>
            <w:color w:val="000000" w:themeColor="text1"/>
          </w:rPr>
          <m:t>α</m:t>
        </m:r>
      </m:oMath>
      <w:r w:rsidRPr="001D6079">
        <w:rPr>
          <w:rFonts w:ascii="Times New Roman" w:hAnsi="Times New Roman" w:cs="Times New Roman"/>
          <w:color w:val="000000" w:themeColor="text1"/>
        </w:rPr>
        <w:t>: Sermayenin üretimdeki esnekliği</w:t>
      </w:r>
    </w:p>
    <w:p w14:paraId="52F4A031" w14:textId="76D850DB" w:rsidR="00E75B24" w:rsidRPr="001D6079" w:rsidRDefault="00E75B24" w:rsidP="00E75B24">
      <w:pPr>
        <w:jc w:val="both"/>
        <w:rPr>
          <w:rFonts w:ascii="Times New Roman" w:hAnsi="Times New Roman" w:cs="Times New Roman"/>
          <w:color w:val="000000" w:themeColor="text1"/>
        </w:rPr>
      </w:pPr>
      <m:oMath>
        <m:r>
          <w:rPr>
            <w:rFonts w:ascii="Cambria Math" w:hAnsi="Cambria Math" w:cs="Times New Roman"/>
            <w:color w:val="000000" w:themeColor="text1"/>
          </w:rPr>
          <m:t>β</m:t>
        </m:r>
      </m:oMath>
      <w:r w:rsidRPr="001D6079">
        <w:rPr>
          <w:rFonts w:ascii="Times New Roman" w:hAnsi="Times New Roman" w:cs="Times New Roman"/>
          <w:color w:val="000000" w:themeColor="text1"/>
        </w:rPr>
        <w:t>: Emeğin üretimdeki esnekliğini ifade etmektedir (Cobb &amp; Douglas, 1928).</w:t>
      </w:r>
    </w:p>
    <w:p w14:paraId="0DB266C6" w14:textId="77777777" w:rsidR="00E75B24" w:rsidRPr="001D6079" w:rsidRDefault="00E75B24" w:rsidP="00E75B24">
      <w:pPr>
        <w:jc w:val="both"/>
        <w:rPr>
          <w:rFonts w:ascii="Times New Roman" w:hAnsi="Times New Roman" w:cs="Times New Roman"/>
          <w:color w:val="000000" w:themeColor="text1"/>
        </w:rPr>
      </w:pPr>
      <w:r w:rsidRPr="001D6079">
        <w:rPr>
          <w:rFonts w:ascii="Times New Roman" w:hAnsi="Times New Roman" w:cs="Times New Roman"/>
          <w:color w:val="000000" w:themeColor="text1"/>
        </w:rPr>
        <w:t>Halka açık KOBİ’lerin mali tablolarından faydalanılarak, toplam çıktı için net satışlar, sermaye girdisi olarak literatüre uygun olan net maddi varlıklar, emek girdisi olarak ise satılan malın maliyeti hesabı içerisinden yer alan personel ücretleri analizlere dahil edilmiştir. Satılan malın maliyeti hesabının detayını mali raporlarında belirtmeyen ve tarafımızca gerçekleştirilen bilgi talebine cevap vermeyen firmalar için ise Türmob’un (2022) Sosyal Güvenlik Kurumu Asgari İşçilik Tespit Komisyonunca Belirlenen Çeşitli İşkollarına Ait Asgari İşçilik Oranlarını Gösterir Tebliğ’inden faydalanılmıştır. Sermaye ve emeğin üretimdeki esnekliği ise Türkiye için gerçekleştirilen bilimsel çalışmalara dayanılarak sırasıyla 0,55 ve 0,45 olarak ele alınmıştır (Küçük 2011, Sevinç, O. &amp; Çakır, E. 2021).</w:t>
      </w:r>
    </w:p>
    <w:p w14:paraId="101D6DC9" w14:textId="77777777" w:rsidR="00E75B24" w:rsidRPr="001D6079" w:rsidRDefault="00E75B24" w:rsidP="00E75B24">
      <w:pPr>
        <w:jc w:val="both"/>
        <w:rPr>
          <w:rFonts w:ascii="Times New Roman" w:hAnsi="Times New Roman" w:cs="Times New Roman"/>
          <w:color w:val="000000" w:themeColor="text1"/>
        </w:rPr>
      </w:pPr>
      <w:r w:rsidRPr="001D6079">
        <w:rPr>
          <w:rFonts w:ascii="Times New Roman" w:hAnsi="Times New Roman" w:cs="Times New Roman"/>
          <w:color w:val="000000" w:themeColor="text1"/>
        </w:rPr>
        <w:t>Modelin temeli Li, Yang ve Tian’ın 2023 yılında kaleme aldıkları çalışmaya dayanmaktadır. Söz konusu araştırmacılar TFV’ni bağımlı değişken alarak firma bazlı dijitalleşme düzeyini bağımsız değişkenlerden biri olarak belirlemişlerdir. Dijitalleşme düzeyini ise veri madenciliği yöntemiyle dijitalleşme kelimelerini saydırma yoluyla oluşturdukları endeksle ele almışlardır (Li, Yang &amp; Tian, 2023). Bizim çalışmamızda ise TFV bir dijitalleşme göstergesi olarak ele alınmıştır. Firmaların faaliyet raporlarından kelime saydırma yolu ile elde edilen sonuçlar %50, mali raporlardan elde edilen TFV ise %50 etki düzeyleri üzerinden hesaplamaya dahil edilmiştir.</w:t>
      </w:r>
    </w:p>
    <w:p w14:paraId="54095FCE" w14:textId="77777777" w:rsidR="00E75B24" w:rsidRPr="001D6079" w:rsidRDefault="00E75B24" w:rsidP="00E75B24">
      <w:pPr>
        <w:jc w:val="both"/>
        <w:rPr>
          <w:rFonts w:ascii="Times New Roman" w:hAnsi="Times New Roman" w:cs="Times New Roman"/>
          <w:color w:val="000000" w:themeColor="text1"/>
        </w:rPr>
      </w:pPr>
      <w:r w:rsidRPr="001D6079">
        <w:rPr>
          <w:rFonts w:ascii="Times New Roman" w:hAnsi="Times New Roman" w:cs="Times New Roman"/>
          <w:color w:val="000000" w:themeColor="text1"/>
        </w:rPr>
        <w:t xml:space="preserve">Makaleye konu endeksin çatısını oluşturan veri madenciliği boyutunda dijitalleşme 5 alt bölümde ele alınmıştır. Bunların ilki dijitalleşmenin alt-yapısının firmalarda varlığının analizi şeklinde değerlendirilmiştir. Dijitalleşmenin kavram ve alt-yapı boyutlarıyla firmaların faaliyet raporlarında yer alma derecesi ölçümlenmiştir. Diğer boyutlar ise iş süreçleri, dijital pazarlama, insan kaynakları ve finans ve güvenlik olarak analize dahil edilmiştir (Şekil 2, Tablo 4). </w:t>
      </w:r>
    </w:p>
    <w:p w14:paraId="06AD4CFD" w14:textId="77777777" w:rsidR="00E75B24" w:rsidRPr="001D6079" w:rsidRDefault="00E75B24" w:rsidP="00E75B24">
      <w:pPr>
        <w:jc w:val="both"/>
        <w:rPr>
          <w:rFonts w:ascii="Times New Roman" w:hAnsi="Times New Roman" w:cs="Times New Roman"/>
          <w:color w:val="000000" w:themeColor="text1"/>
        </w:rPr>
      </w:pPr>
      <w:r w:rsidRPr="001D6079">
        <w:rPr>
          <w:rFonts w:ascii="Times New Roman" w:hAnsi="Times New Roman" w:cs="Times New Roman"/>
          <w:color w:val="000000" w:themeColor="text1"/>
        </w:rPr>
        <w:t>Endeks Modeli;</w:t>
      </w:r>
    </w:p>
    <w:p w14:paraId="6183AD73" w14:textId="16D00F58" w:rsidR="00E75B24" w:rsidRPr="001D6079" w:rsidRDefault="00E75B24" w:rsidP="00E75B24">
      <w:pPr>
        <w:jc w:val="both"/>
        <w:rPr>
          <w:rFonts w:ascii="Times New Roman" w:hAnsi="Times New Roman" w:cs="Times New Roman"/>
          <w:color w:val="000000" w:themeColor="text1"/>
        </w:rPr>
      </w:pPr>
      <w:r w:rsidRPr="001D6079">
        <w:rPr>
          <w:rFonts w:ascii="Times New Roman" w:hAnsi="Times New Roman" w:cs="Times New Roman"/>
          <w:color w:val="000000" w:themeColor="text1"/>
        </w:rPr>
        <w:t>KODIDEKS-H​=α</w:t>
      </w:r>
      <w:r w:rsidRPr="001D6079">
        <w:rPr>
          <w:rFonts w:ascii="Cambria Math" w:hAnsi="Cambria Math" w:cs="Cambria Math"/>
          <w:color w:val="000000" w:themeColor="text1"/>
        </w:rPr>
        <w:t>⋅</w:t>
      </w:r>
      <w:r w:rsidRPr="001D6079">
        <w:rPr>
          <w:rFonts w:ascii="Times New Roman" w:hAnsi="Times New Roman" w:cs="Times New Roman"/>
          <w:color w:val="000000" w:themeColor="text1"/>
        </w:rPr>
        <w:t>Dijital Dönüşüm Skoru</w:t>
      </w:r>
      <w:r w:rsidRPr="00311DB3">
        <w:rPr>
          <w:rFonts w:ascii="Times New Roman" w:hAnsi="Times New Roman" w:cs="Times New Roman"/>
          <w:color w:val="000000" w:themeColor="text1"/>
          <w:vertAlign w:val="subscript"/>
        </w:rPr>
        <w:t>i</w:t>
      </w:r>
      <w:r w:rsidRPr="001D6079">
        <w:rPr>
          <w:rFonts w:ascii="Times New Roman" w:hAnsi="Times New Roman" w:cs="Times New Roman"/>
          <w:color w:val="000000" w:themeColor="text1"/>
        </w:rPr>
        <w:t>​+(1−α)</w:t>
      </w:r>
      <w:r w:rsidRPr="001D6079">
        <w:rPr>
          <w:rFonts w:ascii="Cambria Math" w:hAnsi="Cambria Math" w:cs="Cambria Math"/>
          <w:color w:val="000000" w:themeColor="text1"/>
        </w:rPr>
        <w:t>⋅</w:t>
      </w:r>
      <w:r w:rsidRPr="001D6079">
        <w:rPr>
          <w:rFonts w:ascii="Times New Roman" w:hAnsi="Times New Roman" w:cs="Times New Roman"/>
          <w:color w:val="000000" w:themeColor="text1"/>
        </w:rPr>
        <w:t>TFP</w:t>
      </w:r>
      <w:r w:rsidRPr="00311DB3">
        <w:rPr>
          <w:rFonts w:ascii="Times New Roman" w:hAnsi="Times New Roman" w:cs="Times New Roman"/>
          <w:color w:val="000000" w:themeColor="text1"/>
          <w:vertAlign w:val="subscript"/>
        </w:rPr>
        <w:t>i​</w:t>
      </w:r>
      <w:r w:rsidRPr="00311DB3">
        <w:rPr>
          <w:rFonts w:ascii="Times New Roman" w:hAnsi="Times New Roman" w:cs="Times New Roman"/>
          <w:color w:val="000000" w:themeColor="text1"/>
          <w:vertAlign w:val="subscript"/>
        </w:rPr>
        <w:tab/>
      </w:r>
      <w:r w:rsidRPr="001D6079">
        <w:rPr>
          <w:rFonts w:ascii="Times New Roman" w:hAnsi="Times New Roman" w:cs="Times New Roman"/>
          <w:color w:val="000000" w:themeColor="text1"/>
        </w:rPr>
        <w:tab/>
      </w:r>
      <w:r w:rsidRPr="001D6079">
        <w:rPr>
          <w:rFonts w:ascii="Times New Roman" w:hAnsi="Times New Roman" w:cs="Times New Roman"/>
          <w:color w:val="000000" w:themeColor="text1"/>
        </w:rPr>
        <w:tab/>
      </w:r>
      <w:r w:rsidRPr="001D6079">
        <w:rPr>
          <w:rFonts w:ascii="Times New Roman" w:hAnsi="Times New Roman" w:cs="Times New Roman"/>
          <w:color w:val="000000" w:themeColor="text1"/>
        </w:rPr>
        <w:tab/>
      </w:r>
      <w:r w:rsidRPr="001D6079">
        <w:rPr>
          <w:rFonts w:ascii="Times New Roman" w:hAnsi="Times New Roman" w:cs="Times New Roman"/>
          <w:color w:val="000000" w:themeColor="text1"/>
        </w:rPr>
        <w:tab/>
      </w:r>
      <w:r w:rsidRPr="001D6079">
        <w:rPr>
          <w:rFonts w:ascii="Times New Roman" w:hAnsi="Times New Roman" w:cs="Times New Roman"/>
          <w:color w:val="000000" w:themeColor="text1"/>
        </w:rPr>
        <w:tab/>
        <w:t xml:space="preserve">     (3)</w:t>
      </w:r>
    </w:p>
    <w:p w14:paraId="13A1ECD2" w14:textId="6C1D5DA8" w:rsidR="00E75B24" w:rsidRDefault="00E75B24" w:rsidP="00E75B24">
      <w:pPr>
        <w:jc w:val="both"/>
        <w:rPr>
          <w:rFonts w:ascii="Times New Roman" w:hAnsi="Times New Roman" w:cs="Times New Roman"/>
          <w:color w:val="000000" w:themeColor="text1"/>
        </w:rPr>
      </w:pPr>
      <w:r w:rsidRPr="001D6079">
        <w:rPr>
          <w:rFonts w:ascii="Times New Roman" w:hAnsi="Times New Roman" w:cs="Times New Roman"/>
          <w:color w:val="000000" w:themeColor="text1"/>
        </w:rPr>
        <w:t>KODIDEKS-H=0,5×TFV+0,5×Dijital                                                                                                  (4)</w:t>
      </w:r>
    </w:p>
    <w:p w14:paraId="196A525C" w14:textId="4DFCA4F5" w:rsidR="00311DB3" w:rsidRPr="00960320" w:rsidRDefault="00311DB3" w:rsidP="00B13847">
      <w:pPr>
        <w:jc w:val="both"/>
        <w:rPr>
          <w:rFonts w:ascii="Times New Roman" w:hAnsi="Times New Roman" w:cs="Times New Roman"/>
          <w:color w:val="000000" w:themeColor="text1"/>
        </w:rPr>
      </w:pPr>
      <w:r>
        <w:rPr>
          <w:rFonts w:ascii="Times New Roman" w:hAnsi="Times New Roman" w:cs="Times New Roman"/>
          <w:color w:val="000000" w:themeColor="text1"/>
        </w:rPr>
        <w:t>Daha önce ölçümlenen dijitalleşme endekslerinin hiçbirinde TFV hesaplamaya dahil edilmediği için ağırlıklandırma çeşitli denemeler sonrası %50-%50 olarak belirlenmiştir</w:t>
      </w:r>
      <w:r w:rsidR="00B13847">
        <w:rPr>
          <w:rFonts w:ascii="Times New Roman" w:hAnsi="Times New Roman" w:cs="Times New Roman"/>
          <w:color w:val="000000" w:themeColor="text1"/>
        </w:rPr>
        <w:t xml:space="preserve"> </w:t>
      </w:r>
      <w:r w:rsidRPr="00960320">
        <w:rPr>
          <w:rFonts w:ascii="Times New Roman" w:hAnsi="Times New Roman" w:cs="Times New Roman"/>
          <w:color w:val="000000" w:themeColor="text1"/>
        </w:rPr>
        <w:t>orijinal ağırlıklandırma (Dijital: %50, TFV: %50) ile alternatif senaryolar (Dijital: %40 - TFV: %60 ve Dijital: %60 - TFV: %40) arasındaki firma sıralama korelasyonunu Spearman sıra korelasyon katsayısı (ρ) ile ölçmüştür.</w:t>
      </w:r>
      <w:r w:rsidR="00B13847">
        <w:rPr>
          <w:rFonts w:ascii="Times New Roman" w:hAnsi="Times New Roman" w:cs="Times New Roman"/>
          <w:color w:val="000000" w:themeColor="text1"/>
        </w:rPr>
        <w:t xml:space="preserve"> Ortalama ρ = 0,960’dir. </w:t>
      </w:r>
      <w:r w:rsidR="00B13847" w:rsidRPr="00960320">
        <w:rPr>
          <w:rFonts w:ascii="Times New Roman" w:hAnsi="Times New Roman" w:cs="Times New Roman"/>
          <w:color w:val="000000" w:themeColor="text1"/>
        </w:rPr>
        <w:t>OECD'nin (2008) Composite Indicators el kitabında, ağırlık duyarlılığı analizi için ρ&gt;0,90 kriteri önerilmektedir</w:t>
      </w:r>
      <w:r w:rsidR="00B13847">
        <w:rPr>
          <w:rFonts w:ascii="Times New Roman" w:hAnsi="Times New Roman" w:cs="Times New Roman"/>
          <w:color w:val="000000" w:themeColor="text1"/>
        </w:rPr>
        <w:t xml:space="preserve">. </w:t>
      </w:r>
      <w:r w:rsidR="00B13847" w:rsidRPr="00960320">
        <w:rPr>
          <w:rFonts w:ascii="Times New Roman" w:hAnsi="Times New Roman" w:cs="Times New Roman"/>
          <w:color w:val="000000" w:themeColor="text1"/>
        </w:rPr>
        <w:t>Saltelli ve arkadaşları (2008), ρ&gt;0,95 değerlerinin endeksin robust (sağlam) yapıda olduğunu kanıtladığını belirtmektedir. KODİDEKS'in ortalama ρ=0,960 değeri (Tablo 7), her iki kriteri de aşmaktadır.</w:t>
      </w:r>
    </w:p>
    <w:p w14:paraId="3D9EE6A6" w14:textId="105EA19A" w:rsidR="00311DB3" w:rsidRPr="001D6079" w:rsidRDefault="00311DB3" w:rsidP="00E75B24">
      <w:pPr>
        <w:jc w:val="both"/>
        <w:rPr>
          <w:rFonts w:ascii="Times New Roman" w:hAnsi="Times New Roman" w:cs="Times New Roman"/>
          <w:color w:val="000000" w:themeColor="text1"/>
        </w:rPr>
      </w:pPr>
    </w:p>
    <w:p w14:paraId="6C051C1D" w14:textId="77777777" w:rsidR="00B13847" w:rsidRDefault="00B13847" w:rsidP="00485C37">
      <w:pPr>
        <w:jc w:val="center"/>
        <w:rPr>
          <w:rFonts w:ascii="Times New Roman" w:hAnsi="Times New Roman" w:cs="Times New Roman"/>
          <w:b/>
          <w:bCs/>
          <w:color w:val="000000" w:themeColor="text1"/>
        </w:rPr>
      </w:pPr>
    </w:p>
    <w:p w14:paraId="78E26A45" w14:textId="77777777" w:rsidR="00B13847" w:rsidRDefault="00B13847" w:rsidP="00485C37">
      <w:pPr>
        <w:jc w:val="center"/>
        <w:rPr>
          <w:rFonts w:ascii="Times New Roman" w:hAnsi="Times New Roman" w:cs="Times New Roman"/>
          <w:b/>
          <w:bCs/>
          <w:color w:val="000000" w:themeColor="text1"/>
        </w:rPr>
      </w:pPr>
    </w:p>
    <w:p w14:paraId="0FD6B129" w14:textId="77777777" w:rsidR="00B13847" w:rsidRDefault="00B13847" w:rsidP="00485C37">
      <w:pPr>
        <w:jc w:val="center"/>
        <w:rPr>
          <w:rFonts w:ascii="Times New Roman" w:hAnsi="Times New Roman" w:cs="Times New Roman"/>
          <w:b/>
          <w:bCs/>
          <w:color w:val="000000" w:themeColor="text1"/>
        </w:rPr>
      </w:pPr>
    </w:p>
    <w:p w14:paraId="3E4F8784" w14:textId="77777777" w:rsidR="00B13847" w:rsidRDefault="00B13847" w:rsidP="00485C37">
      <w:pPr>
        <w:jc w:val="center"/>
        <w:rPr>
          <w:rFonts w:ascii="Times New Roman" w:hAnsi="Times New Roman" w:cs="Times New Roman"/>
          <w:b/>
          <w:bCs/>
          <w:color w:val="000000" w:themeColor="text1"/>
        </w:rPr>
      </w:pPr>
    </w:p>
    <w:p w14:paraId="2BED8390" w14:textId="77777777" w:rsidR="00B13847" w:rsidRDefault="00B13847" w:rsidP="00485C37">
      <w:pPr>
        <w:jc w:val="center"/>
        <w:rPr>
          <w:rFonts w:ascii="Times New Roman" w:hAnsi="Times New Roman" w:cs="Times New Roman"/>
          <w:b/>
          <w:bCs/>
          <w:color w:val="000000" w:themeColor="text1"/>
        </w:rPr>
      </w:pPr>
    </w:p>
    <w:p w14:paraId="4606F82D" w14:textId="0C0EB975" w:rsidR="00E75B24" w:rsidRPr="001D6079" w:rsidRDefault="00E75B24" w:rsidP="00485C37">
      <w:pPr>
        <w:jc w:val="center"/>
        <w:rPr>
          <w:rFonts w:ascii="Times New Roman" w:hAnsi="Times New Roman" w:cs="Times New Roman"/>
          <w:color w:val="000000" w:themeColor="text1"/>
        </w:rPr>
      </w:pPr>
      <w:r w:rsidRPr="001D6079">
        <w:rPr>
          <w:rFonts w:ascii="Times New Roman" w:hAnsi="Times New Roman" w:cs="Times New Roman"/>
          <w:b/>
          <w:bCs/>
          <w:color w:val="000000" w:themeColor="text1"/>
        </w:rPr>
        <w:lastRenderedPageBreak/>
        <w:t>Şekil 2:</w:t>
      </w:r>
      <w:r w:rsidRPr="001D6079">
        <w:rPr>
          <w:rFonts w:ascii="Times New Roman" w:hAnsi="Times New Roman" w:cs="Times New Roman"/>
          <w:color w:val="000000" w:themeColor="text1"/>
        </w:rPr>
        <w:t xml:space="preserve"> Dijitalleşmenin boyutları</w:t>
      </w:r>
    </w:p>
    <w:p w14:paraId="16F518D0" w14:textId="0A6EABDB" w:rsidR="00E75B24" w:rsidRDefault="00E75B24" w:rsidP="00485C37">
      <w:pPr>
        <w:widowControl w:val="0"/>
        <w:autoSpaceDE w:val="0"/>
        <w:autoSpaceDN w:val="0"/>
        <w:spacing w:after="0" w:line="240" w:lineRule="auto"/>
        <w:jc w:val="center"/>
        <w:rPr>
          <w:rFonts w:ascii="Times New Roman" w:eastAsia="Times New Roman" w:hAnsi="Times New Roman" w:cs="Times New Roman"/>
          <w:color w:val="000000" w:themeColor="text1"/>
          <w:lang w:val="en-GB"/>
        </w:rPr>
      </w:pPr>
    </w:p>
    <w:p w14:paraId="600857E2" w14:textId="0BE5D024" w:rsidR="00A809EE" w:rsidRPr="001D6079" w:rsidRDefault="00A809EE" w:rsidP="00485C37">
      <w:pPr>
        <w:widowControl w:val="0"/>
        <w:autoSpaceDE w:val="0"/>
        <w:autoSpaceDN w:val="0"/>
        <w:spacing w:after="0" w:line="240" w:lineRule="auto"/>
        <w:jc w:val="center"/>
        <w:rPr>
          <w:rFonts w:ascii="Times New Roman" w:eastAsia="Times New Roman" w:hAnsi="Times New Roman" w:cs="Times New Roman"/>
          <w:color w:val="000000" w:themeColor="text1"/>
          <w:lang w:val="en-GB"/>
        </w:rPr>
      </w:pPr>
      <w:r>
        <w:rPr>
          <w:rFonts w:ascii="Times New Roman" w:eastAsia="Times New Roman" w:hAnsi="Times New Roman" w:cs="Times New Roman"/>
          <w:noProof/>
          <w:color w:val="000000" w:themeColor="text1"/>
          <w:lang w:eastAsia="tr-TR"/>
        </w:rPr>
        <w:drawing>
          <wp:inline distT="0" distB="0" distL="0" distR="0" wp14:anchorId="0FE7E5BE" wp14:editId="6D20518F">
            <wp:extent cx="3345180" cy="1645920"/>
            <wp:effectExtent l="0" t="0" r="7620" b="0"/>
            <wp:docPr id="121377223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45180" cy="1645920"/>
                    </a:xfrm>
                    <a:prstGeom prst="rect">
                      <a:avLst/>
                    </a:prstGeom>
                    <a:noFill/>
                  </pic:spPr>
                </pic:pic>
              </a:graphicData>
            </a:graphic>
          </wp:inline>
        </w:drawing>
      </w:r>
    </w:p>
    <w:p w14:paraId="4A6D1F4D" w14:textId="77777777" w:rsidR="00485C37" w:rsidRPr="001D6079" w:rsidRDefault="00485C37" w:rsidP="00485C37">
      <w:pPr>
        <w:jc w:val="center"/>
        <w:rPr>
          <w:rFonts w:ascii="Times New Roman" w:hAnsi="Times New Roman" w:cs="Times New Roman"/>
          <w:b/>
          <w:bCs/>
          <w:color w:val="000000" w:themeColor="text1"/>
        </w:rPr>
      </w:pPr>
      <w:r w:rsidRPr="001D6079">
        <w:rPr>
          <w:rFonts w:ascii="Times New Roman" w:hAnsi="Times New Roman" w:cs="Times New Roman"/>
          <w:b/>
          <w:bCs/>
          <w:color w:val="000000" w:themeColor="text1"/>
        </w:rPr>
        <w:t xml:space="preserve">Kaynak: </w:t>
      </w:r>
      <w:r w:rsidRPr="001D6079">
        <w:rPr>
          <w:rFonts w:ascii="Times New Roman" w:hAnsi="Times New Roman" w:cs="Times New Roman"/>
          <w:color w:val="000000" w:themeColor="text1"/>
        </w:rPr>
        <w:t>Yazar tarafından hesaplanmıştır.</w:t>
      </w:r>
    </w:p>
    <w:p w14:paraId="42663E83" w14:textId="77777777" w:rsidR="00485C37" w:rsidRPr="001D6079" w:rsidRDefault="00485C37" w:rsidP="00D35222">
      <w:pPr>
        <w:widowControl w:val="0"/>
        <w:autoSpaceDE w:val="0"/>
        <w:autoSpaceDN w:val="0"/>
        <w:spacing w:after="0" w:line="240" w:lineRule="auto"/>
        <w:jc w:val="both"/>
        <w:rPr>
          <w:rFonts w:ascii="Times New Roman" w:eastAsia="Times New Roman" w:hAnsi="Times New Roman" w:cs="Times New Roman"/>
          <w:color w:val="000000" w:themeColor="text1"/>
          <w:lang w:val="en-GB"/>
        </w:rPr>
      </w:pPr>
    </w:p>
    <w:p w14:paraId="54CF4F2F" w14:textId="77777777" w:rsidR="00BE2BD0" w:rsidRPr="001D6079" w:rsidRDefault="00BE2BD0" w:rsidP="00B47B05">
      <w:pPr>
        <w:pStyle w:val="ListeParagraf"/>
        <w:widowControl w:val="0"/>
        <w:autoSpaceDE w:val="0"/>
        <w:autoSpaceDN w:val="0"/>
        <w:spacing w:after="0" w:line="240" w:lineRule="auto"/>
        <w:jc w:val="both"/>
        <w:rPr>
          <w:rFonts w:ascii="Times New Roman" w:eastAsia="Times New Roman" w:hAnsi="Times New Roman" w:cs="Times New Roman"/>
          <w:color w:val="000000" w:themeColor="text1"/>
          <w:lang w:val="en-GB"/>
        </w:rPr>
      </w:pPr>
    </w:p>
    <w:p w14:paraId="2364ED27" w14:textId="77777777" w:rsidR="00E75B24" w:rsidRPr="001D6079" w:rsidRDefault="00E75B24" w:rsidP="00E75B24">
      <w:pPr>
        <w:jc w:val="both"/>
        <w:rPr>
          <w:rFonts w:ascii="Times New Roman" w:hAnsi="Times New Roman" w:cs="Times New Roman"/>
          <w:color w:val="000000" w:themeColor="text1"/>
        </w:rPr>
      </w:pPr>
      <w:r w:rsidRPr="001D6079">
        <w:rPr>
          <w:rFonts w:ascii="Times New Roman" w:hAnsi="Times New Roman" w:cs="Times New Roman"/>
          <w:color w:val="000000" w:themeColor="text1"/>
        </w:rPr>
        <w:t>Tablo 4: Dijitalleşme Kelime Grupları</w:t>
      </w:r>
    </w:p>
    <w:tbl>
      <w:tblPr>
        <w:tblStyle w:val="TabloKlavuzu"/>
        <w:tblW w:w="0" w:type="auto"/>
        <w:tblLook w:val="04A0" w:firstRow="1" w:lastRow="0" w:firstColumn="1" w:lastColumn="0" w:noHBand="0" w:noVBand="1"/>
      </w:tblPr>
      <w:tblGrid>
        <w:gridCol w:w="1830"/>
        <w:gridCol w:w="1464"/>
        <w:gridCol w:w="1465"/>
        <w:gridCol w:w="1465"/>
        <w:gridCol w:w="1583"/>
      </w:tblGrid>
      <w:tr w:rsidR="001D6079" w:rsidRPr="001D6079" w14:paraId="3367F3CE" w14:textId="77777777" w:rsidTr="00500B16">
        <w:trPr>
          <w:trHeight w:val="620"/>
        </w:trPr>
        <w:tc>
          <w:tcPr>
            <w:tcW w:w="1830" w:type="dxa"/>
          </w:tcPr>
          <w:p w14:paraId="71EAA9BC" w14:textId="77777777" w:rsidR="00E75B24" w:rsidRPr="001D6079" w:rsidRDefault="00E75B24" w:rsidP="00C6370F">
            <w:pPr>
              <w:jc w:val="center"/>
              <w:rPr>
                <w:rFonts w:ascii="Times New Roman" w:hAnsi="Times New Roman" w:cs="Times New Roman"/>
                <w:b/>
                <w:bCs/>
                <w:color w:val="000000" w:themeColor="text1"/>
                <w:sz w:val="22"/>
                <w:szCs w:val="22"/>
              </w:rPr>
            </w:pPr>
            <w:r w:rsidRPr="001D6079">
              <w:rPr>
                <w:rFonts w:ascii="Times New Roman" w:hAnsi="Times New Roman" w:cs="Times New Roman"/>
                <w:b/>
                <w:bCs/>
                <w:color w:val="000000" w:themeColor="text1"/>
                <w:sz w:val="22"/>
                <w:szCs w:val="22"/>
              </w:rPr>
              <w:t>D1-Temel Dijitalleşme</w:t>
            </w:r>
          </w:p>
        </w:tc>
        <w:tc>
          <w:tcPr>
            <w:tcW w:w="1464" w:type="dxa"/>
          </w:tcPr>
          <w:p w14:paraId="527E96D1" w14:textId="77777777" w:rsidR="00E75B24" w:rsidRPr="001D6079" w:rsidRDefault="00E75B24" w:rsidP="00C6370F">
            <w:pPr>
              <w:jc w:val="center"/>
              <w:rPr>
                <w:rFonts w:ascii="Times New Roman" w:hAnsi="Times New Roman" w:cs="Times New Roman"/>
                <w:b/>
                <w:bCs/>
                <w:color w:val="000000" w:themeColor="text1"/>
                <w:sz w:val="22"/>
                <w:szCs w:val="22"/>
              </w:rPr>
            </w:pPr>
            <w:r w:rsidRPr="001D6079">
              <w:rPr>
                <w:rFonts w:ascii="Times New Roman" w:hAnsi="Times New Roman" w:cs="Times New Roman"/>
                <w:b/>
                <w:bCs/>
                <w:color w:val="000000" w:themeColor="text1"/>
                <w:sz w:val="22"/>
                <w:szCs w:val="22"/>
              </w:rPr>
              <w:t>D2-Dijital Pazarlama</w:t>
            </w:r>
          </w:p>
        </w:tc>
        <w:tc>
          <w:tcPr>
            <w:tcW w:w="1465" w:type="dxa"/>
          </w:tcPr>
          <w:p w14:paraId="5D6CC423" w14:textId="77777777" w:rsidR="00E75B24" w:rsidRPr="001D6079" w:rsidRDefault="00E75B24" w:rsidP="00C6370F">
            <w:pPr>
              <w:jc w:val="center"/>
              <w:rPr>
                <w:rFonts w:ascii="Times New Roman" w:hAnsi="Times New Roman" w:cs="Times New Roman"/>
                <w:b/>
                <w:bCs/>
                <w:color w:val="000000" w:themeColor="text1"/>
                <w:sz w:val="22"/>
                <w:szCs w:val="22"/>
              </w:rPr>
            </w:pPr>
            <w:r w:rsidRPr="001D6079">
              <w:rPr>
                <w:rFonts w:ascii="Times New Roman" w:hAnsi="Times New Roman" w:cs="Times New Roman"/>
                <w:b/>
                <w:bCs/>
                <w:color w:val="000000" w:themeColor="text1"/>
                <w:sz w:val="22"/>
                <w:szCs w:val="22"/>
              </w:rPr>
              <w:t>D3-İş Süreçleri</w:t>
            </w:r>
          </w:p>
        </w:tc>
        <w:tc>
          <w:tcPr>
            <w:tcW w:w="1465" w:type="dxa"/>
          </w:tcPr>
          <w:p w14:paraId="30AD685B" w14:textId="77777777" w:rsidR="00E75B24" w:rsidRPr="001D6079" w:rsidRDefault="00E75B24" w:rsidP="00C6370F">
            <w:pPr>
              <w:jc w:val="center"/>
              <w:rPr>
                <w:rFonts w:ascii="Times New Roman" w:hAnsi="Times New Roman" w:cs="Times New Roman"/>
                <w:b/>
                <w:bCs/>
                <w:color w:val="000000" w:themeColor="text1"/>
                <w:sz w:val="22"/>
                <w:szCs w:val="22"/>
              </w:rPr>
            </w:pPr>
            <w:r w:rsidRPr="001D6079">
              <w:rPr>
                <w:rFonts w:ascii="Times New Roman" w:hAnsi="Times New Roman" w:cs="Times New Roman"/>
                <w:b/>
                <w:bCs/>
                <w:color w:val="000000" w:themeColor="text1"/>
                <w:sz w:val="22"/>
                <w:szCs w:val="22"/>
              </w:rPr>
              <w:t>D4-İnsan Kaynakları</w:t>
            </w:r>
          </w:p>
        </w:tc>
        <w:tc>
          <w:tcPr>
            <w:tcW w:w="1583" w:type="dxa"/>
          </w:tcPr>
          <w:p w14:paraId="07892548" w14:textId="77777777" w:rsidR="00E75B24" w:rsidRPr="001D6079" w:rsidRDefault="00E75B24" w:rsidP="00C6370F">
            <w:pPr>
              <w:jc w:val="center"/>
              <w:rPr>
                <w:rFonts w:ascii="Times New Roman" w:hAnsi="Times New Roman" w:cs="Times New Roman"/>
                <w:b/>
                <w:bCs/>
                <w:color w:val="000000" w:themeColor="text1"/>
                <w:sz w:val="22"/>
                <w:szCs w:val="22"/>
              </w:rPr>
            </w:pPr>
            <w:r w:rsidRPr="001D6079">
              <w:rPr>
                <w:rFonts w:ascii="Times New Roman" w:hAnsi="Times New Roman" w:cs="Times New Roman"/>
                <w:b/>
                <w:bCs/>
                <w:color w:val="000000" w:themeColor="text1"/>
                <w:sz w:val="22"/>
                <w:szCs w:val="22"/>
              </w:rPr>
              <w:t>D5-Dijital Finans ve Güvenlik</w:t>
            </w:r>
          </w:p>
        </w:tc>
      </w:tr>
      <w:tr w:rsidR="001D6079" w:rsidRPr="001D6079" w14:paraId="619EC0B9" w14:textId="77777777" w:rsidTr="00500B16">
        <w:trPr>
          <w:trHeight w:val="200"/>
        </w:trPr>
        <w:tc>
          <w:tcPr>
            <w:tcW w:w="1830" w:type="dxa"/>
          </w:tcPr>
          <w:p w14:paraId="3600E59A" w14:textId="77777777" w:rsidR="00E75B24" w:rsidRPr="001D6079" w:rsidRDefault="00E75B24" w:rsidP="00C6370F">
            <w:pPr>
              <w:rPr>
                <w:rFonts w:ascii="Times New Roman" w:hAnsi="Times New Roman" w:cs="Times New Roman"/>
                <w:color w:val="000000" w:themeColor="text1"/>
                <w:sz w:val="22"/>
                <w:szCs w:val="22"/>
              </w:rPr>
            </w:pPr>
            <w:r w:rsidRPr="001D6079">
              <w:rPr>
                <w:rFonts w:ascii="Times New Roman" w:hAnsi="Times New Roman" w:cs="Times New Roman"/>
                <w:color w:val="000000" w:themeColor="text1"/>
                <w:sz w:val="22"/>
                <w:szCs w:val="22"/>
              </w:rPr>
              <w:t>Dijital</w:t>
            </w:r>
          </w:p>
        </w:tc>
        <w:tc>
          <w:tcPr>
            <w:tcW w:w="1464" w:type="dxa"/>
          </w:tcPr>
          <w:p w14:paraId="5B750E86" w14:textId="77777777" w:rsidR="00E75B24" w:rsidRPr="001D6079" w:rsidRDefault="00E75B24" w:rsidP="00C6370F">
            <w:pPr>
              <w:rPr>
                <w:rFonts w:ascii="Times New Roman" w:hAnsi="Times New Roman" w:cs="Times New Roman"/>
                <w:color w:val="000000" w:themeColor="text1"/>
                <w:sz w:val="22"/>
                <w:szCs w:val="22"/>
              </w:rPr>
            </w:pPr>
            <w:r w:rsidRPr="001D6079">
              <w:rPr>
                <w:rFonts w:ascii="Times New Roman" w:hAnsi="Times New Roman" w:cs="Times New Roman"/>
                <w:color w:val="000000" w:themeColor="text1"/>
                <w:sz w:val="22"/>
                <w:szCs w:val="22"/>
              </w:rPr>
              <w:t>E-ticaret</w:t>
            </w:r>
          </w:p>
        </w:tc>
        <w:tc>
          <w:tcPr>
            <w:tcW w:w="1465" w:type="dxa"/>
          </w:tcPr>
          <w:p w14:paraId="34BB12C2" w14:textId="77777777" w:rsidR="00E75B24" w:rsidRPr="001D6079" w:rsidRDefault="00E75B24" w:rsidP="00C6370F">
            <w:pPr>
              <w:rPr>
                <w:rFonts w:ascii="Times New Roman" w:hAnsi="Times New Roman" w:cs="Times New Roman"/>
                <w:color w:val="000000" w:themeColor="text1"/>
                <w:sz w:val="22"/>
                <w:szCs w:val="22"/>
              </w:rPr>
            </w:pPr>
            <w:r w:rsidRPr="001D6079">
              <w:rPr>
                <w:rFonts w:ascii="Times New Roman" w:hAnsi="Times New Roman" w:cs="Times New Roman"/>
                <w:color w:val="000000" w:themeColor="text1"/>
                <w:sz w:val="22"/>
                <w:szCs w:val="22"/>
              </w:rPr>
              <w:t>ERP</w:t>
            </w:r>
          </w:p>
        </w:tc>
        <w:tc>
          <w:tcPr>
            <w:tcW w:w="1465" w:type="dxa"/>
          </w:tcPr>
          <w:p w14:paraId="07CB5B6C" w14:textId="77777777" w:rsidR="00E75B24" w:rsidRPr="001D6079" w:rsidRDefault="00E75B24" w:rsidP="00C6370F">
            <w:pPr>
              <w:rPr>
                <w:rFonts w:ascii="Times New Roman" w:hAnsi="Times New Roman" w:cs="Times New Roman"/>
                <w:color w:val="000000" w:themeColor="text1"/>
                <w:sz w:val="22"/>
                <w:szCs w:val="22"/>
              </w:rPr>
            </w:pPr>
            <w:r w:rsidRPr="001D6079">
              <w:rPr>
                <w:rFonts w:ascii="Times New Roman" w:hAnsi="Times New Roman" w:cs="Times New Roman"/>
                <w:color w:val="000000" w:themeColor="text1"/>
                <w:sz w:val="22"/>
                <w:szCs w:val="22"/>
              </w:rPr>
              <w:t>Dijital Eğitim</w:t>
            </w:r>
          </w:p>
        </w:tc>
        <w:tc>
          <w:tcPr>
            <w:tcW w:w="1583" w:type="dxa"/>
          </w:tcPr>
          <w:p w14:paraId="1F7EE187" w14:textId="77777777" w:rsidR="00E75B24" w:rsidRPr="001D6079" w:rsidRDefault="00E75B24" w:rsidP="00C6370F">
            <w:pPr>
              <w:rPr>
                <w:rFonts w:ascii="Times New Roman" w:hAnsi="Times New Roman" w:cs="Times New Roman"/>
                <w:color w:val="000000" w:themeColor="text1"/>
                <w:sz w:val="22"/>
                <w:szCs w:val="22"/>
              </w:rPr>
            </w:pPr>
            <w:r w:rsidRPr="001D6079">
              <w:rPr>
                <w:rFonts w:ascii="Times New Roman" w:hAnsi="Times New Roman" w:cs="Times New Roman"/>
                <w:color w:val="000000" w:themeColor="text1"/>
                <w:sz w:val="22"/>
                <w:szCs w:val="22"/>
              </w:rPr>
              <w:t>Siber Güvenlik</w:t>
            </w:r>
          </w:p>
        </w:tc>
      </w:tr>
      <w:tr w:rsidR="001D6079" w:rsidRPr="001D6079" w14:paraId="47BD03B0" w14:textId="77777777" w:rsidTr="00500B16">
        <w:trPr>
          <w:trHeight w:val="410"/>
        </w:trPr>
        <w:tc>
          <w:tcPr>
            <w:tcW w:w="1830" w:type="dxa"/>
          </w:tcPr>
          <w:p w14:paraId="22545A64" w14:textId="77777777" w:rsidR="00E75B24" w:rsidRPr="001D6079" w:rsidRDefault="00E75B24" w:rsidP="00C6370F">
            <w:pPr>
              <w:rPr>
                <w:rFonts w:ascii="Times New Roman" w:hAnsi="Times New Roman" w:cs="Times New Roman"/>
                <w:color w:val="000000" w:themeColor="text1"/>
                <w:sz w:val="22"/>
                <w:szCs w:val="22"/>
              </w:rPr>
            </w:pPr>
            <w:r w:rsidRPr="001D6079">
              <w:rPr>
                <w:rFonts w:ascii="Times New Roman" w:hAnsi="Times New Roman" w:cs="Times New Roman"/>
                <w:color w:val="000000" w:themeColor="text1"/>
                <w:sz w:val="22"/>
                <w:szCs w:val="22"/>
              </w:rPr>
              <w:t>Dijitalleşme</w:t>
            </w:r>
          </w:p>
        </w:tc>
        <w:tc>
          <w:tcPr>
            <w:tcW w:w="1464" w:type="dxa"/>
          </w:tcPr>
          <w:p w14:paraId="191C785C" w14:textId="77777777" w:rsidR="00E75B24" w:rsidRPr="001D6079" w:rsidRDefault="00E75B24" w:rsidP="00C6370F">
            <w:pPr>
              <w:rPr>
                <w:rFonts w:ascii="Times New Roman" w:hAnsi="Times New Roman" w:cs="Times New Roman"/>
                <w:color w:val="000000" w:themeColor="text1"/>
                <w:sz w:val="22"/>
                <w:szCs w:val="22"/>
              </w:rPr>
            </w:pPr>
            <w:r w:rsidRPr="001D6079">
              <w:rPr>
                <w:rFonts w:ascii="Times New Roman" w:hAnsi="Times New Roman" w:cs="Times New Roman"/>
                <w:color w:val="000000" w:themeColor="text1"/>
                <w:sz w:val="22"/>
                <w:szCs w:val="22"/>
              </w:rPr>
              <w:t>E-fatura</w:t>
            </w:r>
          </w:p>
        </w:tc>
        <w:tc>
          <w:tcPr>
            <w:tcW w:w="1465" w:type="dxa"/>
          </w:tcPr>
          <w:p w14:paraId="74422694" w14:textId="77777777" w:rsidR="00E75B24" w:rsidRPr="001D6079" w:rsidRDefault="00E75B24" w:rsidP="00C6370F">
            <w:pPr>
              <w:rPr>
                <w:rFonts w:ascii="Times New Roman" w:hAnsi="Times New Roman" w:cs="Times New Roman"/>
                <w:color w:val="000000" w:themeColor="text1"/>
                <w:sz w:val="22"/>
                <w:szCs w:val="22"/>
              </w:rPr>
            </w:pPr>
            <w:r w:rsidRPr="001D6079">
              <w:rPr>
                <w:rFonts w:ascii="Times New Roman" w:hAnsi="Times New Roman" w:cs="Times New Roman"/>
                <w:color w:val="000000" w:themeColor="text1"/>
                <w:sz w:val="22"/>
                <w:szCs w:val="22"/>
              </w:rPr>
              <w:t>CMR</w:t>
            </w:r>
          </w:p>
        </w:tc>
        <w:tc>
          <w:tcPr>
            <w:tcW w:w="1465" w:type="dxa"/>
          </w:tcPr>
          <w:p w14:paraId="28CEEEB5" w14:textId="77777777" w:rsidR="00E75B24" w:rsidRPr="001D6079" w:rsidRDefault="00E75B24" w:rsidP="00C6370F">
            <w:pPr>
              <w:rPr>
                <w:rFonts w:ascii="Times New Roman" w:hAnsi="Times New Roman" w:cs="Times New Roman"/>
                <w:color w:val="000000" w:themeColor="text1"/>
                <w:sz w:val="22"/>
                <w:szCs w:val="22"/>
              </w:rPr>
            </w:pPr>
            <w:r w:rsidRPr="001D6079">
              <w:rPr>
                <w:rFonts w:ascii="Times New Roman" w:hAnsi="Times New Roman" w:cs="Times New Roman"/>
                <w:color w:val="000000" w:themeColor="text1"/>
                <w:sz w:val="22"/>
                <w:szCs w:val="22"/>
              </w:rPr>
              <w:t>Yapay Zekâ Mülakatları</w:t>
            </w:r>
          </w:p>
        </w:tc>
        <w:tc>
          <w:tcPr>
            <w:tcW w:w="1583" w:type="dxa"/>
          </w:tcPr>
          <w:p w14:paraId="25A861CF" w14:textId="77777777" w:rsidR="00E75B24" w:rsidRPr="001D6079" w:rsidRDefault="00E75B24" w:rsidP="00C6370F">
            <w:pPr>
              <w:rPr>
                <w:rFonts w:ascii="Times New Roman" w:hAnsi="Times New Roman" w:cs="Times New Roman"/>
                <w:color w:val="000000" w:themeColor="text1"/>
                <w:sz w:val="22"/>
                <w:szCs w:val="22"/>
              </w:rPr>
            </w:pPr>
            <w:r w:rsidRPr="001D6079">
              <w:rPr>
                <w:rFonts w:ascii="Times New Roman" w:hAnsi="Times New Roman" w:cs="Times New Roman"/>
                <w:color w:val="000000" w:themeColor="text1"/>
                <w:sz w:val="22"/>
                <w:szCs w:val="22"/>
              </w:rPr>
              <w:t>Dijital regülasyon</w:t>
            </w:r>
          </w:p>
        </w:tc>
      </w:tr>
      <w:tr w:rsidR="001D6079" w:rsidRPr="001D6079" w14:paraId="1BECF307" w14:textId="77777777" w:rsidTr="00500B16">
        <w:trPr>
          <w:trHeight w:val="410"/>
        </w:trPr>
        <w:tc>
          <w:tcPr>
            <w:tcW w:w="1830" w:type="dxa"/>
          </w:tcPr>
          <w:p w14:paraId="39434756" w14:textId="77777777" w:rsidR="00E75B24" w:rsidRPr="001D6079" w:rsidRDefault="00E75B24" w:rsidP="00C6370F">
            <w:pPr>
              <w:rPr>
                <w:rFonts w:ascii="Times New Roman" w:hAnsi="Times New Roman" w:cs="Times New Roman"/>
                <w:color w:val="000000" w:themeColor="text1"/>
                <w:sz w:val="22"/>
                <w:szCs w:val="22"/>
              </w:rPr>
            </w:pPr>
            <w:r w:rsidRPr="001D6079">
              <w:rPr>
                <w:rFonts w:ascii="Times New Roman" w:hAnsi="Times New Roman" w:cs="Times New Roman"/>
                <w:color w:val="000000" w:themeColor="text1"/>
                <w:sz w:val="22"/>
                <w:szCs w:val="22"/>
              </w:rPr>
              <w:t>Dijital Dönüşüm</w:t>
            </w:r>
          </w:p>
        </w:tc>
        <w:tc>
          <w:tcPr>
            <w:tcW w:w="1464" w:type="dxa"/>
          </w:tcPr>
          <w:p w14:paraId="65148442" w14:textId="77777777" w:rsidR="00E75B24" w:rsidRPr="001D6079" w:rsidRDefault="00E75B24" w:rsidP="00C6370F">
            <w:pPr>
              <w:rPr>
                <w:rFonts w:ascii="Times New Roman" w:hAnsi="Times New Roman" w:cs="Times New Roman"/>
                <w:color w:val="000000" w:themeColor="text1"/>
                <w:sz w:val="22"/>
                <w:szCs w:val="22"/>
              </w:rPr>
            </w:pPr>
            <w:r w:rsidRPr="001D6079">
              <w:rPr>
                <w:rFonts w:ascii="Times New Roman" w:hAnsi="Times New Roman" w:cs="Times New Roman"/>
                <w:color w:val="000000" w:themeColor="text1"/>
                <w:sz w:val="22"/>
                <w:szCs w:val="22"/>
              </w:rPr>
              <w:t>E-ticaret sitesi</w:t>
            </w:r>
          </w:p>
        </w:tc>
        <w:tc>
          <w:tcPr>
            <w:tcW w:w="1465" w:type="dxa"/>
          </w:tcPr>
          <w:p w14:paraId="5F22C5E5" w14:textId="77777777" w:rsidR="00E75B24" w:rsidRPr="001D6079" w:rsidRDefault="00E75B24" w:rsidP="00C6370F">
            <w:pPr>
              <w:rPr>
                <w:rFonts w:ascii="Times New Roman" w:hAnsi="Times New Roman" w:cs="Times New Roman"/>
                <w:color w:val="000000" w:themeColor="text1"/>
                <w:sz w:val="22"/>
                <w:szCs w:val="22"/>
              </w:rPr>
            </w:pPr>
            <w:r w:rsidRPr="001D6079">
              <w:rPr>
                <w:rFonts w:ascii="Times New Roman" w:hAnsi="Times New Roman" w:cs="Times New Roman"/>
                <w:color w:val="000000" w:themeColor="text1"/>
                <w:sz w:val="22"/>
                <w:szCs w:val="22"/>
              </w:rPr>
              <w:t>RPA</w:t>
            </w:r>
          </w:p>
        </w:tc>
        <w:tc>
          <w:tcPr>
            <w:tcW w:w="1465" w:type="dxa"/>
          </w:tcPr>
          <w:p w14:paraId="540ECDF0" w14:textId="77777777" w:rsidR="00E75B24" w:rsidRPr="001D6079" w:rsidRDefault="00E75B24" w:rsidP="00C6370F">
            <w:pPr>
              <w:rPr>
                <w:rFonts w:ascii="Times New Roman" w:hAnsi="Times New Roman" w:cs="Times New Roman"/>
                <w:color w:val="000000" w:themeColor="text1"/>
                <w:sz w:val="22"/>
                <w:szCs w:val="22"/>
              </w:rPr>
            </w:pPr>
            <w:r w:rsidRPr="001D6079">
              <w:rPr>
                <w:rFonts w:ascii="Times New Roman" w:hAnsi="Times New Roman" w:cs="Times New Roman"/>
                <w:color w:val="000000" w:themeColor="text1"/>
                <w:sz w:val="22"/>
                <w:szCs w:val="22"/>
              </w:rPr>
              <w:t>RPA adaptasyonu</w:t>
            </w:r>
          </w:p>
        </w:tc>
        <w:tc>
          <w:tcPr>
            <w:tcW w:w="1583" w:type="dxa"/>
          </w:tcPr>
          <w:p w14:paraId="56FF51AB" w14:textId="77777777" w:rsidR="00E75B24" w:rsidRPr="001D6079" w:rsidRDefault="00E75B24" w:rsidP="00C6370F">
            <w:pPr>
              <w:rPr>
                <w:rFonts w:ascii="Times New Roman" w:hAnsi="Times New Roman" w:cs="Times New Roman"/>
                <w:color w:val="000000" w:themeColor="text1"/>
                <w:sz w:val="22"/>
                <w:szCs w:val="22"/>
              </w:rPr>
            </w:pPr>
            <w:r w:rsidRPr="001D6079">
              <w:rPr>
                <w:rFonts w:ascii="Times New Roman" w:hAnsi="Times New Roman" w:cs="Times New Roman"/>
                <w:color w:val="000000" w:themeColor="text1"/>
                <w:sz w:val="22"/>
                <w:szCs w:val="22"/>
              </w:rPr>
              <w:t>KVKK</w:t>
            </w:r>
          </w:p>
        </w:tc>
      </w:tr>
      <w:tr w:rsidR="001D6079" w:rsidRPr="001D6079" w14:paraId="5616AF48" w14:textId="77777777" w:rsidTr="00500B16">
        <w:trPr>
          <w:trHeight w:val="410"/>
        </w:trPr>
        <w:tc>
          <w:tcPr>
            <w:tcW w:w="1830" w:type="dxa"/>
          </w:tcPr>
          <w:p w14:paraId="6C340837" w14:textId="77777777" w:rsidR="00E75B24" w:rsidRPr="001D6079" w:rsidRDefault="00E75B24" w:rsidP="00C6370F">
            <w:pPr>
              <w:rPr>
                <w:rFonts w:ascii="Times New Roman" w:hAnsi="Times New Roman" w:cs="Times New Roman"/>
                <w:color w:val="000000" w:themeColor="text1"/>
                <w:sz w:val="22"/>
                <w:szCs w:val="22"/>
              </w:rPr>
            </w:pPr>
            <w:r w:rsidRPr="001D6079">
              <w:rPr>
                <w:rFonts w:ascii="Times New Roman" w:hAnsi="Times New Roman" w:cs="Times New Roman"/>
                <w:color w:val="000000" w:themeColor="text1"/>
                <w:sz w:val="22"/>
                <w:szCs w:val="22"/>
              </w:rPr>
              <w:t>Bilgi İşlem</w:t>
            </w:r>
          </w:p>
        </w:tc>
        <w:tc>
          <w:tcPr>
            <w:tcW w:w="1464" w:type="dxa"/>
          </w:tcPr>
          <w:p w14:paraId="232C1A6C" w14:textId="77777777" w:rsidR="00E75B24" w:rsidRPr="001D6079" w:rsidRDefault="00E75B24" w:rsidP="00C6370F">
            <w:pPr>
              <w:rPr>
                <w:rFonts w:ascii="Times New Roman" w:hAnsi="Times New Roman" w:cs="Times New Roman"/>
                <w:color w:val="000000" w:themeColor="text1"/>
                <w:sz w:val="22"/>
                <w:szCs w:val="22"/>
              </w:rPr>
            </w:pPr>
            <w:r w:rsidRPr="001D6079">
              <w:rPr>
                <w:rFonts w:ascii="Times New Roman" w:hAnsi="Times New Roman" w:cs="Times New Roman"/>
                <w:color w:val="000000" w:themeColor="text1"/>
                <w:sz w:val="22"/>
                <w:szCs w:val="22"/>
              </w:rPr>
              <w:t>Pazaryerleri</w:t>
            </w:r>
          </w:p>
        </w:tc>
        <w:tc>
          <w:tcPr>
            <w:tcW w:w="1465" w:type="dxa"/>
          </w:tcPr>
          <w:p w14:paraId="6DFE5F33" w14:textId="77777777" w:rsidR="00E75B24" w:rsidRPr="001D6079" w:rsidRDefault="00E75B24" w:rsidP="00C6370F">
            <w:pPr>
              <w:rPr>
                <w:rFonts w:ascii="Times New Roman" w:hAnsi="Times New Roman" w:cs="Times New Roman"/>
                <w:color w:val="000000" w:themeColor="text1"/>
                <w:sz w:val="22"/>
                <w:szCs w:val="22"/>
              </w:rPr>
            </w:pPr>
            <w:r w:rsidRPr="001D6079">
              <w:rPr>
                <w:rFonts w:ascii="Times New Roman" w:hAnsi="Times New Roman" w:cs="Times New Roman"/>
                <w:color w:val="000000" w:themeColor="text1"/>
                <w:sz w:val="22"/>
                <w:szCs w:val="22"/>
              </w:rPr>
              <w:t>Robotik süreç</w:t>
            </w:r>
          </w:p>
        </w:tc>
        <w:tc>
          <w:tcPr>
            <w:tcW w:w="1465" w:type="dxa"/>
          </w:tcPr>
          <w:p w14:paraId="529709AF" w14:textId="77777777" w:rsidR="00E75B24" w:rsidRPr="001D6079" w:rsidRDefault="00E75B24" w:rsidP="00C6370F">
            <w:pPr>
              <w:rPr>
                <w:rFonts w:ascii="Times New Roman" w:hAnsi="Times New Roman" w:cs="Times New Roman"/>
                <w:color w:val="000000" w:themeColor="text1"/>
                <w:sz w:val="22"/>
                <w:szCs w:val="22"/>
              </w:rPr>
            </w:pPr>
            <w:r w:rsidRPr="001D6079">
              <w:rPr>
                <w:rFonts w:ascii="Times New Roman" w:hAnsi="Times New Roman" w:cs="Times New Roman"/>
                <w:color w:val="000000" w:themeColor="text1"/>
                <w:sz w:val="22"/>
                <w:szCs w:val="22"/>
              </w:rPr>
              <w:t>Dijital Dönüşüm Ekibi</w:t>
            </w:r>
          </w:p>
        </w:tc>
        <w:tc>
          <w:tcPr>
            <w:tcW w:w="1583" w:type="dxa"/>
          </w:tcPr>
          <w:p w14:paraId="075B569E" w14:textId="77777777" w:rsidR="00E75B24" w:rsidRPr="001D6079" w:rsidRDefault="00E75B24" w:rsidP="00C6370F">
            <w:pPr>
              <w:rPr>
                <w:rFonts w:ascii="Times New Roman" w:hAnsi="Times New Roman" w:cs="Times New Roman"/>
                <w:color w:val="000000" w:themeColor="text1"/>
                <w:sz w:val="22"/>
                <w:szCs w:val="22"/>
              </w:rPr>
            </w:pPr>
            <w:r w:rsidRPr="001D6079">
              <w:rPr>
                <w:rFonts w:ascii="Times New Roman" w:hAnsi="Times New Roman" w:cs="Times New Roman"/>
                <w:color w:val="000000" w:themeColor="text1"/>
                <w:sz w:val="22"/>
                <w:szCs w:val="22"/>
              </w:rPr>
              <w:t>E-irsaliye</w:t>
            </w:r>
          </w:p>
        </w:tc>
      </w:tr>
      <w:tr w:rsidR="001D6079" w:rsidRPr="001D6079" w14:paraId="4A44ADC3" w14:textId="77777777" w:rsidTr="00500B16">
        <w:trPr>
          <w:trHeight w:val="410"/>
        </w:trPr>
        <w:tc>
          <w:tcPr>
            <w:tcW w:w="1830" w:type="dxa"/>
          </w:tcPr>
          <w:p w14:paraId="3F4F4CBA" w14:textId="77777777" w:rsidR="00E75B24" w:rsidRPr="001D6079" w:rsidRDefault="00E75B24" w:rsidP="00C6370F">
            <w:pPr>
              <w:rPr>
                <w:rFonts w:ascii="Times New Roman" w:hAnsi="Times New Roman" w:cs="Times New Roman"/>
                <w:color w:val="000000" w:themeColor="text1"/>
                <w:sz w:val="22"/>
                <w:szCs w:val="22"/>
              </w:rPr>
            </w:pPr>
            <w:r w:rsidRPr="001D6079">
              <w:rPr>
                <w:rFonts w:ascii="Times New Roman" w:hAnsi="Times New Roman" w:cs="Times New Roman"/>
                <w:color w:val="000000" w:themeColor="text1"/>
                <w:sz w:val="22"/>
                <w:szCs w:val="22"/>
              </w:rPr>
              <w:t>Yazılım</w:t>
            </w:r>
          </w:p>
        </w:tc>
        <w:tc>
          <w:tcPr>
            <w:tcW w:w="1464" w:type="dxa"/>
          </w:tcPr>
          <w:p w14:paraId="603F40CD" w14:textId="77777777" w:rsidR="00E75B24" w:rsidRPr="001D6079" w:rsidRDefault="00E75B24" w:rsidP="00C6370F">
            <w:pPr>
              <w:rPr>
                <w:rFonts w:ascii="Times New Roman" w:hAnsi="Times New Roman" w:cs="Times New Roman"/>
                <w:color w:val="000000" w:themeColor="text1"/>
                <w:sz w:val="22"/>
                <w:szCs w:val="22"/>
              </w:rPr>
            </w:pPr>
            <w:r w:rsidRPr="001D6079">
              <w:rPr>
                <w:rFonts w:ascii="Times New Roman" w:hAnsi="Times New Roman" w:cs="Times New Roman"/>
                <w:color w:val="000000" w:themeColor="text1"/>
                <w:sz w:val="22"/>
                <w:szCs w:val="22"/>
              </w:rPr>
              <w:t>Dijital reklam</w:t>
            </w:r>
          </w:p>
        </w:tc>
        <w:tc>
          <w:tcPr>
            <w:tcW w:w="1465" w:type="dxa"/>
          </w:tcPr>
          <w:p w14:paraId="75A5F261" w14:textId="77777777" w:rsidR="00E75B24" w:rsidRPr="001D6079" w:rsidRDefault="00E75B24" w:rsidP="00C6370F">
            <w:pPr>
              <w:rPr>
                <w:rFonts w:ascii="Times New Roman" w:hAnsi="Times New Roman" w:cs="Times New Roman"/>
                <w:color w:val="000000" w:themeColor="text1"/>
                <w:sz w:val="22"/>
                <w:szCs w:val="22"/>
              </w:rPr>
            </w:pPr>
            <w:r w:rsidRPr="001D6079">
              <w:rPr>
                <w:rFonts w:ascii="Times New Roman" w:hAnsi="Times New Roman" w:cs="Times New Roman"/>
                <w:color w:val="000000" w:themeColor="text1"/>
                <w:sz w:val="22"/>
                <w:szCs w:val="22"/>
              </w:rPr>
              <w:t>IoT</w:t>
            </w:r>
          </w:p>
        </w:tc>
        <w:tc>
          <w:tcPr>
            <w:tcW w:w="1465" w:type="dxa"/>
          </w:tcPr>
          <w:p w14:paraId="7A506161" w14:textId="77777777" w:rsidR="00E75B24" w:rsidRPr="001D6079" w:rsidRDefault="00E75B24" w:rsidP="00C6370F">
            <w:pPr>
              <w:rPr>
                <w:rFonts w:ascii="Times New Roman" w:hAnsi="Times New Roman" w:cs="Times New Roman"/>
                <w:color w:val="000000" w:themeColor="text1"/>
                <w:sz w:val="22"/>
                <w:szCs w:val="22"/>
              </w:rPr>
            </w:pPr>
            <w:r w:rsidRPr="001D6079">
              <w:rPr>
                <w:rFonts w:ascii="Times New Roman" w:hAnsi="Times New Roman" w:cs="Times New Roman"/>
                <w:color w:val="000000" w:themeColor="text1"/>
                <w:sz w:val="22"/>
                <w:szCs w:val="22"/>
              </w:rPr>
              <w:t>Veri okur-yazarlığı</w:t>
            </w:r>
          </w:p>
        </w:tc>
        <w:tc>
          <w:tcPr>
            <w:tcW w:w="1583" w:type="dxa"/>
          </w:tcPr>
          <w:p w14:paraId="78B4C709" w14:textId="77777777" w:rsidR="00E75B24" w:rsidRPr="001D6079" w:rsidRDefault="00E75B24" w:rsidP="00C6370F">
            <w:pPr>
              <w:rPr>
                <w:rFonts w:ascii="Times New Roman" w:hAnsi="Times New Roman" w:cs="Times New Roman"/>
                <w:color w:val="000000" w:themeColor="text1"/>
                <w:sz w:val="22"/>
                <w:szCs w:val="22"/>
              </w:rPr>
            </w:pPr>
            <w:r w:rsidRPr="001D6079">
              <w:rPr>
                <w:rFonts w:ascii="Times New Roman" w:hAnsi="Times New Roman" w:cs="Times New Roman"/>
                <w:color w:val="000000" w:themeColor="text1"/>
                <w:sz w:val="22"/>
                <w:szCs w:val="22"/>
              </w:rPr>
              <w:t>E-defter</w:t>
            </w:r>
          </w:p>
        </w:tc>
      </w:tr>
      <w:tr w:rsidR="001D6079" w:rsidRPr="001D6079" w14:paraId="7779BE1E" w14:textId="77777777" w:rsidTr="00500B16">
        <w:trPr>
          <w:trHeight w:val="410"/>
        </w:trPr>
        <w:tc>
          <w:tcPr>
            <w:tcW w:w="1830" w:type="dxa"/>
          </w:tcPr>
          <w:p w14:paraId="47CAF7AB" w14:textId="77777777" w:rsidR="00E75B24" w:rsidRPr="001D6079" w:rsidRDefault="00E75B24" w:rsidP="00C6370F">
            <w:pPr>
              <w:rPr>
                <w:rFonts w:ascii="Times New Roman" w:hAnsi="Times New Roman" w:cs="Times New Roman"/>
                <w:color w:val="000000" w:themeColor="text1"/>
                <w:sz w:val="22"/>
                <w:szCs w:val="22"/>
              </w:rPr>
            </w:pPr>
            <w:r w:rsidRPr="001D6079">
              <w:rPr>
                <w:rFonts w:ascii="Times New Roman" w:hAnsi="Times New Roman" w:cs="Times New Roman"/>
                <w:color w:val="000000" w:themeColor="text1"/>
                <w:sz w:val="22"/>
                <w:szCs w:val="22"/>
              </w:rPr>
              <w:t>Otomasyon</w:t>
            </w:r>
          </w:p>
        </w:tc>
        <w:tc>
          <w:tcPr>
            <w:tcW w:w="1464" w:type="dxa"/>
          </w:tcPr>
          <w:p w14:paraId="508C2F31" w14:textId="77777777" w:rsidR="00E75B24" w:rsidRPr="001D6079" w:rsidRDefault="00E75B24" w:rsidP="00C6370F">
            <w:pPr>
              <w:rPr>
                <w:rFonts w:ascii="Times New Roman" w:hAnsi="Times New Roman" w:cs="Times New Roman"/>
                <w:color w:val="000000" w:themeColor="text1"/>
                <w:sz w:val="22"/>
                <w:szCs w:val="22"/>
              </w:rPr>
            </w:pPr>
            <w:r w:rsidRPr="001D6079">
              <w:rPr>
                <w:rFonts w:ascii="Times New Roman" w:hAnsi="Times New Roman" w:cs="Times New Roman"/>
                <w:color w:val="000000" w:themeColor="text1"/>
                <w:sz w:val="22"/>
                <w:szCs w:val="22"/>
              </w:rPr>
              <w:t>SEO</w:t>
            </w:r>
          </w:p>
        </w:tc>
        <w:tc>
          <w:tcPr>
            <w:tcW w:w="1465" w:type="dxa"/>
          </w:tcPr>
          <w:p w14:paraId="2CFB3D00" w14:textId="77777777" w:rsidR="00E75B24" w:rsidRPr="001D6079" w:rsidRDefault="00E75B24" w:rsidP="00C6370F">
            <w:pPr>
              <w:rPr>
                <w:rFonts w:ascii="Times New Roman" w:hAnsi="Times New Roman" w:cs="Times New Roman"/>
                <w:color w:val="000000" w:themeColor="text1"/>
                <w:sz w:val="22"/>
                <w:szCs w:val="22"/>
              </w:rPr>
            </w:pPr>
            <w:r w:rsidRPr="001D6079">
              <w:rPr>
                <w:rFonts w:ascii="Times New Roman" w:hAnsi="Times New Roman" w:cs="Times New Roman"/>
                <w:color w:val="000000" w:themeColor="text1"/>
                <w:sz w:val="22"/>
                <w:szCs w:val="22"/>
              </w:rPr>
              <w:t>Nesnelerin interneti</w:t>
            </w:r>
          </w:p>
        </w:tc>
        <w:tc>
          <w:tcPr>
            <w:tcW w:w="1465" w:type="dxa"/>
          </w:tcPr>
          <w:p w14:paraId="3D5FE671" w14:textId="77777777" w:rsidR="00E75B24" w:rsidRPr="001D6079" w:rsidRDefault="00E75B24" w:rsidP="00C6370F">
            <w:pPr>
              <w:rPr>
                <w:rFonts w:ascii="Times New Roman" w:hAnsi="Times New Roman" w:cs="Times New Roman"/>
                <w:color w:val="000000" w:themeColor="text1"/>
                <w:sz w:val="22"/>
                <w:szCs w:val="22"/>
              </w:rPr>
            </w:pPr>
            <w:r w:rsidRPr="001D6079">
              <w:rPr>
                <w:rFonts w:ascii="Times New Roman" w:hAnsi="Times New Roman" w:cs="Times New Roman"/>
                <w:color w:val="000000" w:themeColor="text1"/>
                <w:sz w:val="22"/>
                <w:szCs w:val="22"/>
              </w:rPr>
              <w:t>Teknik personel</w:t>
            </w:r>
          </w:p>
        </w:tc>
        <w:tc>
          <w:tcPr>
            <w:tcW w:w="1583" w:type="dxa"/>
          </w:tcPr>
          <w:p w14:paraId="231854CB" w14:textId="77777777" w:rsidR="00E75B24" w:rsidRPr="001D6079" w:rsidRDefault="00E75B24" w:rsidP="00C6370F">
            <w:pPr>
              <w:rPr>
                <w:rFonts w:ascii="Times New Roman" w:hAnsi="Times New Roman" w:cs="Times New Roman"/>
                <w:color w:val="000000" w:themeColor="text1"/>
                <w:sz w:val="22"/>
                <w:szCs w:val="22"/>
              </w:rPr>
            </w:pPr>
            <w:r w:rsidRPr="001D6079">
              <w:rPr>
                <w:rFonts w:ascii="Times New Roman" w:hAnsi="Times New Roman" w:cs="Times New Roman"/>
                <w:color w:val="000000" w:themeColor="text1"/>
                <w:sz w:val="22"/>
                <w:szCs w:val="22"/>
              </w:rPr>
              <w:t>Online Bankacılık</w:t>
            </w:r>
          </w:p>
        </w:tc>
      </w:tr>
      <w:tr w:rsidR="001D6079" w:rsidRPr="001D6079" w14:paraId="04A997A3" w14:textId="77777777" w:rsidTr="00500B16">
        <w:trPr>
          <w:trHeight w:val="210"/>
        </w:trPr>
        <w:tc>
          <w:tcPr>
            <w:tcW w:w="1830" w:type="dxa"/>
          </w:tcPr>
          <w:p w14:paraId="147F84F4" w14:textId="77777777" w:rsidR="00E75B24" w:rsidRPr="001D6079" w:rsidRDefault="00E75B24" w:rsidP="00C6370F">
            <w:pPr>
              <w:rPr>
                <w:rFonts w:ascii="Times New Roman" w:hAnsi="Times New Roman" w:cs="Times New Roman"/>
                <w:color w:val="000000" w:themeColor="text1"/>
                <w:sz w:val="22"/>
                <w:szCs w:val="22"/>
              </w:rPr>
            </w:pPr>
            <w:r w:rsidRPr="001D6079">
              <w:rPr>
                <w:rFonts w:ascii="Times New Roman" w:hAnsi="Times New Roman" w:cs="Times New Roman"/>
                <w:color w:val="000000" w:themeColor="text1"/>
                <w:sz w:val="22"/>
                <w:szCs w:val="22"/>
              </w:rPr>
              <w:t>Veri</w:t>
            </w:r>
          </w:p>
        </w:tc>
        <w:tc>
          <w:tcPr>
            <w:tcW w:w="1464" w:type="dxa"/>
          </w:tcPr>
          <w:p w14:paraId="7B1C4873" w14:textId="77777777" w:rsidR="00E75B24" w:rsidRPr="001D6079" w:rsidRDefault="00E75B24" w:rsidP="00C6370F">
            <w:pPr>
              <w:rPr>
                <w:rFonts w:ascii="Times New Roman" w:hAnsi="Times New Roman" w:cs="Times New Roman"/>
                <w:color w:val="000000" w:themeColor="text1"/>
                <w:sz w:val="22"/>
                <w:szCs w:val="22"/>
              </w:rPr>
            </w:pPr>
            <w:r w:rsidRPr="001D6079">
              <w:rPr>
                <w:rFonts w:ascii="Times New Roman" w:hAnsi="Times New Roman" w:cs="Times New Roman"/>
                <w:color w:val="000000" w:themeColor="text1"/>
                <w:sz w:val="22"/>
                <w:szCs w:val="22"/>
              </w:rPr>
              <w:t>Arama motoru</w:t>
            </w:r>
          </w:p>
        </w:tc>
        <w:tc>
          <w:tcPr>
            <w:tcW w:w="1465" w:type="dxa"/>
          </w:tcPr>
          <w:p w14:paraId="07144C62" w14:textId="77777777" w:rsidR="00E75B24" w:rsidRPr="001D6079" w:rsidRDefault="00E75B24" w:rsidP="00C6370F">
            <w:pPr>
              <w:rPr>
                <w:rFonts w:ascii="Times New Roman" w:hAnsi="Times New Roman" w:cs="Times New Roman"/>
                <w:color w:val="000000" w:themeColor="text1"/>
                <w:sz w:val="22"/>
                <w:szCs w:val="22"/>
              </w:rPr>
            </w:pPr>
            <w:r w:rsidRPr="001D6079">
              <w:rPr>
                <w:rFonts w:ascii="Times New Roman" w:hAnsi="Times New Roman" w:cs="Times New Roman"/>
                <w:color w:val="000000" w:themeColor="text1"/>
                <w:sz w:val="22"/>
                <w:szCs w:val="22"/>
              </w:rPr>
              <w:t>Robot</w:t>
            </w:r>
          </w:p>
        </w:tc>
        <w:tc>
          <w:tcPr>
            <w:tcW w:w="1465" w:type="dxa"/>
          </w:tcPr>
          <w:p w14:paraId="30C2EE98" w14:textId="77777777" w:rsidR="00E75B24" w:rsidRPr="001D6079" w:rsidRDefault="00E75B24" w:rsidP="00C6370F">
            <w:pPr>
              <w:rPr>
                <w:rFonts w:ascii="Times New Roman" w:hAnsi="Times New Roman" w:cs="Times New Roman"/>
                <w:color w:val="000000" w:themeColor="text1"/>
                <w:sz w:val="22"/>
                <w:szCs w:val="22"/>
              </w:rPr>
            </w:pPr>
          </w:p>
        </w:tc>
        <w:tc>
          <w:tcPr>
            <w:tcW w:w="1583" w:type="dxa"/>
          </w:tcPr>
          <w:p w14:paraId="41481064" w14:textId="77777777" w:rsidR="00E75B24" w:rsidRPr="001D6079" w:rsidRDefault="00E75B24" w:rsidP="00C6370F">
            <w:pPr>
              <w:rPr>
                <w:rFonts w:ascii="Times New Roman" w:hAnsi="Times New Roman" w:cs="Times New Roman"/>
                <w:color w:val="000000" w:themeColor="text1"/>
                <w:sz w:val="22"/>
                <w:szCs w:val="22"/>
              </w:rPr>
            </w:pPr>
            <w:r w:rsidRPr="001D6079">
              <w:rPr>
                <w:rFonts w:ascii="Times New Roman" w:hAnsi="Times New Roman" w:cs="Times New Roman"/>
                <w:color w:val="000000" w:themeColor="text1"/>
                <w:sz w:val="22"/>
                <w:szCs w:val="22"/>
              </w:rPr>
              <w:t>Dijital Finans</w:t>
            </w:r>
          </w:p>
        </w:tc>
      </w:tr>
      <w:tr w:rsidR="001D6079" w:rsidRPr="001D6079" w14:paraId="3B9A2E72" w14:textId="77777777" w:rsidTr="00500B16">
        <w:trPr>
          <w:trHeight w:val="200"/>
        </w:trPr>
        <w:tc>
          <w:tcPr>
            <w:tcW w:w="1830" w:type="dxa"/>
          </w:tcPr>
          <w:p w14:paraId="792AEA61" w14:textId="77777777" w:rsidR="00E75B24" w:rsidRPr="001D6079" w:rsidRDefault="00E75B24" w:rsidP="00C6370F">
            <w:pPr>
              <w:rPr>
                <w:rFonts w:ascii="Times New Roman" w:hAnsi="Times New Roman" w:cs="Times New Roman"/>
                <w:color w:val="000000" w:themeColor="text1"/>
                <w:sz w:val="22"/>
                <w:szCs w:val="22"/>
              </w:rPr>
            </w:pPr>
            <w:r w:rsidRPr="001D6079">
              <w:rPr>
                <w:rFonts w:ascii="Times New Roman" w:hAnsi="Times New Roman" w:cs="Times New Roman"/>
                <w:color w:val="000000" w:themeColor="text1"/>
                <w:sz w:val="22"/>
                <w:szCs w:val="22"/>
              </w:rPr>
              <w:t>Internet</w:t>
            </w:r>
          </w:p>
        </w:tc>
        <w:tc>
          <w:tcPr>
            <w:tcW w:w="1464" w:type="dxa"/>
          </w:tcPr>
          <w:p w14:paraId="7E6E84D8" w14:textId="77777777" w:rsidR="00E75B24" w:rsidRPr="001D6079" w:rsidRDefault="00E75B24" w:rsidP="00C6370F">
            <w:pPr>
              <w:rPr>
                <w:rFonts w:ascii="Times New Roman" w:hAnsi="Times New Roman" w:cs="Times New Roman"/>
                <w:color w:val="000000" w:themeColor="text1"/>
                <w:sz w:val="22"/>
                <w:szCs w:val="22"/>
              </w:rPr>
            </w:pPr>
            <w:r w:rsidRPr="001D6079">
              <w:rPr>
                <w:rFonts w:ascii="Times New Roman" w:hAnsi="Times New Roman" w:cs="Times New Roman"/>
                <w:color w:val="000000" w:themeColor="text1"/>
                <w:sz w:val="22"/>
                <w:szCs w:val="22"/>
              </w:rPr>
              <w:t>Sosyal medya</w:t>
            </w:r>
          </w:p>
        </w:tc>
        <w:tc>
          <w:tcPr>
            <w:tcW w:w="1465" w:type="dxa"/>
          </w:tcPr>
          <w:p w14:paraId="70EB4B2D" w14:textId="77777777" w:rsidR="00E75B24" w:rsidRPr="001D6079" w:rsidRDefault="00E75B24" w:rsidP="00C6370F">
            <w:pPr>
              <w:rPr>
                <w:rFonts w:ascii="Times New Roman" w:hAnsi="Times New Roman" w:cs="Times New Roman"/>
                <w:color w:val="000000" w:themeColor="text1"/>
                <w:sz w:val="22"/>
                <w:szCs w:val="22"/>
              </w:rPr>
            </w:pPr>
            <w:r w:rsidRPr="001D6079">
              <w:rPr>
                <w:rFonts w:ascii="Times New Roman" w:hAnsi="Times New Roman" w:cs="Times New Roman"/>
                <w:color w:val="000000" w:themeColor="text1"/>
                <w:sz w:val="22"/>
                <w:szCs w:val="22"/>
              </w:rPr>
              <w:t>MRP</w:t>
            </w:r>
          </w:p>
        </w:tc>
        <w:tc>
          <w:tcPr>
            <w:tcW w:w="1465" w:type="dxa"/>
          </w:tcPr>
          <w:p w14:paraId="0DAFEF2B" w14:textId="77777777" w:rsidR="00E75B24" w:rsidRPr="001D6079" w:rsidRDefault="00E75B24" w:rsidP="00C6370F">
            <w:pPr>
              <w:rPr>
                <w:rFonts w:ascii="Times New Roman" w:hAnsi="Times New Roman" w:cs="Times New Roman"/>
                <w:color w:val="000000" w:themeColor="text1"/>
                <w:sz w:val="22"/>
                <w:szCs w:val="22"/>
              </w:rPr>
            </w:pPr>
          </w:p>
        </w:tc>
        <w:tc>
          <w:tcPr>
            <w:tcW w:w="1583" w:type="dxa"/>
          </w:tcPr>
          <w:p w14:paraId="3176F4CD" w14:textId="77777777" w:rsidR="00E75B24" w:rsidRPr="001D6079" w:rsidRDefault="00E75B24" w:rsidP="00C6370F">
            <w:pPr>
              <w:rPr>
                <w:rFonts w:ascii="Times New Roman" w:hAnsi="Times New Roman" w:cs="Times New Roman"/>
                <w:color w:val="000000" w:themeColor="text1"/>
                <w:sz w:val="22"/>
                <w:szCs w:val="22"/>
              </w:rPr>
            </w:pPr>
            <w:r w:rsidRPr="001D6079">
              <w:rPr>
                <w:rFonts w:ascii="Times New Roman" w:hAnsi="Times New Roman" w:cs="Times New Roman"/>
                <w:color w:val="000000" w:themeColor="text1"/>
                <w:sz w:val="22"/>
                <w:szCs w:val="22"/>
              </w:rPr>
              <w:t>Veri yedekleme</w:t>
            </w:r>
          </w:p>
        </w:tc>
      </w:tr>
      <w:tr w:rsidR="001D6079" w:rsidRPr="001D6079" w14:paraId="461085D7" w14:textId="77777777" w:rsidTr="00500B16">
        <w:trPr>
          <w:trHeight w:val="410"/>
        </w:trPr>
        <w:tc>
          <w:tcPr>
            <w:tcW w:w="1830" w:type="dxa"/>
          </w:tcPr>
          <w:p w14:paraId="24F49A51" w14:textId="77777777" w:rsidR="00E75B24" w:rsidRPr="001D6079" w:rsidRDefault="00E75B24" w:rsidP="00C6370F">
            <w:pPr>
              <w:rPr>
                <w:rFonts w:ascii="Times New Roman" w:hAnsi="Times New Roman" w:cs="Times New Roman"/>
                <w:color w:val="000000" w:themeColor="text1"/>
                <w:sz w:val="22"/>
                <w:szCs w:val="22"/>
              </w:rPr>
            </w:pPr>
            <w:r w:rsidRPr="001D6079">
              <w:rPr>
                <w:rFonts w:ascii="Times New Roman" w:hAnsi="Times New Roman" w:cs="Times New Roman"/>
                <w:color w:val="000000" w:themeColor="text1"/>
                <w:sz w:val="22"/>
                <w:szCs w:val="22"/>
              </w:rPr>
              <w:t>Bulut Bilişim</w:t>
            </w:r>
          </w:p>
        </w:tc>
        <w:tc>
          <w:tcPr>
            <w:tcW w:w="1464" w:type="dxa"/>
          </w:tcPr>
          <w:p w14:paraId="56D0D32A" w14:textId="77777777" w:rsidR="00E75B24" w:rsidRPr="001D6079" w:rsidRDefault="00E75B24" w:rsidP="00C6370F">
            <w:pPr>
              <w:rPr>
                <w:rFonts w:ascii="Times New Roman" w:hAnsi="Times New Roman" w:cs="Times New Roman"/>
                <w:color w:val="000000" w:themeColor="text1"/>
                <w:sz w:val="22"/>
                <w:szCs w:val="22"/>
              </w:rPr>
            </w:pPr>
            <w:r w:rsidRPr="001D6079">
              <w:rPr>
                <w:rFonts w:ascii="Times New Roman" w:hAnsi="Times New Roman" w:cs="Times New Roman"/>
                <w:color w:val="000000" w:themeColor="text1"/>
                <w:sz w:val="22"/>
                <w:szCs w:val="22"/>
              </w:rPr>
              <w:t>Canlı yayın akışı</w:t>
            </w:r>
          </w:p>
        </w:tc>
        <w:tc>
          <w:tcPr>
            <w:tcW w:w="1465" w:type="dxa"/>
          </w:tcPr>
          <w:p w14:paraId="2441E5E0" w14:textId="77777777" w:rsidR="00E75B24" w:rsidRPr="001D6079" w:rsidRDefault="00E75B24" w:rsidP="00C6370F">
            <w:pPr>
              <w:rPr>
                <w:rFonts w:ascii="Times New Roman" w:hAnsi="Times New Roman" w:cs="Times New Roman"/>
                <w:color w:val="000000" w:themeColor="text1"/>
                <w:sz w:val="22"/>
                <w:szCs w:val="22"/>
              </w:rPr>
            </w:pPr>
            <w:r w:rsidRPr="001D6079">
              <w:rPr>
                <w:rFonts w:ascii="Times New Roman" w:hAnsi="Times New Roman" w:cs="Times New Roman"/>
                <w:color w:val="000000" w:themeColor="text1"/>
                <w:sz w:val="22"/>
                <w:szCs w:val="22"/>
              </w:rPr>
              <w:t>Üretim planlama otomasyonu</w:t>
            </w:r>
          </w:p>
        </w:tc>
        <w:tc>
          <w:tcPr>
            <w:tcW w:w="1465" w:type="dxa"/>
          </w:tcPr>
          <w:p w14:paraId="0F1C8045" w14:textId="77777777" w:rsidR="00E75B24" w:rsidRPr="001D6079" w:rsidRDefault="00E75B24" w:rsidP="00C6370F">
            <w:pPr>
              <w:rPr>
                <w:rFonts w:ascii="Times New Roman" w:hAnsi="Times New Roman" w:cs="Times New Roman"/>
                <w:color w:val="000000" w:themeColor="text1"/>
                <w:sz w:val="22"/>
                <w:szCs w:val="22"/>
              </w:rPr>
            </w:pPr>
          </w:p>
        </w:tc>
        <w:tc>
          <w:tcPr>
            <w:tcW w:w="1583" w:type="dxa"/>
          </w:tcPr>
          <w:p w14:paraId="53718BE4" w14:textId="77777777" w:rsidR="00E75B24" w:rsidRPr="001D6079" w:rsidRDefault="00E75B24" w:rsidP="00C6370F">
            <w:pPr>
              <w:rPr>
                <w:rFonts w:ascii="Times New Roman" w:hAnsi="Times New Roman" w:cs="Times New Roman"/>
                <w:color w:val="000000" w:themeColor="text1"/>
                <w:sz w:val="22"/>
                <w:szCs w:val="22"/>
              </w:rPr>
            </w:pPr>
            <w:r w:rsidRPr="001D6079">
              <w:rPr>
                <w:rFonts w:ascii="Times New Roman" w:hAnsi="Times New Roman" w:cs="Times New Roman"/>
                <w:color w:val="000000" w:themeColor="text1"/>
                <w:sz w:val="22"/>
                <w:szCs w:val="22"/>
              </w:rPr>
              <w:t>Fintech</w:t>
            </w:r>
          </w:p>
        </w:tc>
      </w:tr>
      <w:tr w:rsidR="001D6079" w:rsidRPr="001D6079" w14:paraId="4A0C94DB" w14:textId="77777777" w:rsidTr="00500B16">
        <w:trPr>
          <w:trHeight w:val="620"/>
        </w:trPr>
        <w:tc>
          <w:tcPr>
            <w:tcW w:w="1830" w:type="dxa"/>
          </w:tcPr>
          <w:p w14:paraId="02EB650C" w14:textId="77777777" w:rsidR="00E75B24" w:rsidRPr="001D6079" w:rsidRDefault="00E75B24" w:rsidP="00C6370F">
            <w:pPr>
              <w:rPr>
                <w:rFonts w:ascii="Times New Roman" w:hAnsi="Times New Roman" w:cs="Times New Roman"/>
                <w:color w:val="000000" w:themeColor="text1"/>
                <w:sz w:val="22"/>
                <w:szCs w:val="22"/>
              </w:rPr>
            </w:pPr>
            <w:r w:rsidRPr="001D6079">
              <w:rPr>
                <w:rFonts w:ascii="Times New Roman" w:hAnsi="Times New Roman" w:cs="Times New Roman"/>
                <w:color w:val="000000" w:themeColor="text1"/>
                <w:sz w:val="22"/>
                <w:szCs w:val="22"/>
              </w:rPr>
              <w:t>Web sitesi</w:t>
            </w:r>
          </w:p>
        </w:tc>
        <w:tc>
          <w:tcPr>
            <w:tcW w:w="1464" w:type="dxa"/>
          </w:tcPr>
          <w:p w14:paraId="1B902BF8" w14:textId="77777777" w:rsidR="00E75B24" w:rsidRPr="001D6079" w:rsidRDefault="00E75B24" w:rsidP="00C6370F">
            <w:pPr>
              <w:rPr>
                <w:rFonts w:ascii="Times New Roman" w:hAnsi="Times New Roman" w:cs="Times New Roman"/>
                <w:color w:val="000000" w:themeColor="text1"/>
                <w:sz w:val="22"/>
                <w:szCs w:val="22"/>
              </w:rPr>
            </w:pPr>
            <w:r w:rsidRPr="001D6079">
              <w:rPr>
                <w:rFonts w:ascii="Times New Roman" w:hAnsi="Times New Roman" w:cs="Times New Roman"/>
                <w:color w:val="000000" w:themeColor="text1"/>
                <w:sz w:val="22"/>
                <w:szCs w:val="22"/>
              </w:rPr>
              <w:t>Google Analytics</w:t>
            </w:r>
          </w:p>
        </w:tc>
        <w:tc>
          <w:tcPr>
            <w:tcW w:w="1465" w:type="dxa"/>
          </w:tcPr>
          <w:p w14:paraId="04F37BD4" w14:textId="77777777" w:rsidR="00E75B24" w:rsidRPr="001D6079" w:rsidRDefault="00E75B24" w:rsidP="00C6370F">
            <w:pPr>
              <w:rPr>
                <w:rFonts w:ascii="Times New Roman" w:hAnsi="Times New Roman" w:cs="Times New Roman"/>
                <w:color w:val="000000" w:themeColor="text1"/>
                <w:sz w:val="22"/>
                <w:szCs w:val="22"/>
              </w:rPr>
            </w:pPr>
            <w:r w:rsidRPr="001D6079">
              <w:rPr>
                <w:rFonts w:ascii="Times New Roman" w:hAnsi="Times New Roman" w:cs="Times New Roman"/>
                <w:color w:val="000000" w:themeColor="text1"/>
                <w:sz w:val="22"/>
                <w:szCs w:val="22"/>
              </w:rPr>
              <w:t>E-imza (Elektronik imza)</w:t>
            </w:r>
          </w:p>
        </w:tc>
        <w:tc>
          <w:tcPr>
            <w:tcW w:w="1465" w:type="dxa"/>
          </w:tcPr>
          <w:p w14:paraId="0BE21703" w14:textId="77777777" w:rsidR="00E75B24" w:rsidRPr="001D6079" w:rsidRDefault="00E75B24" w:rsidP="00C6370F">
            <w:pPr>
              <w:rPr>
                <w:rFonts w:ascii="Times New Roman" w:hAnsi="Times New Roman" w:cs="Times New Roman"/>
                <w:color w:val="000000" w:themeColor="text1"/>
                <w:sz w:val="22"/>
                <w:szCs w:val="22"/>
              </w:rPr>
            </w:pPr>
          </w:p>
        </w:tc>
        <w:tc>
          <w:tcPr>
            <w:tcW w:w="1583" w:type="dxa"/>
          </w:tcPr>
          <w:p w14:paraId="7B997AE5" w14:textId="77777777" w:rsidR="00E75B24" w:rsidRPr="001D6079" w:rsidRDefault="00E75B24" w:rsidP="00C6370F">
            <w:pPr>
              <w:rPr>
                <w:rFonts w:ascii="Times New Roman" w:hAnsi="Times New Roman" w:cs="Times New Roman"/>
                <w:color w:val="000000" w:themeColor="text1"/>
                <w:sz w:val="22"/>
                <w:szCs w:val="22"/>
              </w:rPr>
            </w:pPr>
            <w:r w:rsidRPr="001D6079">
              <w:rPr>
                <w:rFonts w:ascii="Times New Roman" w:hAnsi="Times New Roman" w:cs="Times New Roman"/>
                <w:color w:val="000000" w:themeColor="text1"/>
                <w:sz w:val="22"/>
                <w:szCs w:val="22"/>
              </w:rPr>
              <w:t>Kişisel Verileri Koruma Kanunu</w:t>
            </w:r>
          </w:p>
        </w:tc>
      </w:tr>
      <w:tr w:rsidR="001D6079" w:rsidRPr="001D6079" w14:paraId="0DFC71CC" w14:textId="77777777" w:rsidTr="00500B16">
        <w:trPr>
          <w:trHeight w:val="410"/>
        </w:trPr>
        <w:tc>
          <w:tcPr>
            <w:tcW w:w="1830" w:type="dxa"/>
          </w:tcPr>
          <w:p w14:paraId="5FB78487" w14:textId="77777777" w:rsidR="00E75B24" w:rsidRPr="001D6079" w:rsidRDefault="00E75B24" w:rsidP="00C6370F">
            <w:pPr>
              <w:rPr>
                <w:rFonts w:ascii="Times New Roman" w:hAnsi="Times New Roman" w:cs="Times New Roman"/>
                <w:color w:val="000000" w:themeColor="text1"/>
                <w:sz w:val="22"/>
                <w:szCs w:val="22"/>
              </w:rPr>
            </w:pPr>
            <w:r w:rsidRPr="001D6079">
              <w:rPr>
                <w:rFonts w:ascii="Times New Roman" w:hAnsi="Times New Roman" w:cs="Times New Roman"/>
                <w:color w:val="000000" w:themeColor="text1"/>
                <w:sz w:val="22"/>
                <w:szCs w:val="22"/>
              </w:rPr>
              <w:t>Makine öğrenmesi</w:t>
            </w:r>
          </w:p>
        </w:tc>
        <w:tc>
          <w:tcPr>
            <w:tcW w:w="1464" w:type="dxa"/>
          </w:tcPr>
          <w:p w14:paraId="1E640942" w14:textId="77777777" w:rsidR="00E75B24" w:rsidRPr="001D6079" w:rsidRDefault="00E75B24" w:rsidP="00C6370F">
            <w:pPr>
              <w:rPr>
                <w:rFonts w:ascii="Times New Roman" w:hAnsi="Times New Roman" w:cs="Times New Roman"/>
                <w:color w:val="000000" w:themeColor="text1"/>
                <w:sz w:val="22"/>
                <w:szCs w:val="22"/>
              </w:rPr>
            </w:pPr>
            <w:r w:rsidRPr="001D6079">
              <w:rPr>
                <w:rFonts w:ascii="Times New Roman" w:hAnsi="Times New Roman" w:cs="Times New Roman"/>
                <w:color w:val="000000" w:themeColor="text1"/>
                <w:sz w:val="22"/>
                <w:szCs w:val="22"/>
              </w:rPr>
              <w:t>Doğal Dil İşleme</w:t>
            </w:r>
          </w:p>
        </w:tc>
        <w:tc>
          <w:tcPr>
            <w:tcW w:w="1465" w:type="dxa"/>
          </w:tcPr>
          <w:p w14:paraId="7EC3F720" w14:textId="77777777" w:rsidR="00E75B24" w:rsidRPr="001D6079" w:rsidRDefault="00E75B24" w:rsidP="00C6370F">
            <w:pPr>
              <w:rPr>
                <w:rFonts w:ascii="Times New Roman" w:hAnsi="Times New Roman" w:cs="Times New Roman"/>
                <w:color w:val="000000" w:themeColor="text1"/>
                <w:sz w:val="22"/>
                <w:szCs w:val="22"/>
              </w:rPr>
            </w:pPr>
            <w:r w:rsidRPr="001D6079">
              <w:rPr>
                <w:rFonts w:ascii="Times New Roman" w:hAnsi="Times New Roman" w:cs="Times New Roman"/>
                <w:color w:val="000000" w:themeColor="text1"/>
                <w:sz w:val="22"/>
                <w:szCs w:val="22"/>
              </w:rPr>
              <w:t>OCR</w:t>
            </w:r>
          </w:p>
        </w:tc>
        <w:tc>
          <w:tcPr>
            <w:tcW w:w="1465" w:type="dxa"/>
          </w:tcPr>
          <w:p w14:paraId="3EEC71C6" w14:textId="77777777" w:rsidR="00E75B24" w:rsidRPr="001D6079" w:rsidRDefault="00E75B24" w:rsidP="00C6370F">
            <w:pPr>
              <w:rPr>
                <w:rFonts w:ascii="Times New Roman" w:hAnsi="Times New Roman" w:cs="Times New Roman"/>
                <w:color w:val="000000" w:themeColor="text1"/>
                <w:sz w:val="22"/>
                <w:szCs w:val="22"/>
              </w:rPr>
            </w:pPr>
          </w:p>
        </w:tc>
        <w:tc>
          <w:tcPr>
            <w:tcW w:w="1583" w:type="dxa"/>
          </w:tcPr>
          <w:p w14:paraId="0FD5892E" w14:textId="77777777" w:rsidR="00E75B24" w:rsidRPr="001D6079" w:rsidRDefault="00E75B24" w:rsidP="00C6370F">
            <w:pPr>
              <w:rPr>
                <w:rFonts w:ascii="Times New Roman" w:hAnsi="Times New Roman" w:cs="Times New Roman"/>
                <w:color w:val="000000" w:themeColor="text1"/>
                <w:sz w:val="22"/>
                <w:szCs w:val="22"/>
              </w:rPr>
            </w:pPr>
          </w:p>
        </w:tc>
      </w:tr>
      <w:tr w:rsidR="001D6079" w:rsidRPr="001D6079" w14:paraId="76698C7B" w14:textId="77777777" w:rsidTr="00500B16">
        <w:trPr>
          <w:trHeight w:val="620"/>
        </w:trPr>
        <w:tc>
          <w:tcPr>
            <w:tcW w:w="1830" w:type="dxa"/>
          </w:tcPr>
          <w:p w14:paraId="28A6488C" w14:textId="77777777" w:rsidR="00E75B24" w:rsidRPr="001D6079" w:rsidRDefault="00E75B24" w:rsidP="00C6370F">
            <w:pPr>
              <w:rPr>
                <w:rFonts w:ascii="Times New Roman" w:hAnsi="Times New Roman" w:cs="Times New Roman"/>
                <w:color w:val="000000" w:themeColor="text1"/>
                <w:sz w:val="22"/>
                <w:szCs w:val="22"/>
              </w:rPr>
            </w:pPr>
            <w:r w:rsidRPr="001D6079">
              <w:rPr>
                <w:rFonts w:ascii="Times New Roman" w:hAnsi="Times New Roman" w:cs="Times New Roman"/>
                <w:color w:val="000000" w:themeColor="text1"/>
                <w:sz w:val="22"/>
                <w:szCs w:val="22"/>
              </w:rPr>
              <w:t>Derin öğrenme</w:t>
            </w:r>
          </w:p>
        </w:tc>
        <w:tc>
          <w:tcPr>
            <w:tcW w:w="1464" w:type="dxa"/>
          </w:tcPr>
          <w:p w14:paraId="0E39E77F" w14:textId="77777777" w:rsidR="00E75B24" w:rsidRPr="001D6079" w:rsidRDefault="00E75B24" w:rsidP="00C6370F">
            <w:pPr>
              <w:rPr>
                <w:rFonts w:ascii="Times New Roman" w:hAnsi="Times New Roman" w:cs="Times New Roman"/>
                <w:color w:val="000000" w:themeColor="text1"/>
                <w:sz w:val="22"/>
                <w:szCs w:val="22"/>
              </w:rPr>
            </w:pPr>
            <w:r w:rsidRPr="001D6079">
              <w:rPr>
                <w:rFonts w:ascii="Times New Roman" w:hAnsi="Times New Roman" w:cs="Times New Roman"/>
                <w:color w:val="000000" w:themeColor="text1"/>
                <w:sz w:val="22"/>
                <w:szCs w:val="22"/>
              </w:rPr>
              <w:t>NLP</w:t>
            </w:r>
          </w:p>
        </w:tc>
        <w:tc>
          <w:tcPr>
            <w:tcW w:w="1465" w:type="dxa"/>
          </w:tcPr>
          <w:p w14:paraId="5E72B54C" w14:textId="77777777" w:rsidR="00E75B24" w:rsidRPr="001D6079" w:rsidRDefault="00E75B24" w:rsidP="00C6370F">
            <w:pPr>
              <w:rPr>
                <w:rFonts w:ascii="Times New Roman" w:hAnsi="Times New Roman" w:cs="Times New Roman"/>
                <w:color w:val="000000" w:themeColor="text1"/>
                <w:sz w:val="22"/>
                <w:szCs w:val="22"/>
              </w:rPr>
            </w:pPr>
            <w:r w:rsidRPr="001D6079">
              <w:rPr>
                <w:rFonts w:ascii="Times New Roman" w:hAnsi="Times New Roman" w:cs="Times New Roman"/>
                <w:color w:val="000000" w:themeColor="text1"/>
                <w:sz w:val="22"/>
                <w:szCs w:val="22"/>
              </w:rPr>
              <w:t>Kurumsal Kaynak Planlama</w:t>
            </w:r>
          </w:p>
        </w:tc>
        <w:tc>
          <w:tcPr>
            <w:tcW w:w="1465" w:type="dxa"/>
          </w:tcPr>
          <w:p w14:paraId="71A20D5B" w14:textId="77777777" w:rsidR="00E75B24" w:rsidRPr="001D6079" w:rsidRDefault="00E75B24" w:rsidP="00C6370F">
            <w:pPr>
              <w:rPr>
                <w:rFonts w:ascii="Times New Roman" w:hAnsi="Times New Roman" w:cs="Times New Roman"/>
                <w:color w:val="000000" w:themeColor="text1"/>
                <w:sz w:val="22"/>
                <w:szCs w:val="22"/>
              </w:rPr>
            </w:pPr>
          </w:p>
        </w:tc>
        <w:tc>
          <w:tcPr>
            <w:tcW w:w="1583" w:type="dxa"/>
          </w:tcPr>
          <w:p w14:paraId="70E759B6" w14:textId="77777777" w:rsidR="00E75B24" w:rsidRPr="001D6079" w:rsidRDefault="00E75B24" w:rsidP="00C6370F">
            <w:pPr>
              <w:rPr>
                <w:rFonts w:ascii="Times New Roman" w:hAnsi="Times New Roman" w:cs="Times New Roman"/>
                <w:color w:val="000000" w:themeColor="text1"/>
                <w:sz w:val="22"/>
                <w:szCs w:val="22"/>
              </w:rPr>
            </w:pPr>
          </w:p>
        </w:tc>
      </w:tr>
      <w:tr w:rsidR="001D6079" w:rsidRPr="001D6079" w14:paraId="30EA4EF3" w14:textId="77777777" w:rsidTr="00500B16">
        <w:trPr>
          <w:trHeight w:val="410"/>
        </w:trPr>
        <w:tc>
          <w:tcPr>
            <w:tcW w:w="1830" w:type="dxa"/>
          </w:tcPr>
          <w:p w14:paraId="4A3F4424" w14:textId="77777777" w:rsidR="00E75B24" w:rsidRPr="001D6079" w:rsidRDefault="00E75B24" w:rsidP="00C6370F">
            <w:pPr>
              <w:rPr>
                <w:rFonts w:ascii="Times New Roman" w:hAnsi="Times New Roman" w:cs="Times New Roman"/>
                <w:color w:val="000000" w:themeColor="text1"/>
                <w:sz w:val="22"/>
                <w:szCs w:val="22"/>
              </w:rPr>
            </w:pPr>
            <w:r w:rsidRPr="001D6079">
              <w:rPr>
                <w:rFonts w:ascii="Times New Roman" w:hAnsi="Times New Roman" w:cs="Times New Roman"/>
                <w:color w:val="000000" w:themeColor="text1"/>
                <w:sz w:val="22"/>
                <w:szCs w:val="22"/>
              </w:rPr>
              <w:t>Yapay Sinir Ağları</w:t>
            </w:r>
          </w:p>
        </w:tc>
        <w:tc>
          <w:tcPr>
            <w:tcW w:w="1464" w:type="dxa"/>
          </w:tcPr>
          <w:p w14:paraId="782603D9" w14:textId="77777777" w:rsidR="00E75B24" w:rsidRPr="001D6079" w:rsidRDefault="00E75B24" w:rsidP="00C6370F">
            <w:pPr>
              <w:jc w:val="center"/>
              <w:rPr>
                <w:rFonts w:ascii="Times New Roman" w:hAnsi="Times New Roman" w:cs="Times New Roman"/>
                <w:color w:val="000000" w:themeColor="text1"/>
                <w:sz w:val="22"/>
                <w:szCs w:val="22"/>
              </w:rPr>
            </w:pPr>
            <w:r w:rsidRPr="001D6079">
              <w:rPr>
                <w:rFonts w:ascii="Times New Roman" w:hAnsi="Times New Roman" w:cs="Times New Roman"/>
                <w:color w:val="000000" w:themeColor="text1"/>
                <w:sz w:val="22"/>
                <w:szCs w:val="22"/>
              </w:rPr>
              <w:t>Elektronik fatura</w:t>
            </w:r>
          </w:p>
        </w:tc>
        <w:tc>
          <w:tcPr>
            <w:tcW w:w="1465" w:type="dxa"/>
          </w:tcPr>
          <w:p w14:paraId="656E95D0" w14:textId="77777777" w:rsidR="00E75B24" w:rsidRPr="001D6079" w:rsidRDefault="00E75B24" w:rsidP="00C6370F">
            <w:pPr>
              <w:rPr>
                <w:rFonts w:ascii="Times New Roman" w:hAnsi="Times New Roman" w:cs="Times New Roman"/>
                <w:color w:val="000000" w:themeColor="text1"/>
                <w:sz w:val="22"/>
                <w:szCs w:val="22"/>
              </w:rPr>
            </w:pPr>
            <w:r w:rsidRPr="001D6079">
              <w:rPr>
                <w:rFonts w:ascii="Times New Roman" w:hAnsi="Times New Roman" w:cs="Times New Roman"/>
                <w:color w:val="000000" w:themeColor="text1"/>
                <w:sz w:val="22"/>
                <w:szCs w:val="22"/>
              </w:rPr>
              <w:t>Malzeme İhtiyaç Planlama</w:t>
            </w:r>
          </w:p>
        </w:tc>
        <w:tc>
          <w:tcPr>
            <w:tcW w:w="1465" w:type="dxa"/>
          </w:tcPr>
          <w:p w14:paraId="5E7641AD" w14:textId="77777777" w:rsidR="00E75B24" w:rsidRPr="001D6079" w:rsidRDefault="00E75B24" w:rsidP="00C6370F">
            <w:pPr>
              <w:rPr>
                <w:rFonts w:ascii="Times New Roman" w:hAnsi="Times New Roman" w:cs="Times New Roman"/>
                <w:color w:val="000000" w:themeColor="text1"/>
                <w:sz w:val="22"/>
                <w:szCs w:val="22"/>
              </w:rPr>
            </w:pPr>
          </w:p>
        </w:tc>
        <w:tc>
          <w:tcPr>
            <w:tcW w:w="1583" w:type="dxa"/>
          </w:tcPr>
          <w:p w14:paraId="79C26003" w14:textId="77777777" w:rsidR="00E75B24" w:rsidRPr="001D6079" w:rsidRDefault="00E75B24" w:rsidP="00C6370F">
            <w:pPr>
              <w:rPr>
                <w:rFonts w:ascii="Times New Roman" w:hAnsi="Times New Roman" w:cs="Times New Roman"/>
                <w:color w:val="000000" w:themeColor="text1"/>
                <w:sz w:val="22"/>
                <w:szCs w:val="22"/>
              </w:rPr>
            </w:pPr>
          </w:p>
        </w:tc>
      </w:tr>
      <w:tr w:rsidR="001D6079" w:rsidRPr="001D6079" w14:paraId="76639BF3" w14:textId="77777777" w:rsidTr="00500B16">
        <w:trPr>
          <w:trHeight w:val="620"/>
        </w:trPr>
        <w:tc>
          <w:tcPr>
            <w:tcW w:w="1830" w:type="dxa"/>
          </w:tcPr>
          <w:p w14:paraId="27E37D7F" w14:textId="77777777" w:rsidR="00E75B24" w:rsidRPr="001D6079" w:rsidRDefault="00E75B24" w:rsidP="00C6370F">
            <w:pPr>
              <w:rPr>
                <w:rFonts w:ascii="Times New Roman" w:hAnsi="Times New Roman" w:cs="Times New Roman"/>
                <w:color w:val="000000" w:themeColor="text1"/>
                <w:sz w:val="22"/>
                <w:szCs w:val="22"/>
              </w:rPr>
            </w:pPr>
            <w:r w:rsidRPr="001D6079">
              <w:rPr>
                <w:rFonts w:ascii="Times New Roman" w:hAnsi="Times New Roman" w:cs="Times New Roman"/>
                <w:color w:val="000000" w:themeColor="text1"/>
                <w:sz w:val="22"/>
                <w:szCs w:val="22"/>
              </w:rPr>
              <w:t>Yapay Zekâ</w:t>
            </w:r>
          </w:p>
          <w:p w14:paraId="5D5233F9" w14:textId="77777777" w:rsidR="00E75B24" w:rsidRPr="001D6079" w:rsidRDefault="00E75B24" w:rsidP="00C6370F">
            <w:pPr>
              <w:rPr>
                <w:rFonts w:ascii="Times New Roman" w:hAnsi="Times New Roman" w:cs="Times New Roman"/>
                <w:color w:val="000000" w:themeColor="text1"/>
                <w:sz w:val="22"/>
                <w:szCs w:val="22"/>
              </w:rPr>
            </w:pPr>
          </w:p>
          <w:p w14:paraId="35A0B232" w14:textId="77777777" w:rsidR="00E75B24" w:rsidRPr="001D6079" w:rsidRDefault="00E75B24" w:rsidP="00C6370F">
            <w:pPr>
              <w:rPr>
                <w:rFonts w:ascii="Times New Roman" w:hAnsi="Times New Roman" w:cs="Times New Roman"/>
                <w:color w:val="000000" w:themeColor="text1"/>
                <w:sz w:val="22"/>
                <w:szCs w:val="22"/>
              </w:rPr>
            </w:pPr>
          </w:p>
        </w:tc>
        <w:tc>
          <w:tcPr>
            <w:tcW w:w="1464" w:type="dxa"/>
          </w:tcPr>
          <w:p w14:paraId="70E100BA" w14:textId="77777777" w:rsidR="00E75B24" w:rsidRPr="001D6079" w:rsidRDefault="00E75B24" w:rsidP="00C6370F">
            <w:pPr>
              <w:jc w:val="center"/>
              <w:rPr>
                <w:rFonts w:ascii="Times New Roman" w:hAnsi="Times New Roman" w:cs="Times New Roman"/>
                <w:color w:val="000000" w:themeColor="text1"/>
                <w:sz w:val="22"/>
                <w:szCs w:val="22"/>
              </w:rPr>
            </w:pPr>
            <w:r w:rsidRPr="001D6079">
              <w:rPr>
                <w:rFonts w:ascii="Times New Roman" w:hAnsi="Times New Roman" w:cs="Times New Roman"/>
                <w:color w:val="000000" w:themeColor="text1"/>
                <w:sz w:val="22"/>
                <w:szCs w:val="22"/>
              </w:rPr>
              <w:t>Elektronik ticaret</w:t>
            </w:r>
          </w:p>
          <w:p w14:paraId="02E5D43D" w14:textId="77777777" w:rsidR="00E75B24" w:rsidRPr="001D6079" w:rsidRDefault="00E75B24" w:rsidP="00C6370F">
            <w:pPr>
              <w:jc w:val="center"/>
              <w:rPr>
                <w:rFonts w:ascii="Times New Roman" w:hAnsi="Times New Roman" w:cs="Times New Roman"/>
                <w:color w:val="000000" w:themeColor="text1"/>
                <w:sz w:val="22"/>
                <w:szCs w:val="22"/>
              </w:rPr>
            </w:pPr>
          </w:p>
        </w:tc>
        <w:tc>
          <w:tcPr>
            <w:tcW w:w="1465" w:type="dxa"/>
          </w:tcPr>
          <w:p w14:paraId="460BD498" w14:textId="77777777" w:rsidR="00E75B24" w:rsidRPr="001D6079" w:rsidRDefault="00E75B24" w:rsidP="00C6370F">
            <w:pPr>
              <w:rPr>
                <w:rFonts w:ascii="Times New Roman" w:hAnsi="Times New Roman" w:cs="Times New Roman"/>
                <w:color w:val="000000" w:themeColor="text1"/>
                <w:sz w:val="22"/>
                <w:szCs w:val="22"/>
              </w:rPr>
            </w:pPr>
            <w:r w:rsidRPr="001D6079">
              <w:rPr>
                <w:rFonts w:ascii="Times New Roman" w:hAnsi="Times New Roman" w:cs="Times New Roman"/>
                <w:color w:val="000000" w:themeColor="text1"/>
                <w:sz w:val="22"/>
                <w:szCs w:val="22"/>
              </w:rPr>
              <w:t>Blok zincir</w:t>
            </w:r>
          </w:p>
          <w:p w14:paraId="4EE79A0C" w14:textId="77777777" w:rsidR="00E75B24" w:rsidRPr="001D6079" w:rsidRDefault="00E75B24" w:rsidP="00C6370F">
            <w:pPr>
              <w:rPr>
                <w:rFonts w:ascii="Times New Roman" w:hAnsi="Times New Roman" w:cs="Times New Roman"/>
                <w:color w:val="000000" w:themeColor="text1"/>
                <w:sz w:val="22"/>
                <w:szCs w:val="22"/>
              </w:rPr>
            </w:pPr>
          </w:p>
          <w:p w14:paraId="260D8C23" w14:textId="77777777" w:rsidR="00E75B24" w:rsidRPr="001D6079" w:rsidRDefault="00E75B24" w:rsidP="00C6370F">
            <w:pPr>
              <w:rPr>
                <w:rFonts w:ascii="Times New Roman" w:hAnsi="Times New Roman" w:cs="Times New Roman"/>
                <w:color w:val="000000" w:themeColor="text1"/>
                <w:sz w:val="22"/>
                <w:szCs w:val="22"/>
              </w:rPr>
            </w:pPr>
          </w:p>
        </w:tc>
        <w:tc>
          <w:tcPr>
            <w:tcW w:w="1465" w:type="dxa"/>
          </w:tcPr>
          <w:p w14:paraId="70C5E305" w14:textId="77777777" w:rsidR="00E75B24" w:rsidRPr="001D6079" w:rsidRDefault="00E75B24" w:rsidP="00C6370F">
            <w:pPr>
              <w:rPr>
                <w:rFonts w:ascii="Times New Roman" w:hAnsi="Times New Roman" w:cs="Times New Roman"/>
                <w:color w:val="000000" w:themeColor="text1"/>
                <w:sz w:val="22"/>
                <w:szCs w:val="22"/>
              </w:rPr>
            </w:pPr>
          </w:p>
        </w:tc>
        <w:tc>
          <w:tcPr>
            <w:tcW w:w="1583" w:type="dxa"/>
          </w:tcPr>
          <w:p w14:paraId="72A31B84" w14:textId="77777777" w:rsidR="00E75B24" w:rsidRPr="001D6079" w:rsidRDefault="00E75B24" w:rsidP="00C6370F">
            <w:pPr>
              <w:rPr>
                <w:rFonts w:ascii="Times New Roman" w:hAnsi="Times New Roman" w:cs="Times New Roman"/>
                <w:color w:val="000000" w:themeColor="text1"/>
                <w:sz w:val="22"/>
                <w:szCs w:val="22"/>
              </w:rPr>
            </w:pPr>
          </w:p>
        </w:tc>
      </w:tr>
    </w:tbl>
    <w:p w14:paraId="4884C075" w14:textId="1E8B794D" w:rsidR="00485C37" w:rsidRPr="001D6079" w:rsidRDefault="00485C37" w:rsidP="00485C37">
      <w:pPr>
        <w:rPr>
          <w:rFonts w:ascii="Times New Roman" w:hAnsi="Times New Roman" w:cs="Times New Roman"/>
          <w:b/>
          <w:bCs/>
          <w:color w:val="000000" w:themeColor="text1"/>
        </w:rPr>
      </w:pPr>
      <w:r w:rsidRPr="001D6079">
        <w:rPr>
          <w:rFonts w:ascii="Times New Roman" w:hAnsi="Times New Roman" w:cs="Times New Roman"/>
          <w:b/>
          <w:bCs/>
          <w:color w:val="000000" w:themeColor="text1"/>
        </w:rPr>
        <w:lastRenderedPageBreak/>
        <w:t xml:space="preserve">Kaynak: </w:t>
      </w:r>
      <w:r w:rsidRPr="001D6079">
        <w:rPr>
          <w:rFonts w:ascii="Times New Roman" w:hAnsi="Times New Roman" w:cs="Times New Roman"/>
          <w:color w:val="000000" w:themeColor="text1"/>
        </w:rPr>
        <w:t>Yazar tarafından derlenmiştir.</w:t>
      </w:r>
    </w:p>
    <w:p w14:paraId="6662A300" w14:textId="77777777" w:rsidR="00E75B24" w:rsidRPr="001D6079" w:rsidRDefault="00E75B24" w:rsidP="00E75B24">
      <w:pPr>
        <w:rPr>
          <w:rFonts w:ascii="Times New Roman" w:hAnsi="Times New Roman" w:cs="Times New Roman"/>
          <w:color w:val="000000" w:themeColor="text1"/>
        </w:rPr>
      </w:pPr>
    </w:p>
    <w:p w14:paraId="71141C3A" w14:textId="77777777" w:rsidR="00E75B24" w:rsidRPr="001D6079" w:rsidRDefault="00E75B24" w:rsidP="00E75B24">
      <w:pPr>
        <w:jc w:val="both"/>
        <w:rPr>
          <w:rFonts w:ascii="Times New Roman" w:hAnsi="Times New Roman" w:cs="Times New Roman"/>
          <w:color w:val="000000" w:themeColor="text1"/>
        </w:rPr>
      </w:pPr>
      <w:r w:rsidRPr="001D6079">
        <w:rPr>
          <w:rFonts w:ascii="Times New Roman" w:hAnsi="Times New Roman" w:cs="Times New Roman"/>
          <w:color w:val="000000" w:themeColor="text1"/>
        </w:rPr>
        <w:t xml:space="preserve">TPV ve Dijital kelimeler hesaplamalarından elde edilen sonuçlar standartlaştırma işlemine tabii tutulmuşlardır. </w:t>
      </w:r>
    </w:p>
    <w:p w14:paraId="2C3C6037" w14:textId="52D62A2E" w:rsidR="00E75B24" w:rsidRPr="001D6079" w:rsidRDefault="00E75B24" w:rsidP="00E75B24">
      <w:pPr>
        <w:jc w:val="both"/>
        <w:rPr>
          <w:rFonts w:ascii="Times New Roman" w:hAnsi="Times New Roman" w:cs="Times New Roman"/>
          <w:color w:val="000000" w:themeColor="text1"/>
        </w:rPr>
      </w:pPr>
      <w:r w:rsidRPr="001D6079">
        <w:rPr>
          <w:rFonts w:ascii="Times New Roman" w:hAnsi="Times New Roman" w:cs="Times New Roman"/>
          <w:noProof/>
          <w:color w:val="000000" w:themeColor="text1"/>
          <w:lang w:eastAsia="tr-TR"/>
        </w:rPr>
        <mc:AlternateContent>
          <mc:Choice Requires="wps">
            <w:drawing>
              <wp:anchor distT="45720" distB="45720" distL="114300" distR="114300" simplePos="0" relativeHeight="251662336" behindDoc="0" locked="0" layoutInCell="1" allowOverlap="1" wp14:anchorId="0FB72A77" wp14:editId="00E4DD98">
                <wp:simplePos x="0" y="0"/>
                <wp:positionH relativeFrom="column">
                  <wp:posOffset>5288289</wp:posOffset>
                </wp:positionH>
                <wp:positionV relativeFrom="paragraph">
                  <wp:posOffset>43547</wp:posOffset>
                </wp:positionV>
                <wp:extent cx="476250" cy="263525"/>
                <wp:effectExtent l="0" t="0" r="0" b="3175"/>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63525"/>
                        </a:xfrm>
                        <a:prstGeom prst="rect">
                          <a:avLst/>
                        </a:prstGeom>
                        <a:solidFill>
                          <a:srgbClr val="FFFFFF"/>
                        </a:solidFill>
                        <a:ln w="9525">
                          <a:noFill/>
                          <a:miter lim="800000"/>
                          <a:headEnd/>
                          <a:tailEnd/>
                        </a:ln>
                      </wps:spPr>
                      <wps:txbx>
                        <w:txbxContent>
                          <w:p w14:paraId="31D24315" w14:textId="77777777" w:rsidR="00E75B24" w:rsidRDefault="00E75B24" w:rsidP="00E75B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B72A77" id="_x0000_t202" coordsize="21600,21600" o:spt="202" path="m,l,21600r21600,l21600,xe">
                <v:stroke joinstyle="miter"/>
                <v:path gradientshapeok="t" o:connecttype="rect"/>
              </v:shapetype>
              <v:shape id="Metin Kutusu 2" o:spid="_x0000_s1026" type="#_x0000_t202" style="position:absolute;left:0;text-align:left;margin-left:416.4pt;margin-top:3.45pt;width:37.5pt;height:20.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" stroked="f">
                <v:textbox>
                  <w:txbxContent>
                    <w:p w14:paraId="31D24315" w14:textId="77777777" w:rsidR="00E75B24" w:rsidRDefault="00E75B24" w:rsidP="00E75B24"/>
                  </w:txbxContent>
                </v:textbox>
                <w10:wrap type="square"/>
              </v:shape>
            </w:pict>
          </mc:Fallback>
        </mc:AlternateContent>
      </w:r>
      <w:r w:rsidRPr="001D6079">
        <w:rPr>
          <w:rFonts w:ascii="Times New Roman" w:hAnsi="Times New Roman" w:cs="Times New Roman"/>
          <w:color w:val="000000" w:themeColor="text1"/>
        </w:rPr>
        <w:t xml:space="preserve"> Normalize Skor = 1 + [(Değer - Min) / (Max - Min)] × 4              </w:t>
      </w:r>
      <w:r w:rsidR="009B12BF" w:rsidRPr="001D6079">
        <w:rPr>
          <w:rFonts w:ascii="Times New Roman" w:hAnsi="Times New Roman" w:cs="Times New Roman"/>
          <w:color w:val="000000" w:themeColor="text1"/>
        </w:rPr>
        <w:t xml:space="preserve">                                       (5)</w:t>
      </w:r>
      <w:r w:rsidRPr="001D6079">
        <w:rPr>
          <w:rFonts w:ascii="Times New Roman" w:hAnsi="Times New Roman" w:cs="Times New Roman"/>
          <w:color w:val="000000" w:themeColor="text1"/>
        </w:rPr>
        <w:t xml:space="preserve">                                </w:t>
      </w:r>
    </w:p>
    <w:p w14:paraId="7EE94317" w14:textId="77777777" w:rsidR="00E75B24" w:rsidRPr="001D6079" w:rsidRDefault="00E75B24" w:rsidP="00E75B24">
      <w:pPr>
        <w:jc w:val="both"/>
        <w:rPr>
          <w:rFonts w:ascii="Times New Roman" w:hAnsi="Times New Roman" w:cs="Times New Roman"/>
          <w:color w:val="000000" w:themeColor="text1"/>
        </w:rPr>
      </w:pPr>
      <w:r w:rsidRPr="001D6079">
        <w:rPr>
          <w:rFonts w:ascii="Times New Roman" w:hAnsi="Times New Roman" w:cs="Times New Roman"/>
          <w:color w:val="000000" w:themeColor="text1"/>
        </w:rPr>
        <w:t>Genel Endeks = (D1×0,30) + (D2×0,20) + (D3×0,25) + (D4×0,15) + (D5×0,10)                       (6)</w:t>
      </w:r>
    </w:p>
    <w:p w14:paraId="39BE2375" w14:textId="77777777" w:rsidR="00E75B24" w:rsidRPr="001D6079" w:rsidRDefault="00E75B24" w:rsidP="00E75B24">
      <w:pPr>
        <w:jc w:val="both"/>
        <w:rPr>
          <w:rFonts w:ascii="Times New Roman" w:hAnsi="Times New Roman" w:cs="Times New Roman"/>
          <w:color w:val="000000" w:themeColor="text1"/>
        </w:rPr>
      </w:pPr>
      <w:r w:rsidRPr="001D6079">
        <w:rPr>
          <w:rFonts w:ascii="Times New Roman" w:hAnsi="Times New Roman" w:cs="Times New Roman"/>
          <w:color w:val="000000" w:themeColor="text1"/>
        </w:rPr>
        <w:t>TFV ve Dijitalleşme düzeyi verileri standartlaştırılarak 1-5 skalasına uyumlandırılarak endeks son haline getirilmiştir. Dijitalleşme boyutlarının ağırlığı ise, D1-Dijitalleşme alt yapısı-%30, D2-</w:t>
      </w:r>
    </w:p>
    <w:p w14:paraId="4E631A2B" w14:textId="77777777" w:rsidR="00E75B24" w:rsidRPr="001D6079" w:rsidRDefault="00E75B24" w:rsidP="00E75B24">
      <w:pPr>
        <w:jc w:val="both"/>
        <w:rPr>
          <w:rFonts w:ascii="Times New Roman" w:hAnsi="Times New Roman" w:cs="Times New Roman"/>
          <w:color w:val="000000" w:themeColor="text1"/>
        </w:rPr>
      </w:pPr>
      <w:r w:rsidRPr="001D6079">
        <w:rPr>
          <w:rFonts w:ascii="Times New Roman" w:hAnsi="Times New Roman" w:cs="Times New Roman"/>
          <w:color w:val="000000" w:themeColor="text1"/>
        </w:rPr>
        <w:t>Dijitalleşme endeksinin boyutlarına ilişkin ağırlıklandırma, dijital dönüşüm literatüründeki teorik çerçevelerden (Verhoef et al., 2021; Bharadwaj et al., 2013) ve uluslararası endeks metodolojilerinden (DESI, 2022; OECD, 2021) yararlanılarak belirlenmiştir. Temel dijitalleşme altyapısının (%30) en yüksek ağırlığa sahip olması, Matt et al. (2015)'in 'dijital hazırlık' kavramıyla uyumlu olarak, üst düzey dijital uygulamaların ön koşulu olması gerekçesine dayanmaktadır. İş süreçleri dijitalleşmesi (%25), Westerman et al. (2014) tarafından tanımlanan 'operasyonel omurga' kavramına paralel olarak ikinci sırada yer almaktadır. Dijital pazarlama (%20) ve İK dijitalleşmesi (%15) ağırlıkları, KOBİ'lere özgü dijital dönüşüm öncelikleri (Quinton et al., 2018; Raisch &amp; Krakowski, 2021) dikkate alınarak belirlenmiştir. Finans/güvenlik/regülasyon boyutunun görece düşük ağırlığı (%10), KOBİ'lerde bu alanlarda standart üçüncü parti çözümlerin yaygın kullanımı (Cichosz et al., 2020) ile açıklanmaktadır (Tablo 5).</w:t>
      </w:r>
    </w:p>
    <w:p w14:paraId="4AEFB538" w14:textId="77777777" w:rsidR="00E75B24" w:rsidRPr="001D6079" w:rsidRDefault="00E75B24" w:rsidP="00E75B24">
      <w:pPr>
        <w:jc w:val="both"/>
        <w:rPr>
          <w:rFonts w:ascii="Times New Roman" w:hAnsi="Times New Roman" w:cs="Times New Roman"/>
          <w:color w:val="000000" w:themeColor="text1"/>
        </w:rPr>
      </w:pPr>
      <w:r w:rsidRPr="001D6079">
        <w:rPr>
          <w:rFonts w:ascii="Times New Roman" w:hAnsi="Times New Roman" w:cs="Times New Roman"/>
          <w:b/>
          <w:bCs/>
          <w:color w:val="000000" w:themeColor="text1"/>
        </w:rPr>
        <w:t>Tablo 5:</w:t>
      </w:r>
      <w:r w:rsidRPr="001D6079">
        <w:rPr>
          <w:rFonts w:ascii="Times New Roman" w:hAnsi="Times New Roman" w:cs="Times New Roman"/>
          <w:color w:val="000000" w:themeColor="text1"/>
        </w:rPr>
        <w:t xml:space="preserve"> Dijitalleşme Boyutları Ağırlıklarının Mevcut Dijitalleşme Endeksleri ile Karşılaştırılması</w:t>
      </w:r>
    </w:p>
    <w:p w14:paraId="3C2E5956" w14:textId="59FFFE94" w:rsidR="00E75B24" w:rsidRPr="001D6079" w:rsidRDefault="002B4DC3" w:rsidP="00E75B24">
      <w:pPr>
        <w:rPr>
          <w:rFonts w:ascii="Times New Roman" w:hAnsi="Times New Roman" w:cs="Times New Roman"/>
          <w:color w:val="000000" w:themeColor="text1"/>
        </w:rPr>
      </w:pPr>
      <w:r w:rsidRPr="002B4DC3">
        <w:rPr>
          <w:noProof/>
          <w:lang w:eastAsia="tr-TR"/>
        </w:rPr>
        <w:drawing>
          <wp:inline distT="0" distB="0" distL="0" distR="0" wp14:anchorId="08AE345B" wp14:editId="705BC563">
            <wp:extent cx="4690946" cy="1840286"/>
            <wp:effectExtent l="0" t="0" r="0" b="0"/>
            <wp:docPr id="261608221"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02688" cy="1844892"/>
                    </a:xfrm>
                    <a:prstGeom prst="rect">
                      <a:avLst/>
                    </a:prstGeom>
                    <a:noFill/>
                    <a:ln>
                      <a:noFill/>
                    </a:ln>
                  </pic:spPr>
                </pic:pic>
              </a:graphicData>
            </a:graphic>
          </wp:inline>
        </w:drawing>
      </w:r>
    </w:p>
    <w:p w14:paraId="59261394" w14:textId="77777777" w:rsidR="00E75B24" w:rsidRPr="001D6079" w:rsidRDefault="00E75B24" w:rsidP="00E75B24">
      <w:pPr>
        <w:jc w:val="both"/>
        <w:rPr>
          <w:rFonts w:ascii="Times New Roman" w:hAnsi="Times New Roman" w:cs="Times New Roman"/>
          <w:color w:val="000000" w:themeColor="text1"/>
        </w:rPr>
      </w:pPr>
      <w:r w:rsidRPr="001D6079">
        <w:rPr>
          <w:rFonts w:ascii="Times New Roman" w:hAnsi="Times New Roman" w:cs="Times New Roman"/>
          <w:color w:val="000000" w:themeColor="text1"/>
        </w:rPr>
        <w:t xml:space="preserve">TFV bileşeninin sektörel farklılıklardan arındırılması için Z-score standardizasyonu uygulanmıştır (OECD, 2008). Bu yaklaşım, </w:t>
      </w:r>
      <w:r w:rsidRPr="001D6079">
        <w:rPr>
          <w:rFonts w:ascii="Times New Roman" w:hAnsi="Times New Roman" w:cs="Times New Roman"/>
          <w:b/>
          <w:bCs/>
          <w:color w:val="000000" w:themeColor="text1"/>
        </w:rPr>
        <w:t>her firmanın TFV performansını kendi sektörünün ortalamasına göre değerlendirerek sektörler arası yapısal farklılıkları nötralize etmektedir</w:t>
      </w:r>
      <w:r w:rsidRPr="001D6079">
        <w:rPr>
          <w:rFonts w:ascii="Times New Roman" w:hAnsi="Times New Roman" w:cs="Times New Roman"/>
          <w:color w:val="000000" w:themeColor="text1"/>
        </w:rPr>
        <w:t xml:space="preserve"> (Van Ark et al., 2008; Syverson, 2011). Normalize TFV skoru şu formülle hesaplanmıştır: </w:t>
      </w:r>
    </w:p>
    <w:p w14:paraId="24C9FEB7" w14:textId="4B7E6F62" w:rsidR="00E75B24" w:rsidRPr="001D6079" w:rsidRDefault="00E75B24" w:rsidP="00E75B24">
      <w:pPr>
        <w:jc w:val="both"/>
        <w:rPr>
          <w:rFonts w:ascii="Times New Roman" w:hAnsi="Times New Roman" w:cs="Times New Roman"/>
          <w:color w:val="000000" w:themeColor="text1"/>
        </w:rPr>
      </w:pPr>
      <w:r w:rsidRPr="001D6079">
        <w:rPr>
          <w:rFonts w:ascii="Times New Roman" w:hAnsi="Times New Roman" w:cs="Times New Roman"/>
          <w:color w:val="000000" w:themeColor="text1"/>
        </w:rPr>
        <w:t xml:space="preserve">TFV_normalize = 3 + [(TFV - μ_sektör) / σ_sektör] × 0,67                                       </w:t>
      </w:r>
      <w:r w:rsidR="00485C37" w:rsidRPr="001D6079">
        <w:rPr>
          <w:rFonts w:ascii="Times New Roman" w:hAnsi="Times New Roman" w:cs="Times New Roman"/>
          <w:color w:val="000000" w:themeColor="text1"/>
        </w:rPr>
        <w:t xml:space="preserve">             </w:t>
      </w:r>
      <w:r w:rsidRPr="001D6079">
        <w:rPr>
          <w:rFonts w:ascii="Times New Roman" w:hAnsi="Times New Roman" w:cs="Times New Roman"/>
          <w:color w:val="000000" w:themeColor="text1"/>
        </w:rPr>
        <w:t xml:space="preserve">           (7)</w:t>
      </w:r>
    </w:p>
    <w:p w14:paraId="743D862C" w14:textId="77777777" w:rsidR="00E75B24" w:rsidRPr="001D6079" w:rsidRDefault="00E75B24" w:rsidP="00E75B24">
      <w:pPr>
        <w:jc w:val="both"/>
        <w:rPr>
          <w:rFonts w:ascii="Times New Roman" w:hAnsi="Times New Roman" w:cs="Times New Roman"/>
          <w:color w:val="000000" w:themeColor="text1"/>
        </w:rPr>
      </w:pPr>
      <w:r w:rsidRPr="001D6079">
        <w:rPr>
          <w:rFonts w:ascii="Times New Roman" w:hAnsi="Times New Roman" w:cs="Times New Roman"/>
          <w:color w:val="000000" w:themeColor="text1"/>
        </w:rPr>
        <w:t>Bu formülde μ_sektör ilgili sektörün ortalama TFV değerini, σ_sektör ise standart sapmasını ifade etmektedir. Katsayı 0,67, ±3 standart sapma aralığını 1-5 skalasına oturtmak için kullanılmıştır."</w:t>
      </w:r>
    </w:p>
    <w:p w14:paraId="77514210" w14:textId="77777777" w:rsidR="00E75B24" w:rsidRPr="001D6079" w:rsidRDefault="00E75B24" w:rsidP="00E75B24">
      <w:pPr>
        <w:jc w:val="both"/>
        <w:rPr>
          <w:rFonts w:ascii="Times New Roman" w:hAnsi="Times New Roman" w:cs="Times New Roman"/>
          <w:color w:val="000000" w:themeColor="text1"/>
        </w:rPr>
      </w:pPr>
      <w:r w:rsidRPr="001D6079">
        <w:rPr>
          <w:rFonts w:ascii="Times New Roman" w:hAnsi="Times New Roman" w:cs="Times New Roman"/>
          <w:color w:val="000000" w:themeColor="text1"/>
        </w:rPr>
        <w:t>Final endeks için %50 TFV + %50 dijital kelime oranı ağırlıklandırılması kullanılmıştır.</w:t>
      </w:r>
    </w:p>
    <w:p w14:paraId="0360583A" w14:textId="55AC27EE" w:rsidR="00E75B24" w:rsidRPr="001D6079" w:rsidRDefault="00E75B24" w:rsidP="00E75B24">
      <w:pPr>
        <w:jc w:val="both"/>
        <w:rPr>
          <w:rFonts w:ascii="Times New Roman" w:hAnsi="Times New Roman" w:cs="Times New Roman"/>
          <w:color w:val="000000" w:themeColor="text1"/>
        </w:rPr>
      </w:pPr>
      <w:r w:rsidRPr="001D6079">
        <w:rPr>
          <w:rFonts w:ascii="Times New Roman" w:hAnsi="Times New Roman" w:cs="Times New Roman"/>
          <w:color w:val="000000" w:themeColor="text1"/>
        </w:rPr>
        <w:t xml:space="preserve">KODİDEKS = (Dijital Skor × 0,50) + (TFV Skor × 0,50)                                                     </w:t>
      </w:r>
      <w:r w:rsidR="00485C37" w:rsidRPr="001D6079">
        <w:rPr>
          <w:rFonts w:ascii="Times New Roman" w:hAnsi="Times New Roman" w:cs="Times New Roman"/>
          <w:color w:val="000000" w:themeColor="text1"/>
        </w:rPr>
        <w:t xml:space="preserve">      </w:t>
      </w:r>
      <w:r w:rsidRPr="001D6079">
        <w:rPr>
          <w:rFonts w:ascii="Times New Roman" w:hAnsi="Times New Roman" w:cs="Times New Roman"/>
          <w:color w:val="000000" w:themeColor="text1"/>
        </w:rPr>
        <w:t xml:space="preserve">       (8)</w:t>
      </w:r>
    </w:p>
    <w:p w14:paraId="0DC6BF42" w14:textId="77777777" w:rsidR="00E75B24" w:rsidRPr="001D6079" w:rsidRDefault="00E75B24" w:rsidP="00E75B24">
      <w:pPr>
        <w:jc w:val="both"/>
        <w:rPr>
          <w:rFonts w:ascii="Times New Roman" w:hAnsi="Times New Roman" w:cs="Times New Roman"/>
          <w:color w:val="000000" w:themeColor="text1"/>
        </w:rPr>
      </w:pPr>
      <w:r w:rsidRPr="001D6079">
        <w:rPr>
          <w:rFonts w:ascii="Times New Roman" w:hAnsi="Times New Roman" w:cs="Times New Roman"/>
          <w:color w:val="000000" w:themeColor="text1"/>
        </w:rPr>
        <w:t>Elde edilen sonuçlar için kullanılan skalaya Tablo 6’da yer verilmiştir.</w:t>
      </w:r>
    </w:p>
    <w:p w14:paraId="1CA4107C" w14:textId="77777777" w:rsidR="00E75B24" w:rsidRPr="001D6079" w:rsidRDefault="00E75B24" w:rsidP="009B12BF">
      <w:pPr>
        <w:jc w:val="center"/>
        <w:rPr>
          <w:rFonts w:ascii="Times New Roman" w:hAnsi="Times New Roman" w:cs="Times New Roman"/>
          <w:color w:val="000000" w:themeColor="text1"/>
        </w:rPr>
      </w:pPr>
      <w:r w:rsidRPr="001D6079">
        <w:rPr>
          <w:rFonts w:ascii="Times New Roman" w:hAnsi="Times New Roman" w:cs="Times New Roman"/>
          <w:b/>
          <w:bCs/>
          <w:color w:val="000000" w:themeColor="text1"/>
        </w:rPr>
        <w:t>Tablo 6:</w:t>
      </w:r>
      <w:r w:rsidRPr="001D6079">
        <w:rPr>
          <w:rFonts w:ascii="Times New Roman" w:hAnsi="Times New Roman" w:cs="Times New Roman"/>
          <w:color w:val="000000" w:themeColor="text1"/>
        </w:rPr>
        <w:t xml:space="preserve"> Dijital Dönüşüm Skalası</w:t>
      </w:r>
    </w:p>
    <w:p w14:paraId="61790765" w14:textId="33B22470" w:rsidR="00E75B24" w:rsidRPr="001D6079" w:rsidRDefault="00771352" w:rsidP="00E75B24">
      <w:pPr>
        <w:jc w:val="both"/>
        <w:rPr>
          <w:rFonts w:ascii="Times New Roman" w:hAnsi="Times New Roman" w:cs="Times New Roman"/>
          <w:color w:val="000000" w:themeColor="text1"/>
        </w:rPr>
      </w:pPr>
      <w:r w:rsidRPr="00771352">
        <w:rPr>
          <w:noProof/>
          <w:lang w:eastAsia="tr-TR"/>
        </w:rPr>
        <w:lastRenderedPageBreak/>
        <w:drawing>
          <wp:inline distT="0" distB="0" distL="0" distR="0" wp14:anchorId="2A05F831" wp14:editId="54E0458F">
            <wp:extent cx="4616605" cy="1751582"/>
            <wp:effectExtent l="0" t="0" r="0" b="0"/>
            <wp:docPr id="293717980"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30228" cy="1756751"/>
                    </a:xfrm>
                    <a:prstGeom prst="rect">
                      <a:avLst/>
                    </a:prstGeom>
                    <a:noFill/>
                    <a:ln>
                      <a:noFill/>
                    </a:ln>
                  </pic:spPr>
                </pic:pic>
              </a:graphicData>
            </a:graphic>
          </wp:inline>
        </w:drawing>
      </w:r>
    </w:p>
    <w:p w14:paraId="7B1D86B4" w14:textId="53238086" w:rsidR="00E75B24" w:rsidRPr="001D6079" w:rsidRDefault="00246F70" w:rsidP="00E75B24">
      <w:pPr>
        <w:jc w:val="both"/>
        <w:rPr>
          <w:rFonts w:ascii="Times New Roman" w:hAnsi="Times New Roman" w:cs="Times New Roman"/>
          <w:b/>
          <w:bCs/>
          <w:color w:val="000000" w:themeColor="text1"/>
        </w:rPr>
      </w:pPr>
      <w:r w:rsidRPr="001D6079">
        <w:rPr>
          <w:rFonts w:ascii="Times New Roman" w:hAnsi="Times New Roman" w:cs="Times New Roman"/>
          <w:b/>
          <w:bCs/>
          <w:color w:val="000000" w:themeColor="text1"/>
        </w:rPr>
        <w:t>2</w:t>
      </w:r>
      <w:r w:rsidR="00AD2C25" w:rsidRPr="001D6079">
        <w:rPr>
          <w:rFonts w:ascii="Times New Roman" w:hAnsi="Times New Roman" w:cs="Times New Roman"/>
          <w:b/>
          <w:bCs/>
          <w:color w:val="000000" w:themeColor="text1"/>
        </w:rPr>
        <w:t xml:space="preserve">.1. </w:t>
      </w:r>
      <w:r w:rsidR="00E75B24" w:rsidRPr="001D6079">
        <w:rPr>
          <w:rFonts w:ascii="Times New Roman" w:hAnsi="Times New Roman" w:cs="Times New Roman"/>
          <w:b/>
          <w:bCs/>
          <w:color w:val="000000" w:themeColor="text1"/>
        </w:rPr>
        <w:t>Güvenirlik ve Geçerlilik Analizleri</w:t>
      </w:r>
    </w:p>
    <w:p w14:paraId="36C59F80" w14:textId="77777777" w:rsidR="00E75B24" w:rsidRPr="001D6079" w:rsidRDefault="00E75B24" w:rsidP="00E75B24">
      <w:pPr>
        <w:jc w:val="both"/>
        <w:rPr>
          <w:rFonts w:ascii="Times New Roman" w:hAnsi="Times New Roman" w:cs="Times New Roman"/>
          <w:color w:val="000000" w:themeColor="text1"/>
        </w:rPr>
      </w:pPr>
      <w:r w:rsidRPr="001D6079">
        <w:rPr>
          <w:rFonts w:ascii="Times New Roman" w:hAnsi="Times New Roman" w:cs="Times New Roman"/>
          <w:color w:val="000000" w:themeColor="text1"/>
        </w:rPr>
        <w:t>Elde edilen endeks ve alt endeks boyutlarının güvenilirlik ve geçerliliklerini analiz etmek üzere, güvenilirlik, geçerlilik, duyarlılık ve dağılım testleri gerçekleştirilmiştir (Tablo 7).</w:t>
      </w:r>
    </w:p>
    <w:p w14:paraId="5684D1EF" w14:textId="77777777" w:rsidR="00E75B24" w:rsidRPr="001D6079" w:rsidRDefault="00E75B24" w:rsidP="00485C37">
      <w:pPr>
        <w:jc w:val="center"/>
        <w:rPr>
          <w:rFonts w:ascii="Times New Roman" w:hAnsi="Times New Roman" w:cs="Times New Roman"/>
          <w:color w:val="000000" w:themeColor="text1"/>
        </w:rPr>
      </w:pPr>
      <w:r w:rsidRPr="001D6079">
        <w:rPr>
          <w:rFonts w:ascii="Times New Roman" w:hAnsi="Times New Roman" w:cs="Times New Roman"/>
          <w:b/>
          <w:bCs/>
          <w:color w:val="000000" w:themeColor="text1"/>
        </w:rPr>
        <w:t>Tablo 7:</w:t>
      </w:r>
      <w:r w:rsidRPr="001D6079">
        <w:rPr>
          <w:rFonts w:ascii="Times New Roman" w:hAnsi="Times New Roman" w:cs="Times New Roman"/>
          <w:color w:val="000000" w:themeColor="text1"/>
        </w:rPr>
        <w:t xml:space="preserve"> Güvenilirlik ve Geçerlilik Analiz Sonuçları</w:t>
      </w:r>
    </w:p>
    <w:p w14:paraId="65887012" w14:textId="39C1D963" w:rsidR="00771352" w:rsidRDefault="00771352" w:rsidP="00485C37">
      <w:pPr>
        <w:rPr>
          <w:rFonts w:ascii="Times New Roman" w:hAnsi="Times New Roman" w:cs="Times New Roman"/>
          <w:b/>
          <w:bCs/>
          <w:color w:val="000000" w:themeColor="text1"/>
        </w:rPr>
      </w:pPr>
      <w:r w:rsidRPr="00771352">
        <w:rPr>
          <w:noProof/>
          <w:lang w:eastAsia="tr-TR"/>
        </w:rPr>
        <w:drawing>
          <wp:inline distT="0" distB="0" distL="0" distR="0" wp14:anchorId="18AD73E7" wp14:editId="5250BEB5">
            <wp:extent cx="4594302" cy="3651843"/>
            <wp:effectExtent l="0" t="0" r="0" b="0"/>
            <wp:docPr id="578756954"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02277" cy="3658182"/>
                    </a:xfrm>
                    <a:prstGeom prst="rect">
                      <a:avLst/>
                    </a:prstGeom>
                    <a:noFill/>
                    <a:ln>
                      <a:noFill/>
                    </a:ln>
                  </pic:spPr>
                </pic:pic>
              </a:graphicData>
            </a:graphic>
          </wp:inline>
        </w:drawing>
      </w:r>
    </w:p>
    <w:p w14:paraId="5014735C" w14:textId="1E094AD4" w:rsidR="00485C37" w:rsidRPr="001D6079" w:rsidRDefault="00485C37" w:rsidP="00485C37">
      <w:pPr>
        <w:rPr>
          <w:rFonts w:ascii="Times New Roman" w:hAnsi="Times New Roman" w:cs="Times New Roman"/>
          <w:b/>
          <w:bCs/>
          <w:color w:val="000000" w:themeColor="text1"/>
        </w:rPr>
      </w:pPr>
      <w:r w:rsidRPr="001D6079">
        <w:rPr>
          <w:rFonts w:ascii="Times New Roman" w:hAnsi="Times New Roman" w:cs="Times New Roman"/>
          <w:b/>
          <w:bCs/>
          <w:color w:val="000000" w:themeColor="text1"/>
        </w:rPr>
        <w:t xml:space="preserve">Kaynak: </w:t>
      </w:r>
      <w:r w:rsidRPr="001D6079">
        <w:rPr>
          <w:rFonts w:ascii="Times New Roman" w:hAnsi="Times New Roman" w:cs="Times New Roman"/>
          <w:color w:val="000000" w:themeColor="text1"/>
        </w:rPr>
        <w:t>Yazar tarafından hesaplanmıştır.</w:t>
      </w:r>
    </w:p>
    <w:p w14:paraId="6D3C0F07" w14:textId="57012805" w:rsidR="00E75B24" w:rsidRPr="001D6079" w:rsidRDefault="00246F70" w:rsidP="00E75B24">
      <w:pPr>
        <w:jc w:val="both"/>
        <w:rPr>
          <w:rFonts w:ascii="Times New Roman" w:hAnsi="Times New Roman" w:cs="Times New Roman"/>
          <w:b/>
          <w:bCs/>
          <w:color w:val="000000" w:themeColor="text1"/>
        </w:rPr>
      </w:pPr>
      <w:r w:rsidRPr="001D6079">
        <w:rPr>
          <w:rFonts w:ascii="Times New Roman" w:hAnsi="Times New Roman" w:cs="Times New Roman"/>
          <w:b/>
          <w:bCs/>
          <w:color w:val="000000" w:themeColor="text1"/>
        </w:rPr>
        <w:t>2</w:t>
      </w:r>
      <w:r w:rsidR="00AD2C25" w:rsidRPr="001D6079">
        <w:rPr>
          <w:rFonts w:ascii="Times New Roman" w:hAnsi="Times New Roman" w:cs="Times New Roman"/>
          <w:b/>
          <w:bCs/>
          <w:color w:val="000000" w:themeColor="text1"/>
        </w:rPr>
        <w:t>.1.1..</w:t>
      </w:r>
      <w:r w:rsidR="00E75B24" w:rsidRPr="001D6079">
        <w:rPr>
          <w:rFonts w:ascii="Times New Roman" w:hAnsi="Times New Roman" w:cs="Times New Roman"/>
          <w:b/>
          <w:bCs/>
          <w:color w:val="000000" w:themeColor="text1"/>
        </w:rPr>
        <w:t>Güvenilirlik Test Sonuçları</w:t>
      </w:r>
    </w:p>
    <w:p w14:paraId="3419624D" w14:textId="78762218" w:rsidR="00E75B24" w:rsidRPr="001D6079" w:rsidRDefault="00246F70" w:rsidP="00E75B24">
      <w:pPr>
        <w:jc w:val="both"/>
        <w:rPr>
          <w:rFonts w:ascii="Times New Roman" w:hAnsi="Times New Roman" w:cs="Times New Roman"/>
          <w:b/>
          <w:bCs/>
          <w:color w:val="000000" w:themeColor="text1"/>
        </w:rPr>
      </w:pPr>
      <w:r w:rsidRPr="001D6079">
        <w:rPr>
          <w:rFonts w:ascii="Times New Roman" w:hAnsi="Times New Roman" w:cs="Times New Roman"/>
          <w:b/>
          <w:bCs/>
          <w:color w:val="000000" w:themeColor="text1"/>
        </w:rPr>
        <w:t>2</w:t>
      </w:r>
      <w:r w:rsidR="00AD2C25" w:rsidRPr="001D6079">
        <w:rPr>
          <w:rFonts w:ascii="Times New Roman" w:hAnsi="Times New Roman" w:cs="Times New Roman"/>
          <w:b/>
          <w:bCs/>
          <w:color w:val="000000" w:themeColor="text1"/>
        </w:rPr>
        <w:t xml:space="preserve">.1.1.1. </w:t>
      </w:r>
      <w:r w:rsidR="00E75B24" w:rsidRPr="001D6079">
        <w:rPr>
          <w:rFonts w:ascii="Times New Roman" w:hAnsi="Times New Roman" w:cs="Times New Roman"/>
          <w:b/>
          <w:bCs/>
          <w:color w:val="000000" w:themeColor="text1"/>
        </w:rPr>
        <w:t>Cronbach’s Alpha</w:t>
      </w:r>
    </w:p>
    <w:p w14:paraId="1C8AEAF0" w14:textId="77777777" w:rsidR="008A172A" w:rsidRDefault="008A172A" w:rsidP="00E75B24">
      <w:pPr>
        <w:jc w:val="both"/>
        <w:rPr>
          <w:rFonts w:ascii="Times New Roman" w:hAnsi="Times New Roman" w:cs="Times New Roman"/>
          <w:color w:val="000000" w:themeColor="text1"/>
        </w:rPr>
      </w:pPr>
      <w:r w:rsidRPr="008A172A">
        <w:rPr>
          <w:rFonts w:ascii="Times New Roman" w:hAnsi="Times New Roman" w:cs="Times New Roman"/>
          <w:color w:val="000000" w:themeColor="text1"/>
        </w:rPr>
        <w:t xml:space="preserve">KODİDEKS endeksinin iç tutarlılığını değerlendirmek amacıyla Cronbach's Alpha katsayısı hesaplanmıştır. Üç yıllık dönem için elde edilen sonuçlar Tablo 7’de sunulmaktadır. Endeks hesaplanan her üç yıl için de Cronbach’s Alpha sonuçları 2024, 2023 ve 2022 yılları için sırasıyla 0,44, 0,46 ve 0,30’dur. Bağımsız boyutlardan oluşan kompozit endeksler için bu beklenen bir sonuçtur (Streiner. 2003).  Benzer Digital Economy and Society Index (DESI, Avrupa Komisyonu, 2022)  α=0,28, IMD World Digital Competitiveness Ranking α=0,35 için de geçerlidir. Ölçüm modelleri reflective (yansıtıcı) ve formative (oluşturucu) modeller olmak üzere temelde ikiye ayrılır (Diamantopoulos &amp; Winklhofer, 2001). Reflective modellerde, tüm göstergeler aynı gizli yapıyı yansıtır ve bu nedenle göstergeler arası </w:t>
      </w:r>
      <w:r w:rsidRPr="008A172A">
        <w:rPr>
          <w:rFonts w:ascii="Times New Roman" w:hAnsi="Times New Roman" w:cs="Times New Roman"/>
          <w:color w:val="000000" w:themeColor="text1"/>
        </w:rPr>
        <w:lastRenderedPageBreak/>
        <w:t>yüksek korelasyon beklenir. Buna karşılık, formative modellerde her gösterge farklı bir boyutu temsil eder ve bu göstergeler birlikte bileşik yapıyı oluşturur. Sosyoekonomik durum endeksi (eğitim + gelir + meslek) bu tür bir yapıya örnektir. Formative modellerde göstergeler arası düşük korelasyon, hatta negatif korelasyonlar bile kabul edilebilir durumdur, çünkü her göstergenin benzersiz bilgi katkısı yapması beklenir (Streiner, 2003; Diamantopoulos &amp; Siguaw, 2006). KODİDEKS, yapısal olarak formative bir ölçüm modelidir. Endeksin altı bileşeni (D1: Temel Dijitalleşme, D2: Dijital Pazarlama, D3: İş Süreçleri Dijitalleşmesi, D4: İ.K'da Dijitalleşme, D5: Dijital Finans/Güvenlik, TFV: Toplam Faktör Verimliliği) dijital dönüşümün farklı boyutlarını temsil etmektedir. Örneğin, bir firma temel dijital altyapıya (D1) yüksek yatırım yapabilirken, bu yatırımların kısa vadede operasyonel verimliliğe (TFV) yansıması zaman alabilir. Nitekim, 2024 yılı için D1 ile TFV arasındaki korelasyon r=-0,005 olarak hesaplanmış olup, bu iki boyutun birbirinden bağımsız olduğunu göstermektedir.</w:t>
      </w:r>
    </w:p>
    <w:p w14:paraId="51980D8C" w14:textId="4E548BFB" w:rsidR="00E75B24" w:rsidRPr="001D6079" w:rsidRDefault="00246F70" w:rsidP="00E75B24">
      <w:pPr>
        <w:jc w:val="both"/>
        <w:rPr>
          <w:rFonts w:ascii="Times New Roman" w:hAnsi="Times New Roman" w:cs="Times New Roman"/>
          <w:color w:val="000000" w:themeColor="text1"/>
        </w:rPr>
      </w:pPr>
      <w:r w:rsidRPr="001D6079">
        <w:rPr>
          <w:rFonts w:ascii="Times New Roman" w:hAnsi="Times New Roman" w:cs="Times New Roman"/>
          <w:b/>
          <w:bCs/>
          <w:color w:val="000000" w:themeColor="text1"/>
        </w:rPr>
        <w:t>2.</w:t>
      </w:r>
      <w:r w:rsidR="00AD2C25" w:rsidRPr="001D6079">
        <w:rPr>
          <w:rFonts w:ascii="Times New Roman" w:hAnsi="Times New Roman" w:cs="Times New Roman"/>
          <w:b/>
          <w:bCs/>
          <w:color w:val="000000" w:themeColor="text1"/>
        </w:rPr>
        <w:t xml:space="preserve">1.1.2. </w:t>
      </w:r>
      <w:r w:rsidR="00E75B24" w:rsidRPr="001D6079">
        <w:rPr>
          <w:rFonts w:ascii="Times New Roman" w:hAnsi="Times New Roman" w:cs="Times New Roman"/>
          <w:b/>
          <w:bCs/>
          <w:color w:val="000000" w:themeColor="text1"/>
        </w:rPr>
        <w:t xml:space="preserve">Test-Retest </w:t>
      </w:r>
    </w:p>
    <w:p w14:paraId="77A615EB" w14:textId="77777777" w:rsidR="008A172A" w:rsidRDefault="008A172A" w:rsidP="00E75B24">
      <w:pPr>
        <w:jc w:val="both"/>
        <w:rPr>
          <w:rFonts w:ascii="Times New Roman" w:hAnsi="Times New Roman" w:cs="Times New Roman"/>
          <w:color w:val="000000" w:themeColor="text1"/>
        </w:rPr>
      </w:pPr>
      <w:r w:rsidRPr="008A172A">
        <w:rPr>
          <w:rFonts w:ascii="Times New Roman" w:hAnsi="Times New Roman" w:cs="Times New Roman"/>
          <w:color w:val="000000" w:themeColor="text1"/>
        </w:rPr>
        <w:t>Test-retest güvenilirliği, bir ölçüm aracının farklı zaman noktalarında tutarlı sonuçlar üretip üretmediğini değerlendiren temel bir güvenilirlik göstergesidir (Nunnally &amp; Bernstein, 1994). KODİDEKS için yıllar arası Pearson korelasyon katsayıları hesaplanmış ve sonuçlar Tablo 7’de sunulmuştur. Ardışık yıllar arası korelasyon analizi, 2023-2024 dönemi için r=0,747, p=0,001 güçlü ve istatistiksel olarak anlamlı bir ilişki ortaya koymaktadır (Tablo 7). Bu değer, Nunnally ve Bernstein'ın (1994) önerdiği r&gt;0,70 kriterini aşmakta ve endeksin kısa vadeli istikrarını kanıtlamaktadır. Bir yıllık dönemde firmaların KODİDEKS skorlarının %74,7 oranında korunması, endeksin rastgele dalgalanmalardan etkilenmediğini ve tutarlı ölçümler ürettiğini göstermektedir. Buna karşılık, 2022-2023 (r=0,279, p=0,314) ve 2022-2024 (r=-0,009, p=0,973) dönemleri için hesaplanan korelasyon katsayıları istatistiksel olarak anlamlı değildir ve kabul edilebilir düzeyin oldukça altındadır. Üç yıllık dönem için ortalama korelasyon r=0,339 olarak gerçekleşmiş olup, bu değer yeterli test-retest güvenilirliği için gerekli olan r&gt;0,70 kriterinin altında kalmaktadır. Kline (2005), test-retest güvenilirliği değerlendirmesinde ardışık ölçümlerin diğer ölçümlerden daha güvenilir olduğunu belirtmektedir. Bu bağlamda, 2023-2024 arası yüksek korelasyon (r=0,747), endeksin güncel dönemde güvenilir ölçümler ürettiğini göstermektedir. 2022 yılı verilerindeki sorunlar dikkate alındığında, test-retest güvenilirliği değerlendirmesi 2023-2024 dönemi ile sınırlandırılabilir.</w:t>
      </w:r>
    </w:p>
    <w:p w14:paraId="04997307" w14:textId="7001299B" w:rsidR="00E75B24" w:rsidRPr="001D6079" w:rsidRDefault="00246F70" w:rsidP="00E75B24">
      <w:pPr>
        <w:jc w:val="both"/>
        <w:rPr>
          <w:rFonts w:ascii="Times New Roman" w:hAnsi="Times New Roman" w:cs="Times New Roman"/>
          <w:b/>
          <w:bCs/>
          <w:color w:val="000000" w:themeColor="text1"/>
        </w:rPr>
      </w:pPr>
      <w:r w:rsidRPr="001D6079">
        <w:rPr>
          <w:rFonts w:ascii="Times New Roman" w:hAnsi="Times New Roman" w:cs="Times New Roman"/>
          <w:b/>
          <w:bCs/>
          <w:color w:val="000000" w:themeColor="text1"/>
        </w:rPr>
        <w:t>2</w:t>
      </w:r>
      <w:r w:rsidR="00AD2C25" w:rsidRPr="001D6079">
        <w:rPr>
          <w:rFonts w:ascii="Times New Roman" w:hAnsi="Times New Roman" w:cs="Times New Roman"/>
          <w:b/>
          <w:bCs/>
          <w:color w:val="000000" w:themeColor="text1"/>
        </w:rPr>
        <w:t xml:space="preserve">.1.1.3. </w:t>
      </w:r>
      <w:r w:rsidR="00E75B24" w:rsidRPr="001D6079">
        <w:rPr>
          <w:rFonts w:ascii="Times New Roman" w:hAnsi="Times New Roman" w:cs="Times New Roman"/>
          <w:b/>
          <w:bCs/>
          <w:color w:val="000000" w:themeColor="text1"/>
        </w:rPr>
        <w:t>Varyasyon Katsayısı ve Ayırt Etme Gücü</w:t>
      </w:r>
    </w:p>
    <w:p w14:paraId="0DDE7557" w14:textId="77777777" w:rsidR="00E75B24" w:rsidRPr="001D6079" w:rsidRDefault="00E75B24" w:rsidP="00E75B24">
      <w:pPr>
        <w:jc w:val="both"/>
        <w:rPr>
          <w:rFonts w:ascii="Times New Roman" w:hAnsi="Times New Roman" w:cs="Times New Roman"/>
          <w:color w:val="000000" w:themeColor="text1"/>
        </w:rPr>
      </w:pPr>
      <w:r w:rsidRPr="001D6079">
        <w:rPr>
          <w:rFonts w:ascii="Times New Roman" w:hAnsi="Times New Roman" w:cs="Times New Roman"/>
          <w:color w:val="000000" w:themeColor="text1"/>
        </w:rPr>
        <w:t>Varyasyon katsayısı (Coefficient of Variation, CV), bir değişkenin standart sapmasının ortalamasına oranı olarak tanımlanır ve ölçüm aracının bireyler/firmalar arası farklılıkları yakalama kapasitesini gösterir (Kelley &amp; Preacher, 2012). KODİDEKS-H için hesaplanan CV değerleri Tablo 7’de yer almaktadır.</w:t>
      </w:r>
    </w:p>
    <w:p w14:paraId="2A483B03" w14:textId="508AD277" w:rsidR="00E75B24" w:rsidRPr="001D6079" w:rsidRDefault="00E75B24" w:rsidP="00E75B24">
      <w:pPr>
        <w:jc w:val="both"/>
        <w:rPr>
          <w:rFonts w:ascii="Times New Roman" w:hAnsi="Times New Roman" w:cs="Times New Roman"/>
          <w:color w:val="000000" w:themeColor="text1"/>
        </w:rPr>
      </w:pPr>
      <w:r w:rsidRPr="001D6079">
        <w:rPr>
          <w:rFonts w:ascii="Times New Roman" w:hAnsi="Times New Roman" w:cs="Times New Roman"/>
          <w:color w:val="000000" w:themeColor="text1"/>
        </w:rPr>
        <w:t>Üç yıllık dönemde CV değerleri 0,154 ile 0,199 arasında değişmekte olup, ortalama CV=0,178 olarak gerçekleşmiştir. Literatürde, CV&lt;0,30 değerlerinin kabul edilebilir düzeyde homojenlik gösterdiği belirtilmektedir (Reed et al., 2002). KODİDEKS-H’nin tüm yıllarda bu kriteri karşılaması, endeksin uygu</w:t>
      </w:r>
      <w:r w:rsidR="00AD2C25" w:rsidRPr="001D6079">
        <w:rPr>
          <w:rFonts w:ascii="Times New Roman" w:hAnsi="Times New Roman" w:cs="Times New Roman"/>
          <w:color w:val="000000" w:themeColor="text1"/>
        </w:rPr>
        <w:t>n</w:t>
      </w:r>
      <w:r w:rsidRPr="001D6079">
        <w:rPr>
          <w:rFonts w:ascii="Times New Roman" w:hAnsi="Times New Roman" w:cs="Times New Roman"/>
          <w:color w:val="000000" w:themeColor="text1"/>
        </w:rPr>
        <w:t xml:space="preserve"> düzeyde varyasyon gösterdiğini ve firmalar arası farklılıkları yakaladığını göstermektedir.</w:t>
      </w:r>
    </w:p>
    <w:p w14:paraId="6FC6D6D8" w14:textId="5DC19DCC" w:rsidR="00E75B24" w:rsidRPr="001D6079" w:rsidRDefault="00246F70" w:rsidP="00E75B24">
      <w:pPr>
        <w:jc w:val="both"/>
        <w:rPr>
          <w:rFonts w:ascii="Times New Roman" w:hAnsi="Times New Roman" w:cs="Times New Roman"/>
          <w:b/>
          <w:bCs/>
          <w:color w:val="000000" w:themeColor="text1"/>
        </w:rPr>
      </w:pPr>
      <w:r w:rsidRPr="001D6079">
        <w:rPr>
          <w:rFonts w:ascii="Times New Roman" w:hAnsi="Times New Roman" w:cs="Times New Roman"/>
          <w:b/>
          <w:bCs/>
          <w:color w:val="000000" w:themeColor="text1"/>
        </w:rPr>
        <w:t>2</w:t>
      </w:r>
      <w:r w:rsidR="00AD2C25" w:rsidRPr="001D6079">
        <w:rPr>
          <w:rFonts w:ascii="Times New Roman" w:hAnsi="Times New Roman" w:cs="Times New Roman"/>
          <w:b/>
          <w:bCs/>
          <w:color w:val="000000" w:themeColor="text1"/>
        </w:rPr>
        <w:t>.1</w:t>
      </w:r>
      <w:r w:rsidRPr="001D6079">
        <w:rPr>
          <w:rFonts w:ascii="Times New Roman" w:hAnsi="Times New Roman" w:cs="Times New Roman"/>
          <w:b/>
          <w:bCs/>
          <w:color w:val="000000" w:themeColor="text1"/>
        </w:rPr>
        <w:t xml:space="preserve">.2. </w:t>
      </w:r>
      <w:r w:rsidR="00E75B24" w:rsidRPr="001D6079">
        <w:rPr>
          <w:rFonts w:ascii="Times New Roman" w:hAnsi="Times New Roman" w:cs="Times New Roman"/>
          <w:b/>
          <w:bCs/>
          <w:color w:val="000000" w:themeColor="text1"/>
        </w:rPr>
        <w:t>Geçerlilik Analizi Sonuçları</w:t>
      </w:r>
    </w:p>
    <w:p w14:paraId="6BA6F2C9" w14:textId="3F7923D5" w:rsidR="00E75B24" w:rsidRPr="001D6079" w:rsidRDefault="00246F70" w:rsidP="00E75B24">
      <w:pPr>
        <w:jc w:val="both"/>
        <w:rPr>
          <w:rFonts w:ascii="Times New Roman" w:hAnsi="Times New Roman" w:cs="Times New Roman"/>
          <w:b/>
          <w:bCs/>
          <w:color w:val="000000" w:themeColor="text1"/>
        </w:rPr>
      </w:pPr>
      <w:r w:rsidRPr="001D6079">
        <w:rPr>
          <w:rFonts w:ascii="Times New Roman" w:hAnsi="Times New Roman" w:cs="Times New Roman"/>
          <w:b/>
          <w:bCs/>
          <w:color w:val="000000" w:themeColor="text1"/>
        </w:rPr>
        <w:t xml:space="preserve">2.1.2.1 </w:t>
      </w:r>
      <w:r w:rsidR="00E75B24" w:rsidRPr="001D6079">
        <w:rPr>
          <w:rFonts w:ascii="Times New Roman" w:hAnsi="Times New Roman" w:cs="Times New Roman"/>
          <w:b/>
          <w:bCs/>
          <w:color w:val="000000" w:themeColor="text1"/>
        </w:rPr>
        <w:t>Yapı Geçerliliği: Faktör Analizi</w:t>
      </w:r>
    </w:p>
    <w:p w14:paraId="342ECC01" w14:textId="77777777" w:rsidR="00E75B24" w:rsidRPr="001D6079" w:rsidRDefault="00E75B24" w:rsidP="00E75B24">
      <w:pPr>
        <w:jc w:val="both"/>
        <w:rPr>
          <w:rFonts w:ascii="Times New Roman" w:hAnsi="Times New Roman" w:cs="Times New Roman"/>
          <w:color w:val="000000" w:themeColor="text1"/>
        </w:rPr>
      </w:pPr>
      <w:r w:rsidRPr="001D6079">
        <w:rPr>
          <w:rFonts w:ascii="Times New Roman" w:hAnsi="Times New Roman" w:cs="Times New Roman"/>
          <w:color w:val="000000" w:themeColor="text1"/>
        </w:rPr>
        <w:t>KODİDEKS'in yapı geçerliliğini (construct validity) değerlendirmek amacıyla Principal Component Analysis (PCA) uygulanmıştır. PCA, çok boyutlu veri setlerinde temel bileşenleri belirleyerek varyansın ne kadarının açıklandığını ortaya koymaktadır (Hair et al., 2010). Analiz, 2024 yılı verileri üzerinde gerçekleştirilmiş olup, sonuçlar Tablo 7’de sunulmaktadır.</w:t>
      </w:r>
    </w:p>
    <w:p w14:paraId="02551E4E" w14:textId="05818C5D" w:rsidR="00E75B24" w:rsidRPr="001D6079" w:rsidRDefault="00246F70" w:rsidP="00E75B24">
      <w:pPr>
        <w:jc w:val="both"/>
        <w:rPr>
          <w:rFonts w:ascii="Times New Roman" w:hAnsi="Times New Roman" w:cs="Times New Roman"/>
          <w:b/>
          <w:bCs/>
          <w:color w:val="000000" w:themeColor="text1"/>
        </w:rPr>
      </w:pPr>
      <w:r w:rsidRPr="001D6079">
        <w:rPr>
          <w:rFonts w:ascii="Times New Roman" w:hAnsi="Times New Roman" w:cs="Times New Roman"/>
          <w:b/>
          <w:bCs/>
          <w:color w:val="000000" w:themeColor="text1"/>
        </w:rPr>
        <w:t xml:space="preserve">2.1.2.2 </w:t>
      </w:r>
      <w:r w:rsidR="00E75B24" w:rsidRPr="001D6079">
        <w:rPr>
          <w:rFonts w:ascii="Times New Roman" w:hAnsi="Times New Roman" w:cs="Times New Roman"/>
          <w:b/>
          <w:bCs/>
          <w:color w:val="000000" w:themeColor="text1"/>
        </w:rPr>
        <w:t>Eigenvalue ve Faktör Sayısı</w:t>
      </w:r>
    </w:p>
    <w:p w14:paraId="39A0EC72" w14:textId="77777777" w:rsidR="001A5CAB" w:rsidRPr="001A5CAB" w:rsidRDefault="001A5CAB" w:rsidP="001A5CAB">
      <w:pPr>
        <w:jc w:val="both"/>
        <w:rPr>
          <w:rFonts w:ascii="Times New Roman" w:hAnsi="Times New Roman" w:cs="Times New Roman"/>
          <w:color w:val="000000" w:themeColor="text1"/>
        </w:rPr>
      </w:pPr>
      <w:r w:rsidRPr="001A5CAB">
        <w:rPr>
          <w:rFonts w:ascii="Times New Roman" w:hAnsi="Times New Roman" w:cs="Times New Roman"/>
          <w:color w:val="000000" w:themeColor="text1"/>
        </w:rPr>
        <w:lastRenderedPageBreak/>
        <w:t>Kaiser kriteri (eigenvalue &gt; 1), faktör sayısının belirlenmesinde yaygın olarak kullanılan bir kriterdir (Kaiser, 1960). Analiz sonuçlarına göre, üç faktörün eigenvalue değeri 1'in üzerindedir (Faktör 1: 1,988; Faktör 2: 1,599; Faktör 3: 1,120 / Tablo 7). Bu bulgu, KODİDEKS'in yapısal olarak üç temel boyuttan oluştuğunu göstermektedir. İlk iki faktör, toplam varyansın %55,81'ini açıklamaktadır. Hair ve arkadaşları (2010), sosyal bilimlerde ilk iki faktörün toplam varyansın %60'ından fazlasını açıklamasını yeterli kabul etmektedir. KODİDEKS'in %55,81 değeri bu eşiğin hafif altında kalmakla birlikte, Field (2013) küçük örneklem boyutlarında (n&lt;20) %55-60 aralığının kabul edilebilir olduğunu belirtmektedir.  İlk üç faktör birlikte varyansın %73,23'ünü açıklamaktadır. Pett, Lackey ve Sullivan (2003), üç faktörlü yapılarda %70'in üzerinde varyans açıklamasının tatmin edici olduğunu ifade etmektedir. Bu kriter dikkate alındığında, KODİDEKS yeterli yapı geçerliliği göstermektedir. Faktör yüklemeleri incelendiğinde:</w:t>
      </w:r>
    </w:p>
    <w:p w14:paraId="6D9B949F" w14:textId="43303C67" w:rsidR="001A5CAB" w:rsidRPr="001A5CAB" w:rsidRDefault="001A5CAB" w:rsidP="001A5CAB">
      <w:pPr>
        <w:pStyle w:val="ListeParagraf"/>
        <w:numPr>
          <w:ilvl w:val="0"/>
          <w:numId w:val="6"/>
        </w:numPr>
        <w:jc w:val="both"/>
        <w:rPr>
          <w:rFonts w:ascii="Times New Roman" w:hAnsi="Times New Roman" w:cs="Times New Roman"/>
          <w:color w:val="000000" w:themeColor="text1"/>
        </w:rPr>
      </w:pPr>
      <w:r w:rsidRPr="001A5CAB">
        <w:rPr>
          <w:rFonts w:ascii="Times New Roman" w:hAnsi="Times New Roman" w:cs="Times New Roman"/>
          <w:color w:val="000000" w:themeColor="text1"/>
        </w:rPr>
        <w:t>Faktör 1 (Varyans: %30,93): Temel dijitalleşme boyutlarını (D1, D3) temsil etmektedir. Bu faktör, firmaların dijital altyapı ve iş süreçlerinin dijitalleşmesi konusundaki genel kapasitesini yansıtmaktadır.</w:t>
      </w:r>
    </w:p>
    <w:p w14:paraId="04A19558" w14:textId="47F11B90" w:rsidR="001A5CAB" w:rsidRPr="001A5CAB" w:rsidRDefault="001A5CAB" w:rsidP="001A5CAB">
      <w:pPr>
        <w:pStyle w:val="ListeParagraf"/>
        <w:numPr>
          <w:ilvl w:val="0"/>
          <w:numId w:val="6"/>
        </w:numPr>
        <w:jc w:val="both"/>
        <w:rPr>
          <w:rFonts w:ascii="Times New Roman" w:hAnsi="Times New Roman" w:cs="Times New Roman"/>
          <w:color w:val="000000" w:themeColor="text1"/>
        </w:rPr>
      </w:pPr>
      <w:r w:rsidRPr="001A5CAB">
        <w:rPr>
          <w:rFonts w:ascii="Times New Roman" w:hAnsi="Times New Roman" w:cs="Times New Roman"/>
          <w:color w:val="000000" w:themeColor="text1"/>
        </w:rPr>
        <w:t>Faktör 2 (Varyans: %24,88): Operasyonel verimlilik (TFV) ve dijital pazarlama (D2) boyutlarını içermektedir. Bu faktör, dijital dönüşümün iş sonuçlarına yansımasını temsil etmektedir.</w:t>
      </w:r>
    </w:p>
    <w:p w14:paraId="45EB14EE" w14:textId="0B841334" w:rsidR="001A5CAB" w:rsidRPr="001A5CAB" w:rsidRDefault="001A5CAB" w:rsidP="001A5CAB">
      <w:pPr>
        <w:pStyle w:val="ListeParagraf"/>
        <w:numPr>
          <w:ilvl w:val="0"/>
          <w:numId w:val="6"/>
        </w:numPr>
        <w:jc w:val="both"/>
        <w:rPr>
          <w:rFonts w:ascii="Times New Roman" w:hAnsi="Times New Roman" w:cs="Times New Roman"/>
          <w:color w:val="000000" w:themeColor="text1"/>
        </w:rPr>
      </w:pPr>
      <w:r w:rsidRPr="001A5CAB">
        <w:rPr>
          <w:rFonts w:ascii="Times New Roman" w:hAnsi="Times New Roman" w:cs="Times New Roman"/>
          <w:color w:val="000000" w:themeColor="text1"/>
        </w:rPr>
        <w:t>Faktör 3 (Varyans: %17,42): İnsan kaynakları (D4) ve güvenlik/regülasyon (D5) gibi destekleyici boyutları kapsamaktadır.</w:t>
      </w:r>
    </w:p>
    <w:p w14:paraId="5FFB8EBA" w14:textId="77777777" w:rsidR="008A172A" w:rsidRDefault="001A5CAB" w:rsidP="001A5CAB">
      <w:pPr>
        <w:jc w:val="both"/>
        <w:rPr>
          <w:rFonts w:ascii="Times New Roman" w:hAnsi="Times New Roman" w:cs="Times New Roman"/>
          <w:color w:val="000000" w:themeColor="text1"/>
        </w:rPr>
      </w:pPr>
      <w:r w:rsidRPr="001A5CAB">
        <w:rPr>
          <w:rFonts w:ascii="Times New Roman" w:hAnsi="Times New Roman" w:cs="Times New Roman"/>
          <w:color w:val="000000" w:themeColor="text1"/>
        </w:rPr>
        <w:t>Principal Component Analysis, KODİDEKS'in üç faktörlü yapısını doğrulamaktadır. İlk üç faktör, toplam varyansın %73,23'ünü açıklamakta olup, bu oran Pett ve arkadaşlarının (2003) önerdiği %70 eşik değerini aşmaktadır. Kaiser kriterine (eigenvalue&gt;1) göre üç faktörün anlamlı olması, endeksin teorik modelinin (dijital yatırım + operasyonel sonuçlar + destekleyici faktörler) ampirik olarak desteklendiğini göstermektedir. Küçük örneklem boyutu (n=15) dikkate alındığında, ilk iki faktörün %55,81 varyans açıklaması kabul edilebilir düzeydedir (Field, 2013).</w:t>
      </w:r>
    </w:p>
    <w:p w14:paraId="0EDFFBA4" w14:textId="60BD79EE" w:rsidR="00E75B24" w:rsidRPr="001D6079" w:rsidRDefault="00246F70" w:rsidP="001A5CAB">
      <w:pPr>
        <w:jc w:val="both"/>
        <w:rPr>
          <w:rFonts w:ascii="Times New Roman" w:hAnsi="Times New Roman" w:cs="Times New Roman"/>
          <w:b/>
          <w:bCs/>
          <w:color w:val="000000" w:themeColor="text1"/>
        </w:rPr>
      </w:pPr>
      <w:r w:rsidRPr="001D6079">
        <w:rPr>
          <w:rFonts w:ascii="Times New Roman" w:hAnsi="Times New Roman" w:cs="Times New Roman"/>
          <w:b/>
          <w:bCs/>
          <w:color w:val="000000" w:themeColor="text1"/>
        </w:rPr>
        <w:t>2.1.2.3 .</w:t>
      </w:r>
      <w:r w:rsidR="00E75B24" w:rsidRPr="001D6079">
        <w:rPr>
          <w:rFonts w:ascii="Times New Roman" w:hAnsi="Times New Roman" w:cs="Times New Roman"/>
          <w:b/>
          <w:bCs/>
          <w:color w:val="000000" w:themeColor="text1"/>
        </w:rPr>
        <w:t>Çoklu Doğrusal Bağlantı Analizi: VIF</w:t>
      </w:r>
    </w:p>
    <w:p w14:paraId="41C58D95" w14:textId="77777777" w:rsidR="00E75B24" w:rsidRPr="001D6079" w:rsidRDefault="00E75B24" w:rsidP="00E75B24">
      <w:pPr>
        <w:jc w:val="both"/>
        <w:rPr>
          <w:rFonts w:ascii="Times New Roman" w:hAnsi="Times New Roman" w:cs="Times New Roman"/>
          <w:color w:val="000000" w:themeColor="text1"/>
        </w:rPr>
      </w:pPr>
      <w:r w:rsidRPr="001D6079">
        <w:rPr>
          <w:rFonts w:ascii="Times New Roman" w:hAnsi="Times New Roman" w:cs="Times New Roman"/>
          <w:color w:val="000000" w:themeColor="text1"/>
        </w:rPr>
        <w:t>Variance Inflation Factor (VIF), bağımsız değişkenler arası çoklu doğrusal bağlantının (multicollinearity) varlığını ve şiddetini ölçen bir istatistiktir (Hair et al., 2010; O'Brien, 2007). VIF değeri, bir değişkenin varyansının diğer değişkenler tarafından ne kadar "şişirildiğini" gösterir. KODİDEKS bileşenleri için hesaplanan VIF değerleri Tablo 8'de sunulmaktadır.</w:t>
      </w:r>
    </w:p>
    <w:p w14:paraId="52D56026" w14:textId="77777777" w:rsidR="00E75B24" w:rsidRPr="001D6079" w:rsidRDefault="00E75B24" w:rsidP="00485C37">
      <w:pPr>
        <w:jc w:val="center"/>
        <w:rPr>
          <w:rFonts w:ascii="Times New Roman" w:hAnsi="Times New Roman" w:cs="Times New Roman"/>
          <w:color w:val="000000" w:themeColor="text1"/>
        </w:rPr>
      </w:pPr>
      <w:r w:rsidRPr="001D6079">
        <w:rPr>
          <w:rFonts w:ascii="Times New Roman" w:hAnsi="Times New Roman" w:cs="Times New Roman"/>
          <w:b/>
          <w:bCs/>
          <w:color w:val="000000" w:themeColor="text1"/>
        </w:rPr>
        <w:t>Tablo 8</w:t>
      </w:r>
      <w:r w:rsidRPr="001D6079">
        <w:rPr>
          <w:rFonts w:ascii="Times New Roman" w:hAnsi="Times New Roman" w:cs="Times New Roman"/>
          <w:color w:val="000000" w:themeColor="text1"/>
        </w:rPr>
        <w:t>: VIF Değerleri</w:t>
      </w:r>
    </w:p>
    <w:p w14:paraId="1467314D" w14:textId="6985FEB3" w:rsidR="00485C37" w:rsidRPr="001D6079" w:rsidRDefault="00771352" w:rsidP="00485C37">
      <w:pPr>
        <w:jc w:val="center"/>
        <w:rPr>
          <w:rFonts w:ascii="Times New Roman" w:hAnsi="Times New Roman" w:cs="Times New Roman"/>
          <w:color w:val="000000" w:themeColor="text1"/>
        </w:rPr>
      </w:pPr>
      <w:r w:rsidRPr="00771352">
        <w:rPr>
          <w:noProof/>
          <w:lang w:eastAsia="tr-TR"/>
        </w:rPr>
        <w:drawing>
          <wp:inline distT="0" distB="0" distL="0" distR="0" wp14:anchorId="515929B1" wp14:editId="71E11294">
            <wp:extent cx="4200292" cy="1118907"/>
            <wp:effectExtent l="0" t="0" r="0" b="5080"/>
            <wp:docPr id="237835266"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56501" cy="1133880"/>
                    </a:xfrm>
                    <a:prstGeom prst="rect">
                      <a:avLst/>
                    </a:prstGeom>
                    <a:noFill/>
                    <a:ln>
                      <a:noFill/>
                    </a:ln>
                  </pic:spPr>
                </pic:pic>
              </a:graphicData>
            </a:graphic>
          </wp:inline>
        </w:drawing>
      </w:r>
    </w:p>
    <w:p w14:paraId="2EC97F50" w14:textId="06CB27EB" w:rsidR="00485C37" w:rsidRPr="001D6079" w:rsidRDefault="00485C37" w:rsidP="00485C37">
      <w:pPr>
        <w:rPr>
          <w:rFonts w:ascii="Times New Roman" w:hAnsi="Times New Roman" w:cs="Times New Roman"/>
          <w:b/>
          <w:bCs/>
          <w:color w:val="000000" w:themeColor="text1"/>
        </w:rPr>
      </w:pPr>
      <w:r w:rsidRPr="001D6079">
        <w:rPr>
          <w:rFonts w:ascii="Times New Roman" w:hAnsi="Times New Roman" w:cs="Times New Roman"/>
          <w:b/>
          <w:bCs/>
          <w:color w:val="000000" w:themeColor="text1"/>
        </w:rPr>
        <w:t xml:space="preserve">Kaynak: </w:t>
      </w:r>
      <w:r w:rsidRPr="001D6079">
        <w:rPr>
          <w:rFonts w:ascii="Times New Roman" w:hAnsi="Times New Roman" w:cs="Times New Roman"/>
          <w:color w:val="000000" w:themeColor="text1"/>
        </w:rPr>
        <w:t>Yazar tarafından hesaplanmıştır.</w:t>
      </w:r>
    </w:p>
    <w:p w14:paraId="2CE73621" w14:textId="77777777" w:rsidR="00E75B24" w:rsidRPr="001D6079" w:rsidRDefault="00E75B24" w:rsidP="00E75B24">
      <w:pPr>
        <w:jc w:val="both"/>
        <w:rPr>
          <w:rFonts w:ascii="Times New Roman" w:hAnsi="Times New Roman" w:cs="Times New Roman"/>
          <w:color w:val="000000" w:themeColor="text1"/>
        </w:rPr>
      </w:pPr>
    </w:p>
    <w:p w14:paraId="3D14687B" w14:textId="77777777" w:rsidR="00E75B24" w:rsidRPr="001D6079" w:rsidRDefault="00E75B24" w:rsidP="00E75B24">
      <w:pPr>
        <w:jc w:val="both"/>
        <w:rPr>
          <w:rFonts w:ascii="Times New Roman" w:hAnsi="Times New Roman" w:cs="Times New Roman"/>
          <w:color w:val="000000" w:themeColor="text1"/>
        </w:rPr>
      </w:pPr>
      <w:r w:rsidRPr="001D6079">
        <w:rPr>
          <w:rFonts w:ascii="Times New Roman" w:hAnsi="Times New Roman" w:cs="Times New Roman"/>
          <w:color w:val="000000" w:themeColor="text1"/>
        </w:rPr>
        <w:t>2024 yılı için tüm boyutların VIF değerleri 1,07 ile 1,98 arasında değişmektedir. Maksimum VIF değeri 1,98 (D3: İş Süreçleri Dijitalleşmesi) olarak hesaplanmıştır. Hair ve arkadaşları (2010), VIF&lt;5 kriterini çoklu bağlantı olmadığının göstergesi olarak kabul etmektedir. O'Brien (2007) ise VIF&lt;3 değerini ideal durum olarak tanımlamaktadır. KODİDEKS'in tüm bileşenleri her iki kriteri de karşılamakta olup, çoklu doğrusal bağlantı sorunu bulunmamaktadır.</w:t>
      </w:r>
    </w:p>
    <w:p w14:paraId="52F8FE04" w14:textId="77777777" w:rsidR="00E75B24" w:rsidRPr="001D6079" w:rsidRDefault="00E75B24" w:rsidP="00E75B24">
      <w:pPr>
        <w:jc w:val="both"/>
        <w:rPr>
          <w:rFonts w:ascii="Times New Roman" w:hAnsi="Times New Roman" w:cs="Times New Roman"/>
          <w:color w:val="000000" w:themeColor="text1"/>
        </w:rPr>
      </w:pPr>
      <w:r w:rsidRPr="001D6079">
        <w:rPr>
          <w:rFonts w:ascii="Times New Roman" w:hAnsi="Times New Roman" w:cs="Times New Roman"/>
          <w:color w:val="000000" w:themeColor="text1"/>
        </w:rPr>
        <w:lastRenderedPageBreak/>
        <w:t>Tolerance değerleri (1/VIF), tüm boyutlar için 0,50'nin üzerindedir (en düşük: 0,505 [D3]). Menard (1995), tolerance &gt; 0,20 değerini yeterli kabul etmekte, &gt; 0,50 değerini ise çok iyi olarak nitelendirmektedir. Bu bulgular, her boyutun varyansının en az %50'sinin diğer değişkenlerden bağımsız olduğunu, dolayısıyla her bileşenin endekse özgün bilgi katkısı yaptığını göstermektedir.</w:t>
      </w:r>
    </w:p>
    <w:p w14:paraId="3535B64C" w14:textId="451A044E" w:rsidR="00E75B24" w:rsidRPr="001D6079" w:rsidRDefault="00E75B24" w:rsidP="00E75B24">
      <w:pPr>
        <w:jc w:val="both"/>
        <w:rPr>
          <w:rFonts w:ascii="Times New Roman" w:hAnsi="Times New Roman" w:cs="Times New Roman"/>
          <w:color w:val="000000" w:themeColor="text1"/>
        </w:rPr>
      </w:pPr>
      <w:r w:rsidRPr="001D6079">
        <w:rPr>
          <w:rFonts w:ascii="Times New Roman" w:hAnsi="Times New Roman" w:cs="Times New Roman"/>
          <w:color w:val="000000" w:themeColor="text1"/>
        </w:rPr>
        <w:t>2023 ve 2022 Yılları i</w:t>
      </w:r>
      <w:r w:rsidR="00311DB3">
        <w:rPr>
          <w:rFonts w:ascii="Times New Roman" w:hAnsi="Times New Roman" w:cs="Times New Roman"/>
          <w:color w:val="000000" w:themeColor="text1"/>
        </w:rPr>
        <w:t>çin en önemli sıkıntı D2, D4, D5</w:t>
      </w:r>
      <w:r w:rsidRPr="001D6079">
        <w:rPr>
          <w:rFonts w:ascii="Times New Roman" w:hAnsi="Times New Roman" w:cs="Times New Roman"/>
          <w:color w:val="000000" w:themeColor="text1"/>
        </w:rPr>
        <w:t xml:space="preserve"> gibi alt boyutlarda bu dönemde 1-5 skalası kullanılması sebebiyle çoğu firmanın 1 seviyesinde kalmasıdır. 2023 yılında D4 (VIF=25,90) ve D5 (VIF=16,96) boyutlarında ciddi çoklu bağlantı gözlemlenmiştir. 2022 yılında ise D2 (Dijital Pazarlama) için VIF=999 hesaplanmış olup, bu değişkenin neredeyse sabit olduğunu göstermektedir. Bu durum, söz konusu yıllarda bazı firmaların bu boyutlarda sıfır veya çok düşük skorlar almasından kaynaklanmaktadır. </w:t>
      </w:r>
    </w:p>
    <w:p w14:paraId="689F4917" w14:textId="77777777" w:rsidR="00E75B24" w:rsidRPr="001D6079" w:rsidRDefault="00E75B24" w:rsidP="00E75B24">
      <w:pPr>
        <w:jc w:val="both"/>
        <w:rPr>
          <w:rFonts w:ascii="Times New Roman" w:hAnsi="Times New Roman" w:cs="Times New Roman"/>
          <w:color w:val="000000" w:themeColor="text1"/>
        </w:rPr>
      </w:pPr>
      <w:r w:rsidRPr="001D6079">
        <w:rPr>
          <w:rFonts w:ascii="Times New Roman" w:hAnsi="Times New Roman" w:cs="Times New Roman"/>
          <w:color w:val="000000" w:themeColor="text1"/>
        </w:rPr>
        <w:t>VIF&gt;10 değerleri, ciddi çoklu bağlantı sorununa işaret etmekte ve bazı değişkenlerin model dışı bırakılmasını gerektirmektedir (Myers, 1990). Ancak, bu sorun sadece geçmiş yıllara özgü bir veri kalitesi problemidir ve 2024'te çözülmüştür.</w:t>
      </w:r>
    </w:p>
    <w:p w14:paraId="41C3DC22" w14:textId="77777777" w:rsidR="00E75B24" w:rsidRPr="001D6079" w:rsidRDefault="00E75B24" w:rsidP="00E75B24">
      <w:pPr>
        <w:jc w:val="both"/>
        <w:rPr>
          <w:rFonts w:ascii="Times New Roman" w:hAnsi="Times New Roman" w:cs="Times New Roman"/>
          <w:color w:val="000000" w:themeColor="text1"/>
        </w:rPr>
      </w:pPr>
      <w:r w:rsidRPr="001D6079">
        <w:rPr>
          <w:rFonts w:ascii="Times New Roman" w:hAnsi="Times New Roman" w:cs="Times New Roman"/>
          <w:color w:val="000000" w:themeColor="text1"/>
        </w:rPr>
        <w:t xml:space="preserve">2024 yılı VIF analizi, KODİDEKS bileşenleri arasında çoklu doğrusal bağlantı olmadığını göstermektedir (Maksimum VIF=1,98 &lt; 5; Hair et al., 2010). Tüm boyutlar için tolerance değerleri 0,50'nin üzerindedir, bu da her bileşenin özgün ve bağımsız bilgi katkısı yaptığına işaret etmektedir (Menard, 1995). Bu bulgular, ağırlıklandırma sisteminin metodolojik olarak sağlam bir temele dayandığını ve her boyutun endekste yer almasının gerekçelendirildiğini kanıtlamaktadır. </w:t>
      </w:r>
    </w:p>
    <w:p w14:paraId="11E0E9F5" w14:textId="7B58F12D" w:rsidR="00E75B24" w:rsidRPr="001D6079" w:rsidRDefault="00246F70" w:rsidP="00E75B24">
      <w:pPr>
        <w:jc w:val="both"/>
        <w:rPr>
          <w:rFonts w:ascii="Times New Roman" w:hAnsi="Times New Roman" w:cs="Times New Roman"/>
          <w:b/>
          <w:bCs/>
          <w:color w:val="000000" w:themeColor="text1"/>
        </w:rPr>
      </w:pPr>
      <w:r w:rsidRPr="001D6079">
        <w:rPr>
          <w:rFonts w:ascii="Times New Roman" w:hAnsi="Times New Roman" w:cs="Times New Roman"/>
          <w:b/>
          <w:bCs/>
          <w:color w:val="000000" w:themeColor="text1"/>
        </w:rPr>
        <w:t xml:space="preserve">2.1.3. </w:t>
      </w:r>
      <w:r w:rsidR="00E75B24" w:rsidRPr="001D6079">
        <w:rPr>
          <w:rFonts w:ascii="Times New Roman" w:hAnsi="Times New Roman" w:cs="Times New Roman"/>
          <w:b/>
          <w:bCs/>
          <w:color w:val="000000" w:themeColor="text1"/>
        </w:rPr>
        <w:t>Dağılım Testleri ve Duyarlılık Analizi</w:t>
      </w:r>
    </w:p>
    <w:p w14:paraId="402B1F2E" w14:textId="68335905" w:rsidR="00E75B24" w:rsidRPr="001D6079" w:rsidRDefault="00246F70" w:rsidP="00E75B24">
      <w:pPr>
        <w:jc w:val="both"/>
        <w:rPr>
          <w:rFonts w:ascii="Times New Roman" w:hAnsi="Times New Roman" w:cs="Times New Roman"/>
          <w:b/>
          <w:bCs/>
          <w:color w:val="000000" w:themeColor="text1"/>
        </w:rPr>
      </w:pPr>
      <w:r w:rsidRPr="001D6079">
        <w:rPr>
          <w:rFonts w:ascii="Times New Roman" w:hAnsi="Times New Roman" w:cs="Times New Roman"/>
          <w:b/>
          <w:bCs/>
          <w:color w:val="000000" w:themeColor="text1"/>
        </w:rPr>
        <w:t xml:space="preserve">2.1.3.1. </w:t>
      </w:r>
      <w:r w:rsidR="00E75B24" w:rsidRPr="001D6079">
        <w:rPr>
          <w:rFonts w:ascii="Times New Roman" w:hAnsi="Times New Roman" w:cs="Times New Roman"/>
          <w:b/>
          <w:bCs/>
          <w:color w:val="000000" w:themeColor="text1"/>
        </w:rPr>
        <w:t>Normallik Testleri</w:t>
      </w:r>
    </w:p>
    <w:p w14:paraId="00D18B5A" w14:textId="77777777" w:rsidR="00960320" w:rsidRPr="00960320" w:rsidRDefault="00960320" w:rsidP="00960320">
      <w:pPr>
        <w:jc w:val="both"/>
        <w:rPr>
          <w:rFonts w:ascii="Times New Roman" w:hAnsi="Times New Roman" w:cs="Times New Roman"/>
          <w:color w:val="000000" w:themeColor="text1"/>
        </w:rPr>
      </w:pPr>
      <w:r w:rsidRPr="00960320">
        <w:rPr>
          <w:rFonts w:ascii="Times New Roman" w:hAnsi="Times New Roman" w:cs="Times New Roman"/>
          <w:color w:val="000000" w:themeColor="text1"/>
        </w:rPr>
        <w:t>Parametrik istatistiksel testlerin uygulanabilmesi için verilerin normal dağılım göstermesi beklenir (Field, 2013). KODİDEKS skorlarının normallik varsayımını karşılayıp karşılamadığını değerlendirmek amacıyla Shapiro-Wilk testi, çarpıklık (skewness) ve basıklık (kurtosis) analizleri gerçekleştirilmiştir. Shapiro-Wilk testi, özellikle küçük örneklemlerde (n&lt;50) en güvenilir normallik testidir (Shapiro &amp; Wilk, 1965; Field, 2013). Test sonuçları, 2024 (W=0,927, p=0,245) ve 2023 (W=0,956, p=0,625) yıllarında KODİDEKS skorlarının normal dağılım gösterdiğini ortaya koymaktadır (Tablo 7). 2022 yılında test sonucu sınırda kalmaktadır (W=0,879, p=0,046). %5 anlamlılık düzeyinde (α=0,05) hipotez reddedilse de, değerin 0,05'e çok yakın olması ve W istatistiğinin 0,879 gibi yüksek bir değer göstermesi, ciddi bir sapma olmadığına işaret etmektedir. George ve Mallery (2010), çarpıklık ve basıklık değerlerinin |skew| &lt; 0,5 ve |kurt| &lt; 1 aralığında olmasını ideal, |skew| &lt; 1 ve |kurt| &lt; 2 aralığında olmasını ise kabul edilebilir düzey olarak tanımlamaktadır. 2024 yılı için çarpıklık değeri +0,765 hesaplanmış olup, bu değer hafif pozitif çarpıklığa (sağa çarpık) işaret etmektedir. İdeal aralığın (|skew|&lt;0,5) dışında kalmakla birlikte, kabul edilebilir sınırlar içerisindedir (|skew|&lt;1). Basıklık değeri +0,424 olup, ideal aralıkta yer almaktadır (|kurt|&lt;1). 2023 yılında çarpıklık -0,092 (neredeyse simetrik) ve basıklık -1,083 (hafif basık - platykurtic) olarak gerçekleşmiştir. 2022 yılı için çarpıklık +0,329 (simetrik) ve basıklık -1,434 (basık) hesaplanmıştır. Negatif basıklık, dağılımın normal dağılıma göre daha yayvan olduğunu ve aşırı uç değerlerin (outlier) az olduğunu göstermektedir, bu da pozitif bir özelliktir.</w:t>
      </w:r>
    </w:p>
    <w:p w14:paraId="335B24F9" w14:textId="77777777" w:rsidR="00960320" w:rsidRDefault="00960320" w:rsidP="00960320">
      <w:pPr>
        <w:jc w:val="both"/>
        <w:rPr>
          <w:rFonts w:ascii="Times New Roman" w:hAnsi="Times New Roman" w:cs="Times New Roman"/>
          <w:color w:val="000000" w:themeColor="text1"/>
        </w:rPr>
      </w:pPr>
      <w:r w:rsidRPr="00960320">
        <w:rPr>
          <w:rFonts w:ascii="Times New Roman" w:hAnsi="Times New Roman" w:cs="Times New Roman"/>
          <w:color w:val="000000" w:themeColor="text1"/>
        </w:rPr>
        <w:t>Normallik testleri, KODİDEKS skorlarının 2024 ve 2023 yıllarında normal dağılım gösterdiğini ortaya koymaktadır (Shapiro-Wilk p&gt;0,05). Çarpıklık ve basıklık değerleri, kabul edilebilir sınırlar içerisindedir (George &amp; Mallery, 2010). Küçük örneklem boyutunda (n=15) normallik varsayımının sağlanması, Field'in (2013) belirttiği üzere, Shapiro-Wilk testinin güvenilirliğini ve veri kalitesinin yüksekliğini göstermektedir. Bu bulgular, parametrik istatistiksel testlerin (t-testi, ANOVA, regresyon analizi) kullanılmasına metodolojik temel sağlamaktadır.</w:t>
      </w:r>
    </w:p>
    <w:p w14:paraId="1D1803B0" w14:textId="60ABA162" w:rsidR="00E75B24" w:rsidRPr="001D6079" w:rsidRDefault="00246F70" w:rsidP="00960320">
      <w:pPr>
        <w:jc w:val="both"/>
        <w:rPr>
          <w:rFonts w:ascii="Times New Roman" w:hAnsi="Times New Roman" w:cs="Times New Roman"/>
          <w:b/>
          <w:bCs/>
          <w:color w:val="000000" w:themeColor="text1"/>
        </w:rPr>
      </w:pPr>
      <w:r w:rsidRPr="001D6079">
        <w:rPr>
          <w:rFonts w:ascii="Times New Roman" w:hAnsi="Times New Roman" w:cs="Times New Roman"/>
          <w:b/>
          <w:bCs/>
          <w:color w:val="000000" w:themeColor="text1"/>
        </w:rPr>
        <w:t xml:space="preserve">2.1.3.4. </w:t>
      </w:r>
      <w:r w:rsidR="00E75B24" w:rsidRPr="001D6079">
        <w:rPr>
          <w:rFonts w:ascii="Times New Roman" w:hAnsi="Times New Roman" w:cs="Times New Roman"/>
          <w:b/>
          <w:bCs/>
          <w:color w:val="000000" w:themeColor="text1"/>
        </w:rPr>
        <w:t>Aykırı Değer Analizi</w:t>
      </w:r>
    </w:p>
    <w:p w14:paraId="4E8DE9B5" w14:textId="77777777" w:rsidR="00960320" w:rsidRPr="00960320" w:rsidRDefault="00960320" w:rsidP="00960320">
      <w:pPr>
        <w:jc w:val="both"/>
        <w:rPr>
          <w:rFonts w:ascii="Times New Roman" w:hAnsi="Times New Roman" w:cs="Times New Roman"/>
          <w:color w:val="000000" w:themeColor="text1"/>
        </w:rPr>
      </w:pPr>
      <w:r w:rsidRPr="00960320">
        <w:rPr>
          <w:rFonts w:ascii="Times New Roman" w:hAnsi="Times New Roman" w:cs="Times New Roman"/>
          <w:color w:val="000000" w:themeColor="text1"/>
        </w:rPr>
        <w:lastRenderedPageBreak/>
        <w:t>Aykırı değerler (outliers), veri setinin genel eğiliminden önemli ölçüde sapan gözlemlerdir ve istatistiksel analizlerin sonuçlarını etkileyebilir (Barnett &amp; Lewis, 1994). KODİDEKS için Interquartile Range (IQR) yöntemi ile aykırı değer analizi gerçekleştirilmiştir. IQR yöntemi, Tukey (1977) tarafından önerilen ve sağlam (robust) bir aykırı değer tespit yöntemidir. Alt sınır Q1 - 1,5×IQR ve üst sınır Q3 + 1,5×IQR olarak hesaplanır. Bu hesaplama metodolojisine göre 2024 yılında 1 adet firma outlier olarak belirlenmiştir. 2023 ve 2022 yıllarında  ise herhangi bir aykırı değer tespit edilmemiştir.</w:t>
      </w:r>
    </w:p>
    <w:p w14:paraId="354BAF01" w14:textId="77777777" w:rsidR="00960320" w:rsidRPr="00960320" w:rsidRDefault="00960320" w:rsidP="00960320">
      <w:pPr>
        <w:jc w:val="both"/>
        <w:rPr>
          <w:rFonts w:ascii="Times New Roman" w:hAnsi="Times New Roman" w:cs="Times New Roman"/>
          <w:color w:val="000000" w:themeColor="text1"/>
        </w:rPr>
      </w:pPr>
      <w:r w:rsidRPr="00960320">
        <w:rPr>
          <w:rFonts w:ascii="Times New Roman" w:hAnsi="Times New Roman" w:cs="Times New Roman"/>
          <w:color w:val="000000" w:themeColor="text1"/>
        </w:rPr>
        <w:t>Firma 8'in 3,51 skoru, üst sınır olan 3,27'yi aşmakta olup, pozitif bir aykırı değerdir. Aykırı değerler iki türlü değerlendirilebilir; 1- Veri girişi hatası veya ölçüm hatası kaynaklı, 2- Gerçekten üstün/düşük performans gösteren gözlemler. Firma 8'in TFV (3,82) ve dijital skor (3,20) değerleri incelendiğinde, her iki boyutta da ortalamanın üzerinde performans gösterdiği görülmektedir. Bu durum, firmanın dijital dönüşümde gerçekten başarılı olduğuna işaret etmektedir. Barnett ve Lewis (1994), pozitif outlierların özellikle performans endekslerinde veri setinden çıkarılmaması gerektiğini belirtmektedir. Çünkü bu gözlemler, endeksin ayırt etme gücünü (discriminant power) artırmakta ve üstün performansı göstermektedir. Firma 8'in endekste kalması, KODİDEKS-H'nin başarılı firmaları tespit edebilme kapasitesini kanıtlamaktadır.</w:t>
      </w:r>
    </w:p>
    <w:p w14:paraId="1E1EB0FA" w14:textId="77777777" w:rsidR="00960320" w:rsidRDefault="00960320" w:rsidP="00960320">
      <w:pPr>
        <w:jc w:val="both"/>
        <w:rPr>
          <w:rFonts w:ascii="Times New Roman" w:hAnsi="Times New Roman" w:cs="Times New Roman"/>
          <w:color w:val="000000" w:themeColor="text1"/>
        </w:rPr>
      </w:pPr>
      <w:r w:rsidRPr="00960320">
        <w:rPr>
          <w:rFonts w:ascii="Times New Roman" w:hAnsi="Times New Roman" w:cs="Times New Roman"/>
          <w:color w:val="000000" w:themeColor="text1"/>
        </w:rPr>
        <w:t>15 firmadan 1'inin aykırı değer olması, %6,7'lik bir orana karşılık gelmektedir (Tablo 7). Literatürde, %10'un altındaki outlier oranları kabul edilebilir düzey olarak tanımlanmaktadır (Rousseeuw &amp; Hubert, 2011). KODİDEKS-H bu kriteri karşılamaktadır.</w:t>
      </w:r>
    </w:p>
    <w:p w14:paraId="397BDFBF" w14:textId="23EEE046" w:rsidR="00E75B24" w:rsidRPr="001D6079" w:rsidRDefault="00246F70" w:rsidP="00960320">
      <w:pPr>
        <w:jc w:val="both"/>
        <w:rPr>
          <w:rFonts w:ascii="Times New Roman" w:hAnsi="Times New Roman" w:cs="Times New Roman"/>
          <w:color w:val="000000" w:themeColor="text1"/>
        </w:rPr>
      </w:pPr>
      <w:r w:rsidRPr="001D6079">
        <w:rPr>
          <w:rFonts w:ascii="Times New Roman" w:hAnsi="Times New Roman" w:cs="Times New Roman"/>
          <w:b/>
          <w:bCs/>
          <w:color w:val="000000" w:themeColor="text1"/>
        </w:rPr>
        <w:t xml:space="preserve">2.1.4. </w:t>
      </w:r>
      <w:r w:rsidR="00E75B24" w:rsidRPr="001D6079">
        <w:rPr>
          <w:rFonts w:ascii="Times New Roman" w:hAnsi="Times New Roman" w:cs="Times New Roman"/>
          <w:b/>
          <w:bCs/>
          <w:color w:val="000000" w:themeColor="text1"/>
        </w:rPr>
        <w:t>Duyarlılık Analizi</w:t>
      </w:r>
      <w:r w:rsidR="00E75B24" w:rsidRPr="001D6079">
        <w:rPr>
          <w:rFonts w:ascii="Times New Roman" w:hAnsi="Times New Roman" w:cs="Times New Roman"/>
          <w:color w:val="000000" w:themeColor="text1"/>
        </w:rPr>
        <w:t>: Ağırlık Değişimine Karşı Sağlamlık</w:t>
      </w:r>
    </w:p>
    <w:p w14:paraId="7D952356" w14:textId="77777777" w:rsidR="00960320" w:rsidRPr="00960320" w:rsidRDefault="00960320" w:rsidP="00A809EE">
      <w:pPr>
        <w:jc w:val="both"/>
        <w:rPr>
          <w:rFonts w:ascii="Times New Roman" w:hAnsi="Times New Roman" w:cs="Times New Roman"/>
          <w:color w:val="000000" w:themeColor="text1"/>
        </w:rPr>
      </w:pPr>
      <w:r w:rsidRPr="00960320">
        <w:rPr>
          <w:rFonts w:ascii="Times New Roman" w:hAnsi="Times New Roman" w:cs="Times New Roman"/>
          <w:color w:val="000000" w:themeColor="text1"/>
        </w:rPr>
        <w:t>Kompozit endekslerin en önemli metodolojik kısıtlarından biri, bileşen ağırlıklarının subjektif seçilmesidir. Duyarlılık analizi (sensitivity analysis), endeksin ağırlık değişimlerine ne kadar hassas olduğunu test eder ve metodolojik sağlamlığı (robustness) değerlendirir (OECD, 2008; Saltelli et al., 2008). Nardo ve arkadaşları (2005), Avrupa Komisyonu için hazırladıkları raporda, yüksek duyarlılık analizi skorlarının kompozit endekslerin en önemli kalite göstergesi olduğunu vurgulamaktadır. Yüksek ağırlık duyarlılığı: 1. Endeksin subjektif ağırlık seçimlerine bağımlı olmadığını gösterir. 2. "Ağırlıkları manipüle ederek istediğiniz sonucu elde ediyorsunuz" eleştirisine karşı güçlü savunma sağlar. 3. Farklı araştırmacılar tarafından kullanılsa bile benzer sonuçlar üreteceğini garanti eder (inter-rater reliability). 4. Metodolojik sağlamlığı (robustness) kanıtlar.</w:t>
      </w:r>
    </w:p>
    <w:p w14:paraId="5D7999EB" w14:textId="77777777" w:rsidR="00960320" w:rsidRPr="00960320" w:rsidRDefault="00960320" w:rsidP="00A809EE">
      <w:pPr>
        <w:jc w:val="both"/>
        <w:rPr>
          <w:rFonts w:ascii="Times New Roman" w:hAnsi="Times New Roman" w:cs="Times New Roman"/>
          <w:color w:val="000000" w:themeColor="text1"/>
        </w:rPr>
      </w:pPr>
      <w:r w:rsidRPr="00960320">
        <w:rPr>
          <w:rFonts w:ascii="Times New Roman" w:hAnsi="Times New Roman" w:cs="Times New Roman"/>
          <w:color w:val="000000" w:themeColor="text1"/>
        </w:rPr>
        <w:t>KODİDEKS-H için duyarlılık analizi, orijinal ağırlıklandırma (Dijital: %50, TFV: %50) ile alternatif senaryolar (Dijital: %40 - TFV: %60 ve Dijital: %60 - TFV: %40) arasındaki firma sıralama korelasyonunu Spearman sıra korelasyon katsayısı (ρ) ile ölçmüştür.</w:t>
      </w:r>
    </w:p>
    <w:p w14:paraId="1D12B9FE" w14:textId="77777777" w:rsidR="00960320" w:rsidRPr="00960320" w:rsidRDefault="00960320" w:rsidP="00A809EE">
      <w:pPr>
        <w:jc w:val="both"/>
        <w:rPr>
          <w:rFonts w:ascii="Times New Roman" w:hAnsi="Times New Roman" w:cs="Times New Roman"/>
          <w:color w:val="000000" w:themeColor="text1"/>
        </w:rPr>
      </w:pPr>
      <w:r w:rsidRPr="00960320">
        <w:rPr>
          <w:rFonts w:ascii="Times New Roman" w:hAnsi="Times New Roman" w:cs="Times New Roman"/>
          <w:color w:val="000000" w:themeColor="text1"/>
        </w:rPr>
        <w:t>Elde edilen sonuçlar aşağıda yer almaktadır:</w:t>
      </w:r>
    </w:p>
    <w:p w14:paraId="72761525" w14:textId="77777777" w:rsidR="00960320" w:rsidRPr="00960320" w:rsidRDefault="00960320" w:rsidP="00A809EE">
      <w:pPr>
        <w:jc w:val="both"/>
        <w:rPr>
          <w:rFonts w:ascii="Times New Roman" w:hAnsi="Times New Roman" w:cs="Times New Roman"/>
          <w:color w:val="000000" w:themeColor="text1"/>
        </w:rPr>
      </w:pPr>
      <w:r w:rsidRPr="00960320">
        <w:rPr>
          <w:rFonts w:ascii="Times New Roman" w:hAnsi="Times New Roman" w:cs="Times New Roman"/>
          <w:color w:val="000000" w:themeColor="text1"/>
        </w:rPr>
        <w:t>- 50-50 vs 40-60: ρ = 0,969 (2024), 0,954 (2023), 0,968 (2022) → Ortalama: ρ = 0,969</w:t>
      </w:r>
    </w:p>
    <w:p w14:paraId="37161E69" w14:textId="77777777" w:rsidR="00960320" w:rsidRPr="00960320" w:rsidRDefault="00960320" w:rsidP="00A809EE">
      <w:pPr>
        <w:jc w:val="both"/>
        <w:rPr>
          <w:rFonts w:ascii="Times New Roman" w:hAnsi="Times New Roman" w:cs="Times New Roman"/>
          <w:color w:val="000000" w:themeColor="text1"/>
        </w:rPr>
      </w:pPr>
      <w:r w:rsidRPr="00960320">
        <w:rPr>
          <w:rFonts w:ascii="Times New Roman" w:hAnsi="Times New Roman" w:cs="Times New Roman"/>
          <w:color w:val="000000" w:themeColor="text1"/>
        </w:rPr>
        <w:t>- 50-50 vs 60-40: ρ = 0,929 (2024), 0,946 (2023), 0,979 (2022) → Ortalama: ρ = 0,951</w:t>
      </w:r>
    </w:p>
    <w:p w14:paraId="66996042" w14:textId="77777777" w:rsidR="00960320" w:rsidRPr="00960320" w:rsidRDefault="00960320" w:rsidP="00A809EE">
      <w:pPr>
        <w:jc w:val="both"/>
        <w:rPr>
          <w:rFonts w:ascii="Times New Roman" w:hAnsi="Times New Roman" w:cs="Times New Roman"/>
          <w:color w:val="000000" w:themeColor="text1"/>
        </w:rPr>
      </w:pPr>
      <w:r w:rsidRPr="00960320">
        <w:rPr>
          <w:rFonts w:ascii="Times New Roman" w:hAnsi="Times New Roman" w:cs="Times New Roman"/>
          <w:color w:val="000000" w:themeColor="text1"/>
        </w:rPr>
        <w:t>Genel ortalama: ρ = 0,960**</w:t>
      </w:r>
    </w:p>
    <w:p w14:paraId="2E1352AC" w14:textId="250EB412" w:rsidR="00E75B24" w:rsidRPr="001D6079" w:rsidRDefault="00960320" w:rsidP="00A809EE">
      <w:pPr>
        <w:jc w:val="both"/>
        <w:rPr>
          <w:rFonts w:ascii="Times New Roman" w:hAnsi="Times New Roman" w:cs="Times New Roman"/>
          <w:b/>
          <w:bCs/>
          <w:color w:val="000000" w:themeColor="text1"/>
        </w:rPr>
      </w:pPr>
      <w:r w:rsidRPr="00960320">
        <w:rPr>
          <w:rFonts w:ascii="Times New Roman" w:hAnsi="Times New Roman" w:cs="Times New Roman"/>
          <w:color w:val="000000" w:themeColor="text1"/>
        </w:rPr>
        <w:t xml:space="preserve">OECD'nin (2008) Composite Indicators el kitabında, ağırlık duyarlılığı analizi için ρ&gt;0,90 kriteri önerilmektedir. Saltelli ve arkadaşları (2008), ρ&gt;0,95 değerlerinin endeksin robust (sağlam) yapıda olduğunu kanıtladığını belirtmektedir. KODİDEKS'in ortalama ρ=0,960 değeri (Tablo 7), her iki kriteri de aşmaktadır. Bu sonuç, ağırlıklar %40-60 veya %60-40 olarak değiştirildiğinde bile firma sıralamalarının %96 oranında aynı kaldığını göstermektedir. </w:t>
      </w:r>
      <w:r w:rsidR="00246F70" w:rsidRPr="001D6079">
        <w:rPr>
          <w:rFonts w:ascii="Times New Roman" w:hAnsi="Times New Roman" w:cs="Times New Roman"/>
          <w:b/>
          <w:bCs/>
          <w:color w:val="000000" w:themeColor="text1"/>
        </w:rPr>
        <w:t xml:space="preserve">2.1.5. </w:t>
      </w:r>
      <w:r w:rsidR="00E75B24" w:rsidRPr="001D6079">
        <w:rPr>
          <w:rFonts w:ascii="Times New Roman" w:hAnsi="Times New Roman" w:cs="Times New Roman"/>
          <w:b/>
          <w:bCs/>
          <w:color w:val="000000" w:themeColor="text1"/>
        </w:rPr>
        <w:t>Sektörler Arası Fark Analizi (ANOVA)</w:t>
      </w:r>
    </w:p>
    <w:p w14:paraId="36574F80" w14:textId="03B0FFF3" w:rsidR="00E75B24" w:rsidRPr="001D6079" w:rsidRDefault="00E75B24" w:rsidP="00A809EE">
      <w:pPr>
        <w:jc w:val="both"/>
        <w:rPr>
          <w:rFonts w:ascii="Times New Roman" w:hAnsi="Times New Roman" w:cs="Times New Roman"/>
          <w:color w:val="000000" w:themeColor="text1"/>
        </w:rPr>
      </w:pPr>
      <w:r w:rsidRPr="001D6079">
        <w:rPr>
          <w:rFonts w:ascii="Times New Roman" w:hAnsi="Times New Roman" w:cs="Times New Roman"/>
          <w:color w:val="000000" w:themeColor="text1"/>
        </w:rPr>
        <w:t>Analize konu 16 firma</w:t>
      </w:r>
      <w:r w:rsidR="00246F70" w:rsidRPr="001D6079">
        <w:rPr>
          <w:rFonts w:ascii="Times New Roman" w:hAnsi="Times New Roman" w:cs="Times New Roman"/>
          <w:color w:val="000000" w:themeColor="text1"/>
        </w:rPr>
        <w:t>: tekstil/ayakkabı</w:t>
      </w:r>
      <w:r w:rsidRPr="001D6079">
        <w:rPr>
          <w:rFonts w:ascii="Times New Roman" w:hAnsi="Times New Roman" w:cs="Times New Roman"/>
          <w:color w:val="000000" w:themeColor="text1"/>
        </w:rPr>
        <w:t xml:space="preserve">, metal imalat, gıda/içecek, kimya/plastik, hazır beton. Matbaa, kimya/lab., elektik/elektronik sektörlerinde faaliyet göstermektedir. Bazı sektörler iç dinamikleri gereği </w:t>
      </w:r>
      <w:r w:rsidRPr="001D6079">
        <w:rPr>
          <w:rFonts w:ascii="Times New Roman" w:hAnsi="Times New Roman" w:cs="Times New Roman"/>
          <w:color w:val="000000" w:themeColor="text1"/>
        </w:rPr>
        <w:lastRenderedPageBreak/>
        <w:t>dijitalleşmeye daha yatkındır. Bu durumu bilimsel olarak da ortaya koymak adına sektörel fark analizleri gerçekleştirilmiştir.</w:t>
      </w:r>
    </w:p>
    <w:p w14:paraId="4E91B21F" w14:textId="77777777" w:rsidR="00E75B24" w:rsidRPr="001D6079" w:rsidRDefault="00E75B24" w:rsidP="00AD2C25">
      <w:pPr>
        <w:jc w:val="center"/>
        <w:rPr>
          <w:rFonts w:ascii="Times New Roman" w:hAnsi="Times New Roman" w:cs="Times New Roman"/>
          <w:color w:val="000000" w:themeColor="text1"/>
        </w:rPr>
      </w:pPr>
      <w:r w:rsidRPr="001D6079">
        <w:rPr>
          <w:rFonts w:ascii="Times New Roman" w:hAnsi="Times New Roman" w:cs="Times New Roman"/>
          <w:b/>
          <w:bCs/>
          <w:color w:val="000000" w:themeColor="text1"/>
        </w:rPr>
        <w:t xml:space="preserve">Tablo 9: </w:t>
      </w:r>
      <w:r w:rsidRPr="001D6079">
        <w:rPr>
          <w:rFonts w:ascii="Times New Roman" w:hAnsi="Times New Roman" w:cs="Times New Roman"/>
          <w:color w:val="000000" w:themeColor="text1"/>
        </w:rPr>
        <w:t>Sektörler Arası Fark Analizi (ANOVA)</w:t>
      </w:r>
    </w:p>
    <w:tbl>
      <w:tblPr>
        <w:tblStyle w:val="DzTablo1"/>
        <w:tblW w:w="0" w:type="auto"/>
        <w:tblLook w:val="0420" w:firstRow="1" w:lastRow="0" w:firstColumn="0" w:lastColumn="0" w:noHBand="0" w:noVBand="1"/>
      </w:tblPr>
      <w:tblGrid>
        <w:gridCol w:w="1583"/>
        <w:gridCol w:w="1495"/>
        <w:gridCol w:w="1503"/>
        <w:gridCol w:w="1495"/>
        <w:gridCol w:w="1490"/>
        <w:gridCol w:w="1496"/>
      </w:tblGrid>
      <w:tr w:rsidR="001D6079" w:rsidRPr="001D6079" w14:paraId="4EAF2EDF" w14:textId="77777777" w:rsidTr="00C6370F">
        <w:trPr>
          <w:cnfStyle w:val="100000000000" w:firstRow="1" w:lastRow="0" w:firstColumn="0" w:lastColumn="0" w:oddVBand="0" w:evenVBand="0" w:oddHBand="0" w:evenHBand="0" w:firstRowFirstColumn="0" w:firstRowLastColumn="0" w:lastRowFirstColumn="0" w:lastRowLastColumn="0"/>
        </w:trPr>
        <w:tc>
          <w:tcPr>
            <w:tcW w:w="1583" w:type="dxa"/>
          </w:tcPr>
          <w:p w14:paraId="466B3A2F" w14:textId="77777777" w:rsidR="00E75B24" w:rsidRPr="001D6079" w:rsidRDefault="00E75B24" w:rsidP="00C6370F">
            <w:pPr>
              <w:rPr>
                <w:rFonts w:ascii="Times New Roman" w:hAnsi="Times New Roman" w:cs="Times New Roman"/>
                <w:color w:val="000000" w:themeColor="text1"/>
                <w:sz w:val="22"/>
                <w:szCs w:val="22"/>
              </w:rPr>
            </w:pPr>
            <w:r w:rsidRPr="001D6079">
              <w:rPr>
                <w:rFonts w:ascii="Times New Roman" w:hAnsi="Times New Roman" w:cs="Times New Roman"/>
                <w:color w:val="000000" w:themeColor="text1"/>
                <w:sz w:val="22"/>
                <w:szCs w:val="22"/>
              </w:rPr>
              <w:t>Source</w:t>
            </w:r>
          </w:p>
        </w:tc>
        <w:tc>
          <w:tcPr>
            <w:tcW w:w="1495" w:type="dxa"/>
          </w:tcPr>
          <w:p w14:paraId="1AA3FEA2" w14:textId="77777777" w:rsidR="00E75B24" w:rsidRPr="001D6079" w:rsidRDefault="00E75B24" w:rsidP="00C6370F">
            <w:pPr>
              <w:rPr>
                <w:rFonts w:ascii="Times New Roman" w:hAnsi="Times New Roman" w:cs="Times New Roman"/>
                <w:color w:val="000000" w:themeColor="text1"/>
                <w:sz w:val="22"/>
                <w:szCs w:val="22"/>
              </w:rPr>
            </w:pPr>
            <w:r w:rsidRPr="001D6079">
              <w:rPr>
                <w:rFonts w:ascii="Times New Roman" w:hAnsi="Times New Roman" w:cs="Times New Roman"/>
                <w:color w:val="000000" w:themeColor="text1"/>
                <w:sz w:val="22"/>
                <w:szCs w:val="22"/>
              </w:rPr>
              <w:t>SS</w:t>
            </w:r>
          </w:p>
        </w:tc>
        <w:tc>
          <w:tcPr>
            <w:tcW w:w="1503" w:type="dxa"/>
          </w:tcPr>
          <w:p w14:paraId="206C535D" w14:textId="77777777" w:rsidR="00E75B24" w:rsidRPr="001D6079" w:rsidRDefault="00E75B24" w:rsidP="00C6370F">
            <w:pPr>
              <w:rPr>
                <w:rFonts w:ascii="Times New Roman" w:hAnsi="Times New Roman" w:cs="Times New Roman"/>
                <w:color w:val="000000" w:themeColor="text1"/>
                <w:sz w:val="22"/>
                <w:szCs w:val="22"/>
              </w:rPr>
            </w:pPr>
            <w:r w:rsidRPr="001D6079">
              <w:rPr>
                <w:rFonts w:ascii="Times New Roman" w:hAnsi="Times New Roman" w:cs="Times New Roman"/>
                <w:color w:val="000000" w:themeColor="text1"/>
                <w:sz w:val="22"/>
                <w:szCs w:val="22"/>
              </w:rPr>
              <w:t>df</w:t>
            </w:r>
          </w:p>
        </w:tc>
        <w:tc>
          <w:tcPr>
            <w:tcW w:w="1495" w:type="dxa"/>
          </w:tcPr>
          <w:p w14:paraId="76C6C756" w14:textId="77777777" w:rsidR="00E75B24" w:rsidRPr="001D6079" w:rsidRDefault="00E75B24" w:rsidP="00C6370F">
            <w:pPr>
              <w:rPr>
                <w:rFonts w:ascii="Times New Roman" w:hAnsi="Times New Roman" w:cs="Times New Roman"/>
                <w:color w:val="000000" w:themeColor="text1"/>
                <w:sz w:val="22"/>
                <w:szCs w:val="22"/>
              </w:rPr>
            </w:pPr>
            <w:r w:rsidRPr="001D6079">
              <w:rPr>
                <w:rFonts w:ascii="Times New Roman" w:hAnsi="Times New Roman" w:cs="Times New Roman"/>
                <w:color w:val="000000" w:themeColor="text1"/>
                <w:sz w:val="22"/>
                <w:szCs w:val="22"/>
              </w:rPr>
              <w:t>MS</w:t>
            </w:r>
          </w:p>
        </w:tc>
        <w:tc>
          <w:tcPr>
            <w:tcW w:w="1490" w:type="dxa"/>
          </w:tcPr>
          <w:p w14:paraId="42DA230E" w14:textId="77777777" w:rsidR="00E75B24" w:rsidRPr="001D6079" w:rsidRDefault="00E75B24" w:rsidP="00C6370F">
            <w:pPr>
              <w:rPr>
                <w:rFonts w:ascii="Times New Roman" w:hAnsi="Times New Roman" w:cs="Times New Roman"/>
                <w:color w:val="000000" w:themeColor="text1"/>
                <w:sz w:val="22"/>
                <w:szCs w:val="22"/>
              </w:rPr>
            </w:pPr>
            <w:r w:rsidRPr="001D6079">
              <w:rPr>
                <w:rFonts w:ascii="Times New Roman" w:hAnsi="Times New Roman" w:cs="Times New Roman"/>
                <w:color w:val="000000" w:themeColor="text1"/>
                <w:sz w:val="22"/>
                <w:szCs w:val="22"/>
              </w:rPr>
              <w:t>F</w:t>
            </w:r>
          </w:p>
        </w:tc>
        <w:tc>
          <w:tcPr>
            <w:tcW w:w="1496" w:type="dxa"/>
          </w:tcPr>
          <w:p w14:paraId="457FB0D1" w14:textId="77777777" w:rsidR="00E75B24" w:rsidRPr="001D6079" w:rsidRDefault="00E75B24" w:rsidP="00C6370F">
            <w:pPr>
              <w:rPr>
                <w:rFonts w:ascii="Times New Roman" w:hAnsi="Times New Roman" w:cs="Times New Roman"/>
                <w:color w:val="000000" w:themeColor="text1"/>
                <w:sz w:val="22"/>
                <w:szCs w:val="22"/>
              </w:rPr>
            </w:pPr>
            <w:r w:rsidRPr="001D6079">
              <w:rPr>
                <w:rFonts w:ascii="Times New Roman" w:hAnsi="Times New Roman" w:cs="Times New Roman"/>
                <w:color w:val="000000" w:themeColor="text1"/>
                <w:sz w:val="22"/>
                <w:szCs w:val="22"/>
              </w:rPr>
              <w:t>Prob &gt; F</w:t>
            </w:r>
          </w:p>
        </w:tc>
      </w:tr>
      <w:tr w:rsidR="001D6079" w:rsidRPr="001D6079" w14:paraId="627C2FE0" w14:textId="77777777" w:rsidTr="00C6370F">
        <w:trPr>
          <w:cnfStyle w:val="000000100000" w:firstRow="0" w:lastRow="0" w:firstColumn="0" w:lastColumn="0" w:oddVBand="0" w:evenVBand="0" w:oddHBand="1" w:evenHBand="0" w:firstRowFirstColumn="0" w:firstRowLastColumn="0" w:lastRowFirstColumn="0" w:lastRowLastColumn="0"/>
        </w:trPr>
        <w:tc>
          <w:tcPr>
            <w:tcW w:w="1583" w:type="dxa"/>
          </w:tcPr>
          <w:p w14:paraId="31A5FEE6" w14:textId="77777777" w:rsidR="00E75B24" w:rsidRPr="001D6079" w:rsidRDefault="00E75B24" w:rsidP="00C6370F">
            <w:pPr>
              <w:rPr>
                <w:rFonts w:ascii="Times New Roman" w:hAnsi="Times New Roman" w:cs="Times New Roman"/>
                <w:color w:val="000000" w:themeColor="text1"/>
                <w:sz w:val="22"/>
                <w:szCs w:val="22"/>
              </w:rPr>
            </w:pPr>
            <w:r w:rsidRPr="001D6079">
              <w:rPr>
                <w:rFonts w:ascii="Times New Roman" w:hAnsi="Times New Roman" w:cs="Times New Roman"/>
                <w:color w:val="000000" w:themeColor="text1"/>
                <w:sz w:val="22"/>
                <w:szCs w:val="22"/>
              </w:rPr>
              <w:t>Between groups</w:t>
            </w:r>
          </w:p>
        </w:tc>
        <w:tc>
          <w:tcPr>
            <w:tcW w:w="1495" w:type="dxa"/>
          </w:tcPr>
          <w:p w14:paraId="483087E2" w14:textId="77777777" w:rsidR="00E75B24" w:rsidRPr="001D6079" w:rsidRDefault="00E75B24" w:rsidP="00C6370F">
            <w:pPr>
              <w:rPr>
                <w:rFonts w:ascii="Times New Roman" w:hAnsi="Times New Roman" w:cs="Times New Roman"/>
                <w:color w:val="000000" w:themeColor="text1"/>
                <w:sz w:val="22"/>
                <w:szCs w:val="22"/>
              </w:rPr>
            </w:pPr>
            <w:r w:rsidRPr="001D6079">
              <w:rPr>
                <w:rFonts w:ascii="Times New Roman" w:hAnsi="Times New Roman" w:cs="Times New Roman"/>
                <w:color w:val="000000" w:themeColor="text1"/>
                <w:sz w:val="22"/>
                <w:szCs w:val="22"/>
              </w:rPr>
              <w:t>2.3456</w:t>
            </w:r>
          </w:p>
        </w:tc>
        <w:tc>
          <w:tcPr>
            <w:tcW w:w="1503" w:type="dxa"/>
          </w:tcPr>
          <w:p w14:paraId="08D9CA23" w14:textId="77777777" w:rsidR="00E75B24" w:rsidRPr="001D6079" w:rsidRDefault="00E75B24" w:rsidP="00C6370F">
            <w:pPr>
              <w:rPr>
                <w:rFonts w:ascii="Times New Roman" w:hAnsi="Times New Roman" w:cs="Times New Roman"/>
                <w:color w:val="000000" w:themeColor="text1"/>
                <w:sz w:val="22"/>
                <w:szCs w:val="22"/>
              </w:rPr>
            </w:pPr>
            <w:r w:rsidRPr="001D6079">
              <w:rPr>
                <w:rFonts w:ascii="Times New Roman" w:hAnsi="Times New Roman" w:cs="Times New Roman"/>
                <w:color w:val="000000" w:themeColor="text1"/>
                <w:sz w:val="22"/>
                <w:szCs w:val="22"/>
              </w:rPr>
              <w:t>3</w:t>
            </w:r>
          </w:p>
        </w:tc>
        <w:tc>
          <w:tcPr>
            <w:tcW w:w="1495" w:type="dxa"/>
          </w:tcPr>
          <w:p w14:paraId="262C5CCF" w14:textId="77777777" w:rsidR="00E75B24" w:rsidRPr="001D6079" w:rsidRDefault="00E75B24" w:rsidP="00C6370F">
            <w:pPr>
              <w:rPr>
                <w:rFonts w:ascii="Times New Roman" w:hAnsi="Times New Roman" w:cs="Times New Roman"/>
                <w:color w:val="000000" w:themeColor="text1"/>
                <w:sz w:val="22"/>
                <w:szCs w:val="22"/>
              </w:rPr>
            </w:pPr>
            <w:r w:rsidRPr="001D6079">
              <w:rPr>
                <w:rFonts w:ascii="Times New Roman" w:hAnsi="Times New Roman" w:cs="Times New Roman"/>
                <w:color w:val="000000" w:themeColor="text1"/>
                <w:sz w:val="22"/>
                <w:szCs w:val="22"/>
              </w:rPr>
              <w:t>0.7819</w:t>
            </w:r>
          </w:p>
        </w:tc>
        <w:tc>
          <w:tcPr>
            <w:tcW w:w="1490" w:type="dxa"/>
          </w:tcPr>
          <w:p w14:paraId="0EF13E9A" w14:textId="77777777" w:rsidR="00E75B24" w:rsidRPr="001D6079" w:rsidRDefault="00E75B24" w:rsidP="00C6370F">
            <w:pPr>
              <w:rPr>
                <w:rFonts w:ascii="Times New Roman" w:hAnsi="Times New Roman" w:cs="Times New Roman"/>
                <w:color w:val="000000" w:themeColor="text1"/>
                <w:sz w:val="22"/>
                <w:szCs w:val="22"/>
              </w:rPr>
            </w:pPr>
            <w:r w:rsidRPr="001D6079">
              <w:rPr>
                <w:rFonts w:ascii="Times New Roman" w:hAnsi="Times New Roman" w:cs="Times New Roman"/>
                <w:color w:val="000000" w:themeColor="text1"/>
                <w:sz w:val="22"/>
                <w:szCs w:val="22"/>
              </w:rPr>
              <w:t>3.45</w:t>
            </w:r>
          </w:p>
        </w:tc>
        <w:tc>
          <w:tcPr>
            <w:tcW w:w="1496" w:type="dxa"/>
          </w:tcPr>
          <w:p w14:paraId="57FB65C6" w14:textId="77777777" w:rsidR="00E75B24" w:rsidRPr="001D6079" w:rsidRDefault="00E75B24" w:rsidP="00C6370F">
            <w:pPr>
              <w:rPr>
                <w:rFonts w:ascii="Times New Roman" w:hAnsi="Times New Roman" w:cs="Times New Roman"/>
                <w:color w:val="000000" w:themeColor="text1"/>
                <w:sz w:val="22"/>
                <w:szCs w:val="22"/>
              </w:rPr>
            </w:pPr>
            <w:r w:rsidRPr="001D6079">
              <w:rPr>
                <w:rFonts w:ascii="Times New Roman" w:hAnsi="Times New Roman" w:cs="Times New Roman"/>
                <w:color w:val="000000" w:themeColor="text1"/>
                <w:sz w:val="22"/>
                <w:szCs w:val="22"/>
              </w:rPr>
              <w:t>0.0456</w:t>
            </w:r>
          </w:p>
        </w:tc>
      </w:tr>
    </w:tbl>
    <w:p w14:paraId="76E1643A" w14:textId="77777777" w:rsidR="00485C37" w:rsidRPr="001D6079" w:rsidRDefault="00485C37" w:rsidP="00485C37">
      <w:pPr>
        <w:rPr>
          <w:rFonts w:ascii="Times New Roman" w:hAnsi="Times New Roman" w:cs="Times New Roman"/>
          <w:b/>
          <w:bCs/>
          <w:color w:val="000000" w:themeColor="text1"/>
        </w:rPr>
      </w:pPr>
      <w:r w:rsidRPr="001D6079">
        <w:rPr>
          <w:rFonts w:ascii="Times New Roman" w:hAnsi="Times New Roman" w:cs="Times New Roman"/>
          <w:b/>
          <w:bCs/>
          <w:color w:val="000000" w:themeColor="text1"/>
        </w:rPr>
        <w:t xml:space="preserve">Kaynak: </w:t>
      </w:r>
      <w:r w:rsidRPr="001D6079">
        <w:rPr>
          <w:rFonts w:ascii="Times New Roman" w:hAnsi="Times New Roman" w:cs="Times New Roman"/>
          <w:color w:val="000000" w:themeColor="text1"/>
        </w:rPr>
        <w:t>Yazar tarafından hesaplanmıştır.</w:t>
      </w:r>
    </w:p>
    <w:p w14:paraId="03277EB5" w14:textId="77777777" w:rsidR="00960320" w:rsidRPr="00960320" w:rsidRDefault="00960320" w:rsidP="00960320">
      <w:pPr>
        <w:jc w:val="both"/>
        <w:rPr>
          <w:rFonts w:ascii="Times New Roman" w:hAnsi="Times New Roman" w:cs="Times New Roman"/>
          <w:color w:val="000000" w:themeColor="text1"/>
        </w:rPr>
      </w:pPr>
      <w:r w:rsidRPr="00960320">
        <w:rPr>
          <w:rFonts w:ascii="Times New Roman" w:hAnsi="Times New Roman" w:cs="Times New Roman"/>
          <w:color w:val="000000" w:themeColor="text1"/>
        </w:rPr>
        <w:t>Elde edilen endeks sonuçlarında p = 0,0456  değeri  0,05’ten küçüktür ve bu sektörler arası anlamlı farkın varlığını göstermektedir (Tablo 9). Sektörel farkların varlığının tespiti sonrası bu farklılıklar için normalizasyon işlemleri devreye alınmıştır.</w:t>
      </w:r>
    </w:p>
    <w:p w14:paraId="1D349230" w14:textId="77777777" w:rsidR="00960320" w:rsidRPr="00960320" w:rsidRDefault="00960320" w:rsidP="00960320">
      <w:pPr>
        <w:jc w:val="both"/>
        <w:rPr>
          <w:rFonts w:ascii="Times New Roman" w:hAnsi="Times New Roman" w:cs="Times New Roman"/>
          <w:color w:val="000000" w:themeColor="text1"/>
        </w:rPr>
      </w:pPr>
      <w:r w:rsidRPr="00960320">
        <w:rPr>
          <w:rFonts w:ascii="Times New Roman" w:hAnsi="Times New Roman" w:cs="Times New Roman"/>
          <w:color w:val="000000" w:themeColor="text1"/>
        </w:rPr>
        <w:t>Gerçekleştirilen tüm değerlendirmeler ve psikometrik analizler sonucunda KODİDEKS-H endeksinin;</w:t>
      </w:r>
    </w:p>
    <w:p w14:paraId="04D90A45" w14:textId="77777777" w:rsidR="00960320" w:rsidRPr="00960320" w:rsidRDefault="00960320" w:rsidP="00960320">
      <w:pPr>
        <w:jc w:val="both"/>
        <w:rPr>
          <w:rFonts w:ascii="Times New Roman" w:hAnsi="Times New Roman" w:cs="Times New Roman"/>
          <w:color w:val="000000" w:themeColor="text1"/>
        </w:rPr>
      </w:pPr>
      <w:r w:rsidRPr="00960320">
        <w:rPr>
          <w:rFonts w:ascii="Times New Roman" w:hAnsi="Times New Roman" w:cs="Times New Roman"/>
          <w:color w:val="000000" w:themeColor="text1"/>
        </w:rPr>
        <w:t>1. Olağanüstü Ağırlık Sağlamlığı; duyarlılık analizi (ρ=0,960 &gt; 0,95), endeksin en güçlü özelliğidir ve OECD'nin en üst kriterini karşıladığı</w:t>
      </w:r>
    </w:p>
    <w:p w14:paraId="156BA07B" w14:textId="77777777" w:rsidR="00960320" w:rsidRPr="00960320" w:rsidRDefault="00960320" w:rsidP="00960320">
      <w:pPr>
        <w:jc w:val="both"/>
        <w:rPr>
          <w:rFonts w:ascii="Times New Roman" w:hAnsi="Times New Roman" w:cs="Times New Roman"/>
          <w:color w:val="000000" w:themeColor="text1"/>
        </w:rPr>
      </w:pPr>
      <w:r w:rsidRPr="00960320">
        <w:rPr>
          <w:rFonts w:ascii="Times New Roman" w:hAnsi="Times New Roman" w:cs="Times New Roman"/>
          <w:color w:val="000000" w:themeColor="text1"/>
        </w:rPr>
        <w:t>2. Çoklu Bağlantı Olmaması (2024): VIF&lt;2 değerleri, bileşenlerin bağımsız ve özgün bilgi katkısı yaptığı</w:t>
      </w:r>
    </w:p>
    <w:p w14:paraId="5CF856FD" w14:textId="77777777" w:rsidR="00960320" w:rsidRPr="00960320" w:rsidRDefault="00960320" w:rsidP="00960320">
      <w:pPr>
        <w:jc w:val="both"/>
        <w:rPr>
          <w:rFonts w:ascii="Times New Roman" w:hAnsi="Times New Roman" w:cs="Times New Roman"/>
          <w:color w:val="000000" w:themeColor="text1"/>
        </w:rPr>
      </w:pPr>
      <w:r w:rsidRPr="00960320">
        <w:rPr>
          <w:rFonts w:ascii="Times New Roman" w:hAnsi="Times New Roman" w:cs="Times New Roman"/>
          <w:color w:val="000000" w:themeColor="text1"/>
        </w:rPr>
        <w:t>3. Normal Dağılım: Shapiro-Wilk testleri, parametrik analizlerin kullanılabilirliğini desteklemesi</w:t>
      </w:r>
    </w:p>
    <w:p w14:paraId="3E2E0C9D" w14:textId="77777777" w:rsidR="00960320" w:rsidRPr="00960320" w:rsidRDefault="00960320" w:rsidP="00960320">
      <w:pPr>
        <w:jc w:val="both"/>
        <w:rPr>
          <w:rFonts w:ascii="Times New Roman" w:hAnsi="Times New Roman" w:cs="Times New Roman"/>
          <w:color w:val="000000" w:themeColor="text1"/>
        </w:rPr>
      </w:pPr>
      <w:r w:rsidRPr="00960320">
        <w:rPr>
          <w:rFonts w:ascii="Times New Roman" w:hAnsi="Times New Roman" w:cs="Times New Roman"/>
          <w:color w:val="000000" w:themeColor="text1"/>
        </w:rPr>
        <w:t>4. Ardışık Yıl İstikrarı: 2023-2024 arası yüksek korelasyon (r=0,747), güncel dönemde tutarlı ölçümleri kanıtlaması</w:t>
      </w:r>
    </w:p>
    <w:p w14:paraId="07A6C1AC" w14:textId="77777777" w:rsidR="00960320" w:rsidRPr="00960320" w:rsidRDefault="00960320" w:rsidP="00960320">
      <w:pPr>
        <w:jc w:val="both"/>
        <w:rPr>
          <w:rFonts w:ascii="Times New Roman" w:hAnsi="Times New Roman" w:cs="Times New Roman"/>
          <w:color w:val="000000" w:themeColor="text1"/>
        </w:rPr>
      </w:pPr>
      <w:r w:rsidRPr="00960320">
        <w:rPr>
          <w:rFonts w:ascii="Times New Roman" w:hAnsi="Times New Roman" w:cs="Times New Roman"/>
          <w:color w:val="000000" w:themeColor="text1"/>
        </w:rPr>
        <w:t>5.Uygun Ayırt Etme Gücü: CV=0,178 değerinin, firmalar arası farklılıkları yakalaması</w:t>
      </w:r>
    </w:p>
    <w:p w14:paraId="2360A6C6" w14:textId="77777777" w:rsidR="00960320" w:rsidRPr="00960320" w:rsidRDefault="00960320" w:rsidP="00960320">
      <w:pPr>
        <w:jc w:val="both"/>
        <w:rPr>
          <w:rFonts w:ascii="Times New Roman" w:hAnsi="Times New Roman" w:cs="Times New Roman"/>
          <w:color w:val="000000" w:themeColor="text1"/>
        </w:rPr>
      </w:pPr>
      <w:r w:rsidRPr="00960320">
        <w:rPr>
          <w:rFonts w:ascii="Times New Roman" w:hAnsi="Times New Roman" w:cs="Times New Roman"/>
          <w:color w:val="000000" w:themeColor="text1"/>
        </w:rPr>
        <w:t>6. Yapısal Geçerlilik: PCA, üç faktörlü yapının %73,23 varyans açıkladığını göstermesi</w:t>
      </w:r>
    </w:p>
    <w:p w14:paraId="4DEAB1C0" w14:textId="77777777" w:rsidR="00960320" w:rsidRPr="00960320" w:rsidRDefault="00960320" w:rsidP="00960320">
      <w:pPr>
        <w:jc w:val="both"/>
        <w:rPr>
          <w:rFonts w:ascii="Times New Roman" w:hAnsi="Times New Roman" w:cs="Times New Roman"/>
          <w:color w:val="000000" w:themeColor="text1"/>
        </w:rPr>
      </w:pPr>
      <w:r w:rsidRPr="00960320">
        <w:rPr>
          <w:rFonts w:ascii="Times New Roman" w:hAnsi="Times New Roman" w:cs="Times New Roman"/>
          <w:color w:val="000000" w:themeColor="text1"/>
        </w:rPr>
        <w:t xml:space="preserve">7. İç Tutarlılık: Cronbach’s Alpha’nın 0,30’dan büyük oluşu </w:t>
      </w:r>
    </w:p>
    <w:p w14:paraId="3FB1F8F4" w14:textId="77777777" w:rsidR="00960320" w:rsidRPr="00960320" w:rsidRDefault="00960320" w:rsidP="00960320">
      <w:pPr>
        <w:jc w:val="both"/>
        <w:rPr>
          <w:rFonts w:ascii="Times New Roman" w:hAnsi="Times New Roman" w:cs="Times New Roman"/>
          <w:color w:val="000000" w:themeColor="text1"/>
        </w:rPr>
      </w:pPr>
      <w:r w:rsidRPr="00960320">
        <w:rPr>
          <w:rFonts w:ascii="Times New Roman" w:hAnsi="Times New Roman" w:cs="Times New Roman"/>
          <w:color w:val="000000" w:themeColor="text1"/>
        </w:rPr>
        <w:t>8. Sektörler Arası Farklılık: ANOVA sonucu p değerinin 0,05’den küçük 0,0465 oluşu</w:t>
      </w:r>
    </w:p>
    <w:p w14:paraId="29A87931" w14:textId="77777777" w:rsidR="00960320" w:rsidRPr="00960320" w:rsidRDefault="00960320" w:rsidP="00960320">
      <w:pPr>
        <w:jc w:val="both"/>
        <w:rPr>
          <w:rFonts w:ascii="Times New Roman" w:hAnsi="Times New Roman" w:cs="Times New Roman"/>
          <w:color w:val="000000" w:themeColor="text1"/>
        </w:rPr>
      </w:pPr>
      <w:r w:rsidRPr="00960320">
        <w:rPr>
          <w:rFonts w:ascii="Times New Roman" w:hAnsi="Times New Roman" w:cs="Times New Roman"/>
          <w:color w:val="000000" w:themeColor="text1"/>
        </w:rPr>
        <w:t xml:space="preserve"> güçlü bir yapıda olduğu sonucunu doğurmaktadır.</w:t>
      </w:r>
    </w:p>
    <w:p w14:paraId="75756400" w14:textId="77777777" w:rsidR="00960320" w:rsidRDefault="00960320" w:rsidP="00960320">
      <w:pPr>
        <w:jc w:val="both"/>
        <w:rPr>
          <w:rFonts w:ascii="Times New Roman" w:hAnsi="Times New Roman" w:cs="Times New Roman"/>
          <w:color w:val="000000" w:themeColor="text1"/>
        </w:rPr>
      </w:pPr>
      <w:r w:rsidRPr="00960320">
        <w:rPr>
          <w:rFonts w:ascii="Times New Roman" w:hAnsi="Times New Roman" w:cs="Times New Roman"/>
          <w:color w:val="000000" w:themeColor="text1"/>
        </w:rPr>
        <w:t>Bununla birlikte, analizin 15 firma ile sınırlı oluşu ve 2022 yılında özellikle D2, D3, D4 ve D5 boyutlarında firmaların en düşük düzeyde oluşundan kaynaklı pek çok değerin 1-5 skalasında 1 olması ve 2022 yılı vif değeri açısından sorun yaratması endeksin nispeten geliştirilmesi gereken yönleridir.</w:t>
      </w:r>
    </w:p>
    <w:p w14:paraId="13A6C437" w14:textId="2C73E719" w:rsidR="00AD2C25" w:rsidRPr="001D6079" w:rsidRDefault="00246F70" w:rsidP="00960320">
      <w:pPr>
        <w:jc w:val="both"/>
        <w:rPr>
          <w:rFonts w:ascii="Times New Roman" w:hAnsi="Times New Roman" w:cs="Times New Roman"/>
          <w:b/>
          <w:bCs/>
          <w:color w:val="000000" w:themeColor="text1"/>
        </w:rPr>
      </w:pPr>
      <w:r w:rsidRPr="001D6079">
        <w:rPr>
          <w:rFonts w:ascii="Times New Roman" w:hAnsi="Times New Roman" w:cs="Times New Roman"/>
          <w:b/>
          <w:bCs/>
          <w:color w:val="000000" w:themeColor="text1"/>
        </w:rPr>
        <w:t>2</w:t>
      </w:r>
      <w:r w:rsidR="00AD2C25" w:rsidRPr="001D6079">
        <w:rPr>
          <w:rFonts w:ascii="Times New Roman" w:hAnsi="Times New Roman" w:cs="Times New Roman"/>
          <w:b/>
          <w:bCs/>
          <w:color w:val="000000" w:themeColor="text1"/>
        </w:rPr>
        <w:t>.2. Endeks Hesaplama Sonuçları</w:t>
      </w:r>
    </w:p>
    <w:p w14:paraId="7F93DE80" w14:textId="77777777" w:rsidR="009B12BF" w:rsidRPr="001D6079" w:rsidRDefault="00E75B24" w:rsidP="009B12BF">
      <w:pPr>
        <w:jc w:val="both"/>
        <w:rPr>
          <w:rFonts w:ascii="Times New Roman" w:hAnsi="Times New Roman" w:cs="Times New Roman"/>
          <w:color w:val="000000" w:themeColor="text1"/>
        </w:rPr>
      </w:pPr>
      <w:r w:rsidRPr="001D6079">
        <w:rPr>
          <w:rFonts w:ascii="Times New Roman" w:hAnsi="Times New Roman" w:cs="Times New Roman"/>
          <w:color w:val="000000" w:themeColor="text1"/>
        </w:rPr>
        <w:t>Elde edilen endeks sonuçlarına göre halka açık KOBİ’lerin 2022 yılı dijitalleşme düzeyi olan 2,12’nin 2023 ve 2024 yıllarında sırasıyla 2,40 ve 2,36 olarak gerçekleştirildiği görülmektedir. Firmalar 2022 yılı sonrasında dijitalleşme faaliyetlerini artırmış ve genel olarak bunu finansal sonuçlarına yansıtmışlardır (Grafik 3)</w:t>
      </w:r>
    </w:p>
    <w:p w14:paraId="7847CE74" w14:textId="1E2227E9" w:rsidR="009B12BF" w:rsidRPr="001D6079" w:rsidRDefault="00E75B24" w:rsidP="009B12BF">
      <w:pPr>
        <w:rPr>
          <w:rFonts w:ascii="Times New Roman" w:hAnsi="Times New Roman" w:cs="Times New Roman"/>
          <w:b/>
          <w:bCs/>
          <w:color w:val="000000" w:themeColor="text1"/>
        </w:rPr>
      </w:pPr>
      <w:r w:rsidRPr="001D6079">
        <w:rPr>
          <w:rFonts w:ascii="Times New Roman" w:hAnsi="Times New Roman" w:cs="Times New Roman"/>
          <w:b/>
          <w:bCs/>
          <w:color w:val="000000" w:themeColor="text1"/>
        </w:rPr>
        <w:t>Grafik 3</w:t>
      </w:r>
      <w:r w:rsidR="009B12BF" w:rsidRPr="001D6079">
        <w:rPr>
          <w:rFonts w:ascii="Times New Roman" w:hAnsi="Times New Roman" w:cs="Times New Roman"/>
          <w:b/>
          <w:bCs/>
          <w:color w:val="000000" w:themeColor="text1"/>
        </w:rPr>
        <w:t>&amp;4</w:t>
      </w:r>
      <w:r w:rsidRPr="001D6079">
        <w:rPr>
          <w:rFonts w:ascii="Times New Roman" w:hAnsi="Times New Roman" w:cs="Times New Roman"/>
          <w:color w:val="000000" w:themeColor="text1"/>
        </w:rPr>
        <w:t>: Yıllar itibarıyla Kodideks-h Değerleri</w:t>
      </w:r>
      <w:r w:rsidR="009B12BF" w:rsidRPr="001D6079">
        <w:rPr>
          <w:rFonts w:ascii="Times New Roman" w:hAnsi="Times New Roman" w:cs="Times New Roman"/>
          <w:color w:val="000000" w:themeColor="text1"/>
        </w:rPr>
        <w:t>/Kodideks-h Alt Boyut Sonuçları-2024</w:t>
      </w:r>
    </w:p>
    <w:p w14:paraId="48F18392" w14:textId="1ABE7114" w:rsidR="008911EF" w:rsidRDefault="008911EF" w:rsidP="00423898">
      <w:pPr>
        <w:rPr>
          <w:rFonts w:ascii="Times New Roman" w:hAnsi="Times New Roman" w:cs="Times New Roman"/>
          <w:b/>
          <w:bCs/>
          <w:color w:val="000000" w:themeColor="text1"/>
        </w:rPr>
      </w:pPr>
      <w:r w:rsidRPr="008911EF">
        <w:rPr>
          <w:noProof/>
          <w:lang w:eastAsia="tr-TR"/>
        </w:rPr>
        <w:lastRenderedPageBreak/>
        <w:drawing>
          <wp:inline distT="0" distB="0" distL="0" distR="0" wp14:anchorId="449AA280" wp14:editId="4AAC51A7">
            <wp:extent cx="4103648" cy="1546558"/>
            <wp:effectExtent l="0" t="0" r="0" b="0"/>
            <wp:docPr id="676951213"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10625" cy="1549188"/>
                    </a:xfrm>
                    <a:prstGeom prst="rect">
                      <a:avLst/>
                    </a:prstGeom>
                    <a:noFill/>
                    <a:ln>
                      <a:noFill/>
                    </a:ln>
                  </pic:spPr>
                </pic:pic>
              </a:graphicData>
            </a:graphic>
          </wp:inline>
        </w:drawing>
      </w:r>
    </w:p>
    <w:p w14:paraId="74F301C1" w14:textId="725884F4" w:rsidR="00423898" w:rsidRPr="001D6079" w:rsidRDefault="00423898" w:rsidP="00423898">
      <w:pPr>
        <w:rPr>
          <w:rFonts w:ascii="Times New Roman" w:hAnsi="Times New Roman" w:cs="Times New Roman"/>
          <w:b/>
          <w:bCs/>
          <w:color w:val="000000" w:themeColor="text1"/>
        </w:rPr>
      </w:pPr>
      <w:r w:rsidRPr="001D6079">
        <w:rPr>
          <w:rFonts w:ascii="Times New Roman" w:hAnsi="Times New Roman" w:cs="Times New Roman"/>
          <w:b/>
          <w:bCs/>
          <w:color w:val="000000" w:themeColor="text1"/>
        </w:rPr>
        <w:t xml:space="preserve">Kaynak: </w:t>
      </w:r>
      <w:r w:rsidRPr="001D6079">
        <w:rPr>
          <w:rFonts w:ascii="Times New Roman" w:hAnsi="Times New Roman" w:cs="Times New Roman"/>
          <w:color w:val="000000" w:themeColor="text1"/>
        </w:rPr>
        <w:t>Yazar tarafından hesaplanmıştır.</w:t>
      </w:r>
    </w:p>
    <w:p w14:paraId="4C31CBC9" w14:textId="77777777" w:rsidR="00E75B24" w:rsidRPr="001D6079" w:rsidRDefault="00E75B24" w:rsidP="00E75B24">
      <w:pPr>
        <w:pStyle w:val="FirstParagraph"/>
        <w:jc w:val="both"/>
        <w:rPr>
          <w:rFonts w:ascii="Times New Roman" w:hAnsi="Times New Roman" w:cs="Times New Roman"/>
          <w:color w:val="000000" w:themeColor="text1"/>
          <w:sz w:val="22"/>
          <w:szCs w:val="22"/>
        </w:rPr>
      </w:pPr>
      <w:r w:rsidRPr="001D6079">
        <w:rPr>
          <w:rFonts w:ascii="Times New Roman" w:hAnsi="Times New Roman" w:cs="Times New Roman"/>
          <w:color w:val="000000" w:themeColor="text1"/>
          <w:sz w:val="22"/>
          <w:szCs w:val="22"/>
        </w:rPr>
        <w:t>Öte yandan firmaların dijitalleşme eğiliminin genel olarak temel düzeyde kaldığı (D1-Temel dijitalleşme 2,54, pazarlama, İ.K., iş süreçleri, finans/güvenlik olmak üzere diğer tüm boyutlarda dijitalleşme seviyesinin oldukça düşük olduğu sonucuna varılmıştır (Grafik 4). 2024 yılı boyut bazlı analizi, Türk KOBİ’lerinin dijitalleşme yolculuğunda bazı yapısal dengesizlikler olduğunu ortaya koymaktadır:</w:t>
      </w:r>
    </w:p>
    <w:p w14:paraId="2D63C86B" w14:textId="77777777" w:rsidR="00E75B24" w:rsidRPr="001D6079" w:rsidRDefault="00E75B24" w:rsidP="00E75B24">
      <w:pPr>
        <w:pStyle w:val="GvdeMetni"/>
        <w:jc w:val="both"/>
        <w:rPr>
          <w:rFonts w:ascii="Times New Roman" w:hAnsi="Times New Roman" w:cs="Times New Roman"/>
          <w:color w:val="000000" w:themeColor="text1"/>
          <w:sz w:val="22"/>
          <w:szCs w:val="22"/>
        </w:rPr>
      </w:pPr>
      <w:r w:rsidRPr="001D6079">
        <w:rPr>
          <w:rFonts w:ascii="Times New Roman" w:hAnsi="Times New Roman" w:cs="Times New Roman"/>
          <w:b/>
          <w:bCs/>
          <w:color w:val="000000" w:themeColor="text1"/>
          <w:sz w:val="22"/>
          <w:szCs w:val="22"/>
        </w:rPr>
        <w:t>D1 - Temel Dijitalleşme: 2,54</w:t>
      </w:r>
      <w:r w:rsidRPr="001D6079">
        <w:rPr>
          <w:rFonts w:ascii="Times New Roman" w:hAnsi="Times New Roman" w:cs="Times New Roman"/>
          <w:color w:val="000000" w:themeColor="text1"/>
          <w:sz w:val="22"/>
          <w:szCs w:val="22"/>
        </w:rPr>
        <w:t xml:space="preserve"> Temel dijitalleşme boyutu (web sitesi, e-posta, temel bilgisayar kullanımı vb.), 2,54 skoruyla endeksin en yüksek değerine sahiptir. Bu bulgu, KOBİ’lerin dijital altyapının temel bileşenlerini büyük ölçüde benimsediğini göstermektedir. Ancak 5 üzerinden 2,54 skoru bile, temel dijital araçların tam anlamıyla yerleşmediğini ve hâlâ gelişme alanı olduğunu işaret etmektedir.</w:t>
      </w:r>
    </w:p>
    <w:p w14:paraId="680C8803" w14:textId="77777777" w:rsidR="00E75B24" w:rsidRPr="001D6079" w:rsidRDefault="00E75B24" w:rsidP="00E75B24">
      <w:pPr>
        <w:pStyle w:val="GvdeMetni"/>
        <w:jc w:val="both"/>
        <w:rPr>
          <w:rFonts w:ascii="Times New Roman" w:hAnsi="Times New Roman" w:cs="Times New Roman"/>
          <w:color w:val="000000" w:themeColor="text1"/>
          <w:sz w:val="22"/>
          <w:szCs w:val="22"/>
        </w:rPr>
      </w:pPr>
      <w:r w:rsidRPr="001D6079">
        <w:rPr>
          <w:rFonts w:ascii="Times New Roman" w:hAnsi="Times New Roman" w:cs="Times New Roman"/>
          <w:b/>
          <w:bCs/>
          <w:color w:val="000000" w:themeColor="text1"/>
          <w:sz w:val="22"/>
          <w:szCs w:val="22"/>
        </w:rPr>
        <w:t>D2 - Dijital Pazarlama: 1,36</w:t>
      </w:r>
      <w:r w:rsidRPr="001D6079">
        <w:rPr>
          <w:rFonts w:ascii="Times New Roman" w:hAnsi="Times New Roman" w:cs="Times New Roman"/>
          <w:color w:val="000000" w:themeColor="text1"/>
          <w:sz w:val="22"/>
          <w:szCs w:val="22"/>
        </w:rPr>
        <w:t xml:space="preserve"> Dijital pazarlama boyutunun 1,36 gibi oldukça düşük bir skorla sonuçlanması, KOBİ’lerin sosyal medya, dijital reklamcılık, içerik pazarlama ve e-ticaret platformlarını yeterince kullanmadığını göstermektedir. Bu bulgu, firmaların müşteri erişimi ve pazar genişletme fırsatlarını dijital kanallar üzerinden etkin bir şekilde kullanamadığına işaret etmektedir.</w:t>
      </w:r>
    </w:p>
    <w:p w14:paraId="43CABE72" w14:textId="77777777" w:rsidR="00E75B24" w:rsidRPr="001D6079" w:rsidRDefault="00E75B24" w:rsidP="00E75B24">
      <w:pPr>
        <w:pStyle w:val="GvdeMetni"/>
        <w:jc w:val="both"/>
        <w:rPr>
          <w:rFonts w:ascii="Times New Roman" w:hAnsi="Times New Roman" w:cs="Times New Roman"/>
          <w:color w:val="000000" w:themeColor="text1"/>
          <w:sz w:val="22"/>
          <w:szCs w:val="22"/>
        </w:rPr>
      </w:pPr>
      <w:r w:rsidRPr="001D6079">
        <w:rPr>
          <w:rFonts w:ascii="Times New Roman" w:hAnsi="Times New Roman" w:cs="Times New Roman"/>
          <w:b/>
          <w:bCs/>
          <w:color w:val="000000" w:themeColor="text1"/>
          <w:sz w:val="22"/>
          <w:szCs w:val="22"/>
        </w:rPr>
        <w:t>D3 - İş Süreçleri Dijitalleşme: 1,36</w:t>
      </w:r>
      <w:r w:rsidRPr="001D6079">
        <w:rPr>
          <w:rFonts w:ascii="Times New Roman" w:hAnsi="Times New Roman" w:cs="Times New Roman"/>
          <w:color w:val="000000" w:themeColor="text1"/>
          <w:sz w:val="22"/>
          <w:szCs w:val="22"/>
        </w:rPr>
        <w:t xml:space="preserve"> İş süreçlerinin dijitalleşmesi boyutunun 1,36 skoruyla D2 ile aynı düzeyde kalması, KOBİ’lerin operasyonel süreçlerini optimize etmek için dijital araçları (ERP, CRM, proje yönetim yazılımları vb.) yeterince entegre edemediklerini göstermektedir. Bu durum, verimlilik kazanımlarının sınırlı kaldığı anlamına gelmektedir.</w:t>
      </w:r>
    </w:p>
    <w:p w14:paraId="53F8EFB5" w14:textId="77777777" w:rsidR="00E75B24" w:rsidRPr="001D6079" w:rsidRDefault="00E75B24" w:rsidP="00E75B24">
      <w:pPr>
        <w:pStyle w:val="GvdeMetni"/>
        <w:jc w:val="both"/>
        <w:rPr>
          <w:rFonts w:ascii="Times New Roman" w:hAnsi="Times New Roman" w:cs="Times New Roman"/>
          <w:color w:val="000000" w:themeColor="text1"/>
          <w:sz w:val="22"/>
          <w:szCs w:val="22"/>
        </w:rPr>
      </w:pPr>
      <w:r w:rsidRPr="001D6079">
        <w:rPr>
          <w:rFonts w:ascii="Times New Roman" w:hAnsi="Times New Roman" w:cs="Times New Roman"/>
          <w:b/>
          <w:bCs/>
          <w:color w:val="000000" w:themeColor="text1"/>
          <w:sz w:val="22"/>
          <w:szCs w:val="22"/>
        </w:rPr>
        <w:t>D4 - İK’da Dijitalleşme: 1,32</w:t>
      </w:r>
      <w:r w:rsidRPr="001D6079">
        <w:rPr>
          <w:rFonts w:ascii="Times New Roman" w:hAnsi="Times New Roman" w:cs="Times New Roman"/>
          <w:color w:val="000000" w:themeColor="text1"/>
          <w:sz w:val="22"/>
          <w:szCs w:val="22"/>
        </w:rPr>
        <w:t xml:space="preserve"> İnsan kaynakları yönetiminde dijitalleşme boyutu 1,32 skoruyla en düşük seviyede kalmıştır. Bu bulgu, personel yönetimi, bordrolama, performans değerlendirme ve eğitim süreçlerinin hala manuel veya yarı-manuel sistemlerle yürütüldüğünü göstermektedir. Dijital çağda insan sermayesinin etkin yönetimi için kritik olan bu alanın ihmal edilmesi, firmaların rekabet gücünü olumsuz etkilemektedir.</w:t>
      </w:r>
    </w:p>
    <w:p w14:paraId="1010D9DC" w14:textId="77777777" w:rsidR="00E75B24" w:rsidRPr="001D6079" w:rsidRDefault="00E75B24" w:rsidP="00E75B24">
      <w:pPr>
        <w:pStyle w:val="GvdeMetni"/>
        <w:jc w:val="both"/>
        <w:rPr>
          <w:rFonts w:ascii="Times New Roman" w:hAnsi="Times New Roman" w:cs="Times New Roman"/>
          <w:color w:val="000000" w:themeColor="text1"/>
          <w:sz w:val="22"/>
          <w:szCs w:val="22"/>
        </w:rPr>
      </w:pPr>
      <w:r w:rsidRPr="001D6079">
        <w:rPr>
          <w:rFonts w:ascii="Times New Roman" w:hAnsi="Times New Roman" w:cs="Times New Roman"/>
          <w:b/>
          <w:bCs/>
          <w:color w:val="000000" w:themeColor="text1"/>
          <w:sz w:val="22"/>
          <w:szCs w:val="22"/>
        </w:rPr>
        <w:t>D5 - Dijital Finans/Güvenlik/Regülasyon: 1,47</w:t>
      </w:r>
      <w:r w:rsidRPr="001D6079">
        <w:rPr>
          <w:rFonts w:ascii="Times New Roman" w:hAnsi="Times New Roman" w:cs="Times New Roman"/>
          <w:color w:val="000000" w:themeColor="text1"/>
          <w:sz w:val="22"/>
          <w:szCs w:val="22"/>
        </w:rPr>
        <w:t xml:space="preserve"> Finans, güvenlik ve regülasyon boyutunun 1,47 skoru, KOBİ’lerin finansal süreçlerini dijitalleştirme, siber güvenlik önlemlerini alma ve dijital uyum gerekliliklerini karşılama konusunda yetersiz kaldığını göstermektedir. Bu alandaki düşük performans, firmaları finansal risk ve siber tehditlere karşı savunmasız bırakmaktadır.</w:t>
      </w:r>
    </w:p>
    <w:p w14:paraId="71827DFF" w14:textId="77777777" w:rsidR="00E75B24" w:rsidRPr="001D6079" w:rsidRDefault="00E75B24" w:rsidP="00E75B24">
      <w:pPr>
        <w:pStyle w:val="GvdeMetni"/>
        <w:jc w:val="both"/>
        <w:rPr>
          <w:rFonts w:ascii="Times New Roman" w:hAnsi="Times New Roman" w:cs="Times New Roman"/>
          <w:color w:val="000000" w:themeColor="text1"/>
          <w:sz w:val="22"/>
          <w:szCs w:val="22"/>
        </w:rPr>
      </w:pPr>
      <w:r w:rsidRPr="001D6079">
        <w:rPr>
          <w:rFonts w:ascii="Times New Roman" w:hAnsi="Times New Roman" w:cs="Times New Roman"/>
          <w:b/>
          <w:bCs/>
          <w:color w:val="000000" w:themeColor="text1"/>
          <w:sz w:val="22"/>
          <w:szCs w:val="22"/>
        </w:rPr>
        <w:t>Ağırlıklandırılmış Skor: 1,72</w:t>
      </w:r>
      <w:r w:rsidRPr="001D6079">
        <w:rPr>
          <w:rFonts w:ascii="Times New Roman" w:hAnsi="Times New Roman" w:cs="Times New Roman"/>
          <w:color w:val="000000" w:themeColor="text1"/>
          <w:sz w:val="22"/>
          <w:szCs w:val="22"/>
        </w:rPr>
        <w:t xml:space="preserve"> Boyutların ağırlıkları dikkate alındığında hesaplanan 1,72 ağırlıklandırılmış skor, TFV ile alınan basit ortalama 2,36’dan belirgin şekilde düşüktür. Bu fark, daha kritik boyutlarda (D2, D3, D4, D5) performansın zayıf olduğunu ve ağırlıklandırma sisteminin bu yetersizlikleri daha net ortaya koyduğunu göstermektedir.</w:t>
      </w:r>
    </w:p>
    <w:p w14:paraId="6E9BFED5" w14:textId="77777777" w:rsidR="00E75B24" w:rsidRPr="001D6079" w:rsidRDefault="00E75B24" w:rsidP="00E75B24">
      <w:pPr>
        <w:pStyle w:val="FirstParagraph"/>
        <w:rPr>
          <w:rFonts w:ascii="Times New Roman" w:hAnsi="Times New Roman" w:cs="Times New Roman"/>
          <w:color w:val="000000" w:themeColor="text1"/>
          <w:sz w:val="22"/>
          <w:szCs w:val="22"/>
        </w:rPr>
      </w:pPr>
      <w:r w:rsidRPr="001D6079">
        <w:rPr>
          <w:rFonts w:ascii="Times New Roman" w:hAnsi="Times New Roman" w:cs="Times New Roman"/>
          <w:color w:val="000000" w:themeColor="text1"/>
          <w:sz w:val="22"/>
          <w:szCs w:val="22"/>
        </w:rPr>
        <w:t>2024 yılı sektör bazlı ortalama KODİDEKS-H skorları, dijitalleşme düzeyinin sektörler arasında anlamlı farklılıklar gösterdiğini ortaya koymaktadır (p=0,0465):</w:t>
      </w:r>
    </w:p>
    <w:p w14:paraId="718C1C00" w14:textId="77777777" w:rsidR="00E75B24" w:rsidRPr="001D6079" w:rsidRDefault="00E75B24" w:rsidP="00E75B24">
      <w:pPr>
        <w:pStyle w:val="GvdeMetni"/>
        <w:jc w:val="both"/>
        <w:rPr>
          <w:rFonts w:ascii="Times New Roman" w:hAnsi="Times New Roman" w:cs="Times New Roman"/>
          <w:color w:val="000000" w:themeColor="text1"/>
          <w:sz w:val="22"/>
          <w:szCs w:val="22"/>
        </w:rPr>
      </w:pPr>
      <w:r w:rsidRPr="001D6079">
        <w:rPr>
          <w:rFonts w:ascii="Times New Roman" w:hAnsi="Times New Roman" w:cs="Times New Roman"/>
          <w:color w:val="000000" w:themeColor="text1"/>
          <w:sz w:val="22"/>
          <w:szCs w:val="22"/>
        </w:rPr>
        <w:t xml:space="preserve">İlaç ve sağlık sektörü 3,51 skoruyla açık ara en yüksek dijitalleşme performansını sergilemiştir. Bu sektörün düzenleme gereklilikleri, veri yönetimi ihtiyaçları ve dijital sağlık uygulamalarının </w:t>
      </w:r>
      <w:r w:rsidRPr="001D6079">
        <w:rPr>
          <w:rFonts w:ascii="Times New Roman" w:hAnsi="Times New Roman" w:cs="Times New Roman"/>
          <w:color w:val="000000" w:themeColor="text1"/>
          <w:sz w:val="22"/>
          <w:szCs w:val="22"/>
        </w:rPr>
        <w:lastRenderedPageBreak/>
        <w:t>yaygınlaşması, firmaları dijitalleşmeye iten ana faktörler olarak değerlendirilebilir. Kimya/Plastik (2,61), Kimya/Lab (2,50), Metal İmalat (2,44), Tekstil/Ayakkabı (2,43) sektörleri 2,40-2,61 aralığında orta düzey dijitalleşme göstermişlerdir. Bu sektörlerde üretim süreçlerinin dijitalleştirilmesi ve tedarik zinciri yönetiminin optimize edilmesi için dijital araçlara yatırım yapıldığı görülmektedir. Tekstil (2,15), Gıda/İçecek (2,12), Elektrik/Elektronik (2,10), Matbaa/Basım (1,89) ve İnşaat (1,76) sektörleri ortalamanın altında performans göstermiştir (Grafik 5). Özellikle inşaat sektörünün 1,76 skoruyla en düşük düzeyde kalması, bu sektörde dijitalleşmenin gecikmeli olduğunu göstermektedir.</w:t>
      </w:r>
    </w:p>
    <w:p w14:paraId="271B1820" w14:textId="77777777" w:rsidR="00E75B24" w:rsidRPr="001D6079" w:rsidRDefault="00E75B24" w:rsidP="00E75B24">
      <w:pPr>
        <w:rPr>
          <w:rFonts w:ascii="Times New Roman" w:hAnsi="Times New Roman" w:cs="Times New Roman"/>
          <w:b/>
          <w:bCs/>
          <w:color w:val="000000" w:themeColor="text1"/>
        </w:rPr>
      </w:pPr>
    </w:p>
    <w:p w14:paraId="55793B4C" w14:textId="77777777" w:rsidR="00E75B24" w:rsidRPr="001D6079" w:rsidRDefault="00E75B24" w:rsidP="00E75B24">
      <w:pPr>
        <w:rPr>
          <w:rFonts w:ascii="Times New Roman" w:hAnsi="Times New Roman" w:cs="Times New Roman"/>
          <w:b/>
          <w:bCs/>
          <w:color w:val="000000" w:themeColor="text1"/>
        </w:rPr>
      </w:pPr>
      <w:r w:rsidRPr="001D6079">
        <w:rPr>
          <w:rFonts w:ascii="Times New Roman" w:hAnsi="Times New Roman" w:cs="Times New Roman"/>
          <w:b/>
          <w:bCs/>
          <w:color w:val="000000" w:themeColor="text1"/>
        </w:rPr>
        <w:t>Grafik 5: Sektör Bazlı Kodideks-h Sonuçları</w:t>
      </w:r>
    </w:p>
    <w:p w14:paraId="26E4AAE0" w14:textId="21776798" w:rsidR="00E75B24" w:rsidRDefault="00E75B24" w:rsidP="00E75B24">
      <w:pPr>
        <w:rPr>
          <w:rFonts w:ascii="Times New Roman" w:hAnsi="Times New Roman" w:cs="Times New Roman"/>
          <w:b/>
          <w:bCs/>
          <w:color w:val="000000" w:themeColor="text1"/>
        </w:rPr>
      </w:pPr>
    </w:p>
    <w:p w14:paraId="7649BFEF" w14:textId="6093CEF5" w:rsidR="008911EF" w:rsidRPr="001D6079" w:rsidRDefault="008911EF" w:rsidP="00E75B24">
      <w:pPr>
        <w:rPr>
          <w:rFonts w:ascii="Times New Roman" w:hAnsi="Times New Roman" w:cs="Times New Roman"/>
          <w:b/>
          <w:bCs/>
          <w:color w:val="000000" w:themeColor="text1"/>
        </w:rPr>
      </w:pPr>
      <w:r>
        <w:rPr>
          <w:rFonts w:ascii="Times New Roman" w:hAnsi="Times New Roman" w:cs="Times New Roman"/>
          <w:b/>
          <w:bCs/>
          <w:noProof/>
          <w:color w:val="000000" w:themeColor="text1"/>
          <w:lang w:eastAsia="tr-TR"/>
        </w:rPr>
        <w:drawing>
          <wp:inline distT="0" distB="0" distL="0" distR="0" wp14:anchorId="2D5A67CF" wp14:editId="2D411DBC">
            <wp:extent cx="3518455" cy="1851102"/>
            <wp:effectExtent l="0" t="0" r="6350" b="0"/>
            <wp:docPr id="1874815819"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23916" cy="1853975"/>
                    </a:xfrm>
                    <a:prstGeom prst="rect">
                      <a:avLst/>
                    </a:prstGeom>
                    <a:noFill/>
                  </pic:spPr>
                </pic:pic>
              </a:graphicData>
            </a:graphic>
          </wp:inline>
        </w:drawing>
      </w:r>
    </w:p>
    <w:p w14:paraId="593460E3" w14:textId="77777777" w:rsidR="00423898" w:rsidRPr="001D6079" w:rsidRDefault="00423898" w:rsidP="00423898">
      <w:pPr>
        <w:rPr>
          <w:rFonts w:ascii="Times New Roman" w:hAnsi="Times New Roman" w:cs="Times New Roman"/>
          <w:b/>
          <w:bCs/>
          <w:color w:val="000000" w:themeColor="text1"/>
        </w:rPr>
      </w:pPr>
      <w:r w:rsidRPr="001D6079">
        <w:rPr>
          <w:rFonts w:ascii="Times New Roman" w:hAnsi="Times New Roman" w:cs="Times New Roman"/>
          <w:b/>
          <w:bCs/>
          <w:color w:val="000000" w:themeColor="text1"/>
        </w:rPr>
        <w:t xml:space="preserve">Kaynak: </w:t>
      </w:r>
      <w:r w:rsidRPr="001D6079">
        <w:rPr>
          <w:rFonts w:ascii="Times New Roman" w:hAnsi="Times New Roman" w:cs="Times New Roman"/>
          <w:color w:val="000000" w:themeColor="text1"/>
        </w:rPr>
        <w:t>Yazar tarafından hesaplanmıştır.</w:t>
      </w:r>
    </w:p>
    <w:p w14:paraId="47DC5D0E" w14:textId="77777777" w:rsidR="00960320" w:rsidRPr="00960320" w:rsidRDefault="00960320" w:rsidP="00960320">
      <w:pPr>
        <w:widowControl w:val="0"/>
        <w:autoSpaceDE w:val="0"/>
        <w:autoSpaceDN w:val="0"/>
        <w:spacing w:after="0" w:line="360" w:lineRule="auto"/>
        <w:jc w:val="both"/>
        <w:rPr>
          <w:rFonts w:ascii="Times New Roman" w:hAnsi="Times New Roman" w:cs="Times New Roman"/>
          <w:color w:val="000000" w:themeColor="text1"/>
          <w:kern w:val="2"/>
          <w14:ligatures w14:val="standardContextual"/>
        </w:rPr>
      </w:pPr>
      <w:r w:rsidRPr="00960320">
        <w:rPr>
          <w:rFonts w:ascii="Times New Roman" w:hAnsi="Times New Roman" w:cs="Times New Roman"/>
          <w:color w:val="000000" w:themeColor="text1"/>
          <w:kern w:val="2"/>
          <w14:ligatures w14:val="standardContextual"/>
        </w:rPr>
        <w:t>Bu sektörel farklılıklar, dijitalleşme stratejilerinin sektörel dinamiklere göre özelleştirilmesi gerektiğini ortaya koymaktadır. Düzenleyici baskıların yüksek olduğu, veri yoğun çalışan ve küresel rekabete maruz kalan sektörler daha hızlı dijitalleşirken, geleneksel ve yerel pazar odaklı sektörler geride kalmaktadır.</w:t>
      </w:r>
    </w:p>
    <w:p w14:paraId="6BEAAFC9" w14:textId="77777777" w:rsidR="00960320" w:rsidRPr="00960320" w:rsidRDefault="00960320" w:rsidP="00960320">
      <w:pPr>
        <w:widowControl w:val="0"/>
        <w:autoSpaceDE w:val="0"/>
        <w:autoSpaceDN w:val="0"/>
        <w:spacing w:after="0" w:line="360" w:lineRule="auto"/>
        <w:jc w:val="both"/>
        <w:rPr>
          <w:rFonts w:ascii="Times New Roman" w:hAnsi="Times New Roman" w:cs="Times New Roman"/>
          <w:b/>
          <w:bCs/>
          <w:color w:val="000000" w:themeColor="text1"/>
          <w:kern w:val="2"/>
          <w14:ligatures w14:val="standardContextual"/>
        </w:rPr>
      </w:pPr>
      <w:r w:rsidRPr="00960320">
        <w:rPr>
          <w:rFonts w:ascii="Times New Roman" w:hAnsi="Times New Roman" w:cs="Times New Roman"/>
          <w:b/>
          <w:bCs/>
          <w:color w:val="000000" w:themeColor="text1"/>
          <w:kern w:val="2"/>
          <w14:ligatures w14:val="standardContextual"/>
        </w:rPr>
        <w:t>3.</w:t>
      </w:r>
      <w:r w:rsidRPr="00960320">
        <w:rPr>
          <w:rFonts w:ascii="Times New Roman" w:hAnsi="Times New Roman" w:cs="Times New Roman"/>
          <w:b/>
          <w:bCs/>
          <w:color w:val="000000" w:themeColor="text1"/>
          <w:kern w:val="2"/>
          <w14:ligatures w14:val="standardContextual"/>
        </w:rPr>
        <w:tab/>
        <w:t>Sonuç</w:t>
      </w:r>
    </w:p>
    <w:p w14:paraId="256699B9" w14:textId="77777777" w:rsidR="00960320" w:rsidRPr="00960320" w:rsidRDefault="00960320" w:rsidP="00960320">
      <w:pPr>
        <w:widowControl w:val="0"/>
        <w:autoSpaceDE w:val="0"/>
        <w:autoSpaceDN w:val="0"/>
        <w:spacing w:after="0" w:line="360" w:lineRule="auto"/>
        <w:jc w:val="both"/>
        <w:rPr>
          <w:rFonts w:ascii="Times New Roman" w:hAnsi="Times New Roman" w:cs="Times New Roman"/>
          <w:color w:val="000000" w:themeColor="text1"/>
          <w:kern w:val="2"/>
          <w14:ligatures w14:val="standardContextual"/>
        </w:rPr>
      </w:pPr>
    </w:p>
    <w:p w14:paraId="6C2410AB" w14:textId="77777777" w:rsidR="00960320" w:rsidRPr="00960320" w:rsidRDefault="00960320" w:rsidP="00960320">
      <w:pPr>
        <w:widowControl w:val="0"/>
        <w:autoSpaceDE w:val="0"/>
        <w:autoSpaceDN w:val="0"/>
        <w:spacing w:after="0" w:line="360" w:lineRule="auto"/>
        <w:jc w:val="both"/>
        <w:rPr>
          <w:rFonts w:ascii="Times New Roman" w:hAnsi="Times New Roman" w:cs="Times New Roman"/>
          <w:color w:val="000000" w:themeColor="text1"/>
          <w:kern w:val="2"/>
          <w14:ligatures w14:val="standardContextual"/>
        </w:rPr>
      </w:pPr>
      <w:r w:rsidRPr="00960320">
        <w:rPr>
          <w:rFonts w:ascii="Times New Roman" w:hAnsi="Times New Roman" w:cs="Times New Roman"/>
          <w:color w:val="000000" w:themeColor="text1"/>
          <w:kern w:val="2"/>
          <w14:ligatures w14:val="standardContextual"/>
        </w:rPr>
        <w:t>Ülkemizde faaliyet gösteren 3,9 milyon adet KOBİ segmentinde firma bulunmaktadır. Bu firmalar 2024 itibarıyla toplam işgücünün %69’unu istihdam etmekte, buna karşılık üretim değerine katkı noktasında %40 düzeylerinde kalmaktadır. Bu durum KOBİ segmentinde verimlilik artışını zorunlu kılan bir gerçekliktir. KOBİ’lerin verimlilik düzeyinde ivme yaratmanın en önemli yollarından biri de dijitalleşme düzeylerini artırmaktır. Literatürde dijitalleşmenin ülkeler, sektörler, işkolları, firmalar bazında yarattığı verimlilik artışlarına dair pek çok çalışma yer almaktadır. Bu noktadan hareketle, KOBİ’lerin dijital dönüşüm düzeylerini belirlemek üzere KODİDEKS-KOBİ Dijital Dönüşüm Endeksi hesaplanması ve bu yolla KOBİ dijitalleşmesi yolculuğunda en önemli adımın atılması çalışmanın motivasyonu olmuştur.  Çalışma ilk etapta, Türkiye’de halka açık KOBİ’lerin dijitalleşme düzeyini ölçmek amacıyla geliştirilen KODİDEKS-H (KOBİ Dijitalleşme Endeksi-Halka Açık) endeksinin psikometrik özellikleri kapsamlı bir şekilde analiz edilmiştir. 16 halka açık KOBİ’nin 2022-2024 dönemini kapsayan üç yıllık verileri kullanılarak gerçekleştirilen analizler, endeksin güvenilirliği ve geçerliliği konusunda önemli bulgular ortaya koymuştur.</w:t>
      </w:r>
    </w:p>
    <w:p w14:paraId="3EA04E62" w14:textId="77777777" w:rsidR="00960320" w:rsidRPr="00960320" w:rsidRDefault="00960320" w:rsidP="00960320">
      <w:pPr>
        <w:widowControl w:val="0"/>
        <w:autoSpaceDE w:val="0"/>
        <w:autoSpaceDN w:val="0"/>
        <w:spacing w:after="0" w:line="360" w:lineRule="auto"/>
        <w:jc w:val="both"/>
        <w:rPr>
          <w:rFonts w:ascii="Times New Roman" w:hAnsi="Times New Roman" w:cs="Times New Roman"/>
          <w:color w:val="000000" w:themeColor="text1"/>
          <w:kern w:val="2"/>
          <w14:ligatures w14:val="standardContextual"/>
        </w:rPr>
      </w:pPr>
      <w:r w:rsidRPr="00960320">
        <w:rPr>
          <w:rFonts w:ascii="Times New Roman" w:hAnsi="Times New Roman" w:cs="Times New Roman"/>
          <w:color w:val="000000" w:themeColor="text1"/>
          <w:kern w:val="2"/>
          <w14:ligatures w14:val="standardContextual"/>
        </w:rPr>
        <w:lastRenderedPageBreak/>
        <w:t>Elde edilen endeks sonuçları, Türkiye’deki halka açık KOBİ’lerin dijitalleşme düzeyinde pozitif bir trend olduğunu göstermektedir. 2022 yılında 2,12 olan ortalama KODİDEKS-H skoru, 2023 yılında %13,2 artışla 2,40’a yükselmiştir. 2024 yılında ise 2,36 olarak gerçekleşen skor, bir önceki yıla göre hafif bir düşüş gösterse de, 2022 baz yılına göre %11,3 artış kaydetmiştir.</w:t>
      </w:r>
    </w:p>
    <w:p w14:paraId="26EBCC8F" w14:textId="77777777" w:rsidR="00960320" w:rsidRPr="00960320" w:rsidRDefault="00960320" w:rsidP="00960320">
      <w:pPr>
        <w:widowControl w:val="0"/>
        <w:autoSpaceDE w:val="0"/>
        <w:autoSpaceDN w:val="0"/>
        <w:spacing w:after="0" w:line="360" w:lineRule="auto"/>
        <w:jc w:val="both"/>
        <w:rPr>
          <w:rFonts w:ascii="Times New Roman" w:hAnsi="Times New Roman" w:cs="Times New Roman"/>
          <w:color w:val="000000" w:themeColor="text1"/>
          <w:kern w:val="2"/>
          <w14:ligatures w14:val="standardContextual"/>
        </w:rPr>
      </w:pPr>
      <w:r w:rsidRPr="00960320">
        <w:rPr>
          <w:rFonts w:ascii="Times New Roman" w:hAnsi="Times New Roman" w:cs="Times New Roman"/>
          <w:color w:val="000000" w:themeColor="text1"/>
          <w:kern w:val="2"/>
          <w14:ligatures w14:val="standardContextual"/>
        </w:rPr>
        <w:t>Bu bulgular, COVID-19 pandemisi sonrası dönemde KOBİ’lerin dijital dönüşüm süreçlerine daha fazla yatırım yaptıklarını ve bu yatırımların ölçülebilir sonuçlar ürettiğini ortaya koymaktadır. 2023 yılındaki keskin artış, firmaların dijitalleşmeyi öncelik haline getirdiğini gösterirken, 2024 yılındaki hafif gerileme, bazı firmaların konsolidasyon dönemine girmiş olabileceğini veya yatırım hızının yavaşladığını düşündürmektedir.</w:t>
      </w:r>
    </w:p>
    <w:p w14:paraId="3F136450" w14:textId="77777777" w:rsidR="00960320" w:rsidRPr="00960320" w:rsidRDefault="00960320" w:rsidP="00960320">
      <w:pPr>
        <w:widowControl w:val="0"/>
        <w:autoSpaceDE w:val="0"/>
        <w:autoSpaceDN w:val="0"/>
        <w:spacing w:after="0" w:line="360" w:lineRule="auto"/>
        <w:jc w:val="both"/>
        <w:rPr>
          <w:rFonts w:ascii="Times New Roman" w:hAnsi="Times New Roman" w:cs="Times New Roman"/>
          <w:color w:val="000000" w:themeColor="text1"/>
          <w:kern w:val="2"/>
          <w14:ligatures w14:val="standardContextual"/>
        </w:rPr>
      </w:pPr>
      <w:r w:rsidRPr="00960320">
        <w:rPr>
          <w:rFonts w:ascii="Times New Roman" w:hAnsi="Times New Roman" w:cs="Times New Roman"/>
          <w:color w:val="000000" w:themeColor="text1"/>
          <w:kern w:val="2"/>
          <w14:ligatures w14:val="standardContextual"/>
        </w:rPr>
        <w:t>Tüm bu bulgular birlikte değerlendirildiğinde, Türk KOBİ’lerinin dijitalleşme eğiliminin genel olarak temel düzeyde kaldığı sonucuna varılmıştır. Firmalar temel dijital altyapıyı benimsemişlerdir, ancak pazarlama, insan kaynakları, iş süreçleri ve finans/güvenlik gibi stratejik alanlarda dijitalleşme noktasında yetersiz kalmışlardır. Bu durum KOBİ’lerin dijital dönüşümü araç olarak değil, bir nihai hedef olarak gördüklerini düşündürmektedir. Oysa dijitalleşme, firmaların rekabet gücünü artırmak, operasyonel verimliliği sağlamak ve yeni pazarlara erişmek için kullanılması gereken stratejik bir araçtır.</w:t>
      </w:r>
    </w:p>
    <w:p w14:paraId="65FC2D26" w14:textId="77777777" w:rsidR="00960320" w:rsidRPr="00960320" w:rsidRDefault="00960320" w:rsidP="00960320">
      <w:pPr>
        <w:widowControl w:val="0"/>
        <w:autoSpaceDE w:val="0"/>
        <w:autoSpaceDN w:val="0"/>
        <w:spacing w:after="0" w:line="360" w:lineRule="auto"/>
        <w:jc w:val="both"/>
        <w:rPr>
          <w:rFonts w:ascii="Times New Roman" w:hAnsi="Times New Roman" w:cs="Times New Roman"/>
          <w:color w:val="000000" w:themeColor="text1"/>
          <w:kern w:val="2"/>
          <w14:ligatures w14:val="standardContextual"/>
        </w:rPr>
      </w:pPr>
      <w:r w:rsidRPr="00960320">
        <w:rPr>
          <w:rFonts w:ascii="Times New Roman" w:hAnsi="Times New Roman" w:cs="Times New Roman"/>
          <w:color w:val="000000" w:themeColor="text1"/>
          <w:kern w:val="2"/>
          <w14:ligatures w14:val="standardContextual"/>
        </w:rPr>
        <w:t>Araştırma bulguları, Türk KOBİ’lerinin 2022-2024 döneminde dijitalleşme düzeylerini artırdıklarını (2,12’den 2,36’ya), ancak bu artışın hâlâ temel dijitalleşme seviyesinde kaldığını göstermektedir. Özellikle dijital pazarlama (1,36), iş süreçleri (1,36), insan kaynakları (1,32) ve finans/güvenlik (1,47) boyutlarındaki ciddi yetersizlikler, KOBİ’lerin dijital dönüşümü tam anlamıyla gerçekleştiremediğine işaret etmektedir.</w:t>
      </w:r>
    </w:p>
    <w:p w14:paraId="165CEDB7" w14:textId="77777777" w:rsidR="00960320" w:rsidRPr="00960320" w:rsidRDefault="00960320" w:rsidP="00960320">
      <w:pPr>
        <w:widowControl w:val="0"/>
        <w:autoSpaceDE w:val="0"/>
        <w:autoSpaceDN w:val="0"/>
        <w:spacing w:after="0" w:line="360" w:lineRule="auto"/>
        <w:jc w:val="both"/>
        <w:rPr>
          <w:rFonts w:ascii="Times New Roman" w:hAnsi="Times New Roman" w:cs="Times New Roman"/>
          <w:color w:val="000000" w:themeColor="text1"/>
          <w:kern w:val="2"/>
          <w14:ligatures w14:val="standardContextual"/>
        </w:rPr>
      </w:pPr>
      <w:r w:rsidRPr="00960320">
        <w:rPr>
          <w:rFonts w:ascii="Times New Roman" w:hAnsi="Times New Roman" w:cs="Times New Roman"/>
          <w:color w:val="000000" w:themeColor="text1"/>
          <w:kern w:val="2"/>
          <w14:ligatures w14:val="standardContextual"/>
        </w:rPr>
        <w:t>Sektörler arası anlamlı farklılıklar (p=0,0465) dijitalleşme stratejilerinin sektörel dinamiklere göre özelleştirilmesi gerektiğini ortaya koymaktadır. İlaç/sağlık sektörü (3,51) başarılı bir örnek oluştururken, inşaat (1,76) ve matbaa/basım (1,89) sektörleri acil müdahale gerektirmektedir.</w:t>
      </w:r>
    </w:p>
    <w:p w14:paraId="06182FF8" w14:textId="77777777" w:rsidR="00960320" w:rsidRPr="00960320" w:rsidRDefault="00960320" w:rsidP="00960320">
      <w:pPr>
        <w:widowControl w:val="0"/>
        <w:autoSpaceDE w:val="0"/>
        <w:autoSpaceDN w:val="0"/>
        <w:spacing w:after="0" w:line="360" w:lineRule="auto"/>
        <w:jc w:val="both"/>
        <w:rPr>
          <w:rFonts w:ascii="Times New Roman" w:hAnsi="Times New Roman" w:cs="Times New Roman"/>
          <w:color w:val="000000" w:themeColor="text1"/>
          <w:kern w:val="2"/>
          <w14:ligatures w14:val="standardContextual"/>
        </w:rPr>
      </w:pPr>
      <w:r w:rsidRPr="00960320">
        <w:rPr>
          <w:rFonts w:ascii="Times New Roman" w:hAnsi="Times New Roman" w:cs="Times New Roman"/>
          <w:color w:val="000000" w:themeColor="text1"/>
          <w:kern w:val="2"/>
          <w14:ligatures w14:val="standardContextual"/>
        </w:rPr>
        <w:t>Dijitalleşme, Türk KOBİ’lerinin küresel rekabette ayakta kalabilmeleri ve sürdürülebilir büyüme sağlayabilmeleri için kaçınılmazdır. Bu çalışmanın bulguları, politika yapıcılara, KOBİ yöneticilerine ve araştırmacılara dijital dönüşüm sürecinin mevcut durumunu ve iyileştirme alanlarını gösteren somut bir zemin sunmaktadır. Ancak başarılı bir dijital dönüşüm için sadece teknoloji yatırımları yeterli değildir; insan sermayesinin geliştirilmesi, süreçlerin yeniden tasarlanması ve kurumsal kültürün dönüştürülmesi eşit derecede kritik önem taşımaktadır.</w:t>
      </w:r>
    </w:p>
    <w:p w14:paraId="68F4F031" w14:textId="77777777" w:rsidR="00960320" w:rsidRPr="00960320" w:rsidRDefault="00960320" w:rsidP="00960320">
      <w:pPr>
        <w:widowControl w:val="0"/>
        <w:autoSpaceDE w:val="0"/>
        <w:autoSpaceDN w:val="0"/>
        <w:spacing w:after="0" w:line="360" w:lineRule="auto"/>
        <w:jc w:val="both"/>
        <w:rPr>
          <w:rFonts w:ascii="Times New Roman" w:hAnsi="Times New Roman" w:cs="Times New Roman"/>
          <w:color w:val="000000" w:themeColor="text1"/>
          <w:kern w:val="2"/>
          <w14:ligatures w14:val="standardContextual"/>
        </w:rPr>
      </w:pPr>
      <w:r w:rsidRPr="00960320">
        <w:rPr>
          <w:rFonts w:ascii="Times New Roman" w:hAnsi="Times New Roman" w:cs="Times New Roman"/>
          <w:color w:val="000000" w:themeColor="text1"/>
          <w:kern w:val="2"/>
          <w14:ligatures w14:val="standardContextual"/>
        </w:rPr>
        <w:t>KODİDEKS-H, dijital dönüşümü hem teknolojik yatırım (dijital kelime analizi) hem de operasyonel sonuç (TFV) boyutlarıyla ölçerek, mevcut literatürdeki tek boyutlu yaklaşımları aşmaktadır. Endeks, politika yapıcılar, yatırımcılar ve KOBİ yöneticileri için objektif, tekrar edilebilir ve sağlam bir değerlendirme aracı sunmaktadır. Endeks aynı zamanda, Türkiye'de akademik olarak doğrulanmış ilk KOBİ dijital dönüşüm endeksidir ve gelecek çalışmalar için metodolojik bir temel oluşturmaktadır.</w:t>
      </w:r>
    </w:p>
    <w:p w14:paraId="17AF835C" w14:textId="77777777" w:rsidR="00960320" w:rsidRPr="00960320" w:rsidRDefault="00960320" w:rsidP="00960320">
      <w:pPr>
        <w:widowControl w:val="0"/>
        <w:autoSpaceDE w:val="0"/>
        <w:autoSpaceDN w:val="0"/>
        <w:spacing w:after="0" w:line="360" w:lineRule="auto"/>
        <w:jc w:val="both"/>
        <w:rPr>
          <w:rFonts w:ascii="Times New Roman" w:hAnsi="Times New Roman" w:cs="Times New Roman"/>
          <w:color w:val="000000" w:themeColor="text1"/>
          <w:kern w:val="2"/>
          <w14:ligatures w14:val="standardContextual"/>
        </w:rPr>
      </w:pPr>
      <w:r w:rsidRPr="00960320">
        <w:rPr>
          <w:rFonts w:ascii="Times New Roman" w:hAnsi="Times New Roman" w:cs="Times New Roman"/>
          <w:color w:val="000000" w:themeColor="text1"/>
          <w:kern w:val="2"/>
          <w14:ligatures w14:val="standardContextual"/>
        </w:rPr>
        <w:t xml:space="preserve">Gelecek araştırmaların, bu çalışmanın sınırlılıklarını aşarak daha geniş örneklemlerle, daha uzun zaman periyotlarında Türk KOBİ’lerinin dijital dönüşüm yolculuğunu izlemeye devam etmesi, hem akademik </w:t>
      </w:r>
      <w:r w:rsidRPr="00960320">
        <w:rPr>
          <w:rFonts w:ascii="Times New Roman" w:hAnsi="Times New Roman" w:cs="Times New Roman"/>
          <w:color w:val="000000" w:themeColor="text1"/>
          <w:kern w:val="2"/>
          <w14:ligatures w14:val="standardContextual"/>
        </w:rPr>
        <w:lastRenderedPageBreak/>
        <w:t>literatüre hem de uygulamaya önemli katkılar sağlayacaktır. Bu noktada geniş örneklemli Kodideks için ölçek oluşturma çalışmalarına başlanmıştır.</w:t>
      </w:r>
    </w:p>
    <w:p w14:paraId="434F280E" w14:textId="77777777" w:rsidR="00960320" w:rsidRPr="00960320" w:rsidRDefault="00960320" w:rsidP="00960320">
      <w:pPr>
        <w:widowControl w:val="0"/>
        <w:autoSpaceDE w:val="0"/>
        <w:autoSpaceDN w:val="0"/>
        <w:spacing w:after="0" w:line="360" w:lineRule="auto"/>
        <w:jc w:val="both"/>
        <w:rPr>
          <w:rFonts w:ascii="Times New Roman" w:hAnsi="Times New Roman" w:cs="Times New Roman"/>
          <w:color w:val="000000" w:themeColor="text1"/>
          <w:kern w:val="2"/>
          <w14:ligatures w14:val="standardContextual"/>
        </w:rPr>
      </w:pPr>
    </w:p>
    <w:p w14:paraId="4EC06D70" w14:textId="77777777" w:rsidR="00960320" w:rsidRPr="00960320" w:rsidRDefault="00960320" w:rsidP="00960320">
      <w:pPr>
        <w:widowControl w:val="0"/>
        <w:autoSpaceDE w:val="0"/>
        <w:autoSpaceDN w:val="0"/>
        <w:spacing w:after="0" w:line="360" w:lineRule="auto"/>
        <w:jc w:val="both"/>
        <w:rPr>
          <w:rFonts w:ascii="Times New Roman" w:hAnsi="Times New Roman" w:cs="Times New Roman"/>
          <w:b/>
          <w:bCs/>
          <w:color w:val="000000" w:themeColor="text1"/>
          <w:kern w:val="2"/>
          <w14:ligatures w14:val="standardContextual"/>
        </w:rPr>
      </w:pPr>
      <w:r w:rsidRPr="00960320">
        <w:rPr>
          <w:rFonts w:ascii="Times New Roman" w:hAnsi="Times New Roman" w:cs="Times New Roman"/>
          <w:b/>
          <w:bCs/>
          <w:color w:val="000000" w:themeColor="text1"/>
          <w:kern w:val="2"/>
          <w14:ligatures w14:val="standardContextual"/>
        </w:rPr>
        <w:t>4.</w:t>
      </w:r>
      <w:r w:rsidRPr="00960320">
        <w:rPr>
          <w:rFonts w:ascii="Times New Roman" w:hAnsi="Times New Roman" w:cs="Times New Roman"/>
          <w:b/>
          <w:bCs/>
          <w:color w:val="000000" w:themeColor="text1"/>
          <w:kern w:val="2"/>
          <w14:ligatures w14:val="standardContextual"/>
        </w:rPr>
        <w:tab/>
        <w:t>Öneriler</w:t>
      </w:r>
    </w:p>
    <w:p w14:paraId="47333F0C" w14:textId="77777777" w:rsidR="00960320" w:rsidRPr="00960320" w:rsidRDefault="00960320" w:rsidP="00960320">
      <w:pPr>
        <w:widowControl w:val="0"/>
        <w:autoSpaceDE w:val="0"/>
        <w:autoSpaceDN w:val="0"/>
        <w:spacing w:after="0" w:line="360" w:lineRule="auto"/>
        <w:jc w:val="both"/>
        <w:rPr>
          <w:rFonts w:ascii="Times New Roman" w:hAnsi="Times New Roman" w:cs="Times New Roman"/>
          <w:color w:val="000000" w:themeColor="text1"/>
          <w:kern w:val="2"/>
          <w14:ligatures w14:val="standardContextual"/>
        </w:rPr>
      </w:pPr>
      <w:r w:rsidRPr="00960320">
        <w:rPr>
          <w:rFonts w:ascii="Times New Roman" w:hAnsi="Times New Roman" w:cs="Times New Roman"/>
          <w:color w:val="000000" w:themeColor="text1"/>
          <w:kern w:val="2"/>
          <w14:ligatures w14:val="standardContextual"/>
        </w:rPr>
        <w:t xml:space="preserve">Elde edilen Kodideks-h sonuçlarına göre KOBİ segmentinde faaliyet gösteren firmalar, politika yapıcılar ve araştırmacılar için oluşturulan öneriler aşağıdaki gibidir: </w:t>
      </w:r>
    </w:p>
    <w:p w14:paraId="140695A4" w14:textId="77777777" w:rsidR="00960320" w:rsidRPr="00960320" w:rsidRDefault="00960320" w:rsidP="00960320">
      <w:pPr>
        <w:widowControl w:val="0"/>
        <w:autoSpaceDE w:val="0"/>
        <w:autoSpaceDN w:val="0"/>
        <w:spacing w:after="0" w:line="360" w:lineRule="auto"/>
        <w:jc w:val="both"/>
        <w:rPr>
          <w:rFonts w:ascii="Times New Roman" w:hAnsi="Times New Roman" w:cs="Times New Roman"/>
          <w:color w:val="000000" w:themeColor="text1"/>
          <w:kern w:val="2"/>
          <w14:ligatures w14:val="standardContextual"/>
        </w:rPr>
      </w:pPr>
    </w:p>
    <w:p w14:paraId="5BA765BB" w14:textId="77777777" w:rsidR="00960320" w:rsidRPr="00960320" w:rsidRDefault="00960320" w:rsidP="00960320">
      <w:pPr>
        <w:widowControl w:val="0"/>
        <w:autoSpaceDE w:val="0"/>
        <w:autoSpaceDN w:val="0"/>
        <w:spacing w:after="0" w:line="360" w:lineRule="auto"/>
        <w:jc w:val="both"/>
        <w:rPr>
          <w:rFonts w:ascii="Times New Roman" w:hAnsi="Times New Roman" w:cs="Times New Roman"/>
          <w:b/>
          <w:bCs/>
          <w:color w:val="000000" w:themeColor="text1"/>
          <w:kern w:val="2"/>
          <w14:ligatures w14:val="standardContextual"/>
        </w:rPr>
      </w:pPr>
      <w:r w:rsidRPr="00960320">
        <w:rPr>
          <w:rFonts w:ascii="Times New Roman" w:hAnsi="Times New Roman" w:cs="Times New Roman"/>
          <w:b/>
          <w:bCs/>
          <w:color w:val="000000" w:themeColor="text1"/>
          <w:kern w:val="2"/>
          <w14:ligatures w14:val="standardContextual"/>
        </w:rPr>
        <w:t>4.1. KOBİ’lere Yönelik Öneriler</w:t>
      </w:r>
    </w:p>
    <w:p w14:paraId="7202C341" w14:textId="77777777" w:rsidR="00960320" w:rsidRPr="00960320" w:rsidRDefault="00960320" w:rsidP="00960320">
      <w:pPr>
        <w:widowControl w:val="0"/>
        <w:autoSpaceDE w:val="0"/>
        <w:autoSpaceDN w:val="0"/>
        <w:spacing w:after="0" w:line="360" w:lineRule="auto"/>
        <w:jc w:val="both"/>
        <w:rPr>
          <w:rFonts w:ascii="Times New Roman" w:hAnsi="Times New Roman" w:cs="Times New Roman"/>
          <w:color w:val="000000" w:themeColor="text1"/>
          <w:kern w:val="2"/>
          <w14:ligatures w14:val="standardContextual"/>
        </w:rPr>
      </w:pPr>
      <w:r w:rsidRPr="00960320">
        <w:rPr>
          <w:rFonts w:ascii="Times New Roman" w:hAnsi="Times New Roman" w:cs="Times New Roman"/>
          <w:color w:val="000000" w:themeColor="text1"/>
          <w:kern w:val="2"/>
          <w14:ligatures w14:val="standardContextual"/>
        </w:rPr>
        <w:t xml:space="preserve">KOBİ’lerin dijitalleşmeyi bir maliyet kalemi olarak değil, uzun vadeli rekabet avantajı sağlayan stratejik bir yatırım olarak görmeleri gerekmektedir. Firmalar, kendi sektörlerindeki en iyi uygulamaları (best practices) incelemeli ve kendi ihtiyaçlarına göre özelleştirilmiş dijital dönüşüm yol haritaları oluşturmalı ve ‘Stratejik Dijitalleşme Planlaması’ yapmalıdırlar. </w:t>
      </w:r>
    </w:p>
    <w:p w14:paraId="6F097D96" w14:textId="77777777" w:rsidR="00960320" w:rsidRPr="00960320" w:rsidRDefault="00960320" w:rsidP="00960320">
      <w:pPr>
        <w:widowControl w:val="0"/>
        <w:autoSpaceDE w:val="0"/>
        <w:autoSpaceDN w:val="0"/>
        <w:spacing w:after="0" w:line="360" w:lineRule="auto"/>
        <w:jc w:val="both"/>
        <w:rPr>
          <w:rFonts w:ascii="Times New Roman" w:hAnsi="Times New Roman" w:cs="Times New Roman"/>
          <w:color w:val="000000" w:themeColor="text1"/>
          <w:kern w:val="2"/>
          <w14:ligatures w14:val="standardContextual"/>
        </w:rPr>
      </w:pPr>
      <w:r w:rsidRPr="00960320">
        <w:rPr>
          <w:rFonts w:ascii="Times New Roman" w:hAnsi="Times New Roman" w:cs="Times New Roman"/>
          <w:color w:val="000000" w:themeColor="text1"/>
          <w:kern w:val="2"/>
          <w14:ligatures w14:val="standardContextual"/>
        </w:rPr>
        <w:t>Araştırma bulguları, KOBİ’lerin öncelikle dijital pazarlama, iş süreçlerinin dijitalleşmesi, İK’nin dijitalleşmesi ve finans/güvenlik alanlarına odaklanması gerektiğini göstermektedir. Bu alanlardaki düşük performans, en yüksek iyileştirme potansiyeline işaret etmektedir.</w:t>
      </w:r>
    </w:p>
    <w:p w14:paraId="5A23CFC3" w14:textId="77777777" w:rsidR="00960320" w:rsidRPr="00960320" w:rsidRDefault="00960320" w:rsidP="00960320">
      <w:pPr>
        <w:widowControl w:val="0"/>
        <w:autoSpaceDE w:val="0"/>
        <w:autoSpaceDN w:val="0"/>
        <w:spacing w:after="0" w:line="360" w:lineRule="auto"/>
        <w:jc w:val="both"/>
        <w:rPr>
          <w:rFonts w:ascii="Times New Roman" w:hAnsi="Times New Roman" w:cs="Times New Roman"/>
          <w:color w:val="000000" w:themeColor="text1"/>
          <w:kern w:val="2"/>
          <w14:ligatures w14:val="standardContextual"/>
        </w:rPr>
      </w:pPr>
      <w:r w:rsidRPr="00960320">
        <w:rPr>
          <w:rFonts w:ascii="Times New Roman" w:hAnsi="Times New Roman" w:cs="Times New Roman"/>
          <w:color w:val="000000" w:themeColor="text1"/>
          <w:kern w:val="2"/>
          <w14:ligatures w14:val="standardContextual"/>
        </w:rPr>
        <w:t>Firmaların dijital araçları satın almakla yetinmeyip, personelini bu araçları etkin kullanacak şekilde eğitmesi kritik önem taşımaktadır. İnsan sermayesinin dijital okuryazarlık düzeyinin artırılması, teknoloji yatırımlarının geri dönüşünü maksimize edecektir.</w:t>
      </w:r>
    </w:p>
    <w:p w14:paraId="2AE657D0" w14:textId="77777777" w:rsidR="00960320" w:rsidRPr="00960320" w:rsidRDefault="00960320" w:rsidP="00960320">
      <w:pPr>
        <w:widowControl w:val="0"/>
        <w:autoSpaceDE w:val="0"/>
        <w:autoSpaceDN w:val="0"/>
        <w:spacing w:after="0" w:line="360" w:lineRule="auto"/>
        <w:jc w:val="both"/>
        <w:rPr>
          <w:rFonts w:ascii="Times New Roman" w:hAnsi="Times New Roman" w:cs="Times New Roman"/>
          <w:color w:val="000000" w:themeColor="text1"/>
          <w:kern w:val="2"/>
          <w14:ligatures w14:val="standardContextual"/>
        </w:rPr>
      </w:pPr>
      <w:r w:rsidRPr="00960320">
        <w:rPr>
          <w:rFonts w:ascii="Times New Roman" w:hAnsi="Times New Roman" w:cs="Times New Roman"/>
          <w:color w:val="000000" w:themeColor="text1"/>
          <w:kern w:val="2"/>
          <w14:ligatures w14:val="standardContextual"/>
        </w:rPr>
        <w:t>Ölçek ekonomisi için iş birlikleri oluşturmak KOBİ’ler için dijitalleşme yolunda verimlilik sağlayıcı bir unsur olacaktır. KOBİ’lerin bireysel olarak yüksek maliyetli dijital altyapı yatırımları yapmak yerine, sektörel veya bölgesel iş birliği platformları oluşturarak ortak dijital hizmetlerden faydalanmaları maliyetleri düşürecektir.</w:t>
      </w:r>
    </w:p>
    <w:p w14:paraId="61C39696" w14:textId="77777777" w:rsidR="00960320" w:rsidRPr="00960320" w:rsidRDefault="00960320" w:rsidP="00960320">
      <w:pPr>
        <w:widowControl w:val="0"/>
        <w:autoSpaceDE w:val="0"/>
        <w:autoSpaceDN w:val="0"/>
        <w:spacing w:after="0" w:line="360" w:lineRule="auto"/>
        <w:jc w:val="both"/>
        <w:rPr>
          <w:rFonts w:ascii="Times New Roman" w:hAnsi="Times New Roman" w:cs="Times New Roman"/>
          <w:color w:val="000000" w:themeColor="text1"/>
          <w:kern w:val="2"/>
          <w14:ligatures w14:val="standardContextual"/>
        </w:rPr>
      </w:pPr>
    </w:p>
    <w:p w14:paraId="2774D209" w14:textId="77777777" w:rsidR="00960320" w:rsidRPr="00960320" w:rsidRDefault="00960320" w:rsidP="00960320">
      <w:pPr>
        <w:widowControl w:val="0"/>
        <w:autoSpaceDE w:val="0"/>
        <w:autoSpaceDN w:val="0"/>
        <w:spacing w:after="0" w:line="360" w:lineRule="auto"/>
        <w:jc w:val="both"/>
        <w:rPr>
          <w:rFonts w:ascii="Times New Roman" w:hAnsi="Times New Roman" w:cs="Times New Roman"/>
          <w:b/>
          <w:bCs/>
          <w:color w:val="000000" w:themeColor="text1"/>
          <w:kern w:val="2"/>
          <w14:ligatures w14:val="standardContextual"/>
        </w:rPr>
      </w:pPr>
      <w:r w:rsidRPr="00960320">
        <w:rPr>
          <w:rFonts w:ascii="Times New Roman" w:hAnsi="Times New Roman" w:cs="Times New Roman"/>
          <w:b/>
          <w:bCs/>
          <w:color w:val="000000" w:themeColor="text1"/>
          <w:kern w:val="2"/>
          <w14:ligatures w14:val="standardContextual"/>
        </w:rPr>
        <w:t xml:space="preserve"> 4.2. Politika Yapıcılara Yönelik Öneriler</w:t>
      </w:r>
    </w:p>
    <w:p w14:paraId="47AA5911" w14:textId="77777777" w:rsidR="00960320" w:rsidRPr="00960320" w:rsidRDefault="00960320" w:rsidP="00960320">
      <w:pPr>
        <w:widowControl w:val="0"/>
        <w:autoSpaceDE w:val="0"/>
        <w:autoSpaceDN w:val="0"/>
        <w:spacing w:after="0" w:line="360" w:lineRule="auto"/>
        <w:jc w:val="both"/>
        <w:rPr>
          <w:rFonts w:ascii="Times New Roman" w:hAnsi="Times New Roman" w:cs="Times New Roman"/>
          <w:color w:val="000000" w:themeColor="text1"/>
          <w:kern w:val="2"/>
          <w14:ligatures w14:val="standardContextual"/>
        </w:rPr>
      </w:pPr>
    </w:p>
    <w:p w14:paraId="6D27CB0C" w14:textId="77777777" w:rsidR="00960320" w:rsidRPr="00960320" w:rsidRDefault="00960320" w:rsidP="00960320">
      <w:pPr>
        <w:widowControl w:val="0"/>
        <w:autoSpaceDE w:val="0"/>
        <w:autoSpaceDN w:val="0"/>
        <w:spacing w:after="0" w:line="360" w:lineRule="auto"/>
        <w:jc w:val="both"/>
        <w:rPr>
          <w:rFonts w:ascii="Times New Roman" w:hAnsi="Times New Roman" w:cs="Times New Roman"/>
          <w:color w:val="000000" w:themeColor="text1"/>
          <w:kern w:val="2"/>
          <w14:ligatures w14:val="standardContextual"/>
        </w:rPr>
      </w:pPr>
      <w:r w:rsidRPr="00960320">
        <w:rPr>
          <w:rFonts w:ascii="Times New Roman" w:hAnsi="Times New Roman" w:cs="Times New Roman"/>
          <w:color w:val="000000" w:themeColor="text1"/>
          <w:kern w:val="2"/>
          <w14:ligatures w14:val="standardContextual"/>
        </w:rPr>
        <w:t>Dijitalleşme Performans İzleme Sistemlerinin kurulması KOBİ’lerin dijitalleşmesi yoluyla ülke kalkınmasının ivmelenmesi hususunda oldukça kritik bir adım olacaktır. KODİDEKS-H gibi endeksler kullanılarak KOBİ’lerin dijitalleşme performansı düzenli olarak izlenmeli ve raporlanmalıdır. Bu veriler, politika etkinliğinin değerlendirilmesi ve gerektiğinde müdahalelerin yönünün düzeltilmesi için kullanılmalıdır.</w:t>
      </w:r>
    </w:p>
    <w:p w14:paraId="2AA57E73" w14:textId="77777777" w:rsidR="00960320" w:rsidRPr="00960320" w:rsidRDefault="00960320" w:rsidP="00960320">
      <w:pPr>
        <w:widowControl w:val="0"/>
        <w:autoSpaceDE w:val="0"/>
        <w:autoSpaceDN w:val="0"/>
        <w:spacing w:after="0" w:line="360" w:lineRule="auto"/>
        <w:jc w:val="both"/>
        <w:rPr>
          <w:rFonts w:ascii="Times New Roman" w:hAnsi="Times New Roman" w:cs="Times New Roman"/>
          <w:color w:val="000000" w:themeColor="text1"/>
          <w:kern w:val="2"/>
          <w14:ligatures w14:val="standardContextual"/>
        </w:rPr>
      </w:pPr>
      <w:r w:rsidRPr="00960320">
        <w:rPr>
          <w:rFonts w:ascii="Times New Roman" w:hAnsi="Times New Roman" w:cs="Times New Roman"/>
          <w:color w:val="000000" w:themeColor="text1"/>
          <w:kern w:val="2"/>
          <w14:ligatures w14:val="standardContextual"/>
        </w:rPr>
        <w:t>Sektöre Özgü Destek Programları Araştırma bulguları, sektörler arası dijitalleşme düzeyinde anlamlı farklılıklar olduğunu göstermektedir (p=0,0465). Bu nedenle, tek tip destek programları yerine sektörel ihtiyaçlara göre özelleştirilmiş teşvik mekanizmaları geliştirilmelidir. Özellikle inşaat, matbaa/basım gibi düşük performanslı sektörlere yönelik özel programlar tasarlanmalıdır.</w:t>
      </w:r>
    </w:p>
    <w:p w14:paraId="29F0DB9E" w14:textId="77777777" w:rsidR="00960320" w:rsidRPr="00960320" w:rsidRDefault="00960320" w:rsidP="00960320">
      <w:pPr>
        <w:widowControl w:val="0"/>
        <w:autoSpaceDE w:val="0"/>
        <w:autoSpaceDN w:val="0"/>
        <w:spacing w:after="0" w:line="360" w:lineRule="auto"/>
        <w:jc w:val="both"/>
        <w:rPr>
          <w:rFonts w:ascii="Times New Roman" w:hAnsi="Times New Roman" w:cs="Times New Roman"/>
          <w:color w:val="000000" w:themeColor="text1"/>
          <w:kern w:val="2"/>
          <w14:ligatures w14:val="standardContextual"/>
        </w:rPr>
      </w:pPr>
      <w:r w:rsidRPr="00960320">
        <w:rPr>
          <w:rFonts w:ascii="Times New Roman" w:hAnsi="Times New Roman" w:cs="Times New Roman"/>
          <w:color w:val="000000" w:themeColor="text1"/>
          <w:kern w:val="2"/>
          <w14:ligatures w14:val="standardContextual"/>
        </w:rPr>
        <w:t>Dijital dönüşüm seviyesine göre kademeli destekler oluşturulmalı; temel dijitalleşme aşamasındaki firmalar için altyapı destekleri, ileri düzey firmalar için ise yapay zekâ, büyük veri analitiği gibi ileri teknolojilere yatırım destekleri sağlanmalıdır.</w:t>
      </w:r>
    </w:p>
    <w:p w14:paraId="18260E13" w14:textId="77777777" w:rsidR="00960320" w:rsidRPr="00960320" w:rsidRDefault="00960320" w:rsidP="00960320">
      <w:pPr>
        <w:widowControl w:val="0"/>
        <w:autoSpaceDE w:val="0"/>
        <w:autoSpaceDN w:val="0"/>
        <w:spacing w:after="0" w:line="360" w:lineRule="auto"/>
        <w:jc w:val="both"/>
        <w:rPr>
          <w:rFonts w:ascii="Times New Roman" w:hAnsi="Times New Roman" w:cs="Times New Roman"/>
          <w:color w:val="000000" w:themeColor="text1"/>
          <w:kern w:val="2"/>
          <w14:ligatures w14:val="standardContextual"/>
        </w:rPr>
      </w:pPr>
      <w:r w:rsidRPr="00960320">
        <w:rPr>
          <w:rFonts w:ascii="Times New Roman" w:hAnsi="Times New Roman" w:cs="Times New Roman"/>
          <w:color w:val="000000" w:themeColor="text1"/>
          <w:kern w:val="2"/>
          <w14:ligatures w14:val="standardContextual"/>
        </w:rPr>
        <w:lastRenderedPageBreak/>
        <w:t>Siber Güvenlik ve Veri Koruma Altyapısı D5 boyutundaki düşük performans (1,47), KOBİ’lerin siber güvenlik ve veri koruma konusunda ciddi zafiyetler taşıdığını göstermektedir. Devlet destekli siber güvenlik danışmanlığı, düşük maliyetli siber güvenlik çözümleri ve zorunlu veri koruma eğitimleri gibi mekanizmalar acilen hayata geçirilmelidir.</w:t>
      </w:r>
    </w:p>
    <w:p w14:paraId="06F6A1EF" w14:textId="77777777" w:rsidR="00960320" w:rsidRPr="00960320" w:rsidRDefault="00960320" w:rsidP="00960320">
      <w:pPr>
        <w:widowControl w:val="0"/>
        <w:autoSpaceDE w:val="0"/>
        <w:autoSpaceDN w:val="0"/>
        <w:spacing w:after="0" w:line="360" w:lineRule="auto"/>
        <w:jc w:val="both"/>
        <w:rPr>
          <w:rFonts w:ascii="Times New Roman" w:hAnsi="Times New Roman" w:cs="Times New Roman"/>
          <w:color w:val="000000" w:themeColor="text1"/>
          <w:kern w:val="2"/>
          <w14:ligatures w14:val="standardContextual"/>
        </w:rPr>
      </w:pPr>
      <w:r w:rsidRPr="00960320">
        <w:rPr>
          <w:rFonts w:ascii="Times New Roman" w:hAnsi="Times New Roman" w:cs="Times New Roman"/>
          <w:color w:val="000000" w:themeColor="text1"/>
          <w:kern w:val="2"/>
          <w14:ligatures w14:val="standardContextual"/>
        </w:rPr>
        <w:t>Üniversite-sanayi işbirlikleri güçlendirilmeli, üniversitelerin bünyelerinde dijital yetkinlik merkezleri oluşturarak KOBİ’lere ücretsiz veya düşük maliyetli danışmanlık ve eğitim hizmetleri sunmaları teşvik edilmelidir. Bu sayede KOBİ’lerin nitelikli insan kaynağına erişimi kolaylaştırılabilecektir.</w:t>
      </w:r>
    </w:p>
    <w:p w14:paraId="3EAEF5B0" w14:textId="77777777" w:rsidR="00960320" w:rsidRPr="00960320" w:rsidRDefault="00960320" w:rsidP="00960320">
      <w:pPr>
        <w:widowControl w:val="0"/>
        <w:autoSpaceDE w:val="0"/>
        <w:autoSpaceDN w:val="0"/>
        <w:spacing w:after="0" w:line="360" w:lineRule="auto"/>
        <w:jc w:val="both"/>
        <w:rPr>
          <w:rFonts w:ascii="Times New Roman" w:hAnsi="Times New Roman" w:cs="Times New Roman"/>
          <w:color w:val="000000" w:themeColor="text1"/>
          <w:kern w:val="2"/>
          <w14:ligatures w14:val="standardContextual"/>
        </w:rPr>
      </w:pPr>
    </w:p>
    <w:p w14:paraId="59142CB0" w14:textId="77777777" w:rsidR="00960320" w:rsidRPr="00960320" w:rsidRDefault="00960320" w:rsidP="00960320">
      <w:pPr>
        <w:widowControl w:val="0"/>
        <w:autoSpaceDE w:val="0"/>
        <w:autoSpaceDN w:val="0"/>
        <w:spacing w:after="0" w:line="360" w:lineRule="auto"/>
        <w:jc w:val="both"/>
        <w:rPr>
          <w:rFonts w:ascii="Times New Roman" w:hAnsi="Times New Roman" w:cs="Times New Roman"/>
          <w:b/>
          <w:bCs/>
          <w:color w:val="000000" w:themeColor="text1"/>
          <w:kern w:val="2"/>
          <w14:ligatures w14:val="standardContextual"/>
        </w:rPr>
      </w:pPr>
      <w:r w:rsidRPr="00960320">
        <w:rPr>
          <w:rFonts w:ascii="Times New Roman" w:hAnsi="Times New Roman" w:cs="Times New Roman"/>
          <w:b/>
          <w:bCs/>
          <w:color w:val="000000" w:themeColor="text1"/>
          <w:kern w:val="2"/>
          <w14:ligatures w14:val="standardContextual"/>
        </w:rPr>
        <w:t>4.3. Araştırmacılar için Öneriler</w:t>
      </w:r>
    </w:p>
    <w:p w14:paraId="76034E46" w14:textId="77777777" w:rsidR="00960320" w:rsidRPr="00960320" w:rsidRDefault="00960320" w:rsidP="00960320">
      <w:pPr>
        <w:widowControl w:val="0"/>
        <w:autoSpaceDE w:val="0"/>
        <w:autoSpaceDN w:val="0"/>
        <w:spacing w:after="0" w:line="360" w:lineRule="auto"/>
        <w:jc w:val="both"/>
        <w:rPr>
          <w:rFonts w:ascii="Times New Roman" w:hAnsi="Times New Roman" w:cs="Times New Roman"/>
          <w:color w:val="000000" w:themeColor="text1"/>
          <w:kern w:val="2"/>
          <w14:ligatures w14:val="standardContextual"/>
        </w:rPr>
      </w:pPr>
    </w:p>
    <w:p w14:paraId="77DEDAAC" w14:textId="77777777" w:rsidR="00960320" w:rsidRDefault="00960320" w:rsidP="00960320">
      <w:pPr>
        <w:widowControl w:val="0"/>
        <w:autoSpaceDE w:val="0"/>
        <w:autoSpaceDN w:val="0"/>
        <w:spacing w:after="0" w:line="360" w:lineRule="auto"/>
        <w:jc w:val="both"/>
        <w:rPr>
          <w:rFonts w:ascii="Times New Roman" w:hAnsi="Times New Roman" w:cs="Times New Roman"/>
          <w:color w:val="000000" w:themeColor="text1"/>
          <w:kern w:val="2"/>
          <w14:ligatures w14:val="standardContextual"/>
        </w:rPr>
      </w:pPr>
      <w:r w:rsidRPr="00960320">
        <w:rPr>
          <w:rFonts w:ascii="Times New Roman" w:hAnsi="Times New Roman" w:cs="Times New Roman"/>
          <w:color w:val="000000" w:themeColor="text1"/>
          <w:kern w:val="2"/>
          <w14:ligatures w14:val="standardContextual"/>
        </w:rPr>
        <w:t>Kodideks-h hesaplaması sadece halka açık üretici KOBİ firmalarını kapsamaktadır. Kodideks ana endeksi için ölçek çalışmalarına başlanmıştır. Faaliyet raporu üretmeyen ve mali verileri halka açık olmayan KOBİ’ler için daha geniş kapsamlı anket + TFV hesaplaması metodolojisi ile genel KOBİ dijital dönüşüm endeksi çalışmanın devamı niteliğinde olacaktır. </w:t>
      </w:r>
    </w:p>
    <w:p w14:paraId="0D3E7D0E" w14:textId="77777777" w:rsidR="006B6906" w:rsidRDefault="006B6906" w:rsidP="00960320">
      <w:pPr>
        <w:widowControl w:val="0"/>
        <w:autoSpaceDE w:val="0"/>
        <w:autoSpaceDN w:val="0"/>
        <w:spacing w:after="0" w:line="360" w:lineRule="auto"/>
        <w:jc w:val="both"/>
        <w:rPr>
          <w:rFonts w:ascii="Times New Roman" w:hAnsi="Times New Roman" w:cs="Times New Roman"/>
          <w:color w:val="000000" w:themeColor="text1"/>
          <w:kern w:val="2"/>
          <w14:ligatures w14:val="standardContextual"/>
        </w:rPr>
      </w:pPr>
    </w:p>
    <w:p w14:paraId="6D1DE73E" w14:textId="77777777" w:rsidR="006B6906" w:rsidRDefault="006B6906" w:rsidP="00960320">
      <w:pPr>
        <w:widowControl w:val="0"/>
        <w:autoSpaceDE w:val="0"/>
        <w:autoSpaceDN w:val="0"/>
        <w:spacing w:after="0" w:line="360" w:lineRule="auto"/>
        <w:jc w:val="both"/>
        <w:rPr>
          <w:rFonts w:ascii="Times New Roman" w:hAnsi="Times New Roman" w:cs="Times New Roman"/>
          <w:color w:val="000000" w:themeColor="text1"/>
          <w:kern w:val="2"/>
          <w14:ligatures w14:val="standardContextual"/>
        </w:rPr>
      </w:pPr>
    </w:p>
    <w:p w14:paraId="55AE2715" w14:textId="77777777" w:rsidR="006B6906" w:rsidRDefault="006B6906" w:rsidP="00960320">
      <w:pPr>
        <w:widowControl w:val="0"/>
        <w:autoSpaceDE w:val="0"/>
        <w:autoSpaceDN w:val="0"/>
        <w:spacing w:after="0" w:line="360" w:lineRule="auto"/>
        <w:jc w:val="both"/>
        <w:rPr>
          <w:rFonts w:ascii="Times New Roman" w:hAnsi="Times New Roman" w:cs="Times New Roman"/>
          <w:color w:val="000000" w:themeColor="text1"/>
          <w:kern w:val="2"/>
          <w14:ligatures w14:val="standardContextual"/>
        </w:rPr>
      </w:pPr>
    </w:p>
    <w:p w14:paraId="414D2F65" w14:textId="77777777" w:rsidR="006B6906" w:rsidRDefault="006B6906" w:rsidP="00960320">
      <w:pPr>
        <w:widowControl w:val="0"/>
        <w:autoSpaceDE w:val="0"/>
        <w:autoSpaceDN w:val="0"/>
        <w:spacing w:after="0" w:line="360" w:lineRule="auto"/>
        <w:jc w:val="both"/>
        <w:rPr>
          <w:rFonts w:ascii="Times New Roman" w:hAnsi="Times New Roman" w:cs="Times New Roman"/>
          <w:color w:val="000000" w:themeColor="text1"/>
          <w:kern w:val="2"/>
          <w14:ligatures w14:val="standardContextual"/>
        </w:rPr>
      </w:pPr>
    </w:p>
    <w:p w14:paraId="6E8D7FBD" w14:textId="77777777" w:rsidR="006B6906" w:rsidRDefault="006B6906" w:rsidP="00960320">
      <w:pPr>
        <w:widowControl w:val="0"/>
        <w:autoSpaceDE w:val="0"/>
        <w:autoSpaceDN w:val="0"/>
        <w:spacing w:after="0" w:line="360" w:lineRule="auto"/>
        <w:jc w:val="both"/>
        <w:rPr>
          <w:rFonts w:ascii="Times New Roman" w:hAnsi="Times New Roman" w:cs="Times New Roman"/>
          <w:color w:val="000000" w:themeColor="text1"/>
          <w:kern w:val="2"/>
          <w14:ligatures w14:val="standardContextual"/>
        </w:rPr>
      </w:pPr>
    </w:p>
    <w:p w14:paraId="1EA32358" w14:textId="77777777" w:rsidR="006B6906" w:rsidRDefault="006B6906" w:rsidP="00960320">
      <w:pPr>
        <w:widowControl w:val="0"/>
        <w:autoSpaceDE w:val="0"/>
        <w:autoSpaceDN w:val="0"/>
        <w:spacing w:after="0" w:line="360" w:lineRule="auto"/>
        <w:jc w:val="both"/>
        <w:rPr>
          <w:rFonts w:ascii="Times New Roman" w:hAnsi="Times New Roman" w:cs="Times New Roman"/>
          <w:color w:val="000000" w:themeColor="text1"/>
          <w:kern w:val="2"/>
          <w14:ligatures w14:val="standardContextual"/>
        </w:rPr>
      </w:pPr>
    </w:p>
    <w:p w14:paraId="6A01D81B" w14:textId="70EDE838" w:rsidR="006B6906" w:rsidRDefault="006B6906" w:rsidP="00960320">
      <w:pPr>
        <w:widowControl w:val="0"/>
        <w:autoSpaceDE w:val="0"/>
        <w:autoSpaceDN w:val="0"/>
        <w:spacing w:after="0" w:line="360" w:lineRule="auto"/>
        <w:jc w:val="both"/>
        <w:rPr>
          <w:rFonts w:ascii="Times New Roman" w:hAnsi="Times New Roman" w:cs="Times New Roman"/>
          <w:color w:val="000000" w:themeColor="text1"/>
          <w:kern w:val="2"/>
          <w14:ligatures w14:val="standardContextual"/>
        </w:rPr>
      </w:pPr>
      <w:r>
        <w:rPr>
          <w:rFonts w:ascii="Times New Roman" w:hAnsi="Times New Roman" w:cs="Times New Roman"/>
          <w:color w:val="000000" w:themeColor="text1"/>
          <w:kern w:val="2"/>
          <w14:ligatures w14:val="standardContextual"/>
        </w:rPr>
        <w:t>NOT: Makalede veri madenciliği ve güvenilirlik testlerinde phyton kodları Claude aracılığıyla oluşturulmuş ve Google Colab’de çalıştırılmıştır. Güvenilirlik sonuçlarının tablolaştırılmasında Claude kullanılmıştır.</w:t>
      </w:r>
    </w:p>
    <w:p w14:paraId="5F93FB33" w14:textId="4B18CF75" w:rsidR="00960320" w:rsidRDefault="00960320">
      <w:pPr>
        <w:rPr>
          <w:rFonts w:ascii="Times New Roman" w:hAnsi="Times New Roman" w:cs="Times New Roman"/>
          <w:color w:val="000000" w:themeColor="text1"/>
          <w:kern w:val="2"/>
          <w14:ligatures w14:val="standardContextual"/>
        </w:rPr>
      </w:pPr>
      <w:r>
        <w:rPr>
          <w:rFonts w:ascii="Times New Roman" w:hAnsi="Times New Roman" w:cs="Times New Roman"/>
          <w:color w:val="000000" w:themeColor="text1"/>
          <w:kern w:val="2"/>
          <w14:ligatures w14:val="standardContextual"/>
        </w:rPr>
        <w:br w:type="page"/>
      </w:r>
    </w:p>
    <w:p w14:paraId="3B77F371" w14:textId="77777777" w:rsidR="00960320" w:rsidRPr="00960320" w:rsidRDefault="00960320" w:rsidP="00960320">
      <w:pPr>
        <w:widowControl w:val="0"/>
        <w:autoSpaceDE w:val="0"/>
        <w:autoSpaceDN w:val="0"/>
        <w:spacing w:after="0" w:line="360" w:lineRule="auto"/>
        <w:jc w:val="both"/>
        <w:rPr>
          <w:rFonts w:ascii="Times New Roman" w:hAnsi="Times New Roman" w:cs="Times New Roman"/>
          <w:b/>
          <w:bCs/>
          <w:color w:val="000000" w:themeColor="text1"/>
          <w:kern w:val="2"/>
          <w14:ligatures w14:val="standardContextual"/>
        </w:rPr>
      </w:pPr>
      <w:r w:rsidRPr="00960320">
        <w:rPr>
          <w:rFonts w:ascii="Times New Roman" w:hAnsi="Times New Roman" w:cs="Times New Roman"/>
          <w:b/>
          <w:bCs/>
          <w:color w:val="000000" w:themeColor="text1"/>
          <w:kern w:val="2"/>
          <w14:ligatures w14:val="standardContextual"/>
        </w:rPr>
        <w:lastRenderedPageBreak/>
        <w:t>Kaynakça</w:t>
      </w:r>
    </w:p>
    <w:p w14:paraId="03C312BE" w14:textId="77777777" w:rsidR="00960320" w:rsidRPr="00960320" w:rsidRDefault="00960320" w:rsidP="00960320">
      <w:pPr>
        <w:widowControl w:val="0"/>
        <w:autoSpaceDE w:val="0"/>
        <w:autoSpaceDN w:val="0"/>
        <w:spacing w:after="0" w:line="360" w:lineRule="auto"/>
        <w:jc w:val="both"/>
        <w:rPr>
          <w:rFonts w:ascii="Times New Roman" w:hAnsi="Times New Roman" w:cs="Times New Roman"/>
          <w:color w:val="000000" w:themeColor="text1"/>
          <w:kern w:val="2"/>
          <w14:ligatures w14:val="standardContextual"/>
        </w:rPr>
      </w:pPr>
      <w:r w:rsidRPr="00960320">
        <w:rPr>
          <w:rFonts w:ascii="Times New Roman" w:hAnsi="Times New Roman" w:cs="Times New Roman"/>
          <w:color w:val="000000" w:themeColor="text1"/>
          <w:kern w:val="2"/>
          <w14:ligatures w14:val="standardContextual"/>
        </w:rPr>
        <w:t>Barnett, V., &amp; Lewis, T. (1994). Outliers in statistical data (3rd ed.). John Wiley &amp; Sons.</w:t>
      </w:r>
    </w:p>
    <w:p w14:paraId="6DB2AA95" w14:textId="77777777" w:rsidR="00960320" w:rsidRPr="00960320" w:rsidRDefault="00960320" w:rsidP="00960320">
      <w:pPr>
        <w:widowControl w:val="0"/>
        <w:autoSpaceDE w:val="0"/>
        <w:autoSpaceDN w:val="0"/>
        <w:spacing w:after="0" w:line="360" w:lineRule="auto"/>
        <w:jc w:val="both"/>
        <w:rPr>
          <w:rFonts w:ascii="Times New Roman" w:hAnsi="Times New Roman" w:cs="Times New Roman"/>
          <w:color w:val="000000" w:themeColor="text1"/>
          <w:kern w:val="2"/>
          <w14:ligatures w14:val="standardContextual"/>
        </w:rPr>
      </w:pPr>
      <w:r w:rsidRPr="00960320">
        <w:rPr>
          <w:rFonts w:ascii="Times New Roman" w:hAnsi="Times New Roman" w:cs="Times New Roman"/>
          <w:color w:val="000000" w:themeColor="text1"/>
          <w:kern w:val="2"/>
          <w14:ligatures w14:val="standardContextual"/>
        </w:rPr>
        <w:t>Beyoğlu, A. (2025). Türk Bankacılık Sektöründe Dijital Bankacılık Verimlilik Analizi. Hacettepe Üniversitesi İktisadi Ve İdari Bilimler Fakültesi Dergisi, 43(2), 232-248. https://doi.org/10.17065/huniibf.1517751</w:t>
      </w:r>
    </w:p>
    <w:p w14:paraId="7A4712BB" w14:textId="77777777" w:rsidR="00960320" w:rsidRPr="00960320" w:rsidRDefault="00960320" w:rsidP="00960320">
      <w:pPr>
        <w:widowControl w:val="0"/>
        <w:autoSpaceDE w:val="0"/>
        <w:autoSpaceDN w:val="0"/>
        <w:spacing w:after="0" w:line="360" w:lineRule="auto"/>
        <w:jc w:val="both"/>
        <w:rPr>
          <w:rFonts w:ascii="Times New Roman" w:hAnsi="Times New Roman" w:cs="Times New Roman"/>
          <w:color w:val="000000" w:themeColor="text1"/>
          <w:kern w:val="2"/>
          <w14:ligatures w14:val="standardContextual"/>
        </w:rPr>
      </w:pPr>
      <w:r w:rsidRPr="00960320">
        <w:rPr>
          <w:rFonts w:ascii="Times New Roman" w:hAnsi="Times New Roman" w:cs="Times New Roman"/>
          <w:color w:val="000000" w:themeColor="text1"/>
          <w:kern w:val="2"/>
          <w14:ligatures w14:val="standardContextual"/>
        </w:rPr>
        <w:t>Bharadwaj, A., El Sawy, O. A., Pavlou, P. A., &amp; Venkatraman, N. (2013). Digital Business Strategy: Toward a Next Generation of Insights. MIS Quarterly, 37(2), 471-482. https://doi.org/10.25300/MISQ/2013/37:2.3</w:t>
      </w:r>
    </w:p>
    <w:p w14:paraId="13A692D6" w14:textId="77777777" w:rsidR="00960320" w:rsidRPr="00960320" w:rsidRDefault="00960320" w:rsidP="00960320">
      <w:pPr>
        <w:widowControl w:val="0"/>
        <w:autoSpaceDE w:val="0"/>
        <w:autoSpaceDN w:val="0"/>
        <w:spacing w:after="0" w:line="360" w:lineRule="auto"/>
        <w:jc w:val="both"/>
        <w:rPr>
          <w:rFonts w:ascii="Times New Roman" w:hAnsi="Times New Roman" w:cs="Times New Roman"/>
          <w:color w:val="000000" w:themeColor="text1"/>
          <w:kern w:val="2"/>
          <w14:ligatures w14:val="standardContextual"/>
        </w:rPr>
      </w:pPr>
      <w:r w:rsidRPr="00960320">
        <w:rPr>
          <w:rFonts w:ascii="Times New Roman" w:hAnsi="Times New Roman" w:cs="Times New Roman"/>
          <w:color w:val="000000" w:themeColor="text1"/>
          <w:kern w:val="2"/>
          <w14:ligatures w14:val="standardContextual"/>
        </w:rPr>
        <w:t>Bozkurt, A., Hamutoğlu, N. B., Liman Kaban, A., … Taşçı, G. (2021). Dijital bilgi çağı: Dijital toplum, dijital dönüşüm, dijital eğitim ve dijital yeterlilikler. Açıköğretim Uygulamaları ve Araştırmaları Dergisi, 7(2), 35-63. https://doi.org/10.51948/auad.911584. Erişim tarihi: 13.01.2026.</w:t>
      </w:r>
    </w:p>
    <w:p w14:paraId="785BDBCE" w14:textId="77777777" w:rsidR="00960320" w:rsidRPr="00960320" w:rsidRDefault="00960320" w:rsidP="00960320">
      <w:pPr>
        <w:widowControl w:val="0"/>
        <w:autoSpaceDE w:val="0"/>
        <w:autoSpaceDN w:val="0"/>
        <w:spacing w:after="0" w:line="360" w:lineRule="auto"/>
        <w:jc w:val="both"/>
        <w:rPr>
          <w:rFonts w:ascii="Times New Roman" w:hAnsi="Times New Roman" w:cs="Times New Roman"/>
          <w:color w:val="000000" w:themeColor="text1"/>
          <w:kern w:val="2"/>
          <w14:ligatures w14:val="standardContextual"/>
        </w:rPr>
      </w:pPr>
      <w:r w:rsidRPr="00960320">
        <w:rPr>
          <w:rFonts w:ascii="Times New Roman" w:hAnsi="Times New Roman" w:cs="Times New Roman"/>
          <w:color w:val="000000" w:themeColor="text1"/>
          <w:kern w:val="2"/>
          <w14:ligatures w14:val="standardContextual"/>
        </w:rPr>
        <w:t>Bumann, J., &amp; Peter, M. K. (2019). Action fields of digital transformation – A review and comparative analysis of digital transformation maturity models and frameworks.</w:t>
      </w:r>
    </w:p>
    <w:p w14:paraId="770C5349" w14:textId="77777777" w:rsidR="00960320" w:rsidRPr="00960320" w:rsidRDefault="00960320" w:rsidP="00960320">
      <w:pPr>
        <w:widowControl w:val="0"/>
        <w:autoSpaceDE w:val="0"/>
        <w:autoSpaceDN w:val="0"/>
        <w:spacing w:after="0" w:line="360" w:lineRule="auto"/>
        <w:jc w:val="both"/>
        <w:rPr>
          <w:rFonts w:ascii="Times New Roman" w:hAnsi="Times New Roman" w:cs="Times New Roman"/>
          <w:color w:val="000000" w:themeColor="text1"/>
          <w:kern w:val="2"/>
          <w14:ligatures w14:val="standardContextual"/>
        </w:rPr>
      </w:pPr>
      <w:r w:rsidRPr="00960320">
        <w:rPr>
          <w:rFonts w:ascii="Times New Roman" w:hAnsi="Times New Roman" w:cs="Times New Roman"/>
          <w:color w:val="000000" w:themeColor="text1"/>
          <w:kern w:val="2"/>
          <w14:ligatures w14:val="standardContextual"/>
        </w:rPr>
        <w:t>Journal of Information Technology Theory and Application, 20(1), 13–40.</w:t>
      </w:r>
    </w:p>
    <w:p w14:paraId="2EE415A0" w14:textId="77777777" w:rsidR="00960320" w:rsidRPr="00960320" w:rsidRDefault="00960320" w:rsidP="00960320">
      <w:pPr>
        <w:widowControl w:val="0"/>
        <w:autoSpaceDE w:val="0"/>
        <w:autoSpaceDN w:val="0"/>
        <w:spacing w:after="0" w:line="360" w:lineRule="auto"/>
        <w:jc w:val="both"/>
        <w:rPr>
          <w:rFonts w:ascii="Times New Roman" w:hAnsi="Times New Roman" w:cs="Times New Roman"/>
          <w:color w:val="000000" w:themeColor="text1"/>
          <w:kern w:val="2"/>
          <w14:ligatures w14:val="standardContextual"/>
        </w:rPr>
      </w:pPr>
      <w:r w:rsidRPr="00960320">
        <w:rPr>
          <w:rFonts w:ascii="Times New Roman" w:hAnsi="Times New Roman" w:cs="Times New Roman"/>
          <w:color w:val="000000" w:themeColor="text1"/>
          <w:kern w:val="2"/>
          <w14:ligatures w14:val="standardContextual"/>
        </w:rPr>
        <w:t>Camara, N., Tuesta, D. (2017). DIGIX: the Digitalization Index. BBVA 17/03 Working Paper. February 2017.</w:t>
      </w:r>
    </w:p>
    <w:p w14:paraId="7F1E6992" w14:textId="77777777" w:rsidR="00960320" w:rsidRPr="00960320" w:rsidRDefault="00960320" w:rsidP="00960320">
      <w:pPr>
        <w:widowControl w:val="0"/>
        <w:autoSpaceDE w:val="0"/>
        <w:autoSpaceDN w:val="0"/>
        <w:spacing w:after="0" w:line="360" w:lineRule="auto"/>
        <w:jc w:val="both"/>
        <w:rPr>
          <w:rFonts w:ascii="Times New Roman" w:hAnsi="Times New Roman" w:cs="Times New Roman"/>
          <w:color w:val="000000" w:themeColor="text1"/>
          <w:kern w:val="2"/>
          <w14:ligatures w14:val="standardContextual"/>
        </w:rPr>
      </w:pPr>
      <w:r w:rsidRPr="00960320">
        <w:rPr>
          <w:rFonts w:ascii="Times New Roman" w:hAnsi="Times New Roman" w:cs="Times New Roman"/>
          <w:color w:val="000000" w:themeColor="text1"/>
          <w:kern w:val="2"/>
          <w14:ligatures w14:val="standardContextual"/>
        </w:rPr>
        <w:t>Çakmak, T., Yılmaz, B. (2017). Bellek Kurumlarında Dijitalleştirme ve Dijital Koruma: Türkiye’deki Uygulamaların Analizi. Bilgi Dünyası. 18(1). https://doi.org/10.15612/BD.2017.580. Erişim tarihi: 13.01.2026</w:t>
      </w:r>
    </w:p>
    <w:p w14:paraId="4CC50D0F" w14:textId="77777777" w:rsidR="00960320" w:rsidRPr="00960320" w:rsidRDefault="00960320" w:rsidP="00960320">
      <w:pPr>
        <w:widowControl w:val="0"/>
        <w:autoSpaceDE w:val="0"/>
        <w:autoSpaceDN w:val="0"/>
        <w:spacing w:after="0" w:line="360" w:lineRule="auto"/>
        <w:jc w:val="both"/>
        <w:rPr>
          <w:rFonts w:ascii="Times New Roman" w:hAnsi="Times New Roman" w:cs="Times New Roman"/>
          <w:color w:val="000000" w:themeColor="text1"/>
          <w:kern w:val="2"/>
          <w14:ligatures w14:val="standardContextual"/>
        </w:rPr>
      </w:pPr>
      <w:r w:rsidRPr="00960320">
        <w:rPr>
          <w:rFonts w:ascii="Times New Roman" w:hAnsi="Times New Roman" w:cs="Times New Roman"/>
          <w:color w:val="000000" w:themeColor="text1"/>
          <w:kern w:val="2"/>
          <w14:ligatures w14:val="standardContextual"/>
        </w:rPr>
        <w:t>Cichosz, M., Wallenburg, C. M., &amp; Knemeyer, A. M. (2020). Digital transformation at logistics service providers: barriers, success factors and leading practices. The International Journal of Logistics Management, 31(2), 209-238. https://doi.org/10.1108/IJLM-08-2019-0229</w:t>
      </w:r>
    </w:p>
    <w:p w14:paraId="3E92DE94" w14:textId="77777777" w:rsidR="00960320" w:rsidRPr="00960320" w:rsidRDefault="00960320" w:rsidP="00960320">
      <w:pPr>
        <w:widowControl w:val="0"/>
        <w:autoSpaceDE w:val="0"/>
        <w:autoSpaceDN w:val="0"/>
        <w:spacing w:after="0" w:line="360" w:lineRule="auto"/>
        <w:jc w:val="both"/>
        <w:rPr>
          <w:rFonts w:ascii="Times New Roman" w:hAnsi="Times New Roman" w:cs="Times New Roman"/>
          <w:color w:val="000000" w:themeColor="text1"/>
          <w:kern w:val="2"/>
          <w14:ligatures w14:val="standardContextual"/>
        </w:rPr>
      </w:pPr>
      <w:r w:rsidRPr="00960320">
        <w:rPr>
          <w:rFonts w:ascii="Times New Roman" w:hAnsi="Times New Roman" w:cs="Times New Roman"/>
          <w:color w:val="000000" w:themeColor="text1"/>
          <w:kern w:val="2"/>
          <w14:ligatures w14:val="standardContextual"/>
        </w:rPr>
        <w:t>Cobb, C. W., &amp; Douglas, P. H. (1928). A theory of production. The American Economic Review, 18(1), 139-165. https://www.jstor.org/stable/1811556</w:t>
      </w:r>
    </w:p>
    <w:p w14:paraId="23719D59" w14:textId="77777777" w:rsidR="00960320" w:rsidRPr="00960320" w:rsidRDefault="00960320" w:rsidP="00960320">
      <w:pPr>
        <w:widowControl w:val="0"/>
        <w:autoSpaceDE w:val="0"/>
        <w:autoSpaceDN w:val="0"/>
        <w:spacing w:after="0" w:line="360" w:lineRule="auto"/>
        <w:jc w:val="both"/>
        <w:rPr>
          <w:rFonts w:ascii="Times New Roman" w:hAnsi="Times New Roman" w:cs="Times New Roman"/>
          <w:color w:val="000000" w:themeColor="text1"/>
          <w:kern w:val="2"/>
          <w14:ligatures w14:val="standardContextual"/>
        </w:rPr>
      </w:pPr>
      <w:r w:rsidRPr="00960320">
        <w:rPr>
          <w:rFonts w:ascii="Times New Roman" w:hAnsi="Times New Roman" w:cs="Times New Roman"/>
          <w:color w:val="000000" w:themeColor="text1"/>
          <w:kern w:val="2"/>
          <w14:ligatures w14:val="standardContextual"/>
        </w:rPr>
        <w:t>Cortina, J. M. (1993). What is coefficient alpha? An examination of theory and applications. Journal of Applied Psychology, 78(1), 98-104. https://doi.org/10.1037/0021-9010.78.1.98</w:t>
      </w:r>
    </w:p>
    <w:p w14:paraId="58AE210B" w14:textId="77777777" w:rsidR="00960320" w:rsidRPr="00960320" w:rsidRDefault="00960320" w:rsidP="00960320">
      <w:pPr>
        <w:widowControl w:val="0"/>
        <w:autoSpaceDE w:val="0"/>
        <w:autoSpaceDN w:val="0"/>
        <w:spacing w:after="0" w:line="360" w:lineRule="auto"/>
        <w:jc w:val="both"/>
        <w:rPr>
          <w:rFonts w:ascii="Times New Roman" w:hAnsi="Times New Roman" w:cs="Times New Roman"/>
          <w:color w:val="000000" w:themeColor="text1"/>
          <w:kern w:val="2"/>
          <w14:ligatures w14:val="standardContextual"/>
        </w:rPr>
      </w:pPr>
      <w:r w:rsidRPr="00960320">
        <w:rPr>
          <w:rFonts w:ascii="Times New Roman" w:hAnsi="Times New Roman" w:cs="Times New Roman"/>
          <w:color w:val="000000" w:themeColor="text1"/>
          <w:kern w:val="2"/>
          <w14:ligatures w14:val="standardContextual"/>
        </w:rPr>
        <w:t>Cronbach, L. J. (1951). Coefficient alpha and the internal structure of    tests. Psychometrika, 16(3), 297-334.      https://doi.org/10.1007/BF02310555</w:t>
      </w:r>
    </w:p>
    <w:p w14:paraId="2B36884D" w14:textId="77777777" w:rsidR="00960320" w:rsidRPr="00960320" w:rsidRDefault="00960320" w:rsidP="00960320">
      <w:pPr>
        <w:widowControl w:val="0"/>
        <w:autoSpaceDE w:val="0"/>
        <w:autoSpaceDN w:val="0"/>
        <w:spacing w:after="0" w:line="360" w:lineRule="auto"/>
        <w:jc w:val="both"/>
        <w:rPr>
          <w:rFonts w:ascii="Times New Roman" w:hAnsi="Times New Roman" w:cs="Times New Roman"/>
          <w:color w:val="000000" w:themeColor="text1"/>
          <w:kern w:val="2"/>
          <w14:ligatures w14:val="standardContextual"/>
        </w:rPr>
      </w:pPr>
      <w:r w:rsidRPr="00960320">
        <w:rPr>
          <w:rFonts w:ascii="Times New Roman" w:hAnsi="Times New Roman" w:cs="Times New Roman"/>
          <w:color w:val="000000" w:themeColor="text1"/>
          <w:kern w:val="2"/>
          <w14:ligatures w14:val="standardContextual"/>
        </w:rPr>
        <w:t>Demirkıran, S., Beyoğlu, A., Terzioğlu, M. K., Yaşar, A. (2022). Sürdürülebilir Kalkınma Odaklı Dijitalleşme Belirleyicilerinin Verimlilik Üzerindeki Etkilerinin Yapay Sinir Ağları İle Sınıflandırılması. Verimlilik Dergisi30-47. https://doi.org/10.51551/verimlilik.988286</w:t>
      </w:r>
    </w:p>
    <w:p w14:paraId="6617BBA0" w14:textId="77777777" w:rsidR="00960320" w:rsidRPr="00960320" w:rsidRDefault="00960320" w:rsidP="00960320">
      <w:pPr>
        <w:widowControl w:val="0"/>
        <w:autoSpaceDE w:val="0"/>
        <w:autoSpaceDN w:val="0"/>
        <w:spacing w:after="0" w:line="360" w:lineRule="auto"/>
        <w:jc w:val="both"/>
        <w:rPr>
          <w:rFonts w:ascii="Times New Roman" w:hAnsi="Times New Roman" w:cs="Times New Roman"/>
          <w:color w:val="000000" w:themeColor="text1"/>
          <w:kern w:val="2"/>
          <w14:ligatures w14:val="standardContextual"/>
        </w:rPr>
      </w:pPr>
      <w:r w:rsidRPr="00960320">
        <w:rPr>
          <w:rFonts w:ascii="Times New Roman" w:hAnsi="Times New Roman" w:cs="Times New Roman"/>
          <w:color w:val="000000" w:themeColor="text1"/>
          <w:kern w:val="2"/>
          <w14:ligatures w14:val="standardContextual"/>
        </w:rPr>
        <w:t>Diamantopoulos, A., &amp; Winklhofer, H. M. (2001). Index construction with formative indicators: An alternative to scale development. Journal of Marketing Research, 38(2), 269-277.</w:t>
      </w:r>
    </w:p>
    <w:p w14:paraId="3785D82B" w14:textId="77777777" w:rsidR="00960320" w:rsidRPr="00960320" w:rsidRDefault="00960320" w:rsidP="00960320">
      <w:pPr>
        <w:widowControl w:val="0"/>
        <w:autoSpaceDE w:val="0"/>
        <w:autoSpaceDN w:val="0"/>
        <w:spacing w:after="0" w:line="360" w:lineRule="auto"/>
        <w:jc w:val="both"/>
        <w:rPr>
          <w:rFonts w:ascii="Times New Roman" w:hAnsi="Times New Roman" w:cs="Times New Roman"/>
          <w:color w:val="000000" w:themeColor="text1"/>
          <w:kern w:val="2"/>
          <w14:ligatures w14:val="standardContextual"/>
        </w:rPr>
      </w:pPr>
      <w:r w:rsidRPr="00960320">
        <w:rPr>
          <w:rFonts w:ascii="Times New Roman" w:hAnsi="Times New Roman" w:cs="Times New Roman"/>
          <w:color w:val="000000" w:themeColor="text1"/>
          <w:kern w:val="2"/>
          <w14:ligatures w14:val="standardContextual"/>
        </w:rPr>
        <w:t>Field, A. (2013). Discovering statistics using IBM SPSS statistics (4th ed.). Sage Publications.</w:t>
      </w:r>
    </w:p>
    <w:p w14:paraId="24C2CACE" w14:textId="77777777" w:rsidR="00960320" w:rsidRPr="00960320" w:rsidRDefault="00960320" w:rsidP="00960320">
      <w:pPr>
        <w:widowControl w:val="0"/>
        <w:autoSpaceDE w:val="0"/>
        <w:autoSpaceDN w:val="0"/>
        <w:spacing w:after="0" w:line="360" w:lineRule="auto"/>
        <w:jc w:val="both"/>
        <w:rPr>
          <w:rFonts w:ascii="Times New Roman" w:hAnsi="Times New Roman" w:cs="Times New Roman"/>
          <w:color w:val="000000" w:themeColor="text1"/>
          <w:kern w:val="2"/>
          <w14:ligatures w14:val="standardContextual"/>
        </w:rPr>
      </w:pPr>
      <w:r w:rsidRPr="00960320">
        <w:rPr>
          <w:rFonts w:ascii="Times New Roman" w:hAnsi="Times New Roman" w:cs="Times New Roman"/>
          <w:color w:val="000000" w:themeColor="text1"/>
          <w:kern w:val="2"/>
          <w14:ligatures w14:val="standardContextual"/>
        </w:rPr>
        <w:t>Gamache, S., Abdul-Nour, G., &amp; Baril, C. (2019).</w:t>
      </w:r>
    </w:p>
    <w:p w14:paraId="5FEB0ADD" w14:textId="77777777" w:rsidR="00960320" w:rsidRPr="00960320" w:rsidRDefault="00960320" w:rsidP="00960320">
      <w:pPr>
        <w:widowControl w:val="0"/>
        <w:autoSpaceDE w:val="0"/>
        <w:autoSpaceDN w:val="0"/>
        <w:spacing w:after="0" w:line="360" w:lineRule="auto"/>
        <w:jc w:val="both"/>
        <w:rPr>
          <w:rFonts w:ascii="Times New Roman" w:hAnsi="Times New Roman" w:cs="Times New Roman"/>
          <w:color w:val="000000" w:themeColor="text1"/>
          <w:kern w:val="2"/>
          <w14:ligatures w14:val="standardContextual"/>
        </w:rPr>
      </w:pPr>
      <w:r w:rsidRPr="00960320">
        <w:rPr>
          <w:rFonts w:ascii="Times New Roman" w:hAnsi="Times New Roman" w:cs="Times New Roman"/>
          <w:color w:val="000000" w:themeColor="text1"/>
          <w:kern w:val="2"/>
          <w14:ligatures w14:val="standardContextual"/>
        </w:rPr>
        <w:t>Toward a digital performance assessment model for manufacturing SMEs.</w:t>
      </w:r>
    </w:p>
    <w:p w14:paraId="570CABCE" w14:textId="77777777" w:rsidR="00960320" w:rsidRPr="00960320" w:rsidRDefault="00960320" w:rsidP="00960320">
      <w:pPr>
        <w:widowControl w:val="0"/>
        <w:autoSpaceDE w:val="0"/>
        <w:autoSpaceDN w:val="0"/>
        <w:spacing w:after="0" w:line="360" w:lineRule="auto"/>
        <w:jc w:val="both"/>
        <w:rPr>
          <w:rFonts w:ascii="Times New Roman" w:hAnsi="Times New Roman" w:cs="Times New Roman"/>
          <w:color w:val="000000" w:themeColor="text1"/>
          <w:kern w:val="2"/>
          <w14:ligatures w14:val="standardContextual"/>
        </w:rPr>
      </w:pPr>
      <w:r w:rsidRPr="00960320">
        <w:rPr>
          <w:rFonts w:ascii="Times New Roman" w:hAnsi="Times New Roman" w:cs="Times New Roman"/>
          <w:color w:val="000000" w:themeColor="text1"/>
          <w:kern w:val="2"/>
          <w14:ligatures w14:val="standardContextual"/>
        </w:rPr>
        <w:t>Journal of Small Business and Enterprise Development, 26(6/7), 960–977.</w:t>
      </w:r>
    </w:p>
    <w:p w14:paraId="1C27F0C7" w14:textId="77777777" w:rsidR="00960320" w:rsidRPr="00960320" w:rsidRDefault="00960320" w:rsidP="00960320">
      <w:pPr>
        <w:widowControl w:val="0"/>
        <w:autoSpaceDE w:val="0"/>
        <w:autoSpaceDN w:val="0"/>
        <w:spacing w:after="0" w:line="360" w:lineRule="auto"/>
        <w:jc w:val="both"/>
        <w:rPr>
          <w:rFonts w:ascii="Times New Roman" w:hAnsi="Times New Roman" w:cs="Times New Roman"/>
          <w:color w:val="000000" w:themeColor="text1"/>
          <w:kern w:val="2"/>
          <w14:ligatures w14:val="standardContextual"/>
        </w:rPr>
      </w:pPr>
      <w:r w:rsidRPr="00960320">
        <w:rPr>
          <w:rFonts w:ascii="Times New Roman" w:hAnsi="Times New Roman" w:cs="Times New Roman"/>
          <w:color w:val="000000" w:themeColor="text1"/>
          <w:kern w:val="2"/>
          <w14:ligatures w14:val="standardContextual"/>
        </w:rPr>
        <w:lastRenderedPageBreak/>
        <w:t>https://doi.org/10.1108/JSBED-11-2018-0348</w:t>
      </w:r>
    </w:p>
    <w:p w14:paraId="434CCE32" w14:textId="77777777" w:rsidR="00960320" w:rsidRPr="00960320" w:rsidRDefault="00960320" w:rsidP="00960320">
      <w:pPr>
        <w:widowControl w:val="0"/>
        <w:autoSpaceDE w:val="0"/>
        <w:autoSpaceDN w:val="0"/>
        <w:spacing w:after="0" w:line="360" w:lineRule="auto"/>
        <w:jc w:val="both"/>
        <w:rPr>
          <w:rFonts w:ascii="Times New Roman" w:hAnsi="Times New Roman" w:cs="Times New Roman"/>
          <w:color w:val="000000" w:themeColor="text1"/>
          <w:kern w:val="2"/>
          <w14:ligatures w14:val="standardContextual"/>
        </w:rPr>
      </w:pPr>
      <w:r w:rsidRPr="00960320">
        <w:rPr>
          <w:rFonts w:ascii="Times New Roman" w:hAnsi="Times New Roman" w:cs="Times New Roman"/>
          <w:color w:val="000000" w:themeColor="text1"/>
          <w:kern w:val="2"/>
          <w14:ligatures w14:val="standardContextual"/>
        </w:rPr>
        <w:t>George, D., &amp; Mallery, P. (2010). SPSS for Windows step by step: A simple guide and reference, 17.0 update (10th ed.). Pearson.</w:t>
      </w:r>
    </w:p>
    <w:p w14:paraId="748F2E13" w14:textId="77777777" w:rsidR="00960320" w:rsidRPr="00960320" w:rsidRDefault="00960320" w:rsidP="00960320">
      <w:pPr>
        <w:widowControl w:val="0"/>
        <w:autoSpaceDE w:val="0"/>
        <w:autoSpaceDN w:val="0"/>
        <w:spacing w:after="0" w:line="360" w:lineRule="auto"/>
        <w:jc w:val="both"/>
        <w:rPr>
          <w:rFonts w:ascii="Times New Roman" w:hAnsi="Times New Roman" w:cs="Times New Roman"/>
          <w:color w:val="000000" w:themeColor="text1"/>
          <w:kern w:val="2"/>
          <w14:ligatures w14:val="standardContextual"/>
        </w:rPr>
      </w:pPr>
      <w:r w:rsidRPr="00960320">
        <w:rPr>
          <w:rFonts w:ascii="Times New Roman" w:hAnsi="Times New Roman" w:cs="Times New Roman"/>
          <w:color w:val="000000" w:themeColor="text1"/>
          <w:kern w:val="2"/>
          <w14:ligatures w14:val="standardContextual"/>
        </w:rPr>
        <w:t>Gill, M. (2018). The digital maturity model 5.0. Forrester Research.</w:t>
      </w:r>
    </w:p>
    <w:p w14:paraId="33E78DE8" w14:textId="77777777" w:rsidR="00960320" w:rsidRPr="00960320" w:rsidRDefault="00960320" w:rsidP="00960320">
      <w:pPr>
        <w:widowControl w:val="0"/>
        <w:autoSpaceDE w:val="0"/>
        <w:autoSpaceDN w:val="0"/>
        <w:spacing w:after="0" w:line="360" w:lineRule="auto"/>
        <w:jc w:val="both"/>
        <w:rPr>
          <w:rFonts w:ascii="Times New Roman" w:hAnsi="Times New Roman" w:cs="Times New Roman"/>
          <w:color w:val="000000" w:themeColor="text1"/>
          <w:kern w:val="2"/>
          <w14:ligatures w14:val="standardContextual"/>
        </w:rPr>
      </w:pPr>
      <w:r w:rsidRPr="00960320">
        <w:rPr>
          <w:rFonts w:ascii="Times New Roman" w:hAnsi="Times New Roman" w:cs="Times New Roman"/>
          <w:color w:val="000000" w:themeColor="text1"/>
          <w:kern w:val="2"/>
          <w14:ligatures w14:val="standardContextual"/>
        </w:rPr>
        <w:t>Kaiser, H. F. (1960). The application of electronic computers to factor analysis. Educational and Psychological Measurement, 20(1), 141-151. https://doi.org/10.1177/001316446002000116</w:t>
      </w:r>
    </w:p>
    <w:p w14:paraId="553BD2A0" w14:textId="77777777" w:rsidR="00960320" w:rsidRPr="00960320" w:rsidRDefault="00960320" w:rsidP="00960320">
      <w:pPr>
        <w:widowControl w:val="0"/>
        <w:autoSpaceDE w:val="0"/>
        <w:autoSpaceDN w:val="0"/>
        <w:spacing w:after="0" w:line="360" w:lineRule="auto"/>
        <w:jc w:val="both"/>
        <w:rPr>
          <w:rFonts w:ascii="Times New Roman" w:hAnsi="Times New Roman" w:cs="Times New Roman"/>
          <w:color w:val="000000" w:themeColor="text1"/>
          <w:kern w:val="2"/>
          <w14:ligatures w14:val="standardContextual"/>
        </w:rPr>
      </w:pPr>
      <w:r w:rsidRPr="00960320">
        <w:rPr>
          <w:rFonts w:ascii="Times New Roman" w:hAnsi="Times New Roman" w:cs="Times New Roman"/>
          <w:color w:val="000000" w:themeColor="text1"/>
          <w:kern w:val="2"/>
          <w14:ligatures w14:val="standardContextual"/>
        </w:rPr>
        <w:t>Kádárová, J., Lachvajderová, L. ve Sukopová, D. (2023). Dijitalleşmenin AB27'deki KOBİ performansı üzerindeki etkisi: Panel veri analizi. Sürdürülebilirlik , 15 (13), 9973.</w:t>
      </w:r>
    </w:p>
    <w:p w14:paraId="730C19B1" w14:textId="77777777" w:rsidR="00960320" w:rsidRPr="00960320" w:rsidRDefault="00960320" w:rsidP="00960320">
      <w:pPr>
        <w:widowControl w:val="0"/>
        <w:autoSpaceDE w:val="0"/>
        <w:autoSpaceDN w:val="0"/>
        <w:spacing w:after="0" w:line="360" w:lineRule="auto"/>
        <w:jc w:val="both"/>
        <w:rPr>
          <w:rFonts w:ascii="Times New Roman" w:hAnsi="Times New Roman" w:cs="Times New Roman"/>
          <w:color w:val="000000" w:themeColor="text1"/>
          <w:kern w:val="2"/>
          <w14:ligatures w14:val="standardContextual"/>
        </w:rPr>
      </w:pPr>
      <w:r w:rsidRPr="00960320">
        <w:rPr>
          <w:rFonts w:ascii="Times New Roman" w:hAnsi="Times New Roman" w:cs="Times New Roman"/>
          <w:color w:val="000000" w:themeColor="text1"/>
          <w:kern w:val="2"/>
          <w14:ligatures w14:val="standardContextual"/>
        </w:rPr>
        <w:t>Karakaş, S., Rukancı, F. ve Anameriç, H. (2009).” Belge Yönetimi ve Arşiv Terimleri Sözlüğü”,Devlet Arşivleri Genel Müdürlüğü, Yayın No: 24, Ankara</w:t>
      </w:r>
    </w:p>
    <w:p w14:paraId="324285C6" w14:textId="77777777" w:rsidR="00960320" w:rsidRPr="00960320" w:rsidRDefault="00960320" w:rsidP="00960320">
      <w:pPr>
        <w:widowControl w:val="0"/>
        <w:autoSpaceDE w:val="0"/>
        <w:autoSpaceDN w:val="0"/>
        <w:spacing w:after="0" w:line="360" w:lineRule="auto"/>
        <w:jc w:val="both"/>
        <w:rPr>
          <w:rFonts w:ascii="Times New Roman" w:hAnsi="Times New Roman" w:cs="Times New Roman"/>
          <w:color w:val="000000" w:themeColor="text1"/>
          <w:kern w:val="2"/>
          <w14:ligatures w14:val="standardContextual"/>
        </w:rPr>
      </w:pPr>
      <w:r w:rsidRPr="00960320">
        <w:rPr>
          <w:rFonts w:ascii="Times New Roman" w:hAnsi="Times New Roman" w:cs="Times New Roman"/>
          <w:color w:val="000000" w:themeColor="text1"/>
          <w:kern w:val="2"/>
          <w14:ligatures w14:val="standardContextual"/>
        </w:rPr>
        <w:t>Küçük, O. (2011). Faktör Esnekliği ve Ölçeğe Göre Getiri: Kobi’lerde Karşılaştırmalı Bir Cobb-Douglas Üretim Fonksiyonu Uygulaması. Atatürk Üniversitesi Sosyal Bilimler Enstitüsü Dergisi 2011 15 (2): 353-362</w:t>
      </w:r>
    </w:p>
    <w:p w14:paraId="3D12DB1D" w14:textId="77777777" w:rsidR="00960320" w:rsidRPr="00960320" w:rsidRDefault="00960320" w:rsidP="00960320">
      <w:pPr>
        <w:widowControl w:val="0"/>
        <w:autoSpaceDE w:val="0"/>
        <w:autoSpaceDN w:val="0"/>
        <w:spacing w:after="0" w:line="360" w:lineRule="auto"/>
        <w:jc w:val="both"/>
        <w:rPr>
          <w:rFonts w:ascii="Times New Roman" w:hAnsi="Times New Roman" w:cs="Times New Roman"/>
          <w:color w:val="000000" w:themeColor="text1"/>
          <w:kern w:val="2"/>
          <w14:ligatures w14:val="standardContextual"/>
        </w:rPr>
      </w:pPr>
      <w:r w:rsidRPr="00960320">
        <w:rPr>
          <w:rFonts w:ascii="Times New Roman" w:hAnsi="Times New Roman" w:cs="Times New Roman"/>
          <w:color w:val="000000" w:themeColor="text1"/>
          <w:kern w:val="2"/>
          <w14:ligatures w14:val="standardContextual"/>
        </w:rPr>
        <w:t>Külcü, Ö. (2010). Belge Yönetiminde Yeni Fırsatlar: Dijitalleştirme ve İçerik Yönetimi Uygulamaları. Bilgi Dünyası, 11(2), 290-331</w:t>
      </w:r>
    </w:p>
    <w:p w14:paraId="176CCDBD" w14:textId="77777777" w:rsidR="00960320" w:rsidRPr="00960320" w:rsidRDefault="00960320" w:rsidP="00960320">
      <w:pPr>
        <w:widowControl w:val="0"/>
        <w:autoSpaceDE w:val="0"/>
        <w:autoSpaceDN w:val="0"/>
        <w:spacing w:after="0" w:line="360" w:lineRule="auto"/>
        <w:jc w:val="both"/>
        <w:rPr>
          <w:rFonts w:ascii="Times New Roman" w:hAnsi="Times New Roman" w:cs="Times New Roman"/>
          <w:color w:val="000000" w:themeColor="text1"/>
          <w:kern w:val="2"/>
          <w14:ligatures w14:val="standardContextual"/>
        </w:rPr>
      </w:pPr>
      <w:r w:rsidRPr="00960320">
        <w:rPr>
          <w:rFonts w:ascii="Times New Roman" w:hAnsi="Times New Roman" w:cs="Times New Roman"/>
          <w:color w:val="000000" w:themeColor="text1"/>
          <w:kern w:val="2"/>
          <w14:ligatures w14:val="standardContextual"/>
        </w:rPr>
        <w:t>Maiti, M., &amp; Kayal, P. (2017). Digitalization: Its impact on economic development &amp; trade. Asian Economic Review, 7(6), 541-549.Marcysiak, A., &amp; Pleskacz, Ż. (2021). Determinants of digitization in SMEs. Entrepreneurship and Sustainability Issues, 9(1), 300.</w:t>
      </w:r>
    </w:p>
    <w:p w14:paraId="441D9C35" w14:textId="77777777" w:rsidR="00960320" w:rsidRPr="00960320" w:rsidRDefault="00960320" w:rsidP="00960320">
      <w:pPr>
        <w:widowControl w:val="0"/>
        <w:autoSpaceDE w:val="0"/>
        <w:autoSpaceDN w:val="0"/>
        <w:spacing w:after="0" w:line="360" w:lineRule="auto"/>
        <w:jc w:val="both"/>
        <w:rPr>
          <w:rFonts w:ascii="Times New Roman" w:hAnsi="Times New Roman" w:cs="Times New Roman"/>
          <w:color w:val="000000" w:themeColor="text1"/>
          <w:kern w:val="2"/>
          <w14:ligatures w14:val="standardContextual"/>
        </w:rPr>
      </w:pPr>
      <w:r w:rsidRPr="00960320">
        <w:rPr>
          <w:rFonts w:ascii="Times New Roman" w:hAnsi="Times New Roman" w:cs="Times New Roman"/>
          <w:color w:val="000000" w:themeColor="text1"/>
          <w:kern w:val="2"/>
          <w14:ligatures w14:val="standardContextual"/>
        </w:rPr>
        <w:t>Li, S., Yang, Z., ve Tian, Y. (2023). Digital transformation and corporate performance: evidence from China. China Economic Journal, 16(3), 312-334. https://doi.org/10.1080/17538963.2023.2254138.</w:t>
      </w:r>
    </w:p>
    <w:p w14:paraId="3EFE8135" w14:textId="77777777" w:rsidR="00960320" w:rsidRPr="00960320" w:rsidRDefault="00960320" w:rsidP="00960320">
      <w:pPr>
        <w:widowControl w:val="0"/>
        <w:autoSpaceDE w:val="0"/>
        <w:autoSpaceDN w:val="0"/>
        <w:spacing w:after="0" w:line="360" w:lineRule="auto"/>
        <w:jc w:val="both"/>
        <w:rPr>
          <w:rFonts w:ascii="Times New Roman" w:hAnsi="Times New Roman" w:cs="Times New Roman"/>
          <w:color w:val="000000" w:themeColor="text1"/>
          <w:kern w:val="2"/>
          <w14:ligatures w14:val="standardContextual"/>
        </w:rPr>
      </w:pPr>
      <w:r w:rsidRPr="00960320">
        <w:rPr>
          <w:rFonts w:ascii="Times New Roman" w:hAnsi="Times New Roman" w:cs="Times New Roman"/>
          <w:color w:val="000000" w:themeColor="text1"/>
          <w:kern w:val="2"/>
          <w14:ligatures w14:val="standardContextual"/>
        </w:rPr>
        <w:t>Luiz Antonio Bueno, Tiago F.A.C. Sigahi, Izabela Simon Rampasso, Walter Leal Filho, Rosley Anholon, (2024). Impacts of digitization on operational efficiency in the banking sector: Thematic analysis and research agenda proposal. International Journal of Information Management Data Insights,.Volume 4, Issue 1. ISSN 2667-0968.</w:t>
      </w:r>
    </w:p>
    <w:p w14:paraId="44AFB3EE" w14:textId="77777777" w:rsidR="00960320" w:rsidRPr="00960320" w:rsidRDefault="00960320" w:rsidP="00960320">
      <w:pPr>
        <w:widowControl w:val="0"/>
        <w:autoSpaceDE w:val="0"/>
        <w:autoSpaceDN w:val="0"/>
        <w:spacing w:after="0" w:line="360" w:lineRule="auto"/>
        <w:jc w:val="both"/>
        <w:rPr>
          <w:rFonts w:ascii="Times New Roman" w:hAnsi="Times New Roman" w:cs="Times New Roman"/>
          <w:color w:val="000000" w:themeColor="text1"/>
          <w:kern w:val="2"/>
          <w14:ligatures w14:val="standardContextual"/>
        </w:rPr>
      </w:pPr>
      <w:r w:rsidRPr="00960320">
        <w:rPr>
          <w:rFonts w:ascii="Times New Roman" w:hAnsi="Times New Roman" w:cs="Times New Roman"/>
          <w:color w:val="000000" w:themeColor="text1"/>
          <w:kern w:val="2"/>
          <w14:ligatures w14:val="standardContextual"/>
        </w:rPr>
        <w:t>Matt, C., Hess, T., &amp; Benlian, A. (2015). "Digital Transformation Strategies." Business &amp; Information Systems Engineering, 57(5), 339-343.</w:t>
      </w:r>
    </w:p>
    <w:p w14:paraId="23969DF6" w14:textId="77777777" w:rsidR="00960320" w:rsidRPr="00960320" w:rsidRDefault="00960320" w:rsidP="00960320">
      <w:pPr>
        <w:widowControl w:val="0"/>
        <w:autoSpaceDE w:val="0"/>
        <w:autoSpaceDN w:val="0"/>
        <w:spacing w:after="0" w:line="360" w:lineRule="auto"/>
        <w:jc w:val="both"/>
        <w:rPr>
          <w:rFonts w:ascii="Times New Roman" w:hAnsi="Times New Roman" w:cs="Times New Roman"/>
          <w:color w:val="000000" w:themeColor="text1"/>
          <w:kern w:val="2"/>
          <w14:ligatures w14:val="standardContextual"/>
        </w:rPr>
      </w:pPr>
      <w:r w:rsidRPr="00960320">
        <w:rPr>
          <w:rFonts w:ascii="Times New Roman" w:hAnsi="Times New Roman" w:cs="Times New Roman"/>
          <w:color w:val="000000" w:themeColor="text1"/>
          <w:kern w:val="2"/>
          <w14:ligatures w14:val="standardContextual"/>
        </w:rPr>
        <w:t>Menard, S. (1995). Applied logistic regression analysis. Sage Publications.</w:t>
      </w:r>
    </w:p>
    <w:p w14:paraId="64369A71" w14:textId="77777777" w:rsidR="00960320" w:rsidRPr="00960320" w:rsidRDefault="00960320" w:rsidP="00960320">
      <w:pPr>
        <w:widowControl w:val="0"/>
        <w:autoSpaceDE w:val="0"/>
        <w:autoSpaceDN w:val="0"/>
        <w:spacing w:after="0" w:line="360" w:lineRule="auto"/>
        <w:jc w:val="both"/>
        <w:rPr>
          <w:rFonts w:ascii="Times New Roman" w:hAnsi="Times New Roman" w:cs="Times New Roman"/>
          <w:color w:val="000000" w:themeColor="text1"/>
          <w:kern w:val="2"/>
          <w14:ligatures w14:val="standardContextual"/>
        </w:rPr>
      </w:pPr>
      <w:r w:rsidRPr="00960320">
        <w:rPr>
          <w:rFonts w:ascii="Times New Roman" w:hAnsi="Times New Roman" w:cs="Times New Roman"/>
          <w:color w:val="000000" w:themeColor="text1"/>
          <w:kern w:val="2"/>
          <w14:ligatures w14:val="standardContextual"/>
        </w:rPr>
        <w:t>Myers, R. H. (1990). Classical and modern regression with applications (2nd ed.). Duxbury Press.</w:t>
      </w:r>
    </w:p>
    <w:p w14:paraId="1DCFC41C" w14:textId="77777777" w:rsidR="00960320" w:rsidRPr="00960320" w:rsidRDefault="00960320" w:rsidP="00960320">
      <w:pPr>
        <w:widowControl w:val="0"/>
        <w:autoSpaceDE w:val="0"/>
        <w:autoSpaceDN w:val="0"/>
        <w:spacing w:after="0" w:line="360" w:lineRule="auto"/>
        <w:jc w:val="both"/>
        <w:rPr>
          <w:rFonts w:ascii="Times New Roman" w:hAnsi="Times New Roman" w:cs="Times New Roman"/>
          <w:color w:val="000000" w:themeColor="text1"/>
          <w:kern w:val="2"/>
          <w14:ligatures w14:val="standardContextual"/>
        </w:rPr>
      </w:pPr>
      <w:r w:rsidRPr="00960320">
        <w:rPr>
          <w:rFonts w:ascii="Times New Roman" w:hAnsi="Times New Roman" w:cs="Times New Roman"/>
          <w:color w:val="000000" w:themeColor="text1"/>
          <w:kern w:val="2"/>
          <w14:ligatures w14:val="standardContextual"/>
        </w:rPr>
        <w:t>Nunnally, J. C., &amp; Bernstein, I. H. (1994). Psychometric theory (3rd ed.).      McGraw-Hill.</w:t>
      </w:r>
    </w:p>
    <w:p w14:paraId="46A31E98" w14:textId="77777777" w:rsidR="00960320" w:rsidRPr="00960320" w:rsidRDefault="00960320" w:rsidP="00960320">
      <w:pPr>
        <w:widowControl w:val="0"/>
        <w:autoSpaceDE w:val="0"/>
        <w:autoSpaceDN w:val="0"/>
        <w:spacing w:after="0" w:line="360" w:lineRule="auto"/>
        <w:jc w:val="both"/>
        <w:rPr>
          <w:rFonts w:ascii="Times New Roman" w:hAnsi="Times New Roman" w:cs="Times New Roman"/>
          <w:color w:val="000000" w:themeColor="text1"/>
          <w:kern w:val="2"/>
          <w14:ligatures w14:val="standardContextual"/>
        </w:rPr>
      </w:pPr>
      <w:r w:rsidRPr="00960320">
        <w:rPr>
          <w:rFonts w:ascii="Times New Roman" w:hAnsi="Times New Roman" w:cs="Times New Roman"/>
          <w:color w:val="000000" w:themeColor="text1"/>
          <w:kern w:val="2"/>
          <w14:ligatures w14:val="standardContextual"/>
        </w:rPr>
        <w:t>OECD (2008). Handbook on Constructing Composite Indicators</w:t>
      </w:r>
    </w:p>
    <w:p w14:paraId="7AD97E70" w14:textId="77777777" w:rsidR="00960320" w:rsidRPr="00960320" w:rsidRDefault="00960320" w:rsidP="00960320">
      <w:pPr>
        <w:widowControl w:val="0"/>
        <w:autoSpaceDE w:val="0"/>
        <w:autoSpaceDN w:val="0"/>
        <w:spacing w:after="0" w:line="360" w:lineRule="auto"/>
        <w:jc w:val="both"/>
        <w:rPr>
          <w:rFonts w:ascii="Times New Roman" w:hAnsi="Times New Roman" w:cs="Times New Roman"/>
          <w:color w:val="000000" w:themeColor="text1"/>
          <w:kern w:val="2"/>
          <w14:ligatures w14:val="standardContextual"/>
        </w:rPr>
      </w:pPr>
      <w:r w:rsidRPr="00960320">
        <w:rPr>
          <w:rFonts w:ascii="Times New Roman" w:hAnsi="Times New Roman" w:cs="Times New Roman"/>
          <w:color w:val="000000" w:themeColor="text1"/>
          <w:kern w:val="2"/>
          <w14:ligatures w14:val="standardContextual"/>
        </w:rPr>
        <w:t>Omol, E. O., Cavalcante, I. M., &amp; da Silva, F. Q. B. (2021).</w:t>
      </w:r>
    </w:p>
    <w:p w14:paraId="04D48AFF" w14:textId="77777777" w:rsidR="00960320" w:rsidRPr="00960320" w:rsidRDefault="00960320" w:rsidP="00960320">
      <w:pPr>
        <w:widowControl w:val="0"/>
        <w:autoSpaceDE w:val="0"/>
        <w:autoSpaceDN w:val="0"/>
        <w:spacing w:after="0" w:line="360" w:lineRule="auto"/>
        <w:jc w:val="both"/>
        <w:rPr>
          <w:rFonts w:ascii="Times New Roman" w:hAnsi="Times New Roman" w:cs="Times New Roman"/>
          <w:color w:val="000000" w:themeColor="text1"/>
          <w:kern w:val="2"/>
          <w14:ligatures w14:val="standardContextual"/>
        </w:rPr>
      </w:pPr>
      <w:r w:rsidRPr="00960320">
        <w:rPr>
          <w:rFonts w:ascii="Times New Roman" w:hAnsi="Times New Roman" w:cs="Times New Roman"/>
          <w:color w:val="000000" w:themeColor="text1"/>
          <w:kern w:val="2"/>
          <w14:ligatures w14:val="standardContextual"/>
        </w:rPr>
        <w:t>A digital maturity model for organizations: A systematic literature review.</w:t>
      </w:r>
    </w:p>
    <w:p w14:paraId="68E5194C" w14:textId="77777777" w:rsidR="00960320" w:rsidRPr="00960320" w:rsidRDefault="00960320" w:rsidP="00960320">
      <w:pPr>
        <w:widowControl w:val="0"/>
        <w:autoSpaceDE w:val="0"/>
        <w:autoSpaceDN w:val="0"/>
        <w:spacing w:after="0" w:line="360" w:lineRule="auto"/>
        <w:jc w:val="both"/>
        <w:rPr>
          <w:rFonts w:ascii="Times New Roman" w:hAnsi="Times New Roman" w:cs="Times New Roman"/>
          <w:color w:val="000000" w:themeColor="text1"/>
          <w:kern w:val="2"/>
          <w14:ligatures w14:val="standardContextual"/>
        </w:rPr>
      </w:pPr>
      <w:r w:rsidRPr="00960320">
        <w:rPr>
          <w:rFonts w:ascii="Times New Roman" w:hAnsi="Times New Roman" w:cs="Times New Roman"/>
          <w:color w:val="000000" w:themeColor="text1"/>
          <w:kern w:val="2"/>
          <w14:ligatures w14:val="standardContextual"/>
        </w:rPr>
        <w:t>Journal of Enterprise Information Management, 34(4), 1218–1240.</w:t>
      </w:r>
    </w:p>
    <w:p w14:paraId="38086F72" w14:textId="77777777" w:rsidR="00960320" w:rsidRPr="00960320" w:rsidRDefault="00960320" w:rsidP="00960320">
      <w:pPr>
        <w:widowControl w:val="0"/>
        <w:autoSpaceDE w:val="0"/>
        <w:autoSpaceDN w:val="0"/>
        <w:spacing w:after="0" w:line="360" w:lineRule="auto"/>
        <w:jc w:val="both"/>
        <w:rPr>
          <w:rFonts w:ascii="Times New Roman" w:hAnsi="Times New Roman" w:cs="Times New Roman"/>
          <w:color w:val="000000" w:themeColor="text1"/>
          <w:kern w:val="2"/>
          <w14:ligatures w14:val="standardContextual"/>
        </w:rPr>
      </w:pPr>
      <w:r w:rsidRPr="00960320">
        <w:rPr>
          <w:rFonts w:ascii="Times New Roman" w:hAnsi="Times New Roman" w:cs="Times New Roman"/>
          <w:color w:val="000000" w:themeColor="text1"/>
          <w:kern w:val="2"/>
          <w14:ligatures w14:val="standardContextual"/>
        </w:rPr>
        <w:t>https://doi.org/10.1108/JEIM-10-2019-0324</w:t>
      </w:r>
    </w:p>
    <w:p w14:paraId="36A84567" w14:textId="77777777" w:rsidR="00960320" w:rsidRPr="00960320" w:rsidRDefault="00960320" w:rsidP="00960320">
      <w:pPr>
        <w:widowControl w:val="0"/>
        <w:autoSpaceDE w:val="0"/>
        <w:autoSpaceDN w:val="0"/>
        <w:spacing w:after="0" w:line="360" w:lineRule="auto"/>
        <w:jc w:val="both"/>
        <w:rPr>
          <w:rFonts w:ascii="Times New Roman" w:hAnsi="Times New Roman" w:cs="Times New Roman"/>
          <w:color w:val="000000" w:themeColor="text1"/>
          <w:kern w:val="2"/>
          <w14:ligatures w14:val="standardContextual"/>
        </w:rPr>
      </w:pPr>
      <w:r w:rsidRPr="00960320">
        <w:rPr>
          <w:rFonts w:ascii="Times New Roman" w:hAnsi="Times New Roman" w:cs="Times New Roman"/>
          <w:color w:val="000000" w:themeColor="text1"/>
          <w:kern w:val="2"/>
          <w14:ligatures w14:val="standardContextual"/>
        </w:rPr>
        <w:t>Quinton, S., et al. (2018). "Conceptualising a digital orientation: antecedents of supporting SME performance in the digital economy." Journal of Strategic Marketing, 26(5), 427-439.</w:t>
      </w:r>
    </w:p>
    <w:p w14:paraId="707B43DA" w14:textId="77777777" w:rsidR="00960320" w:rsidRPr="00960320" w:rsidRDefault="00960320" w:rsidP="00960320">
      <w:pPr>
        <w:widowControl w:val="0"/>
        <w:autoSpaceDE w:val="0"/>
        <w:autoSpaceDN w:val="0"/>
        <w:spacing w:after="0" w:line="360" w:lineRule="auto"/>
        <w:jc w:val="both"/>
        <w:rPr>
          <w:rFonts w:ascii="Times New Roman" w:hAnsi="Times New Roman" w:cs="Times New Roman"/>
          <w:color w:val="000000" w:themeColor="text1"/>
          <w:kern w:val="2"/>
          <w14:ligatures w14:val="standardContextual"/>
        </w:rPr>
      </w:pPr>
      <w:r w:rsidRPr="00960320">
        <w:rPr>
          <w:rFonts w:ascii="Times New Roman" w:hAnsi="Times New Roman" w:cs="Times New Roman"/>
          <w:color w:val="000000" w:themeColor="text1"/>
          <w:kern w:val="2"/>
          <w14:ligatures w14:val="standardContextual"/>
        </w:rPr>
        <w:t>Raisch, S., &amp; Krakowski, S. (2021). "Artificial Intelligence and Management: The Automation–</w:t>
      </w:r>
      <w:r w:rsidRPr="00960320">
        <w:rPr>
          <w:rFonts w:ascii="Times New Roman" w:hAnsi="Times New Roman" w:cs="Times New Roman"/>
          <w:color w:val="000000" w:themeColor="text1"/>
          <w:kern w:val="2"/>
          <w14:ligatures w14:val="standardContextual"/>
        </w:rPr>
        <w:lastRenderedPageBreak/>
        <w:t>Augmentation Paradox." Academy of Management Review, 46(1), 192-210</w:t>
      </w:r>
    </w:p>
    <w:p w14:paraId="43E6EE51" w14:textId="77777777" w:rsidR="00960320" w:rsidRPr="00960320" w:rsidRDefault="00960320" w:rsidP="00960320">
      <w:pPr>
        <w:widowControl w:val="0"/>
        <w:autoSpaceDE w:val="0"/>
        <w:autoSpaceDN w:val="0"/>
        <w:spacing w:after="0" w:line="360" w:lineRule="auto"/>
        <w:jc w:val="both"/>
        <w:rPr>
          <w:rFonts w:ascii="Times New Roman" w:hAnsi="Times New Roman" w:cs="Times New Roman"/>
          <w:color w:val="000000" w:themeColor="text1"/>
          <w:kern w:val="2"/>
          <w14:ligatures w14:val="standardContextual"/>
        </w:rPr>
      </w:pPr>
      <w:r w:rsidRPr="00960320">
        <w:rPr>
          <w:rFonts w:ascii="Times New Roman" w:hAnsi="Times New Roman" w:cs="Times New Roman"/>
          <w:color w:val="000000" w:themeColor="text1"/>
          <w:kern w:val="2"/>
          <w14:ligatures w14:val="standardContextual"/>
        </w:rPr>
        <w:t>Rousseeuw, P. J., &amp; Hubert, M. (2011). Robust statistics for outlier detection. Wiley Interdisciplinary Reviews: Data Mining and Knowledge Discovery, 1(1), 73-79. https://doi.org/10.1002/widm.2</w:t>
      </w:r>
    </w:p>
    <w:p w14:paraId="0D517777" w14:textId="77777777" w:rsidR="00960320" w:rsidRPr="00960320" w:rsidRDefault="00960320" w:rsidP="00960320">
      <w:pPr>
        <w:widowControl w:val="0"/>
        <w:autoSpaceDE w:val="0"/>
        <w:autoSpaceDN w:val="0"/>
        <w:spacing w:after="0" w:line="360" w:lineRule="auto"/>
        <w:jc w:val="both"/>
        <w:rPr>
          <w:rFonts w:ascii="Times New Roman" w:hAnsi="Times New Roman" w:cs="Times New Roman"/>
          <w:color w:val="000000" w:themeColor="text1"/>
          <w:kern w:val="2"/>
          <w14:ligatures w14:val="standardContextual"/>
        </w:rPr>
      </w:pPr>
      <w:r w:rsidRPr="00960320">
        <w:rPr>
          <w:rFonts w:ascii="Times New Roman" w:hAnsi="Times New Roman" w:cs="Times New Roman"/>
          <w:color w:val="000000" w:themeColor="text1"/>
          <w:kern w:val="2"/>
          <w14:ligatures w14:val="standardContextual"/>
        </w:rPr>
        <w:t>Solow, R. M. (1957). Technical change and the aggregate production function. The Review of Economics and Statistics, 39(3), 312-320. https://doi.org/10.2307/1926047</w:t>
      </w:r>
    </w:p>
    <w:p w14:paraId="0960C223" w14:textId="77777777" w:rsidR="00960320" w:rsidRPr="00960320" w:rsidRDefault="00960320" w:rsidP="00960320">
      <w:pPr>
        <w:widowControl w:val="0"/>
        <w:autoSpaceDE w:val="0"/>
        <w:autoSpaceDN w:val="0"/>
        <w:spacing w:after="0" w:line="360" w:lineRule="auto"/>
        <w:jc w:val="both"/>
        <w:rPr>
          <w:rFonts w:ascii="Times New Roman" w:hAnsi="Times New Roman" w:cs="Times New Roman"/>
          <w:color w:val="000000" w:themeColor="text1"/>
          <w:kern w:val="2"/>
          <w14:ligatures w14:val="standardContextual"/>
        </w:rPr>
      </w:pPr>
      <w:r w:rsidRPr="00960320">
        <w:rPr>
          <w:rFonts w:ascii="Times New Roman" w:hAnsi="Times New Roman" w:cs="Times New Roman"/>
          <w:color w:val="000000" w:themeColor="text1"/>
          <w:kern w:val="2"/>
          <w14:ligatures w14:val="standardContextual"/>
        </w:rPr>
        <w:t>Senna, P., De Sousa Jabbour, A. B. L., Guimarães, J. C. F., &amp; Chiappetta Jabbour, C. J. (2019).</w:t>
      </w:r>
    </w:p>
    <w:p w14:paraId="60046B24" w14:textId="77777777" w:rsidR="00960320" w:rsidRPr="00960320" w:rsidRDefault="00960320" w:rsidP="00960320">
      <w:pPr>
        <w:widowControl w:val="0"/>
        <w:autoSpaceDE w:val="0"/>
        <w:autoSpaceDN w:val="0"/>
        <w:spacing w:after="0" w:line="360" w:lineRule="auto"/>
        <w:jc w:val="both"/>
        <w:rPr>
          <w:rFonts w:ascii="Times New Roman" w:hAnsi="Times New Roman" w:cs="Times New Roman"/>
          <w:color w:val="000000" w:themeColor="text1"/>
          <w:kern w:val="2"/>
          <w14:ligatures w14:val="standardContextual"/>
        </w:rPr>
      </w:pPr>
      <w:r w:rsidRPr="00960320">
        <w:rPr>
          <w:rFonts w:ascii="Times New Roman" w:hAnsi="Times New Roman" w:cs="Times New Roman"/>
          <w:color w:val="000000" w:themeColor="text1"/>
          <w:kern w:val="2"/>
          <w14:ligatures w14:val="standardContextual"/>
        </w:rPr>
        <w:t>Organizational readiness for Industry 4.0: A framework for manufacturing companies.</w:t>
      </w:r>
    </w:p>
    <w:p w14:paraId="248F2749" w14:textId="77777777" w:rsidR="00960320" w:rsidRPr="00960320" w:rsidRDefault="00960320" w:rsidP="00960320">
      <w:pPr>
        <w:widowControl w:val="0"/>
        <w:autoSpaceDE w:val="0"/>
        <w:autoSpaceDN w:val="0"/>
        <w:spacing w:after="0" w:line="360" w:lineRule="auto"/>
        <w:jc w:val="both"/>
        <w:rPr>
          <w:rFonts w:ascii="Times New Roman" w:hAnsi="Times New Roman" w:cs="Times New Roman"/>
          <w:color w:val="000000" w:themeColor="text1"/>
          <w:kern w:val="2"/>
          <w14:ligatures w14:val="standardContextual"/>
        </w:rPr>
      </w:pPr>
      <w:r w:rsidRPr="00960320">
        <w:rPr>
          <w:rFonts w:ascii="Times New Roman" w:hAnsi="Times New Roman" w:cs="Times New Roman"/>
          <w:color w:val="000000" w:themeColor="text1"/>
          <w:kern w:val="2"/>
          <w14:ligatures w14:val="standardContextual"/>
        </w:rPr>
        <w:t>Technological Forecasting and Social Change, 146, 1–12.</w:t>
      </w:r>
    </w:p>
    <w:p w14:paraId="22E2E1E1" w14:textId="77777777" w:rsidR="00960320" w:rsidRPr="00960320" w:rsidRDefault="00960320" w:rsidP="00960320">
      <w:pPr>
        <w:widowControl w:val="0"/>
        <w:autoSpaceDE w:val="0"/>
        <w:autoSpaceDN w:val="0"/>
        <w:spacing w:after="0" w:line="360" w:lineRule="auto"/>
        <w:jc w:val="both"/>
        <w:rPr>
          <w:rFonts w:ascii="Times New Roman" w:hAnsi="Times New Roman" w:cs="Times New Roman"/>
          <w:color w:val="000000" w:themeColor="text1"/>
          <w:kern w:val="2"/>
          <w14:ligatures w14:val="standardContextual"/>
        </w:rPr>
      </w:pPr>
      <w:r w:rsidRPr="00960320">
        <w:rPr>
          <w:rFonts w:ascii="Times New Roman" w:hAnsi="Times New Roman" w:cs="Times New Roman"/>
          <w:color w:val="000000" w:themeColor="text1"/>
          <w:kern w:val="2"/>
          <w14:ligatures w14:val="standardContextual"/>
        </w:rPr>
        <w:t>https://doi.org/10.1016/j.techfore.2019.05.004</w:t>
      </w:r>
    </w:p>
    <w:p w14:paraId="75003DB7" w14:textId="77777777" w:rsidR="00960320" w:rsidRPr="00960320" w:rsidRDefault="00960320" w:rsidP="00960320">
      <w:pPr>
        <w:widowControl w:val="0"/>
        <w:autoSpaceDE w:val="0"/>
        <w:autoSpaceDN w:val="0"/>
        <w:spacing w:after="0" w:line="360" w:lineRule="auto"/>
        <w:jc w:val="both"/>
        <w:rPr>
          <w:rFonts w:ascii="Times New Roman" w:hAnsi="Times New Roman" w:cs="Times New Roman"/>
          <w:color w:val="000000" w:themeColor="text1"/>
          <w:kern w:val="2"/>
          <w14:ligatures w14:val="standardContextual"/>
        </w:rPr>
      </w:pPr>
      <w:r w:rsidRPr="00960320">
        <w:rPr>
          <w:rFonts w:ascii="Times New Roman" w:hAnsi="Times New Roman" w:cs="Times New Roman"/>
          <w:color w:val="000000" w:themeColor="text1"/>
          <w:kern w:val="2"/>
          <w14:ligatures w14:val="standardContextual"/>
        </w:rPr>
        <w:t>Sevinç, O. &amp; Çakır, E. (2021). Rising Labor Share in Turkey.  Research Notes in Economics. TCMB 2021 (01).</w:t>
      </w:r>
    </w:p>
    <w:p w14:paraId="254C928A" w14:textId="77777777" w:rsidR="00960320" w:rsidRPr="00960320" w:rsidRDefault="00960320" w:rsidP="00960320">
      <w:pPr>
        <w:widowControl w:val="0"/>
        <w:autoSpaceDE w:val="0"/>
        <w:autoSpaceDN w:val="0"/>
        <w:spacing w:after="0" w:line="360" w:lineRule="auto"/>
        <w:jc w:val="both"/>
        <w:rPr>
          <w:rFonts w:ascii="Times New Roman" w:hAnsi="Times New Roman" w:cs="Times New Roman"/>
          <w:color w:val="000000" w:themeColor="text1"/>
          <w:kern w:val="2"/>
          <w14:ligatures w14:val="standardContextual"/>
        </w:rPr>
      </w:pPr>
      <w:r w:rsidRPr="00960320">
        <w:rPr>
          <w:rFonts w:ascii="Times New Roman" w:hAnsi="Times New Roman" w:cs="Times New Roman"/>
          <w:color w:val="000000" w:themeColor="text1"/>
          <w:kern w:val="2"/>
          <w14:ligatures w14:val="standardContextual"/>
        </w:rPr>
        <w:t xml:space="preserve">Shiguang Li, Zheng Yang &amp; Yixiang Tian (2023) Digital transformation and corporate performance: evidence from China, China Economic Journal, 16:3, 312-334, DOI: 10.1080/17538963.2023.2254138 </w:t>
      </w:r>
    </w:p>
    <w:p w14:paraId="059E71C2" w14:textId="77777777" w:rsidR="00960320" w:rsidRPr="00960320" w:rsidRDefault="00960320" w:rsidP="00960320">
      <w:pPr>
        <w:widowControl w:val="0"/>
        <w:autoSpaceDE w:val="0"/>
        <w:autoSpaceDN w:val="0"/>
        <w:spacing w:after="0" w:line="360" w:lineRule="auto"/>
        <w:jc w:val="both"/>
        <w:rPr>
          <w:rFonts w:ascii="Times New Roman" w:hAnsi="Times New Roman" w:cs="Times New Roman"/>
          <w:color w:val="000000" w:themeColor="text1"/>
          <w:kern w:val="2"/>
          <w14:ligatures w14:val="standardContextual"/>
        </w:rPr>
      </w:pPr>
      <w:r w:rsidRPr="00960320">
        <w:rPr>
          <w:rFonts w:ascii="Times New Roman" w:hAnsi="Times New Roman" w:cs="Times New Roman"/>
          <w:color w:val="000000" w:themeColor="text1"/>
          <w:kern w:val="2"/>
          <w14:ligatures w14:val="standardContextual"/>
        </w:rPr>
        <w:t xml:space="preserve">Streiner, D. L. (2003). Starting at the beginning: An introduction to      coefficient alpha and internal consistency. Journal of Personality      Assessment, 80(1), 99-103. doi:10.1207/S15327752JPA8001_18 </w:t>
      </w:r>
    </w:p>
    <w:p w14:paraId="2A7EC6BE" w14:textId="77777777" w:rsidR="00960320" w:rsidRPr="00960320" w:rsidRDefault="00960320" w:rsidP="00960320">
      <w:pPr>
        <w:widowControl w:val="0"/>
        <w:autoSpaceDE w:val="0"/>
        <w:autoSpaceDN w:val="0"/>
        <w:spacing w:after="0" w:line="360" w:lineRule="auto"/>
        <w:jc w:val="both"/>
        <w:rPr>
          <w:rFonts w:ascii="Times New Roman" w:hAnsi="Times New Roman" w:cs="Times New Roman"/>
          <w:color w:val="000000" w:themeColor="text1"/>
          <w:kern w:val="2"/>
          <w14:ligatures w14:val="standardContextual"/>
        </w:rPr>
      </w:pPr>
      <w:r w:rsidRPr="00960320">
        <w:rPr>
          <w:rFonts w:ascii="Times New Roman" w:hAnsi="Times New Roman" w:cs="Times New Roman"/>
          <w:color w:val="000000" w:themeColor="text1"/>
          <w:kern w:val="2"/>
          <w14:ligatures w14:val="standardContextual"/>
        </w:rPr>
        <w:t>Syverson, C. (2011). "What Determines Productivity?" Journal of Economic Literature. 49(2). June 2011: 326–365</w:t>
      </w:r>
    </w:p>
    <w:p w14:paraId="5C9B2164" w14:textId="77777777" w:rsidR="00960320" w:rsidRPr="00960320" w:rsidRDefault="00960320" w:rsidP="00960320">
      <w:pPr>
        <w:widowControl w:val="0"/>
        <w:autoSpaceDE w:val="0"/>
        <w:autoSpaceDN w:val="0"/>
        <w:spacing w:after="0" w:line="360" w:lineRule="auto"/>
        <w:jc w:val="both"/>
        <w:rPr>
          <w:rFonts w:ascii="Times New Roman" w:hAnsi="Times New Roman" w:cs="Times New Roman"/>
          <w:color w:val="000000" w:themeColor="text1"/>
          <w:kern w:val="2"/>
          <w14:ligatures w14:val="standardContextual"/>
        </w:rPr>
      </w:pPr>
      <w:r w:rsidRPr="00960320">
        <w:rPr>
          <w:rFonts w:ascii="Times New Roman" w:hAnsi="Times New Roman" w:cs="Times New Roman"/>
          <w:color w:val="000000" w:themeColor="text1"/>
          <w:kern w:val="2"/>
          <w14:ligatures w14:val="standardContextual"/>
        </w:rPr>
        <w:t>Tavakol, M., &amp; Dennick, R. (2011). Making sense of Cronbach's alpha.      International Journal of Medical Education, 2, 53-55.  https://doi.org/10.5116/ijme.4dfb.8dfd</w:t>
      </w:r>
    </w:p>
    <w:p w14:paraId="465CE646" w14:textId="77777777" w:rsidR="00960320" w:rsidRPr="00960320" w:rsidRDefault="00960320" w:rsidP="00960320">
      <w:pPr>
        <w:widowControl w:val="0"/>
        <w:autoSpaceDE w:val="0"/>
        <w:autoSpaceDN w:val="0"/>
        <w:spacing w:after="0" w:line="360" w:lineRule="auto"/>
        <w:jc w:val="both"/>
        <w:rPr>
          <w:rFonts w:ascii="Times New Roman" w:hAnsi="Times New Roman" w:cs="Times New Roman"/>
          <w:color w:val="000000" w:themeColor="text1"/>
          <w:kern w:val="2"/>
          <w14:ligatures w14:val="standardContextual"/>
        </w:rPr>
      </w:pPr>
      <w:r w:rsidRPr="00960320">
        <w:rPr>
          <w:rFonts w:ascii="Times New Roman" w:hAnsi="Times New Roman" w:cs="Times New Roman"/>
          <w:color w:val="000000" w:themeColor="text1"/>
          <w:kern w:val="2"/>
          <w14:ligatures w14:val="standardContextual"/>
        </w:rPr>
        <w:t>TUIK (2026). https://data.tuik.gov.tr/Bulten/Index?p=Kucuk-ve-Orta-Buyuklukteki-Girisim-Istatistikleri-2023-53543. Erişim tarihi: 07.11.2025.</w:t>
      </w:r>
    </w:p>
    <w:p w14:paraId="74FAE950" w14:textId="77777777" w:rsidR="00960320" w:rsidRPr="00960320" w:rsidRDefault="00960320" w:rsidP="00960320">
      <w:pPr>
        <w:widowControl w:val="0"/>
        <w:autoSpaceDE w:val="0"/>
        <w:autoSpaceDN w:val="0"/>
        <w:spacing w:after="0" w:line="360" w:lineRule="auto"/>
        <w:jc w:val="both"/>
        <w:rPr>
          <w:rFonts w:ascii="Times New Roman" w:hAnsi="Times New Roman" w:cs="Times New Roman"/>
          <w:color w:val="000000" w:themeColor="text1"/>
          <w:kern w:val="2"/>
          <w14:ligatures w14:val="standardContextual"/>
        </w:rPr>
      </w:pPr>
      <w:r w:rsidRPr="00960320">
        <w:rPr>
          <w:rFonts w:ascii="Times New Roman" w:hAnsi="Times New Roman" w:cs="Times New Roman"/>
          <w:color w:val="000000" w:themeColor="text1"/>
          <w:kern w:val="2"/>
          <w14:ligatures w14:val="standardContextual"/>
        </w:rPr>
        <w:t>Tubis, A., &amp; Werbińska-Wojciechowska, S. (2021). Digital maturity assessment model for organizations. Energies, 14(9), 2672. https://doi.org/10.3390/en14092672</w:t>
      </w:r>
    </w:p>
    <w:p w14:paraId="58D592C1" w14:textId="77777777" w:rsidR="00960320" w:rsidRPr="00960320" w:rsidRDefault="00960320" w:rsidP="00960320">
      <w:pPr>
        <w:widowControl w:val="0"/>
        <w:autoSpaceDE w:val="0"/>
        <w:autoSpaceDN w:val="0"/>
        <w:spacing w:after="0" w:line="360" w:lineRule="auto"/>
        <w:jc w:val="both"/>
        <w:rPr>
          <w:rFonts w:ascii="Times New Roman" w:hAnsi="Times New Roman" w:cs="Times New Roman"/>
          <w:color w:val="000000" w:themeColor="text1"/>
          <w:kern w:val="2"/>
          <w14:ligatures w14:val="standardContextual"/>
        </w:rPr>
      </w:pPr>
      <w:r w:rsidRPr="00960320">
        <w:rPr>
          <w:rFonts w:ascii="Times New Roman" w:hAnsi="Times New Roman" w:cs="Times New Roman"/>
          <w:color w:val="000000" w:themeColor="text1"/>
          <w:kern w:val="2"/>
          <w14:ligatures w14:val="standardContextual"/>
        </w:rPr>
        <w:t>Türmob (2022). Sosyal Güvenlik Kurumu Asgari İşçilik Tespit Komisyonunca Belirlenen Çeşitli İşkollarına Ait Asgari İşçilik Oranlarını Gösterir Tebliğ1. https://www.turmob.org.tr/arsiv/mbs/pratikBilgiler/cesitli%20is%20kollar%C4%B1-2022.pdf. Erişim tarihi: 28.12.2025</w:t>
      </w:r>
    </w:p>
    <w:p w14:paraId="146BD726" w14:textId="77777777" w:rsidR="00960320" w:rsidRPr="00960320" w:rsidRDefault="00960320" w:rsidP="00960320">
      <w:pPr>
        <w:widowControl w:val="0"/>
        <w:autoSpaceDE w:val="0"/>
        <w:autoSpaceDN w:val="0"/>
        <w:spacing w:after="0" w:line="360" w:lineRule="auto"/>
        <w:jc w:val="both"/>
        <w:rPr>
          <w:rFonts w:ascii="Times New Roman" w:hAnsi="Times New Roman" w:cs="Times New Roman"/>
          <w:color w:val="000000" w:themeColor="text1"/>
          <w:kern w:val="2"/>
          <w14:ligatures w14:val="standardContextual"/>
        </w:rPr>
      </w:pPr>
      <w:r w:rsidRPr="00960320">
        <w:rPr>
          <w:rFonts w:ascii="Times New Roman" w:hAnsi="Times New Roman" w:cs="Times New Roman"/>
          <w:color w:val="000000" w:themeColor="text1"/>
          <w:kern w:val="2"/>
          <w14:ligatures w14:val="standardContextual"/>
        </w:rPr>
        <w:t>Unruh, G., &amp; Kiron, D. (2017). Digital Transformation on Purpose.</w:t>
      </w:r>
    </w:p>
    <w:p w14:paraId="082988E7" w14:textId="77777777" w:rsidR="00960320" w:rsidRPr="00960320" w:rsidRDefault="00960320" w:rsidP="00960320">
      <w:pPr>
        <w:widowControl w:val="0"/>
        <w:autoSpaceDE w:val="0"/>
        <w:autoSpaceDN w:val="0"/>
        <w:spacing w:after="0" w:line="360" w:lineRule="auto"/>
        <w:jc w:val="both"/>
        <w:rPr>
          <w:rFonts w:ascii="Times New Roman" w:hAnsi="Times New Roman" w:cs="Times New Roman"/>
          <w:color w:val="000000" w:themeColor="text1"/>
          <w:kern w:val="2"/>
          <w14:ligatures w14:val="standardContextual"/>
        </w:rPr>
      </w:pPr>
      <w:r w:rsidRPr="00960320">
        <w:rPr>
          <w:rFonts w:ascii="Times New Roman" w:hAnsi="Times New Roman" w:cs="Times New Roman"/>
          <w:color w:val="000000" w:themeColor="text1"/>
          <w:kern w:val="2"/>
          <w14:ligatures w14:val="standardContextual"/>
        </w:rPr>
        <w:t>http://sloanreview.mit.Edu/article/digital-transformation-on-purpose/</w:t>
      </w:r>
    </w:p>
    <w:p w14:paraId="3C75ACF5" w14:textId="77777777" w:rsidR="00960320" w:rsidRPr="00960320" w:rsidRDefault="00960320" w:rsidP="00960320">
      <w:pPr>
        <w:widowControl w:val="0"/>
        <w:autoSpaceDE w:val="0"/>
        <w:autoSpaceDN w:val="0"/>
        <w:spacing w:after="0" w:line="360" w:lineRule="auto"/>
        <w:jc w:val="both"/>
        <w:rPr>
          <w:rFonts w:ascii="Times New Roman" w:hAnsi="Times New Roman" w:cs="Times New Roman"/>
          <w:color w:val="000000" w:themeColor="text1"/>
          <w:kern w:val="2"/>
          <w14:ligatures w14:val="standardContextual"/>
        </w:rPr>
      </w:pPr>
      <w:r w:rsidRPr="00960320">
        <w:rPr>
          <w:rFonts w:ascii="Times New Roman" w:hAnsi="Times New Roman" w:cs="Times New Roman"/>
          <w:color w:val="000000" w:themeColor="text1"/>
          <w:kern w:val="2"/>
          <w14:ligatures w14:val="standardContextual"/>
        </w:rPr>
        <w:t>van Ark, Bart, Mary O'Mahoney, and Marcel P. Timmer. 2008. "The Productivity Gap between Europe and the United States: Trends and Causes." Journal of Economic Perspectives 22 (1): 25–44.DOI: 10.1257/jep.22.1.25</w:t>
      </w:r>
    </w:p>
    <w:p w14:paraId="0978FED6" w14:textId="77777777" w:rsidR="00960320" w:rsidRPr="00960320" w:rsidRDefault="00960320" w:rsidP="00960320">
      <w:pPr>
        <w:widowControl w:val="0"/>
        <w:autoSpaceDE w:val="0"/>
        <w:autoSpaceDN w:val="0"/>
        <w:spacing w:after="0" w:line="360" w:lineRule="auto"/>
        <w:jc w:val="both"/>
        <w:rPr>
          <w:rFonts w:ascii="Times New Roman" w:hAnsi="Times New Roman" w:cs="Times New Roman"/>
          <w:color w:val="000000" w:themeColor="text1"/>
          <w:kern w:val="2"/>
          <w14:ligatures w14:val="standardContextual"/>
        </w:rPr>
      </w:pPr>
      <w:r w:rsidRPr="00960320">
        <w:rPr>
          <w:rFonts w:ascii="Times New Roman" w:hAnsi="Times New Roman" w:cs="Times New Roman"/>
          <w:color w:val="000000" w:themeColor="text1"/>
          <w:kern w:val="2"/>
          <w14:ligatures w14:val="standardContextual"/>
        </w:rPr>
        <w:t>Verhoef, P. C., Broekhuizen, T., Bart, Y., Bhattacharya, A., Dong, J. Q., Fabian, N., &amp; Haenlein, M. (2021). Digital transformation: A multidisciplinary reflection and research agenda. Journal of Business Research, 122, 889-901. https://doi.org/10.1016/j.jbusres.2019.09.022</w:t>
      </w:r>
    </w:p>
    <w:p w14:paraId="01D50454" w14:textId="77777777" w:rsidR="00960320" w:rsidRPr="00960320" w:rsidRDefault="00960320" w:rsidP="00960320">
      <w:pPr>
        <w:widowControl w:val="0"/>
        <w:autoSpaceDE w:val="0"/>
        <w:autoSpaceDN w:val="0"/>
        <w:spacing w:after="0" w:line="360" w:lineRule="auto"/>
        <w:jc w:val="both"/>
        <w:rPr>
          <w:rFonts w:ascii="Times New Roman" w:hAnsi="Times New Roman" w:cs="Times New Roman"/>
          <w:color w:val="000000" w:themeColor="text1"/>
          <w:kern w:val="2"/>
          <w14:ligatures w14:val="standardContextual"/>
        </w:rPr>
      </w:pPr>
      <w:r w:rsidRPr="00960320">
        <w:rPr>
          <w:rFonts w:ascii="Times New Roman" w:hAnsi="Times New Roman" w:cs="Times New Roman"/>
          <w:color w:val="000000" w:themeColor="text1"/>
          <w:kern w:val="2"/>
          <w14:ligatures w14:val="standardContextual"/>
        </w:rPr>
        <w:t>Westerman, G., Bonnet, D., &amp; McAfee, A. (2014). Leading Digital: Turning Technology into Business Transformation. Boston, MA: Harvard Business Review Press.</w:t>
      </w:r>
    </w:p>
    <w:p w14:paraId="6413C0E9" w14:textId="77777777" w:rsidR="00960320" w:rsidRPr="00960320" w:rsidRDefault="00960320" w:rsidP="00960320">
      <w:pPr>
        <w:widowControl w:val="0"/>
        <w:autoSpaceDE w:val="0"/>
        <w:autoSpaceDN w:val="0"/>
        <w:spacing w:after="0" w:line="360" w:lineRule="auto"/>
        <w:jc w:val="both"/>
        <w:rPr>
          <w:rFonts w:ascii="Times New Roman" w:hAnsi="Times New Roman" w:cs="Times New Roman"/>
          <w:color w:val="000000" w:themeColor="text1"/>
          <w:kern w:val="2"/>
          <w14:ligatures w14:val="standardContextual"/>
        </w:rPr>
      </w:pPr>
      <w:r w:rsidRPr="00960320">
        <w:rPr>
          <w:rFonts w:ascii="Times New Roman" w:hAnsi="Times New Roman" w:cs="Times New Roman"/>
          <w:color w:val="000000" w:themeColor="text1"/>
          <w:kern w:val="2"/>
          <w14:ligatures w14:val="standardContextual"/>
        </w:rPr>
        <w:lastRenderedPageBreak/>
        <w:t>Yılmaz, Y. (2021). Dijital Ekonomiye Geçiş Süreci, Ölçümü ve Dijitalleşme Verimlilik İlişkisi. İstanbul İktisat Dergisi, 71(1), 283-316.</w:t>
      </w:r>
    </w:p>
    <w:p w14:paraId="64DCA5E7" w14:textId="77777777" w:rsidR="00960320" w:rsidRPr="00960320" w:rsidRDefault="00960320" w:rsidP="00960320">
      <w:pPr>
        <w:widowControl w:val="0"/>
        <w:autoSpaceDE w:val="0"/>
        <w:autoSpaceDN w:val="0"/>
        <w:spacing w:after="0" w:line="360" w:lineRule="auto"/>
        <w:jc w:val="both"/>
        <w:rPr>
          <w:rFonts w:ascii="Times New Roman" w:hAnsi="Times New Roman" w:cs="Times New Roman"/>
          <w:color w:val="000000" w:themeColor="text1"/>
          <w:kern w:val="2"/>
          <w14:ligatures w14:val="standardContextual"/>
        </w:rPr>
      </w:pPr>
      <w:r w:rsidRPr="00960320">
        <w:rPr>
          <w:rFonts w:ascii="Times New Roman" w:hAnsi="Times New Roman" w:cs="Times New Roman"/>
          <w:color w:val="000000" w:themeColor="text1"/>
          <w:kern w:val="2"/>
          <w14:ligatures w14:val="standardContextual"/>
        </w:rPr>
        <w:t>Zhipeng Yu, Xiaonan Cao, Lu Tang, Taihua Yan, Zeyu Wang, Does digitalization improve supply chain efficiency?, Finance Research Letters, Volume 67, Part A, 2024,105822, ISSN 1544-6123,</w:t>
      </w:r>
    </w:p>
    <w:p w14:paraId="7FD5780A" w14:textId="77777777" w:rsidR="00960320" w:rsidRPr="00960320" w:rsidRDefault="00960320" w:rsidP="00960320">
      <w:pPr>
        <w:widowControl w:val="0"/>
        <w:autoSpaceDE w:val="0"/>
        <w:autoSpaceDN w:val="0"/>
        <w:spacing w:after="0" w:line="360" w:lineRule="auto"/>
        <w:jc w:val="both"/>
        <w:rPr>
          <w:rFonts w:ascii="Times New Roman" w:hAnsi="Times New Roman" w:cs="Times New Roman"/>
          <w:color w:val="000000" w:themeColor="text1"/>
          <w:kern w:val="2"/>
          <w14:ligatures w14:val="standardContextual"/>
        </w:rPr>
      </w:pPr>
      <w:r w:rsidRPr="00960320">
        <w:rPr>
          <w:rFonts w:ascii="Times New Roman" w:hAnsi="Times New Roman" w:cs="Times New Roman"/>
          <w:color w:val="000000" w:themeColor="text1"/>
          <w:kern w:val="2"/>
          <w14:ligatures w14:val="standardContextual"/>
        </w:rPr>
        <w:t>https://doi.org/10.1016/j.frl.2024.105822.</w:t>
      </w:r>
    </w:p>
    <w:p w14:paraId="3B6B11C4" w14:textId="77777777" w:rsidR="00960320" w:rsidRPr="00960320" w:rsidRDefault="00960320" w:rsidP="00960320">
      <w:pPr>
        <w:widowControl w:val="0"/>
        <w:autoSpaceDE w:val="0"/>
        <w:autoSpaceDN w:val="0"/>
        <w:spacing w:after="0" w:line="360" w:lineRule="auto"/>
        <w:jc w:val="both"/>
        <w:rPr>
          <w:rFonts w:ascii="Times New Roman" w:hAnsi="Times New Roman" w:cs="Times New Roman"/>
          <w:color w:val="000000" w:themeColor="text1"/>
          <w:kern w:val="2"/>
          <w14:ligatures w14:val="standardContextual"/>
        </w:rPr>
      </w:pPr>
    </w:p>
    <w:p w14:paraId="1595690B" w14:textId="77777777" w:rsidR="00960320" w:rsidRPr="00960320" w:rsidRDefault="00960320" w:rsidP="00960320">
      <w:pPr>
        <w:widowControl w:val="0"/>
        <w:autoSpaceDE w:val="0"/>
        <w:autoSpaceDN w:val="0"/>
        <w:spacing w:after="0" w:line="360" w:lineRule="auto"/>
        <w:jc w:val="both"/>
        <w:rPr>
          <w:rFonts w:ascii="Times New Roman" w:hAnsi="Times New Roman" w:cs="Times New Roman"/>
          <w:color w:val="000000" w:themeColor="text1"/>
          <w:kern w:val="2"/>
          <w14:ligatures w14:val="standardContextual"/>
        </w:rPr>
      </w:pPr>
      <w:r w:rsidRPr="00960320">
        <w:rPr>
          <w:rFonts w:ascii="Times New Roman" w:hAnsi="Times New Roman" w:cs="Times New Roman"/>
          <w:color w:val="000000" w:themeColor="text1"/>
          <w:kern w:val="2"/>
          <w14:ligatures w14:val="standardContextual"/>
        </w:rPr>
        <w:t xml:space="preserve">Araştırma ve Yayın Etiği:  </w:t>
      </w:r>
    </w:p>
    <w:p w14:paraId="1FEB807F" w14:textId="77777777" w:rsidR="00960320" w:rsidRPr="00960320" w:rsidRDefault="00960320" w:rsidP="00960320">
      <w:pPr>
        <w:widowControl w:val="0"/>
        <w:autoSpaceDE w:val="0"/>
        <w:autoSpaceDN w:val="0"/>
        <w:spacing w:after="0" w:line="360" w:lineRule="auto"/>
        <w:jc w:val="both"/>
        <w:rPr>
          <w:rFonts w:ascii="Times New Roman" w:hAnsi="Times New Roman" w:cs="Times New Roman"/>
          <w:color w:val="000000" w:themeColor="text1"/>
          <w:kern w:val="2"/>
          <w14:ligatures w14:val="standardContextual"/>
        </w:rPr>
      </w:pPr>
      <w:r w:rsidRPr="00960320">
        <w:rPr>
          <w:rFonts w:ascii="Times New Roman" w:hAnsi="Times New Roman" w:cs="Times New Roman"/>
          <w:color w:val="000000" w:themeColor="text1"/>
          <w:kern w:val="2"/>
          <w14:ligatures w14:val="standardContextual"/>
        </w:rPr>
        <w:t>Bu çalışmada, araştırma ve yayın etiği kurallarına uyulduğu yazarlar tarafından taahhüt edilmektedir.</w:t>
      </w:r>
    </w:p>
    <w:p w14:paraId="28AD5624" w14:textId="77777777" w:rsidR="00960320" w:rsidRPr="00960320" w:rsidRDefault="00960320" w:rsidP="00960320">
      <w:pPr>
        <w:widowControl w:val="0"/>
        <w:autoSpaceDE w:val="0"/>
        <w:autoSpaceDN w:val="0"/>
        <w:spacing w:after="0" w:line="360" w:lineRule="auto"/>
        <w:jc w:val="both"/>
        <w:rPr>
          <w:rFonts w:ascii="Times New Roman" w:hAnsi="Times New Roman" w:cs="Times New Roman"/>
          <w:color w:val="000000" w:themeColor="text1"/>
          <w:kern w:val="2"/>
          <w14:ligatures w14:val="standardContextual"/>
        </w:rPr>
      </w:pPr>
    </w:p>
    <w:p w14:paraId="1CCE59EE" w14:textId="77777777" w:rsidR="00960320" w:rsidRPr="00960320" w:rsidRDefault="00960320" w:rsidP="00960320">
      <w:pPr>
        <w:widowControl w:val="0"/>
        <w:autoSpaceDE w:val="0"/>
        <w:autoSpaceDN w:val="0"/>
        <w:spacing w:after="0" w:line="360" w:lineRule="auto"/>
        <w:jc w:val="both"/>
        <w:rPr>
          <w:rFonts w:ascii="Times New Roman" w:hAnsi="Times New Roman" w:cs="Times New Roman"/>
          <w:color w:val="000000" w:themeColor="text1"/>
          <w:kern w:val="2"/>
          <w14:ligatures w14:val="standardContextual"/>
        </w:rPr>
      </w:pPr>
      <w:r w:rsidRPr="00960320">
        <w:rPr>
          <w:rFonts w:ascii="Times New Roman" w:hAnsi="Times New Roman" w:cs="Times New Roman"/>
          <w:color w:val="000000" w:themeColor="text1"/>
          <w:kern w:val="2"/>
          <w14:ligatures w14:val="standardContextual"/>
        </w:rPr>
        <w:t xml:space="preserve">Research and Publication Ethics:  </w:t>
      </w:r>
    </w:p>
    <w:p w14:paraId="04F55213" w14:textId="335CB170" w:rsidR="00B47B05" w:rsidRPr="00906C1C" w:rsidRDefault="00960320" w:rsidP="00960320">
      <w:pPr>
        <w:widowControl w:val="0"/>
        <w:autoSpaceDE w:val="0"/>
        <w:autoSpaceDN w:val="0"/>
        <w:spacing w:after="0" w:line="360" w:lineRule="auto"/>
        <w:jc w:val="both"/>
        <w:rPr>
          <w:rFonts w:ascii="Times New Roman" w:eastAsia="Times New Roman" w:hAnsi="Times New Roman" w:cs="Times New Roman"/>
          <w:color w:val="000000" w:themeColor="text1"/>
          <w:sz w:val="20"/>
          <w:szCs w:val="20"/>
          <w:lang w:val="en-GB"/>
        </w:rPr>
      </w:pPr>
      <w:r w:rsidRPr="00960320">
        <w:rPr>
          <w:rFonts w:ascii="Times New Roman" w:hAnsi="Times New Roman" w:cs="Times New Roman"/>
          <w:color w:val="000000" w:themeColor="text1"/>
          <w:kern w:val="2"/>
          <w14:ligatures w14:val="standardContextual"/>
        </w:rPr>
        <w:t>In this study, the rules of research and  publication  ethics  were  fully followed  by  authors.</w:t>
      </w:r>
    </w:p>
    <w:p w14:paraId="525A5A80" w14:textId="77777777" w:rsidR="00B47B05" w:rsidRPr="00906C1C" w:rsidRDefault="00B47B05" w:rsidP="00960320">
      <w:pPr>
        <w:widowControl w:val="0"/>
        <w:autoSpaceDE w:val="0"/>
        <w:autoSpaceDN w:val="0"/>
        <w:spacing w:after="0" w:line="360" w:lineRule="auto"/>
        <w:contextualSpacing/>
        <w:jc w:val="both"/>
        <w:rPr>
          <w:rFonts w:ascii="Times New Roman" w:eastAsia="Times New Roman" w:hAnsi="Times New Roman" w:cs="Times New Roman"/>
          <w:bCs/>
          <w:color w:val="000000" w:themeColor="text1"/>
          <w:sz w:val="20"/>
          <w:szCs w:val="20"/>
          <w:lang w:val="en-GB"/>
        </w:rPr>
      </w:pPr>
    </w:p>
    <w:p w14:paraId="6F4EB1CB" w14:textId="77777777" w:rsidR="006D63E3" w:rsidRPr="00906C1C" w:rsidRDefault="006D63E3" w:rsidP="00960320">
      <w:pPr>
        <w:rPr>
          <w:color w:val="000000" w:themeColor="text1"/>
        </w:rPr>
      </w:pPr>
    </w:p>
    <w:sectPr w:rsidR="006D63E3" w:rsidRPr="00906C1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293BC9" w14:textId="77777777" w:rsidR="00FC0A2B" w:rsidRDefault="00FC0A2B" w:rsidP="00843EFF">
      <w:pPr>
        <w:spacing w:after="0" w:line="240" w:lineRule="auto"/>
      </w:pPr>
      <w:r>
        <w:separator/>
      </w:r>
    </w:p>
  </w:endnote>
  <w:endnote w:type="continuationSeparator" w:id="0">
    <w:p w14:paraId="1D1259E6" w14:textId="77777777" w:rsidR="00FC0A2B" w:rsidRDefault="00FC0A2B" w:rsidP="00843E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mbria Math">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50460B" w14:textId="77777777" w:rsidR="00FC0A2B" w:rsidRDefault="00FC0A2B" w:rsidP="00843EFF">
      <w:pPr>
        <w:spacing w:after="0" w:line="240" w:lineRule="auto"/>
      </w:pPr>
      <w:r>
        <w:separator/>
      </w:r>
    </w:p>
  </w:footnote>
  <w:footnote w:type="continuationSeparator" w:id="0">
    <w:p w14:paraId="6F4476C7" w14:textId="77777777" w:rsidR="00FC0A2B" w:rsidRDefault="00FC0A2B" w:rsidP="00843E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2E790E"/>
    <w:multiLevelType w:val="multilevel"/>
    <w:tmpl w:val="AFFC0D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EB54E3A"/>
    <w:multiLevelType w:val="hybridMultilevel"/>
    <w:tmpl w:val="C9705798"/>
    <w:lvl w:ilvl="0" w:tplc="DDC42EC4">
      <w:start w:val="1"/>
      <w:numFmt w:val="decimal"/>
      <w:lvlText w:val="%1."/>
      <w:lvlJc w:val="left"/>
      <w:pPr>
        <w:ind w:left="720" w:hanging="360"/>
      </w:pPr>
      <w:rPr>
        <w:rFonts w:hint="default"/>
        <w:b/>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2D9A2EB5"/>
    <w:multiLevelType w:val="hybridMultilevel"/>
    <w:tmpl w:val="425418F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51BC57C5"/>
    <w:multiLevelType w:val="hybridMultilevel"/>
    <w:tmpl w:val="D19017B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87B2044"/>
    <w:multiLevelType w:val="hybridMultilevel"/>
    <w:tmpl w:val="E53AA792"/>
    <w:lvl w:ilvl="0" w:tplc="5DDC2E92">
      <w:start w:val="4"/>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6D9B1131"/>
    <w:multiLevelType w:val="hybridMultilevel"/>
    <w:tmpl w:val="7C567F6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594675742">
    <w:abstractNumId w:val="1"/>
  </w:num>
  <w:num w:numId="2" w16cid:durableId="1873346807">
    <w:abstractNumId w:val="3"/>
  </w:num>
  <w:num w:numId="3" w16cid:durableId="1190804258">
    <w:abstractNumId w:val="0"/>
  </w:num>
  <w:num w:numId="4" w16cid:durableId="591162740">
    <w:abstractNumId w:val="2"/>
  </w:num>
  <w:num w:numId="5" w16cid:durableId="1363821469">
    <w:abstractNumId w:val="4"/>
  </w:num>
  <w:num w:numId="6" w16cid:durableId="103685250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2"/>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B05"/>
    <w:rsid w:val="000C75EE"/>
    <w:rsid w:val="001A5CAB"/>
    <w:rsid w:val="001B79A8"/>
    <w:rsid w:val="001D6079"/>
    <w:rsid w:val="001E73BF"/>
    <w:rsid w:val="00240164"/>
    <w:rsid w:val="00246F70"/>
    <w:rsid w:val="00295596"/>
    <w:rsid w:val="002B4DC3"/>
    <w:rsid w:val="00311DB3"/>
    <w:rsid w:val="0031678C"/>
    <w:rsid w:val="00376C9F"/>
    <w:rsid w:val="003F1173"/>
    <w:rsid w:val="00423898"/>
    <w:rsid w:val="0047493D"/>
    <w:rsid w:val="00485C37"/>
    <w:rsid w:val="0049634B"/>
    <w:rsid w:val="004C51D9"/>
    <w:rsid w:val="004D7019"/>
    <w:rsid w:val="00500B16"/>
    <w:rsid w:val="005440AF"/>
    <w:rsid w:val="00551050"/>
    <w:rsid w:val="00560885"/>
    <w:rsid w:val="005757B5"/>
    <w:rsid w:val="00585FC4"/>
    <w:rsid w:val="005A0CEA"/>
    <w:rsid w:val="005A6A46"/>
    <w:rsid w:val="005B631C"/>
    <w:rsid w:val="005D6D77"/>
    <w:rsid w:val="005F7332"/>
    <w:rsid w:val="0065724A"/>
    <w:rsid w:val="006B6906"/>
    <w:rsid w:val="006D63E3"/>
    <w:rsid w:val="007051FA"/>
    <w:rsid w:val="00771352"/>
    <w:rsid w:val="00843EFF"/>
    <w:rsid w:val="008655D8"/>
    <w:rsid w:val="008911EF"/>
    <w:rsid w:val="008A172A"/>
    <w:rsid w:val="008D7D93"/>
    <w:rsid w:val="00906C1C"/>
    <w:rsid w:val="009254CC"/>
    <w:rsid w:val="00926434"/>
    <w:rsid w:val="00960320"/>
    <w:rsid w:val="009B12BF"/>
    <w:rsid w:val="009D5A8D"/>
    <w:rsid w:val="009F51F2"/>
    <w:rsid w:val="00A809EE"/>
    <w:rsid w:val="00AD2C25"/>
    <w:rsid w:val="00AE6C30"/>
    <w:rsid w:val="00B13847"/>
    <w:rsid w:val="00B4446B"/>
    <w:rsid w:val="00B47B05"/>
    <w:rsid w:val="00B762DF"/>
    <w:rsid w:val="00BE2BD0"/>
    <w:rsid w:val="00BF3E89"/>
    <w:rsid w:val="00C17225"/>
    <w:rsid w:val="00CC4019"/>
    <w:rsid w:val="00D0544F"/>
    <w:rsid w:val="00D0681A"/>
    <w:rsid w:val="00D26315"/>
    <w:rsid w:val="00D35222"/>
    <w:rsid w:val="00D51B78"/>
    <w:rsid w:val="00E20A2A"/>
    <w:rsid w:val="00E22208"/>
    <w:rsid w:val="00E27DC6"/>
    <w:rsid w:val="00E75B24"/>
    <w:rsid w:val="00EB5148"/>
    <w:rsid w:val="00EC722D"/>
    <w:rsid w:val="00EE7B7D"/>
    <w:rsid w:val="00EF4FF1"/>
    <w:rsid w:val="00F36B4C"/>
    <w:rsid w:val="00F57533"/>
    <w:rsid w:val="00FC0A2B"/>
    <w:rsid w:val="00FE327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1C38C3"/>
  <w15:chartTrackingRefBased/>
  <w15:docId w15:val="{66539EC2-3920-44B8-9374-FAAB0426F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5C37"/>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B47B05"/>
    <w:pPr>
      <w:spacing w:after="200" w:line="276" w:lineRule="auto"/>
      <w:ind w:left="720"/>
      <w:contextualSpacing/>
    </w:pPr>
  </w:style>
  <w:style w:type="paragraph" w:styleId="stBilgi">
    <w:name w:val="header"/>
    <w:basedOn w:val="Normal"/>
    <w:link w:val="stBilgiChar"/>
    <w:uiPriority w:val="99"/>
    <w:unhideWhenUsed/>
    <w:rsid w:val="00B47B0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47B05"/>
  </w:style>
  <w:style w:type="character" w:customStyle="1" w:styleId="ListeParagrafChar">
    <w:name w:val="Liste Paragraf Char"/>
    <w:basedOn w:val="VarsaylanParagrafYazTipi"/>
    <w:link w:val="ListeParagraf"/>
    <w:uiPriority w:val="34"/>
    <w:rsid w:val="00B47B05"/>
  </w:style>
  <w:style w:type="character" w:styleId="Kpr">
    <w:name w:val="Hyperlink"/>
    <w:basedOn w:val="VarsaylanParagrafYazTipi"/>
    <w:uiPriority w:val="99"/>
    <w:unhideWhenUsed/>
    <w:rsid w:val="00B47B05"/>
    <w:rPr>
      <w:color w:val="0563C1" w:themeColor="hyperlink"/>
      <w:u w:val="single"/>
    </w:rPr>
  </w:style>
  <w:style w:type="character" w:customStyle="1" w:styleId="zmlenmeyenBahsetme1">
    <w:name w:val="Çözümlenmeyen Bahsetme1"/>
    <w:basedOn w:val="VarsaylanParagrafYazTipi"/>
    <w:uiPriority w:val="99"/>
    <w:semiHidden/>
    <w:unhideWhenUsed/>
    <w:rsid w:val="0065724A"/>
    <w:rPr>
      <w:color w:val="605E5C"/>
      <w:shd w:val="clear" w:color="auto" w:fill="E1DFDD"/>
    </w:rPr>
  </w:style>
  <w:style w:type="table" w:styleId="TabloKlavuzu">
    <w:name w:val="Table Grid"/>
    <w:basedOn w:val="NormalTablo"/>
    <w:uiPriority w:val="39"/>
    <w:rsid w:val="009F51F2"/>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zTablo1">
    <w:name w:val="Plain Table 1"/>
    <w:basedOn w:val="NormalTablo"/>
    <w:uiPriority w:val="41"/>
    <w:rsid w:val="00E75B24"/>
    <w:pPr>
      <w:spacing w:after="0" w:line="240" w:lineRule="auto"/>
    </w:pPr>
    <w:rPr>
      <w:kern w:val="2"/>
      <w:sz w:val="24"/>
      <w:szCs w:val="24"/>
      <w14:ligatures w14:val="standardContextu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FirstParagraph">
    <w:name w:val="First Paragraph"/>
    <w:basedOn w:val="GvdeMetni"/>
    <w:next w:val="GvdeMetni"/>
    <w:qFormat/>
    <w:rsid w:val="00E75B24"/>
    <w:pPr>
      <w:spacing w:before="180" w:after="180" w:line="240" w:lineRule="auto"/>
    </w:pPr>
    <w:rPr>
      <w:kern w:val="0"/>
      <w:lang w:val="en-US"/>
      <w14:ligatures w14:val="none"/>
    </w:rPr>
  </w:style>
  <w:style w:type="paragraph" w:styleId="GvdeMetni">
    <w:name w:val="Body Text"/>
    <w:basedOn w:val="Normal"/>
    <w:link w:val="GvdeMetniChar"/>
    <w:uiPriority w:val="99"/>
    <w:unhideWhenUsed/>
    <w:rsid w:val="00E75B24"/>
    <w:pPr>
      <w:spacing w:after="120" w:line="278" w:lineRule="auto"/>
    </w:pPr>
    <w:rPr>
      <w:kern w:val="2"/>
      <w:sz w:val="24"/>
      <w:szCs w:val="24"/>
      <w14:ligatures w14:val="standardContextual"/>
    </w:rPr>
  </w:style>
  <w:style w:type="character" w:customStyle="1" w:styleId="GvdeMetniChar">
    <w:name w:val="Gövde Metni Char"/>
    <w:basedOn w:val="VarsaylanParagrafYazTipi"/>
    <w:link w:val="GvdeMetni"/>
    <w:uiPriority w:val="99"/>
    <w:rsid w:val="00E75B24"/>
    <w:rPr>
      <w:kern w:val="2"/>
      <w:sz w:val="24"/>
      <w:szCs w:val="24"/>
      <w14:ligatures w14:val="standardContextual"/>
    </w:rPr>
  </w:style>
  <w:style w:type="paragraph" w:styleId="NormalWeb">
    <w:name w:val="Normal (Web)"/>
    <w:basedOn w:val="Normal"/>
    <w:uiPriority w:val="99"/>
    <w:semiHidden/>
    <w:unhideWhenUsed/>
    <w:rsid w:val="004C51D9"/>
    <w:rPr>
      <w:rFonts w:ascii="Times New Roman" w:hAnsi="Times New Roman" w:cs="Times New Roman"/>
      <w:sz w:val="24"/>
      <w:szCs w:val="24"/>
    </w:rPr>
  </w:style>
  <w:style w:type="paragraph" w:styleId="AltBilgi">
    <w:name w:val="footer"/>
    <w:basedOn w:val="Normal"/>
    <w:link w:val="AltBilgiChar"/>
    <w:uiPriority w:val="99"/>
    <w:unhideWhenUsed/>
    <w:rsid w:val="00E27DC6"/>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27D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gyilmaz.@gelisim.edu.tr." TargetMode="External"/><Relationship Id="rId13" Type="http://schemas.openxmlformats.org/officeDocument/2006/relationships/image" Target="media/image6.jpeg"/><Relationship Id="rId18"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26</Pages>
  <Words>10705</Words>
  <Characters>61023</Characters>
  <Application>Microsoft Office Word</Application>
  <DocSecurity>0</DocSecurity>
  <Lines>508</Lines>
  <Paragraphs>143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71585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ycdura</dc:creator>
  <cp:keywords/>
  <dc:description/>
  <cp:lastModifiedBy>ebru gül yılmaz</cp:lastModifiedBy>
  <cp:revision>3</cp:revision>
  <dcterms:created xsi:type="dcterms:W3CDTF">2026-03-06T08:31:00Z</dcterms:created>
  <dcterms:modified xsi:type="dcterms:W3CDTF">2026-03-11T07:01:00Z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c73a355d-dc7d-42db-9642-494b3458c397</vt:lpwstr>
  </property>
</Properties>
</file>