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D5F" w:rsidRDefault="00EF627A" w:rsidP="00EF627A">
      <w:pPr>
        <w:spacing w:before="1" w:after="60" w:line="295" w:lineRule="auto"/>
        <w:ind w:left="117" w:firstLine="567"/>
        <w:jc w:val="center"/>
        <w:rPr>
          <w:b/>
        </w:rPr>
      </w:pPr>
      <w:r w:rsidRPr="00895B91">
        <w:rPr>
          <w:b/>
        </w:rPr>
        <w:t>THE RELATIONSHIP BETWEEN INTERNATIONAL TOURISM RECEIPTS AND ECONOMIC GROWTH IN ASIA PACIFIC COUNTRIES: A PANEL DATA ANALYSIS</w:t>
      </w:r>
    </w:p>
    <w:p w:rsidR="00747549" w:rsidRDefault="00747549" w:rsidP="00747549">
      <w:pPr>
        <w:spacing w:before="1" w:line="295" w:lineRule="auto"/>
        <w:ind w:left="119"/>
        <w:jc w:val="center"/>
        <w:rPr>
          <w:b/>
        </w:rPr>
        <w:sectPr w:rsidR="00747549" w:rsidSect="00895B91">
          <w:pgSz w:w="11906" w:h="16838"/>
          <w:pgMar w:top="1701" w:right="1701" w:bottom="1701" w:left="1701" w:header="709" w:footer="709" w:gutter="0"/>
          <w:cols w:space="708"/>
          <w:docGrid w:linePitch="360"/>
        </w:sectPr>
      </w:pPr>
    </w:p>
    <w:p w:rsidR="00747549" w:rsidRDefault="008C1282" w:rsidP="00747549">
      <w:pPr>
        <w:spacing w:before="1" w:line="295" w:lineRule="auto"/>
        <w:ind w:left="119"/>
        <w:jc w:val="center"/>
        <w:rPr>
          <w:b/>
        </w:rPr>
        <w:sectPr w:rsidR="00747549" w:rsidSect="00747549">
          <w:footnotePr>
            <w:numFmt w:val="chicago"/>
          </w:footnotePr>
          <w:type w:val="continuous"/>
          <w:pgSz w:w="11906" w:h="16838"/>
          <w:pgMar w:top="1701" w:right="1701" w:bottom="1701" w:left="1701" w:header="709" w:footer="709" w:gutter="0"/>
          <w:cols w:space="708"/>
          <w:docGrid w:linePitch="360"/>
        </w:sectPr>
      </w:pPr>
      <w:r>
        <w:rPr>
          <w:b/>
        </w:rPr>
        <w:t>Semra BOĞA</w:t>
      </w:r>
      <w:r>
        <w:rPr>
          <w:rStyle w:val="DipnotBavurusu"/>
          <w:b/>
        </w:rPr>
        <w:footnoteReference w:customMarkFollows="1" w:id="1"/>
        <w:t>*</w:t>
      </w:r>
      <w:r>
        <w:t xml:space="preserve">  </w:t>
      </w:r>
      <w:r w:rsidRPr="008C1282">
        <w:rPr>
          <w:b/>
        </w:rPr>
        <w:t>&amp;</w:t>
      </w:r>
      <w:r>
        <w:rPr>
          <w:b/>
        </w:rPr>
        <w:t xml:space="preserve"> </w:t>
      </w:r>
      <w:r>
        <w:t xml:space="preserve"> </w:t>
      </w:r>
      <w:r w:rsidR="00E33BED">
        <w:rPr>
          <w:b/>
        </w:rPr>
        <w:t>Kemal</w:t>
      </w:r>
      <w:r w:rsidR="00747549" w:rsidRPr="003044EA">
        <w:rPr>
          <w:b/>
        </w:rPr>
        <w:t xml:space="preserve"> </w:t>
      </w:r>
      <w:r w:rsidR="00E33BED">
        <w:rPr>
          <w:b/>
        </w:rPr>
        <w:t>ERKİŞİ</w:t>
      </w:r>
      <w:r w:rsidR="001C6BAE">
        <w:rPr>
          <w:rStyle w:val="DipnotBavurusu"/>
          <w:b/>
        </w:rPr>
        <w:footnoteReference w:id="2"/>
      </w:r>
      <w:r w:rsidR="00747549">
        <w:rPr>
          <w:b/>
        </w:rPr>
        <w:t xml:space="preserve">   </w:t>
      </w:r>
    </w:p>
    <w:p w:rsidR="00895B91" w:rsidRPr="00EF627A" w:rsidRDefault="00895B91" w:rsidP="00EF627A">
      <w:pPr>
        <w:spacing w:before="1" w:after="60" w:line="295" w:lineRule="auto"/>
        <w:ind w:left="117" w:firstLine="567"/>
        <w:jc w:val="both"/>
        <w:rPr>
          <w:b/>
          <w:i/>
          <w:sz w:val="26"/>
        </w:rPr>
      </w:pPr>
      <w:r w:rsidRPr="00EF627A">
        <w:rPr>
          <w:b/>
          <w:i/>
          <w:sz w:val="26"/>
        </w:rPr>
        <w:t xml:space="preserve">Abstract </w:t>
      </w:r>
    </w:p>
    <w:p w:rsidR="00A12B32" w:rsidRDefault="00747549" w:rsidP="00747549">
      <w:pPr>
        <w:spacing w:before="60" w:after="60"/>
        <w:ind w:firstLine="567"/>
        <w:jc w:val="both"/>
        <w:rPr>
          <w:i/>
          <w:sz w:val="22"/>
          <w:szCs w:val="22"/>
        </w:rPr>
      </w:pPr>
      <w:r w:rsidRPr="00747549">
        <w:rPr>
          <w:i/>
          <w:sz w:val="22"/>
          <w:szCs w:val="22"/>
        </w:rPr>
        <w:t>In this research, the short-term and the long-term causality relationship between tourism receipts (TR) and economic growth (EG) was investigated. The dataset includes 483 observations for the period from 1995 to 2017 of the selected 21 Asia Pacific Economies.</w:t>
      </w:r>
      <w:r>
        <w:rPr>
          <w:i/>
          <w:sz w:val="22"/>
          <w:szCs w:val="22"/>
        </w:rPr>
        <w:t xml:space="preserve"> </w:t>
      </w:r>
      <w:r w:rsidR="00A12B32" w:rsidRPr="00747549">
        <w:rPr>
          <w:i/>
          <w:sz w:val="22"/>
          <w:szCs w:val="22"/>
        </w:rPr>
        <w:t>According to “Dumitrescu &amp; Hurlin VAR Panel Causality Test”, which is employed to analyse the short-term causality, it is revealed that (a) “tourism receipts is the granger cause of economic growth”, and (b) “economic growth is the granger cause of tourism receipts.” Hence, it is concluded a bi-directional causality between tourism receipts and economic growth in the short-term. “Pesaran &amp; Smith Mean Group Estimator”, which is performed to test the long-term relationship, indicated that (a) economic growth affects tourism revenues; a 1% increase in economic growth raises tourism revenues by 1.9% in long-term and vice versa, (b) tourism revenues affects economic growth; a 1% increase in tourism revenues raises the economic growth by 0.49 % in</w:t>
      </w:r>
      <w:r>
        <w:rPr>
          <w:i/>
          <w:sz w:val="22"/>
          <w:szCs w:val="22"/>
        </w:rPr>
        <w:t xml:space="preserve"> long-term, and vice versa. These</w:t>
      </w:r>
      <w:r w:rsidR="00A12B32" w:rsidRPr="00747549">
        <w:rPr>
          <w:i/>
          <w:sz w:val="22"/>
          <w:szCs w:val="22"/>
        </w:rPr>
        <w:t xml:space="preserve"> result</w:t>
      </w:r>
      <w:r>
        <w:rPr>
          <w:i/>
          <w:sz w:val="22"/>
          <w:szCs w:val="22"/>
        </w:rPr>
        <w:t>s</w:t>
      </w:r>
      <w:r w:rsidR="00A12B32" w:rsidRPr="00747549">
        <w:rPr>
          <w:i/>
          <w:sz w:val="22"/>
          <w:szCs w:val="22"/>
        </w:rPr>
        <w:t xml:space="preserve"> support the feedback hypothesis that claims a bi-directional reciprocal causality relationship between international tourism and economic growth.</w:t>
      </w:r>
    </w:p>
    <w:p w:rsidR="00895B91" w:rsidRDefault="00895B91" w:rsidP="00EF627A">
      <w:pPr>
        <w:spacing w:before="1" w:after="60" w:line="295" w:lineRule="auto"/>
        <w:jc w:val="both"/>
        <w:rPr>
          <w:i/>
          <w:sz w:val="22"/>
          <w:szCs w:val="22"/>
        </w:rPr>
      </w:pPr>
      <w:r w:rsidRPr="00747549">
        <w:rPr>
          <w:b/>
          <w:i/>
          <w:sz w:val="22"/>
          <w:szCs w:val="22"/>
        </w:rPr>
        <w:t>Keywords:</w:t>
      </w:r>
      <w:r w:rsidRPr="00EF627A">
        <w:rPr>
          <w:b/>
          <w:i/>
          <w:sz w:val="26"/>
        </w:rPr>
        <w:t xml:space="preserve"> </w:t>
      </w:r>
      <w:r w:rsidRPr="00747549">
        <w:rPr>
          <w:i/>
          <w:sz w:val="22"/>
          <w:szCs w:val="22"/>
        </w:rPr>
        <w:t>Economic Growth, Tourism Receipts, Panel Data Analysis</w:t>
      </w:r>
      <w:r w:rsidR="000D6D1B">
        <w:rPr>
          <w:i/>
          <w:sz w:val="22"/>
          <w:szCs w:val="22"/>
        </w:rPr>
        <w:t>.</w:t>
      </w:r>
    </w:p>
    <w:p w:rsidR="000D6D1B" w:rsidRPr="00EF627A" w:rsidRDefault="000D6D1B" w:rsidP="00EF627A">
      <w:pPr>
        <w:spacing w:before="1" w:after="60" w:line="295" w:lineRule="auto"/>
        <w:jc w:val="both"/>
        <w:rPr>
          <w:b/>
          <w:i/>
          <w:sz w:val="26"/>
        </w:rPr>
      </w:pPr>
    </w:p>
    <w:p w:rsidR="00895B91" w:rsidRPr="00747549" w:rsidRDefault="00181120" w:rsidP="00EF627A">
      <w:pPr>
        <w:spacing w:before="1" w:after="60" w:line="295" w:lineRule="auto"/>
        <w:ind w:left="117"/>
        <w:jc w:val="center"/>
        <w:rPr>
          <w:b/>
        </w:rPr>
      </w:pPr>
      <w:r>
        <w:rPr>
          <w:b/>
        </w:rPr>
        <w:t>A</w:t>
      </w:r>
      <w:r w:rsidR="00747549">
        <w:rPr>
          <w:b/>
        </w:rPr>
        <w:t>SYA PASİFİK ÜLKELERİ</w:t>
      </w:r>
      <w:r w:rsidR="00747549" w:rsidRPr="00747549">
        <w:rPr>
          <w:b/>
        </w:rPr>
        <w:t>NDE ULUSLARARASI TURİZ</w:t>
      </w:r>
      <w:r w:rsidR="00747549">
        <w:rPr>
          <w:b/>
        </w:rPr>
        <w:t>M GELİRLERİ İLE</w:t>
      </w:r>
      <w:r w:rsidR="00747549" w:rsidRPr="00747549">
        <w:rPr>
          <w:b/>
        </w:rPr>
        <w:t xml:space="preserve"> EKONOMİ</w:t>
      </w:r>
      <w:r w:rsidR="00747549">
        <w:rPr>
          <w:b/>
        </w:rPr>
        <w:t>K BÜYÜME ARASINDAKİ</w:t>
      </w:r>
      <w:r w:rsidR="00776E36">
        <w:rPr>
          <w:b/>
        </w:rPr>
        <w:t xml:space="preserve"> İLİŞKİ</w:t>
      </w:r>
      <w:r w:rsidR="00747549" w:rsidRPr="00747549">
        <w:rPr>
          <w:b/>
        </w:rPr>
        <w:t>:</w:t>
      </w:r>
      <w:r w:rsidR="00747549">
        <w:rPr>
          <w:b/>
        </w:rPr>
        <w:t xml:space="preserve"> BİR</w:t>
      </w:r>
      <w:r w:rsidR="00747549" w:rsidRPr="00747549">
        <w:rPr>
          <w:b/>
        </w:rPr>
        <w:t xml:space="preserve"> PANEL</w:t>
      </w:r>
      <w:r w:rsidR="00677AC4">
        <w:rPr>
          <w:b/>
        </w:rPr>
        <w:t>VERİ</w:t>
      </w:r>
      <w:r w:rsidR="00747549">
        <w:rPr>
          <w:b/>
        </w:rPr>
        <w:t xml:space="preserve"> ANALİZİ</w:t>
      </w:r>
    </w:p>
    <w:p w:rsidR="00895B91" w:rsidRPr="00EF627A" w:rsidRDefault="00895B91" w:rsidP="00EF627A">
      <w:pPr>
        <w:spacing w:before="1" w:after="60" w:line="295" w:lineRule="auto"/>
        <w:ind w:left="117" w:firstLine="567"/>
        <w:jc w:val="both"/>
        <w:rPr>
          <w:b/>
          <w:i/>
          <w:lang w:val="tr-TR"/>
        </w:rPr>
      </w:pPr>
      <w:r w:rsidRPr="00EF627A">
        <w:rPr>
          <w:b/>
          <w:i/>
          <w:lang w:val="tr-TR"/>
        </w:rPr>
        <w:t>Öz</w:t>
      </w:r>
    </w:p>
    <w:p w:rsidR="00895B91" w:rsidRDefault="00895B91" w:rsidP="00EF627A">
      <w:pPr>
        <w:ind w:firstLine="567"/>
        <w:jc w:val="both"/>
        <w:rPr>
          <w:i/>
          <w:sz w:val="22"/>
          <w:szCs w:val="22"/>
          <w:lang w:val="tr-TR"/>
        </w:rPr>
      </w:pPr>
      <w:r w:rsidRPr="00EF627A">
        <w:rPr>
          <w:i/>
          <w:sz w:val="22"/>
          <w:szCs w:val="22"/>
          <w:lang w:val="tr-TR"/>
        </w:rPr>
        <w:t>Bu araştırmada turizm gelirleri</w:t>
      </w:r>
      <w:r w:rsidR="00827A0F" w:rsidRPr="00EF627A">
        <w:rPr>
          <w:i/>
          <w:sz w:val="22"/>
          <w:szCs w:val="22"/>
          <w:lang w:val="tr-TR"/>
        </w:rPr>
        <w:t xml:space="preserve"> (TR)</w:t>
      </w:r>
      <w:r w:rsidRPr="00EF627A">
        <w:rPr>
          <w:i/>
          <w:sz w:val="22"/>
          <w:szCs w:val="22"/>
          <w:lang w:val="tr-TR"/>
        </w:rPr>
        <w:t xml:space="preserve"> ile iktisadi büyüme</w:t>
      </w:r>
      <w:r w:rsidR="00DF63C8" w:rsidRPr="00EF627A">
        <w:rPr>
          <w:i/>
          <w:sz w:val="22"/>
          <w:szCs w:val="22"/>
          <w:lang w:val="tr-TR"/>
        </w:rPr>
        <w:t xml:space="preserve"> (EG</w:t>
      </w:r>
      <w:r w:rsidR="00827A0F" w:rsidRPr="00EF627A">
        <w:rPr>
          <w:i/>
          <w:sz w:val="22"/>
          <w:szCs w:val="22"/>
          <w:lang w:val="tr-TR"/>
        </w:rPr>
        <w:t>)</w:t>
      </w:r>
      <w:r w:rsidRPr="00EF627A">
        <w:rPr>
          <w:i/>
          <w:sz w:val="22"/>
          <w:szCs w:val="22"/>
          <w:lang w:val="tr-TR"/>
        </w:rPr>
        <w:t xml:space="preserve"> arasındaki kısa ve uzun dönemli ilişkiler analiz edilmiştir. Analiz, seçilmiş 21 Asya Pasifik Ülkesi için 1995 ile 2017 arasındaki 23 yıllık dönemi kapsamaktadır. Seriler arasında kısa dönemli nedensellik  “Dumitrescu &amp; Hurlin VAR Panel Nedensellik Analizi” ile incelenmiştir. Kısa dönem analiz sonucuna göre; (a) “turizm gelirlerinin ekonomik büyümenin Granger nedenidir” ve (b) “ekonomik büyümenin turizm gelirlerinin Granger nedenidir” sonucuna varılmıştır. Buna göre kısa dönemde ekonomik büyüme ile turizm gelirleri arasında iki yönlü pozitif bir ilişki vardır. Değişkenler arasındaki uzun dönemli ilişkinin varlığı “Pesaran &amp; Smith Ortalama Grup Tahmincisi” ile incelenmiştir. Uzun dönem analiz sonuçlarına göre; (a) ekonomik büyümenin turizm gelirlerini etkilemektedir: ekonomik büyümedeki% 1'lik bir artış/azalış, turizm gelirlerini  % 1,9 yükseltmek/düşürmektedir, (b) turizm gelirleri ekonomik büyümeyi etkilemektedir: turizm gelirlerindeki % 1'lik bir artış/azalış, ekonomik büyümeyi % 0,49 arttırmakta/düşürmektedir.</w:t>
      </w:r>
      <w:r w:rsidR="00747549" w:rsidRPr="00747549">
        <w:t xml:space="preserve"> </w:t>
      </w:r>
      <w:r w:rsidR="00747549" w:rsidRPr="00747549">
        <w:rPr>
          <w:i/>
          <w:sz w:val="22"/>
          <w:szCs w:val="22"/>
          <w:lang w:val="tr-TR"/>
        </w:rPr>
        <w:t>Bu sonuç</w:t>
      </w:r>
      <w:r w:rsidR="00747549">
        <w:rPr>
          <w:i/>
          <w:sz w:val="22"/>
          <w:szCs w:val="22"/>
          <w:lang w:val="tr-TR"/>
        </w:rPr>
        <w:t>lar</w:t>
      </w:r>
      <w:r w:rsidR="00747549" w:rsidRPr="00747549">
        <w:rPr>
          <w:i/>
          <w:sz w:val="22"/>
          <w:szCs w:val="22"/>
          <w:lang w:val="tr-TR"/>
        </w:rPr>
        <w:t>, uluslararası turizm</w:t>
      </w:r>
      <w:r w:rsidR="00747549">
        <w:rPr>
          <w:i/>
          <w:sz w:val="22"/>
          <w:szCs w:val="22"/>
          <w:lang w:val="tr-TR"/>
        </w:rPr>
        <w:t xml:space="preserve"> gelirleri ile iktisadi büyüme arasında</w:t>
      </w:r>
      <w:r w:rsidR="00747549" w:rsidRPr="00747549">
        <w:rPr>
          <w:i/>
          <w:sz w:val="22"/>
          <w:szCs w:val="22"/>
          <w:lang w:val="tr-TR"/>
        </w:rPr>
        <w:t xml:space="preserve"> çift yönlü k</w:t>
      </w:r>
      <w:r w:rsidR="00747549">
        <w:rPr>
          <w:i/>
          <w:sz w:val="22"/>
          <w:szCs w:val="22"/>
          <w:lang w:val="tr-TR"/>
        </w:rPr>
        <w:t>arşılıklı nedensellik ilişkisi olduğunu öne</w:t>
      </w:r>
      <w:r w:rsidR="001A051F">
        <w:rPr>
          <w:i/>
          <w:sz w:val="22"/>
          <w:szCs w:val="22"/>
          <w:lang w:val="tr-TR"/>
        </w:rPr>
        <w:t xml:space="preserve"> </w:t>
      </w:r>
      <w:r w:rsidR="00747549">
        <w:rPr>
          <w:i/>
          <w:sz w:val="22"/>
          <w:szCs w:val="22"/>
          <w:lang w:val="tr-TR"/>
        </w:rPr>
        <w:t>süren “</w:t>
      </w:r>
      <w:r w:rsidR="00747549" w:rsidRPr="00747549">
        <w:rPr>
          <w:i/>
          <w:sz w:val="22"/>
          <w:szCs w:val="22"/>
          <w:lang w:val="tr-TR"/>
        </w:rPr>
        <w:t>geri bildirim hipotezini</w:t>
      </w:r>
      <w:r w:rsidR="00747549">
        <w:rPr>
          <w:i/>
          <w:sz w:val="22"/>
          <w:szCs w:val="22"/>
          <w:lang w:val="tr-TR"/>
        </w:rPr>
        <w:t>”</w:t>
      </w:r>
      <w:r w:rsidR="00747549" w:rsidRPr="00747549">
        <w:rPr>
          <w:i/>
          <w:sz w:val="22"/>
          <w:szCs w:val="22"/>
          <w:lang w:val="tr-TR"/>
        </w:rPr>
        <w:t xml:space="preserve"> desteklemektedir.</w:t>
      </w:r>
      <w:r w:rsidR="00747549">
        <w:rPr>
          <w:i/>
          <w:sz w:val="22"/>
          <w:szCs w:val="22"/>
          <w:lang w:val="tr-TR"/>
        </w:rPr>
        <w:t xml:space="preserve"> </w:t>
      </w:r>
    </w:p>
    <w:p w:rsidR="00810647" w:rsidRPr="00EF627A" w:rsidRDefault="00810647" w:rsidP="00EF627A">
      <w:pPr>
        <w:ind w:firstLine="567"/>
        <w:jc w:val="both"/>
        <w:rPr>
          <w:i/>
          <w:sz w:val="22"/>
          <w:szCs w:val="22"/>
          <w:lang w:val="tr-TR"/>
        </w:rPr>
      </w:pPr>
    </w:p>
    <w:p w:rsidR="00895B91" w:rsidRPr="00895B91" w:rsidRDefault="00895B91" w:rsidP="00895B91">
      <w:pPr>
        <w:rPr>
          <w:b/>
        </w:rPr>
      </w:pPr>
      <w:r w:rsidRPr="00747549">
        <w:rPr>
          <w:b/>
          <w:i/>
          <w:sz w:val="22"/>
          <w:szCs w:val="22"/>
        </w:rPr>
        <w:t>Anahtar kelimler:</w:t>
      </w:r>
      <w:r w:rsidRPr="00895B91">
        <w:rPr>
          <w:b/>
        </w:rPr>
        <w:t xml:space="preserve"> </w:t>
      </w:r>
      <w:r w:rsidRPr="00747549">
        <w:rPr>
          <w:i/>
          <w:sz w:val="22"/>
          <w:szCs w:val="22"/>
        </w:rPr>
        <w:t>İktisadi Büyüme, Ekonomik Büyüme, Turizm Gelirleri, Panel Veri Analizi</w:t>
      </w:r>
    </w:p>
    <w:p w:rsidR="00895B91" w:rsidRPr="000764AC" w:rsidRDefault="00895B91" w:rsidP="00895B91">
      <w:pPr>
        <w:rPr>
          <w:b/>
        </w:rPr>
      </w:pPr>
    </w:p>
    <w:p w:rsidR="007033DC" w:rsidRPr="00294ADE" w:rsidRDefault="00EF627A" w:rsidP="00EF627A">
      <w:pPr>
        <w:spacing w:before="60" w:after="60"/>
        <w:ind w:firstLine="567"/>
        <w:jc w:val="both"/>
        <w:rPr>
          <w:b/>
        </w:rPr>
      </w:pPr>
      <w:r>
        <w:rPr>
          <w:b/>
        </w:rPr>
        <w:lastRenderedPageBreak/>
        <w:t>Introduction</w:t>
      </w:r>
    </w:p>
    <w:p w:rsidR="007033DC" w:rsidRPr="00294ADE" w:rsidRDefault="007033DC" w:rsidP="00294ADE">
      <w:pPr>
        <w:spacing w:before="60" w:after="60"/>
        <w:ind w:firstLine="567"/>
        <w:jc w:val="both"/>
      </w:pPr>
      <w:r w:rsidRPr="00294ADE">
        <w:t xml:space="preserve">The increasing globalization that has accelerated in the post-1990 period has resulted in the removal of trade obstacles and the accompanying technological developments between countries has led to a rapid and easy movement of goods and services between countries. These same changes have also been reflected in the tourism sector and made it possible for individuals to travel more comfortably, inexpensively and faster than in the past. </w:t>
      </w:r>
    </w:p>
    <w:p w:rsidR="007033DC" w:rsidRPr="00294ADE" w:rsidRDefault="007033DC" w:rsidP="00294ADE">
      <w:pPr>
        <w:spacing w:before="60" w:after="60"/>
        <w:ind w:firstLine="567"/>
        <w:jc w:val="both"/>
      </w:pPr>
      <w:r w:rsidRPr="00294ADE">
        <w:t>A key role of governments is to find and subsidize productive sectors in order to solve growth, unemployment, financial and monetary imbalances. Tourism is seen by policymakers as one of the most important industry sectors in supporting macroeconomic performance. Foreign exchange income provided by tourism is used to finance domestic and foreign debt. It creates employment opportunities for the sector and revitalizes many other sectors construction, logistics, hospitality, and the food and beverage sectors. Additionally, this sector generates tax revenues, encourages infrastructure, improves human resources and technology investments, creates a competitive environment, increases the efficiency of domestic companies, facilitates the utilization of economies of scale and affects economic activities through many different channels.  This sector also provides revenue convergence between de</w:t>
      </w:r>
      <w:r w:rsidR="00AC7CEA">
        <w:t>veloped and developing economies</w:t>
      </w:r>
      <w:r w:rsidRPr="00294ADE">
        <w:t xml:space="preserve">. </w:t>
      </w:r>
      <w:r w:rsidR="00DB2FEC">
        <w:t xml:space="preserve">The tourism sector is therefore considered </w:t>
      </w:r>
      <w:r w:rsidRPr="00294ADE">
        <w:t xml:space="preserve">seen as an important policy tool to prevent regional income inequalities. </w:t>
      </w:r>
    </w:p>
    <w:p w:rsidR="007033DC" w:rsidRPr="00294ADE" w:rsidRDefault="007033DC" w:rsidP="00294ADE">
      <w:pPr>
        <w:spacing w:before="60" w:after="60"/>
        <w:ind w:firstLine="567"/>
        <w:jc w:val="both"/>
      </w:pPr>
      <w:r w:rsidRPr="00294ADE">
        <w:t>Tourism is a rapidly growing sector on a global scale wh</w:t>
      </w:r>
      <w:r w:rsidR="00D17E07">
        <w:t xml:space="preserve">ich represents </w:t>
      </w:r>
      <w:r w:rsidRPr="00294ADE">
        <w:t xml:space="preserve">5% of the world's GDP and about 30% of world service exports. According to the Tourism Report of the United Nations World Trade Organization (UNWTO), which was published in 2018, the highest increase since 2010 in international tourist arrivals was in 2017. International Tourist Arrivals increased by 7% over one million people by 2017, and </w:t>
      </w:r>
      <w:r w:rsidR="001311C7">
        <w:t>TR</w:t>
      </w:r>
      <w:r w:rsidRPr="00294ADE">
        <w:t xml:space="preserve"> increased by 5% to $1.340 billion. The international passenger transport services provided to non-residents also generated $240 billion in revenue. International </w:t>
      </w:r>
      <w:r w:rsidR="001311C7">
        <w:t>TR</w:t>
      </w:r>
      <w:r w:rsidRPr="00294ADE">
        <w:t xml:space="preserve"> reached a total of $1.6 trillion ($4 billion a day) and brought tourism to third place in the worldwide export category (UNWTO, 2018: 2-6). As reported by the World Travel and Tourism Council (WTTC), the share of travel and tourism sector in global GDP was 10.4% in 2017</w:t>
      </w:r>
      <w:r w:rsidR="00A12B32">
        <w:t>,</w:t>
      </w:r>
      <w:r w:rsidRPr="00294ADE">
        <w:t xml:space="preserve"> and the share of the sector in global employment was 9.9% with the employment in the sector provided to 313 million people. The rise in international tourism over the last 10 years is a clear sign that the tourism sector is progressing in a strong and healthy manner worldwide (WTTC, 2018: 1). According to UNWTO’s forecast</w:t>
      </w:r>
      <w:r w:rsidR="00A12B32">
        <w:t>,</w:t>
      </w:r>
      <w:r w:rsidRPr="00294ADE">
        <w:t xml:space="preserve"> the total number of international tourists will reach to 1.8 billion people by 2030 with an average increase by 3.3% each year (UNWTO, 2011: 30).</w:t>
      </w:r>
    </w:p>
    <w:p w:rsidR="007033DC" w:rsidRPr="00294ADE" w:rsidRDefault="001A3DA9" w:rsidP="00294ADE">
      <w:pPr>
        <w:spacing w:before="60" w:after="60"/>
        <w:ind w:firstLine="567"/>
        <w:jc w:val="both"/>
      </w:pPr>
      <w:r>
        <w:t xml:space="preserve">The Asia Pacific region is </w:t>
      </w:r>
      <w:r w:rsidR="007033DC" w:rsidRPr="00294ADE">
        <w:t xml:space="preserve">the largest market for global tourism with a 24% share in tourist arrivals and a 29% share of </w:t>
      </w:r>
      <w:r w:rsidR="001311C7">
        <w:t>TR</w:t>
      </w:r>
      <w:r w:rsidR="00DC3565">
        <w:t xml:space="preserve"> (UNWTO, 2018: 5). </w:t>
      </w:r>
      <w:r>
        <w:t>The rapidly increasing tourism sector</w:t>
      </w:r>
      <w:r w:rsidRPr="00294ADE">
        <w:t xml:space="preserve"> </w:t>
      </w:r>
      <w:r>
        <w:t>is an important driver of economic prosperity for the</w:t>
      </w:r>
      <w:r w:rsidRPr="00294ADE">
        <w:t xml:space="preserve"> region, not only for the revenue it provides but also for its contribution to employment and entrepreneurship.  </w:t>
      </w:r>
      <w:r w:rsidR="007033DC" w:rsidRPr="00294ADE">
        <w:t>The main reasons for this growth are the increase in con</w:t>
      </w:r>
      <w:r w:rsidR="003E1495">
        <w:t xml:space="preserve">sumer purchasing power, advances </w:t>
      </w:r>
      <w:r w:rsidR="007033DC" w:rsidRPr="00294ADE">
        <w:t>in air connections, affordable travel options and the easing of visa procedures</w:t>
      </w:r>
      <w:r w:rsidR="00F45C94">
        <w:t xml:space="preserve"> (UNWTO, 2018: 10).</w:t>
      </w:r>
      <w:r w:rsidR="007033DC" w:rsidRPr="00294ADE">
        <w:t xml:space="preserve"> </w:t>
      </w:r>
    </w:p>
    <w:p w:rsidR="007033DC" w:rsidRPr="00294ADE" w:rsidRDefault="007033DC" w:rsidP="00294ADE">
      <w:pPr>
        <w:spacing w:before="60" w:after="60"/>
        <w:ind w:firstLine="567"/>
        <w:jc w:val="both"/>
      </w:pPr>
      <w:r w:rsidRPr="00294ADE">
        <w:t xml:space="preserve">In recent years, the causality between </w:t>
      </w:r>
      <w:r w:rsidR="00DF63C8">
        <w:t xml:space="preserve">TR </w:t>
      </w:r>
      <w:r w:rsidRPr="00294ADE">
        <w:t xml:space="preserve">and </w:t>
      </w:r>
      <w:r w:rsidR="00DF63C8">
        <w:t>EG</w:t>
      </w:r>
      <w:r w:rsidR="008B75A4">
        <w:t xml:space="preserve"> has been a critical topic for scholars both in </w:t>
      </w:r>
      <w:r w:rsidRPr="00294ADE">
        <w:t>economics</w:t>
      </w:r>
      <w:r w:rsidR="008B75A4">
        <w:t xml:space="preserve"> and tourism all over the world. Understanding the causality between these two variables</w:t>
      </w:r>
      <w:r w:rsidRPr="00294ADE">
        <w:t xml:space="preserve"> is crucial in determining the right tourism policies to promote </w:t>
      </w:r>
      <w:r w:rsidR="00DF63C8">
        <w:t>EG</w:t>
      </w:r>
      <w:r w:rsidRPr="00294ADE">
        <w:t xml:space="preserve">. Although existing studies show that there is a correlation between tourism and </w:t>
      </w:r>
      <w:r w:rsidRPr="00294ADE">
        <w:lastRenderedPageBreak/>
        <w:t xml:space="preserve">economic vitality, there is no consensus on the </w:t>
      </w:r>
      <w:r w:rsidR="008B75A4">
        <w:t>direction of the causality</w:t>
      </w:r>
      <w:r w:rsidRPr="00294ADE">
        <w:t xml:space="preserve">. Additionally, the extant literature shows that there are no studies on the correlation between </w:t>
      </w:r>
      <w:r w:rsidR="00DF63C8">
        <w:t xml:space="preserve">TR </w:t>
      </w:r>
      <w:r w:rsidRPr="00294ADE">
        <w:t xml:space="preserve">and </w:t>
      </w:r>
      <w:r w:rsidR="00DF63C8">
        <w:t>EG</w:t>
      </w:r>
      <w:r w:rsidRPr="00294ADE">
        <w:t xml:space="preserve"> for the Asia Pacific region. </w:t>
      </w:r>
    </w:p>
    <w:p w:rsidR="008D6EE2" w:rsidRPr="008D6EE2" w:rsidRDefault="008D6EE2" w:rsidP="008D6EE2">
      <w:pPr>
        <w:spacing w:before="60" w:after="60"/>
        <w:ind w:firstLine="567"/>
        <w:jc w:val="both"/>
      </w:pPr>
      <w:r w:rsidRPr="008D6EE2">
        <w:t xml:space="preserve">In the following section, a theoretical framework for the relationship between tourism and economic growth will be presented. Following this framework, there will be a review of the literature about the relationship between tourism and economic growth. </w:t>
      </w:r>
    </w:p>
    <w:p w:rsidR="008D6EE2" w:rsidRPr="00EF627A" w:rsidRDefault="008D6EE2" w:rsidP="008D6EE2">
      <w:pPr>
        <w:spacing w:before="60" w:after="60"/>
        <w:ind w:firstLine="567"/>
        <w:jc w:val="both"/>
        <w:rPr>
          <w:b/>
        </w:rPr>
      </w:pPr>
      <w:r>
        <w:rPr>
          <w:b/>
        </w:rPr>
        <w:t>1</w:t>
      </w:r>
      <w:r w:rsidRPr="00EF627A">
        <w:rPr>
          <w:b/>
        </w:rPr>
        <w:t>.</w:t>
      </w:r>
      <w:r>
        <w:rPr>
          <w:b/>
        </w:rPr>
        <w:t xml:space="preserve"> </w:t>
      </w:r>
      <w:r w:rsidRPr="00EF627A">
        <w:rPr>
          <w:b/>
        </w:rPr>
        <w:t>Theoretical Framework</w:t>
      </w:r>
    </w:p>
    <w:p w:rsidR="008D6EE2" w:rsidRPr="00294ADE" w:rsidRDefault="008D6EE2" w:rsidP="008D6EE2">
      <w:pPr>
        <w:spacing w:before="60" w:after="60"/>
        <w:ind w:firstLine="567"/>
        <w:jc w:val="both"/>
      </w:pPr>
      <w:r w:rsidRPr="00294ADE">
        <w:t xml:space="preserve">In the economic literature, the relationship between </w:t>
      </w:r>
      <w:r>
        <w:t>TR</w:t>
      </w:r>
      <w:r w:rsidRPr="00294ADE">
        <w:t xml:space="preserve"> and </w:t>
      </w:r>
      <w:r>
        <w:t>EG</w:t>
      </w:r>
      <w:r w:rsidRPr="00294ADE">
        <w:t xml:space="preserve"> is generally dealt with two different approaches. The first is obtained from the multiplier effect explained by Keynesian theory. As it may trigger the </w:t>
      </w:r>
      <w:r>
        <w:t>EG</w:t>
      </w:r>
      <w:r w:rsidRPr="00294ADE">
        <w:t xml:space="preserve"> with </w:t>
      </w:r>
      <w:r>
        <w:t xml:space="preserve">a </w:t>
      </w:r>
      <w:r w:rsidRPr="00294ADE">
        <w:t>positive multiplier effect on employment and revenues, interna</w:t>
      </w:r>
      <w:r>
        <w:t>tional tourism can be regarded</w:t>
      </w:r>
      <w:r w:rsidRPr="00294ADE">
        <w:t xml:space="preserve"> as an exogenous element of aggreg</w:t>
      </w:r>
      <w:r>
        <w:t xml:space="preserve">ate demand in Keynesian theory </w:t>
      </w:r>
      <w:r w:rsidRPr="00294ADE">
        <w:t>(Suresh and Senthilnathan, 2014: 2). The second approach “Endogenous Growth Theory,” is widely accepted in the literature. Thus, four different hypotheses were developed:</w:t>
      </w:r>
    </w:p>
    <w:p w:rsidR="008D6EE2" w:rsidRPr="00D96B31" w:rsidRDefault="008D6EE2" w:rsidP="00810647">
      <w:pPr>
        <w:pStyle w:val="ListeParagraf"/>
        <w:numPr>
          <w:ilvl w:val="0"/>
          <w:numId w:val="4"/>
        </w:numPr>
        <w:tabs>
          <w:tab w:val="left" w:pos="993"/>
        </w:tabs>
        <w:spacing w:before="60" w:after="60" w:line="240" w:lineRule="auto"/>
        <w:ind w:left="714" w:hanging="357"/>
        <w:jc w:val="both"/>
        <w:rPr>
          <w:rFonts w:ascii="Times New Roman" w:hAnsi="Times New Roman" w:cs="Times New Roman"/>
          <w:sz w:val="24"/>
          <w:szCs w:val="24"/>
        </w:rPr>
      </w:pPr>
      <w:r w:rsidRPr="00D96B31">
        <w:rPr>
          <w:rFonts w:ascii="Times New Roman" w:hAnsi="Times New Roman" w:cs="Times New Roman"/>
          <w:sz w:val="24"/>
          <w:szCs w:val="24"/>
        </w:rPr>
        <w:t>tourism-led growth hypothesis (TLGH),</w:t>
      </w:r>
    </w:p>
    <w:p w:rsidR="008D6EE2" w:rsidRPr="00D96B31" w:rsidRDefault="008D6EE2" w:rsidP="00810647">
      <w:pPr>
        <w:pStyle w:val="ListeParagraf"/>
        <w:numPr>
          <w:ilvl w:val="0"/>
          <w:numId w:val="4"/>
        </w:numPr>
        <w:tabs>
          <w:tab w:val="left" w:pos="993"/>
        </w:tabs>
        <w:spacing w:before="60" w:after="60" w:line="240" w:lineRule="auto"/>
        <w:ind w:left="714" w:hanging="357"/>
        <w:jc w:val="both"/>
        <w:rPr>
          <w:rFonts w:ascii="Times New Roman" w:hAnsi="Times New Roman" w:cs="Times New Roman"/>
          <w:sz w:val="24"/>
          <w:szCs w:val="24"/>
        </w:rPr>
      </w:pPr>
      <w:r w:rsidRPr="00D96B31">
        <w:rPr>
          <w:rFonts w:ascii="Times New Roman" w:hAnsi="Times New Roman" w:cs="Times New Roman"/>
          <w:sz w:val="24"/>
          <w:szCs w:val="24"/>
        </w:rPr>
        <w:t xml:space="preserve">growth-led tourism hypothesis (GLTH), </w:t>
      </w:r>
    </w:p>
    <w:p w:rsidR="008D6EE2" w:rsidRPr="00D96B31" w:rsidRDefault="008D6EE2" w:rsidP="00810647">
      <w:pPr>
        <w:pStyle w:val="ListeParagraf"/>
        <w:numPr>
          <w:ilvl w:val="0"/>
          <w:numId w:val="4"/>
        </w:numPr>
        <w:tabs>
          <w:tab w:val="left" w:pos="993"/>
        </w:tabs>
        <w:spacing w:before="60" w:after="60" w:line="240" w:lineRule="auto"/>
        <w:ind w:left="714" w:hanging="357"/>
        <w:jc w:val="both"/>
        <w:rPr>
          <w:rFonts w:ascii="Times New Roman" w:hAnsi="Times New Roman" w:cs="Times New Roman"/>
          <w:sz w:val="24"/>
          <w:szCs w:val="24"/>
        </w:rPr>
      </w:pPr>
      <w:r w:rsidRPr="00D96B31">
        <w:rPr>
          <w:rFonts w:ascii="Times New Roman" w:hAnsi="Times New Roman" w:cs="Times New Roman"/>
          <w:sz w:val="24"/>
          <w:szCs w:val="24"/>
        </w:rPr>
        <w:t xml:space="preserve">the neutrality (NoCausal) hypothesis (NCH),  </w:t>
      </w:r>
    </w:p>
    <w:p w:rsidR="008D6EE2" w:rsidRPr="00D96B31" w:rsidRDefault="008D6EE2" w:rsidP="00810647">
      <w:pPr>
        <w:pStyle w:val="ListeParagraf"/>
        <w:numPr>
          <w:ilvl w:val="0"/>
          <w:numId w:val="4"/>
        </w:numPr>
        <w:tabs>
          <w:tab w:val="left" w:pos="993"/>
        </w:tabs>
        <w:spacing w:before="60" w:after="60" w:line="240" w:lineRule="auto"/>
        <w:ind w:left="714" w:hanging="357"/>
        <w:jc w:val="both"/>
        <w:rPr>
          <w:rFonts w:ascii="Times New Roman" w:hAnsi="Times New Roman" w:cs="Times New Roman"/>
          <w:sz w:val="24"/>
          <w:szCs w:val="24"/>
        </w:rPr>
      </w:pPr>
      <w:r w:rsidRPr="00D96B31">
        <w:rPr>
          <w:rFonts w:ascii="Times New Roman" w:hAnsi="Times New Roman" w:cs="Times New Roman"/>
          <w:sz w:val="24"/>
          <w:szCs w:val="24"/>
        </w:rPr>
        <w:t>the feedback (two-way causality) hypothesis</w:t>
      </w:r>
      <w:r>
        <w:rPr>
          <w:rFonts w:ascii="Times New Roman" w:hAnsi="Times New Roman" w:cs="Times New Roman"/>
          <w:sz w:val="24"/>
          <w:szCs w:val="24"/>
        </w:rPr>
        <w:t xml:space="preserve"> (Kum et al., 2015: 1076).</w:t>
      </w:r>
    </w:p>
    <w:p w:rsidR="008D6EE2" w:rsidRDefault="008D6EE2" w:rsidP="008D6EE2">
      <w:pPr>
        <w:spacing w:before="60" w:after="60"/>
        <w:ind w:firstLine="567"/>
        <w:jc w:val="both"/>
      </w:pPr>
      <w:r w:rsidRPr="00D96B31">
        <w:t xml:space="preserve">The </w:t>
      </w:r>
      <w:r>
        <w:t>TLGH</w:t>
      </w:r>
      <w:r w:rsidRPr="00D96B31">
        <w:t xml:space="preserve"> assumes</w:t>
      </w:r>
      <w:r>
        <w:t xml:space="preserve"> that tourism is one of the fundamental</w:t>
      </w:r>
      <w:r w:rsidRPr="00D96B31">
        <w:t xml:space="preserve"> components of long-term </w:t>
      </w:r>
      <w:r>
        <w:t>EG</w:t>
      </w:r>
      <w:r w:rsidRPr="00D96B31">
        <w:t>. According to this hypothesis, foreign exchange revenues created by tourism can</w:t>
      </w:r>
      <w:r>
        <w:t xml:space="preserve"> be utilized</w:t>
      </w:r>
      <w:r w:rsidRPr="00D96B31">
        <w:t xml:space="preserve"> for the importation</w:t>
      </w:r>
      <w:r>
        <w:t xml:space="preserve"> of resources</w:t>
      </w:r>
      <w:r w:rsidRPr="00D96B31">
        <w:t xml:space="preserve">, which </w:t>
      </w:r>
      <w:r>
        <w:t>are necessary for the manufacturing of products</w:t>
      </w:r>
      <w:r w:rsidRPr="00D96B31">
        <w:t xml:space="preserve"> and services th</w:t>
      </w:r>
      <w:r>
        <w:t>at will generate economic expansion</w:t>
      </w:r>
      <w:r w:rsidRPr="00D96B31">
        <w:t xml:space="preserve"> in the host </w:t>
      </w:r>
      <w:r>
        <w:t xml:space="preserve">country </w:t>
      </w:r>
      <w:r w:rsidRPr="00203659">
        <w:t>(Kum et al., 2015: 1077).</w:t>
      </w:r>
      <w:r>
        <w:t xml:space="preserve"> On the contrary, the GLTH</w:t>
      </w:r>
      <w:r w:rsidRPr="00D96B31">
        <w:t xml:space="preserve"> assumes that tourism is driven by </w:t>
      </w:r>
      <w:r>
        <w:t>EG</w:t>
      </w:r>
      <w:r w:rsidRPr="00D96B31">
        <w:t xml:space="preserve">. According to this hypothesis, a strategy for a country's </w:t>
      </w:r>
      <w:r>
        <w:t>EG</w:t>
      </w:r>
      <w:r w:rsidRPr="00D96B31">
        <w:t xml:space="preserve"> and development should include well-designed economic policies</w:t>
      </w:r>
      <w:r>
        <w:t xml:space="preserve"> and practices which favour endowments</w:t>
      </w:r>
      <w:r w:rsidRPr="00D96B31">
        <w:t xml:space="preserve"> in</w:t>
      </w:r>
      <w:r>
        <w:t xml:space="preserve"> tangible</w:t>
      </w:r>
      <w:r w:rsidRPr="00D96B31">
        <w:t xml:space="preserve"> and human capital. </w:t>
      </w:r>
      <w:r>
        <w:t>This s</w:t>
      </w:r>
      <w:r w:rsidRPr="00D96B31">
        <w:t>ocio</w:t>
      </w:r>
      <w:r>
        <w:t>-</w:t>
      </w:r>
      <w:r w:rsidRPr="00D96B31">
        <w:t>economic</w:t>
      </w:r>
      <w:r>
        <w:t xml:space="preserve"> competency will have more efficient</w:t>
      </w:r>
      <w:r w:rsidRPr="00D96B31">
        <w:t xml:space="preserve"> use of economic resources which</w:t>
      </w:r>
      <w:r>
        <w:t xml:space="preserve"> eventually </w:t>
      </w:r>
      <w:r w:rsidRPr="00D96B31">
        <w:t xml:space="preserve">will </w:t>
      </w:r>
      <w:r>
        <w:t xml:space="preserve">have a positive </w:t>
      </w:r>
      <w:r w:rsidRPr="00D96B31">
        <w:t>impact</w:t>
      </w:r>
      <w:r>
        <w:t xml:space="preserve"> on tourism activities (</w:t>
      </w:r>
      <w:r w:rsidRPr="00294ADE">
        <w:t xml:space="preserve">Antonakakis et al., 2013: 4-5). </w:t>
      </w:r>
      <w:r>
        <w:t>The NCH</w:t>
      </w:r>
      <w:r w:rsidRPr="00D96B31">
        <w:t xml:space="preserve"> assumes no causal</w:t>
      </w:r>
      <w:r>
        <w:t xml:space="preserve">ity </w:t>
      </w:r>
      <w:r w:rsidRPr="00D96B31">
        <w:t xml:space="preserve">between </w:t>
      </w:r>
      <w:r>
        <w:t>EG</w:t>
      </w:r>
      <w:r w:rsidRPr="00D96B31">
        <w:t xml:space="preserve"> and </w:t>
      </w:r>
      <w:r>
        <w:t>TR</w:t>
      </w:r>
      <w:r w:rsidRPr="00D96B31">
        <w:t>. In other words, growth and development policies will not</w:t>
      </w:r>
      <w:r>
        <w:t xml:space="preserve"> contribute to TR (Oh, 2005: 40).</w:t>
      </w:r>
      <w:r w:rsidRPr="00D96B31">
        <w:t xml:space="preserve"> According to the feedback hypothesis, </w:t>
      </w:r>
      <w:r>
        <w:t>the relationship between tourism and EG is bidirectional</w:t>
      </w:r>
      <w:r w:rsidRPr="00D96B31">
        <w:t xml:space="preserve">. Because of </w:t>
      </w:r>
      <w:r>
        <w:t>this</w:t>
      </w:r>
      <w:r w:rsidRPr="00D96B31">
        <w:t xml:space="preserve"> reciprocal causal</w:t>
      </w:r>
      <w:r>
        <w:t>ity</w:t>
      </w:r>
      <w:r w:rsidRPr="00D96B31">
        <w:t xml:space="preserve">, a change in either economic activity or tourism will have </w:t>
      </w:r>
      <w:r>
        <w:t xml:space="preserve">an impact on the other variable </w:t>
      </w:r>
      <w:r w:rsidRPr="00203659">
        <w:t>(Kum et al., 2015: 1077).</w:t>
      </w:r>
    </w:p>
    <w:p w:rsidR="00747549" w:rsidRPr="00294ADE" w:rsidRDefault="008D6EE2" w:rsidP="00776E36">
      <w:pPr>
        <w:spacing w:before="60" w:after="60"/>
        <w:ind w:firstLine="567"/>
        <w:jc w:val="both"/>
        <w:rPr>
          <w:b/>
        </w:rPr>
      </w:pPr>
      <w:r>
        <w:rPr>
          <w:b/>
        </w:rPr>
        <w:t>2</w:t>
      </w:r>
      <w:r w:rsidR="00747549">
        <w:rPr>
          <w:b/>
        </w:rPr>
        <w:t xml:space="preserve">. </w:t>
      </w:r>
      <w:r w:rsidR="00747549" w:rsidRPr="00294ADE">
        <w:rPr>
          <w:b/>
        </w:rPr>
        <w:t>Literature Review</w:t>
      </w:r>
    </w:p>
    <w:p w:rsidR="00747549" w:rsidRPr="00D96B31" w:rsidRDefault="00747549" w:rsidP="00747549">
      <w:pPr>
        <w:spacing w:before="60" w:after="60"/>
        <w:ind w:firstLine="567"/>
        <w:jc w:val="both"/>
      </w:pPr>
      <w:r>
        <w:t>Studies that empirically examined the causality</w:t>
      </w:r>
      <w:r w:rsidRPr="00D96B31">
        <w:t xml:space="preserve"> between tourism and </w:t>
      </w:r>
      <w:r>
        <w:t>EG vary</w:t>
      </w:r>
      <w:r w:rsidRPr="00D96B31">
        <w:t xml:space="preserve"> according to the </w:t>
      </w:r>
      <w:r>
        <w:t>various econometric methods using cross-sectional/panel data</w:t>
      </w:r>
      <w:r w:rsidRPr="00D96B31">
        <w:t xml:space="preserve"> </w:t>
      </w:r>
      <w:r>
        <w:t xml:space="preserve">or time series. In this study, the existing literature is classified based on the results of the aforementioned hypotheses. The </w:t>
      </w:r>
      <w:r w:rsidRPr="00D96B31">
        <w:t>extant literature indicates</w:t>
      </w:r>
      <w:r>
        <w:t xml:space="preserve"> the</w:t>
      </w:r>
      <w:r w:rsidRPr="00D96B31">
        <w:t xml:space="preserve"> prior research</w:t>
      </w:r>
      <w:r>
        <w:t xml:space="preserve"> that</w:t>
      </w:r>
      <w:r w:rsidRPr="00D96B31">
        <w:t xml:space="preserve"> has primarily ta</w:t>
      </w:r>
      <w:r>
        <w:t xml:space="preserve">rgeted testing these hypotheses </w:t>
      </w:r>
      <w:r w:rsidRPr="00D96B31">
        <w:t>yielded contradictory results. Comparisons between previous studies are d</w:t>
      </w:r>
      <w:r>
        <w:t xml:space="preserve">ifficult because of different </w:t>
      </w:r>
      <w:r w:rsidRPr="00D96B31">
        <w:t xml:space="preserve">periods used and the share of tourism in total economy varies in selected countries. </w:t>
      </w:r>
    </w:p>
    <w:p w:rsidR="00747549" w:rsidRDefault="00747549" w:rsidP="00747549">
      <w:pPr>
        <w:spacing w:before="60" w:after="60"/>
        <w:ind w:firstLine="567"/>
        <w:jc w:val="both"/>
      </w:pPr>
      <w:r w:rsidRPr="00D96B31">
        <w:t xml:space="preserve">Even though the studies on the link between </w:t>
      </w:r>
      <w:r>
        <w:t>EG</w:t>
      </w:r>
      <w:r w:rsidRPr="00D96B31">
        <w:t xml:space="preserve"> </w:t>
      </w:r>
      <w:r>
        <w:t>and tourism</w:t>
      </w:r>
      <w:r w:rsidRPr="00D96B31">
        <w:t xml:space="preserve"> started with Ghali (1976), the first published studies on the field belong to Lanza and Pigliaru (2000) and Balaguer and Cantavella-Jordá (2002). The research of </w:t>
      </w:r>
      <w:r>
        <w:t>Balague and Cantavella-Jord</w:t>
      </w:r>
      <w:r w:rsidRPr="00D96B31">
        <w:t xml:space="preserve">á (2002) which </w:t>
      </w:r>
      <w:r>
        <w:t>mentioned the GLTH</w:t>
      </w:r>
      <w:r w:rsidRPr="00D96B31">
        <w:t xml:space="preserve"> for the first time in the litera</w:t>
      </w:r>
      <w:r>
        <w:t xml:space="preserve">ture </w:t>
      </w:r>
      <w:r w:rsidRPr="00D96B31">
        <w:t xml:space="preserve">has been accepted as one of the most important studies in this area. In their research, using data from Spain for the period of 1975-1997, they found a relationship between tourism and </w:t>
      </w:r>
      <w:r>
        <w:t>EG</w:t>
      </w:r>
      <w:r w:rsidRPr="00D96B31">
        <w:t xml:space="preserve">, and used </w:t>
      </w:r>
      <w:r w:rsidRPr="00D96B31">
        <w:lastRenderedPageBreak/>
        <w:t xml:space="preserve">a Granger's analysis of causality </w:t>
      </w:r>
      <w:r>
        <w:t>whi</w:t>
      </w:r>
      <w:r w:rsidRPr="00D96B31">
        <w:t xml:space="preserve">ch led to the conclusion that the tourism industry triggered </w:t>
      </w:r>
      <w:r>
        <w:t>EG</w:t>
      </w:r>
      <w:r w:rsidRPr="00D96B31">
        <w:t>. Their work was supported by Brida et al. (2010), who suggested that tourist spending in Argentina had a positive effect on per capita income, and Eugenio-Martin et al. (2004) put forward the same relationship for other Latin American countries. Seetanah (2010) found that tourism development was the main factor in explaining economic performance us</w:t>
      </w:r>
      <w:r>
        <w:t>i</w:t>
      </w:r>
      <w:r w:rsidRPr="00D96B31">
        <w:t xml:space="preserve">ng a study which analyzed the relationship between tourism and </w:t>
      </w:r>
      <w:r>
        <w:t>EG</w:t>
      </w:r>
      <w:r w:rsidRPr="00D96B31">
        <w:t xml:space="preserve"> in island countries by applying </w:t>
      </w:r>
      <w:r>
        <w:t xml:space="preserve">the Generalized Method of Moments </w:t>
      </w:r>
      <w:r w:rsidRPr="00355DE8">
        <w:t>(GMM)</w:t>
      </w:r>
      <w:r>
        <w:t xml:space="preserve"> technique</w:t>
      </w:r>
      <w:r w:rsidRPr="00D96B31">
        <w:t xml:space="preserve"> in dynamic panel data for the period of 1990-2007. </w:t>
      </w:r>
    </w:p>
    <w:p w:rsidR="00747549" w:rsidRDefault="00747549" w:rsidP="00747549">
      <w:pPr>
        <w:spacing w:before="60" w:after="60"/>
        <w:ind w:firstLine="567"/>
        <w:jc w:val="both"/>
      </w:pPr>
      <w:r w:rsidRPr="00D96B31">
        <w:t xml:space="preserve">The study conducted by Gökovalı and Bahar (2006) using the panel data from the Mediterranean countries for the period between 1987-2002 revealed that tourism contributes positively to </w:t>
      </w:r>
      <w:r>
        <w:t>EG</w:t>
      </w:r>
      <w:r w:rsidRPr="00D96B31">
        <w:t xml:space="preserve"> by increasing the share of investment and labo</w:t>
      </w:r>
      <w:r>
        <w:t>u</w:t>
      </w:r>
      <w:r w:rsidRPr="00D96B31">
        <w:t xml:space="preserve">r force in GDP. </w:t>
      </w:r>
      <w:r>
        <w:t xml:space="preserve">The results of the fixed and random effect models </w:t>
      </w:r>
      <w:r w:rsidRPr="00D96B31">
        <w:t>confirmed the</w:t>
      </w:r>
      <w:r>
        <w:t xml:space="preserve"> TLGH, showing that a </w:t>
      </w:r>
      <w:r w:rsidRPr="00D96B31">
        <w:t xml:space="preserve">1% increase in </w:t>
      </w:r>
      <w:r>
        <w:t>TR</w:t>
      </w:r>
      <w:r w:rsidRPr="00D96B31">
        <w:t xml:space="preserve"> rises the GDP growth rate by 8% in this region. Tang and Abosedra (2014) also found results confirming the</w:t>
      </w:r>
      <w:r>
        <w:t xml:space="preserve"> TLGH</w:t>
      </w:r>
      <w:r w:rsidRPr="00D96B31">
        <w:t xml:space="preserve">. In order to explain the effect of tourism, energy consumption and political stability on </w:t>
      </w:r>
      <w:r>
        <w:t>EG</w:t>
      </w:r>
      <w:r w:rsidRPr="00D96B31">
        <w:t xml:space="preserve"> in Middle Eastern and North African (MENA) countries, they used both static and dynamic </w:t>
      </w:r>
      <w:r>
        <w:t xml:space="preserve">GMM </w:t>
      </w:r>
      <w:r w:rsidRPr="00D96B31">
        <w:t xml:space="preserve">panel data estimation methods.  According to the results of their study, </w:t>
      </w:r>
      <w:r>
        <w:t xml:space="preserve">a </w:t>
      </w:r>
      <w:r w:rsidRPr="00D96B31">
        <w:t>10% increase in per</w:t>
      </w:r>
      <w:r>
        <w:t xml:space="preserve"> </w:t>
      </w:r>
      <w:r w:rsidRPr="00D96B31">
        <w:t xml:space="preserve">capita </w:t>
      </w:r>
      <w:r>
        <w:t>TR</w:t>
      </w:r>
      <w:r w:rsidRPr="00D96B31">
        <w:t xml:space="preserve"> in MENA countries causes a 0.7% increase in the </w:t>
      </w:r>
      <w:r>
        <w:t>EG</w:t>
      </w:r>
      <w:r w:rsidRPr="00D96B31">
        <w:t xml:space="preserve"> in these countries. Gunduz and Hatemi (2005) conducted a study for Turkey covering the period 1963-2002. By </w:t>
      </w:r>
      <w:r w:rsidRPr="00D259A8">
        <w:t>using the leveraged bootstrap causality test</w:t>
      </w:r>
      <w:r w:rsidRPr="00D96B31">
        <w:t xml:space="preserve"> they found a unidirectional causality from international tourism to </w:t>
      </w:r>
      <w:r>
        <w:t>EG</w:t>
      </w:r>
      <w:r w:rsidRPr="00D96B31">
        <w:t xml:space="preserve">. Thus, they confirmed the </w:t>
      </w:r>
      <w:r>
        <w:t>TLGH</w:t>
      </w:r>
      <w:r w:rsidRPr="00D96B31">
        <w:t xml:space="preserve"> for Turkey.</w:t>
      </w:r>
      <w:r>
        <w:t xml:space="preserve"> </w:t>
      </w:r>
      <w:r w:rsidRPr="00D96B31">
        <w:t xml:space="preserve">Kum et al. (2015), analyzed the relationship between tourism activity and </w:t>
      </w:r>
      <w:r>
        <w:t>EG</w:t>
      </w:r>
      <w:r w:rsidRPr="00D96B31">
        <w:t xml:space="preserve"> for the Futur</w:t>
      </w:r>
      <w:r>
        <w:t>e 11 countries using the data from</w:t>
      </w:r>
      <w:r w:rsidRPr="00D96B31">
        <w:t xml:space="preserve"> 1995-2013 and a panel cointegration technique. They found a positive</w:t>
      </w:r>
      <w:r>
        <w:t xml:space="preserve"> </w:t>
      </w:r>
      <w:r w:rsidRPr="00D96B31">
        <w:t xml:space="preserve">relationship between tourist arrivals and GDP. According to the results, </w:t>
      </w:r>
      <w:r>
        <w:t xml:space="preserve">a </w:t>
      </w:r>
      <w:r w:rsidRPr="00D96B31">
        <w:t>1% increase in tourist arrivals increases GDP by 0.06% in the Future 11 countries.</w:t>
      </w:r>
      <w:r>
        <w:t xml:space="preserve"> </w:t>
      </w:r>
      <w:r w:rsidRPr="00D96B31">
        <w:t xml:space="preserve">Cárdenas-García et al. (2015) conducted research for 144 countries to test whether tourism causes economic development through </w:t>
      </w:r>
      <w:r>
        <w:t>EG</w:t>
      </w:r>
      <w:r w:rsidRPr="00D96B31">
        <w:t>.  By using structural equation mode</w:t>
      </w:r>
      <w:r>
        <w:t>l</w:t>
      </w:r>
      <w:r w:rsidRPr="00D96B31">
        <w:t>ling, the study revealed that tourism led to economic development, but the results were</w:t>
      </w:r>
      <w:r>
        <w:t xml:space="preserve"> found to vary across </w:t>
      </w:r>
      <w:r w:rsidRPr="00D96B31">
        <w:t>countries.</w:t>
      </w:r>
      <w:r>
        <w:t xml:space="preserve"> Akinboade and Braimoh (2010) conducted a research to investigate this causality for African countries covering data 1980-2005, and their findings confirmed a one-way relationship from TR to real GDP.</w:t>
      </w:r>
    </w:p>
    <w:p w:rsidR="00747549" w:rsidRDefault="00747549" w:rsidP="00747549">
      <w:pPr>
        <w:spacing w:before="60" w:after="60"/>
        <w:ind w:firstLine="567"/>
        <w:jc w:val="both"/>
      </w:pPr>
      <w:r w:rsidRPr="00D96B31">
        <w:t xml:space="preserve">Belloumi (2010), questioned the relationship between tourism and </w:t>
      </w:r>
      <w:r>
        <w:t>EG</w:t>
      </w:r>
      <w:r w:rsidRPr="00D96B31">
        <w:t xml:space="preserve"> in Tunisia in 1970-2007 by using cointegration and causality tests. Granger causality relationship could not be found in the short term but, it was observed that tourism led to long-term real GDP growth. Therefore</w:t>
      </w:r>
      <w:r>
        <w:t>, the existence of NCH</w:t>
      </w:r>
      <w:r w:rsidRPr="00D96B31">
        <w:t xml:space="preserve"> in the short term and the TLG</w:t>
      </w:r>
      <w:r>
        <w:t>H</w:t>
      </w:r>
      <w:r w:rsidRPr="00D96B31">
        <w:t xml:space="preserve"> </w:t>
      </w:r>
      <w:r>
        <w:t xml:space="preserve">was accepted </w:t>
      </w:r>
      <w:r w:rsidRPr="00D96B31">
        <w:t>in</w:t>
      </w:r>
      <w:r>
        <w:t xml:space="preserve"> the long term.</w:t>
      </w:r>
    </w:p>
    <w:p w:rsidR="00747549" w:rsidRDefault="00747549" w:rsidP="00747549">
      <w:pPr>
        <w:spacing w:before="60" w:after="60"/>
        <w:ind w:firstLine="567"/>
        <w:jc w:val="both"/>
      </w:pPr>
      <w:r w:rsidRPr="00D96B31">
        <w:t>Fayissa et al. (2008) analyzed the causal</w:t>
      </w:r>
      <w:r>
        <w:t xml:space="preserve">ity </w:t>
      </w:r>
      <w:r w:rsidRPr="00D96B31">
        <w:t xml:space="preserve">between tourism income and </w:t>
      </w:r>
      <w:r>
        <w:t xml:space="preserve">economic </w:t>
      </w:r>
      <w:r w:rsidRPr="00D96B31">
        <w:t xml:space="preserve">growth rates </w:t>
      </w:r>
      <w:r>
        <w:t>between</w:t>
      </w:r>
      <w:r w:rsidRPr="00D96B31">
        <w:t xml:space="preserve"> 1995-2004 for 42 African countries. The results of GMM and fixed random</w:t>
      </w:r>
      <w:r>
        <w:t xml:space="preserve"> effects model</w:t>
      </w:r>
      <w:r w:rsidRPr="00D96B31">
        <w:t xml:space="preserve"> suggested that </w:t>
      </w:r>
      <w:r>
        <w:t>TR</w:t>
      </w:r>
      <w:r w:rsidRPr="00D96B31">
        <w:t xml:space="preserve"> contribute positively to the current output level and </w:t>
      </w:r>
      <w:r>
        <w:t>EG</w:t>
      </w:r>
      <w:r w:rsidRPr="00D96B31">
        <w:t xml:space="preserve"> in Sub-Saharan African countries. By analyzing the relationship between tourism expenditures and </w:t>
      </w:r>
      <w:r>
        <w:t>EG</w:t>
      </w:r>
      <w:r w:rsidRPr="00D96B31">
        <w:t xml:space="preserve"> with panel cointegration and pan</w:t>
      </w:r>
      <w:r>
        <w:t>el Granger causality tests with the</w:t>
      </w:r>
      <w:r w:rsidRPr="00D96B31">
        <w:t xml:space="preserve"> data from 49 countries, Seghir et al. (2015</w:t>
      </w:r>
      <w:r>
        <w:t>) confirmed</w:t>
      </w:r>
      <w:r w:rsidRPr="00D96B31">
        <w:t xml:space="preserve"> a </w:t>
      </w:r>
      <w:r>
        <w:t xml:space="preserve">bidirectional </w:t>
      </w:r>
      <w:r w:rsidRPr="00D96B31">
        <w:t xml:space="preserve">relationship between </w:t>
      </w:r>
      <w:r>
        <w:t xml:space="preserve">these </w:t>
      </w:r>
      <w:r w:rsidRPr="00D96B31">
        <w:t xml:space="preserve">two variables </w:t>
      </w:r>
      <w:r>
        <w:t>in the long run.</w:t>
      </w:r>
    </w:p>
    <w:p w:rsidR="00747549" w:rsidRDefault="00747549" w:rsidP="00747549">
      <w:pPr>
        <w:spacing w:before="60" w:after="60"/>
        <w:ind w:firstLine="567"/>
        <w:jc w:val="both"/>
      </w:pPr>
      <w:r w:rsidRPr="00D96B31">
        <w:t xml:space="preserve">Oh (2005), who also used the Granger causality test, found a </w:t>
      </w:r>
      <w:r>
        <w:t>one-way causality</w:t>
      </w:r>
      <w:r w:rsidRPr="00D96B31">
        <w:t xml:space="preserve"> between tourism </w:t>
      </w:r>
      <w:r>
        <w:t>growth and economic expansion</w:t>
      </w:r>
      <w:r w:rsidRPr="00D96B31">
        <w:t>, using data from Korea.</w:t>
      </w:r>
      <w:r>
        <w:t xml:space="preserve"> U</w:t>
      </w:r>
      <w:r w:rsidRPr="00D96B31">
        <w:t>sing annual data</w:t>
      </w:r>
      <w:r>
        <w:t>,</w:t>
      </w:r>
      <w:r w:rsidRPr="00D96B31">
        <w:t xml:space="preserve"> Kreishan (2010) investigated the causal relationship between </w:t>
      </w:r>
      <w:r>
        <w:t>TR</w:t>
      </w:r>
      <w:r w:rsidRPr="00D96B31">
        <w:t xml:space="preserve"> and </w:t>
      </w:r>
      <w:r>
        <w:t>EG</w:t>
      </w:r>
      <w:r w:rsidRPr="00D96B31">
        <w:t xml:space="preserve"> in Jordan </w:t>
      </w:r>
      <w:r>
        <w:lastRenderedPageBreak/>
        <w:t xml:space="preserve">for </w:t>
      </w:r>
      <w:r w:rsidRPr="00D96B31">
        <w:t xml:space="preserve">1970-2009. The results of the Granger causality test </w:t>
      </w:r>
      <w:r>
        <w:t>confirmed a one-way causality from TR to EG</w:t>
      </w:r>
      <w:r w:rsidRPr="00D96B31">
        <w:t>.</w:t>
      </w:r>
    </w:p>
    <w:p w:rsidR="00747549" w:rsidRPr="00EA215C" w:rsidRDefault="00747549" w:rsidP="00747549">
      <w:pPr>
        <w:spacing w:before="60" w:after="60"/>
        <w:ind w:firstLine="567"/>
        <w:jc w:val="both"/>
      </w:pPr>
      <w:r w:rsidRPr="00653F3C">
        <w:t xml:space="preserve">Dritsakis (2004) using data from Greece and Durbarry (2004) from Mauritius also applying the error correction model, found a bidirectional relationship between tourism and </w:t>
      </w:r>
      <w:r>
        <w:t>EG</w:t>
      </w:r>
      <w:r w:rsidRPr="00653F3C">
        <w:t>. Durbarry (2004) concluded that tourism c</w:t>
      </w:r>
      <w:r>
        <w:t>ould</w:t>
      </w:r>
      <w:r w:rsidRPr="00653F3C">
        <w:t xml:space="preserve"> be a source of </w:t>
      </w:r>
      <w:r>
        <w:t>EG</w:t>
      </w:r>
      <w:r w:rsidRPr="00653F3C">
        <w:t xml:space="preserve"> when the revenue in exports for the Mauritius economy is decreasing. </w:t>
      </w:r>
      <w:r w:rsidRPr="00D96B31">
        <w:t xml:space="preserve">Kim et al. (2006), using the cointegration model and a Granger causality test, also found a </w:t>
      </w:r>
      <w:r>
        <w:t>two-way</w:t>
      </w:r>
      <w:r w:rsidRPr="00D96B31">
        <w:t xml:space="preserve"> relationship between </w:t>
      </w:r>
      <w:r>
        <w:t xml:space="preserve">EG and </w:t>
      </w:r>
      <w:r w:rsidRPr="00D96B31">
        <w:t>tourism</w:t>
      </w:r>
      <w:r>
        <w:t xml:space="preserve"> expansion</w:t>
      </w:r>
      <w:r w:rsidRPr="00D96B31">
        <w:t>, using Taiwanese data.</w:t>
      </w:r>
    </w:p>
    <w:p w:rsidR="00747549" w:rsidRDefault="00747549" w:rsidP="00747549">
      <w:pPr>
        <w:spacing w:before="60" w:after="60"/>
        <w:ind w:firstLine="567"/>
        <w:jc w:val="both"/>
      </w:pPr>
      <w:r w:rsidRPr="00D96B31">
        <w:t xml:space="preserve">In his study conducted for Cyprus, </w:t>
      </w:r>
      <w:r>
        <w:t>Katırcıoğlu (2009</w:t>
      </w:r>
      <w:r w:rsidRPr="00D96B31">
        <w:t>) concluded that the increase in real income in the country encourages international tourist arrivals</w:t>
      </w:r>
      <w:r>
        <w:t>. T</w:t>
      </w:r>
      <w:r w:rsidRPr="00D96B31">
        <w:t xml:space="preserve">hus he rejected the </w:t>
      </w:r>
      <w:r>
        <w:t>TLGH</w:t>
      </w:r>
      <w:r w:rsidRPr="00D96B31">
        <w:t xml:space="preserve">. Similarly, Payne and Mervar (2010) </w:t>
      </w:r>
      <w:r>
        <w:t>using quarterly data and Toda-Yamamoto causality tests</w:t>
      </w:r>
      <w:r w:rsidRPr="00D96B31">
        <w:t xml:space="preserve"> could not find a causal relationship between tourism development that leads to </w:t>
      </w:r>
      <w:r>
        <w:t>EG</w:t>
      </w:r>
      <w:r w:rsidRPr="00D96B31">
        <w:t xml:space="preserve"> for Croatia. However</w:t>
      </w:r>
      <w:r>
        <w:t>, they found a one-way</w:t>
      </w:r>
      <w:r w:rsidRPr="00D96B31">
        <w:t xml:space="preserve"> relationship from real GDP to </w:t>
      </w:r>
      <w:r>
        <w:t>TR</w:t>
      </w:r>
      <w:r w:rsidRPr="00D96B31">
        <w:t xml:space="preserve">. According to the authors, the implementation of policies promoting corporate transparency and positive investment environment will ensure the growth of the tourism sector. These policy implementations, which show the existence of a stable environment in the country, will play an increasing role in the number of tourists coming to the country and thus </w:t>
      </w:r>
      <w:r>
        <w:t>TR</w:t>
      </w:r>
      <w:r w:rsidRPr="00D96B31">
        <w:t>.</w:t>
      </w:r>
    </w:p>
    <w:p w:rsidR="00747549" w:rsidRPr="00D96B31" w:rsidRDefault="00747549" w:rsidP="00747549">
      <w:pPr>
        <w:spacing w:before="60" w:after="60"/>
        <w:ind w:firstLine="567"/>
        <w:jc w:val="both"/>
      </w:pPr>
      <w:r w:rsidRPr="00D96B31">
        <w:t xml:space="preserve">Fawaz and Rahnama (2014) analyzed the causal relationship between international tourism and </w:t>
      </w:r>
      <w:r>
        <w:t>EG</w:t>
      </w:r>
      <w:r w:rsidRPr="00D96B31">
        <w:t xml:space="preserve"> in 144 countries </w:t>
      </w:r>
      <w:r>
        <w:t>by classifying them into</w:t>
      </w:r>
      <w:r w:rsidRPr="00D96B31">
        <w:t xml:space="preserve"> 6 regions and 4 different income groups. They considered the period 1975-2010 by using the panel analytical estimation method based on fixed and </w:t>
      </w:r>
      <w:r>
        <w:t>GMM</w:t>
      </w:r>
      <w:r w:rsidRPr="00D96B31">
        <w:t xml:space="preserve">. The results of the study revealed that </w:t>
      </w:r>
      <w:r>
        <w:t>EG</w:t>
      </w:r>
      <w:r w:rsidRPr="00D96B31">
        <w:t xml:space="preserve"> significantly contribute</w:t>
      </w:r>
      <w:r>
        <w:t>s</w:t>
      </w:r>
      <w:r w:rsidRPr="00D96B31">
        <w:t xml:space="preserve"> to </w:t>
      </w:r>
      <w:r>
        <w:t>TR</w:t>
      </w:r>
      <w:r w:rsidRPr="00D96B31">
        <w:t xml:space="preserve"> per capita. Therefore, they accepted the </w:t>
      </w:r>
      <w:r>
        <w:t>GLTH</w:t>
      </w:r>
      <w:r w:rsidRPr="00D96B31">
        <w:t xml:space="preserve"> in their study.</w:t>
      </w:r>
      <w:r>
        <w:t xml:space="preserve"> In order to test the causality </w:t>
      </w:r>
      <w:r w:rsidRPr="00D96B31">
        <w:t xml:space="preserve">between </w:t>
      </w:r>
      <w:r>
        <w:t>TR</w:t>
      </w:r>
      <w:r w:rsidRPr="00D96B31">
        <w:t xml:space="preserve"> and </w:t>
      </w:r>
      <w:r>
        <w:t>EG,</w:t>
      </w:r>
      <w:r w:rsidRPr="00D96B31">
        <w:t xml:space="preserve"> </w:t>
      </w:r>
      <w:r>
        <w:t>Kızılgöl</w:t>
      </w:r>
      <w:r w:rsidRPr="00D96B31">
        <w:t xml:space="preserve"> and Erbaykal (2008) </w:t>
      </w:r>
      <w:r>
        <w:t>applied</w:t>
      </w:r>
      <w:r w:rsidRPr="00D96B31">
        <w:t xml:space="preserve"> Toda-Yamamoto approach. They found a one-way causality from </w:t>
      </w:r>
      <w:r>
        <w:t>EG</w:t>
      </w:r>
      <w:r w:rsidRPr="00D96B31">
        <w:t xml:space="preserve"> to </w:t>
      </w:r>
      <w:r>
        <w:t>TR. Hence, confirmed the GLTH</w:t>
      </w:r>
      <w:r w:rsidRPr="00D96B31">
        <w:t xml:space="preserve"> for Turkey.</w:t>
      </w:r>
      <w:r>
        <w:t xml:space="preserve"> </w:t>
      </w:r>
      <w:r w:rsidRPr="00D96B31">
        <w:t>Suresh and Senthilnathan (2014)</w:t>
      </w:r>
      <w:r>
        <w:t xml:space="preserve"> studied the causality</w:t>
      </w:r>
      <w:r w:rsidRPr="00D96B31">
        <w:t xml:space="preserve"> between </w:t>
      </w:r>
      <w:r>
        <w:t>TR</w:t>
      </w:r>
      <w:r w:rsidRPr="00D96B31">
        <w:t xml:space="preserve"> and </w:t>
      </w:r>
      <w:r>
        <w:t>EG</w:t>
      </w:r>
      <w:r w:rsidRPr="00D96B31">
        <w:t xml:space="preserve"> empirically by using Granger </w:t>
      </w:r>
      <w:r>
        <w:t>causality test and error correction model</w:t>
      </w:r>
      <w:r w:rsidRPr="00D96B31">
        <w:t xml:space="preserve"> for the period 1977-20</w:t>
      </w:r>
      <w:r>
        <w:t>12 in Sri Lanka and found a causality from EG to</w:t>
      </w:r>
      <w:r w:rsidRPr="00D96B31">
        <w:t xml:space="preserve"> </w:t>
      </w:r>
      <w:r>
        <w:t>TR</w:t>
      </w:r>
      <w:r w:rsidRPr="00D96B31">
        <w:t xml:space="preserve">. Thus, </w:t>
      </w:r>
      <w:r>
        <w:t xml:space="preserve">the GLTH </w:t>
      </w:r>
      <w:r w:rsidRPr="00D96B31">
        <w:t>was accepted for Sri Lanka.</w:t>
      </w:r>
    </w:p>
    <w:p w:rsidR="00747549" w:rsidRPr="00D96B31" w:rsidRDefault="00747549" w:rsidP="00747549">
      <w:pPr>
        <w:spacing w:before="60" w:after="60"/>
        <w:ind w:firstLine="567"/>
        <w:jc w:val="both"/>
      </w:pPr>
      <w:r w:rsidRPr="001C2549">
        <w:t>One of the pioneering studies in this field was conducted by Antonakakis et al. (2015) to investigat</w:t>
      </w:r>
      <w:r>
        <w:t>e the nature of the relationship</w:t>
      </w:r>
      <w:r w:rsidRPr="001C2549">
        <w:t xml:space="preserve"> between </w:t>
      </w:r>
      <w:r>
        <w:t>EG</w:t>
      </w:r>
      <w:r w:rsidRPr="001C2549">
        <w:t xml:space="preserve"> and tourism by examining 10 European Union countries</w:t>
      </w:r>
      <w:r>
        <w:t xml:space="preserve"> using a spillover index approach</w:t>
      </w:r>
      <w:r w:rsidRPr="001C2549">
        <w:t xml:space="preserve">. In their analysis, the authors included both the countries that were severely affected by the 2008 global crisis and the ones less affected by the crisis. The results of the study revealed that the direction between the two variables changes over time. </w:t>
      </w:r>
      <w:r>
        <w:t xml:space="preserve">Some countries shifted from </w:t>
      </w:r>
      <w:r w:rsidRPr="001C2549">
        <w:t>tourism-led growth to growth-led</w:t>
      </w:r>
      <w:r>
        <w:t xml:space="preserve"> tourism during the crisis</w:t>
      </w:r>
      <w:r w:rsidRPr="001C2549">
        <w:t>.  The results showed that different economic events c</w:t>
      </w:r>
      <w:r>
        <w:t>ould</w:t>
      </w:r>
      <w:r w:rsidRPr="001C2549">
        <w:t xml:space="preserve"> change the </w:t>
      </w:r>
      <w:r>
        <w:t xml:space="preserve">causality </w:t>
      </w:r>
      <w:r w:rsidRPr="001C2549">
        <w:t>directio</w:t>
      </w:r>
      <w:r>
        <w:t xml:space="preserve">n </w:t>
      </w:r>
      <w:r w:rsidRPr="001C2549">
        <w:t>between these two variabl</w:t>
      </w:r>
      <w:r>
        <w:t>es. I</w:t>
      </w:r>
      <w:r w:rsidRPr="001C2549">
        <w:t>mpact of</w:t>
      </w:r>
      <w:r>
        <w:t xml:space="preserve"> the</w:t>
      </w:r>
      <w:r w:rsidRPr="001C2549">
        <w:t xml:space="preserve"> economic crisis found to be stronger particularly for Greece, Cyprus, Spain and Portugal.</w:t>
      </w:r>
    </w:p>
    <w:p w:rsidR="00747549" w:rsidRPr="00D96B31" w:rsidRDefault="00747549" w:rsidP="00747549">
      <w:pPr>
        <w:spacing w:before="60" w:after="60"/>
        <w:ind w:firstLine="567"/>
        <w:jc w:val="both"/>
      </w:pPr>
      <w:r>
        <w:t>Albaladejo et al. (2014) analys</w:t>
      </w:r>
      <w:r w:rsidRPr="006608D3">
        <w:t xml:space="preserve">ed the relationship between tourism and </w:t>
      </w:r>
      <w:r>
        <w:t xml:space="preserve">EG with Spain’s annual data considering the period </w:t>
      </w:r>
      <w:r w:rsidRPr="006608D3">
        <w:t>1970-2010 using Johansen cointegration error correction model and dynamic Granger causalit</w:t>
      </w:r>
      <w:r>
        <w:t>y test. According to the findings</w:t>
      </w:r>
      <w:r w:rsidRPr="006608D3">
        <w:t xml:space="preserve"> of the analysis, an increase in </w:t>
      </w:r>
      <w:r>
        <w:t>EG</w:t>
      </w:r>
      <w:r w:rsidRPr="006608D3">
        <w:t xml:space="preserve"> creates an increase in the arriv</w:t>
      </w:r>
      <w:r>
        <w:t>al of tourists in the short run</w:t>
      </w:r>
      <w:r w:rsidRPr="006608D3">
        <w:t>. In the long run, tourist arrivals, the quality of tourism accommodation facilities and global GDP are positively influential on real GDP in Spain.</w:t>
      </w:r>
      <w:r>
        <w:t xml:space="preserve"> Their findings confirmed the feedback hypothesis. </w:t>
      </w:r>
      <w:r w:rsidRPr="00D96B31">
        <w:t xml:space="preserve">Samimi et al. (2011) analyzed the 1995-2009 period for developing countries by using </w:t>
      </w:r>
      <w:r>
        <w:t>the panel VAR</w:t>
      </w:r>
      <w:r w:rsidRPr="00D96B31">
        <w:t xml:space="preserve"> approach. According to the results of the analysis, there </w:t>
      </w:r>
      <w:r w:rsidRPr="00D96B31">
        <w:lastRenderedPageBreak/>
        <w:t xml:space="preserve">is bidirectional causality and </w:t>
      </w:r>
      <w:r>
        <w:t xml:space="preserve">a </w:t>
      </w:r>
      <w:r w:rsidRPr="00D96B31">
        <w:t xml:space="preserve">positive long-term relationship between </w:t>
      </w:r>
      <w:r>
        <w:t>EG</w:t>
      </w:r>
      <w:r w:rsidRPr="00D96B31">
        <w:t xml:space="preserve"> and tourism development. </w:t>
      </w:r>
    </w:p>
    <w:p w:rsidR="00747549" w:rsidRPr="00294ADE" w:rsidRDefault="00747549" w:rsidP="00747549">
      <w:pPr>
        <w:spacing w:before="60" w:after="60"/>
        <w:ind w:firstLine="567"/>
        <w:jc w:val="both"/>
      </w:pPr>
      <w:r w:rsidRPr="00294ADE">
        <w:t xml:space="preserve">Antonakakis et al. (2013) tested the relationship between tourism and </w:t>
      </w:r>
      <w:r>
        <w:t>EG</w:t>
      </w:r>
      <w:r w:rsidRPr="00294ADE">
        <w:t xml:space="preserve"> for the selected 10 European countries using a vector autoregressive model (VAR). According to the results of the study, the TLGH for Italy and the Netherlands; the GLTH hypothesis for Cyprus, Germany and Greece; the BC hypothesis for Austria, Portugal and Spain; and the NCH for Sweden and England all were confirmed. </w:t>
      </w:r>
    </w:p>
    <w:p w:rsidR="00747549" w:rsidRPr="00D96B31" w:rsidRDefault="00747549" w:rsidP="00747549">
      <w:pPr>
        <w:spacing w:before="60" w:after="60"/>
        <w:ind w:firstLine="567"/>
        <w:jc w:val="both"/>
      </w:pPr>
      <w:r w:rsidRPr="00D96B31">
        <w:t>In the study conducted by Tugcu (2014) for European, Asian and African countries using panel data analysis with the annual data of 1998-2011 period, it is conclu</w:t>
      </w:r>
      <w:r>
        <w:t>ded that the causality</w:t>
      </w:r>
      <w:r w:rsidRPr="00D96B31">
        <w:t xml:space="preserve"> between tourism and </w:t>
      </w:r>
      <w:r>
        <w:t>EG vary between countries and depends on the selected tourism indicators.</w:t>
      </w:r>
    </w:p>
    <w:p w:rsidR="00747549" w:rsidRPr="00294ADE" w:rsidRDefault="00747549" w:rsidP="00747549">
      <w:pPr>
        <w:spacing w:before="60" w:after="60"/>
        <w:ind w:firstLine="567"/>
        <w:jc w:val="both"/>
      </w:pPr>
      <w:r w:rsidRPr="00294ADE">
        <w:t xml:space="preserve">Arslanturk et al. (2011) analyzed the Granger causality between </w:t>
      </w:r>
      <w:r>
        <w:t>TR</w:t>
      </w:r>
      <w:r w:rsidRPr="00294ADE">
        <w:t xml:space="preserve"> and GDP in Turkey for 1963-2006 period using the rolling window and time-varying coefficients estimation methods. The Vector Error Correction Model (VECM) revealed no Granger causality between the series</w:t>
      </w:r>
      <w:r>
        <w:t>. H</w:t>
      </w:r>
      <w:r w:rsidRPr="00294ADE">
        <w:t xml:space="preserve">owever, it was observed that </w:t>
      </w:r>
      <w:r>
        <w:t>TR</w:t>
      </w:r>
      <w:r w:rsidRPr="00294ADE">
        <w:t xml:space="preserve"> had a strong power to explain the GDP in the early years of </w:t>
      </w:r>
      <w:r>
        <w:t xml:space="preserve">the </w:t>
      </w:r>
      <w:r w:rsidRPr="00294ADE">
        <w:t>1980s. Therefore, the NCH was accepted by Turkey.</w:t>
      </w:r>
    </w:p>
    <w:p w:rsidR="00747549" w:rsidRPr="00D96B31" w:rsidRDefault="00747549" w:rsidP="00747549">
      <w:pPr>
        <w:spacing w:before="60" w:after="60"/>
        <w:ind w:firstLine="567"/>
        <w:jc w:val="both"/>
      </w:pPr>
      <w:r w:rsidRPr="00D96B31">
        <w:t xml:space="preserve">Dritsakis and Athanasiadis (2000) conducted a study for Greece applying </w:t>
      </w:r>
      <w:r>
        <w:t xml:space="preserve">the Ordinary Least Squares (OLS) model </w:t>
      </w:r>
      <w:r w:rsidRPr="00D96B31">
        <w:t>taking into account 1960:Q1-2000:</w:t>
      </w:r>
      <w:r>
        <w:t xml:space="preserve"> </w:t>
      </w:r>
      <w:r w:rsidRPr="00D96B31">
        <w:t xml:space="preserve">Q4 period. They found a long-term cointegration relationship between tourism and </w:t>
      </w:r>
      <w:r>
        <w:t>EG</w:t>
      </w:r>
      <w:r w:rsidRPr="00D96B31">
        <w:t>.</w:t>
      </w:r>
    </w:p>
    <w:p w:rsidR="00747549" w:rsidRPr="00294ADE" w:rsidRDefault="00747549" w:rsidP="00747549">
      <w:pPr>
        <w:ind w:firstLine="567"/>
        <w:jc w:val="both"/>
      </w:pPr>
      <w:r w:rsidRPr="006D7834">
        <w:t>Pavlic et al. (2014) used Johansen Maximum Likelihood cointegration and VECM techniques to study the causal relationship between tourism and EG in Croatia for the period 1996-2013</w:t>
      </w:r>
      <w:r>
        <w:t>. Based on the study results</w:t>
      </w:r>
      <w:r w:rsidRPr="00294ADE">
        <w:t>, there is a causal relationship between the openness of the economy and GDP; the real effective exchange rate and the GDP in the short term, but there is no causal relationship between the tourist arrivals and the GDP in the short term. Therefore, the NCH was accepted.</w:t>
      </w:r>
    </w:p>
    <w:p w:rsidR="00747549" w:rsidRPr="00D96B31" w:rsidRDefault="00747549" w:rsidP="00747549">
      <w:pPr>
        <w:spacing w:before="60" w:after="60"/>
        <w:ind w:firstLine="567"/>
        <w:jc w:val="both"/>
      </w:pPr>
      <w:r w:rsidRPr="006D7834">
        <w:t xml:space="preserve">Schubert et al. (2011) used </w:t>
      </w:r>
      <w:r>
        <w:t>1970-</w:t>
      </w:r>
      <w:r w:rsidRPr="006D7834">
        <w:t xml:space="preserve">2008 period </w:t>
      </w:r>
      <w:r>
        <w:t xml:space="preserve">data </w:t>
      </w:r>
      <w:r w:rsidRPr="006D7834">
        <w:t>to examine the casual relationship between EG and tourism development with VECM cointegration and Granger causality tests for Antigua and Barbuda.</w:t>
      </w:r>
      <w:r>
        <w:t xml:space="preserve"> They found a one-way causal relationship between tourism and</w:t>
      </w:r>
      <w:r w:rsidRPr="00D96B31">
        <w:t xml:space="preserve"> </w:t>
      </w:r>
      <w:r>
        <w:t>EG. Therefore, the TLGH</w:t>
      </w:r>
      <w:r w:rsidRPr="00D96B31">
        <w:t xml:space="preserve"> </w:t>
      </w:r>
      <w:r>
        <w:t xml:space="preserve">was </w:t>
      </w:r>
      <w:r w:rsidRPr="00D96B31">
        <w:t>accepted</w:t>
      </w:r>
      <w:r>
        <w:t xml:space="preserve"> </w:t>
      </w:r>
      <w:r w:rsidRPr="00D96B31">
        <w:t>for these countries</w:t>
      </w:r>
      <w:r>
        <w:t>.</w:t>
      </w:r>
    </w:p>
    <w:p w:rsidR="00747549" w:rsidRPr="00D96B31" w:rsidRDefault="00747549" w:rsidP="00747549">
      <w:pPr>
        <w:spacing w:before="60" w:after="60"/>
        <w:ind w:firstLine="567"/>
        <w:jc w:val="both"/>
      </w:pPr>
      <w:r w:rsidRPr="00D96B31">
        <w:t xml:space="preserve">Ozturk and Acaravcı (2009) investigated the long-term relationship between real GDP and international tourism in Turkey taking into account the period from 1987 to 2007. In the study where the </w:t>
      </w:r>
      <w:r>
        <w:t xml:space="preserve">TLGH </w:t>
      </w:r>
      <w:r w:rsidRPr="00D96B31">
        <w:t xml:space="preserve">was tested using </w:t>
      </w:r>
      <w:r>
        <w:t xml:space="preserve">VEC </w:t>
      </w:r>
      <w:r w:rsidRPr="00D96B31">
        <w:t>and autoregressive distributed delay (ARDL) models, neither Johansen</w:t>
      </w:r>
      <w:r>
        <w:t>’s</w:t>
      </w:r>
      <w:r w:rsidRPr="00D96B31">
        <w:t xml:space="preserve"> cointegration test nor </w:t>
      </w:r>
      <w:r>
        <w:t xml:space="preserve">the </w:t>
      </w:r>
      <w:r w:rsidRPr="00D96B31">
        <w:t xml:space="preserve">ARDL boundary test revealed any long-term relationship between real GDP and international tourism. Therefore, the </w:t>
      </w:r>
      <w:r>
        <w:t>TLGH</w:t>
      </w:r>
      <w:r w:rsidRPr="00D96B31">
        <w:t xml:space="preserve"> was rejected since no cointegration between variables was found.</w:t>
      </w:r>
    </w:p>
    <w:p w:rsidR="00747549" w:rsidRPr="00D96B31" w:rsidRDefault="00747549" w:rsidP="00747549">
      <w:pPr>
        <w:spacing w:before="60" w:after="60"/>
        <w:ind w:firstLine="567"/>
        <w:jc w:val="both"/>
      </w:pPr>
      <w:r>
        <w:t>Yıldırım and Ö</w:t>
      </w:r>
      <w:r w:rsidRPr="00D96B31">
        <w:t xml:space="preserve">cal (2004) studied the relationship between </w:t>
      </w:r>
      <w:r>
        <w:t>TR</w:t>
      </w:r>
      <w:r w:rsidRPr="00D96B31">
        <w:t xml:space="preserve"> and </w:t>
      </w:r>
      <w:r>
        <w:t>EG</w:t>
      </w:r>
      <w:r w:rsidRPr="00D96B31">
        <w:t xml:space="preserve"> for Turkey using the data of 1962-2002 period. By applying the VAR method, </w:t>
      </w:r>
      <w:r>
        <w:t>they found that tourism revenue</w:t>
      </w:r>
      <w:r w:rsidRPr="00D96B31">
        <w:t xml:space="preserve"> contributes</w:t>
      </w:r>
      <w:r>
        <w:t xml:space="preserve"> </w:t>
      </w:r>
      <w:r w:rsidRPr="00D96B31">
        <w:t xml:space="preserve">to </w:t>
      </w:r>
      <w:r>
        <w:t>EG</w:t>
      </w:r>
      <w:r w:rsidRPr="00D96B31">
        <w:t xml:space="preserve"> in the long term, but not in the short term. Therefore, they concluded that </w:t>
      </w:r>
      <w:r>
        <w:t xml:space="preserve">in the long run </w:t>
      </w:r>
      <w:r w:rsidRPr="00D96B31">
        <w:t>the TLG</w:t>
      </w:r>
      <w:r>
        <w:t>H</w:t>
      </w:r>
      <w:r w:rsidRPr="00D96B31">
        <w:t xml:space="preserve"> </w:t>
      </w:r>
      <w:r>
        <w:t>and in the short run the NCH is valid in Turkey.</w:t>
      </w:r>
    </w:p>
    <w:p w:rsidR="00747549" w:rsidRPr="00D96B31" w:rsidRDefault="00747549" w:rsidP="00747549">
      <w:pPr>
        <w:spacing w:before="60" w:after="60"/>
        <w:ind w:firstLine="567"/>
        <w:jc w:val="both"/>
      </w:pPr>
      <w:r w:rsidRPr="00D96B31">
        <w:t xml:space="preserve">Chou (2013) studied the impact of tourism expenditures on </w:t>
      </w:r>
      <w:r>
        <w:t>EG</w:t>
      </w:r>
      <w:r w:rsidRPr="00D96B31">
        <w:t xml:space="preserve"> for 10 transition countries between the period 1988-2011. The results of the panel dat</w:t>
      </w:r>
      <w:r>
        <w:t>a analysis revealed no causal</w:t>
      </w:r>
      <w:r w:rsidRPr="00D96B31">
        <w:t xml:space="preserve"> relationship between the</w:t>
      </w:r>
      <w:r>
        <w:t>se</w:t>
      </w:r>
      <w:r w:rsidRPr="00D96B31">
        <w:t xml:space="preserve"> variables for Bulgaria, Romania, and Slovenia. A causal relationship, from tourism expenditures to </w:t>
      </w:r>
      <w:r>
        <w:t>EG, was found for</w:t>
      </w:r>
      <w:r w:rsidRPr="00D96B31">
        <w:t xml:space="preserve"> Cyprus, Latvia, and </w:t>
      </w:r>
      <w:r w:rsidRPr="00D96B31">
        <w:lastRenderedPageBreak/>
        <w:t xml:space="preserve">Slovenia. In the Czech Republic and Poland, </w:t>
      </w:r>
      <w:r>
        <w:t xml:space="preserve">they found </w:t>
      </w:r>
      <w:r w:rsidRPr="00D96B31">
        <w:t xml:space="preserve">an inverse </w:t>
      </w:r>
      <w:r>
        <w:t xml:space="preserve">causal </w:t>
      </w:r>
      <w:r w:rsidRPr="00D96B31">
        <w:t xml:space="preserve">relationship, </w:t>
      </w:r>
      <w:r>
        <w:t>between EG and tourism expenditures</w:t>
      </w:r>
      <w:r w:rsidRPr="00D96B31">
        <w:t>.</w:t>
      </w:r>
    </w:p>
    <w:p w:rsidR="00747549" w:rsidRDefault="00747549" w:rsidP="00747549">
      <w:pPr>
        <w:spacing w:before="60" w:after="60"/>
        <w:ind w:firstLine="567"/>
        <w:jc w:val="both"/>
      </w:pPr>
      <w:r w:rsidRPr="00D96B31">
        <w:t xml:space="preserve">Shahzad et al. (2017) conducted research on </w:t>
      </w:r>
      <w:r>
        <w:t xml:space="preserve">the </w:t>
      </w:r>
      <w:r w:rsidRPr="00D96B31">
        <w:t>top 10 tourist destinations to test t</w:t>
      </w:r>
      <w:r>
        <w:t>he GLTH,</w:t>
      </w:r>
      <w:r w:rsidRPr="00D96B31">
        <w:t xml:space="preserve"> by using </w:t>
      </w:r>
      <w:r>
        <w:t>the Quantile-to-Quantile (</w:t>
      </w:r>
      <w:r w:rsidRPr="00D96B31">
        <w:t>QQ</w:t>
      </w:r>
      <w:r>
        <w:t>)</w:t>
      </w:r>
      <w:r w:rsidRPr="00D96B31">
        <w:t xml:space="preserve"> approach</w:t>
      </w:r>
      <w:r>
        <w:t xml:space="preserve"> and a tourism index</w:t>
      </w:r>
      <w:r w:rsidRPr="00D96B31">
        <w:t xml:space="preserve"> for the period 1990-2015. Although the results of the study revealed a positive relationship between </w:t>
      </w:r>
      <w:r>
        <w:t xml:space="preserve">these two variables, the </w:t>
      </w:r>
      <w:r w:rsidRPr="00D96B31">
        <w:t>relationship observed for China and Germany</w:t>
      </w:r>
      <w:r>
        <w:t xml:space="preserve"> was weak</w:t>
      </w:r>
      <w:r w:rsidRPr="00D96B31">
        <w:t>. The authors attributed this result to the relatively lower share of tourism in these economies.</w:t>
      </w:r>
    </w:p>
    <w:p w:rsidR="004F5A5F" w:rsidRPr="000764AC" w:rsidRDefault="00747549" w:rsidP="00747549">
      <w:pPr>
        <w:spacing w:before="60" w:after="60"/>
        <w:ind w:firstLine="567"/>
        <w:jc w:val="both"/>
        <w:rPr>
          <w:b/>
        </w:rPr>
      </w:pPr>
      <w:r>
        <w:rPr>
          <w:b/>
        </w:rPr>
        <w:t>3. Econometric Analysis</w:t>
      </w:r>
    </w:p>
    <w:p w:rsidR="004F5A5F" w:rsidRPr="00431297" w:rsidRDefault="00747549" w:rsidP="00747549">
      <w:pPr>
        <w:spacing w:before="60" w:after="60"/>
        <w:ind w:firstLine="567"/>
        <w:jc w:val="both"/>
        <w:rPr>
          <w:b/>
        </w:rPr>
      </w:pPr>
      <w:r>
        <w:rPr>
          <w:b/>
        </w:rPr>
        <w:t>3</w:t>
      </w:r>
      <w:r w:rsidR="00294ADE">
        <w:rPr>
          <w:b/>
        </w:rPr>
        <w:t xml:space="preserve">.1. </w:t>
      </w:r>
      <w:r w:rsidR="004F5A5F" w:rsidRPr="00431297">
        <w:rPr>
          <w:b/>
        </w:rPr>
        <w:t>Data Set, Variables, Methodology</w:t>
      </w:r>
    </w:p>
    <w:p w:rsidR="004F5A5F" w:rsidRDefault="004F5A5F" w:rsidP="001C6BAE">
      <w:pPr>
        <w:spacing w:before="60" w:after="60"/>
        <w:ind w:firstLine="567"/>
        <w:jc w:val="both"/>
      </w:pPr>
      <w:r w:rsidRPr="00431297">
        <w:t>The data set used in the anal</w:t>
      </w:r>
      <w:r>
        <w:t>ysis covers 483</w:t>
      </w:r>
      <w:r w:rsidRPr="00431297">
        <w:t xml:space="preserve"> observations for the </w:t>
      </w:r>
      <w:r w:rsidR="00946C22">
        <w:t>economic growth</w:t>
      </w:r>
      <w:r w:rsidRPr="00431297">
        <w:t xml:space="preserve"> and the</w:t>
      </w:r>
      <w:r w:rsidRPr="000764AC">
        <w:t xml:space="preserve"> </w:t>
      </w:r>
      <w:r w:rsidR="00677AC4">
        <w:t>tourism</w:t>
      </w:r>
      <w:r w:rsidR="00946C22">
        <w:t xml:space="preserve"> receipts</w:t>
      </w:r>
      <w:r w:rsidRPr="000764AC">
        <w:t xml:space="preserve"> </w:t>
      </w:r>
      <w:r w:rsidR="001C6BAE">
        <w:t xml:space="preserve">for the period from 1995 to </w:t>
      </w:r>
      <w:r w:rsidRPr="000764AC">
        <w:t>2017</w:t>
      </w:r>
      <w:r w:rsidR="001C6BAE">
        <w:t xml:space="preserve"> </w:t>
      </w:r>
      <w:r w:rsidR="001C6BAE" w:rsidRPr="001C6BAE">
        <w:t>of the selected 21 Asia Pacific Economies</w:t>
      </w:r>
      <w:r w:rsidR="001C6BAE">
        <w:rPr>
          <w:rStyle w:val="DipnotBavurusu"/>
        </w:rPr>
        <w:footnoteReference w:id="3"/>
      </w:r>
      <w:r>
        <w:t xml:space="preserve">. </w:t>
      </w:r>
      <w:r w:rsidRPr="000764AC">
        <w:t>Economic growth</w:t>
      </w:r>
      <w:r>
        <w:t>, which represents with GDP (</w:t>
      </w:r>
      <w:r w:rsidRPr="000764AC">
        <w:t>current, US$)</w:t>
      </w:r>
      <w:r>
        <w:t>,</w:t>
      </w:r>
      <w:r w:rsidRPr="000764AC">
        <w:t xml:space="preserve"> was defined as </w:t>
      </w:r>
      <w:r>
        <w:t xml:space="preserve">the </w:t>
      </w:r>
      <w:r w:rsidR="00DF58CA">
        <w:t>predictor</w:t>
      </w:r>
      <w:r w:rsidRPr="000764AC">
        <w:t xml:space="preserve"> variable of the model, while tourism </w:t>
      </w:r>
      <w:r>
        <w:t xml:space="preserve">receipts, which represents with </w:t>
      </w:r>
      <w:r w:rsidRPr="000764AC">
        <w:t>TR</w:t>
      </w:r>
      <w:r>
        <w:t xml:space="preserve"> (</w:t>
      </w:r>
      <w:r w:rsidRPr="000764AC">
        <w:t>current, US$)</w:t>
      </w:r>
      <w:r>
        <w:t>,</w:t>
      </w:r>
      <w:r w:rsidRPr="000764AC">
        <w:t xml:space="preserve"> as </w:t>
      </w:r>
      <w:r>
        <w:t xml:space="preserve">the </w:t>
      </w:r>
      <w:r w:rsidR="00DF58CA">
        <w:t>predicted</w:t>
      </w:r>
      <w:r w:rsidRPr="000764AC">
        <w:t xml:space="preserve"> variable. </w:t>
      </w:r>
      <w:r>
        <w:t>The data</w:t>
      </w:r>
      <w:r w:rsidRPr="000764AC">
        <w:t xml:space="preserve">set was </w:t>
      </w:r>
      <w:r>
        <w:t>downloaded</w:t>
      </w:r>
      <w:r w:rsidRPr="000764AC">
        <w:t xml:space="preserve"> from the World Bank database.</w:t>
      </w:r>
    </w:p>
    <w:p w:rsidR="004F5A5F" w:rsidRPr="000764AC" w:rsidRDefault="004F5A5F" w:rsidP="004F5A5F">
      <w:pPr>
        <w:spacing w:before="60" w:after="60"/>
        <w:ind w:firstLine="567"/>
        <w:jc w:val="both"/>
      </w:pPr>
      <w:r w:rsidRPr="000764AC">
        <w:t>In the following titles, firstly, functional</w:t>
      </w:r>
      <w:r>
        <w:t xml:space="preserve"> and statistical</w:t>
      </w:r>
      <w:r w:rsidRPr="000764AC">
        <w:t xml:space="preserve"> model</w:t>
      </w:r>
      <w:r>
        <w:t>s</w:t>
      </w:r>
      <w:r w:rsidRPr="000764AC">
        <w:t xml:space="preserve"> will be established</w:t>
      </w:r>
      <w:r>
        <w:t xml:space="preserve">. </w:t>
      </w:r>
      <w:r w:rsidRPr="000764AC">
        <w:t>In order to select the appropriate test method</w:t>
      </w:r>
      <w:r>
        <w:t xml:space="preserve">s to </w:t>
      </w:r>
      <w:r w:rsidRPr="000764AC">
        <w:t xml:space="preserve">produce accurate results in panel data analysis, </w:t>
      </w:r>
      <w:r>
        <w:t xml:space="preserve">the cross-section and </w:t>
      </w:r>
      <w:r w:rsidRPr="000764AC">
        <w:t>the stationary of the series, the appropriate “lag-lengths” and</w:t>
      </w:r>
      <w:r>
        <w:t xml:space="preserve"> homogeneity of the model will be tested</w:t>
      </w:r>
      <w:r w:rsidRPr="000764AC">
        <w:t xml:space="preserve"> before </w:t>
      </w:r>
      <w:r>
        <w:t xml:space="preserve">performing </w:t>
      </w:r>
      <w:r w:rsidRPr="000764AC">
        <w:t>panel causality analysis.</w:t>
      </w:r>
      <w:r>
        <w:t xml:space="preserve"> Accordingly, the</w:t>
      </w:r>
      <w:r w:rsidRPr="000764AC">
        <w:t xml:space="preserve"> appr</w:t>
      </w:r>
      <w:r>
        <w:t>opriate panel causality method will be defined to analyse t</w:t>
      </w:r>
      <w:r w:rsidRPr="000764AC">
        <w:t xml:space="preserve">he short-term relationship </w:t>
      </w:r>
      <w:r>
        <w:t xml:space="preserve">and similarly suitable </w:t>
      </w:r>
      <w:r w:rsidRPr="000764AC">
        <w:t>panel cointegration</w:t>
      </w:r>
      <w:r>
        <w:t xml:space="preserve"> method </w:t>
      </w:r>
      <w:r w:rsidRPr="000764AC">
        <w:t>will be</w:t>
      </w:r>
      <w:r>
        <w:t xml:space="preserve"> determined to test </w:t>
      </w:r>
      <w:r w:rsidRPr="000764AC">
        <w:t>the long-term relationship</w:t>
      </w:r>
      <w:r>
        <w:t xml:space="preserve"> </w:t>
      </w:r>
      <w:r w:rsidRPr="000764AC">
        <w:t>between the variables</w:t>
      </w:r>
      <w:r>
        <w:t xml:space="preserve">. </w:t>
      </w:r>
    </w:p>
    <w:p w:rsidR="004F5A5F" w:rsidRPr="00747549" w:rsidRDefault="00747549" w:rsidP="00747549">
      <w:pPr>
        <w:spacing w:before="60" w:after="60"/>
        <w:ind w:firstLine="567"/>
        <w:jc w:val="both"/>
        <w:rPr>
          <w:b/>
        </w:rPr>
      </w:pPr>
      <w:r>
        <w:rPr>
          <w:b/>
        </w:rPr>
        <w:t xml:space="preserve">3.2. </w:t>
      </w:r>
      <w:r w:rsidR="004F5A5F" w:rsidRPr="00747549">
        <w:rPr>
          <w:b/>
        </w:rPr>
        <w:t>Model</w:t>
      </w:r>
    </w:p>
    <w:p w:rsidR="004F5A5F" w:rsidRPr="000764AC" w:rsidRDefault="004F5A5F" w:rsidP="004F5A5F">
      <w:pPr>
        <w:spacing w:before="60" w:after="60"/>
        <w:ind w:firstLine="567"/>
        <w:jc w:val="both"/>
      </w:pPr>
      <w:r>
        <w:t>The model where “tourism receipts</w:t>
      </w:r>
      <w:r w:rsidRPr="000764AC">
        <w:t xml:space="preserve"> (TR)</w:t>
      </w:r>
      <w:r>
        <w:t>”</w:t>
      </w:r>
      <w:r w:rsidRPr="000764AC">
        <w:t xml:space="preserve"> is </w:t>
      </w:r>
      <w:r>
        <w:t xml:space="preserve">the </w:t>
      </w:r>
      <w:r w:rsidR="00DF58CA">
        <w:t>predicted</w:t>
      </w:r>
      <w:r w:rsidRPr="000764AC">
        <w:t xml:space="preserve"> variable and economic growth </w:t>
      </w:r>
      <w:r w:rsidR="00DF63C8">
        <w:t>(EG</w:t>
      </w:r>
      <w:r w:rsidR="00DF58CA">
        <w:t>)</w:t>
      </w:r>
      <w:r>
        <w:t xml:space="preserve"> </w:t>
      </w:r>
      <w:r w:rsidR="00DF58CA">
        <w:t>is the predictor</w:t>
      </w:r>
      <w:r w:rsidRPr="000764AC">
        <w:t xml:space="preserve"> variable can be expressed functionally as in Equation (1) below.</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8"/>
        <w:gridCol w:w="1576"/>
      </w:tblGrid>
      <w:tr w:rsidR="004F5A5F" w:rsidRPr="000764AC" w:rsidTr="00747549">
        <w:trPr>
          <w:trHeight w:val="1042"/>
          <w:jc w:val="center"/>
        </w:trPr>
        <w:tc>
          <w:tcPr>
            <w:tcW w:w="7371" w:type="dxa"/>
          </w:tcPr>
          <w:p w:rsidR="004F5A5F" w:rsidRPr="000764AC" w:rsidRDefault="004F5A5F" w:rsidP="00747549">
            <w:pPr>
              <w:jc w:val="both"/>
              <w:rPr>
                <w:rFonts w:eastAsiaTheme="minorEastAsia"/>
              </w:rPr>
            </w:pPr>
            <m:oMathPara>
              <m:oMath>
                <m:r>
                  <m:rPr>
                    <m:sty m:val="p"/>
                  </m:rPr>
                  <w:rPr>
                    <w:rFonts w:ascii="Cambria Math" w:hAnsi="Cambria Math"/>
                    <w:lang w:bidi="tr-TR"/>
                  </w:rPr>
                  <m:t>Tourism Revenues</m:t>
                </m:r>
                <m:r>
                  <w:rPr>
                    <w:rFonts w:ascii="Cambria Math" w:hAnsi="Cambria Math"/>
                  </w:rPr>
                  <m:t xml:space="preserve"> =f </m:t>
                </m:r>
                <m:d>
                  <m:dPr>
                    <m:ctrlPr>
                      <w:rPr>
                        <w:rFonts w:ascii="Cambria Math" w:hAnsi="Cambria Math"/>
                        <w:i/>
                      </w:rPr>
                    </m:ctrlPr>
                  </m:dPr>
                  <m:e>
                    <m:r>
                      <w:rPr>
                        <w:rFonts w:ascii="Cambria Math" w:hAnsi="Cambria Math"/>
                      </w:rPr>
                      <m:t>Economic Growth</m:t>
                    </m:r>
                  </m:e>
                </m:d>
              </m:oMath>
            </m:oMathPara>
          </w:p>
          <w:p w:rsidR="004F5A5F" w:rsidRPr="000764AC" w:rsidRDefault="004F5A5F" w:rsidP="00747549">
            <w:pPr>
              <w:jc w:val="both"/>
              <w:rPr>
                <w:rFonts w:eastAsiaTheme="minorEastAsia"/>
              </w:rPr>
            </w:pPr>
            <m:oMathPara>
              <m:oMath>
                <m:r>
                  <w:rPr>
                    <w:rFonts w:ascii="Cambria Math" w:hAnsi="Cambria Math"/>
                  </w:rPr>
                  <m:t xml:space="preserve">TR =f </m:t>
                </m:r>
                <m:d>
                  <m:dPr>
                    <m:ctrlPr>
                      <w:rPr>
                        <w:rFonts w:ascii="Cambria Math" w:hAnsi="Cambria Math"/>
                        <w:i/>
                      </w:rPr>
                    </m:ctrlPr>
                  </m:dPr>
                  <m:e>
                    <m:r>
                      <w:rPr>
                        <w:rFonts w:ascii="Cambria Math" w:hAnsi="Cambria Math"/>
                      </w:rPr>
                      <m:t>EG</m:t>
                    </m:r>
                  </m:e>
                </m:d>
              </m:oMath>
            </m:oMathPara>
          </w:p>
          <w:p w:rsidR="004F5A5F" w:rsidRPr="000764AC" w:rsidRDefault="004F5A5F" w:rsidP="00747549">
            <w:pPr>
              <w:ind w:firstLine="851"/>
              <w:rPr>
                <w:rFonts w:eastAsiaTheme="minorEastAsia"/>
                <w:sz w:val="20"/>
                <w:szCs w:val="20"/>
              </w:rPr>
            </w:pPr>
            <w:r w:rsidRPr="000764AC">
              <w:rPr>
                <w:sz w:val="20"/>
                <w:szCs w:val="20"/>
                <w:lang w:bidi="tr-TR"/>
              </w:rPr>
              <w:t>TR</w:t>
            </w:r>
            <w:r w:rsidRPr="000764AC">
              <w:rPr>
                <w:sz w:val="20"/>
                <w:szCs w:val="20"/>
                <w:lang w:bidi="tr-TR"/>
              </w:rPr>
              <w:tab/>
              <w:t xml:space="preserve">: </w:t>
            </w:r>
            <w:r w:rsidR="00DF58CA">
              <w:rPr>
                <w:sz w:val="20"/>
                <w:szCs w:val="20"/>
              </w:rPr>
              <w:t>Tourism</w:t>
            </w:r>
            <w:r w:rsidRPr="000764AC">
              <w:rPr>
                <w:sz w:val="20"/>
                <w:szCs w:val="20"/>
              </w:rPr>
              <w:t xml:space="preserve"> receipts (current US$),</w:t>
            </w:r>
            <w:r w:rsidRPr="000764AC">
              <w:rPr>
                <w:sz w:val="20"/>
                <w:szCs w:val="20"/>
                <w:lang w:bidi="tr-TR"/>
              </w:rPr>
              <w:t xml:space="preserve"> </w:t>
            </w:r>
          </w:p>
          <w:p w:rsidR="004F5A5F" w:rsidRPr="000764AC" w:rsidRDefault="001311C7" w:rsidP="00747549">
            <w:pPr>
              <w:ind w:firstLine="851"/>
              <w:rPr>
                <w:rFonts w:eastAsiaTheme="minorEastAsia"/>
              </w:rPr>
            </w:pPr>
            <w:r>
              <w:rPr>
                <w:sz w:val="20"/>
                <w:szCs w:val="20"/>
                <w:lang w:bidi="tr-TR"/>
              </w:rPr>
              <w:t>EG</w:t>
            </w:r>
            <w:r w:rsidR="004F5A5F" w:rsidRPr="000764AC">
              <w:rPr>
                <w:sz w:val="20"/>
                <w:szCs w:val="20"/>
                <w:lang w:bidi="tr-TR"/>
              </w:rPr>
              <w:t xml:space="preserve"> </w:t>
            </w:r>
            <w:r w:rsidR="004F5A5F" w:rsidRPr="000764AC">
              <w:rPr>
                <w:sz w:val="20"/>
                <w:szCs w:val="20"/>
                <w:lang w:bidi="tr-TR"/>
              </w:rPr>
              <w:tab/>
              <w:t>: Gross Domestic Product (current-US$)</w:t>
            </w:r>
          </w:p>
        </w:tc>
        <w:tc>
          <w:tcPr>
            <w:tcW w:w="1691" w:type="dxa"/>
          </w:tcPr>
          <w:p w:rsidR="004F5A5F" w:rsidRPr="000764AC" w:rsidRDefault="004F5A5F" w:rsidP="00747549">
            <w:pPr>
              <w:jc w:val="both"/>
              <w:rPr>
                <w:lang w:bidi="tr-TR"/>
              </w:rPr>
            </w:pPr>
            <w:r w:rsidRPr="000764AC">
              <w:t>(1)</w:t>
            </w:r>
          </w:p>
        </w:tc>
      </w:tr>
    </w:tbl>
    <w:p w:rsidR="004F5A5F" w:rsidRPr="000764AC" w:rsidRDefault="004F5A5F" w:rsidP="00747549">
      <w:pPr>
        <w:spacing w:before="120" w:after="60"/>
        <w:ind w:firstLine="567"/>
        <w:jc w:val="both"/>
      </w:pPr>
      <w:r w:rsidRPr="000764AC">
        <w:t>The functional expression of the model given in Equation (1) ca</w:t>
      </w:r>
      <w:r>
        <w:t>n also be expressed statistically</w:t>
      </w:r>
      <w:r w:rsidRPr="000764AC">
        <w:t xml:space="preserve"> as given in Equation (2).</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0"/>
        <w:gridCol w:w="2374"/>
      </w:tblGrid>
      <w:tr w:rsidR="004F5A5F" w:rsidRPr="000764AC" w:rsidTr="00810647">
        <w:tc>
          <w:tcPr>
            <w:tcW w:w="6521" w:type="dxa"/>
          </w:tcPr>
          <w:p w:rsidR="004F5A5F" w:rsidRPr="00810647" w:rsidRDefault="001C6BAE" w:rsidP="00747549">
            <w:pPr>
              <w:spacing w:before="60" w:after="60"/>
              <w:ind w:firstLine="709"/>
              <w:jc w:val="both"/>
              <w:rPr>
                <w:lang w:bidi="tr-TR"/>
              </w:rPr>
            </w:pPr>
            <m:oMathPara>
              <m:oMathParaPr>
                <m:jc m:val="center"/>
              </m:oMathParaPr>
              <m:oMath>
                <m:sSub>
                  <m:sSubPr>
                    <m:ctrlPr>
                      <w:rPr>
                        <w:rFonts w:ascii="Cambria Math" w:hAnsi="Cambria Math"/>
                        <w:i/>
                      </w:rPr>
                    </m:ctrlPr>
                  </m:sSubPr>
                  <m:e>
                    <m:r>
                      <w:rPr>
                        <w:rFonts w:ascii="Cambria Math" w:hAnsi="Cambria Math"/>
                      </w:rPr>
                      <m:t>TR</m:t>
                    </m:r>
                  </m:e>
                  <m:sub>
                    <m:r>
                      <w:rPr>
                        <w:rFonts w:ascii="Cambria Math" w:hAnsi="Cambria Math"/>
                      </w:rPr>
                      <m:t>it</m:t>
                    </m:r>
                  </m:sub>
                </m:sSub>
                <m:r>
                  <w:rPr>
                    <w:rFonts w:ascii="Cambria Math" w:hAnsi="Cambria Math"/>
                  </w:rPr>
                  <m:t>=a+</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EG</m:t>
                    </m:r>
                  </m:e>
                  <m:sub>
                    <m:r>
                      <w:rPr>
                        <w:rFonts w:ascii="Cambria Math" w:hAnsi="Cambria Math"/>
                      </w:rPr>
                      <m:t>it</m:t>
                    </m:r>
                  </m:sub>
                </m:sSub>
                <m:sSub>
                  <m:sSubPr>
                    <m:ctrlPr>
                      <w:rPr>
                        <w:rFonts w:ascii="Cambria Math" w:hAnsi="Cambria Math"/>
                        <w:i/>
                      </w:rPr>
                    </m:ctrlPr>
                  </m:sSubPr>
                  <m:e>
                    <m:r>
                      <w:rPr>
                        <w:rFonts w:ascii="Cambria Math" w:hAnsi="Cambria Math"/>
                      </w:rPr>
                      <m:t xml:space="preserve"> + u</m:t>
                    </m:r>
                  </m:e>
                  <m:sub>
                    <m:r>
                      <w:rPr>
                        <w:rFonts w:ascii="Cambria Math" w:hAnsi="Cambria Math"/>
                      </w:rPr>
                      <m:t>it</m:t>
                    </m:r>
                  </m:sub>
                </m:sSub>
              </m:oMath>
            </m:oMathPara>
          </w:p>
        </w:tc>
        <w:tc>
          <w:tcPr>
            <w:tcW w:w="2540" w:type="dxa"/>
          </w:tcPr>
          <w:p w:rsidR="004F5A5F" w:rsidRPr="000764AC" w:rsidRDefault="004F5A5F" w:rsidP="00747549">
            <w:pPr>
              <w:spacing w:before="60" w:after="60"/>
              <w:jc w:val="center"/>
              <w:rPr>
                <w:lang w:bidi="tr-TR"/>
              </w:rPr>
            </w:pPr>
            <w:r w:rsidRPr="000764AC">
              <w:rPr>
                <w:rFonts w:eastAsiaTheme="minorEastAsia"/>
              </w:rPr>
              <w:t>(2)</w:t>
            </w:r>
          </w:p>
        </w:tc>
      </w:tr>
    </w:tbl>
    <w:p w:rsidR="004F5A5F" w:rsidRPr="000764AC" w:rsidRDefault="004F5A5F" w:rsidP="00747549">
      <w:pPr>
        <w:spacing w:before="60" w:after="60"/>
        <w:ind w:firstLine="567"/>
        <w:jc w:val="both"/>
      </w:pPr>
      <w:r w:rsidRPr="000764AC">
        <w:t xml:space="preserve">In equation (2), </w:t>
      </w:r>
      <m:oMath>
        <m:r>
          <w:rPr>
            <w:rFonts w:ascii="Cambria Math" w:hAnsi="Cambria Math"/>
          </w:rPr>
          <m:t>a</m:t>
        </m:r>
      </m:oMath>
      <w:r w:rsidRPr="000764AC">
        <w:t xml:space="preserve"> denotes the “constant term”; β is the coefficient that determines the re</w:t>
      </w:r>
      <w:r w:rsidR="00DF58CA">
        <w:t>lationship between the predicted variable and the predictor</w:t>
      </w:r>
      <w:r w:rsidRPr="000764AC">
        <w:t xml:space="preserve"> variable; </w:t>
      </w:r>
      <m:oMath>
        <m:r>
          <w:rPr>
            <w:rFonts w:ascii="Cambria Math" w:hAnsi="Cambria Math"/>
          </w:rPr>
          <m:t>i</m:t>
        </m:r>
        <m:r>
          <m:rPr>
            <m:sty m:val="p"/>
          </m:rPr>
          <w:rPr>
            <w:rFonts w:ascii="Cambria Math" w:hAnsi="Cambria Math"/>
          </w:rPr>
          <m:t xml:space="preserve"> </m:t>
        </m:r>
        <m:d>
          <m:dPr>
            <m:ctrlPr>
              <w:rPr>
                <w:rFonts w:ascii="Cambria Math" w:hAnsi="Cambria Math"/>
              </w:rPr>
            </m:ctrlPr>
          </m:dPr>
          <m:e>
            <m:r>
              <w:rPr>
                <w:rFonts w:ascii="Cambria Math" w:hAnsi="Cambria Math"/>
              </w:rPr>
              <m:t>i</m:t>
            </m:r>
            <m:r>
              <m:rPr>
                <m:sty m:val="p"/>
              </m:rPr>
              <w:rPr>
                <w:rFonts w:ascii="Cambria Math" w:hAnsi="Cambria Math"/>
              </w:rPr>
              <m:t>=1….</m:t>
            </m:r>
            <m:r>
              <w:rPr>
                <w:rFonts w:ascii="Cambria Math" w:hAnsi="Cambria Math"/>
              </w:rPr>
              <m:t>N</m:t>
            </m:r>
          </m:e>
        </m:d>
      </m:oMath>
      <w:r w:rsidRPr="00D92781">
        <w:t xml:space="preserve"> </w:t>
      </w:r>
      <w:r w:rsidRPr="000764AC">
        <w:t xml:space="preserve">refers to countries, and </w:t>
      </w:r>
      <m:oMath>
        <m:sSub>
          <m:sSubPr>
            <m:ctrlPr>
              <w:rPr>
                <w:rFonts w:ascii="Cambria Math" w:hAnsi="Cambria Math"/>
              </w:rPr>
            </m:ctrlPr>
          </m:sSubPr>
          <m:e>
            <m:r>
              <w:rPr>
                <w:rFonts w:ascii="Cambria Math" w:hAnsi="Cambria Math"/>
              </w:rPr>
              <m:t>u</m:t>
            </m:r>
          </m:e>
          <m:sub>
            <m:r>
              <w:rPr>
                <w:rFonts w:ascii="Cambria Math" w:hAnsi="Cambria Math"/>
              </w:rPr>
              <m:t>it</m:t>
            </m:r>
          </m:sub>
        </m:sSub>
      </m:oMath>
      <w:r w:rsidRPr="00D92781">
        <w:t xml:space="preserve"> </w:t>
      </w:r>
      <w:r w:rsidRPr="000764AC">
        <w:t xml:space="preserve">refers to the error term.       </w:t>
      </w:r>
    </w:p>
    <w:p w:rsidR="004F5A5F" w:rsidRPr="00D92781" w:rsidRDefault="004F5A5F" w:rsidP="004F5A5F">
      <w:pPr>
        <w:spacing w:before="60" w:after="60"/>
        <w:ind w:firstLine="567"/>
        <w:jc w:val="both"/>
      </w:pPr>
      <w:r>
        <w:t>Because of</w:t>
      </w:r>
      <w:r w:rsidRPr="00D92781">
        <w:t xml:space="preserve"> Equation (2</w:t>
      </w:r>
      <w:r>
        <w:t>) is “a static model”, b</w:t>
      </w:r>
      <w:r w:rsidRPr="00D92781">
        <w:t>y taking the delayed values of the series (i) into the system, the</w:t>
      </w:r>
      <w:r>
        <w:t xml:space="preserve"> dynamic equations can be</w:t>
      </w:r>
      <w:r w:rsidRPr="00D92781">
        <w:t xml:space="preserve"> described in the VAR system as follows.</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567"/>
      </w:tblGrid>
      <w:tr w:rsidR="004F5A5F" w:rsidRPr="000764AC" w:rsidTr="00294ADE">
        <w:tc>
          <w:tcPr>
            <w:tcW w:w="7933" w:type="dxa"/>
          </w:tcPr>
          <w:p w:rsidR="004F5A5F" w:rsidRPr="000764AC" w:rsidRDefault="001C6BAE" w:rsidP="00810647">
            <w:pPr>
              <w:spacing w:after="60"/>
              <w:jc w:val="center"/>
              <w:rPr>
                <w:bCs/>
              </w:rPr>
            </w:pPr>
            <m:oMath>
              <m:sSub>
                <m:sSubPr>
                  <m:ctrlPr>
                    <w:rPr>
                      <w:rFonts w:ascii="Cambria Math" w:hAnsi="Cambria Math"/>
                      <w:i/>
                    </w:rPr>
                  </m:ctrlPr>
                </m:sSubPr>
                <m:e>
                  <m:r>
                    <w:rPr>
                      <w:rFonts w:ascii="Cambria Math" w:hAnsi="Cambria Math"/>
                    </w:rPr>
                    <m:t>∆TR</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11</m:t>
                  </m:r>
                </m:sub>
              </m:sSub>
              <m:r>
                <w:rPr>
                  <w:rFonts w:ascii="Cambria Math" w:hAnsi="Cambria Math"/>
                </w:rPr>
                <m:t>+</m:t>
              </m:r>
              <m:nary>
                <m:naryPr>
                  <m:chr m:val="∑"/>
                  <m:limLoc m:val="undOvr"/>
                  <m:ctrlPr>
                    <w:rPr>
                      <w:rFonts w:ascii="Cambria Math" w:hAnsi="Cambria Math"/>
                      <w:i/>
                    </w:rPr>
                  </m:ctrlPr>
                </m:naryPr>
                <m:sub>
                  <m:r>
                    <w:rPr>
                      <w:rFonts w:ascii="Cambria Math" w:hAnsi="Cambria Math"/>
                    </w:rPr>
                    <m:t>i=0</m:t>
                  </m:r>
                </m:sub>
                <m:sup>
                  <m:r>
                    <w:rPr>
                      <w:rFonts w:ascii="Cambria Math" w:hAnsi="Cambria Math"/>
                    </w:rPr>
                    <m:t>n</m:t>
                  </m:r>
                </m:sup>
                <m:e>
                  <m:sSub>
                    <m:sSubPr>
                      <m:ctrlPr>
                        <w:rPr>
                          <w:rFonts w:ascii="Cambria Math" w:hAnsi="Cambria Math"/>
                          <w:i/>
                        </w:rPr>
                      </m:ctrlPr>
                    </m:sSubPr>
                    <m:e>
                      <m:r>
                        <w:rPr>
                          <w:rFonts w:ascii="Cambria Math" w:hAnsi="Cambria Math"/>
                        </w:rPr>
                        <m:t>β</m:t>
                      </m:r>
                    </m:e>
                    <m:sub>
                      <m:r>
                        <w:rPr>
                          <w:rFonts w:ascii="Cambria Math" w:hAnsi="Cambria Math"/>
                        </w:rPr>
                        <m:t>1i</m:t>
                      </m:r>
                    </m:sub>
                  </m:sSub>
                  <m:sSub>
                    <m:sSubPr>
                      <m:ctrlPr>
                        <w:rPr>
                          <w:rFonts w:ascii="Cambria Math" w:hAnsi="Cambria Math"/>
                          <w:i/>
                        </w:rPr>
                      </m:ctrlPr>
                    </m:sSubPr>
                    <m:e>
                      <m:r>
                        <w:rPr>
                          <w:rFonts w:ascii="Cambria Math" w:hAnsi="Cambria Math"/>
                        </w:rPr>
                        <m:t>∆TR</m:t>
                      </m:r>
                    </m:e>
                    <m:sub>
                      <m:r>
                        <w:rPr>
                          <w:rFonts w:ascii="Cambria Math" w:hAnsi="Cambria Math"/>
                        </w:rPr>
                        <m:t>t-i</m:t>
                      </m:r>
                    </m:sub>
                  </m:sSub>
                </m:e>
              </m:nary>
              <m:r>
                <w:rPr>
                  <w:rFonts w:ascii="Cambria Math" w:hAnsi="Cambria Math"/>
                </w:rPr>
                <m:t xml:space="preserve">+ </m:t>
              </m:r>
              <m:nary>
                <m:naryPr>
                  <m:chr m:val="∑"/>
                  <m:limLoc m:val="undOvr"/>
                  <m:ctrlPr>
                    <w:rPr>
                      <w:rFonts w:ascii="Cambria Math" w:hAnsi="Cambria Math"/>
                      <w:i/>
                    </w:rPr>
                  </m:ctrlPr>
                </m:naryPr>
                <m:sub>
                  <m:r>
                    <w:rPr>
                      <w:rFonts w:ascii="Cambria Math" w:hAnsi="Cambria Math"/>
                    </w:rPr>
                    <m:t>i=0</m:t>
                  </m:r>
                </m:sub>
                <m:sup>
                  <m:r>
                    <w:rPr>
                      <w:rFonts w:ascii="Cambria Math" w:hAnsi="Cambria Math"/>
                    </w:rPr>
                    <m:t>n</m:t>
                  </m:r>
                </m:sup>
                <m:e>
                  <m:sSub>
                    <m:sSubPr>
                      <m:ctrlPr>
                        <w:rPr>
                          <w:rFonts w:ascii="Cambria Math" w:hAnsi="Cambria Math"/>
                          <w:i/>
                        </w:rPr>
                      </m:ctrlPr>
                    </m:sSubPr>
                    <m:e>
                      <m:r>
                        <w:rPr>
                          <w:rFonts w:ascii="Cambria Math" w:hAnsi="Cambria Math"/>
                        </w:rPr>
                        <m:t>β</m:t>
                      </m:r>
                    </m:e>
                    <m:sub>
                      <m:r>
                        <w:rPr>
                          <w:rFonts w:ascii="Cambria Math" w:hAnsi="Cambria Math"/>
                        </w:rPr>
                        <m:t>2i</m:t>
                      </m:r>
                    </m:sub>
                  </m:sSub>
                  <m:sSub>
                    <m:sSubPr>
                      <m:ctrlPr>
                        <w:rPr>
                          <w:rFonts w:ascii="Cambria Math" w:hAnsi="Cambria Math"/>
                          <w:i/>
                        </w:rPr>
                      </m:ctrlPr>
                    </m:sSubPr>
                    <m:e>
                      <m:r>
                        <w:rPr>
                          <w:rFonts w:ascii="Cambria Math" w:hAnsi="Cambria Math"/>
                        </w:rPr>
                        <m:t>∆EG</m:t>
                      </m:r>
                    </m:e>
                    <m:sub>
                      <m:r>
                        <w:rPr>
                          <w:rFonts w:ascii="Cambria Math" w:hAnsi="Cambria Math"/>
                        </w:rPr>
                        <m:t>t-i</m:t>
                      </m:r>
                    </m:sub>
                  </m:sSub>
                </m:e>
              </m:nary>
              <m:sSub>
                <m:sSubPr>
                  <m:ctrlPr>
                    <w:rPr>
                      <w:rFonts w:ascii="Cambria Math" w:hAnsi="Cambria Math"/>
                      <w:i/>
                    </w:rPr>
                  </m:ctrlPr>
                </m:sSubPr>
                <m:e>
                  <m:r>
                    <w:rPr>
                      <w:rFonts w:ascii="Cambria Math" w:hAnsi="Cambria Math"/>
                    </w:rPr>
                    <m:t>+ u</m:t>
                  </m:r>
                </m:e>
                <m:sub>
                  <m:r>
                    <w:rPr>
                      <w:rFonts w:ascii="Cambria Math" w:hAnsi="Cambria Math"/>
                    </w:rPr>
                    <m:t>1t</m:t>
                  </m:r>
                </m:sub>
              </m:sSub>
            </m:oMath>
            <w:r w:rsidR="00810647">
              <w:rPr>
                <w:bCs/>
              </w:rPr>
              <w:t xml:space="preserve"> </w:t>
            </w:r>
          </w:p>
        </w:tc>
        <w:tc>
          <w:tcPr>
            <w:tcW w:w="567" w:type="dxa"/>
            <w:vAlign w:val="center"/>
          </w:tcPr>
          <w:p w:rsidR="004F5A5F" w:rsidRPr="000764AC" w:rsidRDefault="004F5A5F" w:rsidP="00810647">
            <w:pPr>
              <w:spacing w:after="60"/>
              <w:jc w:val="both"/>
              <w:rPr>
                <w:bCs/>
              </w:rPr>
            </w:pPr>
            <w:r w:rsidRPr="000764AC">
              <w:rPr>
                <w:bCs/>
              </w:rPr>
              <w:t>(3)</w:t>
            </w:r>
          </w:p>
        </w:tc>
      </w:tr>
      <w:tr w:rsidR="004F5A5F" w:rsidRPr="000764AC" w:rsidTr="00294ADE">
        <w:tc>
          <w:tcPr>
            <w:tcW w:w="7933" w:type="dxa"/>
          </w:tcPr>
          <w:p w:rsidR="004F5A5F" w:rsidRPr="000764AC" w:rsidRDefault="004F5A5F" w:rsidP="00810647">
            <w:pPr>
              <w:spacing w:after="60"/>
              <w:jc w:val="center"/>
              <w:rPr>
                <w:bCs/>
              </w:rPr>
            </w:pPr>
            <m:oMath>
              <m:r>
                <w:rPr>
                  <w:rFonts w:ascii="Cambria Math" w:hAnsi="Cambria Math"/>
                </w:rPr>
                <w:lastRenderedPageBreak/>
                <m:t>∆</m:t>
              </m:r>
              <m:sSub>
                <m:sSubPr>
                  <m:ctrlPr>
                    <w:rPr>
                      <w:rFonts w:ascii="Cambria Math" w:hAnsi="Cambria Math"/>
                      <w:i/>
                    </w:rPr>
                  </m:ctrlPr>
                </m:sSubPr>
                <m:e>
                  <m:r>
                    <w:rPr>
                      <w:rFonts w:ascii="Cambria Math" w:hAnsi="Cambria Math"/>
                    </w:rPr>
                    <m:t>EG</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21</m:t>
                  </m:r>
                </m:sub>
              </m:sSub>
              <m:r>
                <w:rPr>
                  <w:rFonts w:ascii="Cambria Math" w:hAnsi="Cambria Math"/>
                </w:rPr>
                <m:t>+</m:t>
              </m:r>
              <m:nary>
                <m:naryPr>
                  <m:chr m:val="∑"/>
                  <m:limLoc m:val="undOvr"/>
                  <m:ctrlPr>
                    <w:rPr>
                      <w:rFonts w:ascii="Cambria Math" w:hAnsi="Cambria Math"/>
                      <w:i/>
                    </w:rPr>
                  </m:ctrlPr>
                </m:naryPr>
                <m:sub>
                  <m:r>
                    <w:rPr>
                      <w:rFonts w:ascii="Cambria Math" w:hAnsi="Cambria Math"/>
                    </w:rPr>
                    <m:t>i=0</m:t>
                  </m:r>
                </m:sub>
                <m:sup>
                  <m:r>
                    <w:rPr>
                      <w:rFonts w:ascii="Cambria Math" w:hAnsi="Cambria Math"/>
                    </w:rPr>
                    <m:t>n</m:t>
                  </m:r>
                </m:sup>
                <m:e>
                  <m:sSub>
                    <m:sSubPr>
                      <m:ctrlPr>
                        <w:rPr>
                          <w:rFonts w:ascii="Cambria Math" w:hAnsi="Cambria Math"/>
                          <w:i/>
                        </w:rPr>
                      </m:ctrlPr>
                    </m:sSubPr>
                    <m:e>
                      <m:r>
                        <w:rPr>
                          <w:rFonts w:ascii="Cambria Math" w:hAnsi="Cambria Math"/>
                        </w:rPr>
                        <m:t>β</m:t>
                      </m:r>
                    </m:e>
                    <m:sub>
                      <m:r>
                        <w:rPr>
                          <w:rFonts w:ascii="Cambria Math" w:hAnsi="Cambria Math"/>
                        </w:rPr>
                        <m:t>3i</m:t>
                      </m:r>
                    </m:sub>
                  </m:sSub>
                  <m:r>
                    <w:rPr>
                      <w:rFonts w:ascii="Cambria Math" w:hAnsi="Cambria Math"/>
                    </w:rPr>
                    <m:t>∆</m:t>
                  </m:r>
                  <m:sSub>
                    <m:sSubPr>
                      <m:ctrlPr>
                        <w:rPr>
                          <w:rFonts w:ascii="Cambria Math" w:hAnsi="Cambria Math"/>
                          <w:i/>
                        </w:rPr>
                      </m:ctrlPr>
                    </m:sSubPr>
                    <m:e>
                      <m:r>
                        <w:rPr>
                          <w:rFonts w:ascii="Cambria Math" w:hAnsi="Cambria Math"/>
                        </w:rPr>
                        <m:t>EG</m:t>
                      </m:r>
                    </m:e>
                    <m:sub>
                      <m:r>
                        <w:rPr>
                          <w:rFonts w:ascii="Cambria Math" w:hAnsi="Cambria Math"/>
                        </w:rPr>
                        <m:t>t-i</m:t>
                      </m:r>
                    </m:sub>
                  </m:sSub>
                </m:e>
              </m:nary>
              <m:r>
                <w:rPr>
                  <w:rFonts w:ascii="Cambria Math" w:hAnsi="Cambria Math"/>
                </w:rPr>
                <m:t xml:space="preserve">+ </m:t>
              </m:r>
              <m:nary>
                <m:naryPr>
                  <m:chr m:val="∑"/>
                  <m:limLoc m:val="undOvr"/>
                  <m:ctrlPr>
                    <w:rPr>
                      <w:rFonts w:ascii="Cambria Math" w:hAnsi="Cambria Math"/>
                      <w:i/>
                    </w:rPr>
                  </m:ctrlPr>
                </m:naryPr>
                <m:sub>
                  <m:r>
                    <w:rPr>
                      <w:rFonts w:ascii="Cambria Math" w:hAnsi="Cambria Math"/>
                    </w:rPr>
                    <m:t>i=0</m:t>
                  </m:r>
                </m:sub>
                <m:sup>
                  <m:r>
                    <w:rPr>
                      <w:rFonts w:ascii="Cambria Math" w:hAnsi="Cambria Math"/>
                    </w:rPr>
                    <m:t>n</m:t>
                  </m:r>
                </m:sup>
                <m:e>
                  <m:sSub>
                    <m:sSubPr>
                      <m:ctrlPr>
                        <w:rPr>
                          <w:rFonts w:ascii="Cambria Math" w:hAnsi="Cambria Math"/>
                          <w:i/>
                        </w:rPr>
                      </m:ctrlPr>
                    </m:sSubPr>
                    <m:e>
                      <m:r>
                        <w:rPr>
                          <w:rFonts w:ascii="Cambria Math" w:hAnsi="Cambria Math"/>
                        </w:rPr>
                        <m:t>β</m:t>
                      </m:r>
                    </m:e>
                    <m:sub>
                      <m:r>
                        <w:rPr>
                          <w:rFonts w:ascii="Cambria Math" w:hAnsi="Cambria Math"/>
                        </w:rPr>
                        <m:t>4i</m:t>
                      </m:r>
                    </m:sub>
                  </m:sSub>
                  <m:sSub>
                    <m:sSubPr>
                      <m:ctrlPr>
                        <w:rPr>
                          <w:rFonts w:ascii="Cambria Math" w:hAnsi="Cambria Math"/>
                          <w:i/>
                        </w:rPr>
                      </m:ctrlPr>
                    </m:sSubPr>
                    <m:e>
                      <m:r>
                        <w:rPr>
                          <w:rFonts w:ascii="Cambria Math" w:hAnsi="Cambria Math"/>
                        </w:rPr>
                        <m:t>∆TR</m:t>
                      </m:r>
                    </m:e>
                    <m:sub>
                      <m:r>
                        <w:rPr>
                          <w:rFonts w:ascii="Cambria Math" w:hAnsi="Cambria Math"/>
                        </w:rPr>
                        <m:t>t-i</m:t>
                      </m:r>
                    </m:sub>
                  </m:sSub>
                </m:e>
              </m:nary>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2t</m:t>
                  </m:r>
                </m:sub>
              </m:sSub>
            </m:oMath>
            <w:r w:rsidR="00810647">
              <w:rPr>
                <w:bCs/>
              </w:rPr>
              <w:t xml:space="preserve"> </w:t>
            </w:r>
          </w:p>
        </w:tc>
        <w:tc>
          <w:tcPr>
            <w:tcW w:w="567" w:type="dxa"/>
            <w:vAlign w:val="center"/>
          </w:tcPr>
          <w:p w:rsidR="004F5A5F" w:rsidRPr="000764AC" w:rsidRDefault="004F5A5F" w:rsidP="00810647">
            <w:pPr>
              <w:spacing w:after="60"/>
              <w:jc w:val="both"/>
              <w:rPr>
                <w:bCs/>
              </w:rPr>
            </w:pPr>
            <w:r w:rsidRPr="000764AC">
              <w:rPr>
                <w:bCs/>
              </w:rPr>
              <w:t>(4)</w:t>
            </w:r>
          </w:p>
        </w:tc>
      </w:tr>
    </w:tbl>
    <w:p w:rsidR="004F5A5F" w:rsidRDefault="004F5A5F" w:rsidP="004F5A5F">
      <w:pPr>
        <w:spacing w:before="60" w:after="60"/>
        <w:ind w:firstLine="567"/>
        <w:jc w:val="both"/>
      </w:pPr>
      <w:r>
        <w:t>In the VAR s</w:t>
      </w:r>
      <w:r w:rsidRPr="000764AC">
        <w:t xml:space="preserve">ystem </w:t>
      </w:r>
      <w:r>
        <w:t>seen in Eq.3 and Eg.4</w:t>
      </w:r>
      <w:r w:rsidRPr="000764AC">
        <w:t xml:space="preserve">, </w:t>
      </w:r>
      <m:oMath>
        <m:r>
          <m:rPr>
            <m:sty m:val="p"/>
          </m:rPr>
          <w:rPr>
            <w:rFonts w:ascii="Cambria Math" w:hAnsi="Cambria Math"/>
          </w:rPr>
          <m:t>∆</m:t>
        </m:r>
      </m:oMath>
      <w:r w:rsidRPr="000764AC">
        <w:t xml:space="preserve"> displays “the first difference”, </w:t>
      </w:r>
      <m:oMath>
        <m:sSub>
          <m:sSubPr>
            <m:ctrlPr>
              <w:rPr>
                <w:rFonts w:ascii="Cambria Math" w:hAnsi="Cambria Math"/>
              </w:rPr>
            </m:ctrlPr>
          </m:sSubPr>
          <m:e>
            <m:r>
              <w:rPr>
                <w:rFonts w:ascii="Cambria Math" w:hAnsi="Cambria Math"/>
              </w:rPr>
              <m:t>u</m:t>
            </m:r>
          </m:e>
          <m:sub>
            <m:r>
              <m:rPr>
                <m:sty m:val="p"/>
              </m:rPr>
              <w:rPr>
                <w:rFonts w:ascii="Cambria Math" w:hAnsi="Cambria Math"/>
              </w:rPr>
              <m:t>1</m:t>
            </m:r>
          </m:sub>
        </m:sSub>
        <m:r>
          <m:rPr>
            <m:sty m:val="p"/>
          </m:rPr>
          <w:rPr>
            <w:rFonts w:ascii="Cambria Math" w:hAnsi="Cambria Math"/>
          </w:rPr>
          <m:t xml:space="preserve">  </m:t>
        </m:r>
      </m:oMath>
      <w:r w:rsidRPr="000764AC">
        <w:t xml:space="preserve">and </w:t>
      </w:r>
      <m:oMath>
        <m:sSub>
          <m:sSubPr>
            <m:ctrlPr>
              <w:rPr>
                <w:rFonts w:ascii="Cambria Math" w:hAnsi="Cambria Math"/>
              </w:rPr>
            </m:ctrlPr>
          </m:sSubPr>
          <m:e>
            <m:r>
              <w:rPr>
                <w:rFonts w:ascii="Cambria Math" w:hAnsi="Cambria Math"/>
              </w:rPr>
              <m:t>u</m:t>
            </m:r>
          </m:e>
          <m:sub>
            <m:r>
              <m:rPr>
                <m:sty m:val="p"/>
              </m:rPr>
              <w:rPr>
                <w:rFonts w:ascii="Cambria Math" w:hAnsi="Cambria Math"/>
              </w:rPr>
              <m:t>2</m:t>
            </m:r>
          </m:sub>
        </m:sSub>
        <m:r>
          <m:rPr>
            <m:sty m:val="p"/>
          </m:rPr>
          <w:rPr>
            <w:rFonts w:ascii="Cambria Math" w:hAnsi="Cambria Math"/>
          </w:rPr>
          <m:t xml:space="preserve"> </m:t>
        </m:r>
      </m:oMath>
      <w:r w:rsidRPr="000764AC">
        <w:t xml:space="preserve"> shows </w:t>
      </w:r>
      <w:r w:rsidR="00DF58CA">
        <w:t>the</w:t>
      </w:r>
      <w:r w:rsidR="002E31E5">
        <w:t xml:space="preserve"> “error terms” and n is the </w:t>
      </w:r>
      <w:r w:rsidR="00DF58CA">
        <w:t>number of lag-lengths</w:t>
      </w:r>
      <w:r w:rsidRPr="000764AC">
        <w:t>.</w:t>
      </w:r>
      <w:r>
        <w:t xml:space="preserve"> VAR Model is</w:t>
      </w:r>
      <w:r w:rsidRPr="00553591">
        <w:t xml:space="preserve"> a system of equ</w:t>
      </w:r>
      <w:r>
        <w:t xml:space="preserve">ations in which each </w:t>
      </w:r>
      <w:r w:rsidRPr="00553591">
        <w:t>variable</w:t>
      </w:r>
      <w:r w:rsidR="00827A0F">
        <w:t xml:space="preserve"> is li</w:t>
      </w:r>
      <w:r>
        <w:t xml:space="preserve">near function that covers </w:t>
      </w:r>
      <w:r w:rsidRPr="00553591">
        <w:t xml:space="preserve">lagged values </w:t>
      </w:r>
      <w:r>
        <w:t xml:space="preserve">of both </w:t>
      </w:r>
      <w:r w:rsidR="00827A0F">
        <w:t xml:space="preserve">itself and </w:t>
      </w:r>
      <w:r>
        <w:t xml:space="preserve">other variables </w:t>
      </w:r>
      <w:r w:rsidR="00827A0F">
        <w:t>i</w:t>
      </w:r>
      <w:r>
        <w:t>n the system. Accordingly</w:t>
      </w:r>
      <w:r w:rsidR="00A12B32">
        <w:t>, tourism receipts the predictor</w:t>
      </w:r>
      <w:r>
        <w:t xml:space="preserve"> variable is defined by the delayed values of economic growth and tourism receipts itself in Equation (3). Similarly, economic growth the</w:t>
      </w:r>
      <w:r w:rsidR="00A12B32">
        <w:t xml:space="preserve"> predictor</w:t>
      </w:r>
      <w:r>
        <w:t xml:space="preserve"> variable is defined by the delayed values of economic growth itself and tourism receipts in Equation (4).</w:t>
      </w:r>
    </w:p>
    <w:p w:rsidR="004F5A5F" w:rsidRPr="00D92781" w:rsidRDefault="00747549" w:rsidP="004F5A5F">
      <w:pPr>
        <w:spacing w:before="60" w:after="60"/>
        <w:ind w:firstLine="567"/>
        <w:jc w:val="both"/>
        <w:rPr>
          <w:b/>
        </w:rPr>
      </w:pPr>
      <w:r>
        <w:rPr>
          <w:b/>
        </w:rPr>
        <w:t>3</w:t>
      </w:r>
      <w:r w:rsidR="004F5A5F" w:rsidRPr="00D92781">
        <w:rPr>
          <w:b/>
        </w:rPr>
        <w:t>.3. Application and Findings</w:t>
      </w:r>
    </w:p>
    <w:p w:rsidR="004F5A5F" w:rsidRPr="000764AC" w:rsidRDefault="004F5A5F" w:rsidP="004F5A5F">
      <w:pPr>
        <w:spacing w:before="60" w:after="60"/>
        <w:ind w:firstLine="567"/>
        <w:jc w:val="both"/>
      </w:pPr>
      <w:r w:rsidRPr="000764AC">
        <w:t>Since the causality analysis is performed with station series, for this purpose, primarily the existence of the unit root will be investigated. On the other hand, the existence o</w:t>
      </w:r>
      <w:r>
        <w:t>f a correlation between the units</w:t>
      </w:r>
      <w:r w:rsidRPr="000764AC">
        <w:t xml:space="preserve"> is critical to define the proper unit root test. If there is a correlation between the units, first-generation panel unit root test, if not, </w:t>
      </w:r>
      <w:r>
        <w:t xml:space="preserve">the </w:t>
      </w:r>
      <w:r w:rsidRPr="000764AC">
        <w:t xml:space="preserve">second-generation panel unit root test should be selected. </w:t>
      </w:r>
      <w:r>
        <w:t>"Pesaran (2004) CD Test" is</w:t>
      </w:r>
      <w:r w:rsidRPr="000764AC">
        <w:t xml:space="preserve"> employed to determine the correlation between the units.</w:t>
      </w:r>
    </w:p>
    <w:p w:rsidR="004F5A5F" w:rsidRDefault="00747549" w:rsidP="004F5A5F">
      <w:pPr>
        <w:spacing w:before="60" w:after="60"/>
        <w:ind w:firstLine="567"/>
        <w:jc w:val="both"/>
        <w:rPr>
          <w:b/>
        </w:rPr>
      </w:pPr>
      <w:r>
        <w:rPr>
          <w:b/>
        </w:rPr>
        <w:t>3</w:t>
      </w:r>
      <w:r w:rsidR="004F5A5F" w:rsidRPr="00D92781">
        <w:rPr>
          <w:b/>
        </w:rPr>
        <w:t>.3.1. Cross-Section (CD) Test</w:t>
      </w:r>
    </w:p>
    <w:p w:rsidR="004F5A5F" w:rsidRPr="000764AC" w:rsidRDefault="004F5A5F" w:rsidP="004F5A5F">
      <w:pPr>
        <w:spacing w:before="60" w:after="60"/>
        <w:ind w:firstLine="708"/>
        <w:jc w:val="both"/>
      </w:pPr>
      <w:r w:rsidRPr="007351A5">
        <w:t>Pesaran</w:t>
      </w:r>
      <w:r>
        <w:t xml:space="preserve"> </w:t>
      </w:r>
      <w:r w:rsidRPr="007351A5">
        <w:t>(2004)</w:t>
      </w:r>
      <w:r>
        <w:t xml:space="preserve"> CD Test</w:t>
      </w:r>
      <w:r w:rsidRPr="007351A5">
        <w:t xml:space="preserve"> uses the residuals obtained from the estimation of the ADF regression in </w:t>
      </w:r>
      <w:r>
        <w:t xml:space="preserve">the </w:t>
      </w:r>
      <w:r w:rsidRPr="007351A5">
        <w:t xml:space="preserve">testing correlation between units. Accordingly, </w:t>
      </w:r>
      <w:r>
        <w:t>t</w:t>
      </w:r>
      <w:r w:rsidRPr="007351A5">
        <w:t xml:space="preserve">he correlation of each unit, except itself, with all other units is calculated.  Therefore, while N is the unit, number of the correlation calculated will be (N x N-1). </w:t>
      </w:r>
      <w:r>
        <w:t xml:space="preserve">Hypotheses are “ </w:t>
      </w:r>
      <m:oMath>
        <m:sSub>
          <m:sSubPr>
            <m:ctrlPr>
              <w:rPr>
                <w:rFonts w:ascii="Cambria Math" w:hAnsi="Cambria Math"/>
                <w:i/>
              </w:rPr>
            </m:ctrlPr>
          </m:sSubPr>
          <m:e>
            <m:r>
              <w:rPr>
                <w:rFonts w:ascii="Cambria Math" w:hAnsi="Cambria Math"/>
              </w:rPr>
              <m:t>H</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ij</m:t>
            </m:r>
          </m:sub>
        </m:sSub>
        <m:r>
          <w:rPr>
            <w:rFonts w:ascii="Cambria Math" w:hAnsi="Cambria Math"/>
          </w:rPr>
          <m:t>=0</m:t>
        </m:r>
      </m:oMath>
      <w:r>
        <w:t xml:space="preserve"> and </w:t>
      </w:r>
      <m:oMath>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ij</m:t>
            </m:r>
          </m:sub>
        </m:sSub>
        <m:r>
          <w:rPr>
            <w:rFonts w:ascii="Cambria Math" w:hAnsi="Cambria Math"/>
          </w:rPr>
          <m:t>≠0</m:t>
        </m:r>
      </m:oMath>
      <w:r>
        <w:t xml:space="preserve">”. In the hypotheses, </w:t>
      </w:r>
      <m:oMath>
        <m:r>
          <w:rPr>
            <w:rFonts w:ascii="Cambria Math" w:hAnsi="Cambria Math"/>
          </w:rPr>
          <m:t>ρ</m:t>
        </m:r>
      </m:oMath>
      <w:r>
        <w:t xml:space="preserve"> </w:t>
      </w:r>
      <w:r w:rsidRPr="00954D69">
        <w:t>shows the correlation coefficient between the residues of the</w:t>
      </w:r>
      <w:r>
        <w:t xml:space="preserve"> i. and j.</w:t>
      </w:r>
      <w:r w:rsidRPr="00954D69">
        <w:t xml:space="preserve"> units.</w:t>
      </w:r>
      <w:r>
        <w:t xml:space="preserve"> </w:t>
      </w:r>
      <w:r w:rsidRPr="000764AC">
        <w:t>The r</w:t>
      </w:r>
      <w:r w:rsidR="00776E36">
        <w:t>esults are summarized in Table 1</w:t>
      </w:r>
      <w:r w:rsidRPr="000764AC">
        <w:t>.</w:t>
      </w:r>
    </w:p>
    <w:p w:rsidR="004F5A5F" w:rsidRPr="000764AC" w:rsidRDefault="00776E36" w:rsidP="000D6D1B">
      <w:pPr>
        <w:spacing w:after="60"/>
        <w:jc w:val="center"/>
        <w:rPr>
          <w:b/>
        </w:rPr>
      </w:pPr>
      <w:r>
        <w:rPr>
          <w:b/>
        </w:rPr>
        <w:t>Table 1</w:t>
      </w:r>
      <w:r w:rsidR="004F5A5F" w:rsidRPr="000764AC">
        <w:rPr>
          <w:b/>
        </w:rPr>
        <w:t>: Pesaran (2004) CD Test Results</w:t>
      </w:r>
    </w:p>
    <w:tbl>
      <w:tblPr>
        <w:tblStyle w:val="DzTablo2"/>
        <w:tblW w:w="0" w:type="auto"/>
        <w:tblLook w:val="04A0" w:firstRow="1" w:lastRow="0" w:firstColumn="1" w:lastColumn="0" w:noHBand="0" w:noVBand="1"/>
      </w:tblPr>
      <w:tblGrid>
        <w:gridCol w:w="1725"/>
        <w:gridCol w:w="1678"/>
        <w:gridCol w:w="1693"/>
        <w:gridCol w:w="1679"/>
        <w:gridCol w:w="1729"/>
      </w:tblGrid>
      <w:tr w:rsidR="004F5A5F" w:rsidRPr="000764AC" w:rsidTr="000D6D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5" w:type="dxa"/>
            <w:tcBorders>
              <w:top w:val="thinThickSmallGap" w:sz="12" w:space="0" w:color="7F7F7F" w:themeColor="text1" w:themeTint="80"/>
              <w:bottom w:val="thinThickSmallGap" w:sz="12" w:space="0" w:color="7F7F7F" w:themeColor="text1" w:themeTint="80"/>
              <w:right w:val="single" w:sz="4" w:space="0" w:color="auto"/>
            </w:tcBorders>
          </w:tcPr>
          <w:p w:rsidR="004F5A5F" w:rsidRPr="000D6D1B" w:rsidRDefault="004F5A5F" w:rsidP="00294ADE">
            <w:pPr>
              <w:rPr>
                <w:b w:val="0"/>
                <w:sz w:val="22"/>
                <w:szCs w:val="22"/>
                <w:lang w:val="en-GB"/>
              </w:rPr>
            </w:pPr>
            <w:r w:rsidRPr="000D6D1B">
              <w:rPr>
                <w:b w:val="0"/>
                <w:sz w:val="22"/>
                <w:szCs w:val="22"/>
                <w:lang w:val="en-GB"/>
              </w:rPr>
              <w:t>Variables</w:t>
            </w:r>
          </w:p>
        </w:tc>
        <w:tc>
          <w:tcPr>
            <w:tcW w:w="1678" w:type="dxa"/>
            <w:tcBorders>
              <w:top w:val="thinThickSmallGap" w:sz="12" w:space="0" w:color="7F7F7F" w:themeColor="text1" w:themeTint="80"/>
              <w:left w:val="single" w:sz="4" w:space="0" w:color="auto"/>
              <w:bottom w:val="thinThickSmallGap" w:sz="12" w:space="0" w:color="7F7F7F" w:themeColor="text1" w:themeTint="80"/>
            </w:tcBorders>
          </w:tcPr>
          <w:p w:rsidR="004F5A5F" w:rsidRPr="000D6D1B" w:rsidRDefault="004F5A5F" w:rsidP="00294ADE">
            <w:pPr>
              <w:jc w:val="center"/>
              <w:cnfStyle w:val="100000000000" w:firstRow="1" w:lastRow="0" w:firstColumn="0" w:lastColumn="0" w:oddVBand="0" w:evenVBand="0" w:oddHBand="0" w:evenHBand="0" w:firstRowFirstColumn="0" w:firstRowLastColumn="0" w:lastRowFirstColumn="0" w:lastRowLastColumn="0"/>
              <w:rPr>
                <w:b w:val="0"/>
                <w:sz w:val="22"/>
                <w:szCs w:val="22"/>
                <w:lang w:val="en-GB"/>
              </w:rPr>
            </w:pPr>
            <w:r w:rsidRPr="000D6D1B">
              <w:rPr>
                <w:b w:val="0"/>
                <w:sz w:val="22"/>
                <w:szCs w:val="22"/>
                <w:lang w:val="en-GB"/>
              </w:rPr>
              <w:t>CD-test</w:t>
            </w:r>
          </w:p>
        </w:tc>
        <w:tc>
          <w:tcPr>
            <w:tcW w:w="1693" w:type="dxa"/>
            <w:tcBorders>
              <w:top w:val="thinThickSmallGap" w:sz="12" w:space="0" w:color="7F7F7F" w:themeColor="text1" w:themeTint="80"/>
              <w:bottom w:val="thinThickSmallGap" w:sz="12" w:space="0" w:color="7F7F7F" w:themeColor="text1" w:themeTint="80"/>
            </w:tcBorders>
          </w:tcPr>
          <w:p w:rsidR="004F5A5F" w:rsidRPr="000D6D1B" w:rsidRDefault="004F5A5F" w:rsidP="00294ADE">
            <w:pPr>
              <w:jc w:val="center"/>
              <w:cnfStyle w:val="100000000000" w:firstRow="1" w:lastRow="0" w:firstColumn="0" w:lastColumn="0" w:oddVBand="0" w:evenVBand="0" w:oddHBand="0" w:evenHBand="0" w:firstRowFirstColumn="0" w:firstRowLastColumn="0" w:lastRowFirstColumn="0" w:lastRowLastColumn="0"/>
              <w:rPr>
                <w:b w:val="0"/>
                <w:sz w:val="22"/>
                <w:szCs w:val="22"/>
                <w:lang w:val="en-GB"/>
              </w:rPr>
            </w:pPr>
            <w:r w:rsidRPr="000D6D1B">
              <w:rPr>
                <w:b w:val="0"/>
                <w:sz w:val="22"/>
                <w:szCs w:val="22"/>
                <w:lang w:val="en-GB"/>
              </w:rPr>
              <w:t>p-value</w:t>
            </w:r>
          </w:p>
        </w:tc>
        <w:tc>
          <w:tcPr>
            <w:tcW w:w="1679" w:type="dxa"/>
            <w:tcBorders>
              <w:top w:val="thinThickSmallGap" w:sz="12" w:space="0" w:color="7F7F7F" w:themeColor="text1" w:themeTint="80"/>
              <w:bottom w:val="thinThickSmallGap" w:sz="12" w:space="0" w:color="7F7F7F" w:themeColor="text1" w:themeTint="80"/>
            </w:tcBorders>
          </w:tcPr>
          <w:p w:rsidR="004F5A5F" w:rsidRPr="000D6D1B" w:rsidRDefault="004F5A5F" w:rsidP="00294ADE">
            <w:pPr>
              <w:jc w:val="center"/>
              <w:cnfStyle w:val="100000000000" w:firstRow="1" w:lastRow="0" w:firstColumn="0" w:lastColumn="0" w:oddVBand="0" w:evenVBand="0" w:oddHBand="0" w:evenHBand="0" w:firstRowFirstColumn="0" w:firstRowLastColumn="0" w:lastRowFirstColumn="0" w:lastRowLastColumn="0"/>
              <w:rPr>
                <w:b w:val="0"/>
                <w:sz w:val="22"/>
                <w:szCs w:val="22"/>
                <w:lang w:val="en-GB"/>
              </w:rPr>
            </w:pPr>
            <w:r w:rsidRPr="000D6D1B">
              <w:rPr>
                <w:b w:val="0"/>
                <w:sz w:val="22"/>
                <w:szCs w:val="22"/>
                <w:lang w:val="en-GB"/>
              </w:rPr>
              <w:t>corr</w:t>
            </w:r>
          </w:p>
        </w:tc>
        <w:tc>
          <w:tcPr>
            <w:tcW w:w="1729" w:type="dxa"/>
            <w:tcBorders>
              <w:top w:val="thinThickSmallGap" w:sz="12" w:space="0" w:color="7F7F7F" w:themeColor="text1" w:themeTint="80"/>
              <w:bottom w:val="thinThickSmallGap" w:sz="12" w:space="0" w:color="7F7F7F" w:themeColor="text1" w:themeTint="80"/>
            </w:tcBorders>
          </w:tcPr>
          <w:p w:rsidR="004F5A5F" w:rsidRPr="000D6D1B" w:rsidRDefault="004F5A5F" w:rsidP="00294ADE">
            <w:pPr>
              <w:jc w:val="center"/>
              <w:cnfStyle w:val="100000000000" w:firstRow="1" w:lastRow="0" w:firstColumn="0" w:lastColumn="0" w:oddVBand="0" w:evenVBand="0" w:oddHBand="0" w:evenHBand="0" w:firstRowFirstColumn="0" w:firstRowLastColumn="0" w:lastRowFirstColumn="0" w:lastRowLastColumn="0"/>
              <w:rPr>
                <w:b w:val="0"/>
                <w:sz w:val="22"/>
                <w:szCs w:val="22"/>
                <w:lang w:val="en-GB"/>
              </w:rPr>
            </w:pPr>
            <w:r w:rsidRPr="000D6D1B">
              <w:rPr>
                <w:b w:val="0"/>
                <w:sz w:val="22"/>
                <w:szCs w:val="22"/>
                <w:lang w:val="en-GB"/>
              </w:rPr>
              <w:t>Abs(corr)</w:t>
            </w:r>
          </w:p>
        </w:tc>
      </w:tr>
      <w:tr w:rsidR="000D6D1B" w:rsidRPr="000764AC" w:rsidTr="000D6D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5" w:type="dxa"/>
            <w:tcBorders>
              <w:top w:val="thinThickSmallGap" w:sz="12" w:space="0" w:color="7F7F7F" w:themeColor="text1" w:themeTint="80"/>
              <w:right w:val="single" w:sz="4" w:space="0" w:color="auto"/>
            </w:tcBorders>
          </w:tcPr>
          <w:p w:rsidR="000D6D1B" w:rsidRPr="000D6D1B" w:rsidRDefault="000D6D1B" w:rsidP="000D6D1B">
            <w:pPr>
              <w:rPr>
                <w:b w:val="0"/>
                <w:sz w:val="22"/>
                <w:szCs w:val="22"/>
                <w:lang w:val="en-GB"/>
              </w:rPr>
            </w:pPr>
            <w:r w:rsidRPr="000D6D1B">
              <w:rPr>
                <w:b w:val="0"/>
                <w:i/>
                <w:sz w:val="22"/>
                <w:szCs w:val="22"/>
                <w:lang w:val="en-GB"/>
              </w:rPr>
              <w:t>Ln</w:t>
            </w:r>
            <w:r w:rsidRPr="000D6D1B">
              <w:rPr>
                <w:b w:val="0"/>
                <w:sz w:val="22"/>
                <w:szCs w:val="22"/>
                <w:lang w:val="en-GB"/>
              </w:rPr>
              <w:t>EG</w:t>
            </w:r>
          </w:p>
        </w:tc>
        <w:tc>
          <w:tcPr>
            <w:tcW w:w="1678" w:type="dxa"/>
            <w:tcBorders>
              <w:top w:val="thinThickSmallGap" w:sz="12" w:space="0" w:color="7F7F7F" w:themeColor="text1" w:themeTint="80"/>
              <w:left w:val="single" w:sz="4" w:space="0" w:color="auto"/>
            </w:tcBorders>
          </w:tcPr>
          <w:p w:rsidR="000D6D1B" w:rsidRPr="000D6D1B" w:rsidRDefault="000D6D1B" w:rsidP="000D6D1B">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0D6D1B">
              <w:rPr>
                <w:sz w:val="20"/>
                <w:szCs w:val="20"/>
                <w:lang w:val="en-GB"/>
              </w:rPr>
              <w:t xml:space="preserve">64.86    </w:t>
            </w:r>
          </w:p>
        </w:tc>
        <w:tc>
          <w:tcPr>
            <w:tcW w:w="1693" w:type="dxa"/>
            <w:tcBorders>
              <w:top w:val="thinThickSmallGap" w:sz="12" w:space="0" w:color="7F7F7F" w:themeColor="text1" w:themeTint="80"/>
            </w:tcBorders>
          </w:tcPr>
          <w:p w:rsidR="000D6D1B" w:rsidRPr="000D6D1B" w:rsidRDefault="000D6D1B" w:rsidP="000D6D1B">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0D6D1B">
              <w:rPr>
                <w:sz w:val="20"/>
                <w:szCs w:val="20"/>
                <w:lang w:val="en-GB"/>
              </w:rPr>
              <w:t xml:space="preserve">0.000*    </w:t>
            </w:r>
          </w:p>
        </w:tc>
        <w:tc>
          <w:tcPr>
            <w:tcW w:w="1679" w:type="dxa"/>
            <w:tcBorders>
              <w:top w:val="thinThickSmallGap" w:sz="12" w:space="0" w:color="7F7F7F" w:themeColor="text1" w:themeTint="80"/>
            </w:tcBorders>
          </w:tcPr>
          <w:p w:rsidR="000D6D1B" w:rsidRPr="000D6D1B" w:rsidRDefault="000D6D1B" w:rsidP="000D6D1B">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0D6D1B">
              <w:rPr>
                <w:sz w:val="20"/>
                <w:szCs w:val="20"/>
                <w:lang w:val="en-GB"/>
              </w:rPr>
              <w:t xml:space="preserve">0.981    </w:t>
            </w:r>
          </w:p>
        </w:tc>
        <w:tc>
          <w:tcPr>
            <w:tcW w:w="1729" w:type="dxa"/>
            <w:tcBorders>
              <w:top w:val="thinThickSmallGap" w:sz="12" w:space="0" w:color="7F7F7F" w:themeColor="text1" w:themeTint="80"/>
            </w:tcBorders>
          </w:tcPr>
          <w:p w:rsidR="000D6D1B" w:rsidRPr="000D6D1B" w:rsidRDefault="000D6D1B" w:rsidP="000D6D1B">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0D6D1B">
              <w:rPr>
                <w:sz w:val="20"/>
                <w:szCs w:val="20"/>
                <w:lang w:val="en-GB"/>
              </w:rPr>
              <w:t xml:space="preserve">0.981    </w:t>
            </w:r>
          </w:p>
        </w:tc>
      </w:tr>
      <w:tr w:rsidR="000D6D1B" w:rsidRPr="000764AC" w:rsidTr="000D6D1B">
        <w:tc>
          <w:tcPr>
            <w:cnfStyle w:val="001000000000" w:firstRow="0" w:lastRow="0" w:firstColumn="1" w:lastColumn="0" w:oddVBand="0" w:evenVBand="0" w:oddHBand="0" w:evenHBand="0" w:firstRowFirstColumn="0" w:firstRowLastColumn="0" w:lastRowFirstColumn="0" w:lastRowLastColumn="0"/>
            <w:tcW w:w="1725" w:type="dxa"/>
            <w:tcBorders>
              <w:bottom w:val="thinThickSmallGap" w:sz="12" w:space="0" w:color="7F7F7F" w:themeColor="text1" w:themeTint="80"/>
              <w:right w:val="single" w:sz="4" w:space="0" w:color="auto"/>
            </w:tcBorders>
          </w:tcPr>
          <w:p w:rsidR="000D6D1B" w:rsidRPr="000D6D1B" w:rsidRDefault="000D6D1B" w:rsidP="000D6D1B">
            <w:pPr>
              <w:rPr>
                <w:b w:val="0"/>
                <w:sz w:val="22"/>
                <w:szCs w:val="22"/>
                <w:lang w:val="en-GB"/>
              </w:rPr>
            </w:pPr>
            <w:r w:rsidRPr="000D6D1B">
              <w:rPr>
                <w:b w:val="0"/>
                <w:i/>
                <w:sz w:val="22"/>
                <w:szCs w:val="22"/>
                <w:lang w:val="en-GB"/>
              </w:rPr>
              <w:t>Ln</w:t>
            </w:r>
            <w:r w:rsidRPr="000D6D1B">
              <w:rPr>
                <w:b w:val="0"/>
                <w:sz w:val="22"/>
                <w:szCs w:val="22"/>
                <w:lang w:val="en-GB"/>
              </w:rPr>
              <w:t>TR</w:t>
            </w:r>
          </w:p>
        </w:tc>
        <w:tc>
          <w:tcPr>
            <w:tcW w:w="1678" w:type="dxa"/>
            <w:tcBorders>
              <w:left w:val="single" w:sz="4" w:space="0" w:color="auto"/>
              <w:bottom w:val="thinThickSmallGap" w:sz="12" w:space="0" w:color="7F7F7F" w:themeColor="text1" w:themeTint="80"/>
            </w:tcBorders>
          </w:tcPr>
          <w:p w:rsidR="000D6D1B" w:rsidRPr="000D6D1B" w:rsidRDefault="000D6D1B" w:rsidP="000D6D1B">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0D6D1B">
              <w:rPr>
                <w:sz w:val="20"/>
                <w:szCs w:val="20"/>
                <w:lang w:val="en-GB"/>
              </w:rPr>
              <w:t xml:space="preserve">46.54    </w:t>
            </w:r>
          </w:p>
        </w:tc>
        <w:tc>
          <w:tcPr>
            <w:tcW w:w="1693" w:type="dxa"/>
            <w:tcBorders>
              <w:bottom w:val="thinThickSmallGap" w:sz="12" w:space="0" w:color="7F7F7F" w:themeColor="text1" w:themeTint="80"/>
            </w:tcBorders>
          </w:tcPr>
          <w:p w:rsidR="000D6D1B" w:rsidRPr="000D6D1B" w:rsidRDefault="000D6D1B" w:rsidP="000D6D1B">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0D6D1B">
              <w:rPr>
                <w:sz w:val="20"/>
                <w:szCs w:val="20"/>
                <w:lang w:val="en-GB"/>
              </w:rPr>
              <w:t xml:space="preserve">0.000*    </w:t>
            </w:r>
          </w:p>
        </w:tc>
        <w:tc>
          <w:tcPr>
            <w:tcW w:w="1679" w:type="dxa"/>
            <w:tcBorders>
              <w:bottom w:val="thinThickSmallGap" w:sz="12" w:space="0" w:color="7F7F7F" w:themeColor="text1" w:themeTint="80"/>
            </w:tcBorders>
          </w:tcPr>
          <w:p w:rsidR="000D6D1B" w:rsidRPr="000D6D1B" w:rsidRDefault="000D6D1B" w:rsidP="000D6D1B">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0D6D1B">
              <w:rPr>
                <w:sz w:val="20"/>
                <w:szCs w:val="20"/>
                <w:lang w:val="en-GB"/>
              </w:rPr>
              <w:t xml:space="preserve">0.704    </w:t>
            </w:r>
          </w:p>
        </w:tc>
        <w:tc>
          <w:tcPr>
            <w:tcW w:w="1729" w:type="dxa"/>
            <w:tcBorders>
              <w:bottom w:val="thinThickSmallGap" w:sz="12" w:space="0" w:color="7F7F7F" w:themeColor="text1" w:themeTint="80"/>
            </w:tcBorders>
          </w:tcPr>
          <w:p w:rsidR="000D6D1B" w:rsidRPr="000D6D1B" w:rsidRDefault="000D6D1B" w:rsidP="000D6D1B">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0D6D1B">
              <w:rPr>
                <w:sz w:val="20"/>
                <w:szCs w:val="20"/>
                <w:lang w:val="en-GB"/>
              </w:rPr>
              <w:t>0.727</w:t>
            </w:r>
          </w:p>
        </w:tc>
      </w:tr>
    </w:tbl>
    <w:p w:rsidR="004F5A5F" w:rsidRPr="000764AC" w:rsidRDefault="004F5A5F" w:rsidP="004F5A5F">
      <w:pPr>
        <w:rPr>
          <w:sz w:val="16"/>
          <w:szCs w:val="16"/>
        </w:rPr>
      </w:pPr>
      <w:r w:rsidRPr="000764AC">
        <w:rPr>
          <w:sz w:val="16"/>
          <w:szCs w:val="16"/>
        </w:rPr>
        <w:t>Note: “*shows the cross-sectional dependence at the 1% significant level</w:t>
      </w:r>
      <w:r>
        <w:rPr>
          <w:sz w:val="16"/>
          <w:szCs w:val="16"/>
        </w:rPr>
        <w:t>.</w:t>
      </w:r>
      <w:r w:rsidRPr="000764AC">
        <w:rPr>
          <w:sz w:val="16"/>
          <w:szCs w:val="16"/>
        </w:rPr>
        <w:t>”</w:t>
      </w:r>
    </w:p>
    <w:p w:rsidR="004F5A5F" w:rsidRPr="000764AC" w:rsidRDefault="00776E36" w:rsidP="004F5A5F">
      <w:pPr>
        <w:spacing w:before="60" w:after="60"/>
        <w:ind w:firstLine="567"/>
        <w:jc w:val="both"/>
      </w:pPr>
      <w:r>
        <w:t>Table 1</w:t>
      </w:r>
      <w:r w:rsidR="004F5A5F" w:rsidRPr="000764AC">
        <w:t xml:space="preserve"> shows the results of CD-test statistics, p-value, </w:t>
      </w:r>
      <w:r w:rsidR="004F5A5F">
        <w:t>C</w:t>
      </w:r>
      <w:r w:rsidR="004F5A5F" w:rsidRPr="000764AC">
        <w:t>orr coefficient, and absolute value (corr) results. “the null hypothesis (H</w:t>
      </w:r>
      <w:r w:rsidR="004F5A5F" w:rsidRPr="006A4806">
        <w:rPr>
          <w:vertAlign w:val="subscript"/>
        </w:rPr>
        <w:t>0</w:t>
      </w:r>
      <w:r w:rsidR="004F5A5F" w:rsidRPr="000764AC">
        <w:t>): no correlation between the series” was tested against “the alternative hypothesis (H</w:t>
      </w:r>
      <w:r w:rsidR="004F5A5F" w:rsidRPr="006A4806">
        <w:rPr>
          <w:vertAlign w:val="subscript"/>
        </w:rPr>
        <w:t>A</w:t>
      </w:r>
      <w:r w:rsidR="004F5A5F" w:rsidRPr="000764AC">
        <w:t>):</w:t>
      </w:r>
      <w:r w:rsidR="004F5A5F">
        <w:t xml:space="preserve"> there is a correlation</w:t>
      </w:r>
      <w:r w:rsidR="004F5A5F" w:rsidRPr="000764AC">
        <w:t xml:space="preserve"> between the series”. The "p-value" of the LnGDP and LnTR variables are less than 0.05. Therefore, “H</w:t>
      </w:r>
      <w:r w:rsidR="004F5A5F" w:rsidRPr="006A4806">
        <w:rPr>
          <w:vertAlign w:val="subscript"/>
        </w:rPr>
        <w:t>0</w:t>
      </w:r>
      <w:r w:rsidR="004F5A5F" w:rsidRPr="000764AC">
        <w:t xml:space="preserve"> is rejected” and </w:t>
      </w:r>
      <w:r w:rsidR="00827A0F">
        <w:t>determined</w:t>
      </w:r>
      <w:r w:rsidR="004F5A5F" w:rsidRPr="000764AC">
        <w:t xml:space="preserve"> that there is a correlation between the series. </w:t>
      </w:r>
    </w:p>
    <w:p w:rsidR="004F5A5F" w:rsidRPr="00D92781" w:rsidRDefault="00747549" w:rsidP="004F5A5F">
      <w:pPr>
        <w:spacing w:before="60" w:after="60"/>
        <w:ind w:firstLine="567"/>
        <w:jc w:val="both"/>
        <w:rPr>
          <w:b/>
        </w:rPr>
      </w:pPr>
      <w:r>
        <w:rPr>
          <w:b/>
        </w:rPr>
        <w:t>3</w:t>
      </w:r>
      <w:r w:rsidR="004F5A5F" w:rsidRPr="00D92781">
        <w:rPr>
          <w:b/>
        </w:rPr>
        <w:t xml:space="preserve">.3.2. Stationarity of the Series  </w:t>
      </w:r>
    </w:p>
    <w:p w:rsidR="00747549" w:rsidRDefault="004F5A5F" w:rsidP="004F5A5F">
      <w:pPr>
        <w:spacing w:before="60" w:after="60"/>
        <w:ind w:firstLine="567"/>
        <w:jc w:val="both"/>
      </w:pPr>
      <w:r w:rsidRPr="000764AC">
        <w:t xml:space="preserve">When there is </w:t>
      </w:r>
      <w:r>
        <w:t>a correlation between the units</w:t>
      </w:r>
      <w:r w:rsidRPr="000764AC">
        <w:t>, it is necessary to choose “</w:t>
      </w:r>
      <w:r>
        <w:t>t</w:t>
      </w:r>
      <w:r w:rsidRPr="000764AC">
        <w:t xml:space="preserve">he second-generation panel unit root tests”. </w:t>
      </w:r>
      <w:r>
        <w:t xml:space="preserve">Therefore, </w:t>
      </w:r>
      <w:r w:rsidRPr="00FC30AE">
        <w:t>Pesaran (2007)</w:t>
      </w:r>
      <w:r>
        <w:t xml:space="preserve"> CIPS </w:t>
      </w:r>
      <w:r w:rsidRPr="00FC30AE">
        <w:t xml:space="preserve">the unit root test, which takes into account the existence of </w:t>
      </w:r>
      <w:r>
        <w:t xml:space="preserve">a </w:t>
      </w:r>
      <w:r w:rsidRPr="00FC30AE">
        <w:t>correlat</w:t>
      </w:r>
      <w:r>
        <w:t>ion between units, was</w:t>
      </w:r>
      <w:r w:rsidRPr="000764AC">
        <w:t xml:space="preserve"> performed</w:t>
      </w:r>
      <w:r w:rsidR="00827A0F">
        <w:t xml:space="preserve"> and the results are</w:t>
      </w:r>
      <w:r w:rsidR="00776E36">
        <w:t xml:space="preserve"> summarized in Table 2</w:t>
      </w:r>
      <w:r>
        <w:t xml:space="preserve">.  </w:t>
      </w:r>
    </w:p>
    <w:p w:rsidR="004F5A5F" w:rsidRPr="000764AC" w:rsidRDefault="00776E36" w:rsidP="000D6D1B">
      <w:pPr>
        <w:spacing w:after="60"/>
        <w:jc w:val="center"/>
        <w:rPr>
          <w:b/>
        </w:rPr>
      </w:pPr>
      <w:r>
        <w:rPr>
          <w:b/>
        </w:rPr>
        <w:t>Table 2</w:t>
      </w:r>
      <w:r w:rsidR="004F5A5F" w:rsidRPr="000764AC">
        <w:rPr>
          <w:b/>
        </w:rPr>
        <w:t xml:space="preserve">: Pesaran CIPS Test </w:t>
      </w:r>
    </w:p>
    <w:tbl>
      <w:tblPr>
        <w:tblStyle w:val="DzTablo2"/>
        <w:tblW w:w="8361" w:type="dxa"/>
        <w:tblLook w:val="04A0" w:firstRow="1" w:lastRow="0" w:firstColumn="1" w:lastColumn="0" w:noHBand="0" w:noVBand="1"/>
      </w:tblPr>
      <w:tblGrid>
        <w:gridCol w:w="1294"/>
        <w:gridCol w:w="1116"/>
        <w:gridCol w:w="1033"/>
        <w:gridCol w:w="1033"/>
        <w:gridCol w:w="1295"/>
        <w:gridCol w:w="1295"/>
        <w:gridCol w:w="1295"/>
      </w:tblGrid>
      <w:tr w:rsidR="004F5A5F" w:rsidRPr="000764AC" w:rsidTr="000D6D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tcBorders>
              <w:top w:val="thinThickSmallGap" w:sz="12" w:space="0" w:color="7F7F7F" w:themeColor="text1" w:themeTint="80"/>
              <w:bottom w:val="thinThickSmallGap" w:sz="12" w:space="0" w:color="7F7F7F" w:themeColor="text1" w:themeTint="80"/>
              <w:right w:val="single" w:sz="4" w:space="0" w:color="auto"/>
            </w:tcBorders>
          </w:tcPr>
          <w:p w:rsidR="004F5A5F" w:rsidRPr="000764AC" w:rsidRDefault="004F5A5F" w:rsidP="00294ADE">
            <w:pPr>
              <w:rPr>
                <w:b w:val="0"/>
                <w:lang w:val="en-GB"/>
              </w:rPr>
            </w:pPr>
            <w:r w:rsidRPr="000764AC">
              <w:rPr>
                <w:b w:val="0"/>
                <w:lang w:val="en-GB"/>
              </w:rPr>
              <w:t>Variables</w:t>
            </w:r>
          </w:p>
        </w:tc>
        <w:tc>
          <w:tcPr>
            <w:tcW w:w="1116" w:type="dxa"/>
            <w:tcBorders>
              <w:top w:val="thinThickSmallGap" w:sz="12" w:space="0" w:color="7F7F7F" w:themeColor="text1" w:themeTint="80"/>
              <w:left w:val="single" w:sz="4" w:space="0" w:color="auto"/>
              <w:bottom w:val="thinThickSmallGap" w:sz="12" w:space="0" w:color="7F7F7F" w:themeColor="text1" w:themeTint="80"/>
            </w:tcBorders>
          </w:tcPr>
          <w:p w:rsidR="004F5A5F" w:rsidRPr="000764AC" w:rsidRDefault="004F5A5F" w:rsidP="00294ADE">
            <w:pPr>
              <w:jc w:val="center"/>
              <w:cnfStyle w:val="100000000000" w:firstRow="1" w:lastRow="0" w:firstColumn="0" w:lastColumn="0" w:oddVBand="0" w:evenVBand="0" w:oddHBand="0" w:evenHBand="0" w:firstRowFirstColumn="0" w:firstRowLastColumn="0" w:lastRowFirstColumn="0" w:lastRowLastColumn="0"/>
              <w:rPr>
                <w:b w:val="0"/>
                <w:sz w:val="20"/>
                <w:szCs w:val="20"/>
                <w:lang w:val="en-GB"/>
              </w:rPr>
            </w:pPr>
            <w:r w:rsidRPr="000764AC">
              <w:rPr>
                <w:b w:val="0"/>
                <w:sz w:val="20"/>
                <w:szCs w:val="20"/>
                <w:lang w:val="en-GB"/>
              </w:rPr>
              <w:t>t-bar</w:t>
            </w:r>
          </w:p>
        </w:tc>
        <w:tc>
          <w:tcPr>
            <w:tcW w:w="1033" w:type="dxa"/>
            <w:tcBorders>
              <w:top w:val="thinThickSmallGap" w:sz="12" w:space="0" w:color="7F7F7F" w:themeColor="text1" w:themeTint="80"/>
              <w:bottom w:val="thinThickSmallGap" w:sz="12" w:space="0" w:color="7F7F7F" w:themeColor="text1" w:themeTint="80"/>
            </w:tcBorders>
          </w:tcPr>
          <w:p w:rsidR="004F5A5F" w:rsidRPr="000764AC" w:rsidRDefault="004F5A5F" w:rsidP="00294ADE">
            <w:pPr>
              <w:jc w:val="center"/>
              <w:cnfStyle w:val="100000000000" w:firstRow="1" w:lastRow="0" w:firstColumn="0" w:lastColumn="0" w:oddVBand="0" w:evenVBand="0" w:oddHBand="0" w:evenHBand="0" w:firstRowFirstColumn="0" w:firstRowLastColumn="0" w:lastRowFirstColumn="0" w:lastRowLastColumn="0"/>
              <w:rPr>
                <w:b w:val="0"/>
                <w:sz w:val="20"/>
                <w:szCs w:val="20"/>
                <w:lang w:val="en-GB"/>
              </w:rPr>
            </w:pPr>
            <w:r w:rsidRPr="000764AC">
              <w:rPr>
                <w:b w:val="0"/>
                <w:sz w:val="20"/>
                <w:szCs w:val="20"/>
                <w:lang w:val="en-GB"/>
              </w:rPr>
              <w:t>CV10</w:t>
            </w:r>
          </w:p>
        </w:tc>
        <w:tc>
          <w:tcPr>
            <w:tcW w:w="1033" w:type="dxa"/>
            <w:tcBorders>
              <w:top w:val="thinThickSmallGap" w:sz="12" w:space="0" w:color="7F7F7F" w:themeColor="text1" w:themeTint="80"/>
              <w:bottom w:val="thinThickSmallGap" w:sz="12" w:space="0" w:color="7F7F7F" w:themeColor="text1" w:themeTint="80"/>
            </w:tcBorders>
          </w:tcPr>
          <w:p w:rsidR="004F5A5F" w:rsidRPr="000764AC" w:rsidRDefault="004F5A5F" w:rsidP="00294ADE">
            <w:pPr>
              <w:jc w:val="center"/>
              <w:cnfStyle w:val="100000000000" w:firstRow="1" w:lastRow="0" w:firstColumn="0" w:lastColumn="0" w:oddVBand="0" w:evenVBand="0" w:oddHBand="0" w:evenHBand="0" w:firstRowFirstColumn="0" w:firstRowLastColumn="0" w:lastRowFirstColumn="0" w:lastRowLastColumn="0"/>
              <w:rPr>
                <w:b w:val="0"/>
                <w:sz w:val="20"/>
                <w:szCs w:val="20"/>
                <w:lang w:val="en-GB"/>
              </w:rPr>
            </w:pPr>
            <w:r w:rsidRPr="000764AC">
              <w:rPr>
                <w:b w:val="0"/>
                <w:sz w:val="20"/>
                <w:szCs w:val="20"/>
                <w:lang w:val="en-GB"/>
              </w:rPr>
              <w:t>CV5</w:t>
            </w:r>
          </w:p>
        </w:tc>
        <w:tc>
          <w:tcPr>
            <w:tcW w:w="1295" w:type="dxa"/>
            <w:tcBorders>
              <w:top w:val="thinThickSmallGap" w:sz="12" w:space="0" w:color="7F7F7F" w:themeColor="text1" w:themeTint="80"/>
              <w:bottom w:val="thinThickSmallGap" w:sz="12" w:space="0" w:color="7F7F7F" w:themeColor="text1" w:themeTint="80"/>
            </w:tcBorders>
          </w:tcPr>
          <w:p w:rsidR="004F5A5F" w:rsidRPr="000764AC" w:rsidRDefault="004F5A5F" w:rsidP="00294ADE">
            <w:pPr>
              <w:jc w:val="center"/>
              <w:cnfStyle w:val="100000000000" w:firstRow="1" w:lastRow="0" w:firstColumn="0" w:lastColumn="0" w:oddVBand="0" w:evenVBand="0" w:oddHBand="0" w:evenHBand="0" w:firstRowFirstColumn="0" w:firstRowLastColumn="0" w:lastRowFirstColumn="0" w:lastRowLastColumn="0"/>
              <w:rPr>
                <w:b w:val="0"/>
                <w:sz w:val="20"/>
                <w:szCs w:val="20"/>
                <w:lang w:val="en-GB"/>
              </w:rPr>
            </w:pPr>
            <w:r w:rsidRPr="000764AC">
              <w:rPr>
                <w:b w:val="0"/>
                <w:sz w:val="20"/>
                <w:szCs w:val="20"/>
                <w:lang w:val="en-GB"/>
              </w:rPr>
              <w:t>CV1</w:t>
            </w:r>
          </w:p>
        </w:tc>
        <w:tc>
          <w:tcPr>
            <w:tcW w:w="1295" w:type="dxa"/>
            <w:tcBorders>
              <w:top w:val="thinThickSmallGap" w:sz="12" w:space="0" w:color="7F7F7F" w:themeColor="text1" w:themeTint="80"/>
              <w:bottom w:val="thinThickSmallGap" w:sz="12" w:space="0" w:color="7F7F7F" w:themeColor="text1" w:themeTint="80"/>
            </w:tcBorders>
          </w:tcPr>
          <w:p w:rsidR="004F5A5F" w:rsidRPr="000764AC" w:rsidRDefault="004F5A5F" w:rsidP="00294ADE">
            <w:pPr>
              <w:jc w:val="center"/>
              <w:cnfStyle w:val="100000000000" w:firstRow="1" w:lastRow="0" w:firstColumn="0" w:lastColumn="0" w:oddVBand="0" w:evenVBand="0" w:oddHBand="0" w:evenHBand="0" w:firstRowFirstColumn="0" w:firstRowLastColumn="0" w:lastRowFirstColumn="0" w:lastRowLastColumn="0"/>
              <w:rPr>
                <w:b w:val="0"/>
                <w:sz w:val="20"/>
                <w:szCs w:val="20"/>
                <w:lang w:val="en-GB"/>
              </w:rPr>
            </w:pPr>
            <w:r w:rsidRPr="000764AC">
              <w:rPr>
                <w:b w:val="0"/>
                <w:sz w:val="20"/>
                <w:szCs w:val="20"/>
                <w:lang w:val="en-GB"/>
              </w:rPr>
              <w:t>Z[t-bar]</w:t>
            </w:r>
          </w:p>
        </w:tc>
        <w:tc>
          <w:tcPr>
            <w:tcW w:w="1295" w:type="dxa"/>
            <w:tcBorders>
              <w:top w:val="thinThickSmallGap" w:sz="12" w:space="0" w:color="7F7F7F" w:themeColor="text1" w:themeTint="80"/>
              <w:bottom w:val="thinThickSmallGap" w:sz="12" w:space="0" w:color="7F7F7F" w:themeColor="text1" w:themeTint="80"/>
            </w:tcBorders>
          </w:tcPr>
          <w:p w:rsidR="004F5A5F" w:rsidRPr="000764AC" w:rsidRDefault="004F5A5F" w:rsidP="00294ADE">
            <w:pPr>
              <w:jc w:val="center"/>
              <w:cnfStyle w:val="100000000000" w:firstRow="1" w:lastRow="0" w:firstColumn="0" w:lastColumn="0" w:oddVBand="0" w:evenVBand="0" w:oddHBand="0" w:evenHBand="0" w:firstRowFirstColumn="0" w:firstRowLastColumn="0" w:lastRowFirstColumn="0" w:lastRowLastColumn="0"/>
              <w:rPr>
                <w:b w:val="0"/>
                <w:sz w:val="20"/>
                <w:szCs w:val="20"/>
                <w:lang w:val="en-GB"/>
              </w:rPr>
            </w:pPr>
            <w:r w:rsidRPr="000764AC">
              <w:rPr>
                <w:b w:val="0"/>
                <w:sz w:val="20"/>
                <w:szCs w:val="20"/>
                <w:lang w:val="en-GB"/>
              </w:rPr>
              <w:t>P-value</w:t>
            </w:r>
          </w:p>
        </w:tc>
      </w:tr>
      <w:tr w:rsidR="004F5A5F" w:rsidRPr="000764AC" w:rsidTr="000D6D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tcBorders>
              <w:top w:val="thinThickSmallGap" w:sz="12" w:space="0" w:color="7F7F7F" w:themeColor="text1" w:themeTint="80"/>
              <w:right w:val="single" w:sz="4" w:space="0" w:color="auto"/>
            </w:tcBorders>
          </w:tcPr>
          <w:p w:rsidR="004F5A5F" w:rsidRPr="000D6D1B" w:rsidRDefault="001311C7" w:rsidP="00294ADE">
            <w:pPr>
              <w:rPr>
                <w:b w:val="0"/>
                <w:sz w:val="22"/>
                <w:szCs w:val="22"/>
                <w:lang w:val="en-GB"/>
              </w:rPr>
            </w:pPr>
            <w:r w:rsidRPr="000D6D1B">
              <w:rPr>
                <w:b w:val="0"/>
                <w:i/>
                <w:sz w:val="22"/>
                <w:szCs w:val="22"/>
                <w:lang w:val="en-GB"/>
              </w:rPr>
              <w:t>Ln</w:t>
            </w:r>
            <w:r w:rsidRPr="000D6D1B">
              <w:rPr>
                <w:b w:val="0"/>
                <w:sz w:val="22"/>
                <w:szCs w:val="22"/>
                <w:lang w:val="en-GB"/>
              </w:rPr>
              <w:t>EG</w:t>
            </w:r>
          </w:p>
        </w:tc>
        <w:tc>
          <w:tcPr>
            <w:tcW w:w="1116" w:type="dxa"/>
            <w:tcBorders>
              <w:top w:val="thinThickSmallGap" w:sz="12" w:space="0" w:color="7F7F7F" w:themeColor="text1" w:themeTint="80"/>
              <w:left w:val="single" w:sz="4" w:space="0" w:color="auto"/>
            </w:tcBorders>
          </w:tcPr>
          <w:p w:rsidR="004F5A5F" w:rsidRPr="000D6D1B" w:rsidRDefault="004F5A5F" w:rsidP="00294ADE">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0D6D1B">
              <w:rPr>
                <w:sz w:val="20"/>
                <w:szCs w:val="20"/>
                <w:lang w:val="en-GB"/>
              </w:rPr>
              <w:t xml:space="preserve">-1.831   </w:t>
            </w:r>
          </w:p>
        </w:tc>
        <w:tc>
          <w:tcPr>
            <w:tcW w:w="1033" w:type="dxa"/>
            <w:tcBorders>
              <w:top w:val="thinThickSmallGap" w:sz="12" w:space="0" w:color="7F7F7F" w:themeColor="text1" w:themeTint="80"/>
            </w:tcBorders>
          </w:tcPr>
          <w:p w:rsidR="004F5A5F" w:rsidRPr="000D6D1B" w:rsidRDefault="004F5A5F" w:rsidP="00294ADE">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0D6D1B">
              <w:rPr>
                <w:sz w:val="20"/>
                <w:szCs w:val="20"/>
                <w:lang w:val="en-GB"/>
              </w:rPr>
              <w:t xml:space="preserve">-2.110    </w:t>
            </w:r>
          </w:p>
        </w:tc>
        <w:tc>
          <w:tcPr>
            <w:tcW w:w="1033" w:type="dxa"/>
            <w:tcBorders>
              <w:top w:val="thinThickSmallGap" w:sz="12" w:space="0" w:color="7F7F7F" w:themeColor="text1" w:themeTint="80"/>
            </w:tcBorders>
          </w:tcPr>
          <w:p w:rsidR="004F5A5F" w:rsidRPr="000D6D1B" w:rsidRDefault="004F5A5F" w:rsidP="00294ADE">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0D6D1B">
              <w:rPr>
                <w:sz w:val="20"/>
                <w:szCs w:val="20"/>
                <w:lang w:val="en-GB"/>
              </w:rPr>
              <w:t xml:space="preserve">-2.200    </w:t>
            </w:r>
          </w:p>
        </w:tc>
        <w:tc>
          <w:tcPr>
            <w:tcW w:w="1295" w:type="dxa"/>
            <w:tcBorders>
              <w:top w:val="thinThickSmallGap" w:sz="12" w:space="0" w:color="7F7F7F" w:themeColor="text1" w:themeTint="80"/>
            </w:tcBorders>
          </w:tcPr>
          <w:p w:rsidR="004F5A5F" w:rsidRPr="000D6D1B" w:rsidRDefault="004F5A5F" w:rsidP="00294ADE">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0D6D1B">
              <w:rPr>
                <w:sz w:val="20"/>
                <w:szCs w:val="20"/>
                <w:lang w:val="en-GB"/>
              </w:rPr>
              <w:t xml:space="preserve">-2.380   </w:t>
            </w:r>
          </w:p>
        </w:tc>
        <w:tc>
          <w:tcPr>
            <w:tcW w:w="1295" w:type="dxa"/>
            <w:tcBorders>
              <w:top w:val="thinThickSmallGap" w:sz="12" w:space="0" w:color="7F7F7F" w:themeColor="text1" w:themeTint="80"/>
            </w:tcBorders>
          </w:tcPr>
          <w:p w:rsidR="004F5A5F" w:rsidRPr="000D6D1B" w:rsidRDefault="004F5A5F" w:rsidP="00294ADE">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0D6D1B">
              <w:rPr>
                <w:sz w:val="20"/>
                <w:szCs w:val="20"/>
                <w:lang w:val="en-GB"/>
              </w:rPr>
              <w:t xml:space="preserve">- 0.374     </w:t>
            </w:r>
          </w:p>
        </w:tc>
        <w:tc>
          <w:tcPr>
            <w:tcW w:w="1295" w:type="dxa"/>
            <w:tcBorders>
              <w:top w:val="thinThickSmallGap" w:sz="12" w:space="0" w:color="7F7F7F" w:themeColor="text1" w:themeTint="80"/>
            </w:tcBorders>
          </w:tcPr>
          <w:p w:rsidR="004F5A5F" w:rsidRPr="000D6D1B" w:rsidRDefault="004F5A5F" w:rsidP="00294ADE">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0D6D1B">
              <w:rPr>
                <w:sz w:val="20"/>
                <w:szCs w:val="20"/>
                <w:lang w:val="en-GB"/>
              </w:rPr>
              <w:t>0.354</w:t>
            </w:r>
          </w:p>
        </w:tc>
      </w:tr>
      <w:tr w:rsidR="004F5A5F" w:rsidRPr="000764AC" w:rsidTr="000D6D1B">
        <w:tc>
          <w:tcPr>
            <w:cnfStyle w:val="001000000000" w:firstRow="0" w:lastRow="0" w:firstColumn="1" w:lastColumn="0" w:oddVBand="0" w:evenVBand="0" w:oddHBand="0" w:evenHBand="0" w:firstRowFirstColumn="0" w:firstRowLastColumn="0" w:lastRowFirstColumn="0" w:lastRowLastColumn="0"/>
            <w:tcW w:w="1294" w:type="dxa"/>
            <w:tcBorders>
              <w:right w:val="single" w:sz="4" w:space="0" w:color="auto"/>
            </w:tcBorders>
          </w:tcPr>
          <w:p w:rsidR="004F5A5F" w:rsidRPr="000D6D1B" w:rsidRDefault="004F5A5F" w:rsidP="00294ADE">
            <w:pPr>
              <w:rPr>
                <w:b w:val="0"/>
                <w:sz w:val="22"/>
                <w:szCs w:val="22"/>
                <w:lang w:val="en-GB"/>
              </w:rPr>
            </w:pPr>
            <w:r w:rsidRPr="000D6D1B">
              <w:rPr>
                <w:b w:val="0"/>
                <w:i/>
                <w:sz w:val="22"/>
                <w:szCs w:val="22"/>
                <w:lang w:val="en-GB"/>
              </w:rPr>
              <w:t>Ln</w:t>
            </w:r>
            <w:r w:rsidRPr="000D6D1B">
              <w:rPr>
                <w:b w:val="0"/>
                <w:sz w:val="22"/>
                <w:szCs w:val="22"/>
                <w:lang w:val="en-GB"/>
              </w:rPr>
              <w:t>TR</w:t>
            </w:r>
          </w:p>
        </w:tc>
        <w:tc>
          <w:tcPr>
            <w:tcW w:w="1116" w:type="dxa"/>
            <w:tcBorders>
              <w:left w:val="single" w:sz="4" w:space="0" w:color="auto"/>
            </w:tcBorders>
          </w:tcPr>
          <w:p w:rsidR="004F5A5F" w:rsidRPr="000D6D1B" w:rsidRDefault="004F5A5F" w:rsidP="00294ADE">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0D6D1B">
              <w:rPr>
                <w:sz w:val="20"/>
                <w:szCs w:val="20"/>
                <w:lang w:val="en-GB"/>
              </w:rPr>
              <w:t xml:space="preserve">-1.860   </w:t>
            </w:r>
          </w:p>
        </w:tc>
        <w:tc>
          <w:tcPr>
            <w:tcW w:w="1033" w:type="dxa"/>
          </w:tcPr>
          <w:p w:rsidR="004F5A5F" w:rsidRPr="000D6D1B" w:rsidRDefault="004F5A5F" w:rsidP="00294ADE">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0D6D1B">
              <w:rPr>
                <w:sz w:val="20"/>
                <w:szCs w:val="20"/>
                <w:lang w:val="en-GB"/>
              </w:rPr>
              <w:t xml:space="preserve">-2.110    </w:t>
            </w:r>
          </w:p>
        </w:tc>
        <w:tc>
          <w:tcPr>
            <w:tcW w:w="1033" w:type="dxa"/>
          </w:tcPr>
          <w:p w:rsidR="004F5A5F" w:rsidRPr="000D6D1B" w:rsidRDefault="004F5A5F" w:rsidP="00294ADE">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0D6D1B">
              <w:rPr>
                <w:sz w:val="20"/>
                <w:szCs w:val="20"/>
                <w:lang w:val="en-GB"/>
              </w:rPr>
              <w:t xml:space="preserve">-2.200    </w:t>
            </w:r>
          </w:p>
        </w:tc>
        <w:tc>
          <w:tcPr>
            <w:tcW w:w="1295" w:type="dxa"/>
          </w:tcPr>
          <w:p w:rsidR="004F5A5F" w:rsidRPr="000D6D1B" w:rsidRDefault="004F5A5F" w:rsidP="00294ADE">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0D6D1B">
              <w:rPr>
                <w:sz w:val="20"/>
                <w:szCs w:val="20"/>
                <w:lang w:val="en-GB"/>
              </w:rPr>
              <w:t xml:space="preserve">-2.380   </w:t>
            </w:r>
          </w:p>
        </w:tc>
        <w:tc>
          <w:tcPr>
            <w:tcW w:w="1295" w:type="dxa"/>
          </w:tcPr>
          <w:p w:rsidR="004F5A5F" w:rsidRPr="000D6D1B" w:rsidRDefault="004F5A5F" w:rsidP="00294ADE">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0D6D1B">
              <w:rPr>
                <w:sz w:val="20"/>
                <w:szCs w:val="20"/>
                <w:lang w:val="en-GB"/>
              </w:rPr>
              <w:t>- 0.509</w:t>
            </w:r>
          </w:p>
        </w:tc>
        <w:tc>
          <w:tcPr>
            <w:tcW w:w="1295" w:type="dxa"/>
          </w:tcPr>
          <w:p w:rsidR="004F5A5F" w:rsidRPr="000D6D1B" w:rsidRDefault="004F5A5F" w:rsidP="00294ADE">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0D6D1B">
              <w:rPr>
                <w:sz w:val="20"/>
                <w:szCs w:val="20"/>
                <w:lang w:val="en-GB"/>
              </w:rPr>
              <w:t>0.306</w:t>
            </w:r>
          </w:p>
        </w:tc>
      </w:tr>
      <w:tr w:rsidR="004F5A5F" w:rsidRPr="000764AC" w:rsidTr="000D6D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tcBorders>
              <w:right w:val="single" w:sz="4" w:space="0" w:color="auto"/>
            </w:tcBorders>
          </w:tcPr>
          <w:p w:rsidR="004F5A5F" w:rsidRPr="000D6D1B" w:rsidRDefault="001311C7" w:rsidP="00294ADE">
            <w:pPr>
              <w:rPr>
                <w:b w:val="0"/>
                <w:sz w:val="22"/>
                <w:szCs w:val="22"/>
                <w:lang w:val="en-GB"/>
              </w:rPr>
            </w:pPr>
            <w:r w:rsidRPr="000D6D1B">
              <w:rPr>
                <w:b w:val="0"/>
                <w:i/>
                <w:sz w:val="22"/>
                <w:szCs w:val="22"/>
                <w:lang w:val="en-GB"/>
              </w:rPr>
              <w:t>dLn</w:t>
            </w:r>
            <w:r w:rsidRPr="000D6D1B">
              <w:rPr>
                <w:b w:val="0"/>
                <w:sz w:val="22"/>
                <w:szCs w:val="22"/>
                <w:lang w:val="en-GB"/>
              </w:rPr>
              <w:t>EG</w:t>
            </w:r>
          </w:p>
        </w:tc>
        <w:tc>
          <w:tcPr>
            <w:tcW w:w="1116" w:type="dxa"/>
            <w:tcBorders>
              <w:left w:val="single" w:sz="4" w:space="0" w:color="auto"/>
            </w:tcBorders>
          </w:tcPr>
          <w:p w:rsidR="004F5A5F" w:rsidRPr="000D6D1B" w:rsidRDefault="004F5A5F" w:rsidP="00294ADE">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0D6D1B">
              <w:rPr>
                <w:sz w:val="20"/>
                <w:szCs w:val="20"/>
                <w:lang w:val="en-GB"/>
              </w:rPr>
              <w:t xml:space="preserve">   -2.783   </w:t>
            </w:r>
          </w:p>
        </w:tc>
        <w:tc>
          <w:tcPr>
            <w:tcW w:w="1033" w:type="dxa"/>
          </w:tcPr>
          <w:p w:rsidR="004F5A5F" w:rsidRPr="000D6D1B" w:rsidRDefault="004F5A5F" w:rsidP="00294ADE">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0D6D1B">
              <w:rPr>
                <w:sz w:val="20"/>
                <w:szCs w:val="20"/>
                <w:lang w:val="en-GB"/>
              </w:rPr>
              <w:t xml:space="preserve">-2.110    </w:t>
            </w:r>
          </w:p>
        </w:tc>
        <w:tc>
          <w:tcPr>
            <w:tcW w:w="1033" w:type="dxa"/>
          </w:tcPr>
          <w:p w:rsidR="004F5A5F" w:rsidRPr="000D6D1B" w:rsidRDefault="004F5A5F" w:rsidP="00294ADE">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0D6D1B">
              <w:rPr>
                <w:sz w:val="20"/>
                <w:szCs w:val="20"/>
                <w:lang w:val="en-GB"/>
              </w:rPr>
              <w:t xml:space="preserve">-2.200    </w:t>
            </w:r>
          </w:p>
        </w:tc>
        <w:tc>
          <w:tcPr>
            <w:tcW w:w="1295" w:type="dxa"/>
          </w:tcPr>
          <w:p w:rsidR="004F5A5F" w:rsidRPr="000D6D1B" w:rsidRDefault="004F5A5F" w:rsidP="00294ADE">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0D6D1B">
              <w:rPr>
                <w:sz w:val="20"/>
                <w:szCs w:val="20"/>
                <w:lang w:val="en-GB"/>
              </w:rPr>
              <w:t xml:space="preserve">-2.380   </w:t>
            </w:r>
          </w:p>
        </w:tc>
        <w:tc>
          <w:tcPr>
            <w:tcW w:w="1295" w:type="dxa"/>
          </w:tcPr>
          <w:p w:rsidR="004F5A5F" w:rsidRPr="000D6D1B" w:rsidRDefault="004F5A5F" w:rsidP="00294ADE">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0D6D1B">
              <w:rPr>
                <w:sz w:val="20"/>
                <w:szCs w:val="20"/>
                <w:lang w:val="en-GB"/>
              </w:rPr>
              <w:t xml:space="preserve">-4.764     </w:t>
            </w:r>
          </w:p>
        </w:tc>
        <w:tc>
          <w:tcPr>
            <w:tcW w:w="1295" w:type="dxa"/>
          </w:tcPr>
          <w:p w:rsidR="004F5A5F" w:rsidRPr="000D6D1B" w:rsidRDefault="004F5A5F" w:rsidP="00294ADE">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0D6D1B">
              <w:rPr>
                <w:sz w:val="20"/>
                <w:szCs w:val="20"/>
                <w:lang w:val="en-GB"/>
              </w:rPr>
              <w:t xml:space="preserve">0.000 * </w:t>
            </w:r>
          </w:p>
        </w:tc>
      </w:tr>
      <w:tr w:rsidR="004F5A5F" w:rsidRPr="000764AC" w:rsidTr="000D6D1B">
        <w:tc>
          <w:tcPr>
            <w:cnfStyle w:val="001000000000" w:firstRow="0" w:lastRow="0" w:firstColumn="1" w:lastColumn="0" w:oddVBand="0" w:evenVBand="0" w:oddHBand="0" w:evenHBand="0" w:firstRowFirstColumn="0" w:firstRowLastColumn="0" w:lastRowFirstColumn="0" w:lastRowLastColumn="0"/>
            <w:tcW w:w="1294" w:type="dxa"/>
            <w:tcBorders>
              <w:top w:val="single" w:sz="4" w:space="0" w:color="7F7F7F" w:themeColor="text1" w:themeTint="80"/>
              <w:bottom w:val="thinThickSmallGap" w:sz="12" w:space="0" w:color="7F7F7F" w:themeColor="text1" w:themeTint="80"/>
              <w:right w:val="single" w:sz="4" w:space="0" w:color="auto"/>
            </w:tcBorders>
          </w:tcPr>
          <w:p w:rsidR="004F5A5F" w:rsidRPr="000D6D1B" w:rsidRDefault="004F5A5F" w:rsidP="00294ADE">
            <w:pPr>
              <w:rPr>
                <w:b w:val="0"/>
                <w:sz w:val="22"/>
                <w:szCs w:val="22"/>
                <w:lang w:val="en-GB"/>
              </w:rPr>
            </w:pPr>
            <w:r w:rsidRPr="000D6D1B">
              <w:rPr>
                <w:b w:val="0"/>
                <w:i/>
                <w:sz w:val="22"/>
                <w:szCs w:val="22"/>
                <w:lang w:val="en-GB"/>
              </w:rPr>
              <w:t>dLn</w:t>
            </w:r>
            <w:r w:rsidRPr="000D6D1B">
              <w:rPr>
                <w:b w:val="0"/>
                <w:sz w:val="22"/>
                <w:szCs w:val="22"/>
                <w:lang w:val="en-GB"/>
              </w:rPr>
              <w:t>TR</w:t>
            </w:r>
          </w:p>
        </w:tc>
        <w:tc>
          <w:tcPr>
            <w:tcW w:w="1116" w:type="dxa"/>
            <w:tcBorders>
              <w:top w:val="single" w:sz="4" w:space="0" w:color="7F7F7F" w:themeColor="text1" w:themeTint="80"/>
              <w:left w:val="single" w:sz="4" w:space="0" w:color="auto"/>
              <w:bottom w:val="thinThickSmallGap" w:sz="12" w:space="0" w:color="7F7F7F" w:themeColor="text1" w:themeTint="80"/>
            </w:tcBorders>
          </w:tcPr>
          <w:p w:rsidR="004F5A5F" w:rsidRPr="000D6D1B" w:rsidRDefault="004F5A5F" w:rsidP="00294ADE">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0D6D1B">
              <w:rPr>
                <w:sz w:val="20"/>
                <w:szCs w:val="20"/>
                <w:lang w:val="en-GB"/>
              </w:rPr>
              <w:t xml:space="preserve">   -3.046   </w:t>
            </w:r>
          </w:p>
        </w:tc>
        <w:tc>
          <w:tcPr>
            <w:tcW w:w="1033" w:type="dxa"/>
            <w:tcBorders>
              <w:top w:val="single" w:sz="4" w:space="0" w:color="7F7F7F" w:themeColor="text1" w:themeTint="80"/>
              <w:bottom w:val="thinThickSmallGap" w:sz="12" w:space="0" w:color="7F7F7F" w:themeColor="text1" w:themeTint="80"/>
            </w:tcBorders>
          </w:tcPr>
          <w:p w:rsidR="004F5A5F" w:rsidRPr="000D6D1B" w:rsidRDefault="004F5A5F" w:rsidP="00294ADE">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0D6D1B">
              <w:rPr>
                <w:sz w:val="20"/>
                <w:szCs w:val="20"/>
                <w:lang w:val="en-GB"/>
              </w:rPr>
              <w:t xml:space="preserve">-2.110    </w:t>
            </w:r>
          </w:p>
        </w:tc>
        <w:tc>
          <w:tcPr>
            <w:tcW w:w="1033" w:type="dxa"/>
            <w:tcBorders>
              <w:top w:val="single" w:sz="4" w:space="0" w:color="7F7F7F" w:themeColor="text1" w:themeTint="80"/>
              <w:bottom w:val="thinThickSmallGap" w:sz="12" w:space="0" w:color="7F7F7F" w:themeColor="text1" w:themeTint="80"/>
            </w:tcBorders>
          </w:tcPr>
          <w:p w:rsidR="004F5A5F" w:rsidRPr="000D6D1B" w:rsidRDefault="004F5A5F" w:rsidP="00294ADE">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0D6D1B">
              <w:rPr>
                <w:sz w:val="20"/>
                <w:szCs w:val="20"/>
                <w:lang w:val="en-GB"/>
              </w:rPr>
              <w:t xml:space="preserve">-2.200    </w:t>
            </w:r>
          </w:p>
        </w:tc>
        <w:tc>
          <w:tcPr>
            <w:tcW w:w="1295" w:type="dxa"/>
            <w:tcBorders>
              <w:top w:val="single" w:sz="4" w:space="0" w:color="7F7F7F" w:themeColor="text1" w:themeTint="80"/>
              <w:bottom w:val="thinThickSmallGap" w:sz="12" w:space="0" w:color="7F7F7F" w:themeColor="text1" w:themeTint="80"/>
            </w:tcBorders>
          </w:tcPr>
          <w:p w:rsidR="004F5A5F" w:rsidRPr="000D6D1B" w:rsidRDefault="004F5A5F" w:rsidP="00294ADE">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0D6D1B">
              <w:rPr>
                <w:sz w:val="20"/>
                <w:szCs w:val="20"/>
                <w:lang w:val="en-GB"/>
              </w:rPr>
              <w:t xml:space="preserve">-2.380   </w:t>
            </w:r>
          </w:p>
        </w:tc>
        <w:tc>
          <w:tcPr>
            <w:tcW w:w="1295" w:type="dxa"/>
            <w:tcBorders>
              <w:top w:val="single" w:sz="4" w:space="0" w:color="7F7F7F" w:themeColor="text1" w:themeTint="80"/>
              <w:bottom w:val="thinThickSmallGap" w:sz="12" w:space="0" w:color="7F7F7F" w:themeColor="text1" w:themeTint="80"/>
            </w:tcBorders>
          </w:tcPr>
          <w:p w:rsidR="004F5A5F" w:rsidRPr="000D6D1B" w:rsidRDefault="004F5A5F" w:rsidP="00294ADE">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0D6D1B">
              <w:rPr>
                <w:sz w:val="20"/>
                <w:szCs w:val="20"/>
                <w:lang w:val="en-GB"/>
              </w:rPr>
              <w:t xml:space="preserve">-5.976     </w:t>
            </w:r>
          </w:p>
        </w:tc>
        <w:tc>
          <w:tcPr>
            <w:tcW w:w="1295" w:type="dxa"/>
            <w:tcBorders>
              <w:top w:val="single" w:sz="4" w:space="0" w:color="7F7F7F" w:themeColor="text1" w:themeTint="80"/>
              <w:bottom w:val="thinThickSmallGap" w:sz="12" w:space="0" w:color="7F7F7F" w:themeColor="text1" w:themeTint="80"/>
            </w:tcBorders>
          </w:tcPr>
          <w:p w:rsidR="004F5A5F" w:rsidRPr="000D6D1B" w:rsidRDefault="004F5A5F" w:rsidP="00294ADE">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0D6D1B">
              <w:rPr>
                <w:sz w:val="20"/>
                <w:szCs w:val="20"/>
                <w:lang w:val="en-GB"/>
              </w:rPr>
              <w:t xml:space="preserve">0.000*    </w:t>
            </w:r>
          </w:p>
        </w:tc>
      </w:tr>
    </w:tbl>
    <w:p w:rsidR="004F5A5F" w:rsidRPr="000764AC" w:rsidRDefault="004F5A5F" w:rsidP="004F5A5F">
      <w:pPr>
        <w:rPr>
          <w:sz w:val="16"/>
          <w:szCs w:val="16"/>
        </w:rPr>
      </w:pPr>
      <w:r w:rsidRPr="000764AC">
        <w:rPr>
          <w:sz w:val="16"/>
          <w:szCs w:val="16"/>
        </w:rPr>
        <w:t>“Note: * denotes stationary at the</w:t>
      </w:r>
      <w:r>
        <w:rPr>
          <w:sz w:val="16"/>
          <w:szCs w:val="16"/>
        </w:rPr>
        <w:t xml:space="preserve"> 1</w:t>
      </w:r>
      <w:r w:rsidRPr="000764AC">
        <w:rPr>
          <w:sz w:val="16"/>
          <w:szCs w:val="16"/>
        </w:rPr>
        <w:t>%</w:t>
      </w:r>
      <w:r>
        <w:rPr>
          <w:sz w:val="16"/>
          <w:szCs w:val="16"/>
        </w:rPr>
        <w:t xml:space="preserve"> significance</w:t>
      </w:r>
      <w:r w:rsidRPr="000764AC">
        <w:rPr>
          <w:sz w:val="16"/>
          <w:szCs w:val="16"/>
        </w:rPr>
        <w:t xml:space="preserve"> level.”</w:t>
      </w:r>
    </w:p>
    <w:p w:rsidR="004F5A5F" w:rsidRPr="000764AC" w:rsidRDefault="004F5A5F" w:rsidP="004F5A5F">
      <w:pPr>
        <w:spacing w:before="60" w:after="60"/>
        <w:ind w:firstLine="567"/>
        <w:jc w:val="both"/>
      </w:pPr>
      <w:r>
        <w:lastRenderedPageBreak/>
        <w:t>Pesaran (2</w:t>
      </w:r>
      <w:r w:rsidRPr="006B1501">
        <w:t>0</w:t>
      </w:r>
      <w:r>
        <w:t>0</w:t>
      </w:r>
      <w:r w:rsidRPr="006B1501">
        <w:t>7) added the cross-sectional averages of the lagged levels and first differences of the series as a factor to the DF or ADF regression in order to eliminate inter-unit correlation</w:t>
      </w:r>
      <w:r>
        <w:t xml:space="preserve"> (Tatoglu, 2017:84)</w:t>
      </w:r>
      <w:r w:rsidRPr="006B1501">
        <w:t>.</w:t>
      </w:r>
      <w:r>
        <w:t xml:space="preserve">  </w:t>
      </w:r>
      <w:r w:rsidRPr="000764AC">
        <w:t>Table 4 show</w:t>
      </w:r>
      <w:r>
        <w:t>s</w:t>
      </w:r>
      <w:r w:rsidRPr="000764AC">
        <w:t xml:space="preserve"> the CIPS test results revealing the stationarity of the series in level and first differences. The test results of the p-value of the series in the level are higher than 0.05. There</w:t>
      </w:r>
      <w:r w:rsidR="001311C7">
        <w:t>fore, the series belong to LnEG</w:t>
      </w:r>
      <w:r w:rsidRPr="000764AC">
        <w:t xml:space="preserve"> and LnTR are not stationary in the level”. When the first-order differences of the series are taken, the test results of the p-value of the series become lower than 0,05. It means both series are stationary and the integ</w:t>
      </w:r>
      <w:r w:rsidR="00827A0F">
        <w:t>ration order of the series are</w:t>
      </w:r>
      <w:r w:rsidRPr="000764AC">
        <w:t xml:space="preserve"> I(1). </w:t>
      </w:r>
    </w:p>
    <w:p w:rsidR="004F5A5F" w:rsidRPr="000764AC" w:rsidRDefault="004F5A5F" w:rsidP="004F5A5F">
      <w:pPr>
        <w:spacing w:before="60" w:after="60"/>
        <w:ind w:firstLine="567"/>
        <w:jc w:val="both"/>
      </w:pPr>
      <w:r w:rsidRPr="000764AC">
        <w:t>Once the in</w:t>
      </w:r>
      <w:r w:rsidR="00827A0F">
        <w:t>tegration order of the series</w:t>
      </w:r>
      <w:r w:rsidRPr="000764AC">
        <w:t xml:space="preserve"> defined as I (1), the panel causality analysis can be implemented. However, </w:t>
      </w:r>
      <w:r w:rsidRPr="00D92781">
        <w:t>before conducting a causality analysis, a proper lag-length value should be identified</w:t>
      </w:r>
      <w:r w:rsidRPr="000764AC">
        <w:t>. For this purpose, “Hansen J Test” was employed</w:t>
      </w:r>
      <w:r>
        <w:t>,</w:t>
      </w:r>
      <w:r w:rsidRPr="000764AC">
        <w:t xml:space="preserve"> and the results </w:t>
      </w:r>
      <w:r w:rsidR="00827A0F">
        <w:t>were presented</w:t>
      </w:r>
      <w:r w:rsidR="00776E36">
        <w:t xml:space="preserve"> in Table 3</w:t>
      </w:r>
      <w:r w:rsidRPr="000764AC">
        <w:t xml:space="preserve"> below. </w:t>
      </w:r>
    </w:p>
    <w:p w:rsidR="004F5A5F" w:rsidRPr="001F7A07" w:rsidRDefault="00776E36" w:rsidP="000D6D1B">
      <w:pPr>
        <w:spacing w:after="60"/>
        <w:jc w:val="center"/>
        <w:rPr>
          <w:b/>
        </w:rPr>
      </w:pPr>
      <w:r>
        <w:rPr>
          <w:b/>
        </w:rPr>
        <w:t>Table 3</w:t>
      </w:r>
      <w:r w:rsidR="004F5A5F" w:rsidRPr="001F7A07">
        <w:rPr>
          <w:b/>
        </w:rPr>
        <w:t xml:space="preserve">: Hansen J Lag-Length Test </w:t>
      </w:r>
    </w:p>
    <w:tbl>
      <w:tblPr>
        <w:tblStyle w:val="DzTablo2"/>
        <w:tblW w:w="0" w:type="auto"/>
        <w:tblLook w:val="04A0" w:firstRow="1" w:lastRow="0" w:firstColumn="1" w:lastColumn="0" w:noHBand="0" w:noVBand="1"/>
      </w:tblPr>
      <w:tblGrid>
        <w:gridCol w:w="1120"/>
        <w:gridCol w:w="1223"/>
        <w:gridCol w:w="1223"/>
        <w:gridCol w:w="1224"/>
        <w:gridCol w:w="1245"/>
        <w:gridCol w:w="1224"/>
        <w:gridCol w:w="1245"/>
      </w:tblGrid>
      <w:tr w:rsidR="004F5A5F" w:rsidRPr="000764AC" w:rsidTr="00294ADE">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294" w:type="dxa"/>
            <w:tcBorders>
              <w:top w:val="thinThickSmallGap" w:sz="12" w:space="0" w:color="7F7F7F" w:themeColor="text1" w:themeTint="80"/>
              <w:bottom w:val="thinThickSmallGap" w:sz="12" w:space="0" w:color="7F7F7F" w:themeColor="text1" w:themeTint="80"/>
              <w:right w:val="single" w:sz="4" w:space="0" w:color="auto"/>
            </w:tcBorders>
          </w:tcPr>
          <w:p w:rsidR="004F5A5F" w:rsidRPr="000D6D1B" w:rsidRDefault="004F5A5F" w:rsidP="00294ADE">
            <w:pPr>
              <w:jc w:val="center"/>
              <w:rPr>
                <w:b w:val="0"/>
                <w:sz w:val="22"/>
                <w:szCs w:val="22"/>
                <w:lang w:val="en-GB"/>
              </w:rPr>
            </w:pPr>
            <w:r w:rsidRPr="000D6D1B">
              <w:rPr>
                <w:b w:val="0"/>
                <w:sz w:val="22"/>
                <w:szCs w:val="22"/>
                <w:lang w:val="en-GB"/>
              </w:rPr>
              <w:t>lag</w:t>
            </w:r>
          </w:p>
        </w:tc>
        <w:tc>
          <w:tcPr>
            <w:tcW w:w="1294" w:type="dxa"/>
            <w:tcBorders>
              <w:top w:val="thinThickSmallGap" w:sz="12" w:space="0" w:color="7F7F7F" w:themeColor="text1" w:themeTint="80"/>
              <w:left w:val="single" w:sz="4" w:space="0" w:color="auto"/>
              <w:bottom w:val="thinThickSmallGap" w:sz="12" w:space="0" w:color="7F7F7F" w:themeColor="text1" w:themeTint="80"/>
            </w:tcBorders>
          </w:tcPr>
          <w:p w:rsidR="004F5A5F" w:rsidRPr="000D6D1B" w:rsidRDefault="004F5A5F" w:rsidP="00294ADE">
            <w:pPr>
              <w:jc w:val="center"/>
              <w:cnfStyle w:val="100000000000" w:firstRow="1" w:lastRow="0" w:firstColumn="0" w:lastColumn="0" w:oddVBand="0" w:evenVBand="0" w:oddHBand="0" w:evenHBand="0" w:firstRowFirstColumn="0" w:firstRowLastColumn="0" w:lastRowFirstColumn="0" w:lastRowLastColumn="0"/>
              <w:rPr>
                <w:b w:val="0"/>
                <w:sz w:val="22"/>
                <w:szCs w:val="22"/>
                <w:lang w:val="en-GB"/>
              </w:rPr>
            </w:pPr>
            <w:r w:rsidRPr="000D6D1B">
              <w:rPr>
                <w:b w:val="0"/>
                <w:sz w:val="22"/>
                <w:szCs w:val="22"/>
                <w:lang w:val="en-GB"/>
              </w:rPr>
              <w:t>CD</w:t>
            </w:r>
          </w:p>
        </w:tc>
        <w:tc>
          <w:tcPr>
            <w:tcW w:w="1294" w:type="dxa"/>
            <w:tcBorders>
              <w:top w:val="thinThickSmallGap" w:sz="12" w:space="0" w:color="7F7F7F" w:themeColor="text1" w:themeTint="80"/>
              <w:bottom w:val="thinThickSmallGap" w:sz="12" w:space="0" w:color="7F7F7F" w:themeColor="text1" w:themeTint="80"/>
            </w:tcBorders>
          </w:tcPr>
          <w:p w:rsidR="004F5A5F" w:rsidRPr="000D6D1B" w:rsidRDefault="004F5A5F" w:rsidP="00294ADE">
            <w:pPr>
              <w:jc w:val="center"/>
              <w:cnfStyle w:val="100000000000" w:firstRow="1" w:lastRow="0" w:firstColumn="0" w:lastColumn="0" w:oddVBand="0" w:evenVBand="0" w:oddHBand="0" w:evenHBand="0" w:firstRowFirstColumn="0" w:firstRowLastColumn="0" w:lastRowFirstColumn="0" w:lastRowLastColumn="0"/>
              <w:rPr>
                <w:b w:val="0"/>
                <w:sz w:val="22"/>
                <w:szCs w:val="22"/>
                <w:lang w:val="en-GB"/>
              </w:rPr>
            </w:pPr>
            <w:r w:rsidRPr="000D6D1B">
              <w:rPr>
                <w:b w:val="0"/>
                <w:sz w:val="22"/>
                <w:szCs w:val="22"/>
                <w:lang w:val="en-GB"/>
              </w:rPr>
              <w:t>J</w:t>
            </w:r>
          </w:p>
        </w:tc>
        <w:tc>
          <w:tcPr>
            <w:tcW w:w="1295" w:type="dxa"/>
            <w:tcBorders>
              <w:top w:val="thinThickSmallGap" w:sz="12" w:space="0" w:color="7F7F7F" w:themeColor="text1" w:themeTint="80"/>
              <w:bottom w:val="thinThickSmallGap" w:sz="12" w:space="0" w:color="7F7F7F" w:themeColor="text1" w:themeTint="80"/>
            </w:tcBorders>
          </w:tcPr>
          <w:p w:rsidR="004F5A5F" w:rsidRPr="000D6D1B" w:rsidRDefault="004F5A5F" w:rsidP="00294ADE">
            <w:pPr>
              <w:jc w:val="center"/>
              <w:cnfStyle w:val="100000000000" w:firstRow="1" w:lastRow="0" w:firstColumn="0" w:lastColumn="0" w:oddVBand="0" w:evenVBand="0" w:oddHBand="0" w:evenHBand="0" w:firstRowFirstColumn="0" w:firstRowLastColumn="0" w:lastRowFirstColumn="0" w:lastRowLastColumn="0"/>
              <w:rPr>
                <w:b w:val="0"/>
                <w:sz w:val="22"/>
                <w:szCs w:val="22"/>
                <w:lang w:val="en-GB"/>
              </w:rPr>
            </w:pPr>
            <w:r w:rsidRPr="000D6D1B">
              <w:rPr>
                <w:b w:val="0"/>
                <w:sz w:val="22"/>
                <w:szCs w:val="22"/>
                <w:lang w:val="en-GB"/>
              </w:rPr>
              <w:t>p-value</w:t>
            </w:r>
          </w:p>
        </w:tc>
        <w:tc>
          <w:tcPr>
            <w:tcW w:w="1295" w:type="dxa"/>
            <w:tcBorders>
              <w:top w:val="thinThickSmallGap" w:sz="12" w:space="0" w:color="7F7F7F" w:themeColor="text1" w:themeTint="80"/>
              <w:bottom w:val="thinThickSmallGap" w:sz="12" w:space="0" w:color="7F7F7F" w:themeColor="text1" w:themeTint="80"/>
            </w:tcBorders>
          </w:tcPr>
          <w:p w:rsidR="004F5A5F" w:rsidRPr="000D6D1B" w:rsidRDefault="004F5A5F" w:rsidP="00294ADE">
            <w:pPr>
              <w:jc w:val="center"/>
              <w:cnfStyle w:val="100000000000" w:firstRow="1" w:lastRow="0" w:firstColumn="0" w:lastColumn="0" w:oddVBand="0" w:evenVBand="0" w:oddHBand="0" w:evenHBand="0" w:firstRowFirstColumn="0" w:firstRowLastColumn="0" w:lastRowFirstColumn="0" w:lastRowLastColumn="0"/>
              <w:rPr>
                <w:b w:val="0"/>
                <w:sz w:val="22"/>
                <w:szCs w:val="22"/>
                <w:lang w:val="en-GB"/>
              </w:rPr>
            </w:pPr>
            <w:r w:rsidRPr="000D6D1B">
              <w:rPr>
                <w:b w:val="0"/>
                <w:sz w:val="22"/>
                <w:szCs w:val="22"/>
                <w:lang w:val="en-GB"/>
              </w:rPr>
              <w:t>MBIC</w:t>
            </w:r>
          </w:p>
        </w:tc>
        <w:tc>
          <w:tcPr>
            <w:tcW w:w="1295" w:type="dxa"/>
            <w:tcBorders>
              <w:top w:val="thinThickSmallGap" w:sz="12" w:space="0" w:color="7F7F7F" w:themeColor="text1" w:themeTint="80"/>
              <w:bottom w:val="thinThickSmallGap" w:sz="12" w:space="0" w:color="7F7F7F" w:themeColor="text1" w:themeTint="80"/>
            </w:tcBorders>
          </w:tcPr>
          <w:p w:rsidR="004F5A5F" w:rsidRPr="000D6D1B" w:rsidRDefault="004F5A5F" w:rsidP="00294ADE">
            <w:pPr>
              <w:jc w:val="center"/>
              <w:cnfStyle w:val="100000000000" w:firstRow="1" w:lastRow="0" w:firstColumn="0" w:lastColumn="0" w:oddVBand="0" w:evenVBand="0" w:oddHBand="0" w:evenHBand="0" w:firstRowFirstColumn="0" w:firstRowLastColumn="0" w:lastRowFirstColumn="0" w:lastRowLastColumn="0"/>
              <w:rPr>
                <w:b w:val="0"/>
                <w:sz w:val="22"/>
                <w:szCs w:val="22"/>
                <w:lang w:val="en-GB"/>
              </w:rPr>
            </w:pPr>
            <w:r w:rsidRPr="000D6D1B">
              <w:rPr>
                <w:b w:val="0"/>
                <w:sz w:val="22"/>
                <w:szCs w:val="22"/>
                <w:lang w:val="en-GB"/>
              </w:rPr>
              <w:t>MAIC</w:t>
            </w:r>
          </w:p>
        </w:tc>
        <w:tc>
          <w:tcPr>
            <w:tcW w:w="1295" w:type="dxa"/>
            <w:tcBorders>
              <w:top w:val="thinThickSmallGap" w:sz="12" w:space="0" w:color="7F7F7F" w:themeColor="text1" w:themeTint="80"/>
              <w:bottom w:val="thinThickSmallGap" w:sz="12" w:space="0" w:color="7F7F7F" w:themeColor="text1" w:themeTint="80"/>
            </w:tcBorders>
          </w:tcPr>
          <w:p w:rsidR="004F5A5F" w:rsidRPr="000D6D1B" w:rsidRDefault="004F5A5F" w:rsidP="00294ADE">
            <w:pPr>
              <w:jc w:val="center"/>
              <w:cnfStyle w:val="100000000000" w:firstRow="1" w:lastRow="0" w:firstColumn="0" w:lastColumn="0" w:oddVBand="0" w:evenVBand="0" w:oddHBand="0" w:evenHBand="0" w:firstRowFirstColumn="0" w:firstRowLastColumn="0" w:lastRowFirstColumn="0" w:lastRowLastColumn="0"/>
              <w:rPr>
                <w:b w:val="0"/>
                <w:sz w:val="22"/>
                <w:szCs w:val="22"/>
                <w:lang w:val="en-GB"/>
              </w:rPr>
            </w:pPr>
            <w:r w:rsidRPr="000D6D1B">
              <w:rPr>
                <w:b w:val="0"/>
                <w:sz w:val="22"/>
                <w:szCs w:val="22"/>
                <w:lang w:val="en-GB"/>
              </w:rPr>
              <w:t>MQIC</w:t>
            </w:r>
          </w:p>
        </w:tc>
      </w:tr>
      <w:tr w:rsidR="004F5A5F" w:rsidRPr="000764AC" w:rsidTr="00294A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tcBorders>
              <w:top w:val="thinThickSmallGap" w:sz="12" w:space="0" w:color="7F7F7F" w:themeColor="text1" w:themeTint="80"/>
              <w:right w:val="single" w:sz="4" w:space="0" w:color="auto"/>
            </w:tcBorders>
          </w:tcPr>
          <w:p w:rsidR="004F5A5F" w:rsidRPr="000764AC" w:rsidRDefault="004F5A5F" w:rsidP="00294ADE">
            <w:pPr>
              <w:jc w:val="center"/>
              <w:rPr>
                <w:b w:val="0"/>
                <w:sz w:val="20"/>
                <w:szCs w:val="20"/>
                <w:lang w:val="en-GB"/>
              </w:rPr>
            </w:pPr>
            <w:r w:rsidRPr="000764AC">
              <w:rPr>
                <w:b w:val="0"/>
                <w:sz w:val="20"/>
                <w:szCs w:val="20"/>
                <w:lang w:val="en-GB"/>
              </w:rPr>
              <w:t>1</w:t>
            </w:r>
          </w:p>
        </w:tc>
        <w:tc>
          <w:tcPr>
            <w:tcW w:w="1294" w:type="dxa"/>
            <w:tcBorders>
              <w:top w:val="thinThickSmallGap" w:sz="12" w:space="0" w:color="7F7F7F" w:themeColor="text1" w:themeTint="80"/>
              <w:left w:val="single" w:sz="4" w:space="0" w:color="auto"/>
            </w:tcBorders>
          </w:tcPr>
          <w:p w:rsidR="004F5A5F" w:rsidRPr="000764AC" w:rsidRDefault="004F5A5F" w:rsidP="00294ADE">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0764AC">
              <w:rPr>
                <w:sz w:val="20"/>
                <w:szCs w:val="20"/>
                <w:lang w:val="en-GB"/>
              </w:rPr>
              <w:t xml:space="preserve">.9999973   </w:t>
            </w:r>
          </w:p>
        </w:tc>
        <w:tc>
          <w:tcPr>
            <w:tcW w:w="1294" w:type="dxa"/>
            <w:tcBorders>
              <w:top w:val="thinThickSmallGap" w:sz="12" w:space="0" w:color="7F7F7F" w:themeColor="text1" w:themeTint="80"/>
            </w:tcBorders>
          </w:tcPr>
          <w:p w:rsidR="004F5A5F" w:rsidRPr="000764AC" w:rsidRDefault="004F5A5F" w:rsidP="00294ADE">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0764AC">
              <w:rPr>
                <w:sz w:val="20"/>
                <w:szCs w:val="20"/>
                <w:lang w:val="en-GB"/>
              </w:rPr>
              <w:t xml:space="preserve">7.997432   </w:t>
            </w:r>
          </w:p>
        </w:tc>
        <w:tc>
          <w:tcPr>
            <w:tcW w:w="1295" w:type="dxa"/>
            <w:tcBorders>
              <w:top w:val="thinThickSmallGap" w:sz="12" w:space="0" w:color="7F7F7F" w:themeColor="text1" w:themeTint="80"/>
            </w:tcBorders>
          </w:tcPr>
          <w:p w:rsidR="004F5A5F" w:rsidRPr="000764AC" w:rsidRDefault="004F5A5F" w:rsidP="00294ADE">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0764AC">
              <w:rPr>
                <w:sz w:val="20"/>
                <w:szCs w:val="20"/>
                <w:lang w:val="en-GB"/>
              </w:rPr>
              <w:t xml:space="preserve">.9489428  </w:t>
            </w:r>
          </w:p>
        </w:tc>
        <w:tc>
          <w:tcPr>
            <w:tcW w:w="1295" w:type="dxa"/>
            <w:tcBorders>
              <w:top w:val="thinThickSmallGap" w:sz="12" w:space="0" w:color="7F7F7F" w:themeColor="text1" w:themeTint="80"/>
            </w:tcBorders>
          </w:tcPr>
          <w:p w:rsidR="004F5A5F" w:rsidRPr="000764AC" w:rsidRDefault="004F5A5F" w:rsidP="00294ADE">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0764AC">
              <w:rPr>
                <w:sz w:val="20"/>
                <w:szCs w:val="20"/>
                <w:lang w:val="en-GB"/>
              </w:rPr>
              <w:t xml:space="preserve">-80.97347*  </w:t>
            </w:r>
          </w:p>
        </w:tc>
        <w:tc>
          <w:tcPr>
            <w:tcW w:w="1295" w:type="dxa"/>
            <w:tcBorders>
              <w:top w:val="thinThickSmallGap" w:sz="12" w:space="0" w:color="7F7F7F" w:themeColor="text1" w:themeTint="80"/>
            </w:tcBorders>
          </w:tcPr>
          <w:p w:rsidR="004F5A5F" w:rsidRPr="000764AC" w:rsidRDefault="004F5A5F" w:rsidP="00294ADE">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0764AC">
              <w:rPr>
                <w:sz w:val="20"/>
                <w:szCs w:val="20"/>
                <w:lang w:val="en-GB"/>
              </w:rPr>
              <w:t xml:space="preserve">-24.00257  </w:t>
            </w:r>
          </w:p>
        </w:tc>
        <w:tc>
          <w:tcPr>
            <w:tcW w:w="1295" w:type="dxa"/>
            <w:tcBorders>
              <w:top w:val="thinThickSmallGap" w:sz="12" w:space="0" w:color="7F7F7F" w:themeColor="text1" w:themeTint="80"/>
            </w:tcBorders>
          </w:tcPr>
          <w:p w:rsidR="004F5A5F" w:rsidRPr="000764AC" w:rsidRDefault="004F5A5F" w:rsidP="00294ADE">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0764AC">
              <w:rPr>
                <w:sz w:val="20"/>
                <w:szCs w:val="20"/>
                <w:lang w:val="en-GB"/>
              </w:rPr>
              <w:t>-46.90563*</w:t>
            </w:r>
          </w:p>
        </w:tc>
      </w:tr>
      <w:tr w:rsidR="004F5A5F" w:rsidRPr="000764AC" w:rsidTr="00294ADE">
        <w:tc>
          <w:tcPr>
            <w:cnfStyle w:val="001000000000" w:firstRow="0" w:lastRow="0" w:firstColumn="1" w:lastColumn="0" w:oddVBand="0" w:evenVBand="0" w:oddHBand="0" w:evenHBand="0" w:firstRowFirstColumn="0" w:firstRowLastColumn="0" w:lastRowFirstColumn="0" w:lastRowLastColumn="0"/>
            <w:tcW w:w="1294" w:type="dxa"/>
            <w:tcBorders>
              <w:top w:val="single" w:sz="4" w:space="0" w:color="7F7F7F" w:themeColor="text1" w:themeTint="80"/>
              <w:bottom w:val="single" w:sz="4" w:space="0" w:color="7F7F7F" w:themeColor="text1" w:themeTint="80"/>
              <w:right w:val="single" w:sz="4" w:space="0" w:color="auto"/>
            </w:tcBorders>
          </w:tcPr>
          <w:p w:rsidR="004F5A5F" w:rsidRPr="000764AC" w:rsidRDefault="004F5A5F" w:rsidP="00294ADE">
            <w:pPr>
              <w:jc w:val="center"/>
              <w:rPr>
                <w:b w:val="0"/>
                <w:sz w:val="20"/>
                <w:szCs w:val="20"/>
                <w:lang w:val="en-GB"/>
              </w:rPr>
            </w:pPr>
            <w:r w:rsidRPr="000764AC">
              <w:rPr>
                <w:b w:val="0"/>
                <w:sz w:val="20"/>
                <w:szCs w:val="20"/>
                <w:lang w:val="en-GB"/>
              </w:rPr>
              <w:t>2</w:t>
            </w:r>
          </w:p>
        </w:tc>
        <w:tc>
          <w:tcPr>
            <w:tcW w:w="1294" w:type="dxa"/>
            <w:tcBorders>
              <w:left w:val="single" w:sz="4" w:space="0" w:color="auto"/>
            </w:tcBorders>
          </w:tcPr>
          <w:p w:rsidR="004F5A5F" w:rsidRPr="000764AC" w:rsidRDefault="004F5A5F" w:rsidP="00294ADE">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0764AC">
              <w:rPr>
                <w:sz w:val="20"/>
                <w:szCs w:val="20"/>
                <w:lang w:val="en-GB"/>
              </w:rPr>
              <w:t xml:space="preserve">.9999803   </w:t>
            </w:r>
          </w:p>
        </w:tc>
        <w:tc>
          <w:tcPr>
            <w:tcW w:w="1294" w:type="dxa"/>
          </w:tcPr>
          <w:p w:rsidR="004F5A5F" w:rsidRPr="000764AC" w:rsidRDefault="004F5A5F" w:rsidP="00294ADE">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0764AC">
              <w:rPr>
                <w:sz w:val="20"/>
                <w:szCs w:val="20"/>
                <w:lang w:val="en-GB"/>
              </w:rPr>
              <w:t xml:space="preserve">1.213897   </w:t>
            </w:r>
          </w:p>
        </w:tc>
        <w:tc>
          <w:tcPr>
            <w:tcW w:w="1295" w:type="dxa"/>
          </w:tcPr>
          <w:p w:rsidR="004F5A5F" w:rsidRPr="000764AC" w:rsidRDefault="004F5A5F" w:rsidP="00294ADE">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0764AC">
              <w:rPr>
                <w:sz w:val="20"/>
                <w:szCs w:val="20"/>
                <w:lang w:val="en-GB"/>
              </w:rPr>
              <w:t xml:space="preserve">.9999965  </w:t>
            </w:r>
          </w:p>
        </w:tc>
        <w:tc>
          <w:tcPr>
            <w:tcW w:w="1295" w:type="dxa"/>
          </w:tcPr>
          <w:p w:rsidR="004F5A5F" w:rsidRPr="000764AC" w:rsidRDefault="004F5A5F" w:rsidP="00294ADE">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0764AC">
              <w:rPr>
                <w:sz w:val="20"/>
                <w:szCs w:val="20"/>
                <w:lang w:val="en-GB"/>
              </w:rPr>
              <w:t xml:space="preserve">-76.63565   </w:t>
            </w:r>
          </w:p>
        </w:tc>
        <w:tc>
          <w:tcPr>
            <w:tcW w:w="1295" w:type="dxa"/>
          </w:tcPr>
          <w:p w:rsidR="004F5A5F" w:rsidRPr="000764AC" w:rsidRDefault="004F5A5F" w:rsidP="00294ADE">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0764AC">
              <w:rPr>
                <w:sz w:val="20"/>
                <w:szCs w:val="20"/>
                <w:lang w:val="en-GB"/>
              </w:rPr>
              <w:t xml:space="preserve">-26.7861 * </w:t>
            </w:r>
          </w:p>
        </w:tc>
        <w:tc>
          <w:tcPr>
            <w:tcW w:w="1295" w:type="dxa"/>
          </w:tcPr>
          <w:p w:rsidR="004F5A5F" w:rsidRPr="000764AC" w:rsidRDefault="004F5A5F" w:rsidP="00294ADE">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0764AC">
              <w:rPr>
                <w:sz w:val="20"/>
                <w:szCs w:val="20"/>
                <w:lang w:val="en-GB"/>
              </w:rPr>
              <w:t>-46.82628</w:t>
            </w:r>
          </w:p>
        </w:tc>
      </w:tr>
      <w:tr w:rsidR="004F5A5F" w:rsidRPr="000764AC" w:rsidTr="00294A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tcBorders>
              <w:right w:val="single" w:sz="4" w:space="0" w:color="auto"/>
            </w:tcBorders>
          </w:tcPr>
          <w:p w:rsidR="004F5A5F" w:rsidRPr="000764AC" w:rsidRDefault="004F5A5F" w:rsidP="00294ADE">
            <w:pPr>
              <w:jc w:val="center"/>
              <w:rPr>
                <w:b w:val="0"/>
                <w:sz w:val="20"/>
                <w:szCs w:val="20"/>
                <w:lang w:val="en-GB"/>
              </w:rPr>
            </w:pPr>
            <w:r w:rsidRPr="000764AC">
              <w:rPr>
                <w:b w:val="0"/>
                <w:sz w:val="20"/>
                <w:szCs w:val="20"/>
                <w:lang w:val="en-GB"/>
              </w:rPr>
              <w:t>3</w:t>
            </w:r>
          </w:p>
        </w:tc>
        <w:tc>
          <w:tcPr>
            <w:tcW w:w="1294" w:type="dxa"/>
            <w:tcBorders>
              <w:left w:val="single" w:sz="4" w:space="0" w:color="auto"/>
            </w:tcBorders>
          </w:tcPr>
          <w:p w:rsidR="004F5A5F" w:rsidRPr="000764AC" w:rsidRDefault="004F5A5F" w:rsidP="00294ADE">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0764AC">
              <w:rPr>
                <w:sz w:val="20"/>
                <w:szCs w:val="20"/>
                <w:lang w:val="en-GB"/>
              </w:rPr>
              <w:t xml:space="preserve">.9999786   </w:t>
            </w:r>
          </w:p>
        </w:tc>
        <w:tc>
          <w:tcPr>
            <w:tcW w:w="1294" w:type="dxa"/>
          </w:tcPr>
          <w:p w:rsidR="004F5A5F" w:rsidRPr="000764AC" w:rsidRDefault="004F5A5F" w:rsidP="00294ADE">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0764AC">
              <w:rPr>
                <w:sz w:val="20"/>
                <w:szCs w:val="20"/>
                <w:lang w:val="en-GB"/>
              </w:rPr>
              <w:t xml:space="preserve">.6749051   </w:t>
            </w:r>
          </w:p>
        </w:tc>
        <w:tc>
          <w:tcPr>
            <w:tcW w:w="1295" w:type="dxa"/>
          </w:tcPr>
          <w:p w:rsidR="004F5A5F" w:rsidRPr="000764AC" w:rsidRDefault="004F5A5F" w:rsidP="00294ADE">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0764AC">
              <w:rPr>
                <w:sz w:val="20"/>
                <w:szCs w:val="20"/>
                <w:lang w:val="en-GB"/>
              </w:rPr>
              <w:t xml:space="preserve">.9999724  </w:t>
            </w:r>
          </w:p>
        </w:tc>
        <w:tc>
          <w:tcPr>
            <w:tcW w:w="1295" w:type="dxa"/>
          </w:tcPr>
          <w:p w:rsidR="004F5A5F" w:rsidRPr="000764AC" w:rsidRDefault="004F5A5F" w:rsidP="00294ADE">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0764AC">
              <w:rPr>
                <w:sz w:val="20"/>
                <w:szCs w:val="20"/>
                <w:lang w:val="en-GB"/>
              </w:rPr>
              <w:t xml:space="preserve">-54.93191  </w:t>
            </w:r>
          </w:p>
        </w:tc>
        <w:tc>
          <w:tcPr>
            <w:tcW w:w="1295" w:type="dxa"/>
          </w:tcPr>
          <w:p w:rsidR="004F5A5F" w:rsidRPr="000764AC" w:rsidRDefault="004F5A5F" w:rsidP="00294ADE">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0764AC">
              <w:rPr>
                <w:sz w:val="20"/>
                <w:szCs w:val="20"/>
                <w:lang w:val="en-GB"/>
              </w:rPr>
              <w:t xml:space="preserve">-19.32509  </w:t>
            </w:r>
          </w:p>
        </w:tc>
        <w:tc>
          <w:tcPr>
            <w:tcW w:w="1295" w:type="dxa"/>
          </w:tcPr>
          <w:p w:rsidR="004F5A5F" w:rsidRPr="000764AC" w:rsidRDefault="004F5A5F" w:rsidP="00294ADE">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0764AC">
              <w:rPr>
                <w:sz w:val="20"/>
                <w:szCs w:val="20"/>
                <w:lang w:val="en-GB"/>
              </w:rPr>
              <w:t>-33.63951</w:t>
            </w:r>
          </w:p>
        </w:tc>
      </w:tr>
      <w:tr w:rsidR="004F5A5F" w:rsidRPr="000764AC" w:rsidTr="00294ADE">
        <w:tc>
          <w:tcPr>
            <w:cnfStyle w:val="001000000000" w:firstRow="0" w:lastRow="0" w:firstColumn="1" w:lastColumn="0" w:oddVBand="0" w:evenVBand="0" w:oddHBand="0" w:evenHBand="0" w:firstRowFirstColumn="0" w:firstRowLastColumn="0" w:lastRowFirstColumn="0" w:lastRowLastColumn="0"/>
            <w:tcW w:w="1294" w:type="dxa"/>
            <w:tcBorders>
              <w:top w:val="single" w:sz="4" w:space="0" w:color="7F7F7F" w:themeColor="text1" w:themeTint="80"/>
              <w:bottom w:val="thinThickSmallGap" w:sz="12" w:space="0" w:color="7F7F7F" w:themeColor="text1" w:themeTint="80"/>
              <w:right w:val="single" w:sz="4" w:space="0" w:color="auto"/>
            </w:tcBorders>
          </w:tcPr>
          <w:p w:rsidR="004F5A5F" w:rsidRPr="000764AC" w:rsidRDefault="004F5A5F" w:rsidP="00294ADE">
            <w:pPr>
              <w:jc w:val="center"/>
              <w:rPr>
                <w:b w:val="0"/>
                <w:sz w:val="20"/>
                <w:szCs w:val="20"/>
                <w:lang w:val="en-GB"/>
              </w:rPr>
            </w:pPr>
            <w:r w:rsidRPr="000764AC">
              <w:rPr>
                <w:b w:val="0"/>
                <w:sz w:val="20"/>
                <w:szCs w:val="20"/>
                <w:lang w:val="en-GB"/>
              </w:rPr>
              <w:t>4</w:t>
            </w:r>
          </w:p>
        </w:tc>
        <w:tc>
          <w:tcPr>
            <w:tcW w:w="1294" w:type="dxa"/>
            <w:tcBorders>
              <w:top w:val="single" w:sz="4" w:space="0" w:color="7F7F7F" w:themeColor="text1" w:themeTint="80"/>
              <w:left w:val="single" w:sz="4" w:space="0" w:color="auto"/>
              <w:bottom w:val="thinThickSmallGap" w:sz="12" w:space="0" w:color="7F7F7F" w:themeColor="text1" w:themeTint="80"/>
            </w:tcBorders>
          </w:tcPr>
          <w:p w:rsidR="004F5A5F" w:rsidRPr="000764AC" w:rsidRDefault="004F5A5F" w:rsidP="00294ADE">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0764AC">
              <w:rPr>
                <w:sz w:val="20"/>
                <w:szCs w:val="20"/>
                <w:lang w:val="en-GB"/>
              </w:rPr>
              <w:t xml:space="preserve">.9999748   </w:t>
            </w:r>
          </w:p>
        </w:tc>
        <w:tc>
          <w:tcPr>
            <w:tcW w:w="1294" w:type="dxa"/>
            <w:tcBorders>
              <w:top w:val="single" w:sz="4" w:space="0" w:color="7F7F7F" w:themeColor="text1" w:themeTint="80"/>
              <w:bottom w:val="thinThickSmallGap" w:sz="12" w:space="0" w:color="7F7F7F" w:themeColor="text1" w:themeTint="80"/>
            </w:tcBorders>
          </w:tcPr>
          <w:p w:rsidR="004F5A5F" w:rsidRPr="000764AC" w:rsidRDefault="004F5A5F" w:rsidP="00294ADE">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0764AC">
              <w:rPr>
                <w:sz w:val="20"/>
                <w:szCs w:val="20"/>
                <w:lang w:val="en-GB"/>
              </w:rPr>
              <w:t xml:space="preserve">.4535422    </w:t>
            </w:r>
          </w:p>
        </w:tc>
        <w:tc>
          <w:tcPr>
            <w:tcW w:w="1295" w:type="dxa"/>
            <w:tcBorders>
              <w:top w:val="single" w:sz="4" w:space="0" w:color="7F7F7F" w:themeColor="text1" w:themeTint="80"/>
              <w:bottom w:val="thinThickSmallGap" w:sz="12" w:space="0" w:color="7F7F7F" w:themeColor="text1" w:themeTint="80"/>
            </w:tcBorders>
          </w:tcPr>
          <w:p w:rsidR="004F5A5F" w:rsidRPr="000764AC" w:rsidRDefault="004F5A5F" w:rsidP="00294ADE">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0764AC">
              <w:rPr>
                <w:sz w:val="20"/>
                <w:szCs w:val="20"/>
                <w:lang w:val="en-GB"/>
              </w:rPr>
              <w:t xml:space="preserve">.999908  </w:t>
            </w:r>
          </w:p>
        </w:tc>
        <w:tc>
          <w:tcPr>
            <w:tcW w:w="1295" w:type="dxa"/>
            <w:tcBorders>
              <w:top w:val="single" w:sz="4" w:space="0" w:color="7F7F7F" w:themeColor="text1" w:themeTint="80"/>
              <w:bottom w:val="thinThickSmallGap" w:sz="12" w:space="0" w:color="7F7F7F" w:themeColor="text1" w:themeTint="80"/>
            </w:tcBorders>
          </w:tcPr>
          <w:p w:rsidR="004F5A5F" w:rsidRPr="000764AC" w:rsidRDefault="004F5A5F" w:rsidP="00294ADE">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0764AC">
              <w:rPr>
                <w:sz w:val="20"/>
                <w:szCs w:val="20"/>
                <w:lang w:val="en-GB"/>
              </w:rPr>
              <w:t xml:space="preserve">-44.03191  </w:t>
            </w:r>
          </w:p>
        </w:tc>
        <w:tc>
          <w:tcPr>
            <w:tcW w:w="1295" w:type="dxa"/>
            <w:tcBorders>
              <w:top w:val="single" w:sz="4" w:space="0" w:color="7F7F7F" w:themeColor="text1" w:themeTint="80"/>
              <w:bottom w:val="thinThickSmallGap" w:sz="12" w:space="0" w:color="7F7F7F" w:themeColor="text1" w:themeTint="80"/>
            </w:tcBorders>
          </w:tcPr>
          <w:p w:rsidR="004F5A5F" w:rsidRPr="000764AC" w:rsidRDefault="004F5A5F" w:rsidP="00294ADE">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0764AC">
              <w:rPr>
                <w:sz w:val="20"/>
                <w:szCs w:val="20"/>
                <w:lang w:val="en-GB"/>
              </w:rPr>
              <w:t xml:space="preserve">-15.54646  </w:t>
            </w:r>
          </w:p>
        </w:tc>
        <w:tc>
          <w:tcPr>
            <w:tcW w:w="1295" w:type="dxa"/>
            <w:tcBorders>
              <w:top w:val="single" w:sz="4" w:space="0" w:color="7F7F7F" w:themeColor="text1" w:themeTint="80"/>
              <w:bottom w:val="thinThickSmallGap" w:sz="12" w:space="0" w:color="7F7F7F" w:themeColor="text1" w:themeTint="80"/>
            </w:tcBorders>
          </w:tcPr>
          <w:p w:rsidR="004F5A5F" w:rsidRPr="000764AC" w:rsidRDefault="004F5A5F" w:rsidP="00294ADE">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0764AC">
              <w:rPr>
                <w:sz w:val="20"/>
                <w:szCs w:val="20"/>
                <w:lang w:val="en-GB"/>
              </w:rPr>
              <w:t>-26.99799</w:t>
            </w:r>
          </w:p>
        </w:tc>
      </w:tr>
    </w:tbl>
    <w:p w:rsidR="004F5A5F" w:rsidRPr="000764AC" w:rsidRDefault="00827A0F" w:rsidP="004F5A5F">
      <w:pPr>
        <w:spacing w:before="60" w:after="60"/>
        <w:ind w:firstLine="567"/>
        <w:jc w:val="both"/>
      </w:pPr>
      <w:r>
        <w:t xml:space="preserve">According to the results seen </w:t>
      </w:r>
      <w:r w:rsidR="00776E36">
        <w:t>in Table 3</w:t>
      </w:r>
      <w:r w:rsidR="004F5A5F" w:rsidRPr="000764AC">
        <w:t>, the lag-length that makes the MBIC and MQIC model selection criteria minimum is 1. Therefore, the appropriate lag-length is selected as 1.</w:t>
      </w:r>
    </w:p>
    <w:p w:rsidR="004F5A5F" w:rsidRPr="00D92781" w:rsidRDefault="00747549" w:rsidP="004F5A5F">
      <w:pPr>
        <w:spacing w:before="60" w:after="60"/>
        <w:ind w:firstLine="567"/>
        <w:jc w:val="both"/>
        <w:rPr>
          <w:b/>
        </w:rPr>
      </w:pPr>
      <w:r>
        <w:rPr>
          <w:b/>
        </w:rPr>
        <w:t xml:space="preserve">3.3.3. </w:t>
      </w:r>
      <w:r w:rsidR="004F5A5F" w:rsidRPr="00D92781">
        <w:rPr>
          <w:b/>
        </w:rPr>
        <w:t xml:space="preserve">Homogeneity Test </w:t>
      </w:r>
    </w:p>
    <w:p w:rsidR="004F5A5F" w:rsidRPr="000764AC" w:rsidRDefault="004F5A5F" w:rsidP="004F5A5F">
      <w:pPr>
        <w:spacing w:before="60" w:after="60"/>
        <w:ind w:firstLine="567"/>
        <w:jc w:val="both"/>
      </w:pPr>
      <w:r w:rsidRPr="000764AC">
        <w:t>In order to determine whether homogeneous</w:t>
      </w:r>
      <w:r>
        <w:t xml:space="preserve"> or h</w:t>
      </w:r>
      <w:r w:rsidRPr="000764AC">
        <w:t>eterogeneous Panel VAR model should be used in VAR causality analysis, Swamy S</w:t>
      </w:r>
      <w:r>
        <w:t xml:space="preserve"> the</w:t>
      </w:r>
      <w:r w:rsidRPr="000764AC">
        <w:t xml:space="preserve"> </w:t>
      </w:r>
      <w:r>
        <w:t>h</w:t>
      </w:r>
      <w:r w:rsidRPr="000764AC">
        <w:t>omogeneity test was performed</w:t>
      </w:r>
      <w:r w:rsidR="00827A0F">
        <w:t xml:space="preserve">. The results are presented </w:t>
      </w:r>
      <w:r w:rsidR="00776E36">
        <w:t>in Table 4</w:t>
      </w:r>
      <w:r w:rsidRPr="000764AC">
        <w:t>.</w:t>
      </w:r>
    </w:p>
    <w:p w:rsidR="004F5A5F" w:rsidRPr="000764AC" w:rsidRDefault="00776E36" w:rsidP="000D6D1B">
      <w:pPr>
        <w:spacing w:after="60"/>
        <w:jc w:val="center"/>
        <w:rPr>
          <w:b/>
        </w:rPr>
      </w:pPr>
      <w:r>
        <w:rPr>
          <w:b/>
        </w:rPr>
        <w:t>Table 4</w:t>
      </w:r>
      <w:r w:rsidR="004F5A5F" w:rsidRPr="000764AC">
        <w:rPr>
          <w:b/>
        </w:rPr>
        <w:t xml:space="preserve">:  Swamy S Test </w:t>
      </w:r>
    </w:p>
    <w:tbl>
      <w:tblPr>
        <w:tblStyle w:val="DzTablo21"/>
        <w:tblW w:w="0" w:type="auto"/>
        <w:tblLayout w:type="fixed"/>
        <w:tblLook w:val="04A0" w:firstRow="1" w:lastRow="0" w:firstColumn="1" w:lastColumn="0" w:noHBand="0" w:noVBand="1"/>
      </w:tblPr>
      <w:tblGrid>
        <w:gridCol w:w="5387"/>
        <w:gridCol w:w="1276"/>
        <w:gridCol w:w="2126"/>
      </w:tblGrid>
      <w:tr w:rsidR="004F5A5F" w:rsidRPr="000764AC" w:rsidTr="00294ADE">
        <w:trPr>
          <w:cnfStyle w:val="100000000000" w:firstRow="1" w:lastRow="0" w:firstColumn="0" w:lastColumn="0" w:oddVBand="0" w:evenVBand="0" w:oddHBand="0"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5387" w:type="dxa"/>
            <w:tcBorders>
              <w:top w:val="thinThickSmallGap" w:sz="12" w:space="0" w:color="7F7F7F" w:themeColor="text1" w:themeTint="80"/>
              <w:bottom w:val="thinThickSmallGap" w:sz="12" w:space="0" w:color="7F7F7F" w:themeColor="text1" w:themeTint="80"/>
              <w:right w:val="nil"/>
            </w:tcBorders>
          </w:tcPr>
          <w:p w:rsidR="004F5A5F" w:rsidRPr="000D6D1B" w:rsidRDefault="004F5A5F" w:rsidP="00294ADE">
            <w:pPr>
              <w:rPr>
                <w:i/>
                <w:sz w:val="20"/>
                <w:szCs w:val="20"/>
              </w:rPr>
            </w:pPr>
            <w:r w:rsidRPr="000D6D1B">
              <w:rPr>
                <w:i/>
                <w:sz w:val="20"/>
                <w:szCs w:val="20"/>
              </w:rPr>
              <w:t>Reg.</w:t>
            </w:r>
          </w:p>
        </w:tc>
        <w:tc>
          <w:tcPr>
            <w:tcW w:w="1276" w:type="dxa"/>
            <w:tcBorders>
              <w:top w:val="thinThickSmallGap" w:sz="12" w:space="0" w:color="7F7F7F" w:themeColor="text1" w:themeTint="80"/>
              <w:left w:val="nil"/>
              <w:bottom w:val="thinThickSmallGap" w:sz="12" w:space="0" w:color="7F7F7F" w:themeColor="text1" w:themeTint="80"/>
            </w:tcBorders>
          </w:tcPr>
          <w:p w:rsidR="004F5A5F" w:rsidRPr="000D6D1B" w:rsidRDefault="004F5A5F" w:rsidP="00294ADE">
            <w:pPr>
              <w:jc w:val="center"/>
              <w:cnfStyle w:val="100000000000" w:firstRow="1" w:lastRow="0" w:firstColumn="0" w:lastColumn="0" w:oddVBand="0" w:evenVBand="0" w:oddHBand="0" w:evenHBand="0" w:firstRowFirstColumn="0" w:firstRowLastColumn="0" w:lastRowFirstColumn="0" w:lastRowLastColumn="0"/>
              <w:rPr>
                <w:sz w:val="20"/>
                <w:szCs w:val="20"/>
              </w:rPr>
            </w:pPr>
            <w:r w:rsidRPr="000D6D1B">
              <w:rPr>
                <w:rFonts w:ascii="Cambria" w:hAnsi="Cambria" w:cs="Helvetica"/>
                <w:bCs w:val="0"/>
                <w:color w:val="333333"/>
                <w:sz w:val="23"/>
                <w:szCs w:val="23"/>
                <w:lang w:val="en"/>
              </w:rPr>
              <w:t>χ2</w:t>
            </w:r>
            <w:r w:rsidRPr="000D6D1B">
              <w:rPr>
                <w:sz w:val="20"/>
                <w:szCs w:val="20"/>
              </w:rPr>
              <w:t xml:space="preserve"> (57)</w:t>
            </w:r>
          </w:p>
        </w:tc>
        <w:tc>
          <w:tcPr>
            <w:tcW w:w="2126" w:type="dxa"/>
            <w:tcBorders>
              <w:top w:val="thinThickSmallGap" w:sz="12" w:space="0" w:color="7F7F7F" w:themeColor="text1" w:themeTint="80"/>
              <w:bottom w:val="thinThickSmallGap" w:sz="12" w:space="0" w:color="7F7F7F" w:themeColor="text1" w:themeTint="80"/>
            </w:tcBorders>
          </w:tcPr>
          <w:p w:rsidR="004F5A5F" w:rsidRPr="000D6D1B" w:rsidRDefault="004F5A5F" w:rsidP="00294ADE">
            <w:pPr>
              <w:jc w:val="center"/>
              <w:cnfStyle w:val="100000000000" w:firstRow="1" w:lastRow="0" w:firstColumn="0" w:lastColumn="0" w:oddVBand="0" w:evenVBand="0" w:oddHBand="0" w:evenHBand="0" w:firstRowFirstColumn="0" w:firstRowLastColumn="0" w:lastRowFirstColumn="0" w:lastRowLastColumn="0"/>
              <w:rPr>
                <w:sz w:val="20"/>
                <w:szCs w:val="20"/>
              </w:rPr>
            </w:pPr>
            <w:r w:rsidRPr="000D6D1B">
              <w:t>Prob</w:t>
            </w:r>
            <w:r w:rsidRPr="000D6D1B">
              <w:rPr>
                <w:sz w:val="20"/>
                <w:szCs w:val="20"/>
              </w:rPr>
              <w:t xml:space="preserve"> &gt; </w:t>
            </w:r>
            <w:r w:rsidRPr="000D6D1B">
              <w:rPr>
                <w:rFonts w:ascii="Cambria" w:hAnsi="Cambria" w:cs="Helvetica"/>
                <w:bCs w:val="0"/>
                <w:color w:val="333333"/>
                <w:sz w:val="23"/>
                <w:szCs w:val="23"/>
                <w:lang w:val="en"/>
              </w:rPr>
              <w:t>χ2</w:t>
            </w:r>
          </w:p>
        </w:tc>
      </w:tr>
      <w:tr w:rsidR="004F5A5F" w:rsidRPr="000764AC" w:rsidTr="00294A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Borders>
              <w:top w:val="thinThickSmallGap" w:sz="12" w:space="0" w:color="7F7F7F" w:themeColor="text1" w:themeTint="80"/>
              <w:right w:val="nil"/>
            </w:tcBorders>
          </w:tcPr>
          <w:p w:rsidR="004F5A5F" w:rsidRPr="000D6D1B" w:rsidRDefault="001C6BAE" w:rsidP="00294ADE">
            <w:pPr>
              <w:rPr>
                <w:b w:val="0"/>
                <w:i/>
                <w:sz w:val="20"/>
                <w:szCs w:val="20"/>
              </w:rPr>
            </w:pPr>
            <m:oMath>
              <m:sSub>
                <m:sSubPr>
                  <m:ctrlPr>
                    <w:rPr>
                      <w:rFonts w:ascii="Cambria Math" w:hAnsi="Cambria Math"/>
                      <w:b w:val="0"/>
                      <w:i/>
                      <w:sz w:val="20"/>
                      <w:szCs w:val="20"/>
                    </w:rPr>
                  </m:ctrlPr>
                </m:sSubPr>
                <m:e>
                  <m:r>
                    <m:rPr>
                      <m:sty m:val="bi"/>
                    </m:rPr>
                    <w:rPr>
                      <w:rFonts w:ascii="Cambria Math" w:hAnsi="Cambria Math"/>
                      <w:sz w:val="20"/>
                      <w:szCs w:val="20"/>
                    </w:rPr>
                    <m:t>LnTR</m:t>
                  </m:r>
                </m:e>
                <m:sub>
                  <m:r>
                    <m:rPr>
                      <m:sty m:val="bi"/>
                    </m:rPr>
                    <w:rPr>
                      <w:rFonts w:ascii="Cambria Math" w:hAnsi="Cambria Math"/>
                      <w:sz w:val="20"/>
                      <w:szCs w:val="20"/>
                    </w:rPr>
                    <m:t>t</m:t>
                  </m:r>
                </m:sub>
              </m:sSub>
              <m:r>
                <m:rPr>
                  <m:sty m:val="bi"/>
                </m:rPr>
                <w:rPr>
                  <w:rFonts w:ascii="Cambria Math" w:hAnsi="Cambria Math"/>
                  <w:sz w:val="20"/>
                  <w:szCs w:val="20"/>
                </w:rPr>
                <m:t>=</m:t>
              </m:r>
              <m:sSub>
                <m:sSubPr>
                  <m:ctrlPr>
                    <w:rPr>
                      <w:rFonts w:ascii="Cambria Math" w:hAnsi="Cambria Math"/>
                      <w:b w:val="0"/>
                      <w:i/>
                      <w:sz w:val="20"/>
                      <w:szCs w:val="20"/>
                    </w:rPr>
                  </m:ctrlPr>
                </m:sSubPr>
                <m:e>
                  <m:r>
                    <m:rPr>
                      <m:sty m:val="bi"/>
                    </m:rPr>
                    <w:rPr>
                      <w:rFonts w:ascii="Cambria Math" w:hAnsi="Cambria Math"/>
                      <w:sz w:val="20"/>
                      <w:szCs w:val="20"/>
                    </w:rPr>
                    <m:t>a</m:t>
                  </m:r>
                </m:e>
                <m:sub>
                  <m:r>
                    <m:rPr>
                      <m:sty m:val="bi"/>
                    </m:rPr>
                    <w:rPr>
                      <w:rFonts w:ascii="Cambria Math" w:hAnsi="Cambria Math"/>
                      <w:sz w:val="20"/>
                      <w:szCs w:val="20"/>
                    </w:rPr>
                    <m:t>1</m:t>
                  </m:r>
                </m:sub>
              </m:sSub>
              <m:r>
                <m:rPr>
                  <m:sty m:val="bi"/>
                </m:rPr>
                <w:rPr>
                  <w:rFonts w:ascii="Cambria Math" w:hAnsi="Cambria Math"/>
                  <w:sz w:val="20"/>
                  <w:szCs w:val="20"/>
                </w:rPr>
                <m:t>+</m:t>
              </m:r>
              <m:sSub>
                <m:sSubPr>
                  <m:ctrlPr>
                    <w:rPr>
                      <w:rFonts w:ascii="Cambria Math" w:hAnsi="Cambria Math"/>
                      <w:b w:val="0"/>
                      <w:i/>
                      <w:sz w:val="20"/>
                      <w:szCs w:val="20"/>
                    </w:rPr>
                  </m:ctrlPr>
                </m:sSubPr>
                <m:e>
                  <m:sSub>
                    <m:sSubPr>
                      <m:ctrlPr>
                        <w:rPr>
                          <w:rFonts w:ascii="Cambria Math" w:hAnsi="Cambria Math"/>
                          <w:b w:val="0"/>
                          <w:i/>
                          <w:sz w:val="20"/>
                          <w:szCs w:val="20"/>
                        </w:rPr>
                      </m:ctrlPr>
                    </m:sSubPr>
                    <m:e>
                      <m:r>
                        <m:rPr>
                          <m:sty m:val="bi"/>
                        </m:rPr>
                        <w:rPr>
                          <w:rFonts w:ascii="Cambria Math" w:hAnsi="Cambria Math"/>
                          <w:sz w:val="20"/>
                          <w:szCs w:val="20"/>
                        </w:rPr>
                        <m:t xml:space="preserve"> β</m:t>
                      </m:r>
                    </m:e>
                    <m:sub>
                      <m:r>
                        <m:rPr>
                          <m:sty m:val="bi"/>
                        </m:rPr>
                        <w:rPr>
                          <w:rFonts w:ascii="Cambria Math" w:hAnsi="Cambria Math"/>
                          <w:sz w:val="20"/>
                          <w:szCs w:val="20"/>
                        </w:rPr>
                        <m:t>1i</m:t>
                      </m:r>
                    </m:sub>
                  </m:sSub>
                  <m:r>
                    <m:rPr>
                      <m:sty m:val="bi"/>
                    </m:rPr>
                    <w:rPr>
                      <w:rFonts w:ascii="Cambria Math" w:hAnsi="Cambria Math"/>
                      <w:sz w:val="20"/>
                      <w:szCs w:val="20"/>
                    </w:rPr>
                    <m:t>LnTR</m:t>
                  </m:r>
                </m:e>
                <m:sub>
                  <m:r>
                    <m:rPr>
                      <m:sty m:val="bi"/>
                    </m:rPr>
                    <w:rPr>
                      <w:rFonts w:ascii="Cambria Math" w:hAnsi="Cambria Math"/>
                      <w:sz w:val="20"/>
                      <w:szCs w:val="20"/>
                    </w:rPr>
                    <m:t>t-i</m:t>
                  </m:r>
                </m:sub>
              </m:sSub>
              <m:r>
                <m:rPr>
                  <m:sty m:val="bi"/>
                </m:rPr>
                <w:rPr>
                  <w:rFonts w:ascii="Cambria Math" w:hAnsi="Cambria Math"/>
                  <w:sz w:val="20"/>
                  <w:szCs w:val="20"/>
                </w:rPr>
                <m:t xml:space="preserve">+ </m:t>
              </m:r>
              <m:sSub>
                <m:sSubPr>
                  <m:ctrlPr>
                    <w:rPr>
                      <w:rFonts w:ascii="Cambria Math" w:hAnsi="Cambria Math"/>
                      <w:b w:val="0"/>
                      <w:i/>
                      <w:sz w:val="20"/>
                      <w:szCs w:val="20"/>
                    </w:rPr>
                  </m:ctrlPr>
                </m:sSubPr>
                <m:e>
                  <m:r>
                    <m:rPr>
                      <m:sty m:val="bi"/>
                    </m:rPr>
                    <w:rPr>
                      <w:rFonts w:ascii="Cambria Math" w:hAnsi="Cambria Math"/>
                      <w:sz w:val="20"/>
                      <w:szCs w:val="20"/>
                    </w:rPr>
                    <m:t xml:space="preserve"> β</m:t>
                  </m:r>
                </m:e>
                <m:sub>
                  <m:r>
                    <m:rPr>
                      <m:sty m:val="bi"/>
                    </m:rPr>
                    <w:rPr>
                      <w:rFonts w:ascii="Cambria Math" w:hAnsi="Cambria Math"/>
                      <w:sz w:val="20"/>
                      <w:szCs w:val="20"/>
                    </w:rPr>
                    <m:t>2i</m:t>
                  </m:r>
                </m:sub>
              </m:sSub>
              <m:sSub>
                <m:sSubPr>
                  <m:ctrlPr>
                    <w:rPr>
                      <w:rFonts w:ascii="Cambria Math" w:hAnsi="Cambria Math"/>
                      <w:b w:val="0"/>
                      <w:i/>
                      <w:sz w:val="20"/>
                      <w:szCs w:val="20"/>
                    </w:rPr>
                  </m:ctrlPr>
                </m:sSubPr>
                <m:e>
                  <m:r>
                    <m:rPr>
                      <m:sty m:val="bi"/>
                    </m:rPr>
                    <w:rPr>
                      <w:rFonts w:ascii="Cambria Math" w:hAnsi="Cambria Math"/>
                      <w:sz w:val="20"/>
                      <w:szCs w:val="20"/>
                    </w:rPr>
                    <m:t>LnEG</m:t>
                  </m:r>
                </m:e>
                <m:sub>
                  <m:r>
                    <m:rPr>
                      <m:sty m:val="bi"/>
                    </m:rPr>
                    <w:rPr>
                      <w:rFonts w:ascii="Cambria Math" w:hAnsi="Cambria Math"/>
                      <w:sz w:val="20"/>
                      <w:szCs w:val="20"/>
                    </w:rPr>
                    <m:t>t</m:t>
                  </m:r>
                </m:sub>
              </m:sSub>
              <m:r>
                <m:rPr>
                  <m:sty m:val="bi"/>
                </m:rPr>
                <w:rPr>
                  <w:rFonts w:ascii="Cambria Math" w:hAnsi="Cambria Math"/>
                  <w:sz w:val="20"/>
                  <w:szCs w:val="20"/>
                </w:rPr>
                <m:t>+</m:t>
              </m:r>
              <m:sSub>
                <m:sSubPr>
                  <m:ctrlPr>
                    <w:rPr>
                      <w:rFonts w:ascii="Cambria Math" w:hAnsi="Cambria Math"/>
                      <w:b w:val="0"/>
                      <w:i/>
                      <w:sz w:val="20"/>
                      <w:szCs w:val="20"/>
                    </w:rPr>
                  </m:ctrlPr>
                </m:sSubPr>
                <m:e>
                  <m:r>
                    <m:rPr>
                      <m:sty m:val="bi"/>
                    </m:rPr>
                    <w:rPr>
                      <w:rFonts w:ascii="Cambria Math" w:hAnsi="Cambria Math"/>
                      <w:sz w:val="20"/>
                      <w:szCs w:val="20"/>
                    </w:rPr>
                    <m:t>u</m:t>
                  </m:r>
                </m:e>
                <m:sub>
                  <m:r>
                    <m:rPr>
                      <m:sty m:val="bi"/>
                    </m:rPr>
                    <w:rPr>
                      <w:rFonts w:ascii="Cambria Math" w:hAnsi="Cambria Math"/>
                      <w:sz w:val="20"/>
                      <w:szCs w:val="20"/>
                    </w:rPr>
                    <m:t>1</m:t>
                  </m:r>
                </m:sub>
              </m:sSub>
            </m:oMath>
            <w:r w:rsidR="004F5A5F" w:rsidRPr="000D6D1B">
              <w:rPr>
                <w:b w:val="0"/>
                <w:i/>
                <w:sz w:val="20"/>
                <w:szCs w:val="20"/>
              </w:rPr>
              <w:t xml:space="preserve"> </w:t>
            </w:r>
          </w:p>
        </w:tc>
        <w:tc>
          <w:tcPr>
            <w:tcW w:w="1276" w:type="dxa"/>
            <w:tcBorders>
              <w:top w:val="thinThickSmallGap" w:sz="12" w:space="0" w:color="7F7F7F" w:themeColor="text1" w:themeTint="80"/>
              <w:left w:val="nil"/>
            </w:tcBorders>
          </w:tcPr>
          <w:p w:rsidR="004F5A5F" w:rsidRPr="000764AC" w:rsidRDefault="004F5A5F" w:rsidP="00294ADE">
            <w:pPr>
              <w:jc w:val="center"/>
              <w:cnfStyle w:val="000000100000" w:firstRow="0" w:lastRow="0" w:firstColumn="0" w:lastColumn="0" w:oddVBand="0" w:evenVBand="0" w:oddHBand="1" w:evenHBand="0" w:firstRowFirstColumn="0" w:firstRowLastColumn="0" w:lastRowFirstColumn="0" w:lastRowLastColumn="0"/>
              <w:rPr>
                <w:sz w:val="20"/>
                <w:szCs w:val="20"/>
              </w:rPr>
            </w:pPr>
            <w:r w:rsidRPr="000764AC">
              <w:rPr>
                <w:sz w:val="20"/>
                <w:szCs w:val="20"/>
              </w:rPr>
              <w:t>187.05</w:t>
            </w:r>
          </w:p>
        </w:tc>
        <w:tc>
          <w:tcPr>
            <w:tcW w:w="2126" w:type="dxa"/>
            <w:tcBorders>
              <w:top w:val="thinThickSmallGap" w:sz="12" w:space="0" w:color="7F7F7F" w:themeColor="text1" w:themeTint="80"/>
            </w:tcBorders>
          </w:tcPr>
          <w:p w:rsidR="004F5A5F" w:rsidRPr="000764AC" w:rsidRDefault="004F5A5F" w:rsidP="00294ADE">
            <w:pPr>
              <w:jc w:val="center"/>
              <w:cnfStyle w:val="000000100000" w:firstRow="0" w:lastRow="0" w:firstColumn="0" w:lastColumn="0" w:oddVBand="0" w:evenVBand="0" w:oddHBand="1" w:evenHBand="0" w:firstRowFirstColumn="0" w:firstRowLastColumn="0" w:lastRowFirstColumn="0" w:lastRowLastColumn="0"/>
              <w:rPr>
                <w:sz w:val="20"/>
                <w:szCs w:val="20"/>
              </w:rPr>
            </w:pPr>
            <w:r w:rsidRPr="000764AC">
              <w:rPr>
                <w:sz w:val="20"/>
                <w:szCs w:val="20"/>
              </w:rPr>
              <w:t>0.0000*</w:t>
            </w:r>
          </w:p>
        </w:tc>
      </w:tr>
      <w:tr w:rsidR="004F5A5F" w:rsidRPr="000764AC" w:rsidTr="00294ADE">
        <w:tc>
          <w:tcPr>
            <w:cnfStyle w:val="001000000000" w:firstRow="0" w:lastRow="0" w:firstColumn="1" w:lastColumn="0" w:oddVBand="0" w:evenVBand="0" w:oddHBand="0" w:evenHBand="0" w:firstRowFirstColumn="0" w:firstRowLastColumn="0" w:lastRowFirstColumn="0" w:lastRowLastColumn="0"/>
            <w:tcW w:w="5387" w:type="dxa"/>
            <w:tcBorders>
              <w:bottom w:val="thinThickSmallGap" w:sz="12" w:space="0" w:color="7F7F7F" w:themeColor="text1" w:themeTint="80"/>
              <w:right w:val="nil"/>
            </w:tcBorders>
          </w:tcPr>
          <w:p w:rsidR="004F5A5F" w:rsidRPr="000D6D1B" w:rsidRDefault="001C6BAE" w:rsidP="00294ADE">
            <w:pPr>
              <w:rPr>
                <w:b w:val="0"/>
                <w:i/>
                <w:sz w:val="20"/>
                <w:szCs w:val="20"/>
              </w:rPr>
            </w:pPr>
            <m:oMathPara>
              <m:oMathParaPr>
                <m:jc m:val="left"/>
              </m:oMathParaPr>
              <m:oMath>
                <m:sSub>
                  <m:sSubPr>
                    <m:ctrlPr>
                      <w:rPr>
                        <w:rFonts w:ascii="Cambria Math" w:hAnsi="Cambria Math"/>
                        <w:b w:val="0"/>
                        <w:i/>
                        <w:sz w:val="20"/>
                        <w:szCs w:val="20"/>
                      </w:rPr>
                    </m:ctrlPr>
                  </m:sSubPr>
                  <m:e>
                    <m:r>
                      <m:rPr>
                        <m:sty m:val="bi"/>
                      </m:rPr>
                      <w:rPr>
                        <w:rFonts w:ascii="Cambria Math" w:hAnsi="Cambria Math"/>
                        <w:sz w:val="20"/>
                        <w:szCs w:val="20"/>
                      </w:rPr>
                      <m:t>LnGDP</m:t>
                    </m:r>
                  </m:e>
                  <m:sub>
                    <m:r>
                      <m:rPr>
                        <m:sty m:val="bi"/>
                      </m:rPr>
                      <w:rPr>
                        <w:rFonts w:ascii="Cambria Math" w:hAnsi="Cambria Math"/>
                        <w:sz w:val="20"/>
                        <w:szCs w:val="20"/>
                      </w:rPr>
                      <m:t>t</m:t>
                    </m:r>
                  </m:sub>
                </m:sSub>
                <m:r>
                  <m:rPr>
                    <m:sty m:val="bi"/>
                  </m:rPr>
                  <w:rPr>
                    <w:rFonts w:ascii="Cambria Math" w:hAnsi="Cambria Math"/>
                    <w:sz w:val="20"/>
                    <w:szCs w:val="20"/>
                  </w:rPr>
                  <m:t>=</m:t>
                </m:r>
                <m:sSub>
                  <m:sSubPr>
                    <m:ctrlPr>
                      <w:rPr>
                        <w:rFonts w:ascii="Cambria Math" w:hAnsi="Cambria Math"/>
                        <w:b w:val="0"/>
                        <w:i/>
                        <w:sz w:val="20"/>
                        <w:szCs w:val="20"/>
                      </w:rPr>
                    </m:ctrlPr>
                  </m:sSubPr>
                  <m:e>
                    <m:r>
                      <m:rPr>
                        <m:sty m:val="bi"/>
                      </m:rPr>
                      <w:rPr>
                        <w:rFonts w:ascii="Cambria Math" w:hAnsi="Cambria Math"/>
                        <w:sz w:val="20"/>
                        <w:szCs w:val="20"/>
                      </w:rPr>
                      <m:t>a</m:t>
                    </m:r>
                  </m:e>
                  <m:sub>
                    <m:r>
                      <m:rPr>
                        <m:sty m:val="bi"/>
                      </m:rPr>
                      <w:rPr>
                        <w:rFonts w:ascii="Cambria Math" w:hAnsi="Cambria Math"/>
                        <w:sz w:val="20"/>
                        <w:szCs w:val="20"/>
                      </w:rPr>
                      <m:t>2</m:t>
                    </m:r>
                  </m:sub>
                </m:sSub>
                <m:r>
                  <m:rPr>
                    <m:sty m:val="bi"/>
                  </m:rPr>
                  <w:rPr>
                    <w:rFonts w:ascii="Cambria Math" w:hAnsi="Cambria Math"/>
                    <w:sz w:val="20"/>
                    <w:szCs w:val="20"/>
                  </w:rPr>
                  <m:t>+</m:t>
                </m:r>
                <m:sSub>
                  <m:sSubPr>
                    <m:ctrlPr>
                      <w:rPr>
                        <w:rFonts w:ascii="Cambria Math" w:hAnsi="Cambria Math"/>
                        <w:b w:val="0"/>
                        <w:i/>
                        <w:sz w:val="20"/>
                        <w:szCs w:val="20"/>
                      </w:rPr>
                    </m:ctrlPr>
                  </m:sSubPr>
                  <m:e>
                    <m:sSub>
                      <m:sSubPr>
                        <m:ctrlPr>
                          <w:rPr>
                            <w:rFonts w:ascii="Cambria Math" w:hAnsi="Cambria Math"/>
                            <w:b w:val="0"/>
                            <w:i/>
                            <w:sz w:val="20"/>
                            <w:szCs w:val="20"/>
                          </w:rPr>
                        </m:ctrlPr>
                      </m:sSubPr>
                      <m:e>
                        <m:r>
                          <m:rPr>
                            <m:sty m:val="bi"/>
                          </m:rPr>
                          <w:rPr>
                            <w:rFonts w:ascii="Cambria Math" w:hAnsi="Cambria Math"/>
                            <w:sz w:val="20"/>
                            <w:szCs w:val="20"/>
                          </w:rPr>
                          <m:t xml:space="preserve"> β</m:t>
                        </m:r>
                      </m:e>
                      <m:sub>
                        <m:r>
                          <m:rPr>
                            <m:sty m:val="bi"/>
                          </m:rPr>
                          <w:rPr>
                            <w:rFonts w:ascii="Cambria Math" w:hAnsi="Cambria Math"/>
                            <w:sz w:val="20"/>
                            <w:szCs w:val="20"/>
                          </w:rPr>
                          <m:t>3i</m:t>
                        </m:r>
                      </m:sub>
                    </m:sSub>
                    <m:r>
                      <m:rPr>
                        <m:sty m:val="bi"/>
                      </m:rPr>
                      <w:rPr>
                        <w:rFonts w:ascii="Cambria Math" w:hAnsi="Cambria Math"/>
                        <w:sz w:val="20"/>
                        <w:szCs w:val="20"/>
                      </w:rPr>
                      <m:t>LnEG</m:t>
                    </m:r>
                  </m:e>
                  <m:sub>
                    <m:r>
                      <m:rPr>
                        <m:sty m:val="bi"/>
                      </m:rPr>
                      <w:rPr>
                        <w:rFonts w:ascii="Cambria Math" w:hAnsi="Cambria Math"/>
                        <w:sz w:val="20"/>
                        <w:szCs w:val="20"/>
                      </w:rPr>
                      <m:t>t-i</m:t>
                    </m:r>
                  </m:sub>
                </m:sSub>
                <m:r>
                  <m:rPr>
                    <m:sty m:val="bi"/>
                  </m:rPr>
                  <w:rPr>
                    <w:rFonts w:ascii="Cambria Math" w:hAnsi="Cambria Math"/>
                    <w:sz w:val="20"/>
                    <w:szCs w:val="20"/>
                  </w:rPr>
                  <m:t xml:space="preserve">+ </m:t>
                </m:r>
                <m:sSub>
                  <m:sSubPr>
                    <m:ctrlPr>
                      <w:rPr>
                        <w:rFonts w:ascii="Cambria Math" w:hAnsi="Cambria Math"/>
                        <w:b w:val="0"/>
                        <w:i/>
                        <w:sz w:val="20"/>
                        <w:szCs w:val="20"/>
                      </w:rPr>
                    </m:ctrlPr>
                  </m:sSubPr>
                  <m:e>
                    <m:r>
                      <m:rPr>
                        <m:sty m:val="bi"/>
                      </m:rPr>
                      <w:rPr>
                        <w:rFonts w:ascii="Cambria Math" w:hAnsi="Cambria Math"/>
                        <w:sz w:val="20"/>
                        <w:szCs w:val="20"/>
                      </w:rPr>
                      <m:t xml:space="preserve"> β</m:t>
                    </m:r>
                  </m:e>
                  <m:sub>
                    <m:r>
                      <m:rPr>
                        <m:sty m:val="bi"/>
                      </m:rPr>
                      <w:rPr>
                        <w:rFonts w:ascii="Cambria Math" w:hAnsi="Cambria Math"/>
                        <w:sz w:val="20"/>
                        <w:szCs w:val="20"/>
                      </w:rPr>
                      <m:t>4i</m:t>
                    </m:r>
                  </m:sub>
                </m:sSub>
                <m:sSub>
                  <m:sSubPr>
                    <m:ctrlPr>
                      <w:rPr>
                        <w:rFonts w:ascii="Cambria Math" w:hAnsi="Cambria Math"/>
                        <w:b w:val="0"/>
                        <w:i/>
                        <w:sz w:val="20"/>
                        <w:szCs w:val="20"/>
                      </w:rPr>
                    </m:ctrlPr>
                  </m:sSubPr>
                  <m:e>
                    <m:r>
                      <m:rPr>
                        <m:sty m:val="bi"/>
                      </m:rPr>
                      <w:rPr>
                        <w:rFonts w:ascii="Cambria Math" w:hAnsi="Cambria Math"/>
                        <w:sz w:val="20"/>
                        <w:szCs w:val="20"/>
                      </w:rPr>
                      <m:t>LnTR</m:t>
                    </m:r>
                  </m:e>
                  <m:sub>
                    <m:r>
                      <m:rPr>
                        <m:sty m:val="bi"/>
                      </m:rPr>
                      <w:rPr>
                        <w:rFonts w:ascii="Cambria Math" w:hAnsi="Cambria Math"/>
                        <w:sz w:val="20"/>
                        <w:szCs w:val="20"/>
                      </w:rPr>
                      <m:t>t</m:t>
                    </m:r>
                  </m:sub>
                </m:sSub>
                <m:r>
                  <m:rPr>
                    <m:sty m:val="bi"/>
                  </m:rPr>
                  <w:rPr>
                    <w:rFonts w:ascii="Cambria Math" w:hAnsi="Cambria Math"/>
                    <w:sz w:val="20"/>
                    <w:szCs w:val="20"/>
                  </w:rPr>
                  <m:t xml:space="preserve">+ </m:t>
                </m:r>
                <m:sSub>
                  <m:sSubPr>
                    <m:ctrlPr>
                      <w:rPr>
                        <w:rFonts w:ascii="Cambria Math" w:hAnsi="Cambria Math"/>
                        <w:b w:val="0"/>
                        <w:i/>
                        <w:sz w:val="20"/>
                        <w:szCs w:val="20"/>
                      </w:rPr>
                    </m:ctrlPr>
                  </m:sSubPr>
                  <m:e>
                    <m:r>
                      <m:rPr>
                        <m:sty m:val="bi"/>
                      </m:rPr>
                      <w:rPr>
                        <w:rFonts w:ascii="Cambria Math" w:hAnsi="Cambria Math"/>
                        <w:sz w:val="20"/>
                        <w:szCs w:val="20"/>
                      </w:rPr>
                      <m:t>u</m:t>
                    </m:r>
                  </m:e>
                  <m:sub>
                    <m:r>
                      <m:rPr>
                        <m:sty m:val="bi"/>
                      </m:rPr>
                      <w:rPr>
                        <w:rFonts w:ascii="Cambria Math" w:hAnsi="Cambria Math"/>
                        <w:sz w:val="20"/>
                        <w:szCs w:val="20"/>
                      </w:rPr>
                      <m:t>2</m:t>
                    </m:r>
                  </m:sub>
                </m:sSub>
              </m:oMath>
            </m:oMathPara>
          </w:p>
        </w:tc>
        <w:tc>
          <w:tcPr>
            <w:tcW w:w="1276" w:type="dxa"/>
            <w:tcBorders>
              <w:left w:val="nil"/>
              <w:bottom w:val="thinThickSmallGap" w:sz="12" w:space="0" w:color="7F7F7F" w:themeColor="text1" w:themeTint="80"/>
            </w:tcBorders>
          </w:tcPr>
          <w:p w:rsidR="004F5A5F" w:rsidRPr="000764AC" w:rsidRDefault="004F5A5F" w:rsidP="00294ADE">
            <w:pPr>
              <w:jc w:val="center"/>
              <w:cnfStyle w:val="000000000000" w:firstRow="0" w:lastRow="0" w:firstColumn="0" w:lastColumn="0" w:oddVBand="0" w:evenVBand="0" w:oddHBand="0" w:evenHBand="0" w:firstRowFirstColumn="0" w:firstRowLastColumn="0" w:lastRowFirstColumn="0" w:lastRowLastColumn="0"/>
              <w:rPr>
                <w:sz w:val="20"/>
                <w:szCs w:val="20"/>
              </w:rPr>
            </w:pPr>
            <w:r w:rsidRPr="000764AC">
              <w:rPr>
                <w:sz w:val="20"/>
                <w:szCs w:val="20"/>
              </w:rPr>
              <w:t>650.55</w:t>
            </w:r>
          </w:p>
        </w:tc>
        <w:tc>
          <w:tcPr>
            <w:tcW w:w="2126" w:type="dxa"/>
            <w:tcBorders>
              <w:bottom w:val="thinThickSmallGap" w:sz="12" w:space="0" w:color="7F7F7F" w:themeColor="text1" w:themeTint="80"/>
            </w:tcBorders>
          </w:tcPr>
          <w:p w:rsidR="004F5A5F" w:rsidRPr="000764AC" w:rsidRDefault="004F5A5F" w:rsidP="00294ADE">
            <w:pPr>
              <w:jc w:val="center"/>
              <w:cnfStyle w:val="000000000000" w:firstRow="0" w:lastRow="0" w:firstColumn="0" w:lastColumn="0" w:oddVBand="0" w:evenVBand="0" w:oddHBand="0" w:evenHBand="0" w:firstRowFirstColumn="0" w:firstRowLastColumn="0" w:lastRowFirstColumn="0" w:lastRowLastColumn="0"/>
              <w:rPr>
                <w:sz w:val="20"/>
                <w:szCs w:val="20"/>
              </w:rPr>
            </w:pPr>
            <w:r w:rsidRPr="000764AC">
              <w:rPr>
                <w:sz w:val="20"/>
                <w:szCs w:val="20"/>
              </w:rPr>
              <w:t>0.0000*</w:t>
            </w:r>
          </w:p>
        </w:tc>
      </w:tr>
    </w:tbl>
    <w:p w:rsidR="004F5A5F" w:rsidRPr="000764AC" w:rsidRDefault="004F5A5F" w:rsidP="004F5A5F">
      <w:pPr>
        <w:rPr>
          <w:sz w:val="16"/>
          <w:szCs w:val="16"/>
        </w:rPr>
      </w:pPr>
      <w:r w:rsidRPr="000764AC">
        <w:rPr>
          <w:sz w:val="16"/>
          <w:szCs w:val="16"/>
        </w:rPr>
        <w:t>“Note: * denotes stationary at the</w:t>
      </w:r>
      <w:r>
        <w:rPr>
          <w:sz w:val="16"/>
          <w:szCs w:val="16"/>
        </w:rPr>
        <w:t xml:space="preserve"> 1</w:t>
      </w:r>
      <w:r w:rsidRPr="000764AC">
        <w:rPr>
          <w:sz w:val="16"/>
          <w:szCs w:val="16"/>
        </w:rPr>
        <w:t>%</w:t>
      </w:r>
      <w:r>
        <w:rPr>
          <w:sz w:val="16"/>
          <w:szCs w:val="16"/>
        </w:rPr>
        <w:t xml:space="preserve"> significance</w:t>
      </w:r>
      <w:r w:rsidRPr="000764AC">
        <w:rPr>
          <w:sz w:val="16"/>
          <w:szCs w:val="16"/>
        </w:rPr>
        <w:t xml:space="preserve"> level.”</w:t>
      </w:r>
    </w:p>
    <w:p w:rsidR="004F5A5F" w:rsidRPr="000764AC" w:rsidRDefault="00776E36" w:rsidP="004F5A5F">
      <w:pPr>
        <w:spacing w:before="60" w:after="60"/>
        <w:ind w:firstLine="567"/>
        <w:jc w:val="both"/>
      </w:pPr>
      <w:r>
        <w:t>In Table 4</w:t>
      </w:r>
      <w:r w:rsidR="004F5A5F" w:rsidRPr="000764AC">
        <w:t>, first of all</w:t>
      </w:r>
      <w:r w:rsidR="004F5A5F">
        <w:t>,</w:t>
      </w:r>
      <w:r w:rsidR="004F5A5F" w:rsidRPr="000764AC">
        <w:t xml:space="preserve"> the variables (</w:t>
      </w:r>
      <w:r w:rsidR="004F5A5F" w:rsidRPr="004135A6">
        <w:rPr>
          <w:i/>
        </w:rPr>
        <w:t>Ln</w:t>
      </w:r>
      <w:r w:rsidR="001311C7">
        <w:t>EG</w:t>
      </w:r>
      <w:r w:rsidR="004F5A5F" w:rsidRPr="004135A6">
        <w:rPr>
          <w:vertAlign w:val="subscript"/>
        </w:rPr>
        <w:t xml:space="preserve">it-1 </w:t>
      </w:r>
      <w:r w:rsidR="004F5A5F" w:rsidRPr="000764AC">
        <w:t xml:space="preserve">and </w:t>
      </w:r>
      <w:r w:rsidR="004F5A5F" w:rsidRPr="004135A6">
        <w:rPr>
          <w:i/>
        </w:rPr>
        <w:t>Ln</w:t>
      </w:r>
      <w:r w:rsidR="004F5A5F" w:rsidRPr="000764AC">
        <w:t>TR</w:t>
      </w:r>
      <w:r w:rsidR="004F5A5F" w:rsidRPr="004135A6">
        <w:rPr>
          <w:vertAlign w:val="subscript"/>
        </w:rPr>
        <w:t>it-1</w:t>
      </w:r>
      <w:r w:rsidR="004F5A5F" w:rsidRPr="000764AC">
        <w:t xml:space="preserve">) to be used in the analysis are derived, then a delayed panel VAR model is estimated with the random coefficients model of the variables. According to the Swamy S test results, the </w:t>
      </w:r>
      <w:r w:rsidR="004F5A5F">
        <w:rPr>
          <w:rFonts w:ascii="Cambria" w:hAnsi="Cambria" w:cs="Helvetica"/>
          <w:bCs/>
          <w:color w:val="333333"/>
          <w:sz w:val="23"/>
          <w:szCs w:val="23"/>
          <w:lang w:val="en"/>
        </w:rPr>
        <w:t>χ2</w:t>
      </w:r>
      <w:r w:rsidR="004F5A5F" w:rsidRPr="000764AC">
        <w:t xml:space="preserve"> probab</w:t>
      </w:r>
      <w:r w:rsidR="004F5A5F">
        <w:t>ility values are less than 0.05 for both regression,</w:t>
      </w:r>
      <w:r w:rsidR="004F5A5F" w:rsidRPr="000764AC">
        <w:t xml:space="preserve"> so the parameters are heterog</w:t>
      </w:r>
      <w:r w:rsidR="004F5A5F">
        <w:t>e</w:t>
      </w:r>
      <w:r w:rsidR="004F5A5F" w:rsidRPr="000764AC">
        <w:t>nous.</w:t>
      </w:r>
      <w:r w:rsidR="004F5A5F">
        <w:t xml:space="preserve"> </w:t>
      </w:r>
    </w:p>
    <w:p w:rsidR="004F5A5F" w:rsidRPr="00D92781" w:rsidRDefault="00747549" w:rsidP="004F5A5F">
      <w:pPr>
        <w:spacing w:before="60" w:after="60"/>
        <w:ind w:firstLine="567"/>
        <w:jc w:val="both"/>
        <w:rPr>
          <w:b/>
        </w:rPr>
      </w:pPr>
      <w:r>
        <w:rPr>
          <w:b/>
        </w:rPr>
        <w:t xml:space="preserve">3.3.4. </w:t>
      </w:r>
      <w:r w:rsidR="004F5A5F" w:rsidRPr="00D92781">
        <w:rPr>
          <w:b/>
        </w:rPr>
        <w:t xml:space="preserve">VAR Panel Causality Analysis </w:t>
      </w:r>
    </w:p>
    <w:p w:rsidR="004F5A5F" w:rsidRDefault="004F5A5F" w:rsidP="004F5A5F">
      <w:pPr>
        <w:spacing w:before="60" w:after="60"/>
        <w:ind w:firstLine="567"/>
        <w:jc w:val="both"/>
      </w:pPr>
      <w:r w:rsidRPr="000764AC">
        <w:t>Since it was revealed that the parameters are heterogonous with the Swamy S-Homogeneity Test, it was decided to use the heterogeneous VAR model in Panel causality analysis. Accordingly, Dumitresu &amp; Hurlin (2012) Granger Panel Causality Test, which takes into account the heterogeneity, was emp</w:t>
      </w:r>
      <w:r>
        <w:t>loyed and the results are presented in</w:t>
      </w:r>
      <w:r w:rsidRPr="000764AC">
        <w:t xml:space="preserve"> Table7.</w:t>
      </w:r>
    </w:p>
    <w:p w:rsidR="004F5A5F" w:rsidRPr="000764AC" w:rsidRDefault="00F46BD8" w:rsidP="000D6D1B">
      <w:pPr>
        <w:pStyle w:val="Default"/>
        <w:spacing w:after="60"/>
        <w:jc w:val="center"/>
        <w:rPr>
          <w:rFonts w:ascii="Times New Roman" w:hAnsi="Times New Roman" w:cs="Times New Roman"/>
          <w:b/>
          <w:bCs/>
          <w:color w:val="auto"/>
        </w:rPr>
      </w:pPr>
      <w:r>
        <w:rPr>
          <w:rFonts w:ascii="Times New Roman" w:hAnsi="Times New Roman" w:cs="Times New Roman"/>
          <w:b/>
        </w:rPr>
        <w:t>Table 5</w:t>
      </w:r>
      <w:r w:rsidR="004F5A5F" w:rsidRPr="000764AC">
        <w:rPr>
          <w:rFonts w:ascii="Times New Roman" w:hAnsi="Times New Roman" w:cs="Times New Roman"/>
          <w:b/>
        </w:rPr>
        <w:t xml:space="preserve">: Dumitrescu &amp; Hurlin Granger Panel Causality Test Results </w:t>
      </w:r>
    </w:p>
    <w:tbl>
      <w:tblPr>
        <w:tblStyle w:val="TabloKlavuzu"/>
        <w:tblW w:w="8784" w:type="dxa"/>
        <w:tblLayout w:type="fixed"/>
        <w:tblLook w:val="0000" w:firstRow="0" w:lastRow="0" w:firstColumn="0" w:lastColumn="0" w:noHBand="0" w:noVBand="0"/>
      </w:tblPr>
      <w:tblGrid>
        <w:gridCol w:w="3823"/>
        <w:gridCol w:w="992"/>
        <w:gridCol w:w="2126"/>
        <w:gridCol w:w="1843"/>
      </w:tblGrid>
      <w:tr w:rsidR="004F5A5F" w:rsidRPr="000764AC" w:rsidTr="000D6D1B">
        <w:trPr>
          <w:trHeight w:val="621"/>
        </w:trPr>
        <w:tc>
          <w:tcPr>
            <w:tcW w:w="3823" w:type="dxa"/>
            <w:tcBorders>
              <w:top w:val="thinThickSmallGap" w:sz="12" w:space="0" w:color="7F7F7F" w:themeColor="text1" w:themeTint="80"/>
              <w:bottom w:val="thickThinSmallGap" w:sz="12" w:space="0" w:color="7F7F7F" w:themeColor="text1" w:themeTint="80"/>
            </w:tcBorders>
            <w:vAlign w:val="center"/>
          </w:tcPr>
          <w:p w:rsidR="004F5A5F" w:rsidRPr="000764AC" w:rsidRDefault="004F5A5F" w:rsidP="00294ADE">
            <w:pPr>
              <w:autoSpaceDE w:val="0"/>
              <w:autoSpaceDN w:val="0"/>
              <w:adjustRightInd w:val="0"/>
              <w:jc w:val="both"/>
              <w:rPr>
                <w:sz w:val="20"/>
                <w:szCs w:val="20"/>
              </w:rPr>
            </w:pPr>
            <w:r w:rsidRPr="000764AC">
              <w:rPr>
                <w:sz w:val="20"/>
                <w:szCs w:val="20"/>
              </w:rPr>
              <w:t> H</w:t>
            </w:r>
            <w:r w:rsidRPr="000764AC">
              <w:rPr>
                <w:sz w:val="20"/>
                <w:szCs w:val="20"/>
                <w:vertAlign w:val="subscript"/>
              </w:rPr>
              <w:t>0</w:t>
            </w:r>
            <w:r w:rsidRPr="000764AC">
              <w:rPr>
                <w:sz w:val="20"/>
                <w:szCs w:val="20"/>
              </w:rPr>
              <w:t xml:space="preserve"> Hypothesis:</w:t>
            </w:r>
          </w:p>
        </w:tc>
        <w:tc>
          <w:tcPr>
            <w:tcW w:w="992" w:type="dxa"/>
            <w:tcBorders>
              <w:top w:val="thinThickSmallGap" w:sz="12" w:space="0" w:color="7F7F7F" w:themeColor="text1" w:themeTint="80"/>
              <w:bottom w:val="thickThinSmallGap" w:sz="12" w:space="0" w:color="7F7F7F" w:themeColor="text1" w:themeTint="80"/>
            </w:tcBorders>
          </w:tcPr>
          <w:p w:rsidR="004F5A5F" w:rsidRPr="000764AC" w:rsidRDefault="004F5A5F" w:rsidP="00294ADE">
            <w:pPr>
              <w:autoSpaceDE w:val="0"/>
              <w:autoSpaceDN w:val="0"/>
              <w:adjustRightInd w:val="0"/>
              <w:jc w:val="center"/>
              <w:rPr>
                <w:sz w:val="20"/>
                <w:szCs w:val="20"/>
              </w:rPr>
            </w:pPr>
            <w:r w:rsidRPr="000764AC">
              <w:rPr>
                <w:sz w:val="20"/>
                <w:szCs w:val="20"/>
              </w:rPr>
              <w:t>W-bar Stat.</w:t>
            </w:r>
          </w:p>
        </w:tc>
        <w:tc>
          <w:tcPr>
            <w:tcW w:w="2126" w:type="dxa"/>
            <w:tcBorders>
              <w:top w:val="thinThickSmallGap" w:sz="12" w:space="0" w:color="7F7F7F" w:themeColor="text1" w:themeTint="80"/>
              <w:bottom w:val="thickThinSmallGap" w:sz="12" w:space="0" w:color="7F7F7F" w:themeColor="text1" w:themeTint="80"/>
            </w:tcBorders>
          </w:tcPr>
          <w:p w:rsidR="000D6D1B" w:rsidRDefault="004F5A5F" w:rsidP="00294ADE">
            <w:pPr>
              <w:autoSpaceDE w:val="0"/>
              <w:autoSpaceDN w:val="0"/>
              <w:adjustRightInd w:val="0"/>
              <w:jc w:val="center"/>
              <w:rPr>
                <w:sz w:val="20"/>
                <w:szCs w:val="20"/>
              </w:rPr>
            </w:pPr>
            <w:r w:rsidRPr="000764AC">
              <w:rPr>
                <w:sz w:val="20"/>
                <w:szCs w:val="20"/>
              </w:rPr>
              <w:t xml:space="preserve">Z-bar Stat. </w:t>
            </w:r>
          </w:p>
          <w:p w:rsidR="004F5A5F" w:rsidRPr="000764AC" w:rsidRDefault="004F5A5F" w:rsidP="000D6D1B">
            <w:pPr>
              <w:autoSpaceDE w:val="0"/>
              <w:autoSpaceDN w:val="0"/>
              <w:adjustRightInd w:val="0"/>
              <w:jc w:val="center"/>
              <w:rPr>
                <w:sz w:val="20"/>
                <w:szCs w:val="20"/>
              </w:rPr>
            </w:pPr>
            <w:r w:rsidRPr="000764AC">
              <w:rPr>
                <w:sz w:val="20"/>
                <w:szCs w:val="20"/>
              </w:rPr>
              <w:t>(p-value)</w:t>
            </w:r>
          </w:p>
        </w:tc>
        <w:tc>
          <w:tcPr>
            <w:tcW w:w="1843" w:type="dxa"/>
            <w:tcBorders>
              <w:top w:val="thinThickSmallGap" w:sz="12" w:space="0" w:color="7F7F7F" w:themeColor="text1" w:themeTint="80"/>
              <w:bottom w:val="thickThinSmallGap" w:sz="12" w:space="0" w:color="7F7F7F" w:themeColor="text1" w:themeTint="80"/>
            </w:tcBorders>
          </w:tcPr>
          <w:p w:rsidR="000D6D1B" w:rsidRDefault="004F5A5F" w:rsidP="00294ADE">
            <w:pPr>
              <w:autoSpaceDE w:val="0"/>
              <w:autoSpaceDN w:val="0"/>
              <w:adjustRightInd w:val="0"/>
              <w:ind w:right="10"/>
              <w:jc w:val="center"/>
              <w:rPr>
                <w:sz w:val="20"/>
                <w:szCs w:val="20"/>
              </w:rPr>
            </w:pPr>
            <w:r w:rsidRPr="000764AC">
              <w:rPr>
                <w:sz w:val="20"/>
                <w:szCs w:val="20"/>
              </w:rPr>
              <w:t xml:space="preserve">Z-bar tilde </w:t>
            </w:r>
          </w:p>
          <w:p w:rsidR="004F5A5F" w:rsidRPr="000764AC" w:rsidRDefault="004F5A5F" w:rsidP="00294ADE">
            <w:pPr>
              <w:autoSpaceDE w:val="0"/>
              <w:autoSpaceDN w:val="0"/>
              <w:adjustRightInd w:val="0"/>
              <w:ind w:right="10"/>
              <w:jc w:val="center"/>
              <w:rPr>
                <w:sz w:val="20"/>
                <w:szCs w:val="20"/>
              </w:rPr>
            </w:pPr>
            <w:r w:rsidRPr="000764AC">
              <w:rPr>
                <w:sz w:val="20"/>
                <w:szCs w:val="20"/>
              </w:rPr>
              <w:t>(p-value)</w:t>
            </w:r>
          </w:p>
        </w:tc>
      </w:tr>
      <w:tr w:rsidR="004F5A5F" w:rsidRPr="000764AC" w:rsidTr="000D6D1B">
        <w:trPr>
          <w:trHeight w:val="458"/>
        </w:trPr>
        <w:tc>
          <w:tcPr>
            <w:tcW w:w="3823" w:type="dxa"/>
            <w:tcBorders>
              <w:bottom w:val="thickThinSmallGap" w:sz="12" w:space="0" w:color="7F7F7F" w:themeColor="text1" w:themeTint="80"/>
            </w:tcBorders>
          </w:tcPr>
          <w:p w:rsidR="004F5A5F" w:rsidRPr="000764AC" w:rsidRDefault="004F5A5F" w:rsidP="00294ADE">
            <w:pPr>
              <w:autoSpaceDE w:val="0"/>
              <w:autoSpaceDN w:val="0"/>
              <w:adjustRightInd w:val="0"/>
              <w:jc w:val="both"/>
              <w:rPr>
                <w:sz w:val="20"/>
                <w:szCs w:val="20"/>
              </w:rPr>
            </w:pPr>
            <w:r w:rsidRPr="000764AC">
              <w:rPr>
                <w:sz w:val="20"/>
                <w:szCs w:val="20"/>
              </w:rPr>
              <w:lastRenderedPageBreak/>
              <w:t> TR does not Granger-cause</w:t>
            </w:r>
            <w:r w:rsidRPr="000764AC">
              <w:rPr>
                <w:rFonts w:eastAsiaTheme="minorHAnsi"/>
                <w:sz w:val="20"/>
                <w:szCs w:val="20"/>
                <w:lang w:eastAsia="en-US"/>
              </w:rPr>
              <w:t xml:space="preserve"> </w:t>
            </w:r>
            <w:r w:rsidR="001311C7">
              <w:rPr>
                <w:sz w:val="20"/>
                <w:szCs w:val="20"/>
              </w:rPr>
              <w:t>EG</w:t>
            </w:r>
          </w:p>
          <w:p w:rsidR="004F5A5F" w:rsidRPr="000764AC" w:rsidRDefault="001311C7" w:rsidP="00294ADE">
            <w:pPr>
              <w:autoSpaceDE w:val="0"/>
              <w:autoSpaceDN w:val="0"/>
              <w:adjustRightInd w:val="0"/>
              <w:jc w:val="both"/>
              <w:rPr>
                <w:sz w:val="20"/>
                <w:szCs w:val="20"/>
              </w:rPr>
            </w:pPr>
            <w:r>
              <w:rPr>
                <w:sz w:val="20"/>
                <w:szCs w:val="20"/>
              </w:rPr>
              <w:t> EG</w:t>
            </w:r>
            <w:r w:rsidR="004F5A5F" w:rsidRPr="000764AC">
              <w:rPr>
                <w:sz w:val="20"/>
                <w:szCs w:val="20"/>
              </w:rPr>
              <w:t xml:space="preserve"> does not Granger-cause</w:t>
            </w:r>
            <w:r w:rsidR="004F5A5F" w:rsidRPr="000764AC">
              <w:rPr>
                <w:rFonts w:eastAsiaTheme="minorHAnsi"/>
                <w:sz w:val="20"/>
                <w:szCs w:val="20"/>
                <w:lang w:eastAsia="en-US"/>
              </w:rPr>
              <w:t xml:space="preserve"> </w:t>
            </w:r>
            <w:r w:rsidR="004F5A5F" w:rsidRPr="000764AC">
              <w:rPr>
                <w:sz w:val="20"/>
                <w:szCs w:val="20"/>
              </w:rPr>
              <w:t>TR</w:t>
            </w:r>
          </w:p>
        </w:tc>
        <w:tc>
          <w:tcPr>
            <w:tcW w:w="992" w:type="dxa"/>
            <w:tcBorders>
              <w:bottom w:val="thickThinSmallGap" w:sz="12" w:space="0" w:color="7F7F7F" w:themeColor="text1" w:themeTint="80"/>
            </w:tcBorders>
          </w:tcPr>
          <w:p w:rsidR="004F5A5F" w:rsidRPr="000D6D1B" w:rsidRDefault="004F5A5F" w:rsidP="00294ADE">
            <w:pPr>
              <w:autoSpaceDE w:val="0"/>
              <w:autoSpaceDN w:val="0"/>
              <w:adjustRightInd w:val="0"/>
              <w:jc w:val="center"/>
              <w:rPr>
                <w:sz w:val="20"/>
                <w:szCs w:val="20"/>
              </w:rPr>
            </w:pPr>
            <w:r w:rsidRPr="000D6D1B">
              <w:rPr>
                <w:sz w:val="20"/>
                <w:szCs w:val="20"/>
              </w:rPr>
              <w:t>3.2470</w:t>
            </w:r>
          </w:p>
          <w:p w:rsidR="004F5A5F" w:rsidRPr="000D6D1B" w:rsidRDefault="004F5A5F" w:rsidP="00294ADE">
            <w:pPr>
              <w:autoSpaceDE w:val="0"/>
              <w:autoSpaceDN w:val="0"/>
              <w:adjustRightInd w:val="0"/>
              <w:jc w:val="center"/>
              <w:rPr>
                <w:sz w:val="20"/>
                <w:szCs w:val="20"/>
              </w:rPr>
            </w:pPr>
            <w:r w:rsidRPr="000D6D1B">
              <w:rPr>
                <w:sz w:val="20"/>
                <w:szCs w:val="20"/>
              </w:rPr>
              <w:t>4.8619</w:t>
            </w:r>
          </w:p>
        </w:tc>
        <w:tc>
          <w:tcPr>
            <w:tcW w:w="2126" w:type="dxa"/>
            <w:tcBorders>
              <w:bottom w:val="thickThinSmallGap" w:sz="12" w:space="0" w:color="7F7F7F" w:themeColor="text1" w:themeTint="80"/>
            </w:tcBorders>
          </w:tcPr>
          <w:p w:rsidR="004F5A5F" w:rsidRPr="000D6D1B" w:rsidRDefault="004F5A5F" w:rsidP="00294ADE">
            <w:pPr>
              <w:autoSpaceDE w:val="0"/>
              <w:autoSpaceDN w:val="0"/>
              <w:adjustRightInd w:val="0"/>
              <w:jc w:val="center"/>
              <w:rPr>
                <w:sz w:val="20"/>
                <w:szCs w:val="20"/>
              </w:rPr>
            </w:pPr>
            <w:r w:rsidRPr="000D6D1B">
              <w:rPr>
                <w:sz w:val="20"/>
                <w:szCs w:val="20"/>
              </w:rPr>
              <w:t xml:space="preserve">7.2810 (0.000)*  </w:t>
            </w:r>
          </w:p>
          <w:p w:rsidR="004F5A5F" w:rsidRPr="000D6D1B" w:rsidRDefault="004F5A5F" w:rsidP="00294ADE">
            <w:pPr>
              <w:autoSpaceDE w:val="0"/>
              <w:autoSpaceDN w:val="0"/>
              <w:adjustRightInd w:val="0"/>
              <w:jc w:val="center"/>
              <w:rPr>
                <w:sz w:val="20"/>
                <w:szCs w:val="20"/>
              </w:rPr>
            </w:pPr>
            <w:r w:rsidRPr="000D6D1B">
              <w:rPr>
                <w:sz w:val="20"/>
                <w:szCs w:val="20"/>
              </w:rPr>
              <w:t xml:space="preserve">12.5141 (0.000)*  </w:t>
            </w:r>
          </w:p>
        </w:tc>
        <w:tc>
          <w:tcPr>
            <w:tcW w:w="1843" w:type="dxa"/>
            <w:tcBorders>
              <w:bottom w:val="thickThinSmallGap" w:sz="12" w:space="0" w:color="7F7F7F" w:themeColor="text1" w:themeTint="80"/>
            </w:tcBorders>
          </w:tcPr>
          <w:p w:rsidR="004F5A5F" w:rsidRPr="000D6D1B" w:rsidRDefault="004F5A5F" w:rsidP="00294ADE">
            <w:pPr>
              <w:autoSpaceDE w:val="0"/>
              <w:autoSpaceDN w:val="0"/>
              <w:adjustRightInd w:val="0"/>
              <w:ind w:right="10"/>
              <w:jc w:val="center"/>
              <w:rPr>
                <w:sz w:val="20"/>
                <w:szCs w:val="20"/>
              </w:rPr>
            </w:pPr>
            <w:r w:rsidRPr="000D6D1B">
              <w:rPr>
                <w:sz w:val="20"/>
                <w:szCs w:val="20"/>
              </w:rPr>
              <w:t xml:space="preserve">5.6356 (0.000)*  </w:t>
            </w:r>
          </w:p>
          <w:p w:rsidR="004F5A5F" w:rsidRPr="000D6D1B" w:rsidRDefault="004F5A5F" w:rsidP="00294ADE">
            <w:pPr>
              <w:autoSpaceDE w:val="0"/>
              <w:autoSpaceDN w:val="0"/>
              <w:adjustRightInd w:val="0"/>
              <w:ind w:right="10"/>
              <w:jc w:val="center"/>
              <w:rPr>
                <w:sz w:val="20"/>
                <w:szCs w:val="20"/>
              </w:rPr>
            </w:pPr>
            <w:r w:rsidRPr="000D6D1B">
              <w:rPr>
                <w:sz w:val="20"/>
                <w:szCs w:val="20"/>
              </w:rPr>
              <w:t xml:space="preserve">9.9099 (0.000)*   </w:t>
            </w:r>
          </w:p>
        </w:tc>
      </w:tr>
    </w:tbl>
    <w:p w:rsidR="004F5A5F" w:rsidRPr="000764AC" w:rsidRDefault="000D6D1B" w:rsidP="004F5A5F">
      <w:pPr>
        <w:jc w:val="both"/>
        <w:rPr>
          <w:rFonts w:cstheme="minorHAnsi"/>
          <w:sz w:val="16"/>
          <w:szCs w:val="16"/>
        </w:rPr>
      </w:pPr>
      <w:r>
        <w:rPr>
          <w:rFonts w:cstheme="minorHAnsi"/>
          <w:sz w:val="16"/>
          <w:szCs w:val="16"/>
        </w:rPr>
        <w:t xml:space="preserve">Note: </w:t>
      </w:r>
      <w:r w:rsidR="004F5A5F" w:rsidRPr="000764AC">
        <w:rPr>
          <w:rFonts w:cstheme="minorHAnsi"/>
          <w:sz w:val="16"/>
          <w:szCs w:val="16"/>
        </w:rPr>
        <w:t>*  indicate</w:t>
      </w:r>
      <w:r w:rsidR="004F5A5F">
        <w:rPr>
          <w:rFonts w:cstheme="minorHAnsi"/>
          <w:sz w:val="16"/>
          <w:szCs w:val="16"/>
        </w:rPr>
        <w:t>s casualty at the 1% significance level</w:t>
      </w:r>
      <w:r>
        <w:rPr>
          <w:rFonts w:cstheme="minorHAnsi"/>
          <w:sz w:val="16"/>
          <w:szCs w:val="16"/>
        </w:rPr>
        <w:t>.  (Lag order: 1)</w:t>
      </w:r>
    </w:p>
    <w:p w:rsidR="004F5A5F" w:rsidRPr="00D92781" w:rsidRDefault="004F5A5F" w:rsidP="004F5A5F">
      <w:pPr>
        <w:spacing w:before="60" w:after="60"/>
        <w:ind w:firstLine="567"/>
        <w:jc w:val="both"/>
      </w:pPr>
      <w:r w:rsidRPr="00D92781">
        <w:t xml:space="preserve">According to the results of the </w:t>
      </w:r>
      <w:r>
        <w:t>“</w:t>
      </w:r>
      <w:r w:rsidRPr="00D92781">
        <w:t>Dumistrescu &amp; Hurlin (2012) Granger Panel Causality Test</w:t>
      </w:r>
      <w:r>
        <w:t>”</w:t>
      </w:r>
      <w:r w:rsidRPr="00D92781">
        <w:t xml:space="preserve">, which is seen </w:t>
      </w:r>
      <w:r>
        <w:t>i</w:t>
      </w:r>
      <w:r w:rsidRPr="00D92781">
        <w:t>n Table 7, it is, concluded that</w:t>
      </w:r>
    </w:p>
    <w:p w:rsidR="004F5A5F" w:rsidRPr="00D92781" w:rsidRDefault="004F5A5F" w:rsidP="004F5A5F">
      <w:pPr>
        <w:pStyle w:val="ListeParagraf"/>
        <w:numPr>
          <w:ilvl w:val="0"/>
          <w:numId w:val="6"/>
        </w:numPr>
        <w:spacing w:before="60" w:after="60"/>
        <w:jc w:val="both"/>
        <w:rPr>
          <w:rFonts w:ascii="Times New Roman" w:hAnsi="Times New Roman" w:cs="Times New Roman"/>
          <w:sz w:val="24"/>
          <w:szCs w:val="24"/>
        </w:rPr>
      </w:pPr>
      <w:r w:rsidRPr="00D92781">
        <w:rPr>
          <w:rFonts w:ascii="Times New Roman" w:hAnsi="Times New Roman" w:cs="Times New Roman"/>
          <w:sz w:val="24"/>
          <w:szCs w:val="24"/>
        </w:rPr>
        <w:t>International tourism receipts (TR) is the grang</w:t>
      </w:r>
      <w:r w:rsidR="001311C7">
        <w:rPr>
          <w:rFonts w:ascii="Times New Roman" w:hAnsi="Times New Roman" w:cs="Times New Roman"/>
          <w:sz w:val="24"/>
          <w:szCs w:val="24"/>
        </w:rPr>
        <w:t>er cause of economic growth (EG</w:t>
      </w:r>
      <w:r w:rsidRPr="00D92781">
        <w:rPr>
          <w:rFonts w:ascii="Times New Roman" w:hAnsi="Times New Roman" w:cs="Times New Roman"/>
          <w:sz w:val="24"/>
          <w:szCs w:val="24"/>
        </w:rPr>
        <w:t>).</w:t>
      </w:r>
    </w:p>
    <w:p w:rsidR="004F5A5F" w:rsidRPr="00D92781" w:rsidRDefault="00A12B32" w:rsidP="004F5A5F">
      <w:pPr>
        <w:pStyle w:val="ListeParagraf"/>
        <w:numPr>
          <w:ilvl w:val="0"/>
          <w:numId w:val="6"/>
        </w:numPr>
        <w:spacing w:before="60" w:after="60"/>
        <w:jc w:val="both"/>
        <w:rPr>
          <w:rFonts w:ascii="Times New Roman" w:hAnsi="Times New Roman" w:cs="Times New Roman"/>
          <w:sz w:val="24"/>
          <w:szCs w:val="24"/>
        </w:rPr>
      </w:pPr>
      <w:r>
        <w:rPr>
          <w:rFonts w:ascii="Times New Roman" w:hAnsi="Times New Roman" w:cs="Times New Roman"/>
          <w:sz w:val="24"/>
          <w:szCs w:val="24"/>
        </w:rPr>
        <w:t>Economic growth</w:t>
      </w:r>
      <w:r w:rsidR="004F5A5F" w:rsidRPr="00D92781">
        <w:rPr>
          <w:rFonts w:ascii="Times New Roman" w:hAnsi="Times New Roman" w:cs="Times New Roman"/>
          <w:sz w:val="24"/>
          <w:szCs w:val="24"/>
        </w:rPr>
        <w:t xml:space="preserve"> is the granger cause of international tourism receipts </w:t>
      </w:r>
    </w:p>
    <w:p w:rsidR="004F5A5F" w:rsidRPr="00D92781" w:rsidRDefault="004F5A5F" w:rsidP="004F5A5F">
      <w:pPr>
        <w:spacing w:before="60" w:after="60"/>
        <w:ind w:firstLine="567"/>
        <w:jc w:val="both"/>
      </w:pPr>
      <w:r w:rsidRPr="00D92781">
        <w:t xml:space="preserve">As a result, there is </w:t>
      </w:r>
      <w:r>
        <w:t>bi-directional</w:t>
      </w:r>
      <w:r w:rsidRPr="00D92781">
        <w:t xml:space="preserve"> causality between </w:t>
      </w:r>
      <w:r w:rsidR="00DF63C8">
        <w:t>EG</w:t>
      </w:r>
      <w:r w:rsidRPr="00D92781">
        <w:t xml:space="preserve"> and International tourism receipts as it is seen</w:t>
      </w:r>
      <w:r>
        <w:t xml:space="preserve"> in</w:t>
      </w:r>
      <w:r w:rsidR="000D6D1B">
        <w:t xml:space="preserve"> Table</w:t>
      </w:r>
      <w:r w:rsidRPr="00D92781">
        <w:t xml:space="preserve"> </w:t>
      </w:r>
      <w:r w:rsidR="000D6D1B">
        <w:t>6</w:t>
      </w:r>
      <w:r w:rsidRPr="00D92781">
        <w:t xml:space="preserve"> below.</w:t>
      </w:r>
    </w:p>
    <w:p w:rsidR="004F5A5F" w:rsidRPr="00747549" w:rsidRDefault="00F46BD8" w:rsidP="004F5A5F">
      <w:pPr>
        <w:pStyle w:val="ListeParagraf"/>
        <w:autoSpaceDE w:val="0"/>
        <w:autoSpaceDN w:val="0"/>
        <w:adjustRightInd w:val="0"/>
        <w:spacing w:before="120" w:after="120" w:line="240" w:lineRule="auto"/>
        <w:ind w:left="1066"/>
        <w:contextualSpacing w:val="0"/>
        <w:jc w:val="center"/>
        <w:rPr>
          <w:rFonts w:ascii="Times New Roman" w:hAnsi="Times New Roman" w:cs="Times New Roman"/>
          <w:b/>
          <w:sz w:val="24"/>
          <w:szCs w:val="24"/>
        </w:rPr>
      </w:pPr>
      <w:r>
        <w:rPr>
          <w:rFonts w:ascii="Times New Roman" w:hAnsi="Times New Roman" w:cs="Times New Roman"/>
          <w:b/>
          <w:sz w:val="24"/>
          <w:szCs w:val="24"/>
        </w:rPr>
        <w:t>Table 6</w:t>
      </w:r>
      <w:r w:rsidR="004F5A5F" w:rsidRPr="00747549">
        <w:rPr>
          <w:rFonts w:ascii="Times New Roman" w:hAnsi="Times New Roman" w:cs="Times New Roman"/>
          <w:b/>
          <w:sz w:val="24"/>
          <w:szCs w:val="24"/>
        </w:rPr>
        <w:t>: Short-term Relationships of the Variables</w:t>
      </w:r>
    </w:p>
    <w:tbl>
      <w:tblPr>
        <w:tblStyle w:val="KlavuzTablo2"/>
        <w:tblW w:w="0" w:type="auto"/>
        <w:jc w:val="center"/>
        <w:tblLook w:val="04A0" w:firstRow="1" w:lastRow="0" w:firstColumn="1" w:lastColumn="0" w:noHBand="0" w:noVBand="1"/>
      </w:tblPr>
      <w:tblGrid>
        <w:gridCol w:w="3652"/>
        <w:gridCol w:w="1701"/>
        <w:gridCol w:w="1735"/>
        <w:gridCol w:w="1384"/>
      </w:tblGrid>
      <w:tr w:rsidR="004F5A5F" w:rsidRPr="000764AC" w:rsidTr="00AC078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52" w:type="dxa"/>
            <w:vMerge w:val="restart"/>
            <w:tcBorders>
              <w:top w:val="thinThickLargeGap" w:sz="12" w:space="0" w:color="auto"/>
            </w:tcBorders>
          </w:tcPr>
          <w:p w:rsidR="004F5A5F" w:rsidRPr="000764AC" w:rsidRDefault="004F5A5F" w:rsidP="00294ADE">
            <w:pPr>
              <w:tabs>
                <w:tab w:val="left" w:pos="1134"/>
              </w:tabs>
              <w:rPr>
                <w:lang w:val="en-GB"/>
              </w:rPr>
            </w:pPr>
            <w:r w:rsidRPr="000764AC">
              <w:rPr>
                <w:noProof/>
              </w:rPr>
              <mc:AlternateContent>
                <mc:Choice Requires="wpg">
                  <w:drawing>
                    <wp:anchor distT="0" distB="0" distL="114300" distR="114300" simplePos="0" relativeHeight="251659264" behindDoc="0" locked="0" layoutInCell="1" allowOverlap="1" wp14:anchorId="76D40912" wp14:editId="3F6D01EF">
                      <wp:simplePos x="0" y="0"/>
                      <wp:positionH relativeFrom="column">
                        <wp:posOffset>-28889</wp:posOffset>
                      </wp:positionH>
                      <wp:positionV relativeFrom="paragraph">
                        <wp:posOffset>-2896</wp:posOffset>
                      </wp:positionV>
                      <wp:extent cx="2240782" cy="617974"/>
                      <wp:effectExtent l="57150" t="38100" r="64770" b="67945"/>
                      <wp:wrapNone/>
                      <wp:docPr id="8" name="Grup 8"/>
                      <wp:cNvGraphicFramePr/>
                      <a:graphic xmlns:a="http://schemas.openxmlformats.org/drawingml/2006/main">
                        <a:graphicData uri="http://schemas.microsoft.com/office/word/2010/wordprocessingGroup">
                          <wpg:wgp>
                            <wpg:cNvGrpSpPr/>
                            <wpg:grpSpPr>
                              <a:xfrm>
                                <a:off x="0" y="0"/>
                                <a:ext cx="2240782" cy="617974"/>
                                <a:chOff x="0" y="0"/>
                                <a:chExt cx="2662677" cy="808893"/>
                              </a:xfrm>
                            </wpg:grpSpPr>
                            <wpg:grpSp>
                              <wpg:cNvPr id="18" name="Grup 18"/>
                              <wpg:cNvGrpSpPr/>
                              <wpg:grpSpPr>
                                <a:xfrm>
                                  <a:off x="0" y="0"/>
                                  <a:ext cx="2662677" cy="808893"/>
                                  <a:chOff x="60284" y="763679"/>
                                  <a:chExt cx="2662846" cy="809437"/>
                                </a:xfrm>
                              </wpg:grpSpPr>
                              <wps:wsp>
                                <wps:cNvPr id="9" name="Oval 9"/>
                                <wps:cNvSpPr/>
                                <wps:spPr>
                                  <a:xfrm>
                                    <a:off x="60284" y="763679"/>
                                    <a:ext cx="1316148" cy="809437"/>
                                  </a:xfrm>
                                  <a:prstGeom prst="ellipse">
                                    <a:avLst/>
                                  </a:prstGeom>
                                </wps:spPr>
                                <wps:style>
                                  <a:lnRef idx="0">
                                    <a:schemeClr val="accent1"/>
                                  </a:lnRef>
                                  <a:fillRef idx="3">
                                    <a:schemeClr val="accent1"/>
                                  </a:fillRef>
                                  <a:effectRef idx="3">
                                    <a:schemeClr val="accent1"/>
                                  </a:effectRef>
                                  <a:fontRef idx="minor">
                                    <a:schemeClr val="lt1"/>
                                  </a:fontRef>
                                </wps:style>
                                <wps:txbx>
                                  <w:txbxContent>
                                    <w:p w:rsidR="001C6BAE" w:rsidRPr="00871C93" w:rsidRDefault="001C6BAE" w:rsidP="004F5A5F">
                                      <w:pPr>
                                        <w:jc w:val="center"/>
                                        <w:rPr>
                                          <w:b/>
                                        </w:rPr>
                                      </w:pPr>
                                      <w:r w:rsidRPr="00ED1E50">
                                        <w:rPr>
                                          <w:b/>
                                          <w:sz w:val="22"/>
                                          <w:szCs w:val="22"/>
                                        </w:rPr>
                                        <w:t xml:space="preserve">Economic </w:t>
                                      </w:r>
                                      <w:r w:rsidRPr="00ED1E50">
                                        <w:rPr>
                                          <w:b/>
                                        </w:rPr>
                                        <w:t>Growth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Oval 10"/>
                                <wps:cNvSpPr/>
                                <wps:spPr>
                                  <a:xfrm>
                                    <a:off x="1466531" y="778767"/>
                                    <a:ext cx="1256599" cy="793810"/>
                                  </a:xfrm>
                                  <a:prstGeom prst="ellipse">
                                    <a:avLst/>
                                  </a:prstGeom>
                                </wps:spPr>
                                <wps:style>
                                  <a:lnRef idx="0">
                                    <a:schemeClr val="accent1"/>
                                  </a:lnRef>
                                  <a:fillRef idx="3">
                                    <a:schemeClr val="accent1"/>
                                  </a:fillRef>
                                  <a:effectRef idx="3">
                                    <a:schemeClr val="accent1"/>
                                  </a:effectRef>
                                  <a:fontRef idx="minor">
                                    <a:schemeClr val="lt1"/>
                                  </a:fontRef>
                                </wps:style>
                                <wps:txbx>
                                  <w:txbxContent>
                                    <w:p w:rsidR="001C6BAE" w:rsidRPr="00871C93" w:rsidRDefault="001C6BAE" w:rsidP="004F5A5F">
                                      <w:pPr>
                                        <w:jc w:val="center"/>
                                        <w:rPr>
                                          <w:b/>
                                        </w:rPr>
                                      </w:pPr>
                                      <w:r w:rsidRPr="00871C93">
                                        <w:rPr>
                                          <w:b/>
                                        </w:rPr>
                                        <w:t>Tourism Receipts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 name="Sağ Ok 12"/>
                              <wps:cNvSpPr/>
                              <wps:spPr>
                                <a:xfrm>
                                  <a:off x="1170633" y="427055"/>
                                  <a:ext cx="522514" cy="166161"/>
                                </a:xfrm>
                                <a:prstGeom prst="rightArrow">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ağ Ok 6"/>
                              <wps:cNvSpPr/>
                              <wps:spPr>
                                <a:xfrm rot="10800000">
                                  <a:off x="1130440" y="205991"/>
                                  <a:ext cx="522514" cy="166161"/>
                                </a:xfrm>
                                <a:prstGeom prst="rightArrow">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D40912" id="Grup 8" o:spid="_x0000_s1026" style="position:absolute;margin-left:-2.25pt;margin-top:-.25pt;width:176.45pt;height:48.65pt;z-index:251659264;mso-width-relative:margin;mso-height-relative:margin" coordsize="26626,8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">
                      <v:group id="Grup 18" o:spid="_x0000_s1027" style="position:absolute;width:26626;height:8088" coordorigin="602,7636" coordsize="26628,8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oval id="Oval 9" o:spid="_x0000_s1028" style="position:absolute;left:602;top:7636;width:13162;height:8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" fillcolor="#65a0d7 [3028]" stroked="f">
                          <v:fill color2="#5898d4 [3172]" rotate="t" colors="0 #71a6db;.5 #559bdb;1 #438ac9" focus="100%" type="gradient">
                            <o:fill v:ext="view" type="gradientUnscaled"/>
                          </v:fill>
                          <v:shadow on="t" color="black" opacity="41287f" offset="0,1.5pt"/>
                          <v:textbox>
                            <w:txbxContent>
                              <w:p w:rsidR="001C6BAE" w:rsidRPr="00871C93" w:rsidRDefault="001C6BAE" w:rsidP="004F5A5F">
                                <w:pPr>
                                  <w:jc w:val="center"/>
                                  <w:rPr>
                                    <w:b/>
                                  </w:rPr>
                                </w:pPr>
                                <w:r w:rsidRPr="00ED1E50">
                                  <w:rPr>
                                    <w:b/>
                                    <w:sz w:val="22"/>
                                    <w:szCs w:val="22"/>
                                  </w:rPr>
                                  <w:t xml:space="preserve">Economic </w:t>
                                </w:r>
                                <w:r w:rsidRPr="00ED1E50">
                                  <w:rPr>
                                    <w:b/>
                                  </w:rPr>
                                  <w:t>Growth</w:t>
                                </w:r>
                              </w:p>
                            </w:txbxContent>
                          </v:textbox>
                        </v:oval>
                        <v:oval id="Oval 10" o:spid="_x0000_s1029" style="position:absolute;left:14665;top:7787;width:12566;height:7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" fillcolor="#65a0d7 [3028]" stroked="f">
                          <v:fill color2="#5898d4 [3172]" rotate="t" colors="0 #71a6db;.5 #559bdb;1 #438ac9" focus="100%" type="gradient">
                            <o:fill v:ext="view" type="gradientUnscaled"/>
                          </v:fill>
                          <v:shadow on="t" color="black" opacity="41287f" offset="0,1.5pt"/>
                          <v:textbox>
                            <w:txbxContent>
                              <w:p w:rsidR="001C6BAE" w:rsidRPr="00871C93" w:rsidRDefault="001C6BAE" w:rsidP="004F5A5F">
                                <w:pPr>
                                  <w:jc w:val="center"/>
                                  <w:rPr>
                                    <w:b/>
                                  </w:rPr>
                                </w:pPr>
                                <w:r w:rsidRPr="00871C93">
                                  <w:rPr>
                                    <w:b/>
                                  </w:rPr>
                                  <w:t>Tourism Receipts</w:t>
                                </w:r>
                              </w:p>
                            </w:txbxContent>
                          </v:textbox>
                        </v:oval>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12" o:spid="_x0000_s1030" type="#_x0000_t13" style="position:absolute;left:11706;top:4270;width:5225;height:1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" adj="18166" fillcolor="white [3201]" strokecolor="#5b9bd5 [3204]" strokeweight="1pt"/>
                      <v:shape id="Sağ Ok 6" o:spid="_x0000_s1031" type="#_x0000_t13" style="position:absolute;left:11304;top:2059;width:5225;height:166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" adj="18166" fillcolor="white [3201]" strokecolor="#5b9bd5 [3204]" strokeweight="1pt"/>
                    </v:group>
                  </w:pict>
                </mc:Fallback>
              </mc:AlternateContent>
            </w:r>
          </w:p>
        </w:tc>
        <w:tc>
          <w:tcPr>
            <w:tcW w:w="1701" w:type="dxa"/>
            <w:tcBorders>
              <w:top w:val="thinThickLargeGap" w:sz="12" w:space="0" w:color="auto"/>
              <w:bottom w:val="nil"/>
            </w:tcBorders>
            <w:vAlign w:val="center"/>
          </w:tcPr>
          <w:p w:rsidR="004F5A5F" w:rsidRPr="000764AC" w:rsidRDefault="004F5A5F" w:rsidP="00294ADE">
            <w:pPr>
              <w:tabs>
                <w:tab w:val="left" w:pos="1134"/>
              </w:tabs>
              <w:jc w:val="center"/>
              <w:cnfStyle w:val="100000000000" w:firstRow="1" w:lastRow="0" w:firstColumn="0" w:lastColumn="0" w:oddVBand="0" w:evenVBand="0" w:oddHBand="0" w:evenHBand="0" w:firstRowFirstColumn="0" w:firstRowLastColumn="0" w:lastRowFirstColumn="0" w:lastRowLastColumn="0"/>
              <w:rPr>
                <w:b w:val="0"/>
                <w:sz w:val="22"/>
                <w:szCs w:val="22"/>
                <w:lang w:val="en-GB"/>
              </w:rPr>
            </w:pPr>
            <w:r w:rsidRPr="000764AC">
              <w:rPr>
                <w:b w:val="0"/>
                <w:sz w:val="22"/>
                <w:szCs w:val="22"/>
                <w:lang w:val="en-GB"/>
              </w:rPr>
              <w:t xml:space="preserve"> Variable</w:t>
            </w:r>
          </w:p>
        </w:tc>
        <w:tc>
          <w:tcPr>
            <w:tcW w:w="1735" w:type="dxa"/>
            <w:tcBorders>
              <w:top w:val="thinThickLargeGap" w:sz="12" w:space="0" w:color="auto"/>
              <w:bottom w:val="nil"/>
            </w:tcBorders>
            <w:vAlign w:val="center"/>
          </w:tcPr>
          <w:p w:rsidR="004F5A5F" w:rsidRPr="000764AC" w:rsidRDefault="004F5A5F" w:rsidP="00294ADE">
            <w:pPr>
              <w:tabs>
                <w:tab w:val="left" w:pos="1134"/>
              </w:tabs>
              <w:jc w:val="center"/>
              <w:cnfStyle w:val="100000000000" w:firstRow="1" w:lastRow="0" w:firstColumn="0" w:lastColumn="0" w:oddVBand="0" w:evenVBand="0" w:oddHBand="0" w:evenHBand="0" w:firstRowFirstColumn="0" w:firstRowLastColumn="0" w:lastRowFirstColumn="0" w:lastRowLastColumn="0"/>
              <w:rPr>
                <w:b w:val="0"/>
                <w:sz w:val="22"/>
                <w:szCs w:val="22"/>
                <w:lang w:val="en-GB"/>
              </w:rPr>
            </w:pPr>
            <w:r>
              <w:rPr>
                <w:b w:val="0"/>
                <w:sz w:val="22"/>
                <w:szCs w:val="22"/>
                <w:lang w:val="en-GB"/>
              </w:rPr>
              <w:t>The d</w:t>
            </w:r>
            <w:r w:rsidRPr="000764AC">
              <w:rPr>
                <w:b w:val="0"/>
                <w:sz w:val="22"/>
                <w:szCs w:val="22"/>
                <w:lang w:val="en-GB"/>
              </w:rPr>
              <w:t>irection of The Causality</w:t>
            </w:r>
          </w:p>
        </w:tc>
        <w:tc>
          <w:tcPr>
            <w:tcW w:w="1384" w:type="dxa"/>
            <w:tcBorders>
              <w:top w:val="thinThickLargeGap" w:sz="12" w:space="0" w:color="auto"/>
              <w:bottom w:val="nil"/>
            </w:tcBorders>
            <w:vAlign w:val="center"/>
          </w:tcPr>
          <w:p w:rsidR="004F5A5F" w:rsidRPr="000764AC" w:rsidRDefault="00AC078D" w:rsidP="00AC078D">
            <w:pPr>
              <w:tabs>
                <w:tab w:val="left" w:pos="1134"/>
              </w:tabs>
              <w:cnfStyle w:val="100000000000" w:firstRow="1" w:lastRow="0" w:firstColumn="0" w:lastColumn="0" w:oddVBand="0" w:evenVBand="0" w:oddHBand="0" w:evenHBand="0" w:firstRowFirstColumn="0" w:firstRowLastColumn="0" w:lastRowFirstColumn="0" w:lastRowLastColumn="0"/>
              <w:rPr>
                <w:b w:val="0"/>
                <w:sz w:val="22"/>
                <w:szCs w:val="22"/>
                <w:lang w:val="en-GB"/>
              </w:rPr>
            </w:pPr>
            <w:r>
              <w:rPr>
                <w:b w:val="0"/>
                <w:sz w:val="22"/>
                <w:szCs w:val="22"/>
                <w:lang w:val="en-GB"/>
              </w:rPr>
              <w:t xml:space="preserve"> </w:t>
            </w:r>
            <w:r w:rsidR="004F5A5F" w:rsidRPr="000764AC">
              <w:rPr>
                <w:b w:val="0"/>
                <w:sz w:val="22"/>
                <w:szCs w:val="22"/>
                <w:lang w:val="en-GB"/>
              </w:rPr>
              <w:t xml:space="preserve"> Variable</w:t>
            </w:r>
          </w:p>
        </w:tc>
      </w:tr>
      <w:tr w:rsidR="004F5A5F" w:rsidRPr="000764AC" w:rsidTr="00294ADE">
        <w:trPr>
          <w:cnfStyle w:val="000000100000" w:firstRow="0" w:lastRow="0" w:firstColumn="0" w:lastColumn="0" w:oddVBand="0" w:evenVBand="0" w:oddHBand="1" w:evenHBand="0" w:firstRowFirstColumn="0" w:firstRowLastColumn="0" w:lastRowFirstColumn="0" w:lastRowLastColumn="0"/>
          <w:trHeight w:val="487"/>
          <w:jc w:val="center"/>
        </w:trPr>
        <w:tc>
          <w:tcPr>
            <w:cnfStyle w:val="001000000000" w:firstRow="0" w:lastRow="0" w:firstColumn="1" w:lastColumn="0" w:oddVBand="0" w:evenVBand="0" w:oddHBand="0" w:evenHBand="0" w:firstRowFirstColumn="0" w:firstRowLastColumn="0" w:lastRowFirstColumn="0" w:lastRowLastColumn="0"/>
            <w:tcW w:w="3652" w:type="dxa"/>
            <w:vMerge/>
            <w:tcBorders>
              <w:bottom w:val="thickThinLargeGap" w:sz="12" w:space="0" w:color="auto"/>
              <w:right w:val="nil"/>
            </w:tcBorders>
          </w:tcPr>
          <w:p w:rsidR="004F5A5F" w:rsidRPr="000764AC" w:rsidRDefault="004F5A5F" w:rsidP="00294ADE">
            <w:pPr>
              <w:tabs>
                <w:tab w:val="left" w:pos="1134"/>
              </w:tabs>
              <w:jc w:val="center"/>
              <w:rPr>
                <w:b w:val="0"/>
                <w:sz w:val="20"/>
                <w:szCs w:val="20"/>
                <w:lang w:val="en-GB"/>
              </w:rPr>
            </w:pPr>
          </w:p>
        </w:tc>
        <w:tc>
          <w:tcPr>
            <w:tcW w:w="1701" w:type="dxa"/>
            <w:tcBorders>
              <w:top w:val="nil"/>
              <w:left w:val="nil"/>
              <w:bottom w:val="thickThinLargeGap" w:sz="12" w:space="0" w:color="auto"/>
              <w:right w:val="nil"/>
            </w:tcBorders>
            <w:vAlign w:val="center"/>
          </w:tcPr>
          <w:p w:rsidR="004F5A5F" w:rsidRPr="000764AC" w:rsidRDefault="00AC078D" w:rsidP="00294ADE">
            <w:pPr>
              <w:tabs>
                <w:tab w:val="left" w:pos="1134"/>
              </w:tabs>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Pr>
                <w:sz w:val="20"/>
                <w:szCs w:val="20"/>
                <w:lang w:val="en-GB"/>
              </w:rPr>
              <w:t>EG</w:t>
            </w:r>
          </w:p>
        </w:tc>
        <w:tc>
          <w:tcPr>
            <w:tcW w:w="1735" w:type="dxa"/>
            <w:tcBorders>
              <w:top w:val="nil"/>
              <w:left w:val="nil"/>
              <w:bottom w:val="thickThinLargeGap" w:sz="12" w:space="0" w:color="auto"/>
              <w:right w:val="nil"/>
            </w:tcBorders>
            <w:vAlign w:val="center"/>
          </w:tcPr>
          <w:p w:rsidR="004F5A5F" w:rsidRPr="000764AC" w:rsidRDefault="004F5A5F" w:rsidP="00294ADE">
            <w:pPr>
              <w:tabs>
                <w:tab w:val="left" w:pos="1134"/>
              </w:tabs>
              <w:jc w:val="center"/>
              <w:cnfStyle w:val="000000100000" w:firstRow="0" w:lastRow="0" w:firstColumn="0" w:lastColumn="0" w:oddVBand="0" w:evenVBand="0" w:oddHBand="1" w:evenHBand="0" w:firstRowFirstColumn="0" w:firstRowLastColumn="0" w:lastRowFirstColumn="0" w:lastRowLastColumn="0"/>
              <w:rPr>
                <w:b/>
                <w:sz w:val="28"/>
                <w:szCs w:val="28"/>
                <w:lang w:val="en-GB"/>
              </w:rPr>
            </w:pPr>
            <w:r w:rsidRPr="000764AC">
              <w:rPr>
                <w:rFonts w:ascii="Cambria Math" w:hAnsi="Cambria Math" w:cs="Cambria Math"/>
                <w:b/>
                <w:sz w:val="28"/>
                <w:szCs w:val="28"/>
                <w:lang w:val="en-GB"/>
              </w:rPr>
              <w:t>⇔</w:t>
            </w:r>
          </w:p>
        </w:tc>
        <w:tc>
          <w:tcPr>
            <w:tcW w:w="1384" w:type="dxa"/>
            <w:tcBorders>
              <w:top w:val="nil"/>
              <w:left w:val="nil"/>
              <w:bottom w:val="thickThinLargeGap" w:sz="12" w:space="0" w:color="auto"/>
            </w:tcBorders>
            <w:vAlign w:val="center"/>
          </w:tcPr>
          <w:p w:rsidR="004F5A5F" w:rsidRPr="000764AC" w:rsidRDefault="00AC078D" w:rsidP="00294ADE">
            <w:pPr>
              <w:tabs>
                <w:tab w:val="left" w:pos="1134"/>
              </w:tabs>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Pr>
                <w:sz w:val="20"/>
                <w:szCs w:val="20"/>
                <w:lang w:val="en-GB"/>
              </w:rPr>
              <w:t>TR</w:t>
            </w:r>
          </w:p>
        </w:tc>
      </w:tr>
    </w:tbl>
    <w:p w:rsidR="004F5A5F" w:rsidRPr="000764AC" w:rsidRDefault="004F5A5F" w:rsidP="004F5A5F">
      <w:pPr>
        <w:pStyle w:val="Default"/>
        <w:rPr>
          <w:rFonts w:ascii="Times New Roman" w:hAnsi="Times New Roman" w:cs="Times New Roman"/>
          <w:b/>
        </w:rPr>
      </w:pPr>
    </w:p>
    <w:p w:rsidR="004F5A5F" w:rsidRPr="00D92781" w:rsidRDefault="00F46BD8" w:rsidP="004F5A5F">
      <w:pPr>
        <w:spacing w:before="60" w:after="60"/>
        <w:ind w:firstLine="567"/>
        <w:jc w:val="both"/>
        <w:rPr>
          <w:b/>
        </w:rPr>
      </w:pPr>
      <w:r>
        <w:rPr>
          <w:b/>
        </w:rPr>
        <w:t>3.3.5.</w:t>
      </w:r>
      <w:r w:rsidR="00747549">
        <w:rPr>
          <w:b/>
        </w:rPr>
        <w:t xml:space="preserve"> </w:t>
      </w:r>
      <w:r w:rsidR="004F5A5F" w:rsidRPr="00D92781">
        <w:rPr>
          <w:b/>
        </w:rPr>
        <w:t>Co-Integration Analysis</w:t>
      </w:r>
    </w:p>
    <w:p w:rsidR="004F5A5F" w:rsidRPr="000764AC" w:rsidRDefault="00F46BD8" w:rsidP="004F5A5F">
      <w:pPr>
        <w:spacing w:before="60" w:after="60"/>
        <w:ind w:firstLine="567"/>
        <w:jc w:val="both"/>
      </w:pPr>
      <w:r>
        <w:t>Table 7 and Table 8 show</w:t>
      </w:r>
      <w:r w:rsidR="004F5A5F" w:rsidRPr="000764AC">
        <w:t xml:space="preserve"> the long-term relationship between variables with the help of "Mean Group Estimator (MG) Method". The MG method proposed by Pesaran and Smith (1995) is applied to the estimation of the cointegration model and the averages of the parameters for each unit.</w:t>
      </w:r>
    </w:p>
    <w:p w:rsidR="004F5A5F" w:rsidRPr="00747549" w:rsidRDefault="00F46BD8" w:rsidP="000D6D1B">
      <w:pPr>
        <w:spacing w:before="60" w:after="60"/>
        <w:jc w:val="center"/>
      </w:pPr>
      <w:r>
        <w:rPr>
          <w:b/>
          <w:lang w:bidi="en-US"/>
        </w:rPr>
        <w:t>Table 7</w:t>
      </w:r>
      <w:r w:rsidR="004F5A5F" w:rsidRPr="00747549">
        <w:rPr>
          <w:b/>
          <w:lang w:bidi="en-US"/>
        </w:rPr>
        <w:t xml:space="preserve">. </w:t>
      </w:r>
      <w:r w:rsidR="004F5A5F" w:rsidRPr="00747549">
        <w:rPr>
          <w:b/>
        </w:rPr>
        <w:t>Pesaran &amp; Smith Mean Group Estimator</w:t>
      </w:r>
    </w:p>
    <w:tbl>
      <w:tblPr>
        <w:tblStyle w:val="TabloKlavuzu"/>
        <w:tblW w:w="8931" w:type="dxa"/>
        <w:tblInd w:w="-5" w:type="dxa"/>
        <w:tblBorders>
          <w:top w:val="thinThickSmallGap" w:sz="12" w:space="0" w:color="767171" w:themeColor="background2" w:themeShade="80"/>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3969"/>
      </w:tblGrid>
      <w:tr w:rsidR="004F5A5F" w:rsidRPr="000764AC" w:rsidTr="00294ADE">
        <w:trPr>
          <w:trHeight w:val="891"/>
        </w:trPr>
        <w:tc>
          <w:tcPr>
            <w:tcW w:w="4962" w:type="dxa"/>
          </w:tcPr>
          <w:tbl>
            <w:tblPr>
              <w:tblStyle w:val="TabloKlavuzu"/>
              <w:tblpPr w:leftFromText="141" w:rightFromText="141" w:vertAnchor="page" w:horzAnchor="margin" w:tblpY="1"/>
              <w:tblOverlap w:val="never"/>
              <w:tblW w:w="3096"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697"/>
              <w:gridCol w:w="1399"/>
            </w:tblGrid>
            <w:tr w:rsidR="004F5A5F" w:rsidRPr="000764AC" w:rsidTr="00294ADE">
              <w:trPr>
                <w:trHeight w:val="249"/>
              </w:trPr>
              <w:tc>
                <w:tcPr>
                  <w:tcW w:w="1697" w:type="dxa"/>
                </w:tcPr>
                <w:p w:rsidR="004F5A5F" w:rsidRPr="000764AC" w:rsidRDefault="004F5A5F" w:rsidP="00294ADE">
                  <w:pPr>
                    <w:pStyle w:val="ListeParagraf"/>
                    <w:spacing w:after="0" w:line="240" w:lineRule="auto"/>
                    <w:ind w:left="0"/>
                    <w:rPr>
                      <w:rFonts w:ascii="Times New Roman" w:hAnsi="Times New Roman" w:cs="Times New Roman"/>
                      <w:color w:val="000000"/>
                      <w:sz w:val="20"/>
                      <w:szCs w:val="20"/>
                    </w:rPr>
                  </w:pPr>
                  <w:r w:rsidRPr="000764AC">
                    <w:rPr>
                      <w:rFonts w:ascii="Times New Roman" w:hAnsi="Times New Roman" w:cs="Times New Roman"/>
                      <w:color w:val="000000"/>
                      <w:sz w:val="20"/>
                      <w:szCs w:val="20"/>
                    </w:rPr>
                    <w:t>Obs per group</w:t>
                  </w:r>
                  <w:r w:rsidRPr="000764AC">
                    <w:rPr>
                      <w:rFonts w:ascii="Times New Roman" w:hAnsi="Times New Roman" w:cs="Times New Roman"/>
                      <w:color w:val="FFFFFF" w:themeColor="background1"/>
                      <w:sz w:val="20"/>
                      <w:szCs w:val="20"/>
                    </w:rPr>
                    <w:t>”</w:t>
                  </w:r>
                  <w:r w:rsidRPr="000764AC">
                    <w:rPr>
                      <w:rFonts w:ascii="Times New Roman" w:hAnsi="Times New Roman" w:cs="Times New Roman"/>
                      <w:color w:val="000000"/>
                      <w:sz w:val="20"/>
                      <w:szCs w:val="20"/>
                    </w:rPr>
                    <w:t xml:space="preserve">        </w:t>
                  </w:r>
                </w:p>
              </w:tc>
              <w:tc>
                <w:tcPr>
                  <w:tcW w:w="1399" w:type="dxa"/>
                </w:tcPr>
                <w:p w:rsidR="004F5A5F" w:rsidRPr="000764AC" w:rsidRDefault="004F5A5F" w:rsidP="00294ADE">
                  <w:pPr>
                    <w:pStyle w:val="ListeParagraf"/>
                    <w:spacing w:after="0" w:line="240" w:lineRule="auto"/>
                    <w:ind w:left="0"/>
                    <w:rPr>
                      <w:rFonts w:ascii="Times New Roman" w:hAnsi="Times New Roman" w:cs="Times New Roman"/>
                      <w:color w:val="000000"/>
                      <w:sz w:val="20"/>
                      <w:szCs w:val="20"/>
                    </w:rPr>
                  </w:pPr>
                  <w:r w:rsidRPr="000764AC">
                    <w:rPr>
                      <w:rFonts w:ascii="Times New Roman" w:hAnsi="Times New Roman" w:cs="Times New Roman"/>
                      <w:color w:val="000000"/>
                      <w:sz w:val="20"/>
                      <w:szCs w:val="20"/>
                    </w:rPr>
                    <w:t xml:space="preserve">= </w:t>
                  </w:r>
                  <w:r w:rsidRPr="000764AC">
                    <w:rPr>
                      <w:rFonts w:ascii="Times New Roman" w:hAnsi="Times New Roman" w:cs="Times New Roman"/>
                      <w:bCs/>
                      <w:sz w:val="20"/>
                      <w:szCs w:val="20"/>
                    </w:rPr>
                    <w:t>21</w:t>
                  </w:r>
                </w:p>
              </w:tc>
            </w:tr>
            <w:tr w:rsidR="004F5A5F" w:rsidRPr="000764AC" w:rsidTr="00294ADE">
              <w:trPr>
                <w:trHeight w:val="249"/>
              </w:trPr>
              <w:tc>
                <w:tcPr>
                  <w:tcW w:w="1697" w:type="dxa"/>
                </w:tcPr>
                <w:p w:rsidR="004F5A5F" w:rsidRPr="000764AC" w:rsidRDefault="004F5A5F" w:rsidP="00294ADE">
                  <w:pPr>
                    <w:pStyle w:val="ListeParagraf"/>
                    <w:spacing w:after="0" w:line="240" w:lineRule="auto"/>
                    <w:ind w:left="0"/>
                    <w:rPr>
                      <w:rFonts w:ascii="Times New Roman" w:hAnsi="Times New Roman" w:cs="Times New Roman"/>
                      <w:color w:val="000000"/>
                      <w:sz w:val="20"/>
                      <w:szCs w:val="20"/>
                    </w:rPr>
                  </w:pPr>
                  <w:r w:rsidRPr="000764AC">
                    <w:rPr>
                      <w:rFonts w:ascii="Times New Roman" w:hAnsi="Times New Roman" w:cs="Times New Roman"/>
                      <w:sz w:val="20"/>
                      <w:szCs w:val="20"/>
                    </w:rPr>
                    <w:t xml:space="preserve">min/avg/ max     </w:t>
                  </w:r>
                </w:p>
              </w:tc>
              <w:tc>
                <w:tcPr>
                  <w:tcW w:w="1399" w:type="dxa"/>
                </w:tcPr>
                <w:p w:rsidR="004F5A5F" w:rsidRPr="000764AC" w:rsidRDefault="004F5A5F" w:rsidP="00294ADE">
                  <w:pPr>
                    <w:pStyle w:val="ListeParagraf"/>
                    <w:spacing w:after="0" w:line="240" w:lineRule="auto"/>
                    <w:ind w:left="0"/>
                    <w:rPr>
                      <w:rFonts w:ascii="Times New Roman" w:hAnsi="Times New Roman" w:cs="Times New Roman"/>
                      <w:color w:val="000000"/>
                      <w:sz w:val="20"/>
                      <w:szCs w:val="20"/>
                    </w:rPr>
                  </w:pPr>
                  <w:r w:rsidRPr="000764AC">
                    <w:rPr>
                      <w:rFonts w:ascii="Times New Roman" w:hAnsi="Times New Roman" w:cs="Times New Roman"/>
                      <w:color w:val="000000"/>
                      <w:sz w:val="20"/>
                      <w:szCs w:val="20"/>
                    </w:rPr>
                    <w:t xml:space="preserve">= </w:t>
                  </w:r>
                  <w:r w:rsidRPr="000764AC">
                    <w:rPr>
                      <w:rFonts w:ascii="Times New Roman" w:hAnsi="Times New Roman" w:cs="Times New Roman"/>
                      <w:sz w:val="20"/>
                      <w:szCs w:val="20"/>
                    </w:rPr>
                    <w:t>23/23/23</w:t>
                  </w:r>
                </w:p>
              </w:tc>
            </w:tr>
            <w:tr w:rsidR="004F5A5F" w:rsidRPr="000764AC" w:rsidTr="00294ADE">
              <w:trPr>
                <w:trHeight w:val="258"/>
              </w:trPr>
              <w:tc>
                <w:tcPr>
                  <w:tcW w:w="1697" w:type="dxa"/>
                </w:tcPr>
                <w:p w:rsidR="004F5A5F" w:rsidRPr="000764AC" w:rsidRDefault="004F5A5F" w:rsidP="00294ADE">
                  <w:pPr>
                    <w:pStyle w:val="ListeParagraf"/>
                    <w:spacing w:after="0" w:line="240" w:lineRule="auto"/>
                    <w:ind w:left="0"/>
                    <w:rPr>
                      <w:rFonts w:ascii="Times New Roman" w:hAnsi="Times New Roman" w:cs="Times New Roman"/>
                      <w:color w:val="000000"/>
                      <w:sz w:val="20"/>
                      <w:szCs w:val="20"/>
                    </w:rPr>
                  </w:pPr>
                  <w:r w:rsidRPr="000764AC">
                    <w:rPr>
                      <w:rFonts w:ascii="Times New Roman" w:hAnsi="Times New Roman" w:cs="Times New Roman"/>
                      <w:color w:val="000000"/>
                      <w:sz w:val="20"/>
                      <w:szCs w:val="20"/>
                    </w:rPr>
                    <w:t>Number of obs</w:t>
                  </w:r>
                  <w:r w:rsidRPr="000764AC">
                    <w:rPr>
                      <w:rFonts w:ascii="Times New Roman" w:hAnsi="Times New Roman" w:cs="Times New Roman"/>
                      <w:color w:val="FFFFFF" w:themeColor="background1"/>
                      <w:sz w:val="20"/>
                      <w:szCs w:val="20"/>
                    </w:rPr>
                    <w:t>”</w:t>
                  </w:r>
                  <w:r w:rsidRPr="000764AC">
                    <w:rPr>
                      <w:rFonts w:ascii="Times New Roman" w:hAnsi="Times New Roman" w:cs="Times New Roman"/>
                      <w:color w:val="000000"/>
                      <w:sz w:val="20"/>
                      <w:szCs w:val="20"/>
                    </w:rPr>
                    <w:t xml:space="preserve">        </w:t>
                  </w:r>
                </w:p>
              </w:tc>
              <w:tc>
                <w:tcPr>
                  <w:tcW w:w="1399" w:type="dxa"/>
                </w:tcPr>
                <w:p w:rsidR="004F5A5F" w:rsidRPr="000764AC" w:rsidRDefault="004F5A5F" w:rsidP="00294ADE">
                  <w:pPr>
                    <w:pStyle w:val="ListeParagraf"/>
                    <w:spacing w:after="0" w:line="240" w:lineRule="auto"/>
                    <w:ind w:left="0"/>
                    <w:rPr>
                      <w:rFonts w:ascii="Times New Roman" w:hAnsi="Times New Roman" w:cs="Times New Roman"/>
                      <w:color w:val="000000"/>
                      <w:sz w:val="20"/>
                      <w:szCs w:val="20"/>
                    </w:rPr>
                  </w:pPr>
                  <w:r w:rsidRPr="000764AC">
                    <w:rPr>
                      <w:rFonts w:ascii="Times New Roman" w:hAnsi="Times New Roman" w:cs="Times New Roman"/>
                      <w:color w:val="000000"/>
                      <w:sz w:val="20"/>
                      <w:szCs w:val="20"/>
                    </w:rPr>
                    <w:t xml:space="preserve">= </w:t>
                  </w:r>
                  <w:r w:rsidRPr="000764AC">
                    <w:rPr>
                      <w:rFonts w:ascii="Times New Roman" w:hAnsi="Times New Roman" w:cs="Times New Roman"/>
                      <w:bCs/>
                      <w:sz w:val="20"/>
                      <w:szCs w:val="20"/>
                    </w:rPr>
                    <w:t>483</w:t>
                  </w:r>
                </w:p>
              </w:tc>
            </w:tr>
          </w:tbl>
          <w:p w:rsidR="004F5A5F" w:rsidRPr="000764AC" w:rsidRDefault="004F5A5F" w:rsidP="00294ADE">
            <w:pPr>
              <w:pStyle w:val="ListeParagraf"/>
              <w:spacing w:after="0" w:line="240" w:lineRule="auto"/>
              <w:ind w:left="0"/>
              <w:rPr>
                <w:rFonts w:ascii="Times New Roman" w:hAnsi="Times New Roman" w:cs="Times New Roman"/>
                <w:b/>
                <w:color w:val="000000"/>
                <w:sz w:val="20"/>
                <w:szCs w:val="20"/>
              </w:rPr>
            </w:pPr>
          </w:p>
        </w:tc>
        <w:tc>
          <w:tcPr>
            <w:tcW w:w="3969" w:type="dxa"/>
          </w:tcPr>
          <w:tbl>
            <w:tblPr>
              <w:tblStyle w:val="TabloKlavuzu"/>
              <w:tblpPr w:leftFromText="141" w:rightFromText="141" w:vertAnchor="page" w:horzAnchor="margin" w:tblpXSpec="center" w:tblpY="1"/>
              <w:tblOverlap w:val="never"/>
              <w:tblW w:w="3096"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697"/>
              <w:gridCol w:w="1399"/>
            </w:tblGrid>
            <w:tr w:rsidR="004F5A5F" w:rsidRPr="000764AC" w:rsidTr="00294ADE">
              <w:trPr>
                <w:trHeight w:val="249"/>
              </w:trPr>
              <w:tc>
                <w:tcPr>
                  <w:tcW w:w="1697" w:type="dxa"/>
                </w:tcPr>
                <w:p w:rsidR="004F5A5F" w:rsidRPr="000764AC" w:rsidRDefault="004F5A5F" w:rsidP="00294ADE">
                  <w:pPr>
                    <w:pStyle w:val="ListeParagraf"/>
                    <w:spacing w:after="0" w:line="240" w:lineRule="auto"/>
                    <w:ind w:left="0"/>
                    <w:rPr>
                      <w:rFonts w:ascii="Times New Roman" w:hAnsi="Times New Roman" w:cs="Times New Roman"/>
                      <w:color w:val="000000"/>
                      <w:sz w:val="20"/>
                      <w:szCs w:val="20"/>
                    </w:rPr>
                  </w:pPr>
                </w:p>
              </w:tc>
              <w:tc>
                <w:tcPr>
                  <w:tcW w:w="1399" w:type="dxa"/>
                </w:tcPr>
                <w:p w:rsidR="004F5A5F" w:rsidRPr="000764AC" w:rsidRDefault="004F5A5F" w:rsidP="00294ADE">
                  <w:pPr>
                    <w:pStyle w:val="ListeParagraf"/>
                    <w:spacing w:after="0" w:line="240" w:lineRule="auto"/>
                    <w:ind w:left="0"/>
                    <w:rPr>
                      <w:rFonts w:ascii="Times New Roman" w:hAnsi="Times New Roman" w:cs="Times New Roman"/>
                      <w:color w:val="000000"/>
                      <w:sz w:val="20"/>
                      <w:szCs w:val="20"/>
                    </w:rPr>
                  </w:pPr>
                </w:p>
              </w:tc>
            </w:tr>
            <w:tr w:rsidR="004F5A5F" w:rsidRPr="000764AC" w:rsidTr="00294ADE">
              <w:trPr>
                <w:trHeight w:val="249"/>
              </w:trPr>
              <w:tc>
                <w:tcPr>
                  <w:tcW w:w="1697" w:type="dxa"/>
                </w:tcPr>
                <w:p w:rsidR="004F5A5F" w:rsidRPr="000D6D1B" w:rsidRDefault="004F5A5F" w:rsidP="00294ADE">
                  <w:pPr>
                    <w:pStyle w:val="ListeParagraf"/>
                    <w:spacing w:after="0" w:line="240" w:lineRule="auto"/>
                    <w:ind w:left="0"/>
                    <w:rPr>
                      <w:rFonts w:ascii="Times New Roman" w:hAnsi="Times New Roman" w:cs="Times New Roman"/>
                      <w:color w:val="000000"/>
                      <w:sz w:val="20"/>
                      <w:szCs w:val="20"/>
                    </w:rPr>
                  </w:pPr>
                  <w:r w:rsidRPr="000D6D1B">
                    <w:rPr>
                      <w:rFonts w:ascii="Times New Roman" w:hAnsi="Times New Roman" w:cs="Times New Roman"/>
                      <w:sz w:val="20"/>
                      <w:szCs w:val="20"/>
                    </w:rPr>
                    <w:t xml:space="preserve">Wald </w:t>
                  </w:r>
                  <w:r w:rsidRPr="000D6D1B">
                    <w:rPr>
                      <w:rFonts w:ascii="Cambria" w:hAnsi="Cambria" w:cs="Helvetica"/>
                      <w:bCs/>
                      <w:color w:val="333333"/>
                      <w:sz w:val="20"/>
                      <w:szCs w:val="20"/>
                      <w:lang w:val="en"/>
                    </w:rPr>
                    <w:t>χ2</w:t>
                  </w:r>
                  <w:r w:rsidRPr="000D6D1B">
                    <w:rPr>
                      <w:rFonts w:ascii="Times New Roman" w:hAnsi="Times New Roman" w:cs="Times New Roman"/>
                      <w:sz w:val="20"/>
                      <w:szCs w:val="20"/>
                    </w:rPr>
                    <w:t xml:space="preserve">       </w:t>
                  </w:r>
                </w:p>
              </w:tc>
              <w:tc>
                <w:tcPr>
                  <w:tcW w:w="1399" w:type="dxa"/>
                </w:tcPr>
                <w:p w:rsidR="004F5A5F" w:rsidRPr="000D6D1B" w:rsidRDefault="004F5A5F" w:rsidP="00294ADE">
                  <w:pPr>
                    <w:pStyle w:val="ListeParagraf"/>
                    <w:spacing w:after="0" w:line="240" w:lineRule="auto"/>
                    <w:ind w:left="0"/>
                    <w:rPr>
                      <w:rFonts w:ascii="Times New Roman" w:hAnsi="Times New Roman" w:cs="Times New Roman"/>
                      <w:color w:val="000000"/>
                      <w:sz w:val="20"/>
                      <w:szCs w:val="20"/>
                    </w:rPr>
                  </w:pPr>
                  <w:r w:rsidRPr="000D6D1B">
                    <w:rPr>
                      <w:rFonts w:ascii="Times New Roman" w:hAnsi="Times New Roman" w:cs="Times New Roman"/>
                      <w:color w:val="000000"/>
                      <w:sz w:val="20"/>
                      <w:szCs w:val="20"/>
                    </w:rPr>
                    <w:t xml:space="preserve">= </w:t>
                  </w:r>
                  <w:r w:rsidRPr="000D6D1B">
                    <w:rPr>
                      <w:rFonts w:ascii="Times New Roman" w:hAnsi="Times New Roman" w:cs="Times New Roman"/>
                      <w:sz w:val="20"/>
                      <w:szCs w:val="20"/>
                    </w:rPr>
                    <w:t>18.91</w:t>
                  </w:r>
                </w:p>
              </w:tc>
            </w:tr>
            <w:tr w:rsidR="004F5A5F" w:rsidRPr="000764AC" w:rsidTr="00294ADE">
              <w:trPr>
                <w:trHeight w:val="258"/>
              </w:trPr>
              <w:tc>
                <w:tcPr>
                  <w:tcW w:w="1697" w:type="dxa"/>
                </w:tcPr>
                <w:p w:rsidR="004F5A5F" w:rsidRPr="000D6D1B" w:rsidRDefault="004F5A5F" w:rsidP="00294ADE">
                  <w:pPr>
                    <w:pStyle w:val="ListeParagraf"/>
                    <w:spacing w:after="0" w:line="240" w:lineRule="auto"/>
                    <w:ind w:left="0"/>
                    <w:rPr>
                      <w:rFonts w:ascii="Times New Roman" w:hAnsi="Times New Roman" w:cs="Times New Roman"/>
                      <w:color w:val="000000"/>
                      <w:sz w:val="20"/>
                      <w:szCs w:val="20"/>
                    </w:rPr>
                  </w:pPr>
                  <w:r w:rsidRPr="000D6D1B">
                    <w:rPr>
                      <w:rFonts w:ascii="Times New Roman" w:hAnsi="Times New Roman" w:cs="Times New Roman"/>
                      <w:sz w:val="20"/>
                      <w:szCs w:val="20"/>
                    </w:rPr>
                    <w:t xml:space="preserve">Prob &gt; </w:t>
                  </w:r>
                  <w:r w:rsidRPr="000D6D1B">
                    <w:rPr>
                      <w:rFonts w:ascii="Cambria" w:hAnsi="Cambria" w:cs="Helvetica"/>
                      <w:bCs/>
                      <w:color w:val="333333"/>
                      <w:sz w:val="20"/>
                      <w:szCs w:val="20"/>
                      <w:lang w:val="en"/>
                    </w:rPr>
                    <w:t>χ2</w:t>
                  </w:r>
                  <w:r w:rsidRPr="000D6D1B">
                    <w:rPr>
                      <w:rFonts w:ascii="Times New Roman" w:hAnsi="Times New Roman" w:cs="Times New Roman"/>
                      <w:sz w:val="20"/>
                      <w:szCs w:val="20"/>
                    </w:rPr>
                    <w:t xml:space="preserve">    </w:t>
                  </w:r>
                </w:p>
              </w:tc>
              <w:tc>
                <w:tcPr>
                  <w:tcW w:w="1399" w:type="dxa"/>
                </w:tcPr>
                <w:p w:rsidR="004F5A5F" w:rsidRPr="000D6D1B" w:rsidRDefault="004F5A5F" w:rsidP="00294ADE">
                  <w:pPr>
                    <w:pStyle w:val="ListeParagraf"/>
                    <w:spacing w:after="0" w:line="240" w:lineRule="auto"/>
                    <w:ind w:left="0"/>
                    <w:rPr>
                      <w:rFonts w:ascii="Times New Roman" w:hAnsi="Times New Roman" w:cs="Times New Roman"/>
                      <w:color w:val="000000"/>
                      <w:sz w:val="20"/>
                      <w:szCs w:val="20"/>
                    </w:rPr>
                  </w:pPr>
                  <w:r w:rsidRPr="000D6D1B">
                    <w:rPr>
                      <w:rFonts w:ascii="Times New Roman" w:hAnsi="Times New Roman" w:cs="Times New Roman"/>
                      <w:color w:val="000000"/>
                      <w:sz w:val="20"/>
                      <w:szCs w:val="20"/>
                    </w:rPr>
                    <w:t xml:space="preserve">= </w:t>
                  </w:r>
                  <w:r w:rsidRPr="000D6D1B">
                    <w:rPr>
                      <w:rFonts w:ascii="Times New Roman" w:hAnsi="Times New Roman" w:cs="Times New Roman"/>
                      <w:sz w:val="20"/>
                      <w:szCs w:val="20"/>
                    </w:rPr>
                    <w:t>0.0000</w:t>
                  </w:r>
                </w:p>
              </w:tc>
            </w:tr>
          </w:tbl>
          <w:p w:rsidR="004F5A5F" w:rsidRPr="000764AC" w:rsidRDefault="004F5A5F" w:rsidP="00294ADE">
            <w:pPr>
              <w:rPr>
                <w:b/>
                <w:color w:val="000000"/>
                <w:sz w:val="20"/>
                <w:szCs w:val="20"/>
              </w:rPr>
            </w:pPr>
          </w:p>
        </w:tc>
      </w:tr>
    </w:tbl>
    <w:tbl>
      <w:tblPr>
        <w:tblStyle w:val="DzTablo21"/>
        <w:tblW w:w="0" w:type="auto"/>
        <w:tblLook w:val="04A0" w:firstRow="1" w:lastRow="0" w:firstColumn="1" w:lastColumn="0" w:noHBand="0" w:noVBand="1"/>
      </w:tblPr>
      <w:tblGrid>
        <w:gridCol w:w="1183"/>
        <w:gridCol w:w="1235"/>
        <w:gridCol w:w="1244"/>
        <w:gridCol w:w="1163"/>
        <w:gridCol w:w="1207"/>
        <w:gridCol w:w="1236"/>
        <w:gridCol w:w="1236"/>
      </w:tblGrid>
      <w:tr w:rsidR="004F5A5F" w:rsidRPr="000764AC" w:rsidTr="00294ADE">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294" w:type="dxa"/>
            <w:tcBorders>
              <w:top w:val="thinThickSmallGap" w:sz="12" w:space="0" w:color="7F7F7F" w:themeColor="text1" w:themeTint="80"/>
              <w:bottom w:val="thickThinSmallGap" w:sz="12" w:space="0" w:color="7F7F7F" w:themeColor="text1" w:themeTint="80"/>
              <w:right w:val="single" w:sz="4" w:space="0" w:color="auto"/>
            </w:tcBorders>
          </w:tcPr>
          <w:p w:rsidR="004F5A5F" w:rsidRPr="000764AC" w:rsidRDefault="004F5A5F" w:rsidP="00294ADE">
            <w:pPr>
              <w:jc w:val="center"/>
              <w:rPr>
                <w:sz w:val="20"/>
                <w:szCs w:val="20"/>
              </w:rPr>
            </w:pPr>
            <w:r w:rsidRPr="000764AC">
              <w:rPr>
                <w:sz w:val="20"/>
                <w:szCs w:val="20"/>
              </w:rPr>
              <w:t>TR</w:t>
            </w:r>
          </w:p>
        </w:tc>
        <w:tc>
          <w:tcPr>
            <w:tcW w:w="1294" w:type="dxa"/>
            <w:tcBorders>
              <w:top w:val="thinThickSmallGap" w:sz="12" w:space="0" w:color="7F7F7F" w:themeColor="text1" w:themeTint="80"/>
              <w:left w:val="single" w:sz="4" w:space="0" w:color="auto"/>
              <w:bottom w:val="thickThinSmallGap" w:sz="12" w:space="0" w:color="7F7F7F" w:themeColor="text1" w:themeTint="80"/>
            </w:tcBorders>
          </w:tcPr>
          <w:p w:rsidR="004F5A5F" w:rsidRPr="000764AC" w:rsidRDefault="004F5A5F" w:rsidP="00294ADE">
            <w:pPr>
              <w:jc w:val="center"/>
              <w:cnfStyle w:val="100000000000" w:firstRow="1" w:lastRow="0" w:firstColumn="0" w:lastColumn="0" w:oddVBand="0" w:evenVBand="0" w:oddHBand="0" w:evenHBand="0" w:firstRowFirstColumn="0" w:firstRowLastColumn="0" w:lastRowFirstColumn="0" w:lastRowLastColumn="0"/>
              <w:rPr>
                <w:sz w:val="20"/>
                <w:szCs w:val="20"/>
              </w:rPr>
            </w:pPr>
            <w:r w:rsidRPr="000764AC">
              <w:rPr>
                <w:color w:val="FFFFFF" w:themeColor="background1"/>
                <w:sz w:val="20"/>
                <w:szCs w:val="20"/>
              </w:rPr>
              <w:t>“</w:t>
            </w:r>
            <w:r w:rsidRPr="000764AC">
              <w:rPr>
                <w:sz w:val="20"/>
                <w:szCs w:val="20"/>
              </w:rPr>
              <w:t>Coef.</w:t>
            </w:r>
            <w:r w:rsidRPr="000764AC">
              <w:rPr>
                <w:color w:val="FFFFFF" w:themeColor="background1"/>
                <w:sz w:val="20"/>
                <w:szCs w:val="20"/>
              </w:rPr>
              <w:t xml:space="preserve"> ”</w:t>
            </w:r>
          </w:p>
        </w:tc>
        <w:tc>
          <w:tcPr>
            <w:tcW w:w="1294" w:type="dxa"/>
            <w:tcBorders>
              <w:top w:val="thinThickSmallGap" w:sz="12" w:space="0" w:color="7F7F7F" w:themeColor="text1" w:themeTint="80"/>
              <w:bottom w:val="thickThinSmallGap" w:sz="12" w:space="0" w:color="7F7F7F" w:themeColor="text1" w:themeTint="80"/>
            </w:tcBorders>
          </w:tcPr>
          <w:p w:rsidR="004F5A5F" w:rsidRPr="000764AC" w:rsidRDefault="004F5A5F" w:rsidP="00294ADE">
            <w:pPr>
              <w:jc w:val="center"/>
              <w:cnfStyle w:val="100000000000" w:firstRow="1" w:lastRow="0" w:firstColumn="0" w:lastColumn="0" w:oddVBand="0" w:evenVBand="0" w:oddHBand="0" w:evenHBand="0" w:firstRowFirstColumn="0" w:firstRowLastColumn="0" w:lastRowFirstColumn="0" w:lastRowLastColumn="0"/>
              <w:rPr>
                <w:sz w:val="20"/>
                <w:szCs w:val="20"/>
              </w:rPr>
            </w:pPr>
            <w:r w:rsidRPr="000764AC">
              <w:rPr>
                <w:color w:val="FFFFFF" w:themeColor="background1"/>
                <w:sz w:val="20"/>
                <w:szCs w:val="20"/>
              </w:rPr>
              <w:t>“</w:t>
            </w:r>
            <w:r w:rsidRPr="000764AC">
              <w:rPr>
                <w:sz w:val="20"/>
                <w:szCs w:val="20"/>
              </w:rPr>
              <w:t>Std.Err.</w:t>
            </w:r>
            <w:r w:rsidRPr="000764AC">
              <w:rPr>
                <w:color w:val="FFFFFF" w:themeColor="background1"/>
                <w:sz w:val="20"/>
                <w:szCs w:val="20"/>
              </w:rPr>
              <w:t xml:space="preserve"> ”</w:t>
            </w:r>
          </w:p>
        </w:tc>
        <w:tc>
          <w:tcPr>
            <w:tcW w:w="1295" w:type="dxa"/>
            <w:tcBorders>
              <w:top w:val="thinThickSmallGap" w:sz="12" w:space="0" w:color="7F7F7F" w:themeColor="text1" w:themeTint="80"/>
              <w:bottom w:val="thickThinSmallGap" w:sz="12" w:space="0" w:color="7F7F7F" w:themeColor="text1" w:themeTint="80"/>
            </w:tcBorders>
          </w:tcPr>
          <w:p w:rsidR="004F5A5F" w:rsidRPr="000764AC" w:rsidRDefault="004F5A5F" w:rsidP="00294ADE">
            <w:pPr>
              <w:jc w:val="center"/>
              <w:cnfStyle w:val="100000000000" w:firstRow="1" w:lastRow="0" w:firstColumn="0" w:lastColumn="0" w:oddVBand="0" w:evenVBand="0" w:oddHBand="0" w:evenHBand="0" w:firstRowFirstColumn="0" w:firstRowLastColumn="0" w:lastRowFirstColumn="0" w:lastRowLastColumn="0"/>
              <w:rPr>
                <w:sz w:val="20"/>
                <w:szCs w:val="20"/>
              </w:rPr>
            </w:pPr>
            <w:r w:rsidRPr="000764AC">
              <w:rPr>
                <w:color w:val="FFFFFF" w:themeColor="background1"/>
                <w:sz w:val="20"/>
                <w:szCs w:val="20"/>
              </w:rPr>
              <w:t>“</w:t>
            </w:r>
            <w:r w:rsidRPr="000764AC">
              <w:rPr>
                <w:sz w:val="20"/>
                <w:szCs w:val="20"/>
              </w:rPr>
              <w:t>t</w:t>
            </w:r>
            <w:r w:rsidRPr="000764AC">
              <w:rPr>
                <w:color w:val="FFFFFF" w:themeColor="background1"/>
                <w:sz w:val="20"/>
                <w:szCs w:val="20"/>
              </w:rPr>
              <w:t>”</w:t>
            </w:r>
          </w:p>
        </w:tc>
        <w:tc>
          <w:tcPr>
            <w:tcW w:w="1295" w:type="dxa"/>
            <w:tcBorders>
              <w:top w:val="thinThickSmallGap" w:sz="12" w:space="0" w:color="7F7F7F" w:themeColor="text1" w:themeTint="80"/>
              <w:bottom w:val="thickThinSmallGap" w:sz="12" w:space="0" w:color="7F7F7F" w:themeColor="text1" w:themeTint="80"/>
            </w:tcBorders>
          </w:tcPr>
          <w:p w:rsidR="004F5A5F" w:rsidRPr="000764AC" w:rsidRDefault="004F5A5F" w:rsidP="00294ADE">
            <w:pPr>
              <w:jc w:val="center"/>
              <w:cnfStyle w:val="100000000000" w:firstRow="1" w:lastRow="0" w:firstColumn="0" w:lastColumn="0" w:oddVBand="0" w:evenVBand="0" w:oddHBand="0" w:evenHBand="0" w:firstRowFirstColumn="0" w:firstRowLastColumn="0" w:lastRowFirstColumn="0" w:lastRowLastColumn="0"/>
              <w:rPr>
                <w:sz w:val="20"/>
                <w:szCs w:val="20"/>
              </w:rPr>
            </w:pPr>
            <w:r w:rsidRPr="000764AC">
              <w:rPr>
                <w:color w:val="FFFFFF" w:themeColor="background1"/>
                <w:sz w:val="20"/>
                <w:szCs w:val="20"/>
              </w:rPr>
              <w:t>“</w:t>
            </w:r>
            <w:r w:rsidRPr="000764AC">
              <w:rPr>
                <w:color w:val="000000"/>
                <w:sz w:val="20"/>
                <w:szCs w:val="20"/>
              </w:rPr>
              <w:t>P&gt;|t|</w:t>
            </w:r>
            <w:r w:rsidRPr="000764AC">
              <w:rPr>
                <w:color w:val="FFFFFF" w:themeColor="background1"/>
                <w:sz w:val="20"/>
                <w:szCs w:val="20"/>
              </w:rPr>
              <w:t>”</w:t>
            </w:r>
            <w:r w:rsidRPr="000764AC">
              <w:rPr>
                <w:color w:val="000000"/>
                <w:sz w:val="20"/>
                <w:szCs w:val="20"/>
              </w:rPr>
              <w:t xml:space="preserve">     </w:t>
            </w:r>
          </w:p>
        </w:tc>
        <w:tc>
          <w:tcPr>
            <w:tcW w:w="2590" w:type="dxa"/>
            <w:gridSpan w:val="2"/>
            <w:tcBorders>
              <w:top w:val="thinThickSmallGap" w:sz="12" w:space="0" w:color="7F7F7F" w:themeColor="text1" w:themeTint="80"/>
              <w:bottom w:val="thickThinSmallGap" w:sz="12" w:space="0" w:color="7F7F7F" w:themeColor="text1" w:themeTint="80"/>
            </w:tcBorders>
          </w:tcPr>
          <w:p w:rsidR="004F5A5F" w:rsidRPr="000764AC" w:rsidRDefault="004F5A5F" w:rsidP="00294ADE">
            <w:pPr>
              <w:jc w:val="center"/>
              <w:cnfStyle w:val="100000000000" w:firstRow="1" w:lastRow="0" w:firstColumn="0" w:lastColumn="0" w:oddVBand="0" w:evenVBand="0" w:oddHBand="0" w:evenHBand="0" w:firstRowFirstColumn="0" w:firstRowLastColumn="0" w:lastRowFirstColumn="0" w:lastRowLastColumn="0"/>
              <w:rPr>
                <w:sz w:val="20"/>
                <w:szCs w:val="20"/>
              </w:rPr>
            </w:pPr>
            <w:r w:rsidRPr="000764AC">
              <w:rPr>
                <w:color w:val="FFFFFF" w:themeColor="background1"/>
                <w:sz w:val="20"/>
                <w:szCs w:val="20"/>
              </w:rPr>
              <w:t>“</w:t>
            </w:r>
            <w:r w:rsidRPr="000764AC">
              <w:rPr>
                <w:color w:val="000000"/>
                <w:sz w:val="20"/>
                <w:szCs w:val="20"/>
              </w:rPr>
              <w:t xml:space="preserve"> [95% Conf. Interval]</w:t>
            </w:r>
            <w:r w:rsidRPr="000764AC">
              <w:rPr>
                <w:color w:val="FFFFFF" w:themeColor="background1"/>
                <w:sz w:val="20"/>
                <w:szCs w:val="20"/>
              </w:rPr>
              <w:t xml:space="preserve"> ”</w:t>
            </w:r>
          </w:p>
        </w:tc>
      </w:tr>
      <w:tr w:rsidR="004F5A5F" w:rsidRPr="000764AC" w:rsidTr="00294A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tcBorders>
              <w:top w:val="thickThinSmallGap" w:sz="12" w:space="0" w:color="7F7F7F" w:themeColor="text1" w:themeTint="80"/>
              <w:right w:val="single" w:sz="4" w:space="0" w:color="auto"/>
            </w:tcBorders>
          </w:tcPr>
          <w:p w:rsidR="004F5A5F" w:rsidRPr="000764AC" w:rsidRDefault="001311C7" w:rsidP="00294ADE">
            <w:pPr>
              <w:jc w:val="center"/>
              <w:rPr>
                <w:b w:val="0"/>
                <w:sz w:val="20"/>
                <w:szCs w:val="20"/>
              </w:rPr>
            </w:pPr>
            <w:r>
              <w:rPr>
                <w:b w:val="0"/>
                <w:sz w:val="20"/>
                <w:szCs w:val="20"/>
              </w:rPr>
              <w:t>EG</w:t>
            </w:r>
          </w:p>
        </w:tc>
        <w:tc>
          <w:tcPr>
            <w:tcW w:w="1294" w:type="dxa"/>
            <w:tcBorders>
              <w:top w:val="thickThinSmallGap" w:sz="12" w:space="0" w:color="7F7F7F" w:themeColor="text1" w:themeTint="80"/>
              <w:left w:val="single" w:sz="4" w:space="0" w:color="auto"/>
            </w:tcBorders>
          </w:tcPr>
          <w:p w:rsidR="004F5A5F" w:rsidRPr="000764AC" w:rsidRDefault="004F5A5F" w:rsidP="00294ADE">
            <w:pPr>
              <w:jc w:val="center"/>
              <w:cnfStyle w:val="000000100000" w:firstRow="0" w:lastRow="0" w:firstColumn="0" w:lastColumn="0" w:oddVBand="0" w:evenVBand="0" w:oddHBand="1" w:evenHBand="0" w:firstRowFirstColumn="0" w:firstRowLastColumn="0" w:lastRowFirstColumn="0" w:lastRowLastColumn="0"/>
              <w:rPr>
                <w:sz w:val="20"/>
                <w:szCs w:val="20"/>
              </w:rPr>
            </w:pPr>
            <w:r w:rsidRPr="000764AC">
              <w:rPr>
                <w:sz w:val="20"/>
                <w:szCs w:val="20"/>
              </w:rPr>
              <w:t xml:space="preserve">1.949034   </w:t>
            </w:r>
          </w:p>
        </w:tc>
        <w:tc>
          <w:tcPr>
            <w:tcW w:w="1294" w:type="dxa"/>
            <w:tcBorders>
              <w:top w:val="thickThinSmallGap" w:sz="12" w:space="0" w:color="7F7F7F" w:themeColor="text1" w:themeTint="80"/>
            </w:tcBorders>
          </w:tcPr>
          <w:p w:rsidR="004F5A5F" w:rsidRPr="000764AC" w:rsidRDefault="004F5A5F" w:rsidP="00294ADE">
            <w:pPr>
              <w:jc w:val="center"/>
              <w:cnfStyle w:val="000000100000" w:firstRow="0" w:lastRow="0" w:firstColumn="0" w:lastColumn="0" w:oddVBand="0" w:evenVBand="0" w:oddHBand="1" w:evenHBand="0" w:firstRowFirstColumn="0" w:firstRowLastColumn="0" w:lastRowFirstColumn="0" w:lastRowLastColumn="0"/>
              <w:rPr>
                <w:sz w:val="20"/>
                <w:szCs w:val="20"/>
              </w:rPr>
            </w:pPr>
            <w:r w:rsidRPr="000764AC">
              <w:rPr>
                <w:sz w:val="20"/>
                <w:szCs w:val="20"/>
              </w:rPr>
              <w:t>.4482014</w:t>
            </w:r>
          </w:p>
        </w:tc>
        <w:tc>
          <w:tcPr>
            <w:tcW w:w="1295" w:type="dxa"/>
            <w:tcBorders>
              <w:top w:val="thickThinSmallGap" w:sz="12" w:space="0" w:color="7F7F7F" w:themeColor="text1" w:themeTint="80"/>
            </w:tcBorders>
          </w:tcPr>
          <w:p w:rsidR="004F5A5F" w:rsidRPr="000764AC" w:rsidRDefault="004F5A5F" w:rsidP="00294ADE">
            <w:pPr>
              <w:jc w:val="center"/>
              <w:cnfStyle w:val="000000100000" w:firstRow="0" w:lastRow="0" w:firstColumn="0" w:lastColumn="0" w:oddVBand="0" w:evenVBand="0" w:oddHBand="1" w:evenHBand="0" w:firstRowFirstColumn="0" w:firstRowLastColumn="0" w:lastRowFirstColumn="0" w:lastRowLastColumn="0"/>
              <w:rPr>
                <w:sz w:val="20"/>
                <w:szCs w:val="20"/>
              </w:rPr>
            </w:pPr>
            <w:r w:rsidRPr="000764AC">
              <w:rPr>
                <w:sz w:val="20"/>
                <w:szCs w:val="20"/>
              </w:rPr>
              <w:t xml:space="preserve">4.35   </w:t>
            </w:r>
          </w:p>
        </w:tc>
        <w:tc>
          <w:tcPr>
            <w:tcW w:w="1295" w:type="dxa"/>
            <w:tcBorders>
              <w:top w:val="thickThinSmallGap" w:sz="12" w:space="0" w:color="7F7F7F" w:themeColor="text1" w:themeTint="80"/>
            </w:tcBorders>
          </w:tcPr>
          <w:p w:rsidR="004F5A5F" w:rsidRPr="000764AC" w:rsidRDefault="004F5A5F" w:rsidP="00294ADE">
            <w:pPr>
              <w:jc w:val="center"/>
              <w:cnfStyle w:val="000000100000" w:firstRow="0" w:lastRow="0" w:firstColumn="0" w:lastColumn="0" w:oddVBand="0" w:evenVBand="0" w:oddHBand="1" w:evenHBand="0" w:firstRowFirstColumn="0" w:firstRowLastColumn="0" w:lastRowFirstColumn="0" w:lastRowLastColumn="0"/>
              <w:rPr>
                <w:sz w:val="20"/>
                <w:szCs w:val="20"/>
              </w:rPr>
            </w:pPr>
            <w:r w:rsidRPr="000764AC">
              <w:rPr>
                <w:color w:val="000000"/>
                <w:sz w:val="20"/>
                <w:szCs w:val="20"/>
              </w:rPr>
              <w:t>0.000*</w:t>
            </w:r>
          </w:p>
        </w:tc>
        <w:tc>
          <w:tcPr>
            <w:tcW w:w="1295" w:type="dxa"/>
            <w:tcBorders>
              <w:top w:val="thickThinSmallGap" w:sz="12" w:space="0" w:color="7F7F7F" w:themeColor="text1" w:themeTint="80"/>
            </w:tcBorders>
          </w:tcPr>
          <w:p w:rsidR="004F5A5F" w:rsidRPr="000764AC" w:rsidRDefault="004F5A5F" w:rsidP="00294ADE">
            <w:pPr>
              <w:jc w:val="center"/>
              <w:cnfStyle w:val="000000100000" w:firstRow="0" w:lastRow="0" w:firstColumn="0" w:lastColumn="0" w:oddVBand="0" w:evenVBand="0" w:oddHBand="1" w:evenHBand="0" w:firstRowFirstColumn="0" w:firstRowLastColumn="0" w:lastRowFirstColumn="0" w:lastRowLastColumn="0"/>
              <w:rPr>
                <w:sz w:val="20"/>
                <w:szCs w:val="20"/>
              </w:rPr>
            </w:pPr>
            <w:r w:rsidRPr="000764AC">
              <w:rPr>
                <w:sz w:val="20"/>
                <w:szCs w:val="20"/>
              </w:rPr>
              <w:t xml:space="preserve">1.070575    </w:t>
            </w:r>
          </w:p>
        </w:tc>
        <w:tc>
          <w:tcPr>
            <w:tcW w:w="1295" w:type="dxa"/>
            <w:tcBorders>
              <w:top w:val="thickThinSmallGap" w:sz="12" w:space="0" w:color="7F7F7F" w:themeColor="text1" w:themeTint="80"/>
            </w:tcBorders>
          </w:tcPr>
          <w:p w:rsidR="004F5A5F" w:rsidRPr="000764AC" w:rsidRDefault="004F5A5F" w:rsidP="00294ADE">
            <w:pPr>
              <w:jc w:val="center"/>
              <w:cnfStyle w:val="000000100000" w:firstRow="0" w:lastRow="0" w:firstColumn="0" w:lastColumn="0" w:oddVBand="0" w:evenVBand="0" w:oddHBand="1" w:evenHBand="0" w:firstRowFirstColumn="0" w:firstRowLastColumn="0" w:lastRowFirstColumn="0" w:lastRowLastColumn="0"/>
              <w:rPr>
                <w:sz w:val="20"/>
                <w:szCs w:val="20"/>
              </w:rPr>
            </w:pPr>
            <w:r w:rsidRPr="000764AC">
              <w:rPr>
                <w:sz w:val="20"/>
                <w:szCs w:val="20"/>
              </w:rPr>
              <w:t>2.827492</w:t>
            </w:r>
          </w:p>
        </w:tc>
      </w:tr>
      <w:tr w:rsidR="004F5A5F" w:rsidRPr="000764AC" w:rsidTr="00294ADE">
        <w:tc>
          <w:tcPr>
            <w:cnfStyle w:val="001000000000" w:firstRow="0" w:lastRow="0" w:firstColumn="1" w:lastColumn="0" w:oddVBand="0" w:evenVBand="0" w:oddHBand="0" w:evenHBand="0" w:firstRowFirstColumn="0" w:firstRowLastColumn="0" w:lastRowFirstColumn="0" w:lastRowLastColumn="0"/>
            <w:tcW w:w="1294" w:type="dxa"/>
            <w:tcBorders>
              <w:bottom w:val="thickThinSmallGap" w:sz="12" w:space="0" w:color="7F7F7F" w:themeColor="text1" w:themeTint="80"/>
              <w:right w:val="single" w:sz="4" w:space="0" w:color="auto"/>
            </w:tcBorders>
          </w:tcPr>
          <w:p w:rsidR="004F5A5F" w:rsidRPr="000764AC" w:rsidRDefault="004F5A5F" w:rsidP="00294ADE">
            <w:pPr>
              <w:jc w:val="center"/>
              <w:rPr>
                <w:b w:val="0"/>
                <w:sz w:val="20"/>
                <w:szCs w:val="20"/>
              </w:rPr>
            </w:pPr>
            <w:r w:rsidRPr="000764AC">
              <w:rPr>
                <w:b w:val="0"/>
                <w:sz w:val="20"/>
                <w:szCs w:val="20"/>
              </w:rPr>
              <w:t>_cons</w:t>
            </w:r>
          </w:p>
        </w:tc>
        <w:tc>
          <w:tcPr>
            <w:tcW w:w="1294" w:type="dxa"/>
            <w:tcBorders>
              <w:left w:val="single" w:sz="4" w:space="0" w:color="auto"/>
              <w:bottom w:val="thickThinSmallGap" w:sz="12" w:space="0" w:color="7F7F7F" w:themeColor="text1" w:themeTint="80"/>
            </w:tcBorders>
          </w:tcPr>
          <w:p w:rsidR="004F5A5F" w:rsidRPr="000764AC" w:rsidRDefault="004F5A5F" w:rsidP="00294ADE">
            <w:pPr>
              <w:jc w:val="center"/>
              <w:cnfStyle w:val="000000000000" w:firstRow="0" w:lastRow="0" w:firstColumn="0" w:lastColumn="0" w:oddVBand="0" w:evenVBand="0" w:oddHBand="0" w:evenHBand="0" w:firstRowFirstColumn="0" w:firstRowLastColumn="0" w:lastRowFirstColumn="0" w:lastRowLastColumn="0"/>
              <w:rPr>
                <w:sz w:val="20"/>
                <w:szCs w:val="20"/>
              </w:rPr>
            </w:pPr>
            <w:r w:rsidRPr="000764AC">
              <w:rPr>
                <w:sz w:val="20"/>
                <w:szCs w:val="20"/>
              </w:rPr>
              <w:t xml:space="preserve">-8.91102   </w:t>
            </w:r>
          </w:p>
        </w:tc>
        <w:tc>
          <w:tcPr>
            <w:tcW w:w="1294" w:type="dxa"/>
            <w:tcBorders>
              <w:bottom w:val="thickThinSmallGap" w:sz="12" w:space="0" w:color="7F7F7F" w:themeColor="text1" w:themeTint="80"/>
            </w:tcBorders>
          </w:tcPr>
          <w:p w:rsidR="004F5A5F" w:rsidRPr="000764AC" w:rsidRDefault="004F5A5F" w:rsidP="00294ADE">
            <w:pPr>
              <w:jc w:val="center"/>
              <w:cnfStyle w:val="000000000000" w:firstRow="0" w:lastRow="0" w:firstColumn="0" w:lastColumn="0" w:oddVBand="0" w:evenVBand="0" w:oddHBand="0" w:evenHBand="0" w:firstRowFirstColumn="0" w:firstRowLastColumn="0" w:lastRowFirstColumn="0" w:lastRowLastColumn="0"/>
              <w:rPr>
                <w:sz w:val="20"/>
                <w:szCs w:val="20"/>
              </w:rPr>
            </w:pPr>
            <w:r w:rsidRPr="000764AC">
              <w:rPr>
                <w:sz w:val="20"/>
                <w:szCs w:val="20"/>
              </w:rPr>
              <w:t>13.15877</w:t>
            </w:r>
          </w:p>
        </w:tc>
        <w:tc>
          <w:tcPr>
            <w:tcW w:w="1295" w:type="dxa"/>
            <w:tcBorders>
              <w:bottom w:val="thickThinSmallGap" w:sz="12" w:space="0" w:color="7F7F7F" w:themeColor="text1" w:themeTint="80"/>
            </w:tcBorders>
          </w:tcPr>
          <w:p w:rsidR="004F5A5F" w:rsidRPr="000764AC" w:rsidRDefault="004F5A5F" w:rsidP="00294ADE">
            <w:pPr>
              <w:jc w:val="center"/>
              <w:cnfStyle w:val="000000000000" w:firstRow="0" w:lastRow="0" w:firstColumn="0" w:lastColumn="0" w:oddVBand="0" w:evenVBand="0" w:oddHBand="0" w:evenHBand="0" w:firstRowFirstColumn="0" w:firstRowLastColumn="0" w:lastRowFirstColumn="0" w:lastRowLastColumn="0"/>
              <w:rPr>
                <w:sz w:val="20"/>
                <w:szCs w:val="20"/>
              </w:rPr>
            </w:pPr>
            <w:r w:rsidRPr="000764AC">
              <w:rPr>
                <w:sz w:val="20"/>
                <w:szCs w:val="20"/>
              </w:rPr>
              <w:t xml:space="preserve">-2.20   </w:t>
            </w:r>
          </w:p>
        </w:tc>
        <w:tc>
          <w:tcPr>
            <w:tcW w:w="1295" w:type="dxa"/>
            <w:tcBorders>
              <w:bottom w:val="thickThinSmallGap" w:sz="12" w:space="0" w:color="7F7F7F" w:themeColor="text1" w:themeTint="80"/>
            </w:tcBorders>
          </w:tcPr>
          <w:p w:rsidR="004F5A5F" w:rsidRPr="000764AC" w:rsidRDefault="004F5A5F" w:rsidP="00294ADE">
            <w:pPr>
              <w:jc w:val="center"/>
              <w:cnfStyle w:val="000000000000" w:firstRow="0" w:lastRow="0" w:firstColumn="0" w:lastColumn="0" w:oddVBand="0" w:evenVBand="0" w:oddHBand="0" w:evenHBand="0" w:firstRowFirstColumn="0" w:firstRowLastColumn="0" w:lastRowFirstColumn="0" w:lastRowLastColumn="0"/>
              <w:rPr>
                <w:sz w:val="20"/>
                <w:szCs w:val="20"/>
              </w:rPr>
            </w:pPr>
            <w:r w:rsidRPr="000764AC">
              <w:rPr>
                <w:bCs/>
                <w:sz w:val="20"/>
                <w:szCs w:val="20"/>
              </w:rPr>
              <w:t>0.028</w:t>
            </w:r>
            <w:r w:rsidRPr="000764AC">
              <w:rPr>
                <w:color w:val="000000"/>
                <w:sz w:val="20"/>
                <w:szCs w:val="20"/>
              </w:rPr>
              <w:t>*</w:t>
            </w:r>
          </w:p>
        </w:tc>
        <w:tc>
          <w:tcPr>
            <w:tcW w:w="1295" w:type="dxa"/>
            <w:tcBorders>
              <w:bottom w:val="thickThinSmallGap" w:sz="12" w:space="0" w:color="7F7F7F" w:themeColor="text1" w:themeTint="80"/>
            </w:tcBorders>
          </w:tcPr>
          <w:p w:rsidR="004F5A5F" w:rsidRPr="000764AC" w:rsidRDefault="004F5A5F" w:rsidP="00294ADE">
            <w:pPr>
              <w:jc w:val="center"/>
              <w:cnfStyle w:val="000000000000" w:firstRow="0" w:lastRow="0" w:firstColumn="0" w:lastColumn="0" w:oddVBand="0" w:evenVBand="0" w:oddHBand="0" w:evenHBand="0" w:firstRowFirstColumn="0" w:firstRowLastColumn="0" w:lastRowFirstColumn="0" w:lastRowLastColumn="0"/>
              <w:rPr>
                <w:sz w:val="20"/>
                <w:szCs w:val="20"/>
              </w:rPr>
            </w:pPr>
            <w:r w:rsidRPr="000764AC">
              <w:rPr>
                <w:sz w:val="20"/>
                <w:szCs w:val="20"/>
              </w:rPr>
              <w:t xml:space="preserve">-54.70174   </w:t>
            </w:r>
          </w:p>
        </w:tc>
        <w:tc>
          <w:tcPr>
            <w:tcW w:w="1295" w:type="dxa"/>
            <w:tcBorders>
              <w:bottom w:val="thickThinSmallGap" w:sz="12" w:space="0" w:color="7F7F7F" w:themeColor="text1" w:themeTint="80"/>
            </w:tcBorders>
          </w:tcPr>
          <w:p w:rsidR="004F5A5F" w:rsidRPr="000764AC" w:rsidRDefault="004F5A5F" w:rsidP="00294ADE">
            <w:pPr>
              <w:jc w:val="center"/>
              <w:cnfStyle w:val="000000000000" w:firstRow="0" w:lastRow="0" w:firstColumn="0" w:lastColumn="0" w:oddVBand="0" w:evenVBand="0" w:oddHBand="0" w:evenHBand="0" w:firstRowFirstColumn="0" w:firstRowLastColumn="0" w:lastRowFirstColumn="0" w:lastRowLastColumn="0"/>
              <w:rPr>
                <w:sz w:val="20"/>
                <w:szCs w:val="20"/>
              </w:rPr>
            </w:pPr>
            <w:r w:rsidRPr="000764AC">
              <w:rPr>
                <w:sz w:val="20"/>
                <w:szCs w:val="20"/>
              </w:rPr>
              <w:t>-3.120312</w:t>
            </w:r>
          </w:p>
        </w:tc>
      </w:tr>
    </w:tbl>
    <w:p w:rsidR="004F5A5F" w:rsidRPr="000764AC" w:rsidRDefault="00F46BD8" w:rsidP="004F5A5F">
      <w:pPr>
        <w:rPr>
          <w:sz w:val="16"/>
          <w:szCs w:val="16"/>
        </w:rPr>
      </w:pPr>
      <w:r>
        <w:rPr>
          <w:sz w:val="16"/>
          <w:szCs w:val="16"/>
        </w:rPr>
        <w:t xml:space="preserve">Note : </w:t>
      </w:r>
      <w:r w:rsidR="004F5A5F" w:rsidRPr="000764AC">
        <w:rPr>
          <w:sz w:val="16"/>
          <w:szCs w:val="16"/>
        </w:rPr>
        <w:t>Root Mea</w:t>
      </w:r>
      <w:r>
        <w:rPr>
          <w:sz w:val="16"/>
          <w:szCs w:val="16"/>
        </w:rPr>
        <w:t>n Squared Error (sigma): 0.3403</w:t>
      </w:r>
    </w:p>
    <w:p w:rsidR="004F5A5F" w:rsidRPr="000764AC" w:rsidRDefault="00F46BD8" w:rsidP="000D6D1B">
      <w:pPr>
        <w:spacing w:before="60" w:after="60"/>
        <w:jc w:val="center"/>
        <w:rPr>
          <w:b/>
          <w:lang w:bidi="en-US"/>
        </w:rPr>
      </w:pPr>
      <w:r>
        <w:rPr>
          <w:b/>
          <w:lang w:bidi="en-US"/>
        </w:rPr>
        <w:t>Table 8</w:t>
      </w:r>
      <w:r w:rsidR="004F5A5F" w:rsidRPr="000764AC">
        <w:rPr>
          <w:b/>
          <w:lang w:bidi="en-US"/>
        </w:rPr>
        <w:t>. Pesaran &amp; Smith Mean Group Estimator</w:t>
      </w:r>
    </w:p>
    <w:tbl>
      <w:tblPr>
        <w:tblStyle w:val="TabloKlavuzu"/>
        <w:tblW w:w="8931" w:type="dxa"/>
        <w:tblInd w:w="-5" w:type="dxa"/>
        <w:tblBorders>
          <w:top w:val="thinThickSmallGap" w:sz="12" w:space="0" w:color="767171" w:themeColor="background2" w:themeShade="80"/>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3969"/>
      </w:tblGrid>
      <w:tr w:rsidR="004F5A5F" w:rsidRPr="000764AC" w:rsidTr="00294ADE">
        <w:trPr>
          <w:trHeight w:val="891"/>
        </w:trPr>
        <w:tc>
          <w:tcPr>
            <w:tcW w:w="4962" w:type="dxa"/>
          </w:tcPr>
          <w:tbl>
            <w:tblPr>
              <w:tblStyle w:val="TabloKlavuzu"/>
              <w:tblpPr w:leftFromText="141" w:rightFromText="141" w:vertAnchor="page" w:horzAnchor="margin" w:tblpY="1"/>
              <w:tblOverlap w:val="never"/>
              <w:tblW w:w="3096"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697"/>
              <w:gridCol w:w="1399"/>
            </w:tblGrid>
            <w:tr w:rsidR="004F5A5F" w:rsidRPr="000764AC" w:rsidTr="00294ADE">
              <w:trPr>
                <w:trHeight w:val="249"/>
              </w:trPr>
              <w:tc>
                <w:tcPr>
                  <w:tcW w:w="1697" w:type="dxa"/>
                </w:tcPr>
                <w:p w:rsidR="004F5A5F" w:rsidRPr="000764AC" w:rsidRDefault="004F5A5F" w:rsidP="00294ADE">
                  <w:pPr>
                    <w:pStyle w:val="ListeParagraf"/>
                    <w:spacing w:after="0" w:line="240" w:lineRule="auto"/>
                    <w:ind w:left="0"/>
                    <w:rPr>
                      <w:rFonts w:ascii="Times New Roman" w:hAnsi="Times New Roman" w:cs="Times New Roman"/>
                      <w:color w:val="000000"/>
                      <w:sz w:val="20"/>
                      <w:szCs w:val="20"/>
                    </w:rPr>
                  </w:pPr>
                  <w:r w:rsidRPr="000764AC">
                    <w:rPr>
                      <w:rFonts w:ascii="Times New Roman" w:hAnsi="Times New Roman" w:cs="Times New Roman"/>
                      <w:color w:val="000000"/>
                      <w:sz w:val="20"/>
                      <w:szCs w:val="20"/>
                    </w:rPr>
                    <w:t>Obs per group</w:t>
                  </w:r>
                  <w:r w:rsidRPr="000764AC">
                    <w:rPr>
                      <w:rFonts w:ascii="Times New Roman" w:hAnsi="Times New Roman" w:cs="Times New Roman"/>
                      <w:color w:val="FFFFFF" w:themeColor="background1"/>
                      <w:sz w:val="20"/>
                      <w:szCs w:val="20"/>
                    </w:rPr>
                    <w:t>”</w:t>
                  </w:r>
                  <w:r w:rsidRPr="000764AC">
                    <w:rPr>
                      <w:rFonts w:ascii="Times New Roman" w:hAnsi="Times New Roman" w:cs="Times New Roman"/>
                      <w:color w:val="000000"/>
                      <w:sz w:val="20"/>
                      <w:szCs w:val="20"/>
                    </w:rPr>
                    <w:t xml:space="preserve">        </w:t>
                  </w:r>
                </w:p>
              </w:tc>
              <w:tc>
                <w:tcPr>
                  <w:tcW w:w="1399" w:type="dxa"/>
                </w:tcPr>
                <w:p w:rsidR="004F5A5F" w:rsidRPr="000764AC" w:rsidRDefault="004F5A5F" w:rsidP="00294ADE">
                  <w:pPr>
                    <w:pStyle w:val="ListeParagraf"/>
                    <w:spacing w:after="0" w:line="240" w:lineRule="auto"/>
                    <w:ind w:left="0"/>
                    <w:rPr>
                      <w:rFonts w:ascii="Times New Roman" w:hAnsi="Times New Roman" w:cs="Times New Roman"/>
                      <w:color w:val="000000"/>
                      <w:sz w:val="20"/>
                      <w:szCs w:val="20"/>
                    </w:rPr>
                  </w:pPr>
                  <w:r w:rsidRPr="000764AC">
                    <w:rPr>
                      <w:rFonts w:ascii="Times New Roman" w:hAnsi="Times New Roman" w:cs="Times New Roman"/>
                      <w:color w:val="000000"/>
                      <w:sz w:val="20"/>
                      <w:szCs w:val="20"/>
                    </w:rPr>
                    <w:t xml:space="preserve">= </w:t>
                  </w:r>
                  <w:r w:rsidRPr="000764AC">
                    <w:rPr>
                      <w:rFonts w:ascii="Times New Roman" w:hAnsi="Times New Roman" w:cs="Times New Roman"/>
                      <w:bCs/>
                      <w:sz w:val="20"/>
                      <w:szCs w:val="20"/>
                    </w:rPr>
                    <w:t>21</w:t>
                  </w:r>
                </w:p>
              </w:tc>
            </w:tr>
            <w:tr w:rsidR="004F5A5F" w:rsidRPr="000764AC" w:rsidTr="00294ADE">
              <w:trPr>
                <w:trHeight w:val="249"/>
              </w:trPr>
              <w:tc>
                <w:tcPr>
                  <w:tcW w:w="1697" w:type="dxa"/>
                </w:tcPr>
                <w:p w:rsidR="004F5A5F" w:rsidRPr="000764AC" w:rsidRDefault="004F5A5F" w:rsidP="00294ADE">
                  <w:pPr>
                    <w:pStyle w:val="ListeParagraf"/>
                    <w:spacing w:after="0" w:line="240" w:lineRule="auto"/>
                    <w:ind w:left="0"/>
                    <w:rPr>
                      <w:rFonts w:ascii="Times New Roman" w:hAnsi="Times New Roman" w:cs="Times New Roman"/>
                      <w:color w:val="000000"/>
                      <w:sz w:val="20"/>
                      <w:szCs w:val="20"/>
                    </w:rPr>
                  </w:pPr>
                  <w:r w:rsidRPr="000764AC">
                    <w:rPr>
                      <w:rFonts w:ascii="Times New Roman" w:hAnsi="Times New Roman" w:cs="Times New Roman"/>
                      <w:sz w:val="20"/>
                      <w:szCs w:val="20"/>
                    </w:rPr>
                    <w:t xml:space="preserve">min/avg/ max     </w:t>
                  </w:r>
                </w:p>
              </w:tc>
              <w:tc>
                <w:tcPr>
                  <w:tcW w:w="1399" w:type="dxa"/>
                </w:tcPr>
                <w:p w:rsidR="004F5A5F" w:rsidRPr="000764AC" w:rsidRDefault="004F5A5F" w:rsidP="00294ADE">
                  <w:pPr>
                    <w:pStyle w:val="ListeParagraf"/>
                    <w:spacing w:after="0" w:line="240" w:lineRule="auto"/>
                    <w:ind w:left="0"/>
                    <w:rPr>
                      <w:rFonts w:ascii="Times New Roman" w:hAnsi="Times New Roman" w:cs="Times New Roman"/>
                      <w:color w:val="000000"/>
                      <w:sz w:val="20"/>
                      <w:szCs w:val="20"/>
                    </w:rPr>
                  </w:pPr>
                  <w:r w:rsidRPr="000764AC">
                    <w:rPr>
                      <w:rFonts w:ascii="Times New Roman" w:hAnsi="Times New Roman" w:cs="Times New Roman"/>
                      <w:color w:val="000000"/>
                      <w:sz w:val="20"/>
                      <w:szCs w:val="20"/>
                    </w:rPr>
                    <w:t xml:space="preserve">= </w:t>
                  </w:r>
                  <w:r w:rsidRPr="000764AC">
                    <w:rPr>
                      <w:rFonts w:ascii="Times New Roman" w:hAnsi="Times New Roman" w:cs="Times New Roman"/>
                      <w:sz w:val="20"/>
                      <w:szCs w:val="20"/>
                    </w:rPr>
                    <w:t>23/23/23</w:t>
                  </w:r>
                </w:p>
              </w:tc>
            </w:tr>
            <w:tr w:rsidR="004F5A5F" w:rsidRPr="000764AC" w:rsidTr="00294ADE">
              <w:trPr>
                <w:trHeight w:val="258"/>
              </w:trPr>
              <w:tc>
                <w:tcPr>
                  <w:tcW w:w="1697" w:type="dxa"/>
                </w:tcPr>
                <w:p w:rsidR="004F5A5F" w:rsidRPr="000764AC" w:rsidRDefault="004F5A5F" w:rsidP="00294ADE">
                  <w:pPr>
                    <w:pStyle w:val="ListeParagraf"/>
                    <w:spacing w:after="0" w:line="240" w:lineRule="auto"/>
                    <w:ind w:left="0"/>
                    <w:rPr>
                      <w:rFonts w:ascii="Times New Roman" w:hAnsi="Times New Roman" w:cs="Times New Roman"/>
                      <w:color w:val="000000"/>
                      <w:sz w:val="20"/>
                      <w:szCs w:val="20"/>
                    </w:rPr>
                  </w:pPr>
                  <w:r w:rsidRPr="000764AC">
                    <w:rPr>
                      <w:rFonts w:ascii="Times New Roman" w:hAnsi="Times New Roman" w:cs="Times New Roman"/>
                      <w:color w:val="000000"/>
                      <w:sz w:val="20"/>
                      <w:szCs w:val="20"/>
                    </w:rPr>
                    <w:t>Number of obs</w:t>
                  </w:r>
                  <w:r w:rsidRPr="000764AC">
                    <w:rPr>
                      <w:rFonts w:ascii="Times New Roman" w:hAnsi="Times New Roman" w:cs="Times New Roman"/>
                      <w:color w:val="FFFFFF" w:themeColor="background1"/>
                      <w:sz w:val="20"/>
                      <w:szCs w:val="20"/>
                    </w:rPr>
                    <w:t>”</w:t>
                  </w:r>
                  <w:r w:rsidRPr="000764AC">
                    <w:rPr>
                      <w:rFonts w:ascii="Times New Roman" w:hAnsi="Times New Roman" w:cs="Times New Roman"/>
                      <w:color w:val="000000"/>
                      <w:sz w:val="20"/>
                      <w:szCs w:val="20"/>
                    </w:rPr>
                    <w:t xml:space="preserve">        </w:t>
                  </w:r>
                </w:p>
              </w:tc>
              <w:tc>
                <w:tcPr>
                  <w:tcW w:w="1399" w:type="dxa"/>
                </w:tcPr>
                <w:p w:rsidR="004F5A5F" w:rsidRPr="000764AC" w:rsidRDefault="004F5A5F" w:rsidP="00294ADE">
                  <w:pPr>
                    <w:pStyle w:val="ListeParagraf"/>
                    <w:spacing w:after="0" w:line="240" w:lineRule="auto"/>
                    <w:ind w:left="0"/>
                    <w:rPr>
                      <w:rFonts w:ascii="Times New Roman" w:hAnsi="Times New Roman" w:cs="Times New Roman"/>
                      <w:color w:val="000000"/>
                      <w:sz w:val="20"/>
                      <w:szCs w:val="20"/>
                    </w:rPr>
                  </w:pPr>
                  <w:r w:rsidRPr="000764AC">
                    <w:rPr>
                      <w:rFonts w:ascii="Times New Roman" w:hAnsi="Times New Roman" w:cs="Times New Roman"/>
                      <w:color w:val="000000"/>
                      <w:sz w:val="20"/>
                      <w:szCs w:val="20"/>
                    </w:rPr>
                    <w:t xml:space="preserve">= </w:t>
                  </w:r>
                  <w:r w:rsidRPr="000764AC">
                    <w:rPr>
                      <w:rFonts w:ascii="Times New Roman" w:hAnsi="Times New Roman" w:cs="Times New Roman"/>
                      <w:bCs/>
                      <w:sz w:val="20"/>
                      <w:szCs w:val="20"/>
                    </w:rPr>
                    <w:t>483</w:t>
                  </w:r>
                </w:p>
              </w:tc>
            </w:tr>
          </w:tbl>
          <w:p w:rsidR="004F5A5F" w:rsidRPr="000764AC" w:rsidRDefault="004F5A5F" w:rsidP="00294ADE">
            <w:pPr>
              <w:pStyle w:val="ListeParagraf"/>
              <w:spacing w:after="0" w:line="240" w:lineRule="auto"/>
              <w:ind w:left="0"/>
              <w:rPr>
                <w:rFonts w:ascii="Times New Roman" w:hAnsi="Times New Roman" w:cs="Times New Roman"/>
                <w:b/>
                <w:color w:val="000000"/>
                <w:sz w:val="20"/>
                <w:szCs w:val="20"/>
              </w:rPr>
            </w:pPr>
          </w:p>
        </w:tc>
        <w:tc>
          <w:tcPr>
            <w:tcW w:w="3969" w:type="dxa"/>
          </w:tcPr>
          <w:tbl>
            <w:tblPr>
              <w:tblStyle w:val="TabloKlavuzu"/>
              <w:tblpPr w:leftFromText="141" w:rightFromText="141" w:vertAnchor="page" w:horzAnchor="margin" w:tblpXSpec="center" w:tblpY="1"/>
              <w:tblOverlap w:val="never"/>
              <w:tblW w:w="3096"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697"/>
              <w:gridCol w:w="1399"/>
            </w:tblGrid>
            <w:tr w:rsidR="004F5A5F" w:rsidRPr="000764AC" w:rsidTr="00294ADE">
              <w:trPr>
                <w:trHeight w:val="249"/>
              </w:trPr>
              <w:tc>
                <w:tcPr>
                  <w:tcW w:w="1697" w:type="dxa"/>
                </w:tcPr>
                <w:p w:rsidR="004F5A5F" w:rsidRPr="000764AC" w:rsidRDefault="004F5A5F" w:rsidP="00294ADE">
                  <w:pPr>
                    <w:pStyle w:val="ListeParagraf"/>
                    <w:spacing w:after="0" w:line="240" w:lineRule="auto"/>
                    <w:ind w:left="0"/>
                    <w:rPr>
                      <w:rFonts w:ascii="Times New Roman" w:hAnsi="Times New Roman" w:cs="Times New Roman"/>
                      <w:color w:val="000000"/>
                      <w:sz w:val="20"/>
                      <w:szCs w:val="20"/>
                    </w:rPr>
                  </w:pPr>
                </w:p>
              </w:tc>
              <w:tc>
                <w:tcPr>
                  <w:tcW w:w="1399" w:type="dxa"/>
                </w:tcPr>
                <w:p w:rsidR="004F5A5F" w:rsidRPr="000764AC" w:rsidRDefault="004F5A5F" w:rsidP="00294ADE">
                  <w:pPr>
                    <w:pStyle w:val="ListeParagraf"/>
                    <w:spacing w:after="0" w:line="240" w:lineRule="auto"/>
                    <w:ind w:left="0"/>
                    <w:rPr>
                      <w:rFonts w:ascii="Times New Roman" w:hAnsi="Times New Roman" w:cs="Times New Roman"/>
                      <w:color w:val="000000"/>
                      <w:sz w:val="20"/>
                      <w:szCs w:val="20"/>
                    </w:rPr>
                  </w:pPr>
                </w:p>
              </w:tc>
            </w:tr>
            <w:tr w:rsidR="004F5A5F" w:rsidRPr="000764AC" w:rsidTr="00294ADE">
              <w:trPr>
                <w:trHeight w:val="249"/>
              </w:trPr>
              <w:tc>
                <w:tcPr>
                  <w:tcW w:w="1697" w:type="dxa"/>
                </w:tcPr>
                <w:p w:rsidR="004F5A5F" w:rsidRPr="000D6D1B" w:rsidRDefault="004F5A5F" w:rsidP="00294ADE">
                  <w:pPr>
                    <w:pStyle w:val="ListeParagraf"/>
                    <w:spacing w:after="0" w:line="240" w:lineRule="auto"/>
                    <w:ind w:left="0"/>
                    <w:rPr>
                      <w:rFonts w:ascii="Times New Roman" w:hAnsi="Times New Roman" w:cs="Times New Roman"/>
                      <w:color w:val="000000"/>
                      <w:sz w:val="20"/>
                      <w:szCs w:val="20"/>
                    </w:rPr>
                  </w:pPr>
                  <w:r w:rsidRPr="000D6D1B">
                    <w:rPr>
                      <w:rFonts w:ascii="Times New Roman" w:hAnsi="Times New Roman" w:cs="Times New Roman"/>
                      <w:sz w:val="20"/>
                      <w:szCs w:val="20"/>
                    </w:rPr>
                    <w:t xml:space="preserve">Wald </w:t>
                  </w:r>
                  <w:r w:rsidRPr="000D6D1B">
                    <w:rPr>
                      <w:rFonts w:ascii="Times New Roman" w:hAnsi="Times New Roman" w:cs="Times New Roman"/>
                      <w:bCs/>
                      <w:color w:val="333333"/>
                      <w:sz w:val="20"/>
                      <w:szCs w:val="20"/>
                      <w:lang w:val="en"/>
                    </w:rPr>
                    <w:t>χ2</w:t>
                  </w:r>
                  <w:r w:rsidRPr="000D6D1B">
                    <w:rPr>
                      <w:rFonts w:ascii="Times New Roman" w:hAnsi="Times New Roman" w:cs="Times New Roman"/>
                      <w:sz w:val="20"/>
                      <w:szCs w:val="20"/>
                    </w:rPr>
                    <w:t xml:space="preserve">     </w:t>
                  </w:r>
                </w:p>
              </w:tc>
              <w:tc>
                <w:tcPr>
                  <w:tcW w:w="1399" w:type="dxa"/>
                </w:tcPr>
                <w:p w:rsidR="004F5A5F" w:rsidRPr="000D6D1B" w:rsidRDefault="004F5A5F" w:rsidP="00294ADE">
                  <w:pPr>
                    <w:pStyle w:val="ListeParagraf"/>
                    <w:spacing w:after="0" w:line="240" w:lineRule="auto"/>
                    <w:ind w:left="0"/>
                    <w:rPr>
                      <w:rFonts w:ascii="Times New Roman" w:hAnsi="Times New Roman" w:cs="Times New Roman"/>
                      <w:color w:val="000000"/>
                      <w:sz w:val="20"/>
                      <w:szCs w:val="20"/>
                    </w:rPr>
                  </w:pPr>
                  <w:r w:rsidRPr="000D6D1B">
                    <w:rPr>
                      <w:rFonts w:ascii="Times New Roman" w:hAnsi="Times New Roman" w:cs="Times New Roman"/>
                      <w:color w:val="000000"/>
                      <w:sz w:val="20"/>
                      <w:szCs w:val="20"/>
                    </w:rPr>
                    <w:t xml:space="preserve">= </w:t>
                  </w:r>
                  <w:r w:rsidRPr="000D6D1B">
                    <w:rPr>
                      <w:rFonts w:ascii="Times New Roman" w:hAnsi="Times New Roman" w:cs="Times New Roman"/>
                      <w:sz w:val="20"/>
                      <w:szCs w:val="20"/>
                    </w:rPr>
                    <w:t>76.15</w:t>
                  </w:r>
                </w:p>
              </w:tc>
            </w:tr>
            <w:tr w:rsidR="004F5A5F" w:rsidRPr="000764AC" w:rsidTr="00294ADE">
              <w:trPr>
                <w:trHeight w:val="258"/>
              </w:trPr>
              <w:tc>
                <w:tcPr>
                  <w:tcW w:w="1697" w:type="dxa"/>
                </w:tcPr>
                <w:p w:rsidR="004F5A5F" w:rsidRPr="000D6D1B" w:rsidRDefault="004F5A5F" w:rsidP="00294ADE">
                  <w:pPr>
                    <w:pStyle w:val="ListeParagraf"/>
                    <w:spacing w:after="0" w:line="240" w:lineRule="auto"/>
                    <w:ind w:left="0"/>
                    <w:rPr>
                      <w:rFonts w:ascii="Times New Roman" w:hAnsi="Times New Roman" w:cs="Times New Roman"/>
                      <w:color w:val="000000"/>
                      <w:sz w:val="20"/>
                      <w:szCs w:val="20"/>
                    </w:rPr>
                  </w:pPr>
                  <w:r w:rsidRPr="000D6D1B">
                    <w:rPr>
                      <w:rFonts w:ascii="Times New Roman" w:hAnsi="Times New Roman" w:cs="Times New Roman"/>
                      <w:sz w:val="20"/>
                      <w:szCs w:val="20"/>
                    </w:rPr>
                    <w:t xml:space="preserve">Prob &gt; </w:t>
                  </w:r>
                  <w:r w:rsidRPr="000D6D1B">
                    <w:rPr>
                      <w:rFonts w:ascii="Times New Roman" w:hAnsi="Times New Roman" w:cs="Times New Roman"/>
                      <w:bCs/>
                      <w:color w:val="333333"/>
                      <w:sz w:val="20"/>
                      <w:szCs w:val="20"/>
                      <w:lang w:val="en"/>
                    </w:rPr>
                    <w:t>χ2</w:t>
                  </w:r>
                  <w:r w:rsidRPr="000D6D1B">
                    <w:rPr>
                      <w:rFonts w:ascii="Times New Roman" w:hAnsi="Times New Roman" w:cs="Times New Roman"/>
                      <w:sz w:val="20"/>
                      <w:szCs w:val="20"/>
                    </w:rPr>
                    <w:t xml:space="preserve">     </w:t>
                  </w:r>
                </w:p>
              </w:tc>
              <w:tc>
                <w:tcPr>
                  <w:tcW w:w="1399" w:type="dxa"/>
                </w:tcPr>
                <w:p w:rsidR="004F5A5F" w:rsidRPr="000D6D1B" w:rsidRDefault="004F5A5F" w:rsidP="00294ADE">
                  <w:pPr>
                    <w:pStyle w:val="ListeParagraf"/>
                    <w:spacing w:after="0" w:line="240" w:lineRule="auto"/>
                    <w:ind w:left="0"/>
                    <w:rPr>
                      <w:rFonts w:ascii="Times New Roman" w:hAnsi="Times New Roman" w:cs="Times New Roman"/>
                      <w:color w:val="000000"/>
                      <w:sz w:val="20"/>
                      <w:szCs w:val="20"/>
                    </w:rPr>
                  </w:pPr>
                  <w:r w:rsidRPr="000D6D1B">
                    <w:rPr>
                      <w:rFonts w:ascii="Times New Roman" w:hAnsi="Times New Roman" w:cs="Times New Roman"/>
                      <w:color w:val="000000"/>
                      <w:sz w:val="20"/>
                      <w:szCs w:val="20"/>
                    </w:rPr>
                    <w:t xml:space="preserve">= </w:t>
                  </w:r>
                  <w:r w:rsidRPr="000D6D1B">
                    <w:rPr>
                      <w:rFonts w:ascii="Times New Roman" w:hAnsi="Times New Roman" w:cs="Times New Roman"/>
                      <w:sz w:val="20"/>
                      <w:szCs w:val="20"/>
                    </w:rPr>
                    <w:t>0.0000</w:t>
                  </w:r>
                </w:p>
              </w:tc>
            </w:tr>
          </w:tbl>
          <w:p w:rsidR="004F5A5F" w:rsidRPr="000764AC" w:rsidRDefault="004F5A5F" w:rsidP="00294ADE">
            <w:pPr>
              <w:rPr>
                <w:b/>
                <w:color w:val="000000"/>
                <w:sz w:val="20"/>
                <w:szCs w:val="20"/>
              </w:rPr>
            </w:pPr>
          </w:p>
        </w:tc>
      </w:tr>
    </w:tbl>
    <w:tbl>
      <w:tblPr>
        <w:tblStyle w:val="DzTablo21"/>
        <w:tblW w:w="0" w:type="auto"/>
        <w:tblLook w:val="04A0" w:firstRow="1" w:lastRow="0" w:firstColumn="1" w:lastColumn="0" w:noHBand="0" w:noVBand="1"/>
      </w:tblPr>
      <w:tblGrid>
        <w:gridCol w:w="1179"/>
        <w:gridCol w:w="1233"/>
        <w:gridCol w:w="1242"/>
        <w:gridCol w:w="1178"/>
        <w:gridCol w:w="1204"/>
        <w:gridCol w:w="1234"/>
        <w:gridCol w:w="1234"/>
      </w:tblGrid>
      <w:tr w:rsidR="004F5A5F" w:rsidRPr="000764AC" w:rsidTr="00294ADE">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294" w:type="dxa"/>
            <w:tcBorders>
              <w:top w:val="thinThickSmallGap" w:sz="12" w:space="0" w:color="7F7F7F" w:themeColor="text1" w:themeTint="80"/>
              <w:bottom w:val="thickThinSmallGap" w:sz="12" w:space="0" w:color="7F7F7F" w:themeColor="text1" w:themeTint="80"/>
              <w:right w:val="single" w:sz="4" w:space="0" w:color="auto"/>
            </w:tcBorders>
          </w:tcPr>
          <w:p w:rsidR="004F5A5F" w:rsidRPr="000764AC" w:rsidRDefault="001311C7" w:rsidP="00294ADE">
            <w:pPr>
              <w:jc w:val="center"/>
              <w:rPr>
                <w:sz w:val="20"/>
                <w:szCs w:val="20"/>
              </w:rPr>
            </w:pPr>
            <w:r>
              <w:rPr>
                <w:sz w:val="20"/>
                <w:szCs w:val="20"/>
              </w:rPr>
              <w:t>EG</w:t>
            </w:r>
          </w:p>
        </w:tc>
        <w:tc>
          <w:tcPr>
            <w:tcW w:w="1294" w:type="dxa"/>
            <w:tcBorders>
              <w:top w:val="thinThickSmallGap" w:sz="12" w:space="0" w:color="7F7F7F" w:themeColor="text1" w:themeTint="80"/>
              <w:left w:val="single" w:sz="4" w:space="0" w:color="auto"/>
              <w:bottom w:val="thickThinSmallGap" w:sz="12" w:space="0" w:color="7F7F7F" w:themeColor="text1" w:themeTint="80"/>
            </w:tcBorders>
          </w:tcPr>
          <w:p w:rsidR="004F5A5F" w:rsidRPr="000764AC" w:rsidRDefault="004F5A5F" w:rsidP="00294ADE">
            <w:pPr>
              <w:jc w:val="center"/>
              <w:cnfStyle w:val="100000000000" w:firstRow="1" w:lastRow="0" w:firstColumn="0" w:lastColumn="0" w:oddVBand="0" w:evenVBand="0" w:oddHBand="0" w:evenHBand="0" w:firstRowFirstColumn="0" w:firstRowLastColumn="0" w:lastRowFirstColumn="0" w:lastRowLastColumn="0"/>
              <w:rPr>
                <w:sz w:val="20"/>
                <w:szCs w:val="20"/>
              </w:rPr>
            </w:pPr>
            <w:r w:rsidRPr="000764AC">
              <w:rPr>
                <w:color w:val="FFFFFF" w:themeColor="background1"/>
                <w:sz w:val="20"/>
                <w:szCs w:val="20"/>
              </w:rPr>
              <w:t>“</w:t>
            </w:r>
            <w:r w:rsidRPr="000764AC">
              <w:rPr>
                <w:sz w:val="20"/>
                <w:szCs w:val="20"/>
              </w:rPr>
              <w:t>Coef.</w:t>
            </w:r>
            <w:r w:rsidRPr="000764AC">
              <w:rPr>
                <w:color w:val="FFFFFF" w:themeColor="background1"/>
                <w:sz w:val="20"/>
                <w:szCs w:val="20"/>
              </w:rPr>
              <w:t xml:space="preserve"> ”</w:t>
            </w:r>
          </w:p>
        </w:tc>
        <w:tc>
          <w:tcPr>
            <w:tcW w:w="1294" w:type="dxa"/>
            <w:tcBorders>
              <w:top w:val="thinThickSmallGap" w:sz="12" w:space="0" w:color="7F7F7F" w:themeColor="text1" w:themeTint="80"/>
              <w:bottom w:val="thickThinSmallGap" w:sz="12" w:space="0" w:color="7F7F7F" w:themeColor="text1" w:themeTint="80"/>
            </w:tcBorders>
          </w:tcPr>
          <w:p w:rsidR="004F5A5F" w:rsidRPr="000764AC" w:rsidRDefault="004F5A5F" w:rsidP="00294ADE">
            <w:pPr>
              <w:jc w:val="center"/>
              <w:cnfStyle w:val="100000000000" w:firstRow="1" w:lastRow="0" w:firstColumn="0" w:lastColumn="0" w:oddVBand="0" w:evenVBand="0" w:oddHBand="0" w:evenHBand="0" w:firstRowFirstColumn="0" w:firstRowLastColumn="0" w:lastRowFirstColumn="0" w:lastRowLastColumn="0"/>
              <w:rPr>
                <w:sz w:val="20"/>
                <w:szCs w:val="20"/>
              </w:rPr>
            </w:pPr>
            <w:r w:rsidRPr="000764AC">
              <w:rPr>
                <w:color w:val="FFFFFF" w:themeColor="background1"/>
                <w:sz w:val="20"/>
                <w:szCs w:val="20"/>
              </w:rPr>
              <w:t>“</w:t>
            </w:r>
            <w:r w:rsidRPr="000764AC">
              <w:rPr>
                <w:sz w:val="20"/>
                <w:szCs w:val="20"/>
              </w:rPr>
              <w:t>Std.Err.</w:t>
            </w:r>
            <w:r w:rsidRPr="000764AC">
              <w:rPr>
                <w:color w:val="FFFFFF" w:themeColor="background1"/>
                <w:sz w:val="20"/>
                <w:szCs w:val="20"/>
              </w:rPr>
              <w:t xml:space="preserve"> ”</w:t>
            </w:r>
          </w:p>
        </w:tc>
        <w:tc>
          <w:tcPr>
            <w:tcW w:w="1295" w:type="dxa"/>
            <w:tcBorders>
              <w:top w:val="thinThickSmallGap" w:sz="12" w:space="0" w:color="7F7F7F" w:themeColor="text1" w:themeTint="80"/>
              <w:bottom w:val="thickThinSmallGap" w:sz="12" w:space="0" w:color="7F7F7F" w:themeColor="text1" w:themeTint="80"/>
            </w:tcBorders>
          </w:tcPr>
          <w:p w:rsidR="004F5A5F" w:rsidRPr="000764AC" w:rsidRDefault="004F5A5F" w:rsidP="00294ADE">
            <w:pPr>
              <w:jc w:val="center"/>
              <w:cnfStyle w:val="100000000000" w:firstRow="1" w:lastRow="0" w:firstColumn="0" w:lastColumn="0" w:oddVBand="0" w:evenVBand="0" w:oddHBand="0" w:evenHBand="0" w:firstRowFirstColumn="0" w:firstRowLastColumn="0" w:lastRowFirstColumn="0" w:lastRowLastColumn="0"/>
              <w:rPr>
                <w:sz w:val="20"/>
                <w:szCs w:val="20"/>
              </w:rPr>
            </w:pPr>
            <w:r w:rsidRPr="000764AC">
              <w:rPr>
                <w:color w:val="FFFFFF" w:themeColor="background1"/>
                <w:sz w:val="20"/>
                <w:szCs w:val="20"/>
              </w:rPr>
              <w:t>“</w:t>
            </w:r>
            <w:r w:rsidRPr="000764AC">
              <w:rPr>
                <w:sz w:val="20"/>
                <w:szCs w:val="20"/>
              </w:rPr>
              <w:t>t</w:t>
            </w:r>
            <w:r w:rsidRPr="000764AC">
              <w:rPr>
                <w:color w:val="FFFFFF" w:themeColor="background1"/>
                <w:sz w:val="20"/>
                <w:szCs w:val="20"/>
              </w:rPr>
              <w:t>”</w:t>
            </w:r>
          </w:p>
        </w:tc>
        <w:tc>
          <w:tcPr>
            <w:tcW w:w="1295" w:type="dxa"/>
            <w:tcBorders>
              <w:top w:val="thinThickSmallGap" w:sz="12" w:space="0" w:color="7F7F7F" w:themeColor="text1" w:themeTint="80"/>
              <w:bottom w:val="thickThinSmallGap" w:sz="12" w:space="0" w:color="7F7F7F" w:themeColor="text1" w:themeTint="80"/>
            </w:tcBorders>
          </w:tcPr>
          <w:p w:rsidR="004F5A5F" w:rsidRPr="000764AC" w:rsidRDefault="004F5A5F" w:rsidP="00294ADE">
            <w:pPr>
              <w:jc w:val="center"/>
              <w:cnfStyle w:val="100000000000" w:firstRow="1" w:lastRow="0" w:firstColumn="0" w:lastColumn="0" w:oddVBand="0" w:evenVBand="0" w:oddHBand="0" w:evenHBand="0" w:firstRowFirstColumn="0" w:firstRowLastColumn="0" w:lastRowFirstColumn="0" w:lastRowLastColumn="0"/>
              <w:rPr>
                <w:sz w:val="20"/>
                <w:szCs w:val="20"/>
              </w:rPr>
            </w:pPr>
            <w:r w:rsidRPr="000764AC">
              <w:rPr>
                <w:color w:val="FFFFFF" w:themeColor="background1"/>
                <w:sz w:val="20"/>
                <w:szCs w:val="20"/>
              </w:rPr>
              <w:t>“</w:t>
            </w:r>
            <w:r w:rsidRPr="000764AC">
              <w:rPr>
                <w:color w:val="000000"/>
                <w:sz w:val="20"/>
                <w:szCs w:val="20"/>
              </w:rPr>
              <w:t>P&gt;|t|</w:t>
            </w:r>
            <w:r w:rsidRPr="000764AC">
              <w:rPr>
                <w:color w:val="FFFFFF" w:themeColor="background1"/>
                <w:sz w:val="20"/>
                <w:szCs w:val="20"/>
              </w:rPr>
              <w:t>”</w:t>
            </w:r>
            <w:r w:rsidRPr="000764AC">
              <w:rPr>
                <w:color w:val="000000"/>
                <w:sz w:val="20"/>
                <w:szCs w:val="20"/>
              </w:rPr>
              <w:t xml:space="preserve">     </w:t>
            </w:r>
          </w:p>
        </w:tc>
        <w:tc>
          <w:tcPr>
            <w:tcW w:w="2590" w:type="dxa"/>
            <w:gridSpan w:val="2"/>
            <w:tcBorders>
              <w:top w:val="thinThickSmallGap" w:sz="12" w:space="0" w:color="7F7F7F" w:themeColor="text1" w:themeTint="80"/>
              <w:bottom w:val="thickThinSmallGap" w:sz="12" w:space="0" w:color="7F7F7F" w:themeColor="text1" w:themeTint="80"/>
            </w:tcBorders>
          </w:tcPr>
          <w:p w:rsidR="004F5A5F" w:rsidRPr="000764AC" w:rsidRDefault="004F5A5F" w:rsidP="00294ADE">
            <w:pPr>
              <w:jc w:val="center"/>
              <w:cnfStyle w:val="100000000000" w:firstRow="1" w:lastRow="0" w:firstColumn="0" w:lastColumn="0" w:oddVBand="0" w:evenVBand="0" w:oddHBand="0" w:evenHBand="0" w:firstRowFirstColumn="0" w:firstRowLastColumn="0" w:lastRowFirstColumn="0" w:lastRowLastColumn="0"/>
              <w:rPr>
                <w:sz w:val="20"/>
                <w:szCs w:val="20"/>
              </w:rPr>
            </w:pPr>
            <w:r w:rsidRPr="000764AC">
              <w:rPr>
                <w:color w:val="FFFFFF" w:themeColor="background1"/>
                <w:sz w:val="20"/>
                <w:szCs w:val="20"/>
              </w:rPr>
              <w:t>“</w:t>
            </w:r>
            <w:r w:rsidRPr="000764AC">
              <w:rPr>
                <w:color w:val="000000"/>
                <w:sz w:val="20"/>
                <w:szCs w:val="20"/>
              </w:rPr>
              <w:t xml:space="preserve"> [95% Conf. Interval]</w:t>
            </w:r>
            <w:r w:rsidRPr="000764AC">
              <w:rPr>
                <w:color w:val="FFFFFF" w:themeColor="background1"/>
                <w:sz w:val="20"/>
                <w:szCs w:val="20"/>
              </w:rPr>
              <w:t xml:space="preserve"> ”</w:t>
            </w:r>
          </w:p>
        </w:tc>
      </w:tr>
      <w:tr w:rsidR="004F5A5F" w:rsidRPr="000764AC" w:rsidTr="00294A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tcBorders>
              <w:top w:val="thickThinSmallGap" w:sz="12" w:space="0" w:color="7F7F7F" w:themeColor="text1" w:themeTint="80"/>
              <w:right w:val="single" w:sz="4" w:space="0" w:color="auto"/>
            </w:tcBorders>
          </w:tcPr>
          <w:p w:rsidR="004F5A5F" w:rsidRPr="000764AC" w:rsidRDefault="004F5A5F" w:rsidP="00294ADE">
            <w:pPr>
              <w:jc w:val="center"/>
              <w:rPr>
                <w:b w:val="0"/>
                <w:sz w:val="20"/>
                <w:szCs w:val="20"/>
              </w:rPr>
            </w:pPr>
            <w:r w:rsidRPr="000764AC">
              <w:rPr>
                <w:b w:val="0"/>
                <w:sz w:val="20"/>
                <w:szCs w:val="20"/>
              </w:rPr>
              <w:t>TR</w:t>
            </w:r>
          </w:p>
        </w:tc>
        <w:tc>
          <w:tcPr>
            <w:tcW w:w="1294" w:type="dxa"/>
            <w:tcBorders>
              <w:top w:val="thickThinSmallGap" w:sz="12" w:space="0" w:color="7F7F7F" w:themeColor="text1" w:themeTint="80"/>
              <w:left w:val="single" w:sz="4" w:space="0" w:color="auto"/>
            </w:tcBorders>
          </w:tcPr>
          <w:p w:rsidR="004F5A5F" w:rsidRPr="00841E0F" w:rsidRDefault="004F5A5F" w:rsidP="00294ADE">
            <w:pPr>
              <w:jc w:val="center"/>
              <w:cnfStyle w:val="000000100000" w:firstRow="0" w:lastRow="0" w:firstColumn="0" w:lastColumn="0" w:oddVBand="0" w:evenVBand="0" w:oddHBand="1" w:evenHBand="0" w:firstRowFirstColumn="0" w:firstRowLastColumn="0" w:lastRowFirstColumn="0" w:lastRowLastColumn="0"/>
              <w:rPr>
                <w:sz w:val="20"/>
                <w:szCs w:val="20"/>
              </w:rPr>
            </w:pPr>
            <w:r w:rsidRPr="00841E0F">
              <w:rPr>
                <w:sz w:val="20"/>
                <w:szCs w:val="20"/>
              </w:rPr>
              <w:t xml:space="preserve">.4921293   </w:t>
            </w:r>
          </w:p>
        </w:tc>
        <w:tc>
          <w:tcPr>
            <w:tcW w:w="1294" w:type="dxa"/>
            <w:tcBorders>
              <w:top w:val="thickThinSmallGap" w:sz="12" w:space="0" w:color="7F7F7F" w:themeColor="text1" w:themeTint="80"/>
            </w:tcBorders>
          </w:tcPr>
          <w:p w:rsidR="004F5A5F" w:rsidRPr="00841E0F" w:rsidRDefault="004F5A5F" w:rsidP="00294ADE">
            <w:pPr>
              <w:jc w:val="center"/>
              <w:cnfStyle w:val="000000100000" w:firstRow="0" w:lastRow="0" w:firstColumn="0" w:lastColumn="0" w:oddVBand="0" w:evenVBand="0" w:oddHBand="1" w:evenHBand="0" w:firstRowFirstColumn="0" w:firstRowLastColumn="0" w:lastRowFirstColumn="0" w:lastRowLastColumn="0"/>
              <w:rPr>
                <w:sz w:val="20"/>
                <w:szCs w:val="20"/>
              </w:rPr>
            </w:pPr>
            <w:r w:rsidRPr="00841E0F">
              <w:rPr>
                <w:sz w:val="20"/>
                <w:szCs w:val="20"/>
              </w:rPr>
              <w:t xml:space="preserve">.0563966     </w:t>
            </w:r>
          </w:p>
        </w:tc>
        <w:tc>
          <w:tcPr>
            <w:tcW w:w="1295" w:type="dxa"/>
            <w:tcBorders>
              <w:top w:val="thickThinSmallGap" w:sz="12" w:space="0" w:color="7F7F7F" w:themeColor="text1" w:themeTint="80"/>
            </w:tcBorders>
          </w:tcPr>
          <w:p w:rsidR="004F5A5F" w:rsidRPr="00841E0F" w:rsidRDefault="004F5A5F" w:rsidP="00294ADE">
            <w:pPr>
              <w:jc w:val="center"/>
              <w:cnfStyle w:val="000000100000" w:firstRow="0" w:lastRow="0" w:firstColumn="0" w:lastColumn="0" w:oddVBand="0" w:evenVBand="0" w:oddHBand="1" w:evenHBand="0" w:firstRowFirstColumn="0" w:firstRowLastColumn="0" w:lastRowFirstColumn="0" w:lastRowLastColumn="0"/>
              <w:rPr>
                <w:sz w:val="20"/>
                <w:szCs w:val="20"/>
              </w:rPr>
            </w:pPr>
            <w:r w:rsidRPr="00841E0F">
              <w:rPr>
                <w:sz w:val="20"/>
                <w:szCs w:val="20"/>
              </w:rPr>
              <w:t xml:space="preserve">8.73   </w:t>
            </w:r>
          </w:p>
        </w:tc>
        <w:tc>
          <w:tcPr>
            <w:tcW w:w="1295" w:type="dxa"/>
            <w:tcBorders>
              <w:top w:val="thickThinSmallGap" w:sz="12" w:space="0" w:color="7F7F7F" w:themeColor="text1" w:themeTint="80"/>
            </w:tcBorders>
          </w:tcPr>
          <w:p w:rsidR="004F5A5F" w:rsidRPr="00841E0F" w:rsidRDefault="004F5A5F" w:rsidP="00294ADE">
            <w:pPr>
              <w:jc w:val="center"/>
              <w:cnfStyle w:val="000000100000" w:firstRow="0" w:lastRow="0" w:firstColumn="0" w:lastColumn="0" w:oddVBand="0" w:evenVBand="0" w:oddHBand="1" w:evenHBand="0" w:firstRowFirstColumn="0" w:firstRowLastColumn="0" w:lastRowFirstColumn="0" w:lastRowLastColumn="0"/>
              <w:rPr>
                <w:sz w:val="20"/>
                <w:szCs w:val="20"/>
              </w:rPr>
            </w:pPr>
            <w:r w:rsidRPr="00841E0F">
              <w:rPr>
                <w:color w:val="000000"/>
                <w:sz w:val="20"/>
                <w:szCs w:val="20"/>
              </w:rPr>
              <w:t>0.000*</w:t>
            </w:r>
          </w:p>
        </w:tc>
        <w:tc>
          <w:tcPr>
            <w:tcW w:w="1295" w:type="dxa"/>
            <w:tcBorders>
              <w:top w:val="thickThinSmallGap" w:sz="12" w:space="0" w:color="7F7F7F" w:themeColor="text1" w:themeTint="80"/>
            </w:tcBorders>
          </w:tcPr>
          <w:p w:rsidR="004F5A5F" w:rsidRPr="00841E0F" w:rsidRDefault="004F5A5F" w:rsidP="00294ADE">
            <w:pPr>
              <w:jc w:val="center"/>
              <w:cnfStyle w:val="000000100000" w:firstRow="0" w:lastRow="0" w:firstColumn="0" w:lastColumn="0" w:oddVBand="0" w:evenVBand="0" w:oddHBand="1" w:evenHBand="0" w:firstRowFirstColumn="0" w:firstRowLastColumn="0" w:lastRowFirstColumn="0" w:lastRowLastColumn="0"/>
              <w:rPr>
                <w:sz w:val="20"/>
                <w:szCs w:val="20"/>
              </w:rPr>
            </w:pPr>
            <w:r w:rsidRPr="00841E0F">
              <w:rPr>
                <w:sz w:val="20"/>
                <w:szCs w:val="20"/>
              </w:rPr>
              <w:t>.3815939</w:t>
            </w:r>
          </w:p>
        </w:tc>
        <w:tc>
          <w:tcPr>
            <w:tcW w:w="1295" w:type="dxa"/>
            <w:tcBorders>
              <w:top w:val="thickThinSmallGap" w:sz="12" w:space="0" w:color="7F7F7F" w:themeColor="text1" w:themeTint="80"/>
            </w:tcBorders>
          </w:tcPr>
          <w:p w:rsidR="004F5A5F" w:rsidRPr="00841E0F" w:rsidRDefault="004F5A5F" w:rsidP="00294ADE">
            <w:pPr>
              <w:jc w:val="center"/>
              <w:cnfStyle w:val="000000100000" w:firstRow="0" w:lastRow="0" w:firstColumn="0" w:lastColumn="0" w:oddVBand="0" w:evenVBand="0" w:oddHBand="1" w:evenHBand="0" w:firstRowFirstColumn="0" w:firstRowLastColumn="0" w:lastRowFirstColumn="0" w:lastRowLastColumn="0"/>
              <w:rPr>
                <w:sz w:val="20"/>
                <w:szCs w:val="20"/>
              </w:rPr>
            </w:pPr>
            <w:r w:rsidRPr="00841E0F">
              <w:rPr>
                <w:sz w:val="20"/>
                <w:szCs w:val="20"/>
              </w:rPr>
              <w:t>.6026647</w:t>
            </w:r>
          </w:p>
        </w:tc>
      </w:tr>
      <w:tr w:rsidR="004F5A5F" w:rsidRPr="000764AC" w:rsidTr="00294ADE">
        <w:tc>
          <w:tcPr>
            <w:cnfStyle w:val="001000000000" w:firstRow="0" w:lastRow="0" w:firstColumn="1" w:lastColumn="0" w:oddVBand="0" w:evenVBand="0" w:oddHBand="0" w:evenHBand="0" w:firstRowFirstColumn="0" w:firstRowLastColumn="0" w:lastRowFirstColumn="0" w:lastRowLastColumn="0"/>
            <w:tcW w:w="1294" w:type="dxa"/>
            <w:tcBorders>
              <w:bottom w:val="thickThinSmallGap" w:sz="12" w:space="0" w:color="7F7F7F" w:themeColor="text1" w:themeTint="80"/>
              <w:right w:val="single" w:sz="4" w:space="0" w:color="auto"/>
            </w:tcBorders>
          </w:tcPr>
          <w:p w:rsidR="004F5A5F" w:rsidRPr="000764AC" w:rsidRDefault="004F5A5F" w:rsidP="00294ADE">
            <w:pPr>
              <w:jc w:val="center"/>
              <w:rPr>
                <w:b w:val="0"/>
                <w:sz w:val="20"/>
                <w:szCs w:val="20"/>
              </w:rPr>
            </w:pPr>
            <w:r w:rsidRPr="000764AC">
              <w:rPr>
                <w:b w:val="0"/>
                <w:sz w:val="20"/>
                <w:szCs w:val="20"/>
              </w:rPr>
              <w:t>_cons</w:t>
            </w:r>
          </w:p>
        </w:tc>
        <w:tc>
          <w:tcPr>
            <w:tcW w:w="1294" w:type="dxa"/>
            <w:tcBorders>
              <w:left w:val="single" w:sz="4" w:space="0" w:color="auto"/>
              <w:bottom w:val="thickThinSmallGap" w:sz="12" w:space="0" w:color="7F7F7F" w:themeColor="text1" w:themeTint="80"/>
            </w:tcBorders>
          </w:tcPr>
          <w:p w:rsidR="004F5A5F" w:rsidRPr="00841E0F" w:rsidRDefault="004F5A5F" w:rsidP="00294AD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41E0F">
              <w:rPr>
                <w:sz w:val="20"/>
                <w:szCs w:val="20"/>
              </w:rPr>
              <w:t xml:space="preserve">10.37816   </w:t>
            </w:r>
          </w:p>
        </w:tc>
        <w:tc>
          <w:tcPr>
            <w:tcW w:w="1294" w:type="dxa"/>
            <w:tcBorders>
              <w:bottom w:val="thickThinSmallGap" w:sz="12" w:space="0" w:color="7F7F7F" w:themeColor="text1" w:themeTint="80"/>
            </w:tcBorders>
          </w:tcPr>
          <w:p w:rsidR="004F5A5F" w:rsidRPr="00841E0F" w:rsidRDefault="004F5A5F" w:rsidP="00294AD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41E0F">
              <w:rPr>
                <w:sz w:val="20"/>
                <w:szCs w:val="20"/>
              </w:rPr>
              <w:t xml:space="preserve">1.346251    </w:t>
            </w:r>
          </w:p>
        </w:tc>
        <w:tc>
          <w:tcPr>
            <w:tcW w:w="1295" w:type="dxa"/>
            <w:tcBorders>
              <w:bottom w:val="thickThinSmallGap" w:sz="12" w:space="0" w:color="7F7F7F" w:themeColor="text1" w:themeTint="80"/>
            </w:tcBorders>
          </w:tcPr>
          <w:p w:rsidR="004F5A5F" w:rsidRPr="00841E0F" w:rsidRDefault="004F5A5F" w:rsidP="00294AD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41E0F">
              <w:rPr>
                <w:sz w:val="20"/>
                <w:szCs w:val="20"/>
              </w:rPr>
              <w:t xml:space="preserve">10.68   </w:t>
            </w:r>
          </w:p>
        </w:tc>
        <w:tc>
          <w:tcPr>
            <w:tcW w:w="1295" w:type="dxa"/>
            <w:tcBorders>
              <w:bottom w:val="thickThinSmallGap" w:sz="12" w:space="0" w:color="7F7F7F" w:themeColor="text1" w:themeTint="80"/>
            </w:tcBorders>
          </w:tcPr>
          <w:p w:rsidR="004F5A5F" w:rsidRPr="00841E0F" w:rsidRDefault="004F5A5F" w:rsidP="00294AD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41E0F">
              <w:rPr>
                <w:bCs/>
                <w:sz w:val="20"/>
                <w:szCs w:val="20"/>
              </w:rPr>
              <w:t>0.000</w:t>
            </w:r>
            <w:r w:rsidRPr="00841E0F">
              <w:rPr>
                <w:color w:val="000000"/>
                <w:sz w:val="20"/>
                <w:szCs w:val="20"/>
              </w:rPr>
              <w:t>*</w:t>
            </w:r>
          </w:p>
        </w:tc>
        <w:tc>
          <w:tcPr>
            <w:tcW w:w="1295" w:type="dxa"/>
            <w:tcBorders>
              <w:bottom w:val="thickThinSmallGap" w:sz="12" w:space="0" w:color="7F7F7F" w:themeColor="text1" w:themeTint="80"/>
            </w:tcBorders>
          </w:tcPr>
          <w:p w:rsidR="004F5A5F" w:rsidRPr="00841E0F" w:rsidRDefault="004F5A5F" w:rsidP="00294AD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41E0F">
              <w:rPr>
                <w:sz w:val="20"/>
                <w:szCs w:val="20"/>
              </w:rPr>
              <w:t xml:space="preserve">11.73956    </w:t>
            </w:r>
          </w:p>
        </w:tc>
        <w:tc>
          <w:tcPr>
            <w:tcW w:w="1295" w:type="dxa"/>
            <w:tcBorders>
              <w:bottom w:val="thickThinSmallGap" w:sz="12" w:space="0" w:color="7F7F7F" w:themeColor="text1" w:themeTint="80"/>
            </w:tcBorders>
          </w:tcPr>
          <w:p w:rsidR="004F5A5F" w:rsidRPr="00841E0F" w:rsidRDefault="004F5A5F" w:rsidP="00294AD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41E0F">
              <w:rPr>
                <w:sz w:val="20"/>
                <w:szCs w:val="20"/>
              </w:rPr>
              <w:t>17.01677</w:t>
            </w:r>
          </w:p>
        </w:tc>
      </w:tr>
    </w:tbl>
    <w:p w:rsidR="004F5A5F" w:rsidRPr="000764AC" w:rsidRDefault="00F46BD8" w:rsidP="004F5A5F">
      <w:pPr>
        <w:rPr>
          <w:sz w:val="16"/>
          <w:szCs w:val="16"/>
        </w:rPr>
      </w:pPr>
      <w:r>
        <w:rPr>
          <w:sz w:val="16"/>
          <w:szCs w:val="16"/>
        </w:rPr>
        <w:t xml:space="preserve">Note: </w:t>
      </w:r>
      <w:r w:rsidR="004F5A5F" w:rsidRPr="000764AC">
        <w:rPr>
          <w:sz w:val="16"/>
          <w:szCs w:val="16"/>
        </w:rPr>
        <w:t>Root Mean Squared Error (sigma): 0.1970</w:t>
      </w:r>
      <w:r w:rsidR="004F5A5F">
        <w:rPr>
          <w:sz w:val="16"/>
          <w:szCs w:val="16"/>
        </w:rPr>
        <w:t>.</w:t>
      </w:r>
    </w:p>
    <w:p w:rsidR="004F5A5F" w:rsidRPr="000764AC" w:rsidRDefault="004F5A5F" w:rsidP="004F5A5F">
      <w:pPr>
        <w:spacing w:before="60" w:after="60"/>
        <w:ind w:firstLine="567"/>
        <w:jc w:val="both"/>
      </w:pPr>
      <w:r w:rsidRPr="000764AC">
        <w:t>The estimation of the long-term parameter see</w:t>
      </w:r>
      <w:r w:rsidR="000D6D1B">
        <w:t>n in Table 7</w:t>
      </w:r>
      <w:r w:rsidRPr="000764AC">
        <w:t xml:space="preserve"> is approximately 1.95 and is significant. P&gt; “|t|” and “Probe&gt;</w:t>
      </w:r>
      <w:r w:rsidRPr="00841E0F">
        <w:t xml:space="preserve"> </w:t>
      </w:r>
      <w:r w:rsidRPr="005528C5">
        <w:rPr>
          <w:bCs/>
          <w:color w:val="333333"/>
          <w:lang w:val="en"/>
        </w:rPr>
        <w:t>χ2</w:t>
      </w:r>
      <w:r w:rsidRPr="005528C5">
        <w:t>”</w:t>
      </w:r>
      <w:r w:rsidRPr="000764AC">
        <w:t xml:space="preserve"> values are below the 0.05 significan</w:t>
      </w:r>
      <w:r>
        <w:t>ce</w:t>
      </w:r>
      <w:r w:rsidRPr="000764AC">
        <w:t xml:space="preserve"> level. Accordingly, long-term </w:t>
      </w:r>
      <w:r w:rsidR="00DF63C8">
        <w:t>EG</w:t>
      </w:r>
      <w:r w:rsidRPr="000764AC">
        <w:t xml:space="preserve"> affects tourism revenues. An increase of 1% in economic growth increases tourism revenues by 1.9%.</w:t>
      </w:r>
    </w:p>
    <w:p w:rsidR="004F5A5F" w:rsidRPr="000764AC" w:rsidRDefault="000D6D1B" w:rsidP="004F5A5F">
      <w:pPr>
        <w:spacing w:before="60" w:after="60"/>
        <w:ind w:firstLine="567"/>
        <w:jc w:val="both"/>
      </w:pPr>
      <w:r>
        <w:t>Similarly, when Table 8</w:t>
      </w:r>
      <w:r w:rsidR="004F5A5F" w:rsidRPr="000764AC">
        <w:t xml:space="preserve"> is examined, the estimation of the long-term parameter is approximately 0.49 and is significant. “P &gt;| t | and Probe&gt; </w:t>
      </w:r>
      <w:r w:rsidR="004F5A5F" w:rsidRPr="005528C5">
        <w:rPr>
          <w:bCs/>
          <w:color w:val="333333"/>
          <w:lang w:val="en"/>
        </w:rPr>
        <w:t>χ2</w:t>
      </w:r>
      <w:r w:rsidR="004F5A5F" w:rsidRPr="000764AC">
        <w:t xml:space="preserve">” values are below the 0.05 </w:t>
      </w:r>
      <w:r w:rsidR="004F5A5F" w:rsidRPr="000764AC">
        <w:lastRenderedPageBreak/>
        <w:t xml:space="preserve">the significant level. Accordingly, long-term tourism revenues affect </w:t>
      </w:r>
      <w:r w:rsidR="004F5A5F">
        <w:t>economic growth</w:t>
      </w:r>
      <w:r w:rsidR="004F5A5F" w:rsidRPr="000764AC">
        <w:t>. A 1% increase in tourism revenues increases economic growth by 0.49 %.</w:t>
      </w:r>
    </w:p>
    <w:p w:rsidR="004F5A5F" w:rsidRPr="00D92781" w:rsidRDefault="004F5A5F" w:rsidP="004F5A5F">
      <w:pPr>
        <w:spacing w:before="60" w:after="60"/>
        <w:ind w:firstLine="567"/>
        <w:jc w:val="both"/>
        <w:rPr>
          <w:b/>
        </w:rPr>
      </w:pPr>
      <w:r w:rsidRPr="00D92781">
        <w:rPr>
          <w:b/>
        </w:rPr>
        <w:t xml:space="preserve">Conclusion </w:t>
      </w:r>
    </w:p>
    <w:p w:rsidR="004F5A5F" w:rsidRPr="000764AC" w:rsidRDefault="004F5A5F" w:rsidP="004F5A5F">
      <w:pPr>
        <w:spacing w:before="60" w:after="60"/>
        <w:ind w:firstLine="567"/>
        <w:jc w:val="both"/>
      </w:pPr>
      <w:r w:rsidRPr="000764AC">
        <w:t xml:space="preserve">In this research, the long-term and the short-term causality between tourism revenues and economic growth in Asian Pacific Countries were examined. The study covers 23 years period between 1995-2017 and consists of 483 observations. The indicator of economic growth is </w:t>
      </w:r>
      <w:r w:rsidR="00A12B32">
        <w:t xml:space="preserve">the </w:t>
      </w:r>
      <w:r w:rsidRPr="000764AC">
        <w:t>Gross Domestic Product (GDP - current US $)</w:t>
      </w:r>
      <w:r>
        <w:t>,</w:t>
      </w:r>
      <w:r w:rsidRPr="000764AC">
        <w:t xml:space="preserve"> and the</w:t>
      </w:r>
      <w:r w:rsidR="00643C01">
        <w:t xml:space="preserve"> indicator of tourism is International Tourism R</w:t>
      </w:r>
      <w:r w:rsidRPr="000764AC">
        <w:t xml:space="preserve">eceipts (TR - current US $). </w:t>
      </w:r>
    </w:p>
    <w:p w:rsidR="004F5A5F" w:rsidRPr="000764AC" w:rsidRDefault="004F5A5F" w:rsidP="004F5A5F">
      <w:pPr>
        <w:spacing w:before="60" w:after="60"/>
        <w:ind w:firstLine="567"/>
        <w:jc w:val="both"/>
      </w:pPr>
      <w:r w:rsidRPr="000764AC">
        <w:t xml:space="preserve">Primarily, the functional and </w:t>
      </w:r>
      <w:r>
        <w:t>statistical</w:t>
      </w:r>
      <w:r w:rsidRPr="000764AC">
        <w:t xml:space="preserve"> model</w:t>
      </w:r>
      <w:r w:rsidR="00A12B32">
        <w:t>s</w:t>
      </w:r>
      <w:r w:rsidRPr="000764AC">
        <w:t xml:space="preserve"> were </w:t>
      </w:r>
      <w:r w:rsidR="00946C22">
        <w:t>defined</w:t>
      </w:r>
      <w:r w:rsidRPr="000764AC">
        <w:t xml:space="preserve">. Then, to choose the appropriate test method in panel data analysis, the following test methods were employed: correlation between the series by Pesaran CD Test Method; homogeneity of the parameters and model by “Swamy S Test Method”; </w:t>
      </w:r>
      <w:r w:rsidRPr="00D92781">
        <w:t>stationarity</w:t>
      </w:r>
      <w:r w:rsidR="00D455FE">
        <w:t xml:space="preserve"> of the series by </w:t>
      </w:r>
      <w:r w:rsidRPr="000764AC">
        <w:t xml:space="preserve">“Levin-Lin-Chu Unit Root Test Method”; proper lag-length by “Hansen J Test Method”.  </w:t>
      </w:r>
      <w:r w:rsidRPr="008D6EE2">
        <w:t>Accordingly,</w:t>
      </w:r>
      <w:r w:rsidRPr="000764AC">
        <w:t xml:space="preserve"> Dumitrescu &amp; Hurlin (2012) Panel Causality Test Method, which considers the heterogeneity, was conducted to determine the short-term re</w:t>
      </w:r>
      <w:r w:rsidR="00643C01">
        <w:t xml:space="preserve">lationship between the series.  </w:t>
      </w:r>
      <w:r w:rsidRPr="000764AC">
        <w:t>Pesaran &amp; Smith (1995) Mean Group Estimator Method implemented to determine the existence of the long-term relationship between the variables.</w:t>
      </w:r>
    </w:p>
    <w:p w:rsidR="004F5A5F" w:rsidRDefault="00643C01" w:rsidP="00643C01">
      <w:pPr>
        <w:spacing w:before="60" w:after="60"/>
        <w:ind w:firstLine="567"/>
        <w:jc w:val="both"/>
      </w:pPr>
      <w:r>
        <w:t>The</w:t>
      </w:r>
      <w:r w:rsidR="004F5A5F" w:rsidRPr="000764AC">
        <w:t xml:space="preserve"> Dumitrescu &amp; Hurl</w:t>
      </w:r>
      <w:r w:rsidR="008D6EE2">
        <w:t>in</w:t>
      </w:r>
      <w:r>
        <w:t xml:space="preserve"> Panel Causality Test revealed </w:t>
      </w:r>
      <w:r w:rsidR="004F5A5F">
        <w:t>a bi-directional</w:t>
      </w:r>
      <w:r>
        <w:t xml:space="preserve"> causal relationship between economic growth and i</w:t>
      </w:r>
      <w:r w:rsidR="004F5A5F" w:rsidRPr="000764AC">
        <w:t>nternational tourism receipts in the short-term.</w:t>
      </w:r>
      <w:r>
        <w:t xml:space="preserve"> The </w:t>
      </w:r>
      <w:r w:rsidR="008D6EE2">
        <w:t xml:space="preserve">Pesaran &amp; Smith </w:t>
      </w:r>
      <w:r w:rsidR="004F5A5F" w:rsidRPr="000764AC">
        <w:t xml:space="preserve">Mean </w:t>
      </w:r>
      <w:r>
        <w:t>Group Estimator Results found</w:t>
      </w:r>
      <w:r w:rsidR="00CF7E7F">
        <w:t xml:space="preserve"> </w:t>
      </w:r>
      <w:r w:rsidR="004F5A5F" w:rsidRPr="000764AC">
        <w:t xml:space="preserve">a bidirectional relationship between economic growth and tourism </w:t>
      </w:r>
      <w:r w:rsidR="004F5A5F">
        <w:t>r</w:t>
      </w:r>
      <w:r w:rsidR="004F5A5F" w:rsidRPr="00D92781">
        <w:t>eceipts</w:t>
      </w:r>
      <w:r w:rsidR="00CF7E7F">
        <w:t xml:space="preserve"> in the long-term. This bidirectional relationship indicates that</w:t>
      </w:r>
      <w:r w:rsidR="004F5A5F" w:rsidRPr="000764AC">
        <w:t xml:space="preserve"> an increase of 1% in economic growth leads to a 1.9% increase in tourism receipts. </w:t>
      </w:r>
      <w:r w:rsidR="00CF7E7F">
        <w:t>Conversely, a</w:t>
      </w:r>
      <w:r w:rsidR="004F5A5F" w:rsidRPr="000764AC">
        <w:t>n increase of 1% in t</w:t>
      </w:r>
      <w:r>
        <w:t>ourism receipts leads to a 0.49</w:t>
      </w:r>
      <w:r w:rsidR="004F5A5F" w:rsidRPr="000764AC">
        <w:t>% increase in ec</w:t>
      </w:r>
      <w:r w:rsidR="00CF7E7F">
        <w:t>onomic growth.</w:t>
      </w:r>
    </w:p>
    <w:p w:rsidR="00A12B32" w:rsidRDefault="00946C22" w:rsidP="00A12B32">
      <w:pPr>
        <w:spacing w:before="60" w:after="60"/>
        <w:ind w:firstLine="567"/>
        <w:jc w:val="both"/>
      </w:pPr>
      <w:r>
        <w:t>A revi</w:t>
      </w:r>
      <w:r w:rsidR="00815906">
        <w:t>ew of the extant literature reveals</w:t>
      </w:r>
      <w:r w:rsidR="004A4839">
        <w:t xml:space="preserve"> that prior research </w:t>
      </w:r>
      <w:r w:rsidR="00815906">
        <w:t>reports</w:t>
      </w:r>
      <w:r w:rsidR="00C925B6">
        <w:t xml:space="preserve"> conflicting </w:t>
      </w:r>
      <w:r w:rsidR="004A4839">
        <w:t>results</w:t>
      </w:r>
      <w:r w:rsidR="00C925B6">
        <w:t xml:space="preserve"> regarding the relationship between tourism and economic growth. These conflicting results are primarily </w:t>
      </w:r>
      <w:r w:rsidR="00A12B32" w:rsidRPr="00A12B32">
        <w:t xml:space="preserve">due to the differences in countries selected, period and the methods used. </w:t>
      </w:r>
      <w:r w:rsidR="00815906">
        <w:t>The literature identifies</w:t>
      </w:r>
      <w:r w:rsidR="00A12B32" w:rsidRPr="00A12B32">
        <w:t xml:space="preserve"> four </w:t>
      </w:r>
      <w:r w:rsidR="009B73A7">
        <w:t>main hypothese</w:t>
      </w:r>
      <w:r w:rsidR="00054311">
        <w:t xml:space="preserve">s that describe the relationship between tourism and economic growth: </w:t>
      </w:r>
      <w:r w:rsidR="00815906">
        <w:t xml:space="preserve">the </w:t>
      </w:r>
      <w:r w:rsidR="00A12B32" w:rsidRPr="00A46E45">
        <w:t>tour</w:t>
      </w:r>
      <w:r w:rsidR="00A12B32">
        <w:t>ism-led growth hypothesis</w:t>
      </w:r>
      <w:r w:rsidR="00054311">
        <w:t>;</w:t>
      </w:r>
      <w:r w:rsidR="00A12B32">
        <w:t xml:space="preserve"> </w:t>
      </w:r>
      <w:r w:rsidR="00815906">
        <w:t xml:space="preserve">the </w:t>
      </w:r>
      <w:r w:rsidR="00A12B32">
        <w:t>growth-led tourism hypothesis</w:t>
      </w:r>
      <w:r w:rsidR="00054311">
        <w:t xml:space="preserve">; the neutrality hypothesis and </w:t>
      </w:r>
      <w:r w:rsidR="00A12B32" w:rsidRPr="00D96B31">
        <w:t>the feedback hypothesis</w:t>
      </w:r>
      <w:r w:rsidR="00A12B32">
        <w:t>. The</w:t>
      </w:r>
      <w:r w:rsidR="00A12B32" w:rsidRPr="008C0E05">
        <w:t xml:space="preserve"> result</w:t>
      </w:r>
      <w:r w:rsidR="009B73A7">
        <w:t>s of</w:t>
      </w:r>
      <w:r w:rsidR="009B73A7" w:rsidRPr="009B73A7">
        <w:t xml:space="preserve"> </w:t>
      </w:r>
      <w:r w:rsidR="009B73A7">
        <w:t>this research, usıng both</w:t>
      </w:r>
      <w:r w:rsidR="00A12B32">
        <w:t xml:space="preserve"> short and long-term ana</w:t>
      </w:r>
      <w:r w:rsidR="00054311">
        <w:t>lysi</w:t>
      </w:r>
      <w:r w:rsidR="00A12B32">
        <w:t>s</w:t>
      </w:r>
      <w:r w:rsidR="009B73A7">
        <w:t xml:space="preserve">, </w:t>
      </w:r>
      <w:r w:rsidR="00A12B32">
        <w:t>support</w:t>
      </w:r>
      <w:r w:rsidR="009B73A7">
        <w:t xml:space="preserve"> the feedback hypothesis whıch</w:t>
      </w:r>
      <w:r w:rsidR="00A12B32" w:rsidRPr="008C0E05">
        <w:t xml:space="preserve"> claims a bi-directional </w:t>
      </w:r>
      <w:r w:rsidR="00767947">
        <w:t>causal</w:t>
      </w:r>
      <w:r w:rsidR="00A12B32">
        <w:t xml:space="preserve"> relationship </w:t>
      </w:r>
      <w:r w:rsidR="009B73A7">
        <w:t xml:space="preserve">exısts </w:t>
      </w:r>
      <w:r w:rsidR="00A12B32" w:rsidRPr="008C0E05">
        <w:t xml:space="preserve">between </w:t>
      </w:r>
      <w:r w:rsidR="00A12B32">
        <w:t xml:space="preserve">international </w:t>
      </w:r>
      <w:r w:rsidR="00A12B32" w:rsidRPr="008C0E05">
        <w:t>tourism and economic growth.</w:t>
      </w:r>
      <w:r w:rsidR="00A12B32">
        <w:t xml:space="preserve"> With this respect, this article</w:t>
      </w:r>
      <w:r w:rsidR="00A12B32" w:rsidRPr="00E962F5">
        <w:t xml:space="preserve"> </w:t>
      </w:r>
      <w:r w:rsidR="00054311">
        <w:t>supports research</w:t>
      </w:r>
      <w:r w:rsidR="00A12B32">
        <w:t xml:space="preserve"> </w:t>
      </w:r>
      <w:r w:rsidR="00A12B32" w:rsidRPr="00E962F5">
        <w:t>conducted by Seghir et al. (</w:t>
      </w:r>
      <w:r w:rsidR="00A12B32">
        <w:t xml:space="preserve">2015), Albaladejo et al. (2014), </w:t>
      </w:r>
      <w:r w:rsidR="00A12B32" w:rsidRPr="00A12B32">
        <w:t>Dritsakis (2004), Durbar</w:t>
      </w:r>
      <w:r w:rsidR="00A12B32">
        <w:t>ry (2004), Samimi et al. (2011) and</w:t>
      </w:r>
      <w:r w:rsidR="00A12B32" w:rsidRPr="00A12B32">
        <w:t xml:space="preserve"> Kim et al. (2006)</w:t>
      </w:r>
      <w:r w:rsidR="00A12B32">
        <w:t>.</w:t>
      </w:r>
      <w:r w:rsidR="00DA698B">
        <w:t xml:space="preserve"> </w:t>
      </w:r>
    </w:p>
    <w:p w:rsidR="00747549" w:rsidRDefault="008E2C94" w:rsidP="00E47627">
      <w:pPr>
        <w:spacing w:before="60" w:after="60"/>
        <w:ind w:firstLine="567"/>
        <w:jc w:val="both"/>
      </w:pPr>
      <w:r>
        <w:t xml:space="preserve">A primary contribution of this paper is to </w:t>
      </w:r>
      <w:r w:rsidR="009B73A7">
        <w:t>exam</w:t>
      </w:r>
      <w:r w:rsidR="00E47627">
        <w:t>i</w:t>
      </w:r>
      <w:r w:rsidR="009B73A7">
        <w:t xml:space="preserve">ne the nature of the relationship </w:t>
      </w:r>
      <w:r>
        <w:t>between tourism</w:t>
      </w:r>
      <w:r w:rsidR="00946C22">
        <w:t xml:space="preserve"> receips</w:t>
      </w:r>
      <w:r>
        <w:t xml:space="preserve"> and economic growth </w:t>
      </w:r>
      <w:r w:rsidR="009B73A7">
        <w:t xml:space="preserve">and extend the research domain </w:t>
      </w:r>
      <w:r>
        <w:t xml:space="preserve">to the Asia Pacific region. </w:t>
      </w:r>
      <w:r w:rsidR="009B73A7">
        <w:t>Cr</w:t>
      </w:r>
      <w:r w:rsidR="00E47627">
        <w:t>i</w:t>
      </w:r>
      <w:r w:rsidR="009B73A7">
        <w:t>t</w:t>
      </w:r>
      <w:r w:rsidR="00E47627">
        <w:t>i</w:t>
      </w:r>
      <w:r w:rsidR="009B73A7">
        <w:t>cally important to the global economy t</w:t>
      </w:r>
      <w:r>
        <w:t>he Asia Paci</w:t>
      </w:r>
      <w:r w:rsidR="006D1385">
        <w:t>fic region</w:t>
      </w:r>
      <w:r w:rsidR="00D61544">
        <w:t xml:space="preserve"> has the largest share of </w:t>
      </w:r>
      <w:r w:rsidR="006D1385">
        <w:t>tourist arrivals (</w:t>
      </w:r>
      <w:r w:rsidR="006D1385" w:rsidRPr="00294ADE">
        <w:t>29%</w:t>
      </w:r>
      <w:r w:rsidR="006D1385">
        <w:t>) and tourism revenues (24%)</w:t>
      </w:r>
      <w:r w:rsidR="00D61544">
        <w:t xml:space="preserve"> worldwide</w:t>
      </w:r>
      <w:r w:rsidR="006D1385">
        <w:t xml:space="preserve">. </w:t>
      </w:r>
      <w:r w:rsidR="009B73A7">
        <w:t xml:space="preserve">While a bi-directional causal relationship was found, </w:t>
      </w:r>
      <w:r w:rsidR="00CF25D8">
        <w:t xml:space="preserve">this study finds </w:t>
      </w:r>
      <w:r w:rsidR="009B73A7">
        <w:t>t</w:t>
      </w:r>
      <w:r w:rsidR="006D1385">
        <w:t xml:space="preserve">he </w:t>
      </w:r>
      <w:r w:rsidR="00610348">
        <w:t xml:space="preserve">magnitude </w:t>
      </w:r>
      <w:r w:rsidR="00CF25D8">
        <w:t>of the relationship of</w:t>
      </w:r>
      <w:r w:rsidR="00610348">
        <w:t xml:space="preserve"> econom</w:t>
      </w:r>
      <w:r w:rsidR="00CF25D8">
        <w:t>ic growth on</w:t>
      </w:r>
      <w:r w:rsidR="00610348">
        <w:t xml:space="preserve"> tourism receipts is </w:t>
      </w:r>
      <w:r w:rsidR="00CF25D8">
        <w:t>substantially higher than its reciprocal.</w:t>
      </w:r>
      <w:r w:rsidR="00610348">
        <w:t xml:space="preserve"> </w:t>
      </w:r>
      <w:r w:rsidR="006D1385">
        <w:t>This result can be expl</w:t>
      </w:r>
      <w:r w:rsidR="00681AE5">
        <w:t>ained in part by the high level of infrastr</w:t>
      </w:r>
      <w:r w:rsidR="006D1385">
        <w:t xml:space="preserve">ucture </w:t>
      </w:r>
      <w:r w:rsidR="00D61544">
        <w:t>spending, transportation investmen</w:t>
      </w:r>
      <w:r w:rsidR="00681AE5">
        <w:t>t and the tech</w:t>
      </w:r>
      <w:r w:rsidR="00D61544">
        <w:t xml:space="preserve">nological advances in the region. </w:t>
      </w:r>
      <w:r w:rsidR="00681AE5">
        <w:t xml:space="preserve">This </w:t>
      </w:r>
      <w:r w:rsidR="00E47627">
        <w:t>regi</w:t>
      </w:r>
      <w:r w:rsidR="00681AE5">
        <w:t>on</w:t>
      </w:r>
      <w:r w:rsidR="00E47627">
        <w:t>’s rapidly growing economy is a key dri</w:t>
      </w:r>
      <w:r w:rsidR="00681AE5">
        <w:t>ver of tourism and increased tourism in turn drive economic growth in a synergistic manner.  These results should be useful for other developing countries</w:t>
      </w:r>
      <w:r w:rsidR="00E47627">
        <w:t xml:space="preserve"> regarding determining economic policies and allocation of resources.</w:t>
      </w:r>
    </w:p>
    <w:p w:rsidR="00FE1ABE" w:rsidRDefault="00FE1ABE" w:rsidP="000D6D1B">
      <w:pPr>
        <w:autoSpaceDE w:val="0"/>
        <w:autoSpaceDN w:val="0"/>
        <w:adjustRightInd w:val="0"/>
        <w:spacing w:before="60" w:after="60"/>
        <w:rPr>
          <w:b/>
        </w:rPr>
      </w:pPr>
      <w:r w:rsidRPr="00D96B31">
        <w:rPr>
          <w:b/>
        </w:rPr>
        <w:lastRenderedPageBreak/>
        <w:t>References</w:t>
      </w:r>
    </w:p>
    <w:p w:rsidR="00FE1ABE" w:rsidRPr="00A12B32" w:rsidRDefault="00FE1ABE" w:rsidP="00A12B32">
      <w:pPr>
        <w:autoSpaceDE w:val="0"/>
        <w:autoSpaceDN w:val="0"/>
        <w:adjustRightInd w:val="0"/>
        <w:spacing w:before="120" w:after="120"/>
        <w:ind w:left="709" w:hanging="709"/>
        <w:jc w:val="both"/>
        <w:rPr>
          <w:color w:val="333333"/>
          <w:shd w:val="clear" w:color="auto" w:fill="FFFFFF"/>
        </w:rPr>
      </w:pPr>
      <w:r w:rsidRPr="00A12B32">
        <w:rPr>
          <w:color w:val="333333"/>
          <w:shd w:val="clear" w:color="auto" w:fill="FFFFFF"/>
        </w:rPr>
        <w:t xml:space="preserve">Akinboade, O. A. &amp; Braimoh, L. A. (2010). International Tourism and Economic Development in South Africa: A Granger Causality Test.  </w:t>
      </w:r>
      <w:r w:rsidRPr="00A12B32">
        <w:rPr>
          <w:i/>
          <w:color w:val="333333"/>
          <w:shd w:val="clear" w:color="auto" w:fill="FFFFFF"/>
        </w:rPr>
        <w:t>International Journal of Tourism Research</w:t>
      </w:r>
      <w:r w:rsidRPr="00A12B32">
        <w:rPr>
          <w:color w:val="333333"/>
          <w:shd w:val="clear" w:color="auto" w:fill="FFFFFF"/>
        </w:rPr>
        <w:t>, 12(2), 149-163.</w:t>
      </w:r>
    </w:p>
    <w:p w:rsidR="00FE1ABE" w:rsidRPr="00A12B32" w:rsidRDefault="00FE1ABE" w:rsidP="00A12B32">
      <w:pPr>
        <w:autoSpaceDE w:val="0"/>
        <w:autoSpaceDN w:val="0"/>
        <w:adjustRightInd w:val="0"/>
        <w:spacing w:before="120" w:after="120"/>
        <w:ind w:left="709" w:hanging="709"/>
        <w:jc w:val="both"/>
        <w:rPr>
          <w:color w:val="333333"/>
          <w:shd w:val="clear" w:color="auto" w:fill="FFFFFF"/>
        </w:rPr>
      </w:pPr>
      <w:r w:rsidRPr="00A12B32">
        <w:rPr>
          <w:color w:val="333333"/>
          <w:shd w:val="clear" w:color="auto" w:fill="FFFFFF"/>
        </w:rPr>
        <w:t>Albaladejo, I.P., Gonzalez-Martinez, M.I., Martinez-Garcia, M.P. (2014). Qual</w:t>
      </w:r>
      <w:r w:rsidR="00945666">
        <w:rPr>
          <w:color w:val="333333"/>
          <w:shd w:val="clear" w:color="auto" w:fill="FFFFFF"/>
        </w:rPr>
        <w:t>ity and Endogenous Tourism: An Empirical A</w:t>
      </w:r>
      <w:r w:rsidRPr="00A12B32">
        <w:rPr>
          <w:color w:val="333333"/>
          <w:shd w:val="clear" w:color="auto" w:fill="FFFFFF"/>
        </w:rPr>
        <w:t xml:space="preserve">pproach. </w:t>
      </w:r>
      <w:r w:rsidRPr="00A12B32">
        <w:rPr>
          <w:i/>
          <w:color w:val="333333"/>
          <w:shd w:val="clear" w:color="auto" w:fill="FFFFFF"/>
        </w:rPr>
        <w:t>Tourism Management</w:t>
      </w:r>
      <w:r w:rsidRPr="00A12B32">
        <w:rPr>
          <w:color w:val="333333"/>
          <w:shd w:val="clear" w:color="auto" w:fill="FFFFFF"/>
        </w:rPr>
        <w:t>, 41, 141-147.</w:t>
      </w:r>
    </w:p>
    <w:p w:rsidR="00FE1ABE" w:rsidRPr="00A12B32" w:rsidRDefault="00FE1ABE" w:rsidP="00A12B32">
      <w:pPr>
        <w:autoSpaceDE w:val="0"/>
        <w:autoSpaceDN w:val="0"/>
        <w:adjustRightInd w:val="0"/>
        <w:spacing w:before="120" w:after="120"/>
        <w:ind w:left="709" w:hanging="709"/>
        <w:jc w:val="both"/>
        <w:rPr>
          <w:color w:val="333333"/>
          <w:shd w:val="clear" w:color="auto" w:fill="FFFFFF"/>
        </w:rPr>
      </w:pPr>
      <w:r w:rsidRPr="00A12B32">
        <w:rPr>
          <w:color w:val="333333"/>
          <w:shd w:val="clear" w:color="auto" w:fill="FFFFFF"/>
        </w:rPr>
        <w:t xml:space="preserve">Antonakakis, N., Dragouni, M. &amp; Filis, G. (2013). Time-Varying Interdependencies of Tourism and Economic Growth: Evidence from European Countries. </w:t>
      </w:r>
      <w:r w:rsidRPr="00776E36">
        <w:rPr>
          <w:i/>
          <w:color w:val="333333"/>
          <w:shd w:val="clear" w:color="auto" w:fill="FFFFFF"/>
        </w:rPr>
        <w:t>MPRA Munich Personal Repec Archive</w:t>
      </w:r>
      <w:r w:rsidRPr="00A12B32">
        <w:rPr>
          <w:color w:val="333333"/>
          <w:shd w:val="clear" w:color="auto" w:fill="FFFFFF"/>
        </w:rPr>
        <w:t>, 4875, 1-34.</w:t>
      </w:r>
    </w:p>
    <w:p w:rsidR="00FE1ABE" w:rsidRPr="00A12B32" w:rsidRDefault="00FE1ABE" w:rsidP="00A12B32">
      <w:pPr>
        <w:autoSpaceDE w:val="0"/>
        <w:autoSpaceDN w:val="0"/>
        <w:adjustRightInd w:val="0"/>
        <w:spacing w:before="120" w:after="120"/>
        <w:ind w:left="709" w:hanging="709"/>
        <w:jc w:val="both"/>
        <w:rPr>
          <w:color w:val="333333"/>
          <w:shd w:val="clear" w:color="auto" w:fill="FFFFFF"/>
        </w:rPr>
      </w:pPr>
      <w:r w:rsidRPr="00A12B32">
        <w:rPr>
          <w:color w:val="333333"/>
          <w:shd w:val="clear" w:color="auto" w:fill="FFFFFF"/>
        </w:rPr>
        <w:t xml:space="preserve">Antonakakis, N., Dragouni, M. &amp; Filis, G. (2015). How Strong is the Linkage between Tourism and Economic Growth in Europe. </w:t>
      </w:r>
      <w:r w:rsidRPr="00A12B32">
        <w:rPr>
          <w:i/>
          <w:color w:val="333333"/>
          <w:shd w:val="clear" w:color="auto" w:fill="FFFFFF"/>
        </w:rPr>
        <w:t>Economic Modelling</w:t>
      </w:r>
      <w:r w:rsidRPr="00A12B32">
        <w:rPr>
          <w:color w:val="333333"/>
          <w:shd w:val="clear" w:color="auto" w:fill="FFFFFF"/>
        </w:rPr>
        <w:t>, 44, 142-155.</w:t>
      </w:r>
    </w:p>
    <w:p w:rsidR="00FE1ABE" w:rsidRPr="00A12B32" w:rsidRDefault="00FE1ABE" w:rsidP="00A12B32">
      <w:pPr>
        <w:autoSpaceDE w:val="0"/>
        <w:autoSpaceDN w:val="0"/>
        <w:adjustRightInd w:val="0"/>
        <w:spacing w:before="120" w:after="120"/>
        <w:ind w:left="709" w:hanging="709"/>
        <w:jc w:val="both"/>
        <w:rPr>
          <w:color w:val="333333"/>
          <w:shd w:val="clear" w:color="auto" w:fill="FFFFFF"/>
        </w:rPr>
      </w:pPr>
      <w:r w:rsidRPr="00A12B32">
        <w:rPr>
          <w:color w:val="333333"/>
          <w:shd w:val="clear" w:color="auto" w:fill="FFFFFF"/>
        </w:rPr>
        <w:t xml:space="preserve">Arslanturk, Y., Balcilar, M. &amp; Ozdemir, Z.A. (2011). Time-Varying Between Tourism Receipts and Economic Growth in a Small Open Economy. </w:t>
      </w:r>
      <w:r w:rsidRPr="00A12B32">
        <w:rPr>
          <w:i/>
          <w:color w:val="333333"/>
          <w:shd w:val="clear" w:color="auto" w:fill="FFFFFF"/>
        </w:rPr>
        <w:t>Economic Modelling</w:t>
      </w:r>
      <w:r w:rsidRPr="00A12B32">
        <w:rPr>
          <w:color w:val="333333"/>
          <w:shd w:val="clear" w:color="auto" w:fill="FFFFFF"/>
        </w:rPr>
        <w:t>, 28(1), 664-671.</w:t>
      </w:r>
    </w:p>
    <w:p w:rsidR="00FE1ABE" w:rsidRPr="00A12B32" w:rsidRDefault="00FE1ABE" w:rsidP="00A12B32">
      <w:pPr>
        <w:autoSpaceDE w:val="0"/>
        <w:autoSpaceDN w:val="0"/>
        <w:adjustRightInd w:val="0"/>
        <w:spacing w:before="120" w:after="120"/>
        <w:ind w:left="709" w:hanging="709"/>
        <w:jc w:val="both"/>
        <w:rPr>
          <w:color w:val="333333"/>
          <w:shd w:val="clear" w:color="auto" w:fill="FFFFFF"/>
        </w:rPr>
      </w:pPr>
      <w:r w:rsidRPr="00A12B32">
        <w:rPr>
          <w:color w:val="333333"/>
          <w:shd w:val="clear" w:color="auto" w:fill="FFFFFF"/>
        </w:rPr>
        <w:t xml:space="preserve">Balaguer, J., &amp; Cantavella-Jordà, M. (2002). Tourism as a Long-Run Economic Growth Factor: The Spanish Case. </w:t>
      </w:r>
      <w:r w:rsidRPr="00A12B32">
        <w:rPr>
          <w:i/>
          <w:color w:val="333333"/>
          <w:shd w:val="clear" w:color="auto" w:fill="FFFFFF"/>
        </w:rPr>
        <w:t>Applied Economics</w:t>
      </w:r>
      <w:r w:rsidRPr="00A12B32">
        <w:rPr>
          <w:color w:val="333333"/>
          <w:shd w:val="clear" w:color="auto" w:fill="FFFFFF"/>
        </w:rPr>
        <w:t>, 34 ,877-84.</w:t>
      </w:r>
    </w:p>
    <w:p w:rsidR="00FE1ABE" w:rsidRPr="00A12B32" w:rsidRDefault="00FE1ABE" w:rsidP="00A12B32">
      <w:pPr>
        <w:autoSpaceDE w:val="0"/>
        <w:autoSpaceDN w:val="0"/>
        <w:adjustRightInd w:val="0"/>
        <w:spacing w:before="120" w:after="120"/>
        <w:ind w:left="709" w:hanging="709"/>
        <w:jc w:val="both"/>
        <w:rPr>
          <w:color w:val="333333"/>
          <w:shd w:val="clear" w:color="auto" w:fill="FFFFFF"/>
        </w:rPr>
      </w:pPr>
      <w:r w:rsidRPr="00A12B32">
        <w:rPr>
          <w:color w:val="333333"/>
          <w:shd w:val="clear" w:color="auto" w:fill="FFFFFF"/>
        </w:rPr>
        <w:t xml:space="preserve">Belloumi, M. (2010). The Relationship between Tourism Receipts, Real Effective Exchange Rate and Economic Growth in Tunisia. </w:t>
      </w:r>
      <w:r w:rsidRPr="00A12B32">
        <w:rPr>
          <w:i/>
          <w:color w:val="333333"/>
          <w:shd w:val="clear" w:color="auto" w:fill="FFFFFF"/>
        </w:rPr>
        <w:t>International Journal of Tourism Research</w:t>
      </w:r>
      <w:r w:rsidRPr="00A12B32">
        <w:rPr>
          <w:color w:val="333333"/>
          <w:shd w:val="clear" w:color="auto" w:fill="FFFFFF"/>
        </w:rPr>
        <w:t>, 12(5), 550–560.</w:t>
      </w:r>
    </w:p>
    <w:p w:rsidR="00FE1ABE" w:rsidRPr="00A12B32" w:rsidRDefault="00FE1ABE" w:rsidP="00A12B32">
      <w:pPr>
        <w:autoSpaceDE w:val="0"/>
        <w:autoSpaceDN w:val="0"/>
        <w:adjustRightInd w:val="0"/>
        <w:spacing w:before="120" w:after="120"/>
        <w:ind w:left="709" w:hanging="709"/>
        <w:jc w:val="both"/>
        <w:rPr>
          <w:color w:val="333333"/>
          <w:shd w:val="clear" w:color="auto" w:fill="FFFFFF"/>
        </w:rPr>
      </w:pPr>
      <w:r w:rsidRPr="00A12B32">
        <w:rPr>
          <w:color w:val="333333"/>
          <w:shd w:val="clear" w:color="auto" w:fill="FFFFFF"/>
        </w:rPr>
        <w:t xml:space="preserve">Brida, J. G., Sanchez Carrera, E. J., &amp; Risso, W. A. (2008). Tourism’s Impact on Longrun Mexican Economic Growth.  </w:t>
      </w:r>
      <w:r w:rsidRPr="00A12B32">
        <w:rPr>
          <w:i/>
          <w:color w:val="333333"/>
          <w:shd w:val="clear" w:color="auto" w:fill="FFFFFF"/>
        </w:rPr>
        <w:t>Economics Bulletin</w:t>
      </w:r>
      <w:r w:rsidRPr="00A12B32">
        <w:rPr>
          <w:color w:val="333333"/>
          <w:shd w:val="clear" w:color="auto" w:fill="FFFFFF"/>
        </w:rPr>
        <w:t>, 3(21), 1-8.</w:t>
      </w:r>
    </w:p>
    <w:p w:rsidR="00FE1ABE" w:rsidRPr="00A12B32" w:rsidRDefault="00FE1ABE" w:rsidP="00A12B32">
      <w:pPr>
        <w:autoSpaceDE w:val="0"/>
        <w:autoSpaceDN w:val="0"/>
        <w:adjustRightInd w:val="0"/>
        <w:spacing w:before="120" w:after="120"/>
        <w:ind w:left="709" w:hanging="709"/>
        <w:jc w:val="both"/>
        <w:rPr>
          <w:color w:val="333333"/>
          <w:shd w:val="clear" w:color="auto" w:fill="FFFFFF"/>
        </w:rPr>
      </w:pPr>
      <w:r w:rsidRPr="00A12B32">
        <w:rPr>
          <w:color w:val="333333"/>
          <w:shd w:val="clear" w:color="auto" w:fill="FFFFFF"/>
        </w:rPr>
        <w:t xml:space="preserve">Cárdenas-García, P.J., </w:t>
      </w:r>
      <w:r w:rsidRPr="00A12B32">
        <w:rPr>
          <w:color w:val="333333"/>
        </w:rPr>
        <w:t>Sánchez</w:t>
      </w:r>
      <w:r w:rsidRPr="00A12B32">
        <w:rPr>
          <w:color w:val="333333"/>
          <w:shd w:val="clear" w:color="auto" w:fill="FFFFFF"/>
        </w:rPr>
        <w:t>-</w:t>
      </w:r>
      <w:r w:rsidRPr="00A12B32">
        <w:rPr>
          <w:color w:val="333333"/>
        </w:rPr>
        <w:t xml:space="preserve">Rivero, M., &amp; Pulido-Fernández, J.I. (2015). Does Tourism Growth Influence Economic Development?. </w:t>
      </w:r>
      <w:r w:rsidRPr="00A12B32">
        <w:rPr>
          <w:i/>
          <w:color w:val="333333"/>
        </w:rPr>
        <w:t>Journal of Travel Research</w:t>
      </w:r>
      <w:r w:rsidRPr="00A12B32">
        <w:rPr>
          <w:color w:val="333333"/>
        </w:rPr>
        <w:t>, 54(2), 206-221.</w:t>
      </w:r>
    </w:p>
    <w:p w:rsidR="00FE1ABE" w:rsidRPr="00A12B32" w:rsidRDefault="00FE1ABE" w:rsidP="00A12B32">
      <w:pPr>
        <w:autoSpaceDE w:val="0"/>
        <w:autoSpaceDN w:val="0"/>
        <w:adjustRightInd w:val="0"/>
        <w:spacing w:before="120" w:after="120"/>
        <w:ind w:left="709" w:hanging="709"/>
        <w:jc w:val="both"/>
        <w:rPr>
          <w:color w:val="333333"/>
          <w:shd w:val="clear" w:color="auto" w:fill="FFFFFF"/>
        </w:rPr>
      </w:pPr>
      <w:r w:rsidRPr="00A12B32">
        <w:rPr>
          <w:color w:val="333333"/>
          <w:shd w:val="clear" w:color="auto" w:fill="FFFFFF"/>
        </w:rPr>
        <w:t xml:space="preserve">Chou, M. (2013). Does Tourism Development Promote Economic Growth in Transition Countries? A panel Data Analysis. </w:t>
      </w:r>
      <w:r w:rsidRPr="00A12B32">
        <w:rPr>
          <w:i/>
          <w:color w:val="333333"/>
          <w:shd w:val="clear" w:color="auto" w:fill="FFFFFF"/>
        </w:rPr>
        <w:t>Economic Modelling</w:t>
      </w:r>
      <w:r w:rsidRPr="00A12B32">
        <w:rPr>
          <w:color w:val="333333"/>
          <w:shd w:val="clear" w:color="auto" w:fill="FFFFFF"/>
        </w:rPr>
        <w:t>, 33, 226-232.</w:t>
      </w:r>
    </w:p>
    <w:p w:rsidR="00FE1ABE" w:rsidRPr="00A12B32" w:rsidRDefault="00FE1ABE" w:rsidP="00A12B32">
      <w:pPr>
        <w:autoSpaceDE w:val="0"/>
        <w:autoSpaceDN w:val="0"/>
        <w:adjustRightInd w:val="0"/>
        <w:spacing w:before="120" w:after="120"/>
        <w:ind w:left="709" w:hanging="709"/>
        <w:jc w:val="both"/>
        <w:rPr>
          <w:color w:val="333333"/>
          <w:shd w:val="clear" w:color="auto" w:fill="FFFFFF"/>
        </w:rPr>
      </w:pPr>
      <w:r w:rsidRPr="00A12B32">
        <w:rPr>
          <w:color w:val="333333"/>
          <w:shd w:val="clear" w:color="auto" w:fill="FFFFFF"/>
        </w:rPr>
        <w:t xml:space="preserve">Dritsakis, N. &amp; Athanasiadis, S. (2000). An Econometric Model of Tourist Demand: The Case of Greece. </w:t>
      </w:r>
      <w:r w:rsidRPr="00A12B32">
        <w:rPr>
          <w:i/>
          <w:color w:val="333333"/>
          <w:shd w:val="clear" w:color="auto" w:fill="FFFFFF"/>
        </w:rPr>
        <w:t>Journal of Hospitality &amp; Leisure Marketing</w:t>
      </w:r>
      <w:r w:rsidRPr="00A12B32">
        <w:rPr>
          <w:color w:val="333333"/>
          <w:shd w:val="clear" w:color="auto" w:fill="FFFFFF"/>
        </w:rPr>
        <w:t>, 7(2), 39-49.</w:t>
      </w:r>
    </w:p>
    <w:p w:rsidR="00FE1ABE" w:rsidRPr="00A12B32" w:rsidRDefault="00FE1ABE" w:rsidP="00A12B32">
      <w:pPr>
        <w:autoSpaceDE w:val="0"/>
        <w:autoSpaceDN w:val="0"/>
        <w:adjustRightInd w:val="0"/>
        <w:spacing w:before="120" w:after="120"/>
        <w:ind w:left="709" w:hanging="709"/>
        <w:jc w:val="both"/>
        <w:rPr>
          <w:color w:val="333333"/>
          <w:shd w:val="clear" w:color="auto" w:fill="FFFFFF"/>
        </w:rPr>
      </w:pPr>
      <w:r w:rsidRPr="00A12B32">
        <w:rPr>
          <w:color w:val="333333"/>
          <w:shd w:val="clear" w:color="auto" w:fill="FFFFFF"/>
        </w:rPr>
        <w:t xml:space="preserve">Dritsakis, N. (2004). Tourism as a Long-run Economic Growth Factor: An Empirical Investigation for Greece using Causality Analysis. </w:t>
      </w:r>
      <w:r w:rsidRPr="00A12B32">
        <w:rPr>
          <w:i/>
          <w:color w:val="333333"/>
          <w:shd w:val="clear" w:color="auto" w:fill="FFFFFF"/>
        </w:rPr>
        <w:t>Tourism Economics</w:t>
      </w:r>
      <w:r w:rsidRPr="00A12B32">
        <w:rPr>
          <w:color w:val="333333"/>
          <w:shd w:val="clear" w:color="auto" w:fill="FFFFFF"/>
        </w:rPr>
        <w:t>, 10(3), 305-316.</w:t>
      </w:r>
    </w:p>
    <w:p w:rsidR="00FE1ABE" w:rsidRPr="00A12B32" w:rsidRDefault="00FE1ABE" w:rsidP="00A12B32">
      <w:pPr>
        <w:autoSpaceDE w:val="0"/>
        <w:autoSpaceDN w:val="0"/>
        <w:adjustRightInd w:val="0"/>
        <w:spacing w:before="120" w:after="120"/>
        <w:ind w:left="709" w:hanging="709"/>
        <w:jc w:val="both"/>
        <w:rPr>
          <w:color w:val="333333"/>
          <w:shd w:val="clear" w:color="auto" w:fill="FFFFFF"/>
        </w:rPr>
      </w:pPr>
      <w:r w:rsidRPr="00A12B32">
        <w:rPr>
          <w:color w:val="333333"/>
          <w:shd w:val="clear" w:color="auto" w:fill="FFFFFF"/>
        </w:rPr>
        <w:t>Durbarry, R. (2004). Tourism and Economic Growth: The case of Mauritius. Tourism Economics, 10(4), 389–401.</w:t>
      </w:r>
    </w:p>
    <w:p w:rsidR="00FE1ABE" w:rsidRPr="00A12B32" w:rsidRDefault="00FE1ABE" w:rsidP="00A12B32">
      <w:pPr>
        <w:autoSpaceDE w:val="0"/>
        <w:autoSpaceDN w:val="0"/>
        <w:adjustRightInd w:val="0"/>
        <w:spacing w:before="120" w:after="120"/>
        <w:ind w:left="709" w:hanging="709"/>
        <w:jc w:val="both"/>
        <w:rPr>
          <w:color w:val="333333"/>
          <w:shd w:val="clear" w:color="auto" w:fill="FFFFFF"/>
        </w:rPr>
      </w:pPr>
      <w:r w:rsidRPr="00A12B32">
        <w:rPr>
          <w:color w:val="333333"/>
          <w:shd w:val="clear" w:color="auto" w:fill="FFFFFF"/>
        </w:rPr>
        <w:t xml:space="preserve">Eugenio-Martin, J. L., Morales, N. M. &amp; Scarpe, R. (2004). Tourism and Economic Growth in Latin American Countries: A Panel Data Approach. </w:t>
      </w:r>
      <w:r w:rsidRPr="00776E36">
        <w:rPr>
          <w:i/>
          <w:color w:val="333333"/>
          <w:shd w:val="clear" w:color="auto" w:fill="FFFFFF"/>
        </w:rPr>
        <w:t>FEEM Working Paper,</w:t>
      </w:r>
      <w:r w:rsidRPr="00A12B32">
        <w:rPr>
          <w:color w:val="333333"/>
          <w:shd w:val="clear" w:color="auto" w:fill="FFFFFF"/>
        </w:rPr>
        <w:t xml:space="preserve"> No. 26, 1-28.</w:t>
      </w:r>
    </w:p>
    <w:p w:rsidR="00FE1ABE" w:rsidRPr="00A12B32" w:rsidRDefault="00FE1ABE" w:rsidP="00A12B32">
      <w:pPr>
        <w:autoSpaceDE w:val="0"/>
        <w:autoSpaceDN w:val="0"/>
        <w:adjustRightInd w:val="0"/>
        <w:spacing w:before="120" w:after="120"/>
        <w:ind w:left="709" w:hanging="709"/>
        <w:jc w:val="both"/>
        <w:rPr>
          <w:color w:val="333333"/>
          <w:shd w:val="clear" w:color="auto" w:fill="FFFFFF"/>
        </w:rPr>
      </w:pPr>
      <w:r w:rsidRPr="00A12B32">
        <w:rPr>
          <w:color w:val="333333"/>
          <w:shd w:val="clear" w:color="auto" w:fill="FFFFFF"/>
        </w:rPr>
        <w:t xml:space="preserve">Falk, M. (2010). A Dynamic Panel Data Analysis of Snow Depth and Winter Tourism. </w:t>
      </w:r>
      <w:r w:rsidRPr="00A12B32">
        <w:rPr>
          <w:i/>
          <w:color w:val="333333"/>
          <w:shd w:val="clear" w:color="auto" w:fill="FFFFFF"/>
        </w:rPr>
        <w:t>Tourism Management</w:t>
      </w:r>
      <w:r w:rsidRPr="00A12B32">
        <w:rPr>
          <w:color w:val="333333"/>
          <w:shd w:val="clear" w:color="auto" w:fill="FFFFFF"/>
        </w:rPr>
        <w:t>, 31, 912-924.</w:t>
      </w:r>
    </w:p>
    <w:p w:rsidR="00FE1ABE" w:rsidRPr="00A12B32" w:rsidRDefault="00FE1ABE" w:rsidP="00A12B32">
      <w:pPr>
        <w:autoSpaceDE w:val="0"/>
        <w:autoSpaceDN w:val="0"/>
        <w:adjustRightInd w:val="0"/>
        <w:spacing w:before="120" w:after="120"/>
        <w:ind w:left="709" w:hanging="709"/>
        <w:rPr>
          <w:color w:val="333333"/>
          <w:shd w:val="clear" w:color="auto" w:fill="FFFFFF"/>
        </w:rPr>
      </w:pPr>
      <w:r w:rsidRPr="00A12B32">
        <w:rPr>
          <w:color w:val="333333"/>
          <w:shd w:val="clear" w:color="auto" w:fill="FFFFFF"/>
        </w:rPr>
        <w:lastRenderedPageBreak/>
        <w:t xml:space="preserve">Fawaz, F. &amp; Rahnama, M. (2014). An Empirical Refinement of the Relationship between Tourism and Economic Growth. </w:t>
      </w:r>
      <w:r w:rsidRPr="00A12B32">
        <w:rPr>
          <w:i/>
          <w:color w:val="333333"/>
          <w:shd w:val="clear" w:color="auto" w:fill="FFFFFF"/>
        </w:rPr>
        <w:t>Anatolia: An International Journal of Tourism and Hospitality Research</w:t>
      </w:r>
      <w:r w:rsidRPr="00A12B32">
        <w:rPr>
          <w:color w:val="333333"/>
          <w:shd w:val="clear" w:color="auto" w:fill="FFFFFF"/>
        </w:rPr>
        <w:t>, 25(3), 1-14.</w:t>
      </w:r>
    </w:p>
    <w:p w:rsidR="00FE1ABE" w:rsidRPr="00A12B32" w:rsidRDefault="00FE1ABE" w:rsidP="00A12B32">
      <w:pPr>
        <w:autoSpaceDE w:val="0"/>
        <w:autoSpaceDN w:val="0"/>
        <w:adjustRightInd w:val="0"/>
        <w:spacing w:before="120" w:after="120"/>
        <w:ind w:left="709" w:hanging="709"/>
        <w:jc w:val="both"/>
        <w:rPr>
          <w:color w:val="333333"/>
          <w:shd w:val="clear" w:color="auto" w:fill="FFFFFF"/>
        </w:rPr>
      </w:pPr>
      <w:r w:rsidRPr="00A12B32">
        <w:rPr>
          <w:color w:val="333333"/>
          <w:shd w:val="clear" w:color="auto" w:fill="FFFFFF"/>
        </w:rPr>
        <w:t xml:space="preserve">Fayissa, B., Nsiah, C. &amp; Tadasse, B. (2008). The Impact of Tourism on Economic Growth and Development in Africa. </w:t>
      </w:r>
      <w:r w:rsidRPr="00A12B32">
        <w:rPr>
          <w:i/>
          <w:color w:val="333333"/>
          <w:shd w:val="clear" w:color="auto" w:fill="FFFFFF"/>
        </w:rPr>
        <w:t>Tourism Economics</w:t>
      </w:r>
      <w:r w:rsidRPr="00A12B32">
        <w:rPr>
          <w:color w:val="333333"/>
          <w:shd w:val="clear" w:color="auto" w:fill="FFFFFF"/>
        </w:rPr>
        <w:t>, 14(4), 807-818.</w:t>
      </w:r>
    </w:p>
    <w:p w:rsidR="00FE1ABE" w:rsidRPr="00A12B32" w:rsidRDefault="00FE1ABE" w:rsidP="00A12B32">
      <w:pPr>
        <w:autoSpaceDE w:val="0"/>
        <w:autoSpaceDN w:val="0"/>
        <w:adjustRightInd w:val="0"/>
        <w:spacing w:before="120" w:after="120"/>
        <w:ind w:left="709" w:hanging="709"/>
        <w:jc w:val="both"/>
        <w:rPr>
          <w:color w:val="333333"/>
          <w:shd w:val="clear" w:color="auto" w:fill="FFFFFF"/>
        </w:rPr>
      </w:pPr>
      <w:r w:rsidRPr="00A12B32">
        <w:rPr>
          <w:color w:val="333333"/>
          <w:shd w:val="clear" w:color="auto" w:fill="FFFFFF"/>
        </w:rPr>
        <w:t xml:space="preserve">Ghali, A. (1976). Tourism and Economic Growth: An Empirical Study, </w:t>
      </w:r>
      <w:r w:rsidRPr="00A12B32">
        <w:rPr>
          <w:i/>
          <w:color w:val="333333"/>
          <w:shd w:val="clear" w:color="auto" w:fill="FFFFFF"/>
        </w:rPr>
        <w:t>Economic Development ve Cultural Change</w:t>
      </w:r>
      <w:r w:rsidRPr="00A12B32">
        <w:rPr>
          <w:color w:val="333333"/>
          <w:shd w:val="clear" w:color="auto" w:fill="FFFFFF"/>
        </w:rPr>
        <w:t>, (24), 527–538.</w:t>
      </w:r>
    </w:p>
    <w:p w:rsidR="00FE1ABE" w:rsidRPr="00A12B32" w:rsidRDefault="00FE1ABE" w:rsidP="00A12B32">
      <w:pPr>
        <w:autoSpaceDE w:val="0"/>
        <w:autoSpaceDN w:val="0"/>
        <w:adjustRightInd w:val="0"/>
        <w:spacing w:before="120" w:after="120"/>
        <w:ind w:left="709" w:hanging="709"/>
        <w:jc w:val="both"/>
        <w:rPr>
          <w:color w:val="333333"/>
          <w:shd w:val="clear" w:color="auto" w:fill="FFFFFF"/>
        </w:rPr>
      </w:pPr>
      <w:r w:rsidRPr="00A12B32">
        <w:rPr>
          <w:color w:val="333333"/>
          <w:shd w:val="clear" w:color="auto" w:fill="FFFFFF"/>
        </w:rPr>
        <w:t xml:space="preserve">Gökovalı, U. &amp; Bahar, O. (2006). Contribution of Tourism to Economic Growth in Mediterrranean Countries: A Panel Data Approach. </w:t>
      </w:r>
      <w:r w:rsidRPr="00A12B32">
        <w:rPr>
          <w:i/>
          <w:color w:val="333333"/>
          <w:shd w:val="clear" w:color="auto" w:fill="FFFFFF"/>
        </w:rPr>
        <w:t>Anatolia: An International Journal of Tourism and Hospitality Research</w:t>
      </w:r>
      <w:r w:rsidRPr="00A12B32">
        <w:rPr>
          <w:color w:val="333333"/>
          <w:shd w:val="clear" w:color="auto" w:fill="FFFFFF"/>
        </w:rPr>
        <w:t>, 17 (2), 155–168.</w:t>
      </w:r>
    </w:p>
    <w:p w:rsidR="00FE1ABE" w:rsidRPr="00A12B32" w:rsidRDefault="00FE1ABE" w:rsidP="00A12B32">
      <w:pPr>
        <w:autoSpaceDE w:val="0"/>
        <w:autoSpaceDN w:val="0"/>
        <w:adjustRightInd w:val="0"/>
        <w:spacing w:before="120" w:after="120"/>
        <w:ind w:left="709" w:hanging="709"/>
        <w:jc w:val="both"/>
        <w:rPr>
          <w:color w:val="333333"/>
          <w:shd w:val="clear" w:color="auto" w:fill="FFFFFF"/>
        </w:rPr>
      </w:pPr>
      <w:r w:rsidRPr="00A12B32">
        <w:rPr>
          <w:color w:val="333333"/>
          <w:shd w:val="clear" w:color="auto" w:fill="FFFFFF"/>
        </w:rPr>
        <w:t xml:space="preserve">Gunduz, L., &amp; Hatemi-J, A. (2005). Is the Tourism-led Growth Hypothesis Valid for Turkey. </w:t>
      </w:r>
      <w:r w:rsidRPr="00A12B32">
        <w:rPr>
          <w:i/>
          <w:color w:val="333333"/>
          <w:shd w:val="clear" w:color="auto" w:fill="FFFFFF"/>
        </w:rPr>
        <w:t>Applied Economics Letters</w:t>
      </w:r>
      <w:r w:rsidRPr="00A12B32">
        <w:rPr>
          <w:color w:val="333333"/>
          <w:shd w:val="clear" w:color="auto" w:fill="FFFFFF"/>
        </w:rPr>
        <w:t>, 12(8), 499-504.</w:t>
      </w:r>
    </w:p>
    <w:p w:rsidR="00FE1ABE" w:rsidRPr="00A12B32" w:rsidRDefault="00FE1ABE" w:rsidP="00A12B32">
      <w:pPr>
        <w:autoSpaceDE w:val="0"/>
        <w:autoSpaceDN w:val="0"/>
        <w:adjustRightInd w:val="0"/>
        <w:spacing w:before="120" w:after="120"/>
        <w:ind w:left="709" w:hanging="709"/>
        <w:jc w:val="both"/>
        <w:rPr>
          <w:color w:val="333333"/>
          <w:shd w:val="clear" w:color="auto" w:fill="FFFFFF"/>
        </w:rPr>
      </w:pPr>
      <w:r w:rsidRPr="00A12B32">
        <w:rPr>
          <w:color w:val="333333"/>
          <w:shd w:val="clear" w:color="auto" w:fill="FFFFFF"/>
        </w:rPr>
        <w:t xml:space="preserve">Holzner, M. (2011). Tourism and Economic Development: The Beach Disease? </w:t>
      </w:r>
      <w:r w:rsidRPr="00A12B32">
        <w:rPr>
          <w:i/>
          <w:color w:val="333333"/>
          <w:shd w:val="clear" w:color="auto" w:fill="FFFFFF"/>
        </w:rPr>
        <w:t>Tourism Management</w:t>
      </w:r>
      <w:r w:rsidRPr="00A12B32">
        <w:rPr>
          <w:color w:val="333333"/>
          <w:shd w:val="clear" w:color="auto" w:fill="FFFFFF"/>
        </w:rPr>
        <w:t>, 32, 922-933.</w:t>
      </w:r>
    </w:p>
    <w:p w:rsidR="00FE1ABE" w:rsidRPr="00A12B32" w:rsidRDefault="00FE1ABE" w:rsidP="00A12B32">
      <w:pPr>
        <w:autoSpaceDE w:val="0"/>
        <w:autoSpaceDN w:val="0"/>
        <w:adjustRightInd w:val="0"/>
        <w:spacing w:before="120" w:after="120"/>
        <w:ind w:left="709" w:hanging="709"/>
        <w:jc w:val="both"/>
        <w:rPr>
          <w:color w:val="333333"/>
          <w:shd w:val="clear" w:color="auto" w:fill="FFFFFF"/>
        </w:rPr>
      </w:pPr>
      <w:r w:rsidRPr="00A12B32">
        <w:rPr>
          <w:color w:val="333333"/>
          <w:shd w:val="clear" w:color="auto" w:fill="FFFFFF"/>
        </w:rPr>
        <w:t xml:space="preserve">Katircioglu, S. (2009). Tourism, Trade and Growth: The Case of Cyprus. </w:t>
      </w:r>
      <w:r w:rsidRPr="00A12B32">
        <w:rPr>
          <w:i/>
          <w:color w:val="333333"/>
          <w:shd w:val="clear" w:color="auto" w:fill="FFFFFF"/>
        </w:rPr>
        <w:t>Applied Economics</w:t>
      </w:r>
      <w:r w:rsidRPr="00A12B32">
        <w:rPr>
          <w:color w:val="333333"/>
          <w:shd w:val="clear" w:color="auto" w:fill="FFFFFF"/>
        </w:rPr>
        <w:t>, 41(21), 2741-2750.</w:t>
      </w:r>
    </w:p>
    <w:p w:rsidR="00FE1ABE" w:rsidRPr="00A12B32" w:rsidRDefault="00FE1ABE" w:rsidP="00A12B32">
      <w:pPr>
        <w:autoSpaceDE w:val="0"/>
        <w:autoSpaceDN w:val="0"/>
        <w:adjustRightInd w:val="0"/>
        <w:spacing w:before="120" w:after="120"/>
        <w:ind w:left="709" w:hanging="709"/>
        <w:jc w:val="both"/>
        <w:rPr>
          <w:color w:val="333333"/>
          <w:shd w:val="clear" w:color="auto" w:fill="FFFFFF"/>
        </w:rPr>
      </w:pPr>
      <w:r w:rsidRPr="00A12B32">
        <w:rPr>
          <w:color w:val="333333"/>
          <w:shd w:val="clear" w:color="auto" w:fill="FFFFFF"/>
        </w:rPr>
        <w:t xml:space="preserve">Kim, H.J., Chen, M.H. &amp; Jang, S.S. (2006). Tourism Expansion and Economic Development: The case of Taiwan. </w:t>
      </w:r>
      <w:r w:rsidRPr="00A12B32">
        <w:rPr>
          <w:i/>
          <w:color w:val="333333"/>
          <w:shd w:val="clear" w:color="auto" w:fill="FFFFFF"/>
        </w:rPr>
        <w:t>Tourism Management</w:t>
      </w:r>
      <w:r w:rsidRPr="00A12B32">
        <w:rPr>
          <w:color w:val="333333"/>
          <w:shd w:val="clear" w:color="auto" w:fill="FFFFFF"/>
        </w:rPr>
        <w:t>, 27(5), 925-933.</w:t>
      </w:r>
    </w:p>
    <w:p w:rsidR="00FE1ABE" w:rsidRPr="00A12B32" w:rsidRDefault="00FE1ABE" w:rsidP="00A12B32">
      <w:pPr>
        <w:autoSpaceDE w:val="0"/>
        <w:autoSpaceDN w:val="0"/>
        <w:adjustRightInd w:val="0"/>
        <w:spacing w:before="120" w:after="120"/>
        <w:ind w:left="709" w:hanging="709"/>
        <w:jc w:val="both"/>
        <w:rPr>
          <w:color w:val="333333"/>
          <w:shd w:val="clear" w:color="auto" w:fill="FFFFFF"/>
        </w:rPr>
      </w:pPr>
      <w:r w:rsidRPr="00A12B32">
        <w:rPr>
          <w:color w:val="333333"/>
          <w:shd w:val="clear" w:color="auto" w:fill="FFFFFF"/>
        </w:rPr>
        <w:t xml:space="preserve">Kızılgöl, Ö. &amp; Erbaykal, E. (2008). The Relationship Between Tourism Revenues and Economic Growth in Turkey: A Causality Analysis. </w:t>
      </w:r>
      <w:r w:rsidRPr="00A12B32">
        <w:rPr>
          <w:i/>
          <w:color w:val="333333"/>
          <w:shd w:val="clear" w:color="auto" w:fill="FFFFFF"/>
        </w:rPr>
        <w:t>Suleyman Demirel University The Journal of Economics and Administrative Sciences</w:t>
      </w:r>
      <w:r w:rsidRPr="00A12B32">
        <w:rPr>
          <w:color w:val="333333"/>
          <w:shd w:val="clear" w:color="auto" w:fill="FFFFFF"/>
        </w:rPr>
        <w:t>, 13(2), 351-360.</w:t>
      </w:r>
    </w:p>
    <w:p w:rsidR="00FE1ABE" w:rsidRPr="00A12B32" w:rsidRDefault="00FE1ABE" w:rsidP="00A12B32">
      <w:pPr>
        <w:autoSpaceDE w:val="0"/>
        <w:autoSpaceDN w:val="0"/>
        <w:adjustRightInd w:val="0"/>
        <w:spacing w:before="120" w:after="120"/>
        <w:ind w:left="709" w:hanging="709"/>
        <w:jc w:val="both"/>
        <w:rPr>
          <w:color w:val="333333"/>
          <w:shd w:val="clear" w:color="auto" w:fill="FFFFFF"/>
        </w:rPr>
      </w:pPr>
      <w:r w:rsidRPr="00A12B32">
        <w:rPr>
          <w:color w:val="333333"/>
          <w:shd w:val="clear" w:color="auto" w:fill="FFFFFF"/>
        </w:rPr>
        <w:t xml:space="preserve">Kreishan, F. M. M. (2010). Tourism and Economic Growth: The Case of Jordan. </w:t>
      </w:r>
      <w:r w:rsidRPr="00A12B32">
        <w:rPr>
          <w:i/>
          <w:color w:val="333333"/>
          <w:shd w:val="clear" w:color="auto" w:fill="FFFFFF"/>
        </w:rPr>
        <w:t>European Journal of Social Sciences</w:t>
      </w:r>
      <w:r w:rsidRPr="00A12B32">
        <w:rPr>
          <w:color w:val="333333"/>
          <w:shd w:val="clear" w:color="auto" w:fill="FFFFFF"/>
        </w:rPr>
        <w:t>, 15(2), 63-68.</w:t>
      </w:r>
    </w:p>
    <w:p w:rsidR="00FE1ABE" w:rsidRPr="00A12B32" w:rsidRDefault="00FE1ABE" w:rsidP="00A12B32">
      <w:pPr>
        <w:autoSpaceDE w:val="0"/>
        <w:autoSpaceDN w:val="0"/>
        <w:adjustRightInd w:val="0"/>
        <w:spacing w:before="120" w:after="120"/>
        <w:ind w:left="709" w:hanging="709"/>
        <w:jc w:val="both"/>
        <w:rPr>
          <w:color w:val="333333"/>
          <w:shd w:val="clear" w:color="auto" w:fill="FFFFFF"/>
        </w:rPr>
      </w:pPr>
      <w:r w:rsidRPr="00A12B32">
        <w:rPr>
          <w:shd w:val="clear" w:color="auto" w:fill="FFFFFF"/>
        </w:rPr>
        <w:t>Kum, H., Aslan, A. &amp; Gungor</w:t>
      </w:r>
      <w:r w:rsidRPr="00A12B32">
        <w:rPr>
          <w:color w:val="333333"/>
          <w:shd w:val="clear" w:color="auto" w:fill="FFFFFF"/>
        </w:rPr>
        <w:t xml:space="preserve">, M. (2015). Tourism and Economic Growth: The Case of Next-11 Countries. </w:t>
      </w:r>
      <w:r w:rsidRPr="00A12B32">
        <w:rPr>
          <w:i/>
          <w:color w:val="333333"/>
          <w:shd w:val="clear" w:color="auto" w:fill="FFFFFF"/>
        </w:rPr>
        <w:t>International Journal of Economics and Financial Issues</w:t>
      </w:r>
      <w:r w:rsidRPr="00A12B32">
        <w:rPr>
          <w:color w:val="333333"/>
          <w:shd w:val="clear" w:color="auto" w:fill="FFFFFF"/>
        </w:rPr>
        <w:t>, 5(4), 1075-1081.</w:t>
      </w:r>
    </w:p>
    <w:p w:rsidR="00FE1ABE" w:rsidRPr="00A12B32" w:rsidRDefault="00FE1ABE" w:rsidP="00A12B32">
      <w:pPr>
        <w:autoSpaceDE w:val="0"/>
        <w:autoSpaceDN w:val="0"/>
        <w:adjustRightInd w:val="0"/>
        <w:spacing w:before="120" w:after="120"/>
        <w:ind w:left="709" w:hanging="709"/>
        <w:jc w:val="both"/>
        <w:rPr>
          <w:color w:val="333333"/>
          <w:shd w:val="clear" w:color="auto" w:fill="FFFFFF"/>
        </w:rPr>
      </w:pPr>
      <w:r w:rsidRPr="00A12B32">
        <w:rPr>
          <w:color w:val="333333"/>
          <w:shd w:val="clear" w:color="auto" w:fill="FFFFFF"/>
        </w:rPr>
        <w:t xml:space="preserve">Lanza, A. &amp; Pigliaru, F. (2000a), Tourism and Economic Growth: Does a Country’s Size Matter?. </w:t>
      </w:r>
      <w:r w:rsidRPr="00A12B32">
        <w:rPr>
          <w:i/>
          <w:color w:val="333333"/>
          <w:shd w:val="clear" w:color="auto" w:fill="FFFFFF"/>
        </w:rPr>
        <w:t>Rivista Internazionale di Scienze Economiche e Commerciali</w:t>
      </w:r>
      <w:r w:rsidRPr="00A12B32">
        <w:rPr>
          <w:color w:val="333333"/>
          <w:shd w:val="clear" w:color="auto" w:fill="FFFFFF"/>
        </w:rPr>
        <w:t>, 47, 77-85.</w:t>
      </w:r>
    </w:p>
    <w:p w:rsidR="00FE1ABE" w:rsidRPr="00A12B32" w:rsidRDefault="00FE1ABE" w:rsidP="00A12B32">
      <w:pPr>
        <w:autoSpaceDE w:val="0"/>
        <w:autoSpaceDN w:val="0"/>
        <w:adjustRightInd w:val="0"/>
        <w:spacing w:before="120" w:after="120"/>
        <w:ind w:left="709" w:hanging="709"/>
        <w:jc w:val="both"/>
        <w:rPr>
          <w:color w:val="333333"/>
          <w:shd w:val="clear" w:color="auto" w:fill="FFFFFF"/>
        </w:rPr>
      </w:pPr>
      <w:r w:rsidRPr="00A12B32">
        <w:rPr>
          <w:color w:val="333333"/>
          <w:shd w:val="clear" w:color="auto" w:fill="FFFFFF"/>
        </w:rPr>
        <w:t xml:space="preserve">Lee, C. G. (2008). Tourism and Economic Growth: The Case of Singapore, </w:t>
      </w:r>
      <w:r w:rsidRPr="00A12B32">
        <w:rPr>
          <w:i/>
          <w:color w:val="333333"/>
          <w:shd w:val="clear" w:color="auto" w:fill="FFFFFF"/>
        </w:rPr>
        <w:t>Regional and Sectoral Economic Studies</w:t>
      </w:r>
      <w:r w:rsidRPr="00A12B32">
        <w:rPr>
          <w:color w:val="333333"/>
          <w:shd w:val="clear" w:color="auto" w:fill="FFFFFF"/>
        </w:rPr>
        <w:t>, 8(1), 90-98.</w:t>
      </w:r>
    </w:p>
    <w:p w:rsidR="00FE1ABE" w:rsidRPr="00A12B32" w:rsidRDefault="00FE1ABE" w:rsidP="00A12B32">
      <w:pPr>
        <w:autoSpaceDE w:val="0"/>
        <w:autoSpaceDN w:val="0"/>
        <w:adjustRightInd w:val="0"/>
        <w:spacing w:before="120" w:after="120"/>
        <w:ind w:left="709" w:hanging="709"/>
        <w:jc w:val="both"/>
        <w:rPr>
          <w:color w:val="333333"/>
          <w:shd w:val="clear" w:color="auto" w:fill="FFFFFF"/>
        </w:rPr>
      </w:pPr>
      <w:r w:rsidRPr="00A12B32">
        <w:rPr>
          <w:color w:val="333333"/>
          <w:shd w:val="clear" w:color="auto" w:fill="FFFFFF"/>
        </w:rPr>
        <w:t xml:space="preserve">Lee, J.W. &amp; Brahmasrene, T. (2013). Investigating the Influence of Tourism on Economic Growth and Carbon Emissions: Evidence from Panel Analysis of the European Union. </w:t>
      </w:r>
      <w:r w:rsidRPr="00A12B32">
        <w:rPr>
          <w:i/>
          <w:color w:val="333333"/>
          <w:shd w:val="clear" w:color="auto" w:fill="FFFFFF"/>
        </w:rPr>
        <w:t>Tourism Management</w:t>
      </w:r>
      <w:r w:rsidRPr="00A12B32">
        <w:rPr>
          <w:color w:val="333333"/>
          <w:shd w:val="clear" w:color="auto" w:fill="FFFFFF"/>
        </w:rPr>
        <w:t>, 38, 69-76.</w:t>
      </w:r>
    </w:p>
    <w:p w:rsidR="00FE1ABE" w:rsidRPr="00A12B32" w:rsidRDefault="00A01DF3" w:rsidP="00A12B32">
      <w:pPr>
        <w:autoSpaceDE w:val="0"/>
        <w:autoSpaceDN w:val="0"/>
        <w:adjustRightInd w:val="0"/>
        <w:spacing w:before="120" w:after="120"/>
        <w:ind w:left="709" w:hanging="709"/>
        <w:jc w:val="both"/>
        <w:rPr>
          <w:color w:val="333333"/>
          <w:shd w:val="clear" w:color="auto" w:fill="FFFFFF"/>
        </w:rPr>
      </w:pPr>
      <w:r w:rsidRPr="00A12B32">
        <w:rPr>
          <w:color w:val="333333"/>
          <w:shd w:val="clear" w:color="auto" w:fill="FFFFFF"/>
        </w:rPr>
        <w:t>Oh</w:t>
      </w:r>
      <w:r w:rsidR="00FE1ABE" w:rsidRPr="00A12B32">
        <w:rPr>
          <w:color w:val="333333"/>
          <w:shd w:val="clear" w:color="auto" w:fill="FFFFFF"/>
        </w:rPr>
        <w:t xml:space="preserve">, C. (2005). The Contribution of Tourism Development to Economic Growth in the Korean Economy, </w:t>
      </w:r>
      <w:r w:rsidR="00FE1ABE" w:rsidRPr="00A12B32">
        <w:rPr>
          <w:i/>
          <w:color w:val="333333"/>
          <w:shd w:val="clear" w:color="auto" w:fill="FFFFFF"/>
        </w:rPr>
        <w:t>Tourism Management</w:t>
      </w:r>
      <w:r w:rsidR="00FE1ABE" w:rsidRPr="00A12B32">
        <w:rPr>
          <w:color w:val="333333"/>
          <w:shd w:val="clear" w:color="auto" w:fill="FFFFFF"/>
        </w:rPr>
        <w:t>, 26, 39-44.</w:t>
      </w:r>
    </w:p>
    <w:p w:rsidR="00FE1ABE" w:rsidRPr="00A12B32" w:rsidRDefault="00FE1ABE" w:rsidP="00A12B32">
      <w:pPr>
        <w:autoSpaceDE w:val="0"/>
        <w:autoSpaceDN w:val="0"/>
        <w:adjustRightInd w:val="0"/>
        <w:spacing w:before="120" w:after="120"/>
        <w:ind w:left="709" w:hanging="709"/>
        <w:jc w:val="both"/>
        <w:rPr>
          <w:color w:val="333333"/>
          <w:shd w:val="clear" w:color="auto" w:fill="FFFFFF"/>
        </w:rPr>
      </w:pPr>
      <w:r w:rsidRPr="00A12B32">
        <w:rPr>
          <w:color w:val="333333"/>
          <w:shd w:val="clear" w:color="auto" w:fill="FFFFFF"/>
        </w:rPr>
        <w:t xml:space="preserve">Ozturk, I., &amp; Acaravci, A. (2009). On the Causality between Tourism Growth and Economic Growth: Empirical Evidence from Turkey. </w:t>
      </w:r>
      <w:r w:rsidRPr="00A12B32">
        <w:rPr>
          <w:i/>
          <w:color w:val="333333"/>
          <w:shd w:val="clear" w:color="auto" w:fill="FFFFFF"/>
        </w:rPr>
        <w:t>Transylvanian Review of</w:t>
      </w:r>
      <w:r w:rsidR="00776E36">
        <w:rPr>
          <w:i/>
          <w:color w:val="333333"/>
          <w:shd w:val="clear" w:color="auto" w:fill="FFFFFF"/>
        </w:rPr>
        <w:t xml:space="preserve"> </w:t>
      </w:r>
      <w:r w:rsidRPr="00A12B32">
        <w:rPr>
          <w:i/>
          <w:color w:val="333333"/>
          <w:shd w:val="clear" w:color="auto" w:fill="FFFFFF"/>
        </w:rPr>
        <w:t>Administrative Sciences</w:t>
      </w:r>
      <w:r w:rsidRPr="00A12B32">
        <w:rPr>
          <w:color w:val="333333"/>
          <w:shd w:val="clear" w:color="auto" w:fill="FFFFFF"/>
        </w:rPr>
        <w:t>, 5(25), 73-81.</w:t>
      </w:r>
    </w:p>
    <w:p w:rsidR="00FE1ABE" w:rsidRPr="00A12B32" w:rsidRDefault="00FE1ABE" w:rsidP="00A12B32">
      <w:pPr>
        <w:autoSpaceDE w:val="0"/>
        <w:autoSpaceDN w:val="0"/>
        <w:adjustRightInd w:val="0"/>
        <w:spacing w:before="120" w:after="120"/>
        <w:ind w:left="709" w:hanging="709"/>
        <w:jc w:val="both"/>
        <w:rPr>
          <w:color w:val="333333"/>
          <w:shd w:val="clear" w:color="auto" w:fill="FFFFFF"/>
        </w:rPr>
      </w:pPr>
      <w:r w:rsidRPr="00A12B32">
        <w:rPr>
          <w:color w:val="333333"/>
          <w:shd w:val="clear" w:color="auto" w:fill="FFFFFF"/>
        </w:rPr>
        <w:t xml:space="preserve">Pavlic, I., Tolic, M. S. &amp; Svilokos, T. (2014). Tourism, Real Effective Exchange Rate and Economic Growth: Empirical Evidence for Croatia. </w:t>
      </w:r>
      <w:r w:rsidRPr="00A12B32">
        <w:rPr>
          <w:i/>
          <w:color w:val="333333"/>
          <w:shd w:val="clear" w:color="auto" w:fill="FFFFFF"/>
        </w:rPr>
        <w:t>International Journal of Tourism Research</w:t>
      </w:r>
      <w:r w:rsidRPr="00A12B32">
        <w:rPr>
          <w:color w:val="333333"/>
          <w:shd w:val="clear" w:color="auto" w:fill="FFFFFF"/>
        </w:rPr>
        <w:t>, 17(3), 282-291.</w:t>
      </w:r>
    </w:p>
    <w:p w:rsidR="00FE1ABE" w:rsidRPr="00A12B32" w:rsidRDefault="00FE1ABE" w:rsidP="00A12B32">
      <w:pPr>
        <w:autoSpaceDE w:val="0"/>
        <w:autoSpaceDN w:val="0"/>
        <w:adjustRightInd w:val="0"/>
        <w:spacing w:before="120" w:after="120"/>
        <w:ind w:left="709" w:hanging="709"/>
        <w:jc w:val="both"/>
        <w:rPr>
          <w:color w:val="333333"/>
          <w:shd w:val="clear" w:color="auto" w:fill="FFFFFF"/>
        </w:rPr>
      </w:pPr>
      <w:r w:rsidRPr="00A12B32">
        <w:rPr>
          <w:color w:val="333333"/>
          <w:shd w:val="clear" w:color="auto" w:fill="FFFFFF"/>
        </w:rPr>
        <w:lastRenderedPageBreak/>
        <w:t xml:space="preserve">Payne, J.E. &amp; Mervar, A. (2010). Research Note: The Tourism-Growth Nexus in Croatia. </w:t>
      </w:r>
      <w:r w:rsidRPr="00A12B32">
        <w:rPr>
          <w:i/>
          <w:color w:val="333333"/>
          <w:shd w:val="clear" w:color="auto" w:fill="FFFFFF"/>
        </w:rPr>
        <w:t>Tourism Economics</w:t>
      </w:r>
      <w:r w:rsidRPr="00A12B32">
        <w:rPr>
          <w:color w:val="333333"/>
          <w:shd w:val="clear" w:color="auto" w:fill="FFFFFF"/>
        </w:rPr>
        <w:t>, 16(4), 1089-1094.</w:t>
      </w:r>
    </w:p>
    <w:p w:rsidR="00FE1ABE" w:rsidRPr="00A12B32" w:rsidRDefault="00FE1ABE" w:rsidP="00A12B32">
      <w:pPr>
        <w:autoSpaceDE w:val="0"/>
        <w:autoSpaceDN w:val="0"/>
        <w:adjustRightInd w:val="0"/>
        <w:spacing w:before="120" w:after="120"/>
        <w:ind w:left="709" w:hanging="709"/>
        <w:jc w:val="both"/>
        <w:rPr>
          <w:color w:val="333333"/>
          <w:shd w:val="clear" w:color="auto" w:fill="FFFFFF"/>
        </w:rPr>
      </w:pPr>
      <w:r w:rsidRPr="00A12B32">
        <w:rPr>
          <w:color w:val="333333"/>
          <w:shd w:val="clear" w:color="auto" w:fill="FFFFFF"/>
        </w:rPr>
        <w:t xml:space="preserve">Po, W. &amp; Huang, B. (2008). Tourism Development and Economic Growth - A Nonlinear Approach. </w:t>
      </w:r>
      <w:r w:rsidRPr="00A12B32">
        <w:rPr>
          <w:i/>
          <w:color w:val="333333"/>
          <w:shd w:val="clear" w:color="auto" w:fill="FFFFFF"/>
        </w:rPr>
        <w:t>Physica A: Statistical Mechanics and its Applications</w:t>
      </w:r>
      <w:r w:rsidRPr="00A12B32">
        <w:rPr>
          <w:color w:val="333333"/>
          <w:shd w:val="clear" w:color="auto" w:fill="FFFFFF"/>
        </w:rPr>
        <w:t>, 387(22), 5535-5542.</w:t>
      </w:r>
    </w:p>
    <w:p w:rsidR="00FE1ABE" w:rsidRPr="00A12B32" w:rsidRDefault="00FE1ABE" w:rsidP="00A12B32">
      <w:pPr>
        <w:autoSpaceDE w:val="0"/>
        <w:autoSpaceDN w:val="0"/>
        <w:adjustRightInd w:val="0"/>
        <w:spacing w:before="120" w:after="120"/>
        <w:ind w:left="709" w:hanging="709"/>
        <w:jc w:val="both"/>
        <w:rPr>
          <w:color w:val="333333"/>
          <w:shd w:val="clear" w:color="auto" w:fill="FFFFFF"/>
        </w:rPr>
      </w:pPr>
      <w:r w:rsidRPr="00A12B32">
        <w:rPr>
          <w:color w:val="333333"/>
          <w:shd w:val="clear" w:color="auto" w:fill="FFFFFF"/>
        </w:rPr>
        <w:t xml:space="preserve">Proença, S., &amp; Soukiazis, E. (2008). Tourism as a Long Run Economic Growth Factor: A case Study for Southern European Countries. </w:t>
      </w:r>
      <w:r w:rsidRPr="00A12B32">
        <w:rPr>
          <w:i/>
          <w:color w:val="333333"/>
          <w:shd w:val="clear" w:color="auto" w:fill="FFFFFF"/>
        </w:rPr>
        <w:t>Tourism Economics</w:t>
      </w:r>
      <w:r w:rsidRPr="00A12B32">
        <w:rPr>
          <w:color w:val="333333"/>
          <w:shd w:val="clear" w:color="auto" w:fill="FFFFFF"/>
        </w:rPr>
        <w:t>, 14, 791-806.</w:t>
      </w:r>
    </w:p>
    <w:p w:rsidR="00FE1ABE" w:rsidRPr="00A12B32" w:rsidRDefault="00FE1ABE" w:rsidP="00A12B32">
      <w:pPr>
        <w:autoSpaceDE w:val="0"/>
        <w:autoSpaceDN w:val="0"/>
        <w:adjustRightInd w:val="0"/>
        <w:spacing w:before="120" w:after="120"/>
        <w:ind w:left="709" w:hanging="709"/>
        <w:jc w:val="both"/>
        <w:rPr>
          <w:color w:val="333333"/>
          <w:shd w:val="clear" w:color="auto" w:fill="FFFFFF"/>
        </w:rPr>
      </w:pPr>
      <w:r w:rsidRPr="00A12B32">
        <w:rPr>
          <w:color w:val="333333"/>
          <w:shd w:val="clear" w:color="auto" w:fill="FFFFFF"/>
        </w:rPr>
        <w:t xml:space="preserve">Seetanah, B. (2010). Assessing the Dynamic Economic Impact of Tourism for Island economies. </w:t>
      </w:r>
      <w:r w:rsidRPr="00A12B32">
        <w:rPr>
          <w:i/>
          <w:color w:val="333333"/>
          <w:shd w:val="clear" w:color="auto" w:fill="FFFFFF"/>
        </w:rPr>
        <w:t>Annals of Tourism Research</w:t>
      </w:r>
      <w:r w:rsidRPr="00A12B32">
        <w:rPr>
          <w:color w:val="333333"/>
          <w:shd w:val="clear" w:color="auto" w:fill="FFFFFF"/>
        </w:rPr>
        <w:t>, 38(1), 291-308.</w:t>
      </w:r>
    </w:p>
    <w:p w:rsidR="00FE1ABE" w:rsidRPr="00A12B32" w:rsidRDefault="00FE1ABE" w:rsidP="00A12B32">
      <w:pPr>
        <w:autoSpaceDE w:val="0"/>
        <w:autoSpaceDN w:val="0"/>
        <w:adjustRightInd w:val="0"/>
        <w:spacing w:before="120" w:after="120"/>
        <w:ind w:left="709" w:hanging="709"/>
        <w:jc w:val="both"/>
        <w:rPr>
          <w:color w:val="333333"/>
          <w:shd w:val="clear" w:color="auto" w:fill="FFFFFF"/>
        </w:rPr>
      </w:pPr>
      <w:r w:rsidRPr="00A12B32">
        <w:rPr>
          <w:color w:val="333333"/>
          <w:shd w:val="clear" w:color="auto" w:fill="FFFFFF"/>
        </w:rPr>
        <w:t xml:space="preserve">Samimi, A.J., Sadeghi, S. &amp; Sadeghi, S. (2011). Tourism and Economic Growth in Developing Countries: P-VAR Approach. </w:t>
      </w:r>
      <w:r w:rsidRPr="00A12B32">
        <w:rPr>
          <w:i/>
          <w:color w:val="333333"/>
          <w:shd w:val="clear" w:color="auto" w:fill="FFFFFF"/>
        </w:rPr>
        <w:t>Middle-East Journal of Scientific Research</w:t>
      </w:r>
      <w:r w:rsidRPr="00A12B32">
        <w:rPr>
          <w:color w:val="333333"/>
          <w:shd w:val="clear" w:color="auto" w:fill="FFFFFF"/>
        </w:rPr>
        <w:t>, 10(1), 28-32.</w:t>
      </w:r>
    </w:p>
    <w:p w:rsidR="00FE1ABE" w:rsidRPr="00A12B32" w:rsidRDefault="00FE1ABE" w:rsidP="00A12B32">
      <w:pPr>
        <w:autoSpaceDE w:val="0"/>
        <w:autoSpaceDN w:val="0"/>
        <w:adjustRightInd w:val="0"/>
        <w:spacing w:before="120" w:after="120"/>
        <w:ind w:left="709" w:hanging="709"/>
        <w:jc w:val="both"/>
        <w:rPr>
          <w:color w:val="333333"/>
          <w:shd w:val="clear" w:color="auto" w:fill="FFFFFF"/>
        </w:rPr>
      </w:pPr>
      <w:r w:rsidRPr="00A12B32">
        <w:rPr>
          <w:color w:val="333333"/>
          <w:shd w:val="clear" w:color="auto" w:fill="FFFFFF"/>
        </w:rPr>
        <w:t xml:space="preserve">Schubert, S.F., Brida, J.G. &amp; Risso, A. (2011). The Impacts of International Tourism Demand on Economic Growth of Small Economies Dependent on Tourism. </w:t>
      </w:r>
      <w:r w:rsidRPr="00A12B32">
        <w:rPr>
          <w:i/>
          <w:color w:val="333333"/>
          <w:shd w:val="clear" w:color="auto" w:fill="FFFFFF"/>
        </w:rPr>
        <w:t>Tourism Management</w:t>
      </w:r>
      <w:r w:rsidRPr="00A12B32">
        <w:rPr>
          <w:color w:val="333333"/>
          <w:shd w:val="clear" w:color="auto" w:fill="FFFFFF"/>
        </w:rPr>
        <w:t>, 32(2), 377-385.</w:t>
      </w:r>
    </w:p>
    <w:p w:rsidR="00FE1ABE" w:rsidRPr="00A12B32" w:rsidRDefault="00FE1ABE" w:rsidP="00A12B32">
      <w:pPr>
        <w:autoSpaceDE w:val="0"/>
        <w:autoSpaceDN w:val="0"/>
        <w:adjustRightInd w:val="0"/>
        <w:spacing w:before="120" w:after="120"/>
        <w:ind w:left="709" w:hanging="709"/>
        <w:jc w:val="both"/>
        <w:rPr>
          <w:color w:val="333333"/>
          <w:shd w:val="clear" w:color="auto" w:fill="FFFFFF"/>
        </w:rPr>
      </w:pPr>
      <w:r w:rsidRPr="00A12B32">
        <w:rPr>
          <w:color w:val="333333"/>
          <w:shd w:val="clear" w:color="auto" w:fill="FFFFFF"/>
        </w:rPr>
        <w:t xml:space="preserve">Seghir, G. S., Mostefa, B., Abbes, S. M. &amp; Zakarya, G. Y. (2015). Tourism Spending-Economic Growth Causality in 49 Countries: A Dynamic Panel Data Approach. </w:t>
      </w:r>
      <w:r w:rsidRPr="00A12B32">
        <w:rPr>
          <w:i/>
          <w:color w:val="333333"/>
          <w:shd w:val="clear" w:color="auto" w:fill="FFFFFF"/>
        </w:rPr>
        <w:t>Procedia Economics and Finance</w:t>
      </w:r>
      <w:r w:rsidRPr="00A12B32">
        <w:rPr>
          <w:color w:val="333333"/>
          <w:shd w:val="clear" w:color="auto" w:fill="FFFFFF"/>
        </w:rPr>
        <w:t>, 23, 1613-1623.</w:t>
      </w:r>
    </w:p>
    <w:p w:rsidR="00FE1ABE" w:rsidRPr="00A12B32" w:rsidRDefault="00FE1ABE" w:rsidP="00A12B32">
      <w:pPr>
        <w:autoSpaceDE w:val="0"/>
        <w:autoSpaceDN w:val="0"/>
        <w:adjustRightInd w:val="0"/>
        <w:spacing w:before="120" w:after="120"/>
        <w:ind w:left="709" w:hanging="709"/>
        <w:jc w:val="both"/>
        <w:rPr>
          <w:color w:val="333333"/>
          <w:shd w:val="clear" w:color="auto" w:fill="FFFFFF"/>
        </w:rPr>
      </w:pPr>
      <w:r w:rsidRPr="00A12B32">
        <w:rPr>
          <w:color w:val="333333"/>
          <w:shd w:val="clear" w:color="auto" w:fill="FFFFFF"/>
        </w:rPr>
        <w:t>Sequeira, T. N. &amp; Campos, C. (2005). International</w:t>
      </w:r>
      <w:r w:rsidRPr="00A12B32">
        <w:rPr>
          <w:color w:val="333333"/>
          <w:shd w:val="clear" w:color="auto" w:fill="FFFFFF"/>
        </w:rPr>
        <w:tab/>
        <w:t xml:space="preserve"> Tourism and Economic Growth: A Panel Data Approach, FEEM Working Paper, 141.</w:t>
      </w:r>
    </w:p>
    <w:p w:rsidR="00FE1ABE" w:rsidRPr="00A12B32" w:rsidRDefault="00FE1ABE" w:rsidP="00A12B32">
      <w:pPr>
        <w:autoSpaceDE w:val="0"/>
        <w:autoSpaceDN w:val="0"/>
        <w:adjustRightInd w:val="0"/>
        <w:spacing w:before="120" w:after="120"/>
        <w:ind w:left="709" w:hanging="709"/>
        <w:jc w:val="both"/>
        <w:rPr>
          <w:color w:val="333333"/>
          <w:shd w:val="clear" w:color="auto" w:fill="FFFFFF"/>
        </w:rPr>
      </w:pPr>
      <w:r w:rsidRPr="00A12B32">
        <w:rPr>
          <w:color w:val="333333"/>
          <w:shd w:val="clear" w:color="auto" w:fill="FFFFFF"/>
        </w:rPr>
        <w:t>Sequeira, T. N.  &amp; Nunes, P. M. (2008). Does Tourism Influence Economic Growth? A dynamic panel data approach. Applied Economics, 40, 2431-2441.</w:t>
      </w:r>
    </w:p>
    <w:p w:rsidR="00FE1ABE" w:rsidRPr="00A12B32" w:rsidRDefault="00FE1ABE" w:rsidP="00A12B32">
      <w:pPr>
        <w:autoSpaceDE w:val="0"/>
        <w:autoSpaceDN w:val="0"/>
        <w:adjustRightInd w:val="0"/>
        <w:spacing w:before="120" w:after="120"/>
        <w:ind w:left="709" w:hanging="709"/>
        <w:jc w:val="both"/>
        <w:rPr>
          <w:color w:val="333333"/>
          <w:shd w:val="clear" w:color="auto" w:fill="FFFFFF"/>
        </w:rPr>
      </w:pPr>
      <w:r w:rsidRPr="00A12B32">
        <w:rPr>
          <w:color w:val="333333"/>
          <w:shd w:val="clear" w:color="auto" w:fill="FFFFFF"/>
        </w:rPr>
        <w:t>Shahzad, S. J. H., Shahbaz, M., Ferrer, R. &amp; Kumar, R. R. (2017). Tourism-led Growth Hypothesis in the Top Ten Tourist Destinations: New Evidence Using the Quantile-on-Quantile</w:t>
      </w:r>
      <w:r w:rsidR="00323B15" w:rsidRPr="00A12B32">
        <w:rPr>
          <w:color w:val="333333"/>
          <w:shd w:val="clear" w:color="auto" w:fill="FFFFFF"/>
        </w:rPr>
        <w:t xml:space="preserve"> </w:t>
      </w:r>
      <w:r w:rsidRPr="00A12B32">
        <w:rPr>
          <w:color w:val="333333"/>
          <w:shd w:val="clear" w:color="auto" w:fill="FFFFFF"/>
        </w:rPr>
        <w:t xml:space="preserve">Approach. </w:t>
      </w:r>
      <w:r w:rsidRPr="00A12B32">
        <w:rPr>
          <w:i/>
          <w:color w:val="333333"/>
          <w:shd w:val="clear" w:color="auto" w:fill="FFFFFF"/>
        </w:rPr>
        <w:t>Tourism Management</w:t>
      </w:r>
      <w:r w:rsidRPr="00A12B32">
        <w:rPr>
          <w:color w:val="333333"/>
          <w:shd w:val="clear" w:color="auto" w:fill="FFFFFF"/>
        </w:rPr>
        <w:t>, 60, 223-232.</w:t>
      </w:r>
    </w:p>
    <w:p w:rsidR="00FE1ABE" w:rsidRPr="00A12B32" w:rsidRDefault="00FE1ABE" w:rsidP="00A12B32">
      <w:pPr>
        <w:autoSpaceDE w:val="0"/>
        <w:autoSpaceDN w:val="0"/>
        <w:adjustRightInd w:val="0"/>
        <w:spacing w:before="120" w:after="120"/>
        <w:ind w:left="709" w:hanging="709"/>
        <w:jc w:val="both"/>
        <w:rPr>
          <w:color w:val="333333"/>
          <w:shd w:val="clear" w:color="auto" w:fill="FFFFFF"/>
        </w:rPr>
      </w:pPr>
      <w:r w:rsidRPr="00A12B32">
        <w:rPr>
          <w:color w:val="333333"/>
          <w:shd w:val="clear" w:color="auto" w:fill="FFFFFF"/>
        </w:rPr>
        <w:t xml:space="preserve">Suresh, J. &amp; Senthilnathan, S. (‎2014). Relationship Between Tourism and Economic Growth in Sri Lanka. Economic Issues in Sri Lanka, 115-132. </w:t>
      </w:r>
    </w:p>
    <w:p w:rsidR="00FE1ABE" w:rsidRPr="00A12B32" w:rsidRDefault="00FE1ABE" w:rsidP="00A12B32">
      <w:pPr>
        <w:autoSpaceDE w:val="0"/>
        <w:autoSpaceDN w:val="0"/>
        <w:adjustRightInd w:val="0"/>
        <w:spacing w:before="120" w:after="120"/>
        <w:ind w:left="709" w:hanging="709"/>
        <w:jc w:val="both"/>
        <w:rPr>
          <w:color w:val="333333"/>
          <w:shd w:val="clear" w:color="auto" w:fill="FFFFFF"/>
        </w:rPr>
      </w:pPr>
      <w:r w:rsidRPr="00A12B32">
        <w:rPr>
          <w:color w:val="333333"/>
          <w:shd w:val="clear" w:color="auto" w:fill="FFFFFF"/>
        </w:rPr>
        <w:t xml:space="preserve">Tang, C.F. &amp; Abosedra, S. (2014). The Impacts of Tourism, Energy Consumption and Political Instability on Economic Growth in the MENA countries. </w:t>
      </w:r>
      <w:r w:rsidRPr="00A12B32">
        <w:rPr>
          <w:i/>
          <w:color w:val="333333"/>
          <w:shd w:val="clear" w:color="auto" w:fill="FFFFFF"/>
        </w:rPr>
        <w:t>Energy Policy</w:t>
      </w:r>
      <w:r w:rsidRPr="00A12B32">
        <w:rPr>
          <w:color w:val="333333"/>
          <w:shd w:val="clear" w:color="auto" w:fill="FFFFFF"/>
        </w:rPr>
        <w:t>, 68, 458-464.</w:t>
      </w:r>
    </w:p>
    <w:p w:rsidR="00FE1ABE" w:rsidRPr="00A12B32" w:rsidRDefault="00FE1ABE" w:rsidP="00A12B32">
      <w:pPr>
        <w:autoSpaceDE w:val="0"/>
        <w:autoSpaceDN w:val="0"/>
        <w:adjustRightInd w:val="0"/>
        <w:spacing w:before="120" w:after="120"/>
        <w:ind w:left="709" w:hanging="709"/>
        <w:jc w:val="both"/>
        <w:rPr>
          <w:color w:val="333333"/>
          <w:shd w:val="clear" w:color="auto" w:fill="FFFFFF"/>
        </w:rPr>
      </w:pPr>
      <w:r w:rsidRPr="00A12B32">
        <w:rPr>
          <w:color w:val="333333"/>
          <w:shd w:val="clear" w:color="auto" w:fill="FFFFFF"/>
        </w:rPr>
        <w:t xml:space="preserve">Tang, C.F. &amp; Tan, E.C. (2013), How Stable is the Tourism-led Growth Hypothesis in Malaysia? Evidence from Disaggregated Tourism Markets. </w:t>
      </w:r>
      <w:r w:rsidRPr="00A12B32">
        <w:rPr>
          <w:i/>
          <w:color w:val="333333"/>
          <w:shd w:val="clear" w:color="auto" w:fill="FFFFFF"/>
        </w:rPr>
        <w:t>Tourism Management</w:t>
      </w:r>
      <w:r w:rsidRPr="00A12B32">
        <w:rPr>
          <w:color w:val="333333"/>
          <w:shd w:val="clear" w:color="auto" w:fill="FFFFFF"/>
        </w:rPr>
        <w:t>, 37, 52-57.</w:t>
      </w:r>
    </w:p>
    <w:p w:rsidR="00FE1ABE" w:rsidRPr="00A12B32" w:rsidRDefault="00FE1ABE" w:rsidP="00A12B32">
      <w:pPr>
        <w:autoSpaceDE w:val="0"/>
        <w:autoSpaceDN w:val="0"/>
        <w:adjustRightInd w:val="0"/>
        <w:spacing w:before="120" w:after="120"/>
        <w:ind w:left="709" w:hanging="709"/>
        <w:jc w:val="both"/>
        <w:rPr>
          <w:color w:val="333333"/>
          <w:shd w:val="clear" w:color="auto" w:fill="FFFFFF"/>
        </w:rPr>
      </w:pPr>
      <w:r w:rsidRPr="00A12B32">
        <w:rPr>
          <w:color w:val="333333"/>
          <w:shd w:val="clear" w:color="auto" w:fill="FFFFFF"/>
        </w:rPr>
        <w:t xml:space="preserve">Tang, C.H. &amp; Jang, S.C. (2009). The Tourism-Economy Causality in the United States: A Sub-Industry Level Examination. </w:t>
      </w:r>
      <w:r w:rsidRPr="00A12B32">
        <w:rPr>
          <w:i/>
          <w:color w:val="333333"/>
          <w:shd w:val="clear" w:color="auto" w:fill="FFFFFF"/>
        </w:rPr>
        <w:t>Tourism Management</w:t>
      </w:r>
      <w:r w:rsidRPr="00A12B32">
        <w:rPr>
          <w:color w:val="333333"/>
          <w:shd w:val="clear" w:color="auto" w:fill="FFFFFF"/>
        </w:rPr>
        <w:t>, 30(4), 553-558.</w:t>
      </w:r>
    </w:p>
    <w:p w:rsidR="00FE1ABE" w:rsidRPr="00A12B32" w:rsidRDefault="00FE1ABE" w:rsidP="00A12B32">
      <w:pPr>
        <w:autoSpaceDE w:val="0"/>
        <w:autoSpaceDN w:val="0"/>
        <w:adjustRightInd w:val="0"/>
        <w:spacing w:before="120" w:after="120"/>
        <w:ind w:left="709" w:hanging="709"/>
        <w:jc w:val="both"/>
        <w:rPr>
          <w:color w:val="333333"/>
          <w:shd w:val="clear" w:color="auto" w:fill="FFFFFF"/>
        </w:rPr>
      </w:pPr>
      <w:r w:rsidRPr="00A12B32">
        <w:rPr>
          <w:color w:val="333333"/>
          <w:shd w:val="clear" w:color="auto" w:fill="FFFFFF"/>
        </w:rPr>
        <w:t xml:space="preserve">Tugcu, C.T. (2014). Tourism and Economic Growth Nexus Revisited: A Panel Causality Analysis for the Case of the Mediterranean Region. </w:t>
      </w:r>
      <w:r w:rsidRPr="00A12B32">
        <w:rPr>
          <w:i/>
          <w:color w:val="333333"/>
          <w:shd w:val="clear" w:color="auto" w:fill="FFFFFF"/>
        </w:rPr>
        <w:t>Tourism Management</w:t>
      </w:r>
      <w:r w:rsidRPr="00A12B32">
        <w:rPr>
          <w:color w:val="333333"/>
          <w:shd w:val="clear" w:color="auto" w:fill="FFFFFF"/>
        </w:rPr>
        <w:t>, 42, 207-212.</w:t>
      </w:r>
    </w:p>
    <w:p w:rsidR="00FE1ABE" w:rsidRPr="00A12B32" w:rsidRDefault="00FE1ABE" w:rsidP="00A12B32">
      <w:pPr>
        <w:autoSpaceDE w:val="0"/>
        <w:autoSpaceDN w:val="0"/>
        <w:adjustRightInd w:val="0"/>
        <w:spacing w:before="120" w:after="120"/>
        <w:ind w:left="709" w:hanging="709"/>
        <w:jc w:val="both"/>
        <w:rPr>
          <w:color w:val="333333"/>
          <w:shd w:val="clear" w:color="auto" w:fill="FFFFFF"/>
        </w:rPr>
      </w:pPr>
      <w:r w:rsidRPr="00A12B32">
        <w:rPr>
          <w:color w:val="333333"/>
          <w:shd w:val="clear" w:color="auto" w:fill="FFFFFF"/>
        </w:rPr>
        <w:t xml:space="preserve">UNWTO (2011). Tourism Towards 2030 Global Overview, Retrieved from </w:t>
      </w:r>
      <w:hyperlink r:id="rId8" w:history="1">
        <w:r w:rsidRPr="00A12B32">
          <w:rPr>
            <w:rStyle w:val="Kpr"/>
          </w:rPr>
          <w:t>https://www.globalwellnesssummit.com/wp-content/uploads/Industry-Research/Global/2011_UNWTO_Tourism_Towards_2030.pdf</w:t>
        </w:r>
      </w:hyperlink>
    </w:p>
    <w:p w:rsidR="00FE1ABE" w:rsidRPr="00A12B32" w:rsidRDefault="00FE1ABE" w:rsidP="00A12B32">
      <w:pPr>
        <w:autoSpaceDE w:val="0"/>
        <w:autoSpaceDN w:val="0"/>
        <w:adjustRightInd w:val="0"/>
        <w:spacing w:before="120" w:after="120"/>
        <w:ind w:left="709" w:hanging="709"/>
        <w:jc w:val="both"/>
      </w:pPr>
      <w:r w:rsidRPr="00A12B32">
        <w:lastRenderedPageBreak/>
        <w:t xml:space="preserve">UNWTO (2018). Tourism Highlights 2018 Edition. Retrieved from </w:t>
      </w:r>
      <w:hyperlink r:id="rId9" w:history="1">
        <w:r w:rsidRPr="00A12B32">
          <w:rPr>
            <w:rStyle w:val="Kpr"/>
          </w:rPr>
          <w:t>https://www.e-unwto.org/doi/pdf/10.18111/9789284419876</w:t>
        </w:r>
      </w:hyperlink>
    </w:p>
    <w:p w:rsidR="00613B89" w:rsidRPr="001C781F" w:rsidRDefault="00FE1ABE" w:rsidP="00810647">
      <w:pPr>
        <w:autoSpaceDE w:val="0"/>
        <w:autoSpaceDN w:val="0"/>
        <w:adjustRightInd w:val="0"/>
        <w:spacing w:before="120" w:after="120"/>
        <w:ind w:left="709" w:hanging="709"/>
        <w:jc w:val="both"/>
        <w:rPr>
          <w:rFonts w:ascii="Helvetica" w:hAnsi="Helvetica"/>
          <w:color w:val="333333"/>
          <w:sz w:val="19"/>
          <w:szCs w:val="19"/>
          <w:shd w:val="clear" w:color="auto" w:fill="FFFFFF"/>
        </w:rPr>
      </w:pPr>
      <w:r w:rsidRPr="00A12B32">
        <w:rPr>
          <w:color w:val="333333"/>
          <w:shd w:val="clear" w:color="auto" w:fill="FFFFFF"/>
        </w:rPr>
        <w:t xml:space="preserve">Yıldırım, J. &amp; Öcal, N. (2004), Tourism and Economic Growth in Turkey. </w:t>
      </w:r>
      <w:r w:rsidRPr="00A12B32">
        <w:rPr>
          <w:i/>
          <w:color w:val="333333"/>
          <w:shd w:val="clear" w:color="auto" w:fill="FFFFFF"/>
        </w:rPr>
        <w:t>Ekonomik Yaklaşım</w:t>
      </w:r>
      <w:r w:rsidRPr="00A12B32">
        <w:rPr>
          <w:color w:val="333333"/>
          <w:shd w:val="clear" w:color="auto" w:fill="FFFFFF"/>
        </w:rPr>
        <w:t>, 15(52-53), 131-141.</w:t>
      </w:r>
      <w:r w:rsidR="0077693E" w:rsidRPr="00D96B31">
        <w:rPr>
          <w:b/>
        </w:rPr>
        <w:tab/>
      </w:r>
    </w:p>
    <w:p w:rsidR="001C781F" w:rsidRPr="001C781F" w:rsidRDefault="001C781F" w:rsidP="001C781F">
      <w:pPr>
        <w:autoSpaceDE w:val="0"/>
        <w:autoSpaceDN w:val="0"/>
        <w:adjustRightInd w:val="0"/>
        <w:spacing w:before="120" w:after="120"/>
        <w:jc w:val="both"/>
        <w:rPr>
          <w:rFonts w:ascii="Helvetica" w:hAnsi="Helvetica"/>
          <w:color w:val="333333"/>
          <w:sz w:val="19"/>
          <w:szCs w:val="19"/>
          <w:shd w:val="clear" w:color="auto" w:fill="FFFFFF"/>
        </w:rPr>
      </w:pPr>
    </w:p>
    <w:sectPr w:rsidR="001C781F" w:rsidRPr="001C781F" w:rsidSect="00747549">
      <w:type w:val="continuous"/>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03C" w:rsidRDefault="005B503C" w:rsidP="00747549">
      <w:r>
        <w:separator/>
      </w:r>
    </w:p>
  </w:endnote>
  <w:endnote w:type="continuationSeparator" w:id="0">
    <w:p w:rsidR="005B503C" w:rsidRDefault="005B503C" w:rsidP="00747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A2"/>
    <w:family w:val="roman"/>
    <w:pitch w:val="variable"/>
    <w:sig w:usb0="E00002FF" w:usb1="400004FF" w:usb2="00000000" w:usb3="00000000" w:csb0="0000019F" w:csb1="00000000"/>
  </w:font>
  <w:font w:name="Lucida Grande">
    <w:altName w:val="Times New Roman"/>
    <w:charset w:val="00"/>
    <w:family w:val="auto"/>
    <w:pitch w:val="variable"/>
    <w:sig w:usb0="E1000AEF" w:usb1="5000A1FF" w:usb2="00000000" w:usb3="00000000" w:csb0="000001BF" w:csb1="00000000"/>
  </w:font>
  <w:font w:name="Yu Mincho">
    <w:altName w:val="游明朝"/>
    <w:panose1 w:val="00000000000000000000"/>
    <w:charset w:val="80"/>
    <w:family w:val="roman"/>
    <w:notTrueType/>
    <w:pitch w:val="default"/>
  </w:font>
  <w:font w:name="Cambria Math">
    <w:panose1 w:val="02040503050406030204"/>
    <w:charset w:val="A2"/>
    <w:family w:val="roman"/>
    <w:pitch w:val="variable"/>
    <w:sig w:usb0="E00002FF" w:usb1="420024FF" w:usb2="00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03C" w:rsidRDefault="005B503C" w:rsidP="00747549">
      <w:r>
        <w:separator/>
      </w:r>
    </w:p>
  </w:footnote>
  <w:footnote w:type="continuationSeparator" w:id="0">
    <w:p w:rsidR="005B503C" w:rsidRDefault="005B503C" w:rsidP="00747549">
      <w:r>
        <w:continuationSeparator/>
      </w:r>
    </w:p>
  </w:footnote>
  <w:footnote w:id="1">
    <w:p w:rsidR="001C6BAE" w:rsidRDefault="001C6BAE" w:rsidP="008C1282">
      <w:pPr>
        <w:pStyle w:val="DipnotMetni"/>
      </w:pPr>
      <w:r>
        <w:rPr>
          <w:rStyle w:val="DipnotBavurusu"/>
        </w:rPr>
        <w:t>*</w:t>
      </w:r>
      <w:r>
        <w:t xml:space="preserve">  </w:t>
      </w:r>
      <w:r w:rsidRPr="00747549">
        <w:rPr>
          <w:lang w:val="en-GB"/>
        </w:rPr>
        <w:t xml:space="preserve">Asst. </w:t>
      </w:r>
      <w:r>
        <w:rPr>
          <w:lang w:val="en-GB"/>
        </w:rPr>
        <w:t xml:space="preserve">Prof. Dr., Doğuş University, Faculty of </w:t>
      </w:r>
      <w:r w:rsidRPr="00747549">
        <w:rPr>
          <w:lang w:val="en-GB"/>
        </w:rPr>
        <w:t>Economics and Administrative Sciences, Department of International Trade</w:t>
      </w:r>
      <w:r>
        <w:rPr>
          <w:lang w:val="en-GB"/>
        </w:rPr>
        <w:t xml:space="preserve"> and Business, Istanbul, Turkey. </w:t>
      </w:r>
      <w:hyperlink r:id="rId1" w:history="1">
        <w:r w:rsidRPr="00E33BED">
          <w:rPr>
            <w:rStyle w:val="Kpr"/>
            <w:u w:val="single"/>
            <w:lang w:val="en-GB"/>
          </w:rPr>
          <w:t>sboga@dogus.edu.tr</w:t>
        </w:r>
      </w:hyperlink>
    </w:p>
  </w:footnote>
  <w:footnote w:id="2">
    <w:p w:rsidR="001C6BAE" w:rsidRDefault="001C6BAE" w:rsidP="001C6BAE">
      <w:pPr>
        <w:pStyle w:val="DipnotMetni"/>
        <w:rPr>
          <w:rStyle w:val="Kpr"/>
          <w:u w:val="single"/>
          <w:lang w:val="en-GB"/>
        </w:rPr>
      </w:pPr>
      <w:r>
        <w:rPr>
          <w:rStyle w:val="DipnotBavurusu"/>
        </w:rPr>
        <w:footnoteRef/>
      </w:r>
      <w:r>
        <w:t xml:space="preserve"> </w:t>
      </w:r>
      <w:r>
        <w:rPr>
          <w:lang w:val="en-GB"/>
        </w:rPr>
        <w:t>Asst. Prof. Dr.,</w:t>
      </w:r>
      <w:r w:rsidRPr="003044EA">
        <w:rPr>
          <w:lang w:val="en-GB"/>
        </w:rPr>
        <w:t xml:space="preserve"> Istanbul Gelisim University, Faculty of Economics, Administrative and Social Sciences, Department of International </w:t>
      </w:r>
      <w:r>
        <w:rPr>
          <w:lang w:val="en-GB"/>
        </w:rPr>
        <w:t>Trade, Istanbul, Turkey.</w:t>
      </w:r>
      <w:r w:rsidRPr="003044EA">
        <w:rPr>
          <w:lang w:val="en-GB"/>
        </w:rPr>
        <w:t xml:space="preserve"> </w:t>
      </w:r>
      <w:hyperlink r:id="rId2" w:history="1">
        <w:r w:rsidRPr="003044EA">
          <w:rPr>
            <w:rStyle w:val="Kpr"/>
            <w:u w:val="single"/>
            <w:lang w:val="en-GB"/>
          </w:rPr>
          <w:t>kerkisi@gelisim.edu.tr</w:t>
        </w:r>
      </w:hyperlink>
    </w:p>
    <w:p w:rsidR="001C6BAE" w:rsidRDefault="001C6BAE">
      <w:pPr>
        <w:pStyle w:val="DipnotMetni"/>
      </w:pPr>
      <w:bookmarkStart w:id="0" w:name="_GoBack"/>
      <w:bookmarkEnd w:id="0"/>
    </w:p>
  </w:footnote>
  <w:footnote w:id="3">
    <w:p w:rsidR="001C6BAE" w:rsidRPr="001C6BAE" w:rsidRDefault="001C6BAE" w:rsidP="001C6BAE">
      <w:pPr>
        <w:spacing w:before="60" w:after="60"/>
        <w:ind w:firstLine="567"/>
        <w:jc w:val="both"/>
        <w:rPr>
          <w:sz w:val="18"/>
          <w:szCs w:val="18"/>
        </w:rPr>
      </w:pPr>
      <w:r w:rsidRPr="001C6BAE">
        <w:rPr>
          <w:rStyle w:val="DipnotBavurusu"/>
          <w:sz w:val="18"/>
          <w:szCs w:val="18"/>
        </w:rPr>
        <w:footnoteRef/>
      </w:r>
      <w:r w:rsidRPr="001C6BAE">
        <w:rPr>
          <w:sz w:val="18"/>
          <w:szCs w:val="18"/>
        </w:rPr>
        <w:t xml:space="preserve"> Australia, Bangladesh, Bhutan, Burundi, Cambodia, China, India, Indonesia, Japan, Korea Rep., Malaysia, Maldives, Mongolia, Myanmar, Nepal, Pakistan, Philippines, Singapore, Sri Lanka, Thailand, Vietnam.</w:t>
      </w:r>
    </w:p>
    <w:p w:rsidR="001C6BAE" w:rsidRDefault="001C6BAE">
      <w:pPr>
        <w:pStyle w:val="DipnotMetn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F7D4C"/>
    <w:multiLevelType w:val="multilevel"/>
    <w:tmpl w:val="2740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D31F81"/>
    <w:multiLevelType w:val="multilevel"/>
    <w:tmpl w:val="82DCCE0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81649DD"/>
    <w:multiLevelType w:val="hybridMultilevel"/>
    <w:tmpl w:val="C140449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BF530A2"/>
    <w:multiLevelType w:val="hybridMultilevel"/>
    <w:tmpl w:val="E5D490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CFE0AD5"/>
    <w:multiLevelType w:val="multilevel"/>
    <w:tmpl w:val="56EAE91E"/>
    <w:lvl w:ilvl="0">
      <w:start w:val="1"/>
      <w:numFmt w:val="decimal"/>
      <w:lvlText w:val="%1."/>
      <w:lvlJc w:val="left"/>
      <w:pPr>
        <w:ind w:left="0" w:firstLine="0"/>
      </w:pPr>
      <w:rPr>
        <w:rFonts w:hint="default"/>
        <w:color w:val="auto"/>
      </w:rPr>
    </w:lvl>
    <w:lvl w:ilvl="1">
      <w:start w:val="1"/>
      <w:numFmt w:val="decimal"/>
      <w:lvlText w:val="%1.%2."/>
      <w:lvlJc w:val="left"/>
      <w:pPr>
        <w:ind w:left="0" w:firstLine="0"/>
      </w:pPr>
      <w:rPr>
        <w:rFonts w:hint="default"/>
        <w:b/>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78A76667"/>
    <w:multiLevelType w:val="hybridMultilevel"/>
    <w:tmpl w:val="B2167C72"/>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YwtTAxNTUzNLY0NDBQ0lEKTi0uzszPAykwNK4FAJNQinktAAAA"/>
  </w:docVars>
  <w:rsids>
    <w:rsidRoot w:val="004859AD"/>
    <w:rsid w:val="0000025F"/>
    <w:rsid w:val="00001159"/>
    <w:rsid w:val="000013D4"/>
    <w:rsid w:val="00001FCC"/>
    <w:rsid w:val="00004622"/>
    <w:rsid w:val="0000596C"/>
    <w:rsid w:val="00007EBF"/>
    <w:rsid w:val="00014574"/>
    <w:rsid w:val="00020717"/>
    <w:rsid w:val="00027BC6"/>
    <w:rsid w:val="0003254F"/>
    <w:rsid w:val="000352F2"/>
    <w:rsid w:val="000362D8"/>
    <w:rsid w:val="000429BC"/>
    <w:rsid w:val="00052504"/>
    <w:rsid w:val="00054311"/>
    <w:rsid w:val="0005436D"/>
    <w:rsid w:val="00060D23"/>
    <w:rsid w:val="00061D60"/>
    <w:rsid w:val="0006409F"/>
    <w:rsid w:val="00071811"/>
    <w:rsid w:val="000745BC"/>
    <w:rsid w:val="00080510"/>
    <w:rsid w:val="00083FA8"/>
    <w:rsid w:val="00090779"/>
    <w:rsid w:val="0009186F"/>
    <w:rsid w:val="000970D3"/>
    <w:rsid w:val="000A27AB"/>
    <w:rsid w:val="000A2BF8"/>
    <w:rsid w:val="000A70E2"/>
    <w:rsid w:val="000B1A97"/>
    <w:rsid w:val="000B3CC2"/>
    <w:rsid w:val="000B50A2"/>
    <w:rsid w:val="000B599E"/>
    <w:rsid w:val="000B61C8"/>
    <w:rsid w:val="000C0984"/>
    <w:rsid w:val="000C3730"/>
    <w:rsid w:val="000C42F8"/>
    <w:rsid w:val="000C5A16"/>
    <w:rsid w:val="000C65E7"/>
    <w:rsid w:val="000C7283"/>
    <w:rsid w:val="000D1E43"/>
    <w:rsid w:val="000D2169"/>
    <w:rsid w:val="000D2862"/>
    <w:rsid w:val="000D36C9"/>
    <w:rsid w:val="000D40AF"/>
    <w:rsid w:val="000D40B3"/>
    <w:rsid w:val="000D6530"/>
    <w:rsid w:val="000D6D1B"/>
    <w:rsid w:val="000D7E4E"/>
    <w:rsid w:val="000E6C98"/>
    <w:rsid w:val="000F185F"/>
    <w:rsid w:val="000F3C79"/>
    <w:rsid w:val="000F4F84"/>
    <w:rsid w:val="00102555"/>
    <w:rsid w:val="0010299C"/>
    <w:rsid w:val="00103081"/>
    <w:rsid w:val="00104733"/>
    <w:rsid w:val="00105D13"/>
    <w:rsid w:val="00113CDF"/>
    <w:rsid w:val="0011400E"/>
    <w:rsid w:val="00114FD3"/>
    <w:rsid w:val="00117084"/>
    <w:rsid w:val="00121CD3"/>
    <w:rsid w:val="001240BD"/>
    <w:rsid w:val="00125F53"/>
    <w:rsid w:val="001309A1"/>
    <w:rsid w:val="00130E0C"/>
    <w:rsid w:val="001311C7"/>
    <w:rsid w:val="00132186"/>
    <w:rsid w:val="00136F68"/>
    <w:rsid w:val="001401B9"/>
    <w:rsid w:val="00141494"/>
    <w:rsid w:val="00143428"/>
    <w:rsid w:val="0014517B"/>
    <w:rsid w:val="0014606F"/>
    <w:rsid w:val="001506A8"/>
    <w:rsid w:val="00152622"/>
    <w:rsid w:val="00153057"/>
    <w:rsid w:val="001532BD"/>
    <w:rsid w:val="00153410"/>
    <w:rsid w:val="0015461D"/>
    <w:rsid w:val="00160EE8"/>
    <w:rsid w:val="00165A97"/>
    <w:rsid w:val="00165EBE"/>
    <w:rsid w:val="001665FA"/>
    <w:rsid w:val="00167EC9"/>
    <w:rsid w:val="0017041A"/>
    <w:rsid w:val="00171E73"/>
    <w:rsid w:val="00175D82"/>
    <w:rsid w:val="001800B0"/>
    <w:rsid w:val="00181120"/>
    <w:rsid w:val="0018198B"/>
    <w:rsid w:val="00183F61"/>
    <w:rsid w:val="00190210"/>
    <w:rsid w:val="00190EE7"/>
    <w:rsid w:val="0019236D"/>
    <w:rsid w:val="001923DC"/>
    <w:rsid w:val="001968BC"/>
    <w:rsid w:val="001A051F"/>
    <w:rsid w:val="001A1B39"/>
    <w:rsid w:val="001A2C4E"/>
    <w:rsid w:val="001A3DA9"/>
    <w:rsid w:val="001A6796"/>
    <w:rsid w:val="001A75B8"/>
    <w:rsid w:val="001B5CDC"/>
    <w:rsid w:val="001B65A4"/>
    <w:rsid w:val="001C0693"/>
    <w:rsid w:val="001C2549"/>
    <w:rsid w:val="001C3D33"/>
    <w:rsid w:val="001C4990"/>
    <w:rsid w:val="001C4B1E"/>
    <w:rsid w:val="001C6BAE"/>
    <w:rsid w:val="001C781F"/>
    <w:rsid w:val="001D4641"/>
    <w:rsid w:val="001D51EC"/>
    <w:rsid w:val="001E38C7"/>
    <w:rsid w:val="001E4EC8"/>
    <w:rsid w:val="001F1A32"/>
    <w:rsid w:val="001F3E2E"/>
    <w:rsid w:val="00200967"/>
    <w:rsid w:val="00202D1E"/>
    <w:rsid w:val="002046F8"/>
    <w:rsid w:val="0020596D"/>
    <w:rsid w:val="00210957"/>
    <w:rsid w:val="00212ACF"/>
    <w:rsid w:val="00212DD0"/>
    <w:rsid w:val="00216ABE"/>
    <w:rsid w:val="002222A5"/>
    <w:rsid w:val="00224135"/>
    <w:rsid w:val="002251FC"/>
    <w:rsid w:val="00227DE6"/>
    <w:rsid w:val="002369EF"/>
    <w:rsid w:val="00240026"/>
    <w:rsid w:val="0024384A"/>
    <w:rsid w:val="00244B7A"/>
    <w:rsid w:val="002518C5"/>
    <w:rsid w:val="00253720"/>
    <w:rsid w:val="002560D6"/>
    <w:rsid w:val="0025651C"/>
    <w:rsid w:val="00260932"/>
    <w:rsid w:val="002637AE"/>
    <w:rsid w:val="00265183"/>
    <w:rsid w:val="00266C8D"/>
    <w:rsid w:val="0027203F"/>
    <w:rsid w:val="00272FCA"/>
    <w:rsid w:val="0027459D"/>
    <w:rsid w:val="002764B4"/>
    <w:rsid w:val="00276514"/>
    <w:rsid w:val="00281B9C"/>
    <w:rsid w:val="002846D4"/>
    <w:rsid w:val="0028496F"/>
    <w:rsid w:val="00285F77"/>
    <w:rsid w:val="00292223"/>
    <w:rsid w:val="00292804"/>
    <w:rsid w:val="00294933"/>
    <w:rsid w:val="00294ADE"/>
    <w:rsid w:val="00297EE3"/>
    <w:rsid w:val="002A4AA9"/>
    <w:rsid w:val="002A4D52"/>
    <w:rsid w:val="002B4B26"/>
    <w:rsid w:val="002B59BA"/>
    <w:rsid w:val="002B7491"/>
    <w:rsid w:val="002C1D22"/>
    <w:rsid w:val="002C40C5"/>
    <w:rsid w:val="002C4918"/>
    <w:rsid w:val="002C49FC"/>
    <w:rsid w:val="002C4B10"/>
    <w:rsid w:val="002C7CF1"/>
    <w:rsid w:val="002D442D"/>
    <w:rsid w:val="002D4E0A"/>
    <w:rsid w:val="002D5D96"/>
    <w:rsid w:val="002E1C57"/>
    <w:rsid w:val="002E31E5"/>
    <w:rsid w:val="002E3FED"/>
    <w:rsid w:val="002E5097"/>
    <w:rsid w:val="002E5902"/>
    <w:rsid w:val="002E5E56"/>
    <w:rsid w:val="002E63D7"/>
    <w:rsid w:val="002F11D8"/>
    <w:rsid w:val="002F5AA2"/>
    <w:rsid w:val="00301C58"/>
    <w:rsid w:val="00306CEF"/>
    <w:rsid w:val="00312C01"/>
    <w:rsid w:val="00314FEA"/>
    <w:rsid w:val="003153EC"/>
    <w:rsid w:val="00316CA4"/>
    <w:rsid w:val="00323B15"/>
    <w:rsid w:val="00324A67"/>
    <w:rsid w:val="00326DB4"/>
    <w:rsid w:val="00333389"/>
    <w:rsid w:val="0033574A"/>
    <w:rsid w:val="00335827"/>
    <w:rsid w:val="00355DE8"/>
    <w:rsid w:val="00360A7F"/>
    <w:rsid w:val="00365C89"/>
    <w:rsid w:val="0036646C"/>
    <w:rsid w:val="00366897"/>
    <w:rsid w:val="0037586E"/>
    <w:rsid w:val="00380D5F"/>
    <w:rsid w:val="00387F00"/>
    <w:rsid w:val="003916DD"/>
    <w:rsid w:val="003935A9"/>
    <w:rsid w:val="003946C4"/>
    <w:rsid w:val="003971C4"/>
    <w:rsid w:val="003976DF"/>
    <w:rsid w:val="003A04DB"/>
    <w:rsid w:val="003A0506"/>
    <w:rsid w:val="003B3EC7"/>
    <w:rsid w:val="003B41DA"/>
    <w:rsid w:val="003B5C27"/>
    <w:rsid w:val="003B6C2A"/>
    <w:rsid w:val="003B7722"/>
    <w:rsid w:val="003B7F10"/>
    <w:rsid w:val="003C27FE"/>
    <w:rsid w:val="003C2906"/>
    <w:rsid w:val="003C5551"/>
    <w:rsid w:val="003C6E08"/>
    <w:rsid w:val="003D0313"/>
    <w:rsid w:val="003D316D"/>
    <w:rsid w:val="003E1495"/>
    <w:rsid w:val="003E29FA"/>
    <w:rsid w:val="003E363E"/>
    <w:rsid w:val="003E4C1D"/>
    <w:rsid w:val="003E4E8A"/>
    <w:rsid w:val="003F1CEC"/>
    <w:rsid w:val="003F39BC"/>
    <w:rsid w:val="00400FB2"/>
    <w:rsid w:val="00406063"/>
    <w:rsid w:val="00412B04"/>
    <w:rsid w:val="0041587C"/>
    <w:rsid w:val="00420898"/>
    <w:rsid w:val="00433A96"/>
    <w:rsid w:val="004376C4"/>
    <w:rsid w:val="00437C24"/>
    <w:rsid w:val="0044371D"/>
    <w:rsid w:val="00465C38"/>
    <w:rsid w:val="00466E90"/>
    <w:rsid w:val="004678E3"/>
    <w:rsid w:val="004705EE"/>
    <w:rsid w:val="004776F4"/>
    <w:rsid w:val="00480B1D"/>
    <w:rsid w:val="00481715"/>
    <w:rsid w:val="00482E26"/>
    <w:rsid w:val="00482F6D"/>
    <w:rsid w:val="004859AD"/>
    <w:rsid w:val="0049271F"/>
    <w:rsid w:val="004A4839"/>
    <w:rsid w:val="004A5291"/>
    <w:rsid w:val="004A7279"/>
    <w:rsid w:val="004A744A"/>
    <w:rsid w:val="004A7A8F"/>
    <w:rsid w:val="004B180B"/>
    <w:rsid w:val="004B204E"/>
    <w:rsid w:val="004C2119"/>
    <w:rsid w:val="004C76AC"/>
    <w:rsid w:val="004D459F"/>
    <w:rsid w:val="004D669B"/>
    <w:rsid w:val="004D696B"/>
    <w:rsid w:val="004D735E"/>
    <w:rsid w:val="004E3BD9"/>
    <w:rsid w:val="004E421B"/>
    <w:rsid w:val="004E6D51"/>
    <w:rsid w:val="004E7697"/>
    <w:rsid w:val="004F0417"/>
    <w:rsid w:val="004F5A5F"/>
    <w:rsid w:val="004F5AD0"/>
    <w:rsid w:val="0050050A"/>
    <w:rsid w:val="00500994"/>
    <w:rsid w:val="005045C0"/>
    <w:rsid w:val="00510B04"/>
    <w:rsid w:val="00513C2D"/>
    <w:rsid w:val="00516EFF"/>
    <w:rsid w:val="00522293"/>
    <w:rsid w:val="00522C73"/>
    <w:rsid w:val="005230DD"/>
    <w:rsid w:val="005304C4"/>
    <w:rsid w:val="005327F4"/>
    <w:rsid w:val="00533687"/>
    <w:rsid w:val="0053685A"/>
    <w:rsid w:val="00540238"/>
    <w:rsid w:val="00540A81"/>
    <w:rsid w:val="005528C5"/>
    <w:rsid w:val="00553C23"/>
    <w:rsid w:val="005602C1"/>
    <w:rsid w:val="00563922"/>
    <w:rsid w:val="00564098"/>
    <w:rsid w:val="0057028C"/>
    <w:rsid w:val="005705FA"/>
    <w:rsid w:val="00574CE3"/>
    <w:rsid w:val="00575203"/>
    <w:rsid w:val="00576967"/>
    <w:rsid w:val="00577F9D"/>
    <w:rsid w:val="00581A56"/>
    <w:rsid w:val="00583573"/>
    <w:rsid w:val="00590287"/>
    <w:rsid w:val="00590687"/>
    <w:rsid w:val="00591FFD"/>
    <w:rsid w:val="0059547F"/>
    <w:rsid w:val="005A0B93"/>
    <w:rsid w:val="005A0EAE"/>
    <w:rsid w:val="005A3DE0"/>
    <w:rsid w:val="005A7924"/>
    <w:rsid w:val="005B0649"/>
    <w:rsid w:val="005B1215"/>
    <w:rsid w:val="005B503C"/>
    <w:rsid w:val="005C27AD"/>
    <w:rsid w:val="005C7A12"/>
    <w:rsid w:val="005C7FB0"/>
    <w:rsid w:val="005D51F5"/>
    <w:rsid w:val="005E25DC"/>
    <w:rsid w:val="005E29C7"/>
    <w:rsid w:val="005F42E4"/>
    <w:rsid w:val="005F697B"/>
    <w:rsid w:val="00600986"/>
    <w:rsid w:val="00602649"/>
    <w:rsid w:val="00604413"/>
    <w:rsid w:val="00605FDF"/>
    <w:rsid w:val="00607B2A"/>
    <w:rsid w:val="00610348"/>
    <w:rsid w:val="006117FC"/>
    <w:rsid w:val="006123B4"/>
    <w:rsid w:val="00613B89"/>
    <w:rsid w:val="0061465E"/>
    <w:rsid w:val="00621E56"/>
    <w:rsid w:val="0062231D"/>
    <w:rsid w:val="00633136"/>
    <w:rsid w:val="00634FF2"/>
    <w:rsid w:val="00636F00"/>
    <w:rsid w:val="0064077A"/>
    <w:rsid w:val="0064232A"/>
    <w:rsid w:val="00643232"/>
    <w:rsid w:val="00643C01"/>
    <w:rsid w:val="006455F2"/>
    <w:rsid w:val="00645B9D"/>
    <w:rsid w:val="00645CAB"/>
    <w:rsid w:val="00646D9A"/>
    <w:rsid w:val="00646F59"/>
    <w:rsid w:val="00650A07"/>
    <w:rsid w:val="00652805"/>
    <w:rsid w:val="006539DF"/>
    <w:rsid w:val="00653BF3"/>
    <w:rsid w:val="00657F51"/>
    <w:rsid w:val="006608D3"/>
    <w:rsid w:val="00664190"/>
    <w:rsid w:val="00670A54"/>
    <w:rsid w:val="00671584"/>
    <w:rsid w:val="00671E22"/>
    <w:rsid w:val="00674577"/>
    <w:rsid w:val="00677AC4"/>
    <w:rsid w:val="0068047C"/>
    <w:rsid w:val="006814F9"/>
    <w:rsid w:val="00681AE5"/>
    <w:rsid w:val="00687255"/>
    <w:rsid w:val="00687A4F"/>
    <w:rsid w:val="0069606F"/>
    <w:rsid w:val="006A07E6"/>
    <w:rsid w:val="006A4495"/>
    <w:rsid w:val="006A4C45"/>
    <w:rsid w:val="006B46FF"/>
    <w:rsid w:val="006B6017"/>
    <w:rsid w:val="006C7267"/>
    <w:rsid w:val="006D0012"/>
    <w:rsid w:val="006D1385"/>
    <w:rsid w:val="006D2119"/>
    <w:rsid w:val="006D3FFE"/>
    <w:rsid w:val="006D56F6"/>
    <w:rsid w:val="006D7834"/>
    <w:rsid w:val="006E0E00"/>
    <w:rsid w:val="006E23C8"/>
    <w:rsid w:val="006E28C0"/>
    <w:rsid w:val="006E2F92"/>
    <w:rsid w:val="006E68F1"/>
    <w:rsid w:val="006E78A3"/>
    <w:rsid w:val="006F31B2"/>
    <w:rsid w:val="006F674E"/>
    <w:rsid w:val="006F6E3B"/>
    <w:rsid w:val="006F719D"/>
    <w:rsid w:val="00700750"/>
    <w:rsid w:val="007033DC"/>
    <w:rsid w:val="00703AB4"/>
    <w:rsid w:val="00707EC1"/>
    <w:rsid w:val="00710022"/>
    <w:rsid w:val="00710318"/>
    <w:rsid w:val="00710BEC"/>
    <w:rsid w:val="00711438"/>
    <w:rsid w:val="007168D5"/>
    <w:rsid w:val="0071718A"/>
    <w:rsid w:val="00717A51"/>
    <w:rsid w:val="00724602"/>
    <w:rsid w:val="00727B1E"/>
    <w:rsid w:val="007315F1"/>
    <w:rsid w:val="007358C5"/>
    <w:rsid w:val="00745D12"/>
    <w:rsid w:val="00747549"/>
    <w:rsid w:val="007618CD"/>
    <w:rsid w:val="007639BC"/>
    <w:rsid w:val="00767947"/>
    <w:rsid w:val="007721C2"/>
    <w:rsid w:val="007739C4"/>
    <w:rsid w:val="0077693E"/>
    <w:rsid w:val="00776E36"/>
    <w:rsid w:val="00782B8C"/>
    <w:rsid w:val="00782E55"/>
    <w:rsid w:val="00783331"/>
    <w:rsid w:val="007915C6"/>
    <w:rsid w:val="00791626"/>
    <w:rsid w:val="00792D0B"/>
    <w:rsid w:val="00792F1A"/>
    <w:rsid w:val="00797CA2"/>
    <w:rsid w:val="007A1604"/>
    <w:rsid w:val="007A4619"/>
    <w:rsid w:val="007A4B89"/>
    <w:rsid w:val="007A5611"/>
    <w:rsid w:val="007A6558"/>
    <w:rsid w:val="007B378F"/>
    <w:rsid w:val="007B617B"/>
    <w:rsid w:val="007B6C2F"/>
    <w:rsid w:val="007C6614"/>
    <w:rsid w:val="007C7B59"/>
    <w:rsid w:val="007D2332"/>
    <w:rsid w:val="007D495C"/>
    <w:rsid w:val="007D5870"/>
    <w:rsid w:val="007E03AE"/>
    <w:rsid w:val="007F00C9"/>
    <w:rsid w:val="007F6A46"/>
    <w:rsid w:val="007F7F29"/>
    <w:rsid w:val="00805470"/>
    <w:rsid w:val="00805640"/>
    <w:rsid w:val="00805D5A"/>
    <w:rsid w:val="00805D8C"/>
    <w:rsid w:val="008105AA"/>
    <w:rsid w:val="00810647"/>
    <w:rsid w:val="00814112"/>
    <w:rsid w:val="00815147"/>
    <w:rsid w:val="00815906"/>
    <w:rsid w:val="0082193D"/>
    <w:rsid w:val="00822723"/>
    <w:rsid w:val="00827A0F"/>
    <w:rsid w:val="00827C2A"/>
    <w:rsid w:val="00830C59"/>
    <w:rsid w:val="008313C6"/>
    <w:rsid w:val="008355E0"/>
    <w:rsid w:val="00836604"/>
    <w:rsid w:val="00842DD7"/>
    <w:rsid w:val="00845B66"/>
    <w:rsid w:val="00851592"/>
    <w:rsid w:val="00853011"/>
    <w:rsid w:val="00857A97"/>
    <w:rsid w:val="008633F3"/>
    <w:rsid w:val="008647F6"/>
    <w:rsid w:val="0086686B"/>
    <w:rsid w:val="00871262"/>
    <w:rsid w:val="00871C93"/>
    <w:rsid w:val="008767DF"/>
    <w:rsid w:val="00883B45"/>
    <w:rsid w:val="00885BB7"/>
    <w:rsid w:val="00886575"/>
    <w:rsid w:val="00886BC0"/>
    <w:rsid w:val="00887C37"/>
    <w:rsid w:val="00892740"/>
    <w:rsid w:val="00893C01"/>
    <w:rsid w:val="00894D9C"/>
    <w:rsid w:val="00895B91"/>
    <w:rsid w:val="00897E02"/>
    <w:rsid w:val="008A190D"/>
    <w:rsid w:val="008A3180"/>
    <w:rsid w:val="008A38DF"/>
    <w:rsid w:val="008A3E03"/>
    <w:rsid w:val="008B36D5"/>
    <w:rsid w:val="008B51CB"/>
    <w:rsid w:val="008B5F1F"/>
    <w:rsid w:val="008B739A"/>
    <w:rsid w:val="008B75A4"/>
    <w:rsid w:val="008C01D3"/>
    <w:rsid w:val="008C080C"/>
    <w:rsid w:val="008C1282"/>
    <w:rsid w:val="008C5EC3"/>
    <w:rsid w:val="008D0BF5"/>
    <w:rsid w:val="008D4502"/>
    <w:rsid w:val="008D6EE2"/>
    <w:rsid w:val="008E1ADD"/>
    <w:rsid w:val="008E2C94"/>
    <w:rsid w:val="008E43DF"/>
    <w:rsid w:val="008E45D3"/>
    <w:rsid w:val="008E5D73"/>
    <w:rsid w:val="008E72DF"/>
    <w:rsid w:val="008F0009"/>
    <w:rsid w:val="008F0224"/>
    <w:rsid w:val="008F35EE"/>
    <w:rsid w:val="008F4219"/>
    <w:rsid w:val="008F5F2A"/>
    <w:rsid w:val="00906CAA"/>
    <w:rsid w:val="0091240E"/>
    <w:rsid w:val="00912DB7"/>
    <w:rsid w:val="00913D08"/>
    <w:rsid w:val="00916F01"/>
    <w:rsid w:val="00917003"/>
    <w:rsid w:val="00924D45"/>
    <w:rsid w:val="00927B17"/>
    <w:rsid w:val="00931F50"/>
    <w:rsid w:val="00935230"/>
    <w:rsid w:val="0094249B"/>
    <w:rsid w:val="00945666"/>
    <w:rsid w:val="00946C22"/>
    <w:rsid w:val="00954EF0"/>
    <w:rsid w:val="00960F70"/>
    <w:rsid w:val="0097198F"/>
    <w:rsid w:val="00972FB0"/>
    <w:rsid w:val="009733BB"/>
    <w:rsid w:val="00973B68"/>
    <w:rsid w:val="009746F4"/>
    <w:rsid w:val="00977576"/>
    <w:rsid w:val="00984241"/>
    <w:rsid w:val="00987FCA"/>
    <w:rsid w:val="0099014C"/>
    <w:rsid w:val="00992910"/>
    <w:rsid w:val="0099580D"/>
    <w:rsid w:val="00997380"/>
    <w:rsid w:val="00997A12"/>
    <w:rsid w:val="009A283C"/>
    <w:rsid w:val="009A3E4F"/>
    <w:rsid w:val="009A44C0"/>
    <w:rsid w:val="009A7930"/>
    <w:rsid w:val="009B2191"/>
    <w:rsid w:val="009B73A7"/>
    <w:rsid w:val="009D06BA"/>
    <w:rsid w:val="009D172C"/>
    <w:rsid w:val="009D186C"/>
    <w:rsid w:val="009D2C31"/>
    <w:rsid w:val="009F0E47"/>
    <w:rsid w:val="009F617C"/>
    <w:rsid w:val="009F7843"/>
    <w:rsid w:val="00A01DF3"/>
    <w:rsid w:val="00A02729"/>
    <w:rsid w:val="00A05793"/>
    <w:rsid w:val="00A0715B"/>
    <w:rsid w:val="00A11BAF"/>
    <w:rsid w:val="00A12B32"/>
    <w:rsid w:val="00A131DD"/>
    <w:rsid w:val="00A1477F"/>
    <w:rsid w:val="00A1523E"/>
    <w:rsid w:val="00A1673D"/>
    <w:rsid w:val="00A205D5"/>
    <w:rsid w:val="00A20F48"/>
    <w:rsid w:val="00A225EA"/>
    <w:rsid w:val="00A23C20"/>
    <w:rsid w:val="00A243C8"/>
    <w:rsid w:val="00A25571"/>
    <w:rsid w:val="00A3288E"/>
    <w:rsid w:val="00A411EC"/>
    <w:rsid w:val="00A41A39"/>
    <w:rsid w:val="00A4487D"/>
    <w:rsid w:val="00A45666"/>
    <w:rsid w:val="00A46A4C"/>
    <w:rsid w:val="00A5199D"/>
    <w:rsid w:val="00A566EE"/>
    <w:rsid w:val="00A56812"/>
    <w:rsid w:val="00A56E03"/>
    <w:rsid w:val="00A669A1"/>
    <w:rsid w:val="00A67825"/>
    <w:rsid w:val="00A703A6"/>
    <w:rsid w:val="00A70B2B"/>
    <w:rsid w:val="00A7165A"/>
    <w:rsid w:val="00A75A5D"/>
    <w:rsid w:val="00A8198D"/>
    <w:rsid w:val="00A85487"/>
    <w:rsid w:val="00A8557E"/>
    <w:rsid w:val="00A8669C"/>
    <w:rsid w:val="00A86BEA"/>
    <w:rsid w:val="00A9307B"/>
    <w:rsid w:val="00A9488C"/>
    <w:rsid w:val="00A94E27"/>
    <w:rsid w:val="00A95CEE"/>
    <w:rsid w:val="00A9656F"/>
    <w:rsid w:val="00A96F0C"/>
    <w:rsid w:val="00A97FCA"/>
    <w:rsid w:val="00AA1CEE"/>
    <w:rsid w:val="00AA3029"/>
    <w:rsid w:val="00AA4A59"/>
    <w:rsid w:val="00AB057D"/>
    <w:rsid w:val="00AB3962"/>
    <w:rsid w:val="00AB547E"/>
    <w:rsid w:val="00AB5FB2"/>
    <w:rsid w:val="00AC078D"/>
    <w:rsid w:val="00AC18C3"/>
    <w:rsid w:val="00AC7CEA"/>
    <w:rsid w:val="00AD205B"/>
    <w:rsid w:val="00AE13FA"/>
    <w:rsid w:val="00AE200E"/>
    <w:rsid w:val="00AF183C"/>
    <w:rsid w:val="00AF45D8"/>
    <w:rsid w:val="00AF4FBD"/>
    <w:rsid w:val="00AF64ED"/>
    <w:rsid w:val="00AF695C"/>
    <w:rsid w:val="00AF6E7C"/>
    <w:rsid w:val="00AF76C4"/>
    <w:rsid w:val="00B063D2"/>
    <w:rsid w:val="00B11B76"/>
    <w:rsid w:val="00B13B80"/>
    <w:rsid w:val="00B1436D"/>
    <w:rsid w:val="00B15684"/>
    <w:rsid w:val="00B227A7"/>
    <w:rsid w:val="00B236EC"/>
    <w:rsid w:val="00B3614C"/>
    <w:rsid w:val="00B36449"/>
    <w:rsid w:val="00B37B3C"/>
    <w:rsid w:val="00B43DB2"/>
    <w:rsid w:val="00B451AB"/>
    <w:rsid w:val="00B46208"/>
    <w:rsid w:val="00B47A6A"/>
    <w:rsid w:val="00B54779"/>
    <w:rsid w:val="00B567EA"/>
    <w:rsid w:val="00B601E9"/>
    <w:rsid w:val="00B6162B"/>
    <w:rsid w:val="00B61CFF"/>
    <w:rsid w:val="00B63933"/>
    <w:rsid w:val="00B63A4B"/>
    <w:rsid w:val="00B659AD"/>
    <w:rsid w:val="00B66C56"/>
    <w:rsid w:val="00B67CE0"/>
    <w:rsid w:val="00B809DC"/>
    <w:rsid w:val="00B82478"/>
    <w:rsid w:val="00B82AFE"/>
    <w:rsid w:val="00B833C3"/>
    <w:rsid w:val="00B856C4"/>
    <w:rsid w:val="00B87144"/>
    <w:rsid w:val="00B9099F"/>
    <w:rsid w:val="00B92ACD"/>
    <w:rsid w:val="00B932C0"/>
    <w:rsid w:val="00B936F1"/>
    <w:rsid w:val="00B948DC"/>
    <w:rsid w:val="00B95B5B"/>
    <w:rsid w:val="00BA20DC"/>
    <w:rsid w:val="00BA2CF2"/>
    <w:rsid w:val="00BB0701"/>
    <w:rsid w:val="00BB12E6"/>
    <w:rsid w:val="00BB1E4B"/>
    <w:rsid w:val="00BB256C"/>
    <w:rsid w:val="00BB5DC0"/>
    <w:rsid w:val="00BB7AFE"/>
    <w:rsid w:val="00BC12ED"/>
    <w:rsid w:val="00BC6AF7"/>
    <w:rsid w:val="00BC7086"/>
    <w:rsid w:val="00BD0081"/>
    <w:rsid w:val="00BD38F8"/>
    <w:rsid w:val="00BD6385"/>
    <w:rsid w:val="00BD69C8"/>
    <w:rsid w:val="00BD6D0F"/>
    <w:rsid w:val="00BE4355"/>
    <w:rsid w:val="00BE4D12"/>
    <w:rsid w:val="00BE5E9B"/>
    <w:rsid w:val="00BE6B69"/>
    <w:rsid w:val="00BF7997"/>
    <w:rsid w:val="00C04E3E"/>
    <w:rsid w:val="00C07C87"/>
    <w:rsid w:val="00C14E91"/>
    <w:rsid w:val="00C15071"/>
    <w:rsid w:val="00C15300"/>
    <w:rsid w:val="00C17462"/>
    <w:rsid w:val="00C20233"/>
    <w:rsid w:val="00C26956"/>
    <w:rsid w:val="00C30F1B"/>
    <w:rsid w:val="00C340EC"/>
    <w:rsid w:val="00C360DE"/>
    <w:rsid w:val="00C40813"/>
    <w:rsid w:val="00C41336"/>
    <w:rsid w:val="00C42E79"/>
    <w:rsid w:val="00C4368F"/>
    <w:rsid w:val="00C44975"/>
    <w:rsid w:val="00C55D08"/>
    <w:rsid w:val="00C5757E"/>
    <w:rsid w:val="00C6040D"/>
    <w:rsid w:val="00C60727"/>
    <w:rsid w:val="00C7383E"/>
    <w:rsid w:val="00C74093"/>
    <w:rsid w:val="00C759D3"/>
    <w:rsid w:val="00C8591F"/>
    <w:rsid w:val="00C87A5B"/>
    <w:rsid w:val="00C90491"/>
    <w:rsid w:val="00C90AD5"/>
    <w:rsid w:val="00C925B6"/>
    <w:rsid w:val="00CA36CB"/>
    <w:rsid w:val="00CA49C2"/>
    <w:rsid w:val="00CA5A98"/>
    <w:rsid w:val="00CB34C7"/>
    <w:rsid w:val="00CC1717"/>
    <w:rsid w:val="00CC289A"/>
    <w:rsid w:val="00CC4621"/>
    <w:rsid w:val="00CC4A37"/>
    <w:rsid w:val="00CC677E"/>
    <w:rsid w:val="00CD069D"/>
    <w:rsid w:val="00CD0DD5"/>
    <w:rsid w:val="00CD2526"/>
    <w:rsid w:val="00CE0374"/>
    <w:rsid w:val="00CE0F5E"/>
    <w:rsid w:val="00CE5340"/>
    <w:rsid w:val="00CF25D8"/>
    <w:rsid w:val="00CF3117"/>
    <w:rsid w:val="00CF7A25"/>
    <w:rsid w:val="00CF7E7F"/>
    <w:rsid w:val="00D0287B"/>
    <w:rsid w:val="00D02C10"/>
    <w:rsid w:val="00D0508A"/>
    <w:rsid w:val="00D17E07"/>
    <w:rsid w:val="00D210F5"/>
    <w:rsid w:val="00D23CAC"/>
    <w:rsid w:val="00D259A8"/>
    <w:rsid w:val="00D270F7"/>
    <w:rsid w:val="00D316F0"/>
    <w:rsid w:val="00D33CD2"/>
    <w:rsid w:val="00D35644"/>
    <w:rsid w:val="00D44B97"/>
    <w:rsid w:val="00D455FE"/>
    <w:rsid w:val="00D46C85"/>
    <w:rsid w:val="00D46E08"/>
    <w:rsid w:val="00D574D8"/>
    <w:rsid w:val="00D60C18"/>
    <w:rsid w:val="00D61544"/>
    <w:rsid w:val="00D633BE"/>
    <w:rsid w:val="00D64C11"/>
    <w:rsid w:val="00D7631B"/>
    <w:rsid w:val="00D77501"/>
    <w:rsid w:val="00D81C8F"/>
    <w:rsid w:val="00D82A15"/>
    <w:rsid w:val="00D82FAD"/>
    <w:rsid w:val="00D83CAE"/>
    <w:rsid w:val="00D83E39"/>
    <w:rsid w:val="00D853D3"/>
    <w:rsid w:val="00D906B3"/>
    <w:rsid w:val="00D9295A"/>
    <w:rsid w:val="00D92A8E"/>
    <w:rsid w:val="00D95858"/>
    <w:rsid w:val="00D96B31"/>
    <w:rsid w:val="00D97665"/>
    <w:rsid w:val="00DA0315"/>
    <w:rsid w:val="00DA090D"/>
    <w:rsid w:val="00DA633B"/>
    <w:rsid w:val="00DA6823"/>
    <w:rsid w:val="00DA698B"/>
    <w:rsid w:val="00DB01B7"/>
    <w:rsid w:val="00DB0E00"/>
    <w:rsid w:val="00DB286E"/>
    <w:rsid w:val="00DB2FEC"/>
    <w:rsid w:val="00DB300A"/>
    <w:rsid w:val="00DB527A"/>
    <w:rsid w:val="00DB5C60"/>
    <w:rsid w:val="00DB620F"/>
    <w:rsid w:val="00DC15F3"/>
    <w:rsid w:val="00DC3565"/>
    <w:rsid w:val="00DC7D16"/>
    <w:rsid w:val="00DD0154"/>
    <w:rsid w:val="00DD0425"/>
    <w:rsid w:val="00DD1AA9"/>
    <w:rsid w:val="00DD2B2E"/>
    <w:rsid w:val="00DD3B00"/>
    <w:rsid w:val="00DE5835"/>
    <w:rsid w:val="00DF272A"/>
    <w:rsid w:val="00DF3016"/>
    <w:rsid w:val="00DF324D"/>
    <w:rsid w:val="00DF50DB"/>
    <w:rsid w:val="00DF58CA"/>
    <w:rsid w:val="00DF63C8"/>
    <w:rsid w:val="00E00870"/>
    <w:rsid w:val="00E01E53"/>
    <w:rsid w:val="00E07FF1"/>
    <w:rsid w:val="00E13D2D"/>
    <w:rsid w:val="00E15752"/>
    <w:rsid w:val="00E205C8"/>
    <w:rsid w:val="00E2079F"/>
    <w:rsid w:val="00E224ED"/>
    <w:rsid w:val="00E33BED"/>
    <w:rsid w:val="00E343BC"/>
    <w:rsid w:val="00E37DF2"/>
    <w:rsid w:val="00E40A40"/>
    <w:rsid w:val="00E4287F"/>
    <w:rsid w:val="00E4463A"/>
    <w:rsid w:val="00E446E5"/>
    <w:rsid w:val="00E45B92"/>
    <w:rsid w:val="00E47627"/>
    <w:rsid w:val="00E561DD"/>
    <w:rsid w:val="00E603EE"/>
    <w:rsid w:val="00E60722"/>
    <w:rsid w:val="00E714D8"/>
    <w:rsid w:val="00E766BF"/>
    <w:rsid w:val="00E7754D"/>
    <w:rsid w:val="00E80E53"/>
    <w:rsid w:val="00E82C21"/>
    <w:rsid w:val="00E93AB9"/>
    <w:rsid w:val="00E93C83"/>
    <w:rsid w:val="00E973E8"/>
    <w:rsid w:val="00EA30B6"/>
    <w:rsid w:val="00EB04A7"/>
    <w:rsid w:val="00EB4D73"/>
    <w:rsid w:val="00EB64B9"/>
    <w:rsid w:val="00EB73C9"/>
    <w:rsid w:val="00EC10D3"/>
    <w:rsid w:val="00EC43BA"/>
    <w:rsid w:val="00EC4EE2"/>
    <w:rsid w:val="00ED2A12"/>
    <w:rsid w:val="00ED74F1"/>
    <w:rsid w:val="00EE2910"/>
    <w:rsid w:val="00EF40D2"/>
    <w:rsid w:val="00EF5415"/>
    <w:rsid w:val="00EF627A"/>
    <w:rsid w:val="00EF6755"/>
    <w:rsid w:val="00EF68A0"/>
    <w:rsid w:val="00EF77A4"/>
    <w:rsid w:val="00F029BD"/>
    <w:rsid w:val="00F047A1"/>
    <w:rsid w:val="00F04DFE"/>
    <w:rsid w:val="00F13366"/>
    <w:rsid w:val="00F133F4"/>
    <w:rsid w:val="00F152FB"/>
    <w:rsid w:val="00F15715"/>
    <w:rsid w:val="00F22F03"/>
    <w:rsid w:val="00F242AF"/>
    <w:rsid w:val="00F24F7E"/>
    <w:rsid w:val="00F34736"/>
    <w:rsid w:val="00F44809"/>
    <w:rsid w:val="00F45C94"/>
    <w:rsid w:val="00F46BD8"/>
    <w:rsid w:val="00F54B1E"/>
    <w:rsid w:val="00F5518C"/>
    <w:rsid w:val="00F62B2F"/>
    <w:rsid w:val="00F65FB4"/>
    <w:rsid w:val="00F76B90"/>
    <w:rsid w:val="00F808EA"/>
    <w:rsid w:val="00F80AA6"/>
    <w:rsid w:val="00F864FE"/>
    <w:rsid w:val="00F866B8"/>
    <w:rsid w:val="00F87C18"/>
    <w:rsid w:val="00F94E4A"/>
    <w:rsid w:val="00FA1701"/>
    <w:rsid w:val="00FA26AB"/>
    <w:rsid w:val="00FA2D5F"/>
    <w:rsid w:val="00FA2EEF"/>
    <w:rsid w:val="00FA7335"/>
    <w:rsid w:val="00FB121A"/>
    <w:rsid w:val="00FB3654"/>
    <w:rsid w:val="00FB43CF"/>
    <w:rsid w:val="00FC4C60"/>
    <w:rsid w:val="00FC6967"/>
    <w:rsid w:val="00FC7A37"/>
    <w:rsid w:val="00FD3B58"/>
    <w:rsid w:val="00FD4D38"/>
    <w:rsid w:val="00FD509A"/>
    <w:rsid w:val="00FE1ABE"/>
    <w:rsid w:val="00FE234B"/>
    <w:rsid w:val="00FE6081"/>
    <w:rsid w:val="00FF02F9"/>
    <w:rsid w:val="00FF2BF7"/>
    <w:rsid w:val="00FF353D"/>
    <w:rsid w:val="00FF5AB4"/>
    <w:rsid w:val="00FF64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BC3D63"/>
  <w15:docId w15:val="{9ED16AA7-042C-414E-92CF-2E392581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Grid Table 2" w:uiPriority="47"/>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811"/>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2E5097"/>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lfuvd">
    <w:name w:val="ilfuvd"/>
    <w:basedOn w:val="VarsaylanParagrafYazTipi"/>
    <w:rsid w:val="004859AD"/>
  </w:style>
  <w:style w:type="character" w:styleId="Kpr">
    <w:name w:val="Hyperlink"/>
    <w:basedOn w:val="VarsaylanParagrafYazTipi"/>
    <w:uiPriority w:val="99"/>
    <w:unhideWhenUsed/>
    <w:rsid w:val="00CA36CB"/>
    <w:rPr>
      <w:strike w:val="0"/>
      <w:dstrike w:val="0"/>
      <w:color w:val="337AB7"/>
      <w:u w:val="none"/>
      <w:effect w:val="none"/>
      <w:shd w:val="clear" w:color="auto" w:fill="auto"/>
    </w:rPr>
  </w:style>
  <w:style w:type="paragraph" w:styleId="NormalWeb">
    <w:name w:val="Normal (Web)"/>
    <w:basedOn w:val="Normal"/>
    <w:uiPriority w:val="99"/>
    <w:semiHidden/>
    <w:unhideWhenUsed/>
    <w:rsid w:val="00CA36CB"/>
    <w:pPr>
      <w:spacing w:after="264"/>
    </w:pPr>
  </w:style>
  <w:style w:type="paragraph" w:customStyle="1" w:styleId="Default">
    <w:name w:val="Default"/>
    <w:rsid w:val="00B63933"/>
    <w:pPr>
      <w:autoSpaceDE w:val="0"/>
      <w:autoSpaceDN w:val="0"/>
      <w:adjustRightInd w:val="0"/>
      <w:spacing w:after="0" w:line="240" w:lineRule="auto"/>
    </w:pPr>
    <w:rPr>
      <w:rFonts w:ascii="Cambria" w:hAnsi="Cambria" w:cs="Cambria"/>
      <w:color w:val="000000"/>
      <w:sz w:val="24"/>
      <w:szCs w:val="24"/>
    </w:rPr>
  </w:style>
  <w:style w:type="table" w:customStyle="1" w:styleId="DzTablo21">
    <w:name w:val="Düz Tablo 21"/>
    <w:basedOn w:val="NormalTablo"/>
    <w:uiPriority w:val="42"/>
    <w:rsid w:val="00B6393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oKlavuzu">
    <w:name w:val="Table Grid"/>
    <w:basedOn w:val="NormalTablo"/>
    <w:uiPriority w:val="59"/>
    <w:rsid w:val="00D81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25F53"/>
    <w:pPr>
      <w:spacing w:after="160" w:line="259" w:lineRule="auto"/>
      <w:ind w:left="720"/>
      <w:contextualSpacing/>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rsid w:val="00FA2EEF"/>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FA2EEF"/>
    <w:rPr>
      <w:rFonts w:ascii="Lucida Grande" w:eastAsia="Times New Roman" w:hAnsi="Lucida Grande" w:cs="Lucida Grande"/>
      <w:sz w:val="18"/>
      <w:szCs w:val="18"/>
      <w:lang w:eastAsia="tr-TR"/>
    </w:rPr>
  </w:style>
  <w:style w:type="character" w:styleId="AklamaBavurusu">
    <w:name w:val="annotation reference"/>
    <w:basedOn w:val="VarsaylanParagrafYazTipi"/>
    <w:uiPriority w:val="99"/>
    <w:semiHidden/>
    <w:unhideWhenUsed/>
    <w:rsid w:val="008B51CB"/>
    <w:rPr>
      <w:sz w:val="16"/>
      <w:szCs w:val="16"/>
    </w:rPr>
  </w:style>
  <w:style w:type="paragraph" w:styleId="AklamaMetni">
    <w:name w:val="annotation text"/>
    <w:basedOn w:val="Normal"/>
    <w:link w:val="AklamaMetniChar"/>
    <w:uiPriority w:val="99"/>
    <w:semiHidden/>
    <w:unhideWhenUsed/>
    <w:rsid w:val="008B51CB"/>
    <w:rPr>
      <w:sz w:val="20"/>
      <w:szCs w:val="20"/>
    </w:rPr>
  </w:style>
  <w:style w:type="character" w:customStyle="1" w:styleId="AklamaMetniChar">
    <w:name w:val="Açıklama Metni Char"/>
    <w:basedOn w:val="VarsaylanParagrafYazTipi"/>
    <w:link w:val="AklamaMetni"/>
    <w:uiPriority w:val="99"/>
    <w:semiHidden/>
    <w:rsid w:val="008B51CB"/>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8B51CB"/>
    <w:rPr>
      <w:b/>
      <w:bCs/>
    </w:rPr>
  </w:style>
  <w:style w:type="character" w:customStyle="1" w:styleId="AklamaKonusuChar">
    <w:name w:val="Açıklama Konusu Char"/>
    <w:basedOn w:val="AklamaMetniChar"/>
    <w:link w:val="AklamaKonusu"/>
    <w:uiPriority w:val="99"/>
    <w:semiHidden/>
    <w:rsid w:val="008B51CB"/>
    <w:rPr>
      <w:rFonts w:ascii="Times New Roman" w:eastAsia="Times New Roman" w:hAnsi="Times New Roman" w:cs="Times New Roman"/>
      <w:b/>
      <w:bCs/>
      <w:sz w:val="20"/>
      <w:szCs w:val="20"/>
      <w:lang w:eastAsia="tr-TR"/>
    </w:rPr>
  </w:style>
  <w:style w:type="character" w:styleId="Vurgu">
    <w:name w:val="Emphasis"/>
    <w:basedOn w:val="VarsaylanParagrafYazTipi"/>
    <w:uiPriority w:val="20"/>
    <w:qFormat/>
    <w:rsid w:val="001C781F"/>
    <w:rPr>
      <w:i/>
      <w:iCs/>
    </w:rPr>
  </w:style>
  <w:style w:type="character" w:customStyle="1" w:styleId="Balk1Char">
    <w:name w:val="Başlık 1 Char"/>
    <w:basedOn w:val="VarsaylanParagrafYazTipi"/>
    <w:link w:val="Balk1"/>
    <w:uiPriority w:val="9"/>
    <w:rsid w:val="002E5097"/>
    <w:rPr>
      <w:rFonts w:asciiTheme="majorHAnsi" w:eastAsiaTheme="majorEastAsia" w:hAnsiTheme="majorHAnsi" w:cstheme="majorBidi"/>
      <w:color w:val="2E74B5" w:themeColor="accent1" w:themeShade="BF"/>
      <w:sz w:val="32"/>
      <w:szCs w:val="32"/>
      <w:lang w:val="tr-TR" w:eastAsia="tr-TR"/>
    </w:rPr>
  </w:style>
  <w:style w:type="table" w:styleId="DzTablo2">
    <w:name w:val="Plain Table 2"/>
    <w:basedOn w:val="NormalTablo"/>
    <w:uiPriority w:val="42"/>
    <w:rsid w:val="004F5A5F"/>
    <w:pPr>
      <w:spacing w:after="0" w:line="240" w:lineRule="auto"/>
    </w:pPr>
    <w:rPr>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KlavuzTablo2">
    <w:name w:val="Grid Table 2"/>
    <w:basedOn w:val="NormalTablo"/>
    <w:uiPriority w:val="47"/>
    <w:rsid w:val="004F5A5F"/>
    <w:pPr>
      <w:spacing w:after="0" w:line="240" w:lineRule="auto"/>
    </w:pPr>
    <w:rPr>
      <w:lang w:val="tr-TR"/>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word">
    <w:name w:val="word"/>
    <w:basedOn w:val="VarsaylanParagrafYazTipi"/>
    <w:rsid w:val="006D7834"/>
  </w:style>
  <w:style w:type="paragraph" w:styleId="DipnotMetni">
    <w:name w:val="footnote text"/>
    <w:basedOn w:val="Normal"/>
    <w:link w:val="DipnotMetniChar"/>
    <w:uiPriority w:val="99"/>
    <w:semiHidden/>
    <w:unhideWhenUsed/>
    <w:rsid w:val="00747549"/>
    <w:pPr>
      <w:ind w:firstLine="567"/>
      <w:jc w:val="both"/>
    </w:pPr>
    <w:rPr>
      <w:sz w:val="20"/>
      <w:szCs w:val="20"/>
      <w:lang w:val="tr-TR"/>
    </w:rPr>
  </w:style>
  <w:style w:type="character" w:customStyle="1" w:styleId="DipnotMetniChar">
    <w:name w:val="Dipnot Metni Char"/>
    <w:basedOn w:val="VarsaylanParagrafYazTipi"/>
    <w:link w:val="DipnotMetni"/>
    <w:uiPriority w:val="99"/>
    <w:semiHidden/>
    <w:rsid w:val="00747549"/>
    <w:rPr>
      <w:rFonts w:ascii="Times New Roman" w:eastAsia="Times New Roman" w:hAnsi="Times New Roman" w:cs="Times New Roman"/>
      <w:sz w:val="20"/>
      <w:szCs w:val="20"/>
      <w:lang w:val="tr-TR" w:eastAsia="tr-TR"/>
    </w:rPr>
  </w:style>
  <w:style w:type="character" w:styleId="DipnotBavurusu">
    <w:name w:val="footnote reference"/>
    <w:basedOn w:val="VarsaylanParagrafYazTipi"/>
    <w:uiPriority w:val="99"/>
    <w:semiHidden/>
    <w:unhideWhenUsed/>
    <w:rsid w:val="007475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517019">
      <w:bodyDiv w:val="1"/>
      <w:marLeft w:val="0"/>
      <w:marRight w:val="0"/>
      <w:marTop w:val="0"/>
      <w:marBottom w:val="0"/>
      <w:divBdr>
        <w:top w:val="none" w:sz="0" w:space="0" w:color="auto"/>
        <w:left w:val="none" w:sz="0" w:space="0" w:color="auto"/>
        <w:bottom w:val="none" w:sz="0" w:space="0" w:color="auto"/>
        <w:right w:val="none" w:sz="0" w:space="0" w:color="auto"/>
      </w:divBdr>
    </w:div>
    <w:div w:id="1342078519">
      <w:bodyDiv w:val="1"/>
      <w:marLeft w:val="0"/>
      <w:marRight w:val="0"/>
      <w:marTop w:val="0"/>
      <w:marBottom w:val="0"/>
      <w:divBdr>
        <w:top w:val="none" w:sz="0" w:space="0" w:color="auto"/>
        <w:left w:val="none" w:sz="0" w:space="0" w:color="auto"/>
        <w:bottom w:val="none" w:sz="0" w:space="0" w:color="auto"/>
        <w:right w:val="none" w:sz="0" w:space="0" w:color="auto"/>
      </w:divBdr>
    </w:div>
    <w:div w:id="1607810768">
      <w:bodyDiv w:val="1"/>
      <w:marLeft w:val="0"/>
      <w:marRight w:val="0"/>
      <w:marTop w:val="0"/>
      <w:marBottom w:val="0"/>
      <w:divBdr>
        <w:top w:val="none" w:sz="0" w:space="0" w:color="auto"/>
        <w:left w:val="none" w:sz="0" w:space="0" w:color="auto"/>
        <w:bottom w:val="none" w:sz="0" w:space="0" w:color="auto"/>
        <w:right w:val="none" w:sz="0" w:space="0" w:color="auto"/>
      </w:divBdr>
      <w:divsChild>
        <w:div w:id="1680112521">
          <w:marLeft w:val="0"/>
          <w:marRight w:val="0"/>
          <w:marTop w:val="0"/>
          <w:marBottom w:val="0"/>
          <w:divBdr>
            <w:top w:val="none" w:sz="0" w:space="0" w:color="auto"/>
            <w:left w:val="none" w:sz="0" w:space="0" w:color="auto"/>
            <w:bottom w:val="none" w:sz="0" w:space="0" w:color="auto"/>
            <w:right w:val="none" w:sz="0" w:space="0" w:color="auto"/>
          </w:divBdr>
          <w:divsChild>
            <w:div w:id="966859343">
              <w:marLeft w:val="0"/>
              <w:marRight w:val="0"/>
              <w:marTop w:val="0"/>
              <w:marBottom w:val="0"/>
              <w:divBdr>
                <w:top w:val="none" w:sz="0" w:space="0" w:color="auto"/>
                <w:left w:val="none" w:sz="0" w:space="0" w:color="auto"/>
                <w:bottom w:val="none" w:sz="0" w:space="0" w:color="auto"/>
                <w:right w:val="none" w:sz="0" w:space="0" w:color="auto"/>
              </w:divBdr>
              <w:divsChild>
                <w:div w:id="1873835284">
                  <w:marLeft w:val="0"/>
                  <w:marRight w:val="0"/>
                  <w:marTop w:val="0"/>
                  <w:marBottom w:val="0"/>
                  <w:divBdr>
                    <w:top w:val="none" w:sz="0" w:space="0" w:color="auto"/>
                    <w:left w:val="none" w:sz="0" w:space="0" w:color="auto"/>
                    <w:bottom w:val="none" w:sz="0" w:space="0" w:color="auto"/>
                    <w:right w:val="none" w:sz="0" w:space="0" w:color="auto"/>
                  </w:divBdr>
                  <w:divsChild>
                    <w:div w:id="1469783635">
                      <w:marLeft w:val="0"/>
                      <w:marRight w:val="0"/>
                      <w:marTop w:val="0"/>
                      <w:marBottom w:val="0"/>
                      <w:divBdr>
                        <w:top w:val="none" w:sz="0" w:space="0" w:color="auto"/>
                        <w:left w:val="none" w:sz="0" w:space="0" w:color="auto"/>
                        <w:bottom w:val="none" w:sz="0" w:space="0" w:color="auto"/>
                        <w:right w:val="none" w:sz="0" w:space="0" w:color="auto"/>
                      </w:divBdr>
                      <w:divsChild>
                        <w:div w:id="2126074818">
                          <w:marLeft w:val="0"/>
                          <w:marRight w:val="0"/>
                          <w:marTop w:val="0"/>
                          <w:marBottom w:val="0"/>
                          <w:divBdr>
                            <w:top w:val="none" w:sz="0" w:space="0" w:color="auto"/>
                            <w:left w:val="none" w:sz="0" w:space="0" w:color="auto"/>
                            <w:bottom w:val="none" w:sz="0" w:space="0" w:color="auto"/>
                            <w:right w:val="none" w:sz="0" w:space="0" w:color="auto"/>
                          </w:divBdr>
                          <w:divsChild>
                            <w:div w:id="2091734482">
                              <w:marLeft w:val="-225"/>
                              <w:marRight w:val="-225"/>
                              <w:marTop w:val="0"/>
                              <w:marBottom w:val="0"/>
                              <w:divBdr>
                                <w:top w:val="none" w:sz="0" w:space="0" w:color="auto"/>
                                <w:left w:val="none" w:sz="0" w:space="0" w:color="auto"/>
                                <w:bottom w:val="none" w:sz="0" w:space="0" w:color="auto"/>
                                <w:right w:val="none" w:sz="0" w:space="0" w:color="auto"/>
                              </w:divBdr>
                              <w:divsChild>
                                <w:div w:id="223371284">
                                  <w:marLeft w:val="0"/>
                                  <w:marRight w:val="0"/>
                                  <w:marTop w:val="0"/>
                                  <w:marBottom w:val="0"/>
                                  <w:divBdr>
                                    <w:top w:val="none" w:sz="0" w:space="0" w:color="auto"/>
                                    <w:left w:val="none" w:sz="0" w:space="0" w:color="auto"/>
                                    <w:bottom w:val="none" w:sz="0" w:space="0" w:color="auto"/>
                                    <w:right w:val="none" w:sz="0" w:space="0" w:color="auto"/>
                                  </w:divBdr>
                                  <w:divsChild>
                                    <w:div w:id="843007578">
                                      <w:marLeft w:val="0"/>
                                      <w:marRight w:val="0"/>
                                      <w:marTop w:val="0"/>
                                      <w:marBottom w:val="0"/>
                                      <w:divBdr>
                                        <w:top w:val="none" w:sz="0" w:space="0" w:color="auto"/>
                                        <w:left w:val="none" w:sz="0" w:space="0" w:color="auto"/>
                                        <w:bottom w:val="none" w:sz="0" w:space="0" w:color="auto"/>
                                        <w:right w:val="none" w:sz="0" w:space="0" w:color="auto"/>
                                      </w:divBdr>
                                      <w:divsChild>
                                        <w:div w:id="1009406830">
                                          <w:marLeft w:val="0"/>
                                          <w:marRight w:val="0"/>
                                          <w:marTop w:val="0"/>
                                          <w:marBottom w:val="0"/>
                                          <w:divBdr>
                                            <w:top w:val="none" w:sz="0" w:space="0" w:color="auto"/>
                                            <w:left w:val="none" w:sz="0" w:space="0" w:color="auto"/>
                                            <w:bottom w:val="none" w:sz="0" w:space="0" w:color="auto"/>
                                            <w:right w:val="none" w:sz="0" w:space="0" w:color="auto"/>
                                          </w:divBdr>
                                          <w:divsChild>
                                            <w:div w:id="47993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alwellnesssummit.com/wp-content/uploads/Industry-Research/Global/2011_UNWTO_Tourism_Towards_2030.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unwto.org/doi/pdf/10.18111/9789284419876"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kerkisi@gelisim.edu.tr" TargetMode="External"/><Relationship Id="rId1" Type="http://schemas.openxmlformats.org/officeDocument/2006/relationships/hyperlink" Target="mailto:sboga@dogus.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438F5562-7799-4DCF-8427-D7EBD5919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15</Pages>
  <Words>6590</Words>
  <Characters>37569</Characters>
  <Application>Microsoft Office Word</Application>
  <DocSecurity>0</DocSecurity>
  <Lines>313</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kerkisi@igu.local</dc:creator>
  <cp:keywords/>
  <dc:description/>
  <cp:lastModifiedBy>kerkisi@igu.local</cp:lastModifiedBy>
  <cp:revision>4</cp:revision>
  <dcterms:created xsi:type="dcterms:W3CDTF">2019-03-30T10:39:00Z</dcterms:created>
  <dcterms:modified xsi:type="dcterms:W3CDTF">2019-03-30T14:21:00Z</dcterms:modified>
</cp:coreProperties>
</file>