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9ED94" w14:textId="77777777" w:rsidR="00A576D4" w:rsidRDefault="00A576D4" w:rsidP="005D51F9">
      <w:pPr>
        <w:pStyle w:val="AralkYok"/>
        <w:rPr>
          <w:rFonts w:ascii="Times New Roman" w:hAnsi="Times New Roman" w:cs="Times New Roman"/>
          <w:b/>
          <w:sz w:val="4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4562FB1" wp14:editId="797046A1">
            <wp:simplePos x="0" y="0"/>
            <wp:positionH relativeFrom="column">
              <wp:posOffset>5561330</wp:posOffset>
            </wp:positionH>
            <wp:positionV relativeFrom="paragraph">
              <wp:posOffset>-635</wp:posOffset>
            </wp:positionV>
            <wp:extent cx="546735" cy="507365"/>
            <wp:effectExtent l="0" t="0" r="5715" b="6985"/>
            <wp:wrapThrough wrapText="bothSides">
              <wp:wrapPolygon edited="0">
                <wp:start x="0" y="0"/>
                <wp:lineTo x="0" y="21086"/>
                <wp:lineTo x="21073" y="21086"/>
                <wp:lineTo x="21073" y="0"/>
                <wp:lineTo x="0" y="0"/>
              </wp:wrapPolygon>
            </wp:wrapThrough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 wp14:anchorId="63528A91" wp14:editId="709AD515">
            <wp:extent cx="2286000" cy="417830"/>
            <wp:effectExtent l="0" t="0" r="0" b="0"/>
            <wp:docPr id="1" name="Picture 49" descr="tjfmpc_log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9" descr="tjfmpc_logo_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</w:p>
    <w:p w14:paraId="326C240D" w14:textId="77777777" w:rsidR="00A576D4" w:rsidRPr="00BC1E74" w:rsidRDefault="00A576D4" w:rsidP="00A576D4">
      <w:pPr>
        <w:pStyle w:val="stBilgi"/>
        <w:rPr>
          <w:rFonts w:ascii="Times New Roman" w:hAnsi="Times New Roman" w:cs="Times New Roman"/>
          <w:b/>
        </w:rPr>
      </w:pPr>
      <w:proofErr w:type="spellStart"/>
      <w:r w:rsidRPr="00BC1E74">
        <w:rPr>
          <w:rFonts w:ascii="Times New Roman" w:hAnsi="Times New Roman" w:cs="Times New Roman"/>
          <w:b/>
        </w:rPr>
        <w:t>Original</w:t>
      </w:r>
      <w:proofErr w:type="spellEnd"/>
      <w:r w:rsidRPr="00BC1E74">
        <w:rPr>
          <w:rFonts w:ascii="Times New Roman" w:hAnsi="Times New Roman" w:cs="Times New Roman"/>
          <w:b/>
        </w:rPr>
        <w:t xml:space="preserve"> </w:t>
      </w:r>
      <w:proofErr w:type="spellStart"/>
      <w:r w:rsidRPr="00BC1E74">
        <w:rPr>
          <w:rFonts w:ascii="Times New Roman" w:hAnsi="Times New Roman" w:cs="Times New Roman"/>
          <w:b/>
        </w:rPr>
        <w:t>Research</w:t>
      </w:r>
      <w:proofErr w:type="spellEnd"/>
      <w:r w:rsidRPr="00BC1E74">
        <w:rPr>
          <w:rFonts w:ascii="Times New Roman" w:hAnsi="Times New Roman" w:cs="Times New Roman"/>
          <w:b/>
        </w:rPr>
        <w:t xml:space="preserve"> / Özgün Araştırma</w:t>
      </w:r>
    </w:p>
    <w:p w14:paraId="6C189C8B" w14:textId="77777777" w:rsidR="002A38BF" w:rsidRDefault="002A38BF" w:rsidP="005D51F9">
      <w:pPr>
        <w:pStyle w:val="AralkYok"/>
        <w:rPr>
          <w:rFonts w:ascii="Times New Roman" w:hAnsi="Times New Roman" w:cs="Times New Roman"/>
          <w:b/>
          <w:sz w:val="40"/>
        </w:rPr>
      </w:pPr>
    </w:p>
    <w:p w14:paraId="073A6009" w14:textId="77777777" w:rsidR="002A38BF" w:rsidRDefault="005D51F9" w:rsidP="005D51F9">
      <w:pPr>
        <w:pStyle w:val="AralkYok"/>
        <w:rPr>
          <w:rFonts w:ascii="Times New Roman" w:hAnsi="Times New Roman" w:cs="Times New Roman"/>
          <w:b/>
          <w:sz w:val="40"/>
        </w:rPr>
      </w:pPr>
      <w:proofErr w:type="spellStart"/>
      <w:r w:rsidRPr="005D51F9">
        <w:rPr>
          <w:rFonts w:ascii="Times New Roman" w:hAnsi="Times New Roman" w:cs="Times New Roman"/>
          <w:b/>
          <w:sz w:val="40"/>
        </w:rPr>
        <w:t>Malnutrition</w:t>
      </w:r>
      <w:proofErr w:type="spellEnd"/>
      <w:r w:rsidRPr="005D51F9">
        <w:rPr>
          <w:rFonts w:ascii="Times New Roman" w:hAnsi="Times New Roman" w:cs="Times New Roman"/>
          <w:b/>
          <w:sz w:val="40"/>
        </w:rPr>
        <w:t xml:space="preserve"> in Home </w:t>
      </w:r>
      <w:proofErr w:type="spellStart"/>
      <w:r w:rsidRPr="005D51F9">
        <w:rPr>
          <w:rFonts w:ascii="Times New Roman" w:hAnsi="Times New Roman" w:cs="Times New Roman"/>
          <w:b/>
          <w:sz w:val="40"/>
        </w:rPr>
        <w:t>Care</w:t>
      </w:r>
      <w:proofErr w:type="spellEnd"/>
      <w:r w:rsidRPr="005D51F9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5D51F9">
        <w:rPr>
          <w:rFonts w:ascii="Times New Roman" w:hAnsi="Times New Roman" w:cs="Times New Roman"/>
          <w:b/>
          <w:sz w:val="40"/>
        </w:rPr>
        <w:t>Patients</w:t>
      </w:r>
      <w:proofErr w:type="spellEnd"/>
    </w:p>
    <w:p w14:paraId="6582DD29" w14:textId="77777777" w:rsidR="002A38BF" w:rsidRPr="00D523F8" w:rsidRDefault="002A38BF" w:rsidP="005D51F9">
      <w:pPr>
        <w:pStyle w:val="AralkYok"/>
        <w:rPr>
          <w:rFonts w:ascii="Times New Roman" w:hAnsi="Times New Roman" w:cs="Times New Roman"/>
          <w:b/>
          <w:sz w:val="32"/>
          <w:szCs w:val="32"/>
        </w:rPr>
      </w:pPr>
    </w:p>
    <w:p w14:paraId="686B47F5" w14:textId="77777777" w:rsidR="00B241B6" w:rsidRDefault="00B241B6" w:rsidP="005D51F9">
      <w:pPr>
        <w:pStyle w:val="AralkYok"/>
        <w:rPr>
          <w:rFonts w:ascii="Times New Roman" w:hAnsi="Times New Roman" w:cs="Times New Roman"/>
          <w:sz w:val="32"/>
          <w:szCs w:val="32"/>
        </w:rPr>
      </w:pPr>
      <w:r w:rsidRPr="00B241B6">
        <w:rPr>
          <w:rFonts w:ascii="Times New Roman" w:hAnsi="Times New Roman" w:cs="Times New Roman"/>
          <w:sz w:val="32"/>
          <w:szCs w:val="32"/>
        </w:rPr>
        <w:t xml:space="preserve">Evde Bakım Hastalarında </w:t>
      </w:r>
      <w:proofErr w:type="spellStart"/>
      <w:r w:rsidRPr="00B241B6">
        <w:rPr>
          <w:rFonts w:ascii="Times New Roman" w:hAnsi="Times New Roman" w:cs="Times New Roman"/>
          <w:sz w:val="32"/>
          <w:szCs w:val="32"/>
        </w:rPr>
        <w:t>Malnütrisyon</w:t>
      </w:r>
      <w:proofErr w:type="spellEnd"/>
    </w:p>
    <w:p w14:paraId="76B46894" w14:textId="77777777" w:rsidR="002A38BF" w:rsidRPr="00B241B6" w:rsidRDefault="002A38BF" w:rsidP="005D51F9">
      <w:pPr>
        <w:pStyle w:val="AralkYok"/>
        <w:rPr>
          <w:rFonts w:ascii="Times New Roman" w:hAnsi="Times New Roman" w:cs="Times New Roman"/>
          <w:sz w:val="32"/>
          <w:szCs w:val="32"/>
        </w:rPr>
      </w:pPr>
    </w:p>
    <w:p w14:paraId="2A2972E2" w14:textId="04A7AC70" w:rsidR="002A38BF" w:rsidRPr="00D523F8" w:rsidRDefault="002A38BF" w:rsidP="00E645AA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38BF">
        <w:rPr>
          <w:rFonts w:ascii="Times New Roman" w:hAnsi="Times New Roman" w:cs="Times New Roman"/>
          <w:i/>
          <w:spacing w:val="1"/>
        </w:rPr>
        <w:t>Sabah Tüzün</w:t>
      </w:r>
      <w:r w:rsidR="00D523F8">
        <w:rPr>
          <w:rFonts w:ascii="Times New Roman" w:hAnsi="Times New Roman" w:cs="Times New Roman"/>
          <w:i/>
          <w:spacing w:val="1"/>
        </w:rPr>
        <w:t>*</w:t>
      </w:r>
      <w:r>
        <w:rPr>
          <w:rFonts w:ascii="Times New Roman" w:hAnsi="Times New Roman" w:cs="Times New Roman"/>
          <w:i/>
          <w:spacing w:val="1"/>
          <w:vertAlign w:val="superscript"/>
        </w:rPr>
        <w:t>1</w:t>
      </w:r>
      <w:r w:rsidRPr="002A38BF">
        <w:rPr>
          <w:rFonts w:ascii="Times New Roman" w:hAnsi="Times New Roman" w:cs="Times New Roman"/>
          <w:i/>
          <w:spacing w:val="1"/>
        </w:rPr>
        <w:t>, Nazlı Hacıağaoğlu</w:t>
      </w:r>
      <w:r>
        <w:rPr>
          <w:rFonts w:ascii="Times New Roman" w:hAnsi="Times New Roman" w:cs="Times New Roman"/>
          <w:i/>
          <w:spacing w:val="1"/>
          <w:vertAlign w:val="superscript"/>
        </w:rPr>
        <w:t>2</w:t>
      </w:r>
      <w:r w:rsidRPr="002A38BF">
        <w:rPr>
          <w:rFonts w:ascii="Times New Roman" w:hAnsi="Times New Roman" w:cs="Times New Roman"/>
          <w:i/>
          <w:spacing w:val="1"/>
        </w:rPr>
        <w:t>, Mustafa Reşat Dabak</w:t>
      </w:r>
      <w:r>
        <w:rPr>
          <w:rFonts w:ascii="Times New Roman" w:hAnsi="Times New Roman" w:cs="Times New Roman"/>
          <w:i/>
          <w:spacing w:val="1"/>
          <w:vertAlign w:val="superscript"/>
        </w:rPr>
        <w:t>3</w:t>
      </w:r>
    </w:p>
    <w:p w14:paraId="1329094B" w14:textId="77777777" w:rsidR="00B2719C" w:rsidRPr="005D51F9" w:rsidRDefault="00B2719C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16"/>
        </w:rPr>
      </w:pPr>
      <w:r w:rsidRPr="005D51F9">
        <w:rPr>
          <w:rFonts w:ascii="Times New Roman" w:hAnsi="Times New Roman" w:cs="Times New Roman"/>
          <w:b/>
          <w:sz w:val="20"/>
          <w:szCs w:val="16"/>
        </w:rPr>
        <w:t>ABSTRACT</w:t>
      </w:r>
    </w:p>
    <w:p w14:paraId="28564DC7" w14:textId="77777777" w:rsidR="00B2719C" w:rsidRPr="00B2719C" w:rsidRDefault="00B2719C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F2825E" w14:textId="77777777" w:rsidR="00B2719C" w:rsidRDefault="00B2719C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B2719C">
        <w:rPr>
          <w:rFonts w:ascii="Times New Roman" w:hAnsi="Times New Roman" w:cs="Times New Roman"/>
          <w:b/>
          <w:sz w:val="16"/>
          <w:szCs w:val="16"/>
        </w:rPr>
        <w:t>Introduction</w:t>
      </w:r>
      <w:proofErr w:type="spellEnd"/>
      <w:r w:rsidRPr="00B2719C">
        <w:rPr>
          <w:rFonts w:ascii="Times New Roman" w:hAnsi="Times New Roman" w:cs="Times New Roman"/>
          <w:b/>
          <w:sz w:val="16"/>
          <w:szCs w:val="16"/>
        </w:rPr>
        <w:t>:</w:t>
      </w:r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studies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conducted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elderly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prevalence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ranging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from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1%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83%.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present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study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aimed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investigate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prevalence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associated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factors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patients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receiving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homecare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b/>
          <w:sz w:val="16"/>
          <w:szCs w:val="16"/>
        </w:rPr>
        <w:t>Method</w:t>
      </w:r>
      <w:proofErr w:type="spellEnd"/>
      <w:r w:rsidRPr="00B2719C">
        <w:rPr>
          <w:rFonts w:ascii="Times New Roman" w:hAnsi="Times New Roman" w:cs="Times New Roman"/>
          <w:b/>
          <w:sz w:val="16"/>
          <w:szCs w:val="16"/>
        </w:rPr>
        <w:t>:</w:t>
      </w:r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followed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at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home-care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unit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January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2015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June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2015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were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enrolled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into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study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Socio-demographic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characteristics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comorbid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conditions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laboratory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markers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scores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of mini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nutritional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assessment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short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form (MNA-SF)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mini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nutritional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assessment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(MNA)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scales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were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retrospectively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retrieved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from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patient’s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files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all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MNA-SF is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used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as a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screening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test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assess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nutritional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status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having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score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of &lt;12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subjected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complete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MNA test.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MNA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scores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classified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following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: &gt;23 normal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nutritional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status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17-23 risk of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&lt;17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2719C">
        <w:rPr>
          <w:rFonts w:ascii="Times New Roman" w:hAnsi="Times New Roman" w:cs="Times New Roman"/>
          <w:b/>
          <w:sz w:val="16"/>
          <w:szCs w:val="16"/>
        </w:rPr>
        <w:t>Results</w:t>
      </w:r>
      <w:proofErr w:type="spellEnd"/>
      <w:r w:rsidRPr="00B2719C">
        <w:rPr>
          <w:rFonts w:ascii="Times New Roman" w:hAnsi="Times New Roman" w:cs="Times New Roman"/>
          <w:b/>
          <w:sz w:val="16"/>
          <w:szCs w:val="16"/>
        </w:rPr>
        <w:t>:</w:t>
      </w:r>
      <w:r w:rsidRPr="00B2719C">
        <w:rPr>
          <w:rFonts w:ascii="Times New Roman" w:hAnsi="Times New Roman" w:cs="Times New Roman"/>
          <w:sz w:val="16"/>
          <w:szCs w:val="16"/>
        </w:rPr>
        <w:t xml:space="preserve"> A total of 146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were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enrolled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MNA-SF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score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was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&lt;12 in 105 (71.9%) of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Based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MNA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scores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normal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was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detected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in 51 (34.9%), risk of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was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detected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in 53 (36.3%),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was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detected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in 42 (28.8%) of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Being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completely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bedridden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having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decubitus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ulcers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using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enteral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support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products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were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significantly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higher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with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(p&lt;0.001, p&lt;0.001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p&lt;0.001,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respectively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).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Nevertheless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while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26 (61.9%) of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have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been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using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enteral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support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product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only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3 (5.7%) of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risk of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have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been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using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enteral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support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product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Moreover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albumin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was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significantly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lower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but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creatinine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was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significantly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higher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those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(p=0.003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p=0.001,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respectively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). </w:t>
      </w:r>
      <w:proofErr w:type="spellStart"/>
      <w:r w:rsidRPr="00D523F8">
        <w:rPr>
          <w:rFonts w:ascii="Times New Roman" w:hAnsi="Times New Roman" w:cs="Times New Roman"/>
          <w:b/>
          <w:sz w:val="16"/>
          <w:szCs w:val="16"/>
        </w:rPr>
        <w:t>Conclusion</w:t>
      </w:r>
      <w:proofErr w:type="spellEnd"/>
      <w:r w:rsidRPr="00D523F8">
        <w:rPr>
          <w:rFonts w:ascii="Times New Roman" w:hAnsi="Times New Roman" w:cs="Times New Roman"/>
          <w:b/>
          <w:sz w:val="16"/>
          <w:szCs w:val="16"/>
        </w:rPr>
        <w:t>:</w:t>
      </w:r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frequently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seen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individuals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receiving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homecare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it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becomes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an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important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health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problem as it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begins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insidiously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treated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not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properly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Such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participants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need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be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screened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regularly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treated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early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soon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risk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emerges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1F801708" w14:textId="0AA916EB" w:rsidR="00B2719C" w:rsidRDefault="00B2719C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B2719C">
        <w:rPr>
          <w:rFonts w:ascii="Times New Roman" w:hAnsi="Times New Roman" w:cs="Times New Roman"/>
          <w:b/>
          <w:sz w:val="16"/>
          <w:szCs w:val="16"/>
        </w:rPr>
        <w:t>Key</w:t>
      </w:r>
      <w:proofErr w:type="spellEnd"/>
      <w:r w:rsidR="00B241B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b/>
          <w:sz w:val="16"/>
          <w:szCs w:val="16"/>
        </w:rPr>
        <w:t>words</w:t>
      </w:r>
      <w:proofErr w:type="spellEnd"/>
      <w:r w:rsidRPr="00B2719C">
        <w:rPr>
          <w:rFonts w:ascii="Times New Roman" w:hAnsi="Times New Roman" w:cs="Times New Roman"/>
          <w:b/>
          <w:sz w:val="16"/>
          <w:szCs w:val="16"/>
        </w:rPr>
        <w:t>:</w:t>
      </w:r>
      <w:r w:rsidRPr="00B2719C">
        <w:rPr>
          <w:rFonts w:ascii="Times New Roman" w:hAnsi="Times New Roman" w:cs="Times New Roman"/>
          <w:sz w:val="16"/>
          <w:szCs w:val="16"/>
        </w:rPr>
        <w:t xml:space="preserve"> Home 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c</w:t>
      </w:r>
      <w:r w:rsidRPr="00B2719C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s</w:t>
      </w:r>
      <w:r w:rsidRPr="00B2719C">
        <w:rPr>
          <w:rFonts w:ascii="Times New Roman" w:hAnsi="Times New Roman" w:cs="Times New Roman"/>
          <w:sz w:val="16"/>
          <w:szCs w:val="16"/>
        </w:rPr>
        <w:t>ervices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r w:rsidR="002A38BF">
        <w:rPr>
          <w:rFonts w:ascii="Times New Roman" w:hAnsi="Times New Roman" w:cs="Times New Roman"/>
          <w:sz w:val="16"/>
          <w:szCs w:val="16"/>
        </w:rPr>
        <w:t>p</w:t>
      </w:r>
      <w:r w:rsidRPr="00B2719C">
        <w:rPr>
          <w:rFonts w:ascii="Times New Roman" w:hAnsi="Times New Roman" w:cs="Times New Roman"/>
          <w:sz w:val="16"/>
          <w:szCs w:val="16"/>
        </w:rPr>
        <w:t>rotein-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e</w:t>
      </w:r>
      <w:r w:rsidRPr="00B2719C">
        <w:rPr>
          <w:rFonts w:ascii="Times New Roman" w:hAnsi="Times New Roman" w:cs="Times New Roman"/>
          <w:sz w:val="16"/>
          <w:szCs w:val="16"/>
        </w:rPr>
        <w:t>nergy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m</w:t>
      </w:r>
      <w:r w:rsidRPr="00B2719C">
        <w:rPr>
          <w:rFonts w:ascii="Times New Roman" w:hAnsi="Times New Roman" w:cs="Times New Roman"/>
          <w:sz w:val="16"/>
          <w:szCs w:val="16"/>
        </w:rPr>
        <w:t>alnutrition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n</w:t>
      </w:r>
      <w:r w:rsidRPr="00B2719C">
        <w:rPr>
          <w:rFonts w:ascii="Times New Roman" w:hAnsi="Times New Roman" w:cs="Times New Roman"/>
          <w:sz w:val="16"/>
          <w:szCs w:val="16"/>
        </w:rPr>
        <w:t>utrition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s</w:t>
      </w:r>
      <w:r w:rsidRPr="00B2719C">
        <w:rPr>
          <w:rFonts w:ascii="Times New Roman" w:hAnsi="Times New Roman" w:cs="Times New Roman"/>
          <w:sz w:val="16"/>
          <w:szCs w:val="16"/>
        </w:rPr>
        <w:t>tatus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e</w:t>
      </w:r>
      <w:r w:rsidRPr="00B2719C">
        <w:rPr>
          <w:rFonts w:ascii="Times New Roman" w:hAnsi="Times New Roman" w:cs="Times New Roman"/>
          <w:sz w:val="16"/>
          <w:szCs w:val="16"/>
        </w:rPr>
        <w:t>nteral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n</w:t>
      </w:r>
      <w:r w:rsidRPr="00B2719C">
        <w:rPr>
          <w:rFonts w:ascii="Times New Roman" w:hAnsi="Times New Roman" w:cs="Times New Roman"/>
          <w:sz w:val="16"/>
          <w:szCs w:val="16"/>
        </w:rPr>
        <w:t>utrition</w:t>
      </w:r>
      <w:proofErr w:type="spellEnd"/>
    </w:p>
    <w:p w14:paraId="1000614E" w14:textId="77777777" w:rsidR="00B2719C" w:rsidRDefault="00B2719C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9A1A72D" w14:textId="77777777" w:rsidR="00B2719C" w:rsidRPr="00B2719C" w:rsidRDefault="00B2719C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97723E" w14:textId="77777777" w:rsidR="00B2719C" w:rsidRPr="005D51F9" w:rsidRDefault="00B2719C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16"/>
        </w:rPr>
      </w:pPr>
      <w:r w:rsidRPr="005D51F9">
        <w:rPr>
          <w:rFonts w:ascii="Times New Roman" w:hAnsi="Times New Roman" w:cs="Times New Roman"/>
          <w:b/>
          <w:sz w:val="20"/>
          <w:szCs w:val="16"/>
        </w:rPr>
        <w:t>ÖZET</w:t>
      </w:r>
    </w:p>
    <w:p w14:paraId="520688F8" w14:textId="77777777" w:rsidR="00B2719C" w:rsidRPr="008C241D" w:rsidRDefault="00B2719C" w:rsidP="00E645A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C160C4" w14:textId="1BD29249" w:rsidR="00B2719C" w:rsidRPr="00B2719C" w:rsidRDefault="00B2719C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C241D">
        <w:rPr>
          <w:rFonts w:ascii="Times New Roman" w:hAnsi="Times New Roman" w:cs="Times New Roman"/>
          <w:b/>
          <w:sz w:val="16"/>
          <w:szCs w:val="16"/>
        </w:rPr>
        <w:t>Giriş:</w:t>
      </w:r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ile ilgili çalışmalar genellikle yaşlı bireylerde yapılmakta ve sıklığı %1’den %83’e kadar değişmektedir. Bu çalışmada evde sağlık hizmetlerine başvuran bireylerin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sıklığı ve ilişkili faktörlerin araştırılması amaçlanmaktadır. </w:t>
      </w:r>
      <w:r w:rsidR="00D523F8" w:rsidRPr="008C241D">
        <w:rPr>
          <w:rFonts w:ascii="Times New Roman" w:hAnsi="Times New Roman" w:cs="Times New Roman"/>
          <w:b/>
          <w:sz w:val="16"/>
          <w:szCs w:val="16"/>
        </w:rPr>
        <w:t>Yöntem:</w:t>
      </w:r>
      <w:r w:rsidR="00D523F8" w:rsidRPr="00B2719C">
        <w:rPr>
          <w:rFonts w:ascii="Times New Roman" w:hAnsi="Times New Roman" w:cs="Times New Roman"/>
          <w:sz w:val="16"/>
          <w:szCs w:val="16"/>
        </w:rPr>
        <w:t xml:space="preserve"> Bu</w:t>
      </w:r>
      <w:r w:rsidRPr="00B2719C">
        <w:rPr>
          <w:rFonts w:ascii="Times New Roman" w:hAnsi="Times New Roman" w:cs="Times New Roman"/>
          <w:sz w:val="16"/>
          <w:szCs w:val="16"/>
        </w:rPr>
        <w:t xml:space="preserve"> çalışmaya Ocak 2015 ile Haziran 2015 tarihleri arasında evde sağlık biriminde takip edilen bireyler dahil edilmiştir. Tüm katılımcıların takip dosyalarından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sosyodemografik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özellikleri, eşlik eden hastalıkları,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laboratuar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tetkikleri, mini beslenme değerlendirmesi kısa formu (MND-SF) ve mini beslenme değerlendirmesi (MND) testi puanları geriye dönük olarak değerlendirilmiştir. MND-SF beslenme durumunun değerlendirilmesinde tarama testi olarak kullanılmakta ve 12 puan altı bireylerde MND testinin tamamı uygulanmaktadır. MND puanına göre 23 üzeri normal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, 17-23 arası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riski ve 17 altı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olarak sınıflandırılmaktadır. </w:t>
      </w:r>
      <w:r w:rsidRPr="008C241D">
        <w:rPr>
          <w:rFonts w:ascii="Times New Roman" w:hAnsi="Times New Roman" w:cs="Times New Roman"/>
          <w:b/>
          <w:sz w:val="16"/>
          <w:szCs w:val="16"/>
        </w:rPr>
        <w:t>Bulgular:</w:t>
      </w:r>
      <w:r w:rsidRPr="00B2719C">
        <w:rPr>
          <w:rFonts w:ascii="Times New Roman" w:hAnsi="Times New Roman" w:cs="Times New Roman"/>
          <w:sz w:val="16"/>
          <w:szCs w:val="16"/>
        </w:rPr>
        <w:t xml:space="preserve"> Toplam 146 katılımcı çalışmaya dahil edilmiştir. MND-SF puanına göre katılımcıların 105 (</w:t>
      </w:r>
      <w:r w:rsidR="00D523F8" w:rsidRPr="00B2719C">
        <w:rPr>
          <w:rFonts w:ascii="Times New Roman" w:hAnsi="Times New Roman" w:cs="Times New Roman"/>
          <w:sz w:val="16"/>
          <w:szCs w:val="16"/>
        </w:rPr>
        <w:t>%71,9</w:t>
      </w:r>
      <w:r w:rsidRPr="00B2719C">
        <w:rPr>
          <w:rFonts w:ascii="Times New Roman" w:hAnsi="Times New Roman" w:cs="Times New Roman"/>
          <w:sz w:val="16"/>
          <w:szCs w:val="16"/>
        </w:rPr>
        <w:t>)’i 12 puan altında bulunmuştur. Katılımcıların MND puanına göre 51 (</w:t>
      </w:r>
      <w:r w:rsidR="00D523F8" w:rsidRPr="00B2719C">
        <w:rPr>
          <w:rFonts w:ascii="Times New Roman" w:hAnsi="Times New Roman" w:cs="Times New Roman"/>
          <w:sz w:val="16"/>
          <w:szCs w:val="16"/>
        </w:rPr>
        <w:t>%34,9</w:t>
      </w:r>
      <w:r w:rsidRPr="00B2719C">
        <w:rPr>
          <w:rFonts w:ascii="Times New Roman" w:hAnsi="Times New Roman" w:cs="Times New Roman"/>
          <w:sz w:val="16"/>
          <w:szCs w:val="16"/>
        </w:rPr>
        <w:t xml:space="preserve">)’inde normal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>, 53 (</w:t>
      </w:r>
      <w:r w:rsidR="00D523F8" w:rsidRPr="00B2719C">
        <w:rPr>
          <w:rFonts w:ascii="Times New Roman" w:hAnsi="Times New Roman" w:cs="Times New Roman"/>
          <w:sz w:val="16"/>
          <w:szCs w:val="16"/>
        </w:rPr>
        <w:t>%36,3</w:t>
      </w:r>
      <w:r w:rsidRPr="00B2719C">
        <w:rPr>
          <w:rFonts w:ascii="Times New Roman" w:hAnsi="Times New Roman" w:cs="Times New Roman"/>
          <w:sz w:val="16"/>
          <w:szCs w:val="16"/>
        </w:rPr>
        <w:t xml:space="preserve">)’ünde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riski ve 42 (</w:t>
      </w:r>
      <w:r w:rsidR="00D523F8" w:rsidRPr="00B2719C">
        <w:rPr>
          <w:rFonts w:ascii="Times New Roman" w:hAnsi="Times New Roman" w:cs="Times New Roman"/>
          <w:sz w:val="16"/>
          <w:szCs w:val="16"/>
        </w:rPr>
        <w:t>%28,8</w:t>
      </w:r>
      <w:r w:rsidRPr="00B2719C">
        <w:rPr>
          <w:rFonts w:ascii="Times New Roman" w:hAnsi="Times New Roman" w:cs="Times New Roman"/>
          <w:sz w:val="16"/>
          <w:szCs w:val="16"/>
        </w:rPr>
        <w:t xml:space="preserve">)’sinde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saptanmıştır.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olanlarda yatağa tam bağımlılık,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dekübit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ülseri ve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enteral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beslenme destek ürünü kullanımı anlamlı yüksek gözlenmiştir (sırasıyla p&lt;0.001, p&lt;0.001 ve p&lt;0.001). Bununla beraber,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olanların 26 (</w:t>
      </w:r>
      <w:r w:rsidR="00D523F8" w:rsidRPr="00B2719C">
        <w:rPr>
          <w:rFonts w:ascii="Times New Roman" w:hAnsi="Times New Roman" w:cs="Times New Roman"/>
          <w:sz w:val="16"/>
          <w:szCs w:val="16"/>
        </w:rPr>
        <w:t>%61,9</w:t>
      </w:r>
      <w:r w:rsidRPr="00B2719C">
        <w:rPr>
          <w:rFonts w:ascii="Times New Roman" w:hAnsi="Times New Roman" w:cs="Times New Roman"/>
          <w:sz w:val="16"/>
          <w:szCs w:val="16"/>
        </w:rPr>
        <w:t xml:space="preserve">)’ı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enteral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beslenme destek ürünü kullanırken,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riski olanların sadece 3 (</w:t>
      </w:r>
      <w:r w:rsidR="00D523F8" w:rsidRPr="00B2719C">
        <w:rPr>
          <w:rFonts w:ascii="Times New Roman" w:hAnsi="Times New Roman" w:cs="Times New Roman"/>
          <w:sz w:val="16"/>
          <w:szCs w:val="16"/>
        </w:rPr>
        <w:t>%5,7</w:t>
      </w:r>
      <w:r w:rsidRPr="00B2719C">
        <w:rPr>
          <w:rFonts w:ascii="Times New Roman" w:hAnsi="Times New Roman" w:cs="Times New Roman"/>
          <w:sz w:val="16"/>
          <w:szCs w:val="16"/>
        </w:rPr>
        <w:t xml:space="preserve">)’ünün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enteral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beslenme destek ürünü kullandığı tespit edilmiştir. Ayrıca,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olanlarda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albumin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anlamlı düşük iken,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kreatinin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düzeyi anlamlı yüksek saptanmıştır (sırasıyla p=0.003 ve p=0.001). </w:t>
      </w:r>
      <w:r w:rsidRPr="00D523F8">
        <w:rPr>
          <w:rFonts w:ascii="Times New Roman" w:hAnsi="Times New Roman" w:cs="Times New Roman"/>
          <w:b/>
          <w:sz w:val="16"/>
          <w:szCs w:val="16"/>
        </w:rPr>
        <w:t>Sonuç:</w:t>
      </w:r>
      <w:r w:rsidRPr="00B2719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evde sağlık hizmeti alan bireylerde sık gözlenmekte ve sinsi başlaması, yeterli tedavi edilmemesi nedeniyle önemli bir sağlık sorunudur. Bu bireylerde </w:t>
      </w:r>
      <w:proofErr w:type="spellStart"/>
      <w:r w:rsidRPr="00B2719C">
        <w:rPr>
          <w:rFonts w:ascii="Times New Roman" w:hAnsi="Times New Roman" w:cs="Times New Roman"/>
          <w:sz w:val="16"/>
          <w:szCs w:val="16"/>
        </w:rPr>
        <w:t>malnütrisyon</w:t>
      </w:r>
      <w:proofErr w:type="spellEnd"/>
      <w:r w:rsidRPr="00B2719C">
        <w:rPr>
          <w:rFonts w:ascii="Times New Roman" w:hAnsi="Times New Roman" w:cs="Times New Roman"/>
          <w:sz w:val="16"/>
          <w:szCs w:val="16"/>
        </w:rPr>
        <w:t xml:space="preserve"> düzenli olarak taranmalı ve risk geliştiğinde erken tedavi edilmelidir.</w:t>
      </w:r>
    </w:p>
    <w:p w14:paraId="18AA34C5" w14:textId="569B3155" w:rsidR="00B2719C" w:rsidRDefault="008C241D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82DB" wp14:editId="78C2120D">
                <wp:simplePos x="0" y="0"/>
                <wp:positionH relativeFrom="margin">
                  <wp:posOffset>-18044</wp:posOffset>
                </wp:positionH>
                <wp:positionV relativeFrom="paragraph">
                  <wp:posOffset>137795</wp:posOffset>
                </wp:positionV>
                <wp:extent cx="5744689" cy="0"/>
                <wp:effectExtent l="0" t="0" r="0" b="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46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4CA95" id="Düz Bağlayıcı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pt,10.85pt" to="450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" strokecolor="#0070c0" strokeweight=".5pt">
                <v:stroke joinstyle="miter"/>
                <w10:wrap anchorx="margin"/>
              </v:line>
            </w:pict>
          </mc:Fallback>
        </mc:AlternateContent>
      </w:r>
      <w:r w:rsidR="00B2719C" w:rsidRPr="008C241D">
        <w:rPr>
          <w:rFonts w:ascii="Times New Roman" w:hAnsi="Times New Roman" w:cs="Times New Roman"/>
          <w:b/>
          <w:sz w:val="16"/>
          <w:szCs w:val="16"/>
        </w:rPr>
        <w:t>Anahtar kelimeler:</w:t>
      </w:r>
      <w:r w:rsidR="00B2719C" w:rsidRPr="00B2719C">
        <w:rPr>
          <w:rFonts w:ascii="Times New Roman" w:hAnsi="Times New Roman" w:cs="Times New Roman"/>
          <w:sz w:val="16"/>
          <w:szCs w:val="16"/>
        </w:rPr>
        <w:t xml:space="preserve"> Evde bakım hizmetleri, </w:t>
      </w:r>
      <w:r w:rsidR="002A38BF">
        <w:rPr>
          <w:rFonts w:ascii="Times New Roman" w:hAnsi="Times New Roman" w:cs="Times New Roman"/>
          <w:sz w:val="16"/>
          <w:szCs w:val="16"/>
        </w:rPr>
        <w:t>p</w:t>
      </w:r>
      <w:r w:rsidR="00B2719C" w:rsidRPr="00B2719C">
        <w:rPr>
          <w:rFonts w:ascii="Times New Roman" w:hAnsi="Times New Roman" w:cs="Times New Roman"/>
          <w:sz w:val="16"/>
          <w:szCs w:val="16"/>
        </w:rPr>
        <w:t xml:space="preserve">rotein-enerji </w:t>
      </w:r>
      <w:proofErr w:type="spellStart"/>
      <w:r w:rsidR="00B2719C" w:rsidRPr="00B2719C">
        <w:rPr>
          <w:rFonts w:ascii="Times New Roman" w:hAnsi="Times New Roman" w:cs="Times New Roman"/>
          <w:sz w:val="16"/>
          <w:szCs w:val="16"/>
        </w:rPr>
        <w:t>malnütrisyonu</w:t>
      </w:r>
      <w:proofErr w:type="spellEnd"/>
      <w:r w:rsidR="00B2719C" w:rsidRPr="00B2719C">
        <w:rPr>
          <w:rFonts w:ascii="Times New Roman" w:hAnsi="Times New Roman" w:cs="Times New Roman"/>
          <w:sz w:val="16"/>
          <w:szCs w:val="16"/>
        </w:rPr>
        <w:t xml:space="preserve">, </w:t>
      </w:r>
      <w:r w:rsidR="002A38BF">
        <w:rPr>
          <w:rFonts w:ascii="Times New Roman" w:hAnsi="Times New Roman" w:cs="Times New Roman"/>
          <w:sz w:val="16"/>
          <w:szCs w:val="16"/>
        </w:rPr>
        <w:t>b</w:t>
      </w:r>
      <w:r w:rsidR="00B2719C" w:rsidRPr="00B2719C">
        <w:rPr>
          <w:rFonts w:ascii="Times New Roman" w:hAnsi="Times New Roman" w:cs="Times New Roman"/>
          <w:sz w:val="16"/>
          <w:szCs w:val="16"/>
        </w:rPr>
        <w:t xml:space="preserve">eslenme durumu, </w:t>
      </w:r>
      <w:proofErr w:type="spellStart"/>
      <w:r w:rsidR="002A38BF">
        <w:rPr>
          <w:rFonts w:ascii="Times New Roman" w:hAnsi="Times New Roman" w:cs="Times New Roman"/>
          <w:sz w:val="16"/>
          <w:szCs w:val="16"/>
        </w:rPr>
        <w:t>e</w:t>
      </w:r>
      <w:r w:rsidR="00B2719C" w:rsidRPr="00B2719C">
        <w:rPr>
          <w:rFonts w:ascii="Times New Roman" w:hAnsi="Times New Roman" w:cs="Times New Roman"/>
          <w:sz w:val="16"/>
          <w:szCs w:val="16"/>
        </w:rPr>
        <w:t>nteral</w:t>
      </w:r>
      <w:proofErr w:type="spellEnd"/>
      <w:r w:rsidR="00B2719C" w:rsidRPr="00B2719C">
        <w:rPr>
          <w:rFonts w:ascii="Times New Roman" w:hAnsi="Times New Roman" w:cs="Times New Roman"/>
          <w:sz w:val="16"/>
          <w:szCs w:val="16"/>
        </w:rPr>
        <w:t xml:space="preserve"> beslenme</w:t>
      </w:r>
    </w:p>
    <w:p w14:paraId="0FD9610F" w14:textId="77777777" w:rsidR="002A38BF" w:rsidRPr="00B2719C" w:rsidRDefault="002A38BF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16D3BD7" w14:textId="615CDC63" w:rsidR="008C241D" w:rsidRPr="008C241D" w:rsidRDefault="008C241D" w:rsidP="00E645A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C241D">
        <w:rPr>
          <w:rFonts w:ascii="Times New Roman" w:hAnsi="Times New Roman" w:cs="Times New Roman"/>
          <w:b/>
          <w:sz w:val="16"/>
          <w:szCs w:val="16"/>
        </w:rPr>
        <w:t>Received</w:t>
      </w:r>
      <w:proofErr w:type="spellEnd"/>
      <w:r w:rsidRPr="008C241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b/>
          <w:sz w:val="16"/>
          <w:szCs w:val="16"/>
        </w:rPr>
        <w:t>Date</w:t>
      </w:r>
      <w:proofErr w:type="spellEnd"/>
      <w:r w:rsidRPr="008C241D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D523F8">
        <w:rPr>
          <w:rFonts w:ascii="Times New Roman" w:hAnsi="Times New Roman" w:cs="Times New Roman"/>
          <w:sz w:val="16"/>
          <w:szCs w:val="16"/>
        </w:rPr>
        <w:t>05</w:t>
      </w:r>
      <w:r w:rsidR="002A38BF" w:rsidRPr="00D523F8">
        <w:rPr>
          <w:rFonts w:ascii="Times New Roman" w:hAnsi="Times New Roman" w:cs="Times New Roman"/>
          <w:sz w:val="16"/>
          <w:szCs w:val="16"/>
        </w:rPr>
        <w:t>.11.</w:t>
      </w:r>
      <w:r w:rsidRPr="00D523F8">
        <w:rPr>
          <w:rFonts w:ascii="Times New Roman" w:hAnsi="Times New Roman" w:cs="Times New Roman"/>
          <w:sz w:val="16"/>
          <w:szCs w:val="16"/>
        </w:rPr>
        <w:t>2018,</w:t>
      </w:r>
      <w:r w:rsidRPr="00D523F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D523F8">
        <w:rPr>
          <w:rFonts w:ascii="Times New Roman" w:hAnsi="Times New Roman" w:cs="Times New Roman"/>
          <w:b/>
          <w:sz w:val="16"/>
          <w:szCs w:val="16"/>
        </w:rPr>
        <w:t>Accepted</w:t>
      </w:r>
      <w:proofErr w:type="spellEnd"/>
      <w:r w:rsidRPr="00D523F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D523F8">
        <w:rPr>
          <w:rFonts w:ascii="Times New Roman" w:hAnsi="Times New Roman" w:cs="Times New Roman"/>
          <w:b/>
          <w:sz w:val="16"/>
          <w:szCs w:val="16"/>
        </w:rPr>
        <w:t>Date</w:t>
      </w:r>
      <w:proofErr w:type="spellEnd"/>
      <w:r w:rsidRPr="00D523F8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D523F8">
        <w:rPr>
          <w:rFonts w:ascii="Times New Roman" w:hAnsi="Times New Roman" w:cs="Times New Roman"/>
          <w:sz w:val="16"/>
          <w:szCs w:val="16"/>
        </w:rPr>
        <w:t>31</w:t>
      </w:r>
      <w:r w:rsidR="002A38BF" w:rsidRPr="00D523F8">
        <w:rPr>
          <w:rFonts w:ascii="Times New Roman" w:hAnsi="Times New Roman" w:cs="Times New Roman"/>
          <w:sz w:val="16"/>
          <w:szCs w:val="16"/>
        </w:rPr>
        <w:t>.01.</w:t>
      </w:r>
      <w:r w:rsidRPr="00D523F8">
        <w:rPr>
          <w:rFonts w:ascii="Times New Roman" w:hAnsi="Times New Roman" w:cs="Times New Roman"/>
          <w:sz w:val="16"/>
          <w:szCs w:val="16"/>
        </w:rPr>
        <w:t>2019</w:t>
      </w:r>
    </w:p>
    <w:p w14:paraId="769D7434" w14:textId="77777777" w:rsidR="008C241D" w:rsidRPr="008C241D" w:rsidRDefault="008C241D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8C241D">
        <w:rPr>
          <w:rFonts w:ascii="Times New Roman" w:hAnsi="Times New Roman" w:cs="Times New Roman"/>
          <w:sz w:val="16"/>
          <w:szCs w:val="16"/>
        </w:rPr>
        <w:t>Kartal Dr Lütfi Kırdar Eğitim ve Araştırma Hastanesi, Aile Hekimliği Kliniği, İstanbul, Türkiye</w:t>
      </w:r>
    </w:p>
    <w:p w14:paraId="117FEB93" w14:textId="77777777" w:rsidR="008C241D" w:rsidRPr="008C241D" w:rsidRDefault="008C241D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8C241D">
        <w:rPr>
          <w:rFonts w:ascii="Times New Roman" w:hAnsi="Times New Roman" w:cs="Times New Roman"/>
          <w:sz w:val="16"/>
          <w:szCs w:val="16"/>
        </w:rPr>
        <w:t>Kartal Dr Lütfi Kırdar Eğitim ve Araştırma Hastanesi, Aile Hekimliği Kliniği, İstanbul, Türkiye</w:t>
      </w:r>
    </w:p>
    <w:p w14:paraId="737D2377" w14:textId="77777777" w:rsidR="008C241D" w:rsidRPr="008C241D" w:rsidRDefault="008C241D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8C241D">
        <w:rPr>
          <w:rFonts w:ascii="Times New Roman" w:hAnsi="Times New Roman" w:cs="Times New Roman"/>
          <w:sz w:val="16"/>
          <w:szCs w:val="16"/>
        </w:rPr>
        <w:t>Kartal Dr Lütfi Kırdar Eğitim ve Araştırma Hastanesi, Aile Hekimliği Kliniği, İstanbul, Türkiye</w:t>
      </w:r>
    </w:p>
    <w:p w14:paraId="22C68DDC" w14:textId="77777777" w:rsidR="008C241D" w:rsidRPr="008C241D" w:rsidRDefault="008C241D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C241D">
        <w:rPr>
          <w:rFonts w:ascii="Times New Roman" w:hAnsi="Times New Roman" w:cs="Times New Roman"/>
          <w:b/>
          <w:sz w:val="16"/>
          <w:szCs w:val="16"/>
        </w:rPr>
        <w:t>*</w:t>
      </w:r>
      <w:proofErr w:type="spellStart"/>
      <w:r w:rsidRPr="008C241D">
        <w:rPr>
          <w:rFonts w:ascii="Times New Roman" w:hAnsi="Times New Roman" w:cs="Times New Roman"/>
          <w:b/>
          <w:sz w:val="16"/>
          <w:szCs w:val="16"/>
        </w:rPr>
        <w:t>Address</w:t>
      </w:r>
      <w:proofErr w:type="spellEnd"/>
      <w:r w:rsidRPr="008C241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b/>
          <w:sz w:val="16"/>
          <w:szCs w:val="16"/>
        </w:rPr>
        <w:t>for</w:t>
      </w:r>
      <w:proofErr w:type="spellEnd"/>
      <w:r w:rsidRPr="008C241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b/>
          <w:sz w:val="16"/>
          <w:szCs w:val="16"/>
        </w:rPr>
        <w:t>Correspondence</w:t>
      </w:r>
      <w:proofErr w:type="spellEnd"/>
      <w:r w:rsidRPr="008C241D">
        <w:rPr>
          <w:rFonts w:ascii="Times New Roman" w:hAnsi="Times New Roman" w:cs="Times New Roman"/>
          <w:b/>
          <w:sz w:val="16"/>
          <w:szCs w:val="16"/>
        </w:rPr>
        <w:t xml:space="preserve"> / Yazışma Adresi:</w:t>
      </w:r>
      <w:r w:rsidRPr="008C241D">
        <w:rPr>
          <w:rFonts w:ascii="Times New Roman" w:hAnsi="Times New Roman" w:cs="Times New Roman"/>
          <w:sz w:val="16"/>
          <w:szCs w:val="16"/>
        </w:rPr>
        <w:t xml:space="preserve"> Sabah Tüzün, Kartal Dr Lütfi Kırdar Eğitim ve Araştırma Hastanesi, Aile Hekimliği Kliniği, İstanbul, Türkiye</w:t>
      </w:r>
    </w:p>
    <w:p w14:paraId="363CEDB1" w14:textId="77777777" w:rsidR="008C241D" w:rsidRPr="008C241D" w:rsidRDefault="008C241D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C241D">
        <w:rPr>
          <w:rFonts w:ascii="Times New Roman" w:hAnsi="Times New Roman" w:cs="Times New Roman"/>
          <w:b/>
          <w:sz w:val="16"/>
          <w:szCs w:val="16"/>
        </w:rPr>
        <w:t>E-mail:</w:t>
      </w:r>
      <w:r w:rsidRPr="008C241D">
        <w:rPr>
          <w:rFonts w:ascii="Times New Roman" w:hAnsi="Times New Roman" w:cs="Times New Roman"/>
          <w:sz w:val="16"/>
          <w:szCs w:val="16"/>
        </w:rPr>
        <w:t xml:space="preserve"> sabahtuzun@gmail.com</w:t>
      </w:r>
    </w:p>
    <w:p w14:paraId="5A775EB0" w14:textId="11F984FF" w:rsidR="008C241D" w:rsidRPr="008C241D" w:rsidRDefault="008C241D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C241D">
        <w:rPr>
          <w:rFonts w:ascii="Times New Roman" w:hAnsi="Times New Roman" w:cs="Times New Roman"/>
          <w:sz w:val="16"/>
          <w:szCs w:val="16"/>
        </w:rPr>
        <w:t>Tüzün</w:t>
      </w:r>
      <w:r w:rsidR="00D523F8">
        <w:rPr>
          <w:rFonts w:ascii="Times New Roman" w:hAnsi="Times New Roman" w:cs="Times New Roman"/>
          <w:sz w:val="16"/>
          <w:szCs w:val="16"/>
        </w:rPr>
        <w:t xml:space="preserve"> S</w:t>
      </w:r>
      <w:r w:rsidRPr="008C241D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Hacıağaoğlu</w:t>
      </w:r>
      <w:proofErr w:type="spellEnd"/>
      <w:r w:rsidR="00D523F8">
        <w:rPr>
          <w:rFonts w:ascii="Times New Roman" w:hAnsi="Times New Roman" w:cs="Times New Roman"/>
          <w:sz w:val="16"/>
          <w:szCs w:val="16"/>
        </w:rPr>
        <w:t xml:space="preserve"> N</w:t>
      </w:r>
      <w:r w:rsidRPr="008C241D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Dabak</w:t>
      </w:r>
      <w:proofErr w:type="spellEnd"/>
      <w:r w:rsidR="00D523F8">
        <w:rPr>
          <w:rFonts w:ascii="Times New Roman" w:hAnsi="Times New Roman" w:cs="Times New Roman"/>
          <w:sz w:val="16"/>
          <w:szCs w:val="16"/>
        </w:rPr>
        <w:t xml:space="preserve"> MR</w:t>
      </w:r>
      <w:r w:rsidR="002A38BF">
        <w:rPr>
          <w:rFonts w:ascii="Times New Roman" w:hAnsi="Times New Roman" w:cs="Times New Roman"/>
          <w:sz w:val="16"/>
          <w:szCs w:val="16"/>
        </w:rPr>
        <w:t>.</w:t>
      </w:r>
      <w:r w:rsidRPr="008C241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Prevalence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Malnutrition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Related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Factors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 xml:space="preserve"> in Home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Care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C241D">
        <w:rPr>
          <w:rFonts w:ascii="Times New Roman" w:hAnsi="Times New Roman" w:cs="Times New Roman"/>
          <w:sz w:val="16"/>
          <w:szCs w:val="16"/>
        </w:rPr>
        <w:t>Patients</w:t>
      </w:r>
      <w:proofErr w:type="spellEnd"/>
      <w:r w:rsidRPr="008C241D">
        <w:rPr>
          <w:rFonts w:ascii="Times New Roman" w:hAnsi="Times New Roman" w:cs="Times New Roman"/>
          <w:sz w:val="16"/>
          <w:szCs w:val="16"/>
        </w:rPr>
        <w:t>. TJFMPC, 201</w:t>
      </w:r>
      <w:r w:rsidR="002A38BF">
        <w:rPr>
          <w:rFonts w:ascii="Times New Roman" w:hAnsi="Times New Roman" w:cs="Times New Roman"/>
          <w:sz w:val="16"/>
          <w:szCs w:val="16"/>
        </w:rPr>
        <w:t xml:space="preserve">9; 13(2): </w:t>
      </w:r>
      <w:r w:rsidR="00D523F8">
        <w:rPr>
          <w:rFonts w:ascii="Times New Roman" w:hAnsi="Times New Roman" w:cs="Times New Roman"/>
          <w:sz w:val="16"/>
          <w:szCs w:val="16"/>
        </w:rPr>
        <w:t>159-</w:t>
      </w:r>
      <w:r w:rsidR="006E1691">
        <w:rPr>
          <w:rFonts w:ascii="Times New Roman" w:hAnsi="Times New Roman" w:cs="Times New Roman"/>
          <w:sz w:val="16"/>
          <w:szCs w:val="16"/>
        </w:rPr>
        <w:t>1</w:t>
      </w:r>
      <w:r w:rsidR="00D523F8">
        <w:rPr>
          <w:rFonts w:ascii="Times New Roman" w:hAnsi="Times New Roman" w:cs="Times New Roman"/>
          <w:sz w:val="16"/>
          <w:szCs w:val="16"/>
        </w:rPr>
        <w:t>66.</w:t>
      </w:r>
      <w:bookmarkStart w:id="0" w:name="_GoBack"/>
      <w:bookmarkEnd w:id="0"/>
    </w:p>
    <w:p w14:paraId="30787967" w14:textId="77777777" w:rsidR="001D682E" w:rsidRDefault="008C241D" w:rsidP="00E645A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  <w:sectPr w:rsidR="001D682E" w:rsidSect="00D523F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59"/>
          <w:cols w:space="708"/>
          <w:docGrid w:linePitch="360"/>
        </w:sectPr>
      </w:pPr>
      <w:r w:rsidRPr="008C241D">
        <w:rPr>
          <w:rFonts w:ascii="Times New Roman" w:hAnsi="Times New Roman" w:cs="Times New Roman"/>
          <w:b/>
          <w:sz w:val="16"/>
          <w:szCs w:val="16"/>
        </w:rPr>
        <w:t>DOI:</w:t>
      </w:r>
    </w:p>
    <w:p w14:paraId="18D63ABD" w14:textId="77777777" w:rsidR="000739D5" w:rsidRDefault="000739D5" w:rsidP="00E645A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D9821B9" w14:textId="77777777" w:rsidR="000739D5" w:rsidRDefault="000739D5" w:rsidP="00E645A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14:paraId="0052B7D6" w14:textId="77777777" w:rsidR="001D682E" w:rsidRDefault="001D682E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  <w:sectPr w:rsidR="001D682E" w:rsidSect="001D682E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00634983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39D5">
        <w:rPr>
          <w:rFonts w:ascii="Times New Roman" w:hAnsi="Times New Roman" w:cs="Times New Roman"/>
          <w:b/>
          <w:sz w:val="20"/>
          <w:szCs w:val="20"/>
        </w:rPr>
        <w:lastRenderedPageBreak/>
        <w:t>INTRODUCT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0739D5">
        <w:rPr>
          <w:rFonts w:ascii="Times New Roman" w:hAnsi="Times New Roman" w:cs="Times New Roman"/>
          <w:b/>
          <w:sz w:val="20"/>
          <w:szCs w:val="20"/>
        </w:rPr>
        <w:t>ON</w:t>
      </w:r>
    </w:p>
    <w:p w14:paraId="7C07E5FA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0EA9A8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is a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lack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imbalance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resulting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progression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conditions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cardiovascular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diseases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osteoporosis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dementia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mental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disorders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problems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dehydration.1-3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much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normal population.4,5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mostly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varies.4-8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changes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2-32%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living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population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1-18%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staying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inpatient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facilities.5 A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5.8%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living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population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13.8%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living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nursing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homes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38.7%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staying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hospitals.4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ambulatory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changes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2.1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13.0%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is 14.3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31%.7,8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risk as 38.2-39.3%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33.1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48.3%.9,10 </w:t>
      </w:r>
    </w:p>
    <w:p w14:paraId="0B8F844D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D33187" w14:textId="77777777" w:rsidR="000739D5" w:rsidRPr="000739D5" w:rsidRDefault="000739D5" w:rsidP="00E645A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assessed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body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mass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index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(BMI), serum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albumin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recordings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content.9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Guidelines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recommend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Mini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Short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Form (MNA-SF)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Mini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(MNA) test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screening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particularly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elderly.1,7,9</w:t>
      </w:r>
    </w:p>
    <w:p w14:paraId="101FBA53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3BB10F" w14:textId="77777777" w:rsidR="000739D5" w:rsidRPr="000739D5" w:rsidRDefault="000739D5" w:rsidP="00E645A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serious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varies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widely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depending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factors.5-10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aimed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determine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utilizing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services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045B0D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25C9F5" w14:textId="77777777" w:rsidR="000739D5" w:rsidRPr="0083444B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r w:rsidRPr="000739D5">
        <w:rPr>
          <w:rFonts w:ascii="Times New Roman" w:hAnsi="Times New Roman" w:cs="Times New Roman"/>
          <w:b/>
          <w:sz w:val="20"/>
          <w:szCs w:val="20"/>
        </w:rPr>
        <w:t>METHOD</w:t>
      </w:r>
    </w:p>
    <w:p w14:paraId="4FC17360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740CA1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Study</w:t>
      </w:r>
      <w:proofErr w:type="spellEnd"/>
      <w:r w:rsidRPr="000739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sample</w:t>
      </w:r>
      <w:proofErr w:type="spellEnd"/>
    </w:p>
    <w:p w14:paraId="3E1565C3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Unit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Home Healthcare Services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January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files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retrospectively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gender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socio-demographic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comorbid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conditions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medications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MNA-SF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MNA test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XXXX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Ethics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Approval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No:89513307/1009/509,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Decision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no:90). </w:t>
      </w:r>
    </w:p>
    <w:p w14:paraId="55EDCB8C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A68E4E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Study</w:t>
      </w:r>
      <w:proofErr w:type="spellEnd"/>
      <w:r w:rsidRPr="000739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measurement</w:t>
      </w:r>
      <w:proofErr w:type="spellEnd"/>
      <w:r w:rsidRPr="000739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tools</w:t>
      </w:r>
      <w:proofErr w:type="spellEnd"/>
    </w:p>
    <w:p w14:paraId="76AE1502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screened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MNA-SF,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consists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6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questions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MNA test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having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 MNA-SF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&lt;12.1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MNA test,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valid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reliable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Turkish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population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≥23.5 is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normal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17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23 is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&lt;17 is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malnutrition.1,11</w:t>
      </w:r>
    </w:p>
    <w:p w14:paraId="0F68E34B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E46792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Study</w:t>
      </w:r>
      <w:proofErr w:type="spellEnd"/>
      <w:r w:rsidRPr="000739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exclusion</w:t>
      </w:r>
      <w:proofErr w:type="spellEnd"/>
      <w:r w:rsidRPr="000739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criteria</w:t>
      </w:r>
      <w:proofErr w:type="spellEnd"/>
    </w:p>
    <w:p w14:paraId="66663623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39D5">
        <w:rPr>
          <w:rFonts w:ascii="Times New Roman" w:hAnsi="Times New Roman" w:cs="Times New Roman"/>
          <w:sz w:val="20"/>
          <w:szCs w:val="20"/>
        </w:rPr>
        <w:t xml:space="preserve">Since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measurement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four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limbs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MNA test,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extremity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amputated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reason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documented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muscular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disorder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excluded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37BE58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8E29CF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39D5">
        <w:rPr>
          <w:rFonts w:ascii="Times New Roman" w:hAnsi="Times New Roman" w:cs="Times New Roman"/>
          <w:b/>
          <w:sz w:val="20"/>
          <w:szCs w:val="20"/>
        </w:rPr>
        <w:t xml:space="preserve">Statistical </w:t>
      </w:r>
      <w:proofErr w:type="spellStart"/>
      <w:r w:rsidRPr="000739D5">
        <w:rPr>
          <w:rFonts w:ascii="Times New Roman" w:hAnsi="Times New Roman" w:cs="Times New Roman"/>
          <w:b/>
          <w:sz w:val="20"/>
          <w:szCs w:val="20"/>
        </w:rPr>
        <w:t>analysis</w:t>
      </w:r>
      <w:proofErr w:type="spellEnd"/>
    </w:p>
    <w:p w14:paraId="33E6BD25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39D5">
        <w:rPr>
          <w:rFonts w:ascii="Times New Roman" w:hAnsi="Times New Roman" w:cs="Times New Roman"/>
          <w:sz w:val="20"/>
          <w:szCs w:val="20"/>
        </w:rPr>
        <w:t xml:space="preserve">Statistical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done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IBM SPSS 22.0 software.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Descriptive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presented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frequency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percentage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standard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median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minimum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maximum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One-way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ANOVA test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distribution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Kruskal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Wallis test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Mann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Whitney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U test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distribution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Categorical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Pearson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Chi-square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test. Statistical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significance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accepted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p&lt;0.05.</w:t>
      </w:r>
    </w:p>
    <w:p w14:paraId="35F31134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E7CCC9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A80D23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39D5">
        <w:rPr>
          <w:rFonts w:ascii="Times New Roman" w:hAnsi="Times New Roman" w:cs="Times New Roman"/>
          <w:b/>
          <w:sz w:val="20"/>
          <w:szCs w:val="20"/>
        </w:rPr>
        <w:t xml:space="preserve">RESULTS </w:t>
      </w:r>
    </w:p>
    <w:p w14:paraId="6D0CFAE9" w14:textId="77777777" w:rsidR="000739D5" w:rsidRP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02BEF2" w14:textId="77777777" w:rsidR="000739D5" w:rsidRDefault="000739D5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39D5">
        <w:rPr>
          <w:rFonts w:ascii="Times New Roman" w:hAnsi="Times New Roman" w:cs="Times New Roman"/>
          <w:sz w:val="20"/>
          <w:szCs w:val="20"/>
        </w:rPr>
        <w:t xml:space="preserve">A total of 146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enrolled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socio-demographic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summarized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1.</w:t>
      </w:r>
    </w:p>
    <w:p w14:paraId="52641EF5" w14:textId="77777777" w:rsidR="0083444B" w:rsidRDefault="0083444B" w:rsidP="008344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047D0F" w14:textId="77777777" w:rsidR="0083444B" w:rsidRDefault="0083444B" w:rsidP="0083444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MNA-SF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&lt;12 in 105 (71.9%)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8.79±3.44.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MNA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17.41±5.21;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MNA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51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(34.9%)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53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(36.3%)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42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(28.8%)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follows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: 81.13±13.10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81.20±9.76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77.23±15.10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(p=0.239). General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summarized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739D5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0739D5">
        <w:rPr>
          <w:rFonts w:ascii="Times New Roman" w:hAnsi="Times New Roman" w:cs="Times New Roman"/>
          <w:sz w:val="20"/>
          <w:szCs w:val="20"/>
        </w:rPr>
        <w:t xml:space="preserve"> 2.</w:t>
      </w:r>
    </w:p>
    <w:tbl>
      <w:tblPr>
        <w:tblpPr w:leftFromText="141" w:rightFromText="141" w:vertAnchor="text" w:horzAnchor="margin" w:tblpY="-134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4"/>
        <w:gridCol w:w="2284"/>
        <w:gridCol w:w="1564"/>
        <w:gridCol w:w="1542"/>
        <w:gridCol w:w="1409"/>
        <w:gridCol w:w="702"/>
      </w:tblGrid>
      <w:tr w:rsidR="0083444B" w:rsidRPr="000739D5" w14:paraId="5F0FA964" w14:textId="77777777" w:rsidTr="0083444B">
        <w:trPr>
          <w:trHeight w:val="510"/>
        </w:trPr>
        <w:tc>
          <w:tcPr>
            <w:tcW w:w="9075" w:type="dxa"/>
            <w:gridSpan w:val="6"/>
          </w:tcPr>
          <w:p w14:paraId="553EA36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Table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Socio-demographic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participants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according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nutritional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  <w:proofErr w:type="spellEnd"/>
          </w:p>
        </w:tc>
      </w:tr>
      <w:tr w:rsidR="0083444B" w:rsidRPr="000739D5" w14:paraId="27A99658" w14:textId="77777777" w:rsidTr="002A38BF">
        <w:trPr>
          <w:trHeight w:val="511"/>
        </w:trPr>
        <w:tc>
          <w:tcPr>
            <w:tcW w:w="3858" w:type="dxa"/>
            <w:gridSpan w:val="2"/>
          </w:tcPr>
          <w:p w14:paraId="76E24EA5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2F010AB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Normal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Nutrition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(n=51)</w:t>
            </w:r>
          </w:p>
        </w:tc>
        <w:tc>
          <w:tcPr>
            <w:tcW w:w="1542" w:type="dxa"/>
          </w:tcPr>
          <w:p w14:paraId="2EBC4C5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Risk </w:t>
            </w:r>
          </w:p>
          <w:p w14:paraId="08CA2FE7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gram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Malnutrition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(n=53)</w:t>
            </w:r>
          </w:p>
        </w:tc>
        <w:tc>
          <w:tcPr>
            <w:tcW w:w="1409" w:type="dxa"/>
          </w:tcPr>
          <w:p w14:paraId="4F9C7986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Malnutrition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(n=42)</w:t>
            </w:r>
          </w:p>
        </w:tc>
        <w:tc>
          <w:tcPr>
            <w:tcW w:w="702" w:type="dxa"/>
          </w:tcPr>
          <w:p w14:paraId="40EEE3E5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proofErr w:type="gramEnd"/>
          </w:p>
        </w:tc>
      </w:tr>
      <w:tr w:rsidR="0083444B" w:rsidRPr="000739D5" w14:paraId="024D9010" w14:textId="77777777" w:rsidTr="002A38BF">
        <w:trPr>
          <w:trHeight w:val="251"/>
        </w:trPr>
        <w:tc>
          <w:tcPr>
            <w:tcW w:w="1574" w:type="dxa"/>
            <w:vMerge w:val="restart"/>
          </w:tcPr>
          <w:p w14:paraId="2FF972C1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Age,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84" w:type="dxa"/>
          </w:tcPr>
          <w:p w14:paraId="0FB42637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&lt;65</w:t>
            </w:r>
          </w:p>
        </w:tc>
        <w:tc>
          <w:tcPr>
            <w:tcW w:w="1564" w:type="dxa"/>
          </w:tcPr>
          <w:p w14:paraId="0D2AC621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4 (7.8)</w:t>
            </w:r>
          </w:p>
        </w:tc>
        <w:tc>
          <w:tcPr>
            <w:tcW w:w="1542" w:type="dxa"/>
          </w:tcPr>
          <w:p w14:paraId="3CFF91AB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4 (7.5)</w:t>
            </w:r>
          </w:p>
        </w:tc>
        <w:tc>
          <w:tcPr>
            <w:tcW w:w="1409" w:type="dxa"/>
          </w:tcPr>
          <w:p w14:paraId="33841102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6 (14.3)</w:t>
            </w:r>
          </w:p>
        </w:tc>
        <w:tc>
          <w:tcPr>
            <w:tcW w:w="702" w:type="dxa"/>
            <w:vMerge w:val="restart"/>
          </w:tcPr>
          <w:p w14:paraId="6C8D42E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</w:tr>
      <w:tr w:rsidR="0083444B" w:rsidRPr="000739D5" w14:paraId="66CE6105" w14:textId="77777777" w:rsidTr="002A38BF">
        <w:trPr>
          <w:trHeight w:val="269"/>
        </w:trPr>
        <w:tc>
          <w:tcPr>
            <w:tcW w:w="1574" w:type="dxa"/>
            <w:vMerge/>
          </w:tcPr>
          <w:p w14:paraId="749C62F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2E8E986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≥65</w:t>
            </w:r>
          </w:p>
        </w:tc>
        <w:tc>
          <w:tcPr>
            <w:tcW w:w="1564" w:type="dxa"/>
          </w:tcPr>
          <w:p w14:paraId="2F7A323D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47 (92.2)</w:t>
            </w:r>
          </w:p>
        </w:tc>
        <w:tc>
          <w:tcPr>
            <w:tcW w:w="1542" w:type="dxa"/>
          </w:tcPr>
          <w:p w14:paraId="7DE6212D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49 (92.5)</w:t>
            </w:r>
          </w:p>
        </w:tc>
        <w:tc>
          <w:tcPr>
            <w:tcW w:w="1409" w:type="dxa"/>
          </w:tcPr>
          <w:p w14:paraId="0093C572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36 (85.7)</w:t>
            </w:r>
          </w:p>
        </w:tc>
        <w:tc>
          <w:tcPr>
            <w:tcW w:w="702" w:type="dxa"/>
            <w:vMerge/>
          </w:tcPr>
          <w:p w14:paraId="400A50E6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5ECB36BF" w14:textId="77777777" w:rsidTr="002A38BF">
        <w:trPr>
          <w:trHeight w:val="272"/>
        </w:trPr>
        <w:tc>
          <w:tcPr>
            <w:tcW w:w="1574" w:type="dxa"/>
            <w:vMerge w:val="restart"/>
          </w:tcPr>
          <w:p w14:paraId="166CDD7A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  <w:proofErr w:type="spellEnd"/>
          </w:p>
        </w:tc>
        <w:tc>
          <w:tcPr>
            <w:tcW w:w="2284" w:type="dxa"/>
          </w:tcPr>
          <w:p w14:paraId="697950E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564" w:type="dxa"/>
          </w:tcPr>
          <w:p w14:paraId="6E22C2D4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17 (33.3)</w:t>
            </w:r>
          </w:p>
        </w:tc>
        <w:tc>
          <w:tcPr>
            <w:tcW w:w="1542" w:type="dxa"/>
          </w:tcPr>
          <w:p w14:paraId="46992F55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16 (30.2)</w:t>
            </w:r>
          </w:p>
        </w:tc>
        <w:tc>
          <w:tcPr>
            <w:tcW w:w="1409" w:type="dxa"/>
          </w:tcPr>
          <w:p w14:paraId="7DB9B481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13 (30.9)</w:t>
            </w:r>
          </w:p>
        </w:tc>
        <w:tc>
          <w:tcPr>
            <w:tcW w:w="702" w:type="dxa"/>
            <w:vMerge w:val="restart"/>
          </w:tcPr>
          <w:p w14:paraId="584EB6E4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</w:tr>
      <w:tr w:rsidR="0083444B" w:rsidRPr="000739D5" w14:paraId="0B7C3BB8" w14:textId="77777777" w:rsidTr="002A38BF">
        <w:trPr>
          <w:trHeight w:val="277"/>
        </w:trPr>
        <w:tc>
          <w:tcPr>
            <w:tcW w:w="1574" w:type="dxa"/>
            <w:vMerge/>
          </w:tcPr>
          <w:p w14:paraId="35002922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236DED5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564" w:type="dxa"/>
          </w:tcPr>
          <w:p w14:paraId="6E0F7747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34 (66.7)</w:t>
            </w:r>
          </w:p>
        </w:tc>
        <w:tc>
          <w:tcPr>
            <w:tcW w:w="1542" w:type="dxa"/>
          </w:tcPr>
          <w:p w14:paraId="625FE031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37 (69.8)</w:t>
            </w:r>
          </w:p>
        </w:tc>
        <w:tc>
          <w:tcPr>
            <w:tcW w:w="1409" w:type="dxa"/>
          </w:tcPr>
          <w:p w14:paraId="1328AC51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29 (69.1)</w:t>
            </w:r>
          </w:p>
        </w:tc>
        <w:tc>
          <w:tcPr>
            <w:tcW w:w="702" w:type="dxa"/>
            <w:vMerge/>
          </w:tcPr>
          <w:p w14:paraId="1A676436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7E1B2AFF" w14:textId="77777777" w:rsidTr="002A38BF">
        <w:trPr>
          <w:trHeight w:val="281"/>
        </w:trPr>
        <w:tc>
          <w:tcPr>
            <w:tcW w:w="1574" w:type="dxa"/>
            <w:vMerge w:val="restart"/>
          </w:tcPr>
          <w:p w14:paraId="380BBBFD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284" w:type="dxa"/>
          </w:tcPr>
          <w:p w14:paraId="3537B0F4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Illiterate</w:t>
            </w:r>
            <w:proofErr w:type="spellEnd"/>
          </w:p>
        </w:tc>
        <w:tc>
          <w:tcPr>
            <w:tcW w:w="1564" w:type="dxa"/>
          </w:tcPr>
          <w:p w14:paraId="348C4487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11 (21.6)</w:t>
            </w:r>
          </w:p>
        </w:tc>
        <w:tc>
          <w:tcPr>
            <w:tcW w:w="1542" w:type="dxa"/>
          </w:tcPr>
          <w:p w14:paraId="042DB840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14 (26.4)</w:t>
            </w:r>
          </w:p>
        </w:tc>
        <w:tc>
          <w:tcPr>
            <w:tcW w:w="1409" w:type="dxa"/>
          </w:tcPr>
          <w:p w14:paraId="6902347B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13 (30.9)</w:t>
            </w:r>
          </w:p>
        </w:tc>
        <w:tc>
          <w:tcPr>
            <w:tcW w:w="702" w:type="dxa"/>
            <w:vMerge w:val="restart"/>
          </w:tcPr>
          <w:p w14:paraId="14A44C9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</w:tr>
      <w:tr w:rsidR="0083444B" w:rsidRPr="000739D5" w14:paraId="32CD3CDC" w14:textId="77777777" w:rsidTr="002A38BF">
        <w:trPr>
          <w:trHeight w:val="257"/>
        </w:trPr>
        <w:tc>
          <w:tcPr>
            <w:tcW w:w="1574" w:type="dxa"/>
            <w:vMerge/>
          </w:tcPr>
          <w:p w14:paraId="734D7949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E32E113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1564" w:type="dxa"/>
          </w:tcPr>
          <w:p w14:paraId="00F183FA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27 (52.9)</w:t>
            </w:r>
          </w:p>
        </w:tc>
        <w:tc>
          <w:tcPr>
            <w:tcW w:w="1542" w:type="dxa"/>
          </w:tcPr>
          <w:p w14:paraId="4C60BADA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24 (45.3)</w:t>
            </w:r>
          </w:p>
        </w:tc>
        <w:tc>
          <w:tcPr>
            <w:tcW w:w="1409" w:type="dxa"/>
          </w:tcPr>
          <w:p w14:paraId="35ED1D6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17 (40.5)</w:t>
            </w:r>
          </w:p>
        </w:tc>
        <w:tc>
          <w:tcPr>
            <w:tcW w:w="702" w:type="dxa"/>
            <w:vMerge/>
          </w:tcPr>
          <w:p w14:paraId="648DE669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0533278D" w14:textId="77777777" w:rsidTr="002A38BF">
        <w:trPr>
          <w:trHeight w:val="289"/>
        </w:trPr>
        <w:tc>
          <w:tcPr>
            <w:tcW w:w="1574" w:type="dxa"/>
            <w:vMerge/>
          </w:tcPr>
          <w:p w14:paraId="06A4A149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4CC2D6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  <w:proofErr w:type="spellEnd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1564" w:type="dxa"/>
          </w:tcPr>
          <w:p w14:paraId="57F7D2D7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4 (7.8)</w:t>
            </w:r>
          </w:p>
        </w:tc>
        <w:tc>
          <w:tcPr>
            <w:tcW w:w="1542" w:type="dxa"/>
          </w:tcPr>
          <w:p w14:paraId="596061F0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6 (11.3)</w:t>
            </w:r>
          </w:p>
        </w:tc>
        <w:tc>
          <w:tcPr>
            <w:tcW w:w="1409" w:type="dxa"/>
          </w:tcPr>
          <w:p w14:paraId="619A1A3D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 (4.8)</w:t>
            </w:r>
          </w:p>
        </w:tc>
        <w:tc>
          <w:tcPr>
            <w:tcW w:w="702" w:type="dxa"/>
            <w:vMerge/>
          </w:tcPr>
          <w:p w14:paraId="6FED7F22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5577D7CA" w14:textId="77777777" w:rsidTr="002A38BF">
        <w:trPr>
          <w:trHeight w:val="265"/>
        </w:trPr>
        <w:tc>
          <w:tcPr>
            <w:tcW w:w="1574" w:type="dxa"/>
            <w:vMerge/>
          </w:tcPr>
          <w:p w14:paraId="16810ACA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F87B48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1564" w:type="dxa"/>
          </w:tcPr>
          <w:p w14:paraId="4426AF3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6 (11.8)</w:t>
            </w:r>
          </w:p>
        </w:tc>
        <w:tc>
          <w:tcPr>
            <w:tcW w:w="1542" w:type="dxa"/>
          </w:tcPr>
          <w:p w14:paraId="1B1D702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6 (11.3)</w:t>
            </w:r>
          </w:p>
        </w:tc>
        <w:tc>
          <w:tcPr>
            <w:tcW w:w="1409" w:type="dxa"/>
          </w:tcPr>
          <w:p w14:paraId="53657751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6 (14.3)</w:t>
            </w:r>
          </w:p>
        </w:tc>
        <w:tc>
          <w:tcPr>
            <w:tcW w:w="702" w:type="dxa"/>
            <w:vMerge/>
          </w:tcPr>
          <w:p w14:paraId="769F39C3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72847DF9" w14:textId="77777777" w:rsidTr="002A38BF">
        <w:trPr>
          <w:trHeight w:val="268"/>
        </w:trPr>
        <w:tc>
          <w:tcPr>
            <w:tcW w:w="1574" w:type="dxa"/>
            <w:vMerge/>
          </w:tcPr>
          <w:p w14:paraId="719E343A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D4678B9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564" w:type="dxa"/>
          </w:tcPr>
          <w:p w14:paraId="73924186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 (5.9)</w:t>
            </w:r>
          </w:p>
        </w:tc>
        <w:tc>
          <w:tcPr>
            <w:tcW w:w="1542" w:type="dxa"/>
          </w:tcPr>
          <w:p w14:paraId="4CE8963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 (5.7)</w:t>
            </w:r>
          </w:p>
        </w:tc>
        <w:tc>
          <w:tcPr>
            <w:tcW w:w="1409" w:type="dxa"/>
          </w:tcPr>
          <w:p w14:paraId="11D84CA6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4 (9.5)</w:t>
            </w:r>
          </w:p>
        </w:tc>
        <w:tc>
          <w:tcPr>
            <w:tcW w:w="702" w:type="dxa"/>
            <w:vMerge/>
          </w:tcPr>
          <w:p w14:paraId="32012F6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8BF" w:rsidRPr="000739D5" w14:paraId="12A019B2" w14:textId="77777777" w:rsidTr="002A38BF">
        <w:trPr>
          <w:trHeight w:val="287"/>
        </w:trPr>
        <w:tc>
          <w:tcPr>
            <w:tcW w:w="1574" w:type="dxa"/>
            <w:vMerge w:val="restart"/>
          </w:tcPr>
          <w:p w14:paraId="5FE1A773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Marital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  <w:proofErr w:type="spellEnd"/>
            <w:proofErr w:type="gramEnd"/>
          </w:p>
          <w:p w14:paraId="6EE1D97D" w14:textId="44C76C1E" w:rsidR="002A38BF" w:rsidRPr="000739D5" w:rsidRDefault="002A38BF" w:rsidP="002A38B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</w:tcPr>
          <w:p w14:paraId="69619422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Widowed</w:t>
            </w:r>
            <w:proofErr w:type="spellEnd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Divorce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564" w:type="dxa"/>
          </w:tcPr>
          <w:p w14:paraId="5F7CC2C7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38 (74.5)</w:t>
            </w:r>
          </w:p>
        </w:tc>
        <w:tc>
          <w:tcPr>
            <w:tcW w:w="1542" w:type="dxa"/>
          </w:tcPr>
          <w:p w14:paraId="504931BF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34 (64.2)</w:t>
            </w:r>
          </w:p>
        </w:tc>
        <w:tc>
          <w:tcPr>
            <w:tcW w:w="1409" w:type="dxa"/>
          </w:tcPr>
          <w:p w14:paraId="230643FB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31 (73.8)</w:t>
            </w:r>
          </w:p>
        </w:tc>
        <w:tc>
          <w:tcPr>
            <w:tcW w:w="702" w:type="dxa"/>
            <w:vMerge w:val="restart"/>
          </w:tcPr>
          <w:p w14:paraId="426AB49F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</w:tr>
      <w:tr w:rsidR="002A38BF" w:rsidRPr="000739D5" w14:paraId="6822D879" w14:textId="77777777" w:rsidTr="002A38BF">
        <w:trPr>
          <w:trHeight w:val="262"/>
        </w:trPr>
        <w:tc>
          <w:tcPr>
            <w:tcW w:w="1574" w:type="dxa"/>
            <w:vMerge/>
          </w:tcPr>
          <w:p w14:paraId="230684A7" w14:textId="77777777" w:rsidR="002A38BF" w:rsidRPr="000739D5" w:rsidRDefault="002A38BF" w:rsidP="002A38B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</w:tcPr>
          <w:p w14:paraId="4C1BBCFB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  <w:proofErr w:type="spellEnd"/>
          </w:p>
        </w:tc>
        <w:tc>
          <w:tcPr>
            <w:tcW w:w="1564" w:type="dxa"/>
          </w:tcPr>
          <w:p w14:paraId="5F2DB981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13 (25.5)</w:t>
            </w:r>
          </w:p>
        </w:tc>
        <w:tc>
          <w:tcPr>
            <w:tcW w:w="1542" w:type="dxa"/>
          </w:tcPr>
          <w:p w14:paraId="78327F46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19 (35.8)</w:t>
            </w:r>
          </w:p>
        </w:tc>
        <w:tc>
          <w:tcPr>
            <w:tcW w:w="1409" w:type="dxa"/>
          </w:tcPr>
          <w:p w14:paraId="44499278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11 (26.2)</w:t>
            </w:r>
          </w:p>
        </w:tc>
        <w:tc>
          <w:tcPr>
            <w:tcW w:w="702" w:type="dxa"/>
            <w:vMerge/>
          </w:tcPr>
          <w:p w14:paraId="5584F11D" w14:textId="77777777" w:rsidR="002A38BF" w:rsidRPr="000739D5" w:rsidRDefault="002A38BF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474ED612" w14:textId="77777777" w:rsidTr="002A38BF">
        <w:trPr>
          <w:trHeight w:val="281"/>
        </w:trPr>
        <w:tc>
          <w:tcPr>
            <w:tcW w:w="1574" w:type="dxa"/>
            <w:vMerge w:val="restart"/>
          </w:tcPr>
          <w:p w14:paraId="1BD78C3A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Caregiver</w:t>
            </w:r>
            <w:proofErr w:type="spellEnd"/>
          </w:p>
          <w:p w14:paraId="372B409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</w:tcPr>
          <w:p w14:paraId="115AEC6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Nurse</w:t>
            </w:r>
            <w:proofErr w:type="spellEnd"/>
          </w:p>
        </w:tc>
        <w:tc>
          <w:tcPr>
            <w:tcW w:w="1564" w:type="dxa"/>
          </w:tcPr>
          <w:p w14:paraId="682C00A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7 (13.7)</w:t>
            </w:r>
          </w:p>
        </w:tc>
        <w:tc>
          <w:tcPr>
            <w:tcW w:w="1542" w:type="dxa"/>
          </w:tcPr>
          <w:p w14:paraId="7B232E89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 (5.6)</w:t>
            </w:r>
          </w:p>
        </w:tc>
        <w:tc>
          <w:tcPr>
            <w:tcW w:w="1409" w:type="dxa"/>
          </w:tcPr>
          <w:p w14:paraId="0FBD2C5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 (7.1)</w:t>
            </w:r>
          </w:p>
        </w:tc>
        <w:tc>
          <w:tcPr>
            <w:tcW w:w="702" w:type="dxa"/>
            <w:vMerge w:val="restart"/>
          </w:tcPr>
          <w:p w14:paraId="675BC985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</w:tr>
      <w:tr w:rsidR="0083444B" w:rsidRPr="000739D5" w14:paraId="64FFBB89" w14:textId="77777777" w:rsidTr="002A38BF">
        <w:trPr>
          <w:trHeight w:val="257"/>
        </w:trPr>
        <w:tc>
          <w:tcPr>
            <w:tcW w:w="1574" w:type="dxa"/>
            <w:vMerge/>
          </w:tcPr>
          <w:p w14:paraId="367759D0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BBD6246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Spouse</w:t>
            </w:r>
            <w:proofErr w:type="spellEnd"/>
          </w:p>
        </w:tc>
        <w:tc>
          <w:tcPr>
            <w:tcW w:w="1564" w:type="dxa"/>
          </w:tcPr>
          <w:p w14:paraId="4B6FC583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5 (9.8)</w:t>
            </w:r>
          </w:p>
        </w:tc>
        <w:tc>
          <w:tcPr>
            <w:tcW w:w="1542" w:type="dxa"/>
          </w:tcPr>
          <w:p w14:paraId="19F90144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8 (15.1)</w:t>
            </w:r>
          </w:p>
        </w:tc>
        <w:tc>
          <w:tcPr>
            <w:tcW w:w="1409" w:type="dxa"/>
          </w:tcPr>
          <w:p w14:paraId="00B25CE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7 (16.7)</w:t>
            </w:r>
          </w:p>
        </w:tc>
        <w:tc>
          <w:tcPr>
            <w:tcW w:w="702" w:type="dxa"/>
            <w:vMerge/>
          </w:tcPr>
          <w:p w14:paraId="55A2E38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2C6CB78B" w14:textId="77777777" w:rsidTr="002A38BF">
        <w:trPr>
          <w:trHeight w:val="289"/>
        </w:trPr>
        <w:tc>
          <w:tcPr>
            <w:tcW w:w="1574" w:type="dxa"/>
            <w:vMerge/>
          </w:tcPr>
          <w:p w14:paraId="41CA67FD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D0419F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1564" w:type="dxa"/>
          </w:tcPr>
          <w:p w14:paraId="7166113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34 (66.7)</w:t>
            </w:r>
          </w:p>
        </w:tc>
        <w:tc>
          <w:tcPr>
            <w:tcW w:w="1542" w:type="dxa"/>
          </w:tcPr>
          <w:p w14:paraId="73B06DE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37 (69.8)</w:t>
            </w:r>
          </w:p>
        </w:tc>
        <w:tc>
          <w:tcPr>
            <w:tcW w:w="1409" w:type="dxa"/>
          </w:tcPr>
          <w:p w14:paraId="52755D2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30 (71.4)</w:t>
            </w:r>
          </w:p>
        </w:tc>
        <w:tc>
          <w:tcPr>
            <w:tcW w:w="702" w:type="dxa"/>
            <w:vMerge/>
          </w:tcPr>
          <w:p w14:paraId="7B84B04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5D59CE6D" w14:textId="77777777" w:rsidTr="002A38BF">
        <w:trPr>
          <w:trHeight w:val="278"/>
        </w:trPr>
        <w:tc>
          <w:tcPr>
            <w:tcW w:w="1574" w:type="dxa"/>
            <w:vMerge/>
          </w:tcPr>
          <w:p w14:paraId="61CA1840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21113767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Parents</w:t>
            </w:r>
            <w:proofErr w:type="spellEnd"/>
          </w:p>
        </w:tc>
        <w:tc>
          <w:tcPr>
            <w:tcW w:w="1564" w:type="dxa"/>
          </w:tcPr>
          <w:p w14:paraId="2C873054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 (3.9)</w:t>
            </w:r>
          </w:p>
        </w:tc>
        <w:tc>
          <w:tcPr>
            <w:tcW w:w="1542" w:type="dxa"/>
          </w:tcPr>
          <w:p w14:paraId="5955CC0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 (1.9)</w:t>
            </w:r>
          </w:p>
        </w:tc>
        <w:tc>
          <w:tcPr>
            <w:tcW w:w="1409" w:type="dxa"/>
          </w:tcPr>
          <w:p w14:paraId="4B81D7C7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 (4.8)</w:t>
            </w:r>
          </w:p>
        </w:tc>
        <w:tc>
          <w:tcPr>
            <w:tcW w:w="702" w:type="dxa"/>
            <w:vMerge/>
          </w:tcPr>
          <w:p w14:paraId="4F3FCAF4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36C8C242" w14:textId="77777777" w:rsidTr="002A38BF">
        <w:trPr>
          <w:trHeight w:val="255"/>
        </w:trPr>
        <w:tc>
          <w:tcPr>
            <w:tcW w:w="1574" w:type="dxa"/>
            <w:vMerge/>
          </w:tcPr>
          <w:p w14:paraId="595118F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738A99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Spouse</w:t>
            </w:r>
            <w:proofErr w:type="spellEnd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1564" w:type="dxa"/>
          </w:tcPr>
          <w:p w14:paraId="73CF7746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 (3.9)</w:t>
            </w:r>
          </w:p>
        </w:tc>
        <w:tc>
          <w:tcPr>
            <w:tcW w:w="1542" w:type="dxa"/>
          </w:tcPr>
          <w:p w14:paraId="791F9BB5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 (3.8)</w:t>
            </w:r>
          </w:p>
        </w:tc>
        <w:tc>
          <w:tcPr>
            <w:tcW w:w="1409" w:type="dxa"/>
          </w:tcPr>
          <w:p w14:paraId="4CA56285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0 (0.00)</w:t>
            </w:r>
          </w:p>
        </w:tc>
        <w:tc>
          <w:tcPr>
            <w:tcW w:w="702" w:type="dxa"/>
            <w:vMerge/>
          </w:tcPr>
          <w:p w14:paraId="7FC15437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35E7290E" w14:textId="77777777" w:rsidTr="002A38BF">
        <w:trPr>
          <w:trHeight w:val="286"/>
        </w:trPr>
        <w:tc>
          <w:tcPr>
            <w:tcW w:w="1574" w:type="dxa"/>
            <w:vMerge/>
            <w:tcBorders>
              <w:bottom w:val="single" w:sz="4" w:space="0" w:color="auto"/>
            </w:tcBorders>
          </w:tcPr>
          <w:p w14:paraId="4ED1369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4B2920AB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Sibling</w:t>
            </w:r>
            <w:proofErr w:type="spellEnd"/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3D70EBA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 (2.0)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6C5C976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2 (3.8)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372A816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0 (0.00)</w:t>
            </w: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74B3EF10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4B" w:rsidRPr="000739D5" w14:paraId="41DADD5A" w14:textId="77777777" w:rsidTr="002A38BF">
        <w:trPr>
          <w:trHeight w:val="277"/>
        </w:trPr>
        <w:tc>
          <w:tcPr>
            <w:tcW w:w="1574" w:type="dxa"/>
            <w:vMerge w:val="restart"/>
          </w:tcPr>
          <w:p w14:paraId="001EDBD3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Assistant</w:t>
            </w:r>
            <w:proofErr w:type="spellEnd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39D5">
              <w:rPr>
                <w:rFonts w:ascii="Times New Roman" w:hAnsi="Times New Roman" w:cs="Times New Roman"/>
                <w:b/>
                <w:sz w:val="20"/>
                <w:szCs w:val="20"/>
              </w:rPr>
              <w:t>caregiver</w:t>
            </w:r>
            <w:proofErr w:type="spellEnd"/>
          </w:p>
        </w:tc>
        <w:tc>
          <w:tcPr>
            <w:tcW w:w="2284" w:type="dxa"/>
          </w:tcPr>
          <w:p w14:paraId="3AE3EA0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64" w:type="dxa"/>
          </w:tcPr>
          <w:p w14:paraId="54969145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38 (74.5)</w:t>
            </w:r>
          </w:p>
        </w:tc>
        <w:tc>
          <w:tcPr>
            <w:tcW w:w="1542" w:type="dxa"/>
          </w:tcPr>
          <w:p w14:paraId="2F4FF429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42 (79.3)</w:t>
            </w:r>
          </w:p>
        </w:tc>
        <w:tc>
          <w:tcPr>
            <w:tcW w:w="1409" w:type="dxa"/>
          </w:tcPr>
          <w:p w14:paraId="2956988C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32 (76.2)</w:t>
            </w:r>
          </w:p>
        </w:tc>
        <w:tc>
          <w:tcPr>
            <w:tcW w:w="702" w:type="dxa"/>
            <w:vMerge w:val="restart"/>
          </w:tcPr>
          <w:p w14:paraId="7A26E98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</w:tr>
      <w:tr w:rsidR="0083444B" w:rsidRPr="000739D5" w14:paraId="236F89F9" w14:textId="77777777" w:rsidTr="002A38BF">
        <w:trPr>
          <w:trHeight w:val="267"/>
        </w:trPr>
        <w:tc>
          <w:tcPr>
            <w:tcW w:w="1574" w:type="dxa"/>
            <w:vMerge/>
          </w:tcPr>
          <w:p w14:paraId="046AADC6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0B9943DF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564" w:type="dxa"/>
          </w:tcPr>
          <w:p w14:paraId="11CD8BAB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13 (25.5)</w:t>
            </w:r>
          </w:p>
        </w:tc>
        <w:tc>
          <w:tcPr>
            <w:tcW w:w="1542" w:type="dxa"/>
          </w:tcPr>
          <w:p w14:paraId="1573E7CE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11 (20.7)</w:t>
            </w:r>
          </w:p>
        </w:tc>
        <w:tc>
          <w:tcPr>
            <w:tcW w:w="1409" w:type="dxa"/>
          </w:tcPr>
          <w:p w14:paraId="1A9084A8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9D5">
              <w:rPr>
                <w:rFonts w:ascii="Times New Roman" w:hAnsi="Times New Roman" w:cs="Times New Roman"/>
                <w:sz w:val="20"/>
                <w:szCs w:val="20"/>
              </w:rPr>
              <w:t>10 (23.8)</w:t>
            </w:r>
          </w:p>
        </w:tc>
        <w:tc>
          <w:tcPr>
            <w:tcW w:w="702" w:type="dxa"/>
            <w:vMerge/>
          </w:tcPr>
          <w:p w14:paraId="353DEB10" w14:textId="77777777" w:rsidR="0083444B" w:rsidRPr="000739D5" w:rsidRDefault="0083444B" w:rsidP="008344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0CE20A" w14:textId="77777777" w:rsidR="0083444B" w:rsidRPr="00F20CAE" w:rsidRDefault="0083444B" w:rsidP="008344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20CAE">
        <w:rPr>
          <w:rFonts w:ascii="Times New Roman" w:hAnsi="Times New Roman" w:cs="Times New Roman"/>
          <w:sz w:val="16"/>
          <w:szCs w:val="16"/>
        </w:rPr>
        <w:t xml:space="preserve">*Data </w:t>
      </w:r>
      <w:proofErr w:type="spellStart"/>
      <w:r w:rsidRPr="00F20CAE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F20CA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20CAE">
        <w:rPr>
          <w:rFonts w:ascii="Times New Roman" w:hAnsi="Times New Roman" w:cs="Times New Roman"/>
          <w:sz w:val="16"/>
          <w:szCs w:val="16"/>
        </w:rPr>
        <w:t>presented</w:t>
      </w:r>
      <w:proofErr w:type="spellEnd"/>
      <w:r w:rsidRPr="00F20CAE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Pr="00F20CAE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Pr="00F20CAE">
        <w:rPr>
          <w:rFonts w:ascii="Times New Roman" w:hAnsi="Times New Roman" w:cs="Times New Roman"/>
          <w:sz w:val="16"/>
          <w:szCs w:val="16"/>
        </w:rPr>
        <w:t xml:space="preserve"> (%).  </w:t>
      </w:r>
    </w:p>
    <w:p w14:paraId="4E483F2C" w14:textId="77777777" w:rsidR="0083444B" w:rsidRPr="00F20CAE" w:rsidRDefault="0083444B" w:rsidP="008344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20CAE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F20CAE">
        <w:rPr>
          <w:rFonts w:ascii="Times New Roman" w:hAnsi="Times New Roman" w:cs="Times New Roman"/>
          <w:sz w:val="16"/>
          <w:szCs w:val="16"/>
        </w:rPr>
        <w:t>Pearson</w:t>
      </w:r>
      <w:proofErr w:type="spellEnd"/>
      <w:r w:rsidRPr="00F20CA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20CAE">
        <w:rPr>
          <w:rFonts w:ascii="Times New Roman" w:hAnsi="Times New Roman" w:cs="Times New Roman"/>
          <w:sz w:val="16"/>
          <w:szCs w:val="16"/>
        </w:rPr>
        <w:t>Chi-square</w:t>
      </w:r>
      <w:proofErr w:type="spellEnd"/>
      <w:r w:rsidRPr="00F20CAE">
        <w:rPr>
          <w:rFonts w:ascii="Times New Roman" w:hAnsi="Times New Roman" w:cs="Times New Roman"/>
          <w:sz w:val="16"/>
          <w:szCs w:val="16"/>
        </w:rPr>
        <w:t xml:space="preserve"> test.</w:t>
      </w:r>
    </w:p>
    <w:p w14:paraId="44AC54E6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41D432" w14:textId="77777777" w:rsidR="00E12E68" w:rsidRDefault="00E12E68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55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2"/>
        <w:gridCol w:w="1414"/>
        <w:gridCol w:w="10"/>
        <w:gridCol w:w="1410"/>
        <w:gridCol w:w="1559"/>
        <w:gridCol w:w="850"/>
      </w:tblGrid>
      <w:tr w:rsidR="00E12E68" w:rsidRPr="001D682E" w14:paraId="21050BED" w14:textId="77777777" w:rsidTr="00E12E68">
        <w:trPr>
          <w:trHeight w:val="557"/>
        </w:trPr>
        <w:tc>
          <w:tcPr>
            <w:tcW w:w="8575" w:type="dxa"/>
            <w:gridSpan w:val="7"/>
          </w:tcPr>
          <w:p w14:paraId="5276576F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Table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General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health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participants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according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nutritional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  <w:proofErr w:type="spellEnd"/>
          </w:p>
        </w:tc>
      </w:tr>
      <w:tr w:rsidR="00E12E68" w:rsidRPr="001D682E" w14:paraId="6E404C79" w14:textId="77777777" w:rsidTr="00E12E68">
        <w:trPr>
          <w:trHeight w:val="540"/>
        </w:trPr>
        <w:tc>
          <w:tcPr>
            <w:tcW w:w="3332" w:type="dxa"/>
            <w:gridSpan w:val="2"/>
          </w:tcPr>
          <w:p w14:paraId="59A74B54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201B341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Normal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Nutrition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(n=51)</w:t>
            </w:r>
          </w:p>
        </w:tc>
        <w:tc>
          <w:tcPr>
            <w:tcW w:w="1420" w:type="dxa"/>
            <w:gridSpan w:val="2"/>
          </w:tcPr>
          <w:p w14:paraId="1646810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Risk of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Malnutrition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(n=53)</w:t>
            </w:r>
          </w:p>
        </w:tc>
        <w:tc>
          <w:tcPr>
            <w:tcW w:w="1559" w:type="dxa"/>
          </w:tcPr>
          <w:p w14:paraId="29CFECA4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Malnutrition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(n=42)</w:t>
            </w:r>
          </w:p>
        </w:tc>
        <w:tc>
          <w:tcPr>
            <w:tcW w:w="850" w:type="dxa"/>
          </w:tcPr>
          <w:p w14:paraId="28B621ED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proofErr w:type="gramEnd"/>
          </w:p>
        </w:tc>
      </w:tr>
      <w:tr w:rsidR="00E12E68" w:rsidRPr="001D682E" w14:paraId="5F0646D0" w14:textId="77777777" w:rsidTr="00E12E68">
        <w:trPr>
          <w:trHeight w:val="295"/>
        </w:trPr>
        <w:tc>
          <w:tcPr>
            <w:tcW w:w="1630" w:type="dxa"/>
            <w:vMerge w:val="restart"/>
          </w:tcPr>
          <w:p w14:paraId="33C2B3D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Degree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794E7D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gram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dependency</w:t>
            </w:r>
            <w:proofErr w:type="spellEnd"/>
          </w:p>
        </w:tc>
        <w:tc>
          <w:tcPr>
            <w:tcW w:w="1702" w:type="dxa"/>
          </w:tcPr>
          <w:p w14:paraId="7BC4EB05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  <w:proofErr w:type="spellEnd"/>
          </w:p>
        </w:tc>
        <w:tc>
          <w:tcPr>
            <w:tcW w:w="1414" w:type="dxa"/>
          </w:tcPr>
          <w:p w14:paraId="4C79284F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17 (33.3)</w:t>
            </w:r>
          </w:p>
        </w:tc>
        <w:tc>
          <w:tcPr>
            <w:tcW w:w="1420" w:type="dxa"/>
            <w:gridSpan w:val="2"/>
          </w:tcPr>
          <w:p w14:paraId="5F0C4486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4 (7.6)</w:t>
            </w:r>
          </w:p>
        </w:tc>
        <w:tc>
          <w:tcPr>
            <w:tcW w:w="1559" w:type="dxa"/>
          </w:tcPr>
          <w:p w14:paraId="74ADC31C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 (2.4)</w:t>
            </w:r>
          </w:p>
        </w:tc>
        <w:tc>
          <w:tcPr>
            <w:tcW w:w="850" w:type="dxa"/>
            <w:vMerge w:val="restart"/>
          </w:tcPr>
          <w:p w14:paraId="492301BB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E12E68" w:rsidRPr="001D682E" w14:paraId="7C0167BF" w14:textId="77777777" w:rsidTr="00E12E68">
        <w:trPr>
          <w:trHeight w:val="256"/>
        </w:trPr>
        <w:tc>
          <w:tcPr>
            <w:tcW w:w="1630" w:type="dxa"/>
            <w:vMerge/>
          </w:tcPr>
          <w:p w14:paraId="0ED77846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B2DDFAE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Partially</w:t>
            </w:r>
            <w:proofErr w:type="spellEnd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bedridden</w:t>
            </w:r>
            <w:proofErr w:type="spellEnd"/>
          </w:p>
        </w:tc>
        <w:tc>
          <w:tcPr>
            <w:tcW w:w="1414" w:type="dxa"/>
          </w:tcPr>
          <w:p w14:paraId="29EB16A4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31 (60.8)</w:t>
            </w:r>
          </w:p>
        </w:tc>
        <w:tc>
          <w:tcPr>
            <w:tcW w:w="1420" w:type="dxa"/>
            <w:gridSpan w:val="2"/>
          </w:tcPr>
          <w:p w14:paraId="3AD051F1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31 (58.5)</w:t>
            </w:r>
          </w:p>
        </w:tc>
        <w:tc>
          <w:tcPr>
            <w:tcW w:w="1559" w:type="dxa"/>
          </w:tcPr>
          <w:p w14:paraId="64E46583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14 (33.3)</w:t>
            </w:r>
          </w:p>
        </w:tc>
        <w:tc>
          <w:tcPr>
            <w:tcW w:w="850" w:type="dxa"/>
            <w:vMerge/>
          </w:tcPr>
          <w:p w14:paraId="29174010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E68" w:rsidRPr="001D682E" w14:paraId="4ED1F78A" w14:textId="77777777" w:rsidTr="00E12E68">
        <w:trPr>
          <w:trHeight w:val="403"/>
        </w:trPr>
        <w:tc>
          <w:tcPr>
            <w:tcW w:w="1630" w:type="dxa"/>
            <w:vMerge/>
          </w:tcPr>
          <w:p w14:paraId="5CF60498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51B1EF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Completely</w:t>
            </w:r>
            <w:proofErr w:type="spellEnd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bedridden</w:t>
            </w:r>
            <w:proofErr w:type="spellEnd"/>
          </w:p>
        </w:tc>
        <w:tc>
          <w:tcPr>
            <w:tcW w:w="1414" w:type="dxa"/>
          </w:tcPr>
          <w:p w14:paraId="5C7F210C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3 (5.9)</w:t>
            </w:r>
          </w:p>
        </w:tc>
        <w:tc>
          <w:tcPr>
            <w:tcW w:w="1420" w:type="dxa"/>
            <w:gridSpan w:val="2"/>
          </w:tcPr>
          <w:p w14:paraId="1423C239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18 (33.9)</w:t>
            </w:r>
          </w:p>
        </w:tc>
        <w:tc>
          <w:tcPr>
            <w:tcW w:w="1559" w:type="dxa"/>
          </w:tcPr>
          <w:p w14:paraId="3ADEB7A9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27 (64.3)</w:t>
            </w:r>
          </w:p>
        </w:tc>
        <w:tc>
          <w:tcPr>
            <w:tcW w:w="850" w:type="dxa"/>
            <w:vMerge/>
          </w:tcPr>
          <w:p w14:paraId="0D3895A8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E68" w:rsidRPr="001D682E" w14:paraId="337C944C" w14:textId="77777777" w:rsidTr="00E12E68">
        <w:trPr>
          <w:trHeight w:val="238"/>
        </w:trPr>
        <w:tc>
          <w:tcPr>
            <w:tcW w:w="1630" w:type="dxa"/>
            <w:vMerge w:val="restart"/>
          </w:tcPr>
          <w:p w14:paraId="68125B19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Orientation-cooperation</w:t>
            </w:r>
            <w:proofErr w:type="spellEnd"/>
          </w:p>
        </w:tc>
        <w:tc>
          <w:tcPr>
            <w:tcW w:w="1702" w:type="dxa"/>
          </w:tcPr>
          <w:p w14:paraId="233DB27D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10F5282D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4 (7.8)</w:t>
            </w:r>
          </w:p>
        </w:tc>
        <w:tc>
          <w:tcPr>
            <w:tcW w:w="1420" w:type="dxa"/>
            <w:gridSpan w:val="2"/>
          </w:tcPr>
          <w:p w14:paraId="2812F3C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21 (39.6)</w:t>
            </w:r>
          </w:p>
        </w:tc>
        <w:tc>
          <w:tcPr>
            <w:tcW w:w="1559" w:type="dxa"/>
          </w:tcPr>
          <w:p w14:paraId="7A1E0FCC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25 (59.5)</w:t>
            </w:r>
          </w:p>
        </w:tc>
        <w:tc>
          <w:tcPr>
            <w:tcW w:w="850" w:type="dxa"/>
            <w:vMerge w:val="restart"/>
          </w:tcPr>
          <w:p w14:paraId="6E50F965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E12E68" w:rsidRPr="001D682E" w14:paraId="0DAF81E9" w14:textId="77777777" w:rsidTr="00E12E68">
        <w:trPr>
          <w:trHeight w:val="274"/>
        </w:trPr>
        <w:tc>
          <w:tcPr>
            <w:tcW w:w="1630" w:type="dxa"/>
            <w:vMerge/>
          </w:tcPr>
          <w:p w14:paraId="4D520425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E75E5CB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414" w:type="dxa"/>
          </w:tcPr>
          <w:p w14:paraId="6BFD7B3A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47 (92.2)</w:t>
            </w:r>
          </w:p>
        </w:tc>
        <w:tc>
          <w:tcPr>
            <w:tcW w:w="1420" w:type="dxa"/>
            <w:gridSpan w:val="2"/>
          </w:tcPr>
          <w:p w14:paraId="766D6225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32 (60.4)</w:t>
            </w:r>
          </w:p>
        </w:tc>
        <w:tc>
          <w:tcPr>
            <w:tcW w:w="1559" w:type="dxa"/>
          </w:tcPr>
          <w:p w14:paraId="5D5B0BDE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17 (40.5)</w:t>
            </w:r>
          </w:p>
        </w:tc>
        <w:tc>
          <w:tcPr>
            <w:tcW w:w="850" w:type="dxa"/>
            <w:vMerge/>
          </w:tcPr>
          <w:p w14:paraId="08E3292E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E68" w:rsidRPr="001D682E" w14:paraId="3E5FA448" w14:textId="77777777" w:rsidTr="00E12E68">
        <w:trPr>
          <w:trHeight w:val="274"/>
        </w:trPr>
        <w:tc>
          <w:tcPr>
            <w:tcW w:w="1630" w:type="dxa"/>
            <w:vMerge w:val="restart"/>
          </w:tcPr>
          <w:p w14:paraId="211783F7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Enteral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nutrition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support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1702" w:type="dxa"/>
          </w:tcPr>
          <w:p w14:paraId="1E2E56AD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72BFEA4F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51(100.0)</w:t>
            </w:r>
          </w:p>
        </w:tc>
        <w:tc>
          <w:tcPr>
            <w:tcW w:w="1420" w:type="dxa"/>
            <w:gridSpan w:val="2"/>
          </w:tcPr>
          <w:p w14:paraId="478CD32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50 (94.3)</w:t>
            </w:r>
          </w:p>
        </w:tc>
        <w:tc>
          <w:tcPr>
            <w:tcW w:w="1559" w:type="dxa"/>
          </w:tcPr>
          <w:p w14:paraId="008C91B4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16 (38.1)</w:t>
            </w:r>
          </w:p>
        </w:tc>
        <w:tc>
          <w:tcPr>
            <w:tcW w:w="850" w:type="dxa"/>
            <w:vMerge w:val="restart"/>
          </w:tcPr>
          <w:p w14:paraId="2BBE4B68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E12E68" w:rsidRPr="001D682E" w14:paraId="04B91F0F" w14:textId="77777777" w:rsidTr="00E12E68">
        <w:trPr>
          <w:trHeight w:val="279"/>
        </w:trPr>
        <w:tc>
          <w:tcPr>
            <w:tcW w:w="1630" w:type="dxa"/>
            <w:vMerge/>
          </w:tcPr>
          <w:p w14:paraId="762E38C7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64531E9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414" w:type="dxa"/>
          </w:tcPr>
          <w:p w14:paraId="0798AF29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0(0.0)</w:t>
            </w:r>
          </w:p>
        </w:tc>
        <w:tc>
          <w:tcPr>
            <w:tcW w:w="1420" w:type="dxa"/>
            <w:gridSpan w:val="2"/>
          </w:tcPr>
          <w:p w14:paraId="0784608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3 (5.7)</w:t>
            </w:r>
          </w:p>
        </w:tc>
        <w:tc>
          <w:tcPr>
            <w:tcW w:w="1559" w:type="dxa"/>
          </w:tcPr>
          <w:p w14:paraId="7C771FEF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26 (61.9)</w:t>
            </w:r>
          </w:p>
        </w:tc>
        <w:tc>
          <w:tcPr>
            <w:tcW w:w="850" w:type="dxa"/>
            <w:vMerge/>
          </w:tcPr>
          <w:p w14:paraId="0111035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E68" w:rsidRPr="001D682E" w14:paraId="200E152C" w14:textId="77777777" w:rsidTr="00E12E68">
        <w:trPr>
          <w:trHeight w:val="254"/>
        </w:trPr>
        <w:tc>
          <w:tcPr>
            <w:tcW w:w="1630" w:type="dxa"/>
            <w:vMerge w:val="restart"/>
          </w:tcPr>
          <w:p w14:paraId="4CE933C1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Decubitus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ulcer</w:t>
            </w:r>
            <w:proofErr w:type="spellEnd"/>
          </w:p>
        </w:tc>
        <w:tc>
          <w:tcPr>
            <w:tcW w:w="1702" w:type="dxa"/>
          </w:tcPr>
          <w:p w14:paraId="29734605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4651EC4E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49 (96.1)</w:t>
            </w:r>
          </w:p>
        </w:tc>
        <w:tc>
          <w:tcPr>
            <w:tcW w:w="1420" w:type="dxa"/>
            <w:gridSpan w:val="2"/>
          </w:tcPr>
          <w:p w14:paraId="4FE358E8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46 (86.8)</w:t>
            </w:r>
          </w:p>
        </w:tc>
        <w:tc>
          <w:tcPr>
            <w:tcW w:w="1559" w:type="dxa"/>
          </w:tcPr>
          <w:p w14:paraId="5FD69DB0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28 (66.7)</w:t>
            </w:r>
          </w:p>
        </w:tc>
        <w:tc>
          <w:tcPr>
            <w:tcW w:w="850" w:type="dxa"/>
            <w:vMerge w:val="restart"/>
          </w:tcPr>
          <w:p w14:paraId="476C47DF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E12E68" w:rsidRPr="001D682E" w14:paraId="7A27286D" w14:textId="77777777" w:rsidTr="00E12E68">
        <w:trPr>
          <w:trHeight w:val="570"/>
        </w:trPr>
        <w:tc>
          <w:tcPr>
            <w:tcW w:w="1630" w:type="dxa"/>
            <w:vMerge/>
          </w:tcPr>
          <w:p w14:paraId="574F06AF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DC04F47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414" w:type="dxa"/>
          </w:tcPr>
          <w:p w14:paraId="25AE194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2 (3.9)</w:t>
            </w:r>
          </w:p>
          <w:p w14:paraId="230BB0E0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20" w:type="dxa"/>
            <w:gridSpan w:val="2"/>
          </w:tcPr>
          <w:p w14:paraId="128D482F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7 (13.2)</w:t>
            </w:r>
          </w:p>
          <w:p w14:paraId="5116FF80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1559" w:type="dxa"/>
          </w:tcPr>
          <w:p w14:paraId="7A54B5D3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14 (33.3)</w:t>
            </w:r>
          </w:p>
          <w:p w14:paraId="1ED0682D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850" w:type="dxa"/>
            <w:vMerge/>
          </w:tcPr>
          <w:p w14:paraId="3C393807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E68" w:rsidRPr="001D682E" w14:paraId="09BAEE09" w14:textId="77777777" w:rsidTr="00E12E68">
        <w:trPr>
          <w:trHeight w:val="550"/>
        </w:trPr>
        <w:tc>
          <w:tcPr>
            <w:tcW w:w="3332" w:type="dxa"/>
            <w:gridSpan w:val="2"/>
          </w:tcPr>
          <w:p w14:paraId="4B46CD2A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39AFED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gram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medications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414" w:type="dxa"/>
          </w:tcPr>
          <w:p w14:paraId="1E1F17FA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(0.00-19.00)</w:t>
            </w:r>
          </w:p>
          <w:p w14:paraId="29E7957B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420" w:type="dxa"/>
            <w:gridSpan w:val="2"/>
          </w:tcPr>
          <w:p w14:paraId="345E6A59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(1.00-15.00)</w:t>
            </w:r>
          </w:p>
          <w:p w14:paraId="2522A9EE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3DDDE1E2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(0.00-15.00)</w:t>
            </w:r>
          </w:p>
          <w:p w14:paraId="042F6D74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850" w:type="dxa"/>
          </w:tcPr>
          <w:p w14:paraId="2A86A028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0.118**</w:t>
            </w:r>
          </w:p>
        </w:tc>
      </w:tr>
      <w:tr w:rsidR="00E12E68" w:rsidRPr="001D682E" w14:paraId="373F10B4" w14:textId="77777777" w:rsidTr="00E12E68">
        <w:trPr>
          <w:trHeight w:val="545"/>
        </w:trPr>
        <w:tc>
          <w:tcPr>
            <w:tcW w:w="3332" w:type="dxa"/>
            <w:gridSpan w:val="2"/>
          </w:tcPr>
          <w:p w14:paraId="634A7807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Duration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AEB9D8E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gram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homecare</w:t>
            </w:r>
            <w:proofErr w:type="spellEnd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682E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424" w:type="dxa"/>
            <w:gridSpan w:val="2"/>
          </w:tcPr>
          <w:p w14:paraId="7C081178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(0.00-3.00)</w:t>
            </w:r>
          </w:p>
        </w:tc>
        <w:tc>
          <w:tcPr>
            <w:tcW w:w="1410" w:type="dxa"/>
          </w:tcPr>
          <w:p w14:paraId="5C933455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(0.00-2.00)</w:t>
            </w:r>
          </w:p>
        </w:tc>
        <w:tc>
          <w:tcPr>
            <w:tcW w:w="1559" w:type="dxa"/>
          </w:tcPr>
          <w:p w14:paraId="164B97F1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(0.00-5.00)</w:t>
            </w:r>
          </w:p>
        </w:tc>
        <w:tc>
          <w:tcPr>
            <w:tcW w:w="850" w:type="dxa"/>
          </w:tcPr>
          <w:p w14:paraId="6D10C413" w14:textId="77777777" w:rsidR="00E12E68" w:rsidRPr="001D682E" w:rsidRDefault="00E12E68" w:rsidP="00E1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hAnsi="Times New Roman" w:cs="Times New Roman"/>
                <w:sz w:val="20"/>
                <w:szCs w:val="20"/>
              </w:rPr>
              <w:t>0.164**</w:t>
            </w:r>
          </w:p>
        </w:tc>
      </w:tr>
    </w:tbl>
    <w:p w14:paraId="0970905A" w14:textId="77777777" w:rsidR="00E12E68" w:rsidRPr="00F20CAE" w:rsidRDefault="00E12E68" w:rsidP="00E12E6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20CAE">
        <w:rPr>
          <w:rFonts w:ascii="Times New Roman" w:hAnsi="Times New Roman" w:cs="Times New Roman"/>
          <w:sz w:val="16"/>
          <w:szCs w:val="16"/>
        </w:rPr>
        <w:t>Pearson</w:t>
      </w:r>
      <w:proofErr w:type="spellEnd"/>
      <w:r w:rsidRPr="00F20CA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20CAE">
        <w:rPr>
          <w:rFonts w:ascii="Times New Roman" w:hAnsi="Times New Roman" w:cs="Times New Roman"/>
          <w:sz w:val="16"/>
          <w:szCs w:val="16"/>
        </w:rPr>
        <w:t>Chi-square</w:t>
      </w:r>
      <w:proofErr w:type="spellEnd"/>
      <w:r w:rsidRPr="00F20CAE">
        <w:rPr>
          <w:rFonts w:ascii="Times New Roman" w:hAnsi="Times New Roman" w:cs="Times New Roman"/>
          <w:sz w:val="16"/>
          <w:szCs w:val="16"/>
        </w:rPr>
        <w:t xml:space="preserve"> test, **</w:t>
      </w:r>
      <w:proofErr w:type="spellStart"/>
      <w:r w:rsidRPr="00F20CAE">
        <w:rPr>
          <w:rFonts w:ascii="Times New Roman" w:hAnsi="Times New Roman" w:cs="Times New Roman"/>
          <w:sz w:val="16"/>
          <w:szCs w:val="16"/>
        </w:rPr>
        <w:t>Kruskal</w:t>
      </w:r>
      <w:proofErr w:type="spellEnd"/>
      <w:r w:rsidRPr="00F20CAE">
        <w:rPr>
          <w:rFonts w:ascii="Times New Roman" w:hAnsi="Times New Roman" w:cs="Times New Roman"/>
          <w:sz w:val="16"/>
          <w:szCs w:val="16"/>
        </w:rPr>
        <w:t xml:space="preserve"> Wallis test</w:t>
      </w:r>
    </w:p>
    <w:p w14:paraId="3E5E80B2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7C08C0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6890A9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824DE1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F28A33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ACC216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9E8DB4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AEDF59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BB3292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8FF1B1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37E74C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B119D7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390EAC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F48D7D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E4C64E" w14:textId="77777777" w:rsidR="0083444B" w:rsidRDefault="0083444B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989B04" w14:textId="77777777" w:rsidR="000739D5" w:rsidRDefault="000739D5" w:rsidP="00E645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41" w:rightFromText="141" w:vertAnchor="text" w:horzAnchor="margin" w:tblpXSpec="center" w:tblpYSpec="top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03"/>
        <w:gridCol w:w="1576"/>
        <w:gridCol w:w="6"/>
        <w:gridCol w:w="1951"/>
        <w:gridCol w:w="1252"/>
        <w:gridCol w:w="844"/>
      </w:tblGrid>
      <w:tr w:rsidR="00E525C5" w:rsidRPr="001D682E" w14:paraId="08BD785E" w14:textId="77777777" w:rsidTr="002A38BF">
        <w:trPr>
          <w:trHeight w:val="416"/>
        </w:trPr>
        <w:tc>
          <w:tcPr>
            <w:tcW w:w="9003" w:type="dxa"/>
            <w:gridSpan w:val="7"/>
          </w:tcPr>
          <w:p w14:paraId="737FCBE1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Table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3. Presence of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chronic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diseases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according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nutritional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status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participants</w:t>
            </w:r>
            <w:proofErr w:type="spellEnd"/>
          </w:p>
        </w:tc>
      </w:tr>
      <w:tr w:rsidR="00E525C5" w:rsidRPr="001D682E" w14:paraId="01833E9B" w14:textId="77777777" w:rsidTr="002A38BF">
        <w:trPr>
          <w:trHeight w:val="495"/>
        </w:trPr>
        <w:tc>
          <w:tcPr>
            <w:tcW w:w="3374" w:type="dxa"/>
            <w:gridSpan w:val="2"/>
          </w:tcPr>
          <w:p w14:paraId="67BF6AEA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14:paraId="357578C3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Normal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Nutrition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(n=51)</w:t>
            </w:r>
          </w:p>
        </w:tc>
        <w:tc>
          <w:tcPr>
            <w:tcW w:w="1957" w:type="dxa"/>
            <w:gridSpan w:val="2"/>
          </w:tcPr>
          <w:p w14:paraId="76A69DF0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Risk of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Malnutrition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(n=53)</w:t>
            </w:r>
          </w:p>
        </w:tc>
        <w:tc>
          <w:tcPr>
            <w:tcW w:w="1252" w:type="dxa"/>
          </w:tcPr>
          <w:p w14:paraId="7105FCDE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Malnutrition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(n=42)</w:t>
            </w:r>
          </w:p>
        </w:tc>
        <w:tc>
          <w:tcPr>
            <w:tcW w:w="844" w:type="dxa"/>
          </w:tcPr>
          <w:p w14:paraId="0DC2B415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gramStart"/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p</w:t>
            </w:r>
            <w:proofErr w:type="gramEnd"/>
          </w:p>
        </w:tc>
      </w:tr>
      <w:tr w:rsidR="00E525C5" w:rsidRPr="001D682E" w14:paraId="67DD602B" w14:textId="77777777" w:rsidTr="002A38BF">
        <w:trPr>
          <w:trHeight w:val="294"/>
        </w:trPr>
        <w:tc>
          <w:tcPr>
            <w:tcW w:w="1771" w:type="dxa"/>
            <w:vMerge w:val="restart"/>
          </w:tcPr>
          <w:p w14:paraId="230583E5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Diabetes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Mellitus</w:t>
            </w:r>
            <w:proofErr w:type="spellEnd"/>
          </w:p>
        </w:tc>
        <w:tc>
          <w:tcPr>
            <w:tcW w:w="1603" w:type="dxa"/>
          </w:tcPr>
          <w:p w14:paraId="25A1BBE4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76" w:type="dxa"/>
          </w:tcPr>
          <w:p w14:paraId="48B1D4AF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31 (60.8)</w:t>
            </w:r>
          </w:p>
        </w:tc>
        <w:tc>
          <w:tcPr>
            <w:tcW w:w="1957" w:type="dxa"/>
            <w:gridSpan w:val="2"/>
          </w:tcPr>
          <w:p w14:paraId="69391E44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35 (66.0)</w:t>
            </w:r>
          </w:p>
        </w:tc>
        <w:tc>
          <w:tcPr>
            <w:tcW w:w="1252" w:type="dxa"/>
          </w:tcPr>
          <w:p w14:paraId="4F4B1362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30 (71.4)</w:t>
            </w:r>
          </w:p>
        </w:tc>
        <w:tc>
          <w:tcPr>
            <w:tcW w:w="844" w:type="dxa"/>
            <w:vMerge w:val="restart"/>
          </w:tcPr>
          <w:p w14:paraId="0E337A0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0.559</w:t>
            </w:r>
          </w:p>
        </w:tc>
      </w:tr>
      <w:tr w:rsidR="00E525C5" w:rsidRPr="001D682E" w14:paraId="3B4C09D1" w14:textId="77777777" w:rsidTr="002A38BF">
        <w:trPr>
          <w:trHeight w:val="256"/>
        </w:trPr>
        <w:tc>
          <w:tcPr>
            <w:tcW w:w="1771" w:type="dxa"/>
            <w:vMerge/>
          </w:tcPr>
          <w:p w14:paraId="32BF349A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C51CFC2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576" w:type="dxa"/>
          </w:tcPr>
          <w:p w14:paraId="199C4130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20 (39.2)</w:t>
            </w:r>
          </w:p>
        </w:tc>
        <w:tc>
          <w:tcPr>
            <w:tcW w:w="1957" w:type="dxa"/>
            <w:gridSpan w:val="2"/>
          </w:tcPr>
          <w:p w14:paraId="1A7D7DB8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18 (34.0)</w:t>
            </w:r>
          </w:p>
        </w:tc>
        <w:tc>
          <w:tcPr>
            <w:tcW w:w="1252" w:type="dxa"/>
          </w:tcPr>
          <w:p w14:paraId="5B4CC6E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12 (28.6)</w:t>
            </w:r>
          </w:p>
        </w:tc>
        <w:tc>
          <w:tcPr>
            <w:tcW w:w="844" w:type="dxa"/>
            <w:vMerge/>
          </w:tcPr>
          <w:p w14:paraId="2B7825BA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525C5" w:rsidRPr="001D682E" w14:paraId="42B13869" w14:textId="77777777" w:rsidTr="002A38BF">
        <w:trPr>
          <w:trHeight w:val="288"/>
        </w:trPr>
        <w:tc>
          <w:tcPr>
            <w:tcW w:w="1771" w:type="dxa"/>
            <w:vMerge w:val="restart"/>
          </w:tcPr>
          <w:p w14:paraId="6F216812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Hypertension</w:t>
            </w:r>
            <w:proofErr w:type="spellEnd"/>
          </w:p>
        </w:tc>
        <w:tc>
          <w:tcPr>
            <w:tcW w:w="1603" w:type="dxa"/>
          </w:tcPr>
          <w:p w14:paraId="6FA26FE0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76" w:type="dxa"/>
          </w:tcPr>
          <w:p w14:paraId="45AACF9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8 (15.7)</w:t>
            </w:r>
          </w:p>
        </w:tc>
        <w:tc>
          <w:tcPr>
            <w:tcW w:w="1957" w:type="dxa"/>
            <w:gridSpan w:val="2"/>
          </w:tcPr>
          <w:p w14:paraId="44EAF7B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11 (20.8)</w:t>
            </w:r>
          </w:p>
        </w:tc>
        <w:tc>
          <w:tcPr>
            <w:tcW w:w="1252" w:type="dxa"/>
          </w:tcPr>
          <w:p w14:paraId="052E5791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11 (26.2)</w:t>
            </w:r>
          </w:p>
        </w:tc>
        <w:tc>
          <w:tcPr>
            <w:tcW w:w="844" w:type="dxa"/>
            <w:vMerge w:val="restart"/>
          </w:tcPr>
          <w:p w14:paraId="5DE2039B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0.459</w:t>
            </w:r>
          </w:p>
        </w:tc>
      </w:tr>
      <w:tr w:rsidR="00E525C5" w:rsidRPr="001D682E" w14:paraId="0DA2E0C9" w14:textId="77777777" w:rsidTr="002A38BF">
        <w:trPr>
          <w:trHeight w:val="330"/>
        </w:trPr>
        <w:tc>
          <w:tcPr>
            <w:tcW w:w="1771" w:type="dxa"/>
            <w:vMerge/>
          </w:tcPr>
          <w:p w14:paraId="23CDEB97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DD3B25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576" w:type="dxa"/>
          </w:tcPr>
          <w:p w14:paraId="2D6E373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43 (84.3)</w:t>
            </w:r>
          </w:p>
        </w:tc>
        <w:tc>
          <w:tcPr>
            <w:tcW w:w="1957" w:type="dxa"/>
            <w:gridSpan w:val="2"/>
          </w:tcPr>
          <w:p w14:paraId="7849BB08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42 (79.2)</w:t>
            </w:r>
          </w:p>
        </w:tc>
        <w:tc>
          <w:tcPr>
            <w:tcW w:w="1252" w:type="dxa"/>
          </w:tcPr>
          <w:p w14:paraId="3F9911A0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31 (73.8)</w:t>
            </w:r>
          </w:p>
        </w:tc>
        <w:tc>
          <w:tcPr>
            <w:tcW w:w="844" w:type="dxa"/>
            <w:vMerge/>
          </w:tcPr>
          <w:p w14:paraId="6E45FA5E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525C5" w:rsidRPr="001D682E" w14:paraId="31479A11" w14:textId="77777777" w:rsidTr="002A38BF">
        <w:trPr>
          <w:trHeight w:val="300"/>
        </w:trPr>
        <w:tc>
          <w:tcPr>
            <w:tcW w:w="1771" w:type="dxa"/>
            <w:vMerge w:val="restart"/>
          </w:tcPr>
          <w:p w14:paraId="3C964394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CKD</w:t>
            </w:r>
          </w:p>
        </w:tc>
        <w:tc>
          <w:tcPr>
            <w:tcW w:w="1603" w:type="dxa"/>
          </w:tcPr>
          <w:p w14:paraId="6BAB6652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82" w:type="dxa"/>
            <w:gridSpan w:val="2"/>
          </w:tcPr>
          <w:p w14:paraId="298144A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44 (86.3)</w:t>
            </w:r>
          </w:p>
        </w:tc>
        <w:tc>
          <w:tcPr>
            <w:tcW w:w="1951" w:type="dxa"/>
          </w:tcPr>
          <w:p w14:paraId="5F33DE62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45 (84.9)</w:t>
            </w:r>
          </w:p>
        </w:tc>
        <w:tc>
          <w:tcPr>
            <w:tcW w:w="1252" w:type="dxa"/>
          </w:tcPr>
          <w:p w14:paraId="63E75162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37 (88.1)</w:t>
            </w:r>
          </w:p>
        </w:tc>
        <w:tc>
          <w:tcPr>
            <w:tcW w:w="844" w:type="dxa"/>
            <w:vMerge w:val="restart"/>
          </w:tcPr>
          <w:p w14:paraId="3C29F923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0.904</w:t>
            </w:r>
          </w:p>
        </w:tc>
      </w:tr>
      <w:tr w:rsidR="00E525C5" w:rsidRPr="001D682E" w14:paraId="75B76A36" w14:textId="77777777" w:rsidTr="002A38BF">
        <w:trPr>
          <w:trHeight w:val="371"/>
        </w:trPr>
        <w:tc>
          <w:tcPr>
            <w:tcW w:w="1771" w:type="dxa"/>
            <w:vMerge/>
          </w:tcPr>
          <w:p w14:paraId="22EE5CAA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D659B1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582" w:type="dxa"/>
            <w:gridSpan w:val="2"/>
          </w:tcPr>
          <w:p w14:paraId="2DFC413D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7 (13.7)</w:t>
            </w:r>
          </w:p>
        </w:tc>
        <w:tc>
          <w:tcPr>
            <w:tcW w:w="1951" w:type="dxa"/>
          </w:tcPr>
          <w:p w14:paraId="415F8040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8 (15.1)</w:t>
            </w:r>
          </w:p>
        </w:tc>
        <w:tc>
          <w:tcPr>
            <w:tcW w:w="1252" w:type="dxa"/>
          </w:tcPr>
          <w:p w14:paraId="07C7EED8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5 (11.9)</w:t>
            </w:r>
          </w:p>
        </w:tc>
        <w:tc>
          <w:tcPr>
            <w:tcW w:w="844" w:type="dxa"/>
            <w:vMerge/>
          </w:tcPr>
          <w:p w14:paraId="1C2294E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525C5" w:rsidRPr="001D682E" w14:paraId="598CC322" w14:textId="77777777" w:rsidTr="002A38BF">
        <w:trPr>
          <w:trHeight w:val="278"/>
        </w:trPr>
        <w:tc>
          <w:tcPr>
            <w:tcW w:w="1771" w:type="dxa"/>
            <w:vMerge w:val="restart"/>
          </w:tcPr>
          <w:p w14:paraId="187282F8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Neurological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1603" w:type="dxa"/>
          </w:tcPr>
          <w:p w14:paraId="7C17268D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82" w:type="dxa"/>
            <w:gridSpan w:val="2"/>
          </w:tcPr>
          <w:p w14:paraId="1F2EF3D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32 (62.8)</w:t>
            </w:r>
          </w:p>
        </w:tc>
        <w:tc>
          <w:tcPr>
            <w:tcW w:w="1951" w:type="dxa"/>
          </w:tcPr>
          <w:p w14:paraId="674D92C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31 (58.5)</w:t>
            </w:r>
          </w:p>
        </w:tc>
        <w:tc>
          <w:tcPr>
            <w:tcW w:w="1252" w:type="dxa"/>
          </w:tcPr>
          <w:p w14:paraId="260529C0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22 (52.4)</w:t>
            </w:r>
          </w:p>
        </w:tc>
        <w:tc>
          <w:tcPr>
            <w:tcW w:w="844" w:type="dxa"/>
            <w:vMerge w:val="restart"/>
          </w:tcPr>
          <w:p w14:paraId="2F1F607A" w14:textId="77777777" w:rsidR="00E525C5" w:rsidRPr="001D682E" w:rsidRDefault="00E525C5" w:rsidP="002A38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0.601</w:t>
            </w:r>
          </w:p>
          <w:p w14:paraId="61C4E4D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525C5" w:rsidRPr="001D682E" w14:paraId="77666CCF" w14:textId="77777777" w:rsidTr="002A38BF">
        <w:trPr>
          <w:trHeight w:val="277"/>
        </w:trPr>
        <w:tc>
          <w:tcPr>
            <w:tcW w:w="1771" w:type="dxa"/>
            <w:vMerge/>
          </w:tcPr>
          <w:p w14:paraId="0826C8D2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2F2CF1E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582" w:type="dxa"/>
            <w:gridSpan w:val="2"/>
          </w:tcPr>
          <w:p w14:paraId="48009FE5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19 (37.2)</w:t>
            </w:r>
          </w:p>
        </w:tc>
        <w:tc>
          <w:tcPr>
            <w:tcW w:w="1951" w:type="dxa"/>
          </w:tcPr>
          <w:p w14:paraId="5B02E08B" w14:textId="77777777" w:rsidR="00E525C5" w:rsidRPr="001D682E" w:rsidRDefault="00E525C5" w:rsidP="002A38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22 (41.5)</w:t>
            </w:r>
          </w:p>
          <w:p w14:paraId="186D11D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B52E4D6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20 (47.6)</w:t>
            </w:r>
          </w:p>
        </w:tc>
        <w:tc>
          <w:tcPr>
            <w:tcW w:w="844" w:type="dxa"/>
            <w:vMerge/>
          </w:tcPr>
          <w:p w14:paraId="2621BD43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525C5" w:rsidRPr="001D682E" w14:paraId="1A4DC4BE" w14:textId="77777777" w:rsidTr="002A38BF">
        <w:trPr>
          <w:trHeight w:val="285"/>
        </w:trPr>
        <w:tc>
          <w:tcPr>
            <w:tcW w:w="1771" w:type="dxa"/>
            <w:vMerge w:val="restart"/>
          </w:tcPr>
          <w:p w14:paraId="2F692741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CAD</w:t>
            </w:r>
          </w:p>
        </w:tc>
        <w:tc>
          <w:tcPr>
            <w:tcW w:w="1603" w:type="dxa"/>
          </w:tcPr>
          <w:p w14:paraId="7013AB5F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82" w:type="dxa"/>
            <w:gridSpan w:val="2"/>
          </w:tcPr>
          <w:p w14:paraId="3DA255A5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35 (68.6)</w:t>
            </w:r>
          </w:p>
        </w:tc>
        <w:tc>
          <w:tcPr>
            <w:tcW w:w="1951" w:type="dxa"/>
          </w:tcPr>
          <w:p w14:paraId="17BC77C8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34 (64.2)</w:t>
            </w:r>
          </w:p>
        </w:tc>
        <w:tc>
          <w:tcPr>
            <w:tcW w:w="1252" w:type="dxa"/>
          </w:tcPr>
          <w:p w14:paraId="344BE928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34 (80.9)</w:t>
            </w:r>
          </w:p>
        </w:tc>
        <w:tc>
          <w:tcPr>
            <w:tcW w:w="844" w:type="dxa"/>
            <w:vMerge w:val="restart"/>
          </w:tcPr>
          <w:p w14:paraId="5F3C7188" w14:textId="77777777" w:rsidR="00E525C5" w:rsidRPr="001D682E" w:rsidRDefault="00E525C5" w:rsidP="002A38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0.190</w:t>
            </w:r>
          </w:p>
          <w:p w14:paraId="2CDC4B9E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525C5" w:rsidRPr="001D682E" w14:paraId="08CA80B1" w14:textId="77777777" w:rsidTr="002A38BF">
        <w:trPr>
          <w:trHeight w:val="236"/>
        </w:trPr>
        <w:tc>
          <w:tcPr>
            <w:tcW w:w="1771" w:type="dxa"/>
            <w:vMerge/>
          </w:tcPr>
          <w:p w14:paraId="3481666B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342F5F4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582" w:type="dxa"/>
            <w:gridSpan w:val="2"/>
          </w:tcPr>
          <w:p w14:paraId="1AE27EBD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16 (31.4)</w:t>
            </w:r>
          </w:p>
        </w:tc>
        <w:tc>
          <w:tcPr>
            <w:tcW w:w="1951" w:type="dxa"/>
          </w:tcPr>
          <w:p w14:paraId="7E24DE1D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19 (35.8)</w:t>
            </w:r>
          </w:p>
        </w:tc>
        <w:tc>
          <w:tcPr>
            <w:tcW w:w="1252" w:type="dxa"/>
          </w:tcPr>
          <w:p w14:paraId="676A0D5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8 (19.1)</w:t>
            </w:r>
          </w:p>
        </w:tc>
        <w:tc>
          <w:tcPr>
            <w:tcW w:w="844" w:type="dxa"/>
            <w:vMerge/>
          </w:tcPr>
          <w:p w14:paraId="6A8EF143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525C5" w:rsidRPr="001D682E" w14:paraId="32257B43" w14:textId="77777777" w:rsidTr="002A38BF">
        <w:trPr>
          <w:trHeight w:val="270"/>
        </w:trPr>
        <w:tc>
          <w:tcPr>
            <w:tcW w:w="1771" w:type="dxa"/>
            <w:vMerge w:val="restart"/>
          </w:tcPr>
          <w:p w14:paraId="5BB7C89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Dementia</w:t>
            </w:r>
            <w:proofErr w:type="spellEnd"/>
          </w:p>
        </w:tc>
        <w:tc>
          <w:tcPr>
            <w:tcW w:w="1603" w:type="dxa"/>
          </w:tcPr>
          <w:p w14:paraId="3497FF5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82" w:type="dxa"/>
            <w:gridSpan w:val="2"/>
          </w:tcPr>
          <w:p w14:paraId="462C3B7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36 (70.6)</w:t>
            </w:r>
          </w:p>
        </w:tc>
        <w:tc>
          <w:tcPr>
            <w:tcW w:w="1951" w:type="dxa"/>
          </w:tcPr>
          <w:p w14:paraId="29F25CA3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21 (39.6)</w:t>
            </w:r>
          </w:p>
        </w:tc>
        <w:tc>
          <w:tcPr>
            <w:tcW w:w="1252" w:type="dxa"/>
          </w:tcPr>
          <w:p w14:paraId="51D89E3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19 (45.2)</w:t>
            </w:r>
          </w:p>
        </w:tc>
        <w:tc>
          <w:tcPr>
            <w:tcW w:w="844" w:type="dxa"/>
            <w:vMerge w:val="restart"/>
          </w:tcPr>
          <w:p w14:paraId="7E3AD5B5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0.004</w:t>
            </w:r>
          </w:p>
        </w:tc>
      </w:tr>
      <w:tr w:rsidR="00E525C5" w:rsidRPr="001D682E" w14:paraId="73BCC680" w14:textId="77777777" w:rsidTr="002A38BF">
        <w:trPr>
          <w:trHeight w:val="180"/>
        </w:trPr>
        <w:tc>
          <w:tcPr>
            <w:tcW w:w="1771" w:type="dxa"/>
            <w:vMerge/>
          </w:tcPr>
          <w:p w14:paraId="62F69294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8621E6B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582" w:type="dxa"/>
            <w:gridSpan w:val="2"/>
          </w:tcPr>
          <w:p w14:paraId="5735C2DD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15 (29.4)</w:t>
            </w:r>
          </w:p>
        </w:tc>
        <w:tc>
          <w:tcPr>
            <w:tcW w:w="1951" w:type="dxa"/>
          </w:tcPr>
          <w:p w14:paraId="448189E0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32 (60.4)</w:t>
            </w:r>
          </w:p>
        </w:tc>
        <w:tc>
          <w:tcPr>
            <w:tcW w:w="1252" w:type="dxa"/>
          </w:tcPr>
          <w:p w14:paraId="38933E4D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23 (54.8)</w:t>
            </w:r>
          </w:p>
        </w:tc>
        <w:tc>
          <w:tcPr>
            <w:tcW w:w="844" w:type="dxa"/>
            <w:vMerge/>
          </w:tcPr>
          <w:p w14:paraId="03C9E758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525C5" w:rsidRPr="001D682E" w14:paraId="0326836D" w14:textId="77777777" w:rsidTr="002A38BF">
        <w:trPr>
          <w:trHeight w:val="345"/>
        </w:trPr>
        <w:tc>
          <w:tcPr>
            <w:tcW w:w="1771" w:type="dxa"/>
          </w:tcPr>
          <w:p w14:paraId="2C180ACC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Oncologic</w:t>
            </w:r>
            <w:proofErr w:type="spellEnd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682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1603" w:type="dxa"/>
          </w:tcPr>
          <w:p w14:paraId="3162F5F9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82" w:type="dxa"/>
            <w:gridSpan w:val="2"/>
          </w:tcPr>
          <w:p w14:paraId="3C831E56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47 (92.2)</w:t>
            </w:r>
          </w:p>
        </w:tc>
        <w:tc>
          <w:tcPr>
            <w:tcW w:w="1951" w:type="dxa"/>
          </w:tcPr>
          <w:p w14:paraId="0D2F8AA8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47 (88.7)</w:t>
            </w:r>
          </w:p>
        </w:tc>
        <w:tc>
          <w:tcPr>
            <w:tcW w:w="1252" w:type="dxa"/>
          </w:tcPr>
          <w:p w14:paraId="73E71875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33 (78.6)</w:t>
            </w:r>
          </w:p>
        </w:tc>
        <w:tc>
          <w:tcPr>
            <w:tcW w:w="844" w:type="dxa"/>
          </w:tcPr>
          <w:p w14:paraId="03A24103" w14:textId="77777777" w:rsidR="00E525C5" w:rsidRPr="001D682E" w:rsidRDefault="00E525C5" w:rsidP="002A38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D682E">
              <w:rPr>
                <w:rFonts w:ascii="Times New Roman" w:eastAsia="MS Mincho" w:hAnsi="Times New Roman" w:cs="Times New Roman"/>
                <w:sz w:val="20"/>
                <w:szCs w:val="20"/>
              </w:rPr>
              <w:t>0.112</w:t>
            </w:r>
          </w:p>
          <w:p w14:paraId="02A4B0FD" w14:textId="77777777" w:rsidR="00E525C5" w:rsidRPr="001D682E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14:paraId="778C91D6" w14:textId="77777777" w:rsidR="00E525C5" w:rsidRPr="00A10BC4" w:rsidRDefault="00E525C5" w:rsidP="00E525C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A10BC4">
        <w:rPr>
          <w:rFonts w:ascii="Times New Roman" w:hAnsi="Times New Roman" w:cs="Times New Roman"/>
          <w:sz w:val="16"/>
          <w:szCs w:val="16"/>
        </w:rPr>
        <w:t xml:space="preserve">Data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presented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(%).</w:t>
      </w:r>
    </w:p>
    <w:p w14:paraId="66C3BA24" w14:textId="77777777" w:rsidR="00E525C5" w:rsidRPr="00A10BC4" w:rsidRDefault="00E525C5" w:rsidP="00E525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10BC4">
        <w:rPr>
          <w:rFonts w:ascii="Times New Roman" w:hAnsi="Times New Roman" w:cs="Times New Roman"/>
          <w:sz w:val="16"/>
          <w:szCs w:val="16"/>
        </w:rPr>
        <w:t xml:space="preserve">CAD;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Coronary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Artery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Disease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, CKD;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Chronic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Kidney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Disease</w:t>
      </w:r>
      <w:proofErr w:type="spellEnd"/>
    </w:p>
    <w:p w14:paraId="7DC8F5EE" w14:textId="77777777" w:rsidR="00E525C5" w:rsidRDefault="00E525C5" w:rsidP="00E525C5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 w:rsidRPr="00A10BC4">
        <w:rPr>
          <w:rFonts w:ascii="Times New Roman" w:hAnsi="Times New Roman" w:cs="Times New Roman"/>
          <w:sz w:val="16"/>
          <w:szCs w:val="16"/>
        </w:rPr>
        <w:t>Pearson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chi-square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test</w:t>
      </w:r>
    </w:p>
    <w:p w14:paraId="218F9928" w14:textId="77777777" w:rsidR="00E525C5" w:rsidRDefault="00E525C5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F36A60" w14:textId="77777777" w:rsidR="00E525C5" w:rsidRDefault="00E525C5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44AC5B" w14:textId="77777777" w:rsidR="00E525C5" w:rsidRDefault="00E525C5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29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2127"/>
        <w:gridCol w:w="2268"/>
        <w:gridCol w:w="1001"/>
      </w:tblGrid>
      <w:tr w:rsidR="00E525C5" w:rsidRPr="00A10BC4" w14:paraId="29C10E59" w14:textId="77777777" w:rsidTr="002A38BF">
        <w:trPr>
          <w:trHeight w:val="315"/>
        </w:trPr>
        <w:tc>
          <w:tcPr>
            <w:tcW w:w="9435" w:type="dxa"/>
            <w:gridSpan w:val="5"/>
          </w:tcPr>
          <w:p w14:paraId="029503D7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Table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4.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Some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biochemical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markers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participants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according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their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nutritional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status</w:t>
            </w:r>
            <w:proofErr w:type="spellEnd"/>
          </w:p>
        </w:tc>
      </w:tr>
      <w:tr w:rsidR="00E525C5" w:rsidRPr="00A10BC4" w14:paraId="4AAD9FC5" w14:textId="77777777" w:rsidTr="002A38BF">
        <w:trPr>
          <w:trHeight w:val="330"/>
        </w:trPr>
        <w:tc>
          <w:tcPr>
            <w:tcW w:w="1771" w:type="dxa"/>
          </w:tcPr>
          <w:p w14:paraId="6E502B7F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A19CB4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Normal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Nutrition</w:t>
            </w:r>
            <w:proofErr w:type="spellEnd"/>
          </w:p>
          <w:p w14:paraId="170558B8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</w:t>
            </w:r>
            <w:proofErr w:type="gram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=51)</w:t>
            </w:r>
          </w:p>
        </w:tc>
        <w:tc>
          <w:tcPr>
            <w:tcW w:w="2127" w:type="dxa"/>
          </w:tcPr>
          <w:p w14:paraId="43294E94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Risk </w:t>
            </w:r>
          </w:p>
          <w:p w14:paraId="22B86566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gram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of</w:t>
            </w:r>
            <w:proofErr w:type="gram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Malnutrition</w:t>
            </w:r>
            <w:proofErr w:type="spellEnd"/>
          </w:p>
          <w:p w14:paraId="1716C789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</w:t>
            </w:r>
            <w:proofErr w:type="gram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=53)</w:t>
            </w:r>
          </w:p>
        </w:tc>
        <w:tc>
          <w:tcPr>
            <w:tcW w:w="2268" w:type="dxa"/>
          </w:tcPr>
          <w:p w14:paraId="5FF17F33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Malnutrition</w:t>
            </w:r>
            <w:proofErr w:type="spellEnd"/>
          </w:p>
          <w:p w14:paraId="4EA9BCB7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</w:t>
            </w:r>
            <w:proofErr w:type="gram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=42)</w:t>
            </w:r>
          </w:p>
        </w:tc>
        <w:tc>
          <w:tcPr>
            <w:tcW w:w="1001" w:type="dxa"/>
          </w:tcPr>
          <w:p w14:paraId="60B9959D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gram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</w:t>
            </w:r>
            <w:proofErr w:type="gramEnd"/>
          </w:p>
        </w:tc>
      </w:tr>
      <w:tr w:rsidR="00E525C5" w:rsidRPr="00A10BC4" w14:paraId="7D73312E" w14:textId="77777777" w:rsidTr="002A38BF">
        <w:trPr>
          <w:trHeight w:val="385"/>
        </w:trPr>
        <w:tc>
          <w:tcPr>
            <w:tcW w:w="1771" w:type="dxa"/>
          </w:tcPr>
          <w:p w14:paraId="01D72C73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Albumin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(g/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dL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36D0F020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3.82±0.38</w:t>
            </w:r>
          </w:p>
        </w:tc>
        <w:tc>
          <w:tcPr>
            <w:tcW w:w="2127" w:type="dxa"/>
          </w:tcPr>
          <w:p w14:paraId="0898C5E3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3.66±0.44</w:t>
            </w:r>
          </w:p>
        </w:tc>
        <w:tc>
          <w:tcPr>
            <w:tcW w:w="2268" w:type="dxa"/>
          </w:tcPr>
          <w:p w14:paraId="67EC39CE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3.50±0.49</w:t>
            </w:r>
          </w:p>
        </w:tc>
        <w:tc>
          <w:tcPr>
            <w:tcW w:w="1001" w:type="dxa"/>
          </w:tcPr>
          <w:p w14:paraId="6C727158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0.003*</w:t>
            </w:r>
          </w:p>
        </w:tc>
      </w:tr>
      <w:tr w:rsidR="00E525C5" w:rsidRPr="00A10BC4" w14:paraId="243F96E3" w14:textId="77777777" w:rsidTr="002A38BF">
        <w:trPr>
          <w:trHeight w:val="404"/>
        </w:trPr>
        <w:tc>
          <w:tcPr>
            <w:tcW w:w="1771" w:type="dxa"/>
          </w:tcPr>
          <w:p w14:paraId="4732A76C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Hemoglobin (g/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dL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D4DC1DB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12.20±1.46</w:t>
            </w:r>
          </w:p>
        </w:tc>
        <w:tc>
          <w:tcPr>
            <w:tcW w:w="2127" w:type="dxa"/>
          </w:tcPr>
          <w:p w14:paraId="2B12F6C8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11.90±1.93</w:t>
            </w:r>
          </w:p>
        </w:tc>
        <w:tc>
          <w:tcPr>
            <w:tcW w:w="2268" w:type="dxa"/>
          </w:tcPr>
          <w:p w14:paraId="119212D4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11.79±1.88</w:t>
            </w:r>
          </w:p>
        </w:tc>
        <w:tc>
          <w:tcPr>
            <w:tcW w:w="1001" w:type="dxa"/>
          </w:tcPr>
          <w:p w14:paraId="2BE8FD06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0.507*</w:t>
            </w:r>
          </w:p>
        </w:tc>
      </w:tr>
      <w:tr w:rsidR="00E525C5" w:rsidRPr="00A10BC4" w14:paraId="6159F45B" w14:textId="77777777" w:rsidTr="002A38BF">
        <w:trPr>
          <w:trHeight w:val="408"/>
        </w:trPr>
        <w:tc>
          <w:tcPr>
            <w:tcW w:w="1771" w:type="dxa"/>
          </w:tcPr>
          <w:p w14:paraId="368C55C9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Hematocrit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14:paraId="40C3D942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37.61±4.35</w:t>
            </w:r>
          </w:p>
        </w:tc>
        <w:tc>
          <w:tcPr>
            <w:tcW w:w="2127" w:type="dxa"/>
          </w:tcPr>
          <w:p w14:paraId="34729FA1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36.72±5.79</w:t>
            </w:r>
          </w:p>
        </w:tc>
        <w:tc>
          <w:tcPr>
            <w:tcW w:w="2268" w:type="dxa"/>
          </w:tcPr>
          <w:p w14:paraId="2C62B77C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36.33±5.91</w:t>
            </w:r>
          </w:p>
        </w:tc>
        <w:tc>
          <w:tcPr>
            <w:tcW w:w="1001" w:type="dxa"/>
          </w:tcPr>
          <w:p w14:paraId="6225DB46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0.502*</w:t>
            </w:r>
          </w:p>
        </w:tc>
      </w:tr>
      <w:tr w:rsidR="00E525C5" w:rsidRPr="00A10BC4" w14:paraId="39CB91E5" w14:textId="77777777" w:rsidTr="002A38BF">
        <w:trPr>
          <w:trHeight w:val="285"/>
        </w:trPr>
        <w:tc>
          <w:tcPr>
            <w:tcW w:w="1771" w:type="dxa"/>
          </w:tcPr>
          <w:p w14:paraId="53001E6D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Creatinine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(mg/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dL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69C0D7F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0.86 (0.45-2.14)</w:t>
            </w:r>
          </w:p>
        </w:tc>
        <w:tc>
          <w:tcPr>
            <w:tcW w:w="2127" w:type="dxa"/>
          </w:tcPr>
          <w:p w14:paraId="6BBE8911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0.78 (0.30-4.20)</w:t>
            </w:r>
          </w:p>
        </w:tc>
        <w:tc>
          <w:tcPr>
            <w:tcW w:w="2268" w:type="dxa"/>
          </w:tcPr>
          <w:p w14:paraId="079D3968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0.66 (0.32-3.78)</w:t>
            </w:r>
          </w:p>
        </w:tc>
        <w:tc>
          <w:tcPr>
            <w:tcW w:w="1001" w:type="dxa"/>
          </w:tcPr>
          <w:p w14:paraId="35AFF15F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0.001**</w:t>
            </w:r>
          </w:p>
        </w:tc>
      </w:tr>
      <w:tr w:rsidR="00E525C5" w:rsidRPr="00A10BC4" w14:paraId="554E380C" w14:textId="77777777" w:rsidTr="002A38BF">
        <w:trPr>
          <w:trHeight w:val="375"/>
        </w:trPr>
        <w:tc>
          <w:tcPr>
            <w:tcW w:w="1771" w:type="dxa"/>
          </w:tcPr>
          <w:p w14:paraId="51A8C380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TSH (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uIU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mL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260E003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1.33 (0.18-4.88)</w:t>
            </w:r>
          </w:p>
        </w:tc>
        <w:tc>
          <w:tcPr>
            <w:tcW w:w="2127" w:type="dxa"/>
          </w:tcPr>
          <w:p w14:paraId="697EBD1C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1.33(0.01-15.62)</w:t>
            </w:r>
          </w:p>
        </w:tc>
        <w:tc>
          <w:tcPr>
            <w:tcW w:w="2268" w:type="dxa"/>
          </w:tcPr>
          <w:p w14:paraId="3E29DC33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1.48(0.04-17.97)</w:t>
            </w:r>
          </w:p>
        </w:tc>
        <w:tc>
          <w:tcPr>
            <w:tcW w:w="1001" w:type="dxa"/>
          </w:tcPr>
          <w:p w14:paraId="66F1621F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0.975**</w:t>
            </w:r>
          </w:p>
        </w:tc>
      </w:tr>
      <w:tr w:rsidR="00E525C5" w:rsidRPr="00A10BC4" w14:paraId="426152C9" w14:textId="77777777" w:rsidTr="002A38BF">
        <w:trPr>
          <w:trHeight w:val="435"/>
        </w:trPr>
        <w:tc>
          <w:tcPr>
            <w:tcW w:w="1771" w:type="dxa"/>
          </w:tcPr>
          <w:p w14:paraId="34C8F6B5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Vitamin</w:t>
            </w:r>
          </w:p>
          <w:p w14:paraId="1CAD4922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 (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ng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mL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3EDB6CDA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18.85(3.00-63.45)</w:t>
            </w:r>
          </w:p>
        </w:tc>
        <w:tc>
          <w:tcPr>
            <w:tcW w:w="2127" w:type="dxa"/>
          </w:tcPr>
          <w:p w14:paraId="02EBB653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11.89(0.00-65.45)</w:t>
            </w:r>
          </w:p>
        </w:tc>
        <w:tc>
          <w:tcPr>
            <w:tcW w:w="2268" w:type="dxa"/>
          </w:tcPr>
          <w:p w14:paraId="27BE3A70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22.47(3.13-70.00)</w:t>
            </w:r>
          </w:p>
        </w:tc>
        <w:tc>
          <w:tcPr>
            <w:tcW w:w="1001" w:type="dxa"/>
          </w:tcPr>
          <w:p w14:paraId="47D49B94" w14:textId="77777777" w:rsidR="00E525C5" w:rsidRPr="00A10BC4" w:rsidRDefault="00E525C5" w:rsidP="002A38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0.255**</w:t>
            </w:r>
          </w:p>
        </w:tc>
      </w:tr>
      <w:tr w:rsidR="00E525C5" w:rsidRPr="00A10BC4" w14:paraId="295D8F66" w14:textId="77777777" w:rsidTr="002A38BF">
        <w:trPr>
          <w:trHeight w:val="255"/>
        </w:trPr>
        <w:tc>
          <w:tcPr>
            <w:tcW w:w="1771" w:type="dxa"/>
          </w:tcPr>
          <w:p w14:paraId="2AB1B094" w14:textId="77777777" w:rsidR="00E525C5" w:rsidRPr="00A10BC4" w:rsidRDefault="00E525C5" w:rsidP="00E525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Vitamin B12(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pg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mL</w:t>
            </w:r>
            <w:proofErr w:type="spellEnd"/>
            <w:r w:rsidRPr="00A10BC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DCFE325" w14:textId="77777777" w:rsidR="00E525C5" w:rsidRPr="00A10BC4" w:rsidRDefault="00E525C5" w:rsidP="00E525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315.00 (120.00-1078.00)</w:t>
            </w:r>
          </w:p>
        </w:tc>
        <w:tc>
          <w:tcPr>
            <w:tcW w:w="2127" w:type="dxa"/>
          </w:tcPr>
          <w:p w14:paraId="2B4A0A4A" w14:textId="77777777" w:rsidR="00E525C5" w:rsidRPr="00A10BC4" w:rsidRDefault="00E525C5" w:rsidP="00E525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312.00(119.00-1500.00)</w:t>
            </w:r>
          </w:p>
        </w:tc>
        <w:tc>
          <w:tcPr>
            <w:tcW w:w="2268" w:type="dxa"/>
          </w:tcPr>
          <w:p w14:paraId="5279787F" w14:textId="77777777" w:rsidR="00E525C5" w:rsidRPr="00A10BC4" w:rsidRDefault="00E525C5" w:rsidP="00E525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399.50 (143.00-1500.00)</w:t>
            </w:r>
          </w:p>
        </w:tc>
        <w:tc>
          <w:tcPr>
            <w:tcW w:w="1001" w:type="dxa"/>
          </w:tcPr>
          <w:p w14:paraId="19108225" w14:textId="77777777" w:rsidR="00E525C5" w:rsidRPr="00A10BC4" w:rsidRDefault="00E525C5" w:rsidP="00E525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10BC4">
              <w:rPr>
                <w:rFonts w:ascii="Times New Roman" w:eastAsia="MS Mincho" w:hAnsi="Times New Roman" w:cs="Times New Roman"/>
                <w:sz w:val="20"/>
                <w:szCs w:val="20"/>
              </w:rPr>
              <w:t>0.071**</w:t>
            </w:r>
          </w:p>
        </w:tc>
      </w:tr>
    </w:tbl>
    <w:p w14:paraId="0552FA40" w14:textId="77777777" w:rsidR="00E525C5" w:rsidRPr="00E645AA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0BC4">
        <w:rPr>
          <w:rFonts w:ascii="Times New Roman" w:hAnsi="Times New Roman" w:cs="Times New Roman"/>
          <w:sz w:val="16"/>
          <w:szCs w:val="16"/>
        </w:rPr>
        <w:t xml:space="preserve">Data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presented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mean±standard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deviation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median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(minimum-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maximum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),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where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appropriate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>.</w:t>
      </w:r>
    </w:p>
    <w:p w14:paraId="5B571395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10BC4">
        <w:rPr>
          <w:rFonts w:ascii="Times New Roman" w:hAnsi="Times New Roman" w:cs="Times New Roman"/>
          <w:sz w:val="16"/>
          <w:szCs w:val="16"/>
        </w:rPr>
        <w:t xml:space="preserve">TSH,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Thyroid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Stimulating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Hormone</w:t>
      </w:r>
      <w:proofErr w:type="spellEnd"/>
    </w:p>
    <w:p w14:paraId="36972D05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10BC4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One-way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ANOVA test, **</w:t>
      </w:r>
      <w:proofErr w:type="spellStart"/>
      <w:r w:rsidRPr="00A10BC4">
        <w:rPr>
          <w:rFonts w:ascii="Times New Roman" w:hAnsi="Times New Roman" w:cs="Times New Roman"/>
          <w:sz w:val="16"/>
          <w:szCs w:val="16"/>
        </w:rPr>
        <w:t>Kruskal</w:t>
      </w:r>
      <w:proofErr w:type="spellEnd"/>
      <w:r w:rsidRPr="00A10BC4">
        <w:rPr>
          <w:rFonts w:ascii="Times New Roman" w:hAnsi="Times New Roman" w:cs="Times New Roman"/>
          <w:sz w:val="16"/>
          <w:szCs w:val="16"/>
        </w:rPr>
        <w:t xml:space="preserve"> Wallis test</w:t>
      </w:r>
    </w:p>
    <w:p w14:paraId="60A6F640" w14:textId="77777777" w:rsidR="00E525C5" w:rsidRDefault="000739D5" w:rsidP="00E525C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041E280" w14:textId="77777777" w:rsidR="00E525C5" w:rsidRDefault="00E525C5" w:rsidP="00E525C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Daily amount of enteral nutritional support product used by the participants according to the nutritional status was 4.00 (2.00-5.00) items/day in those with the risk of malnutrition and 2.00 (1.00-8.00) items/day in those with malnutrition (p=0.483). </w:t>
      </w:r>
    </w:p>
    <w:p w14:paraId="7A9AF587" w14:textId="77777777" w:rsidR="00E525C5" w:rsidRDefault="00E525C5" w:rsidP="00E525C5">
      <w:pPr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With regard to the presence of the chronic diseases, at least one chronic disease was present in 49 (96.1%) of the participants with normal nutrition, in 50 (94.3%) of the participants with the risk of malnutrition, and in 39 (92.9%) of the participants with malnutrition (p=0.792). Chronic disease status of the participants according to the nutritional status is summarized in Table 3.</w:t>
      </w:r>
    </w:p>
    <w:p w14:paraId="5B6A71F3" w14:textId="318B90FE" w:rsidR="00E525C5" w:rsidRDefault="00437E82" w:rsidP="00D523F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anthropometric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measurements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arm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circumference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30.19±</w:t>
      </w:r>
      <w:proofErr w:type="gramStart"/>
      <w:r w:rsidRPr="00A10BC4">
        <w:rPr>
          <w:rFonts w:ascii="Times New Roman" w:hAnsi="Times New Roman" w:cs="Times New Roman"/>
          <w:sz w:val="20"/>
          <w:szCs w:val="20"/>
        </w:rPr>
        <w:t>4.88</w:t>
      </w:r>
      <w:proofErr w:type="gramEnd"/>
      <w:r w:rsidRPr="00A10BC4">
        <w:rPr>
          <w:rFonts w:ascii="Times New Roman" w:hAnsi="Times New Roman" w:cs="Times New Roman"/>
          <w:sz w:val="20"/>
          <w:szCs w:val="20"/>
        </w:rPr>
        <w:t xml:space="preserve"> cm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27.19±3.96 cm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23.69±4.70 cm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(p&lt;0.001).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calf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circumference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49.55±</w:t>
      </w:r>
      <w:proofErr w:type="gramStart"/>
      <w:r w:rsidRPr="00A10BC4">
        <w:rPr>
          <w:rFonts w:ascii="Times New Roman" w:hAnsi="Times New Roman" w:cs="Times New Roman"/>
          <w:sz w:val="20"/>
          <w:szCs w:val="20"/>
        </w:rPr>
        <w:t>8.55</w:t>
      </w:r>
      <w:proofErr w:type="gramEnd"/>
      <w:r w:rsidRPr="00A10BC4">
        <w:rPr>
          <w:rFonts w:ascii="Times New Roman" w:hAnsi="Times New Roman" w:cs="Times New Roman"/>
          <w:sz w:val="20"/>
          <w:szCs w:val="20"/>
        </w:rPr>
        <w:t xml:space="preserve"> cm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44.83±6.42 cm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37.59±7.73 cm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(p&lt;0.001).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biochemical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markers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summarized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4.</w:t>
      </w:r>
    </w:p>
    <w:p w14:paraId="1DA26D38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serum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albumin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(p=0.053, p=0.104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p=0.001,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serum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creatinine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(p=0.408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p=0.008,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>).</w:t>
      </w:r>
    </w:p>
    <w:p w14:paraId="7B44AD12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B0806E" w14:textId="77777777" w:rsidR="00E525C5" w:rsidRPr="00F20CAE" w:rsidRDefault="00E525C5" w:rsidP="00E525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0CAE">
        <w:rPr>
          <w:rFonts w:ascii="Times New Roman" w:hAnsi="Times New Roman" w:cs="Times New Roman"/>
          <w:b/>
          <w:sz w:val="20"/>
          <w:szCs w:val="20"/>
        </w:rPr>
        <w:t xml:space="preserve">DISCUSSION </w:t>
      </w:r>
    </w:p>
    <w:p w14:paraId="523BBD39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D71590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common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utilizing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service, is an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factor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morbidity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mortality.1,9,10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associated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healthcare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service. </w:t>
      </w:r>
    </w:p>
    <w:p w14:paraId="4E6317B1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90CE19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shows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quite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variation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usually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elderly.6,12,13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ranges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2-to-22.8%,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ranges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24-to-47.3%.4,6,12,13 A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primary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healthcare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unit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11%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25%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individuals.14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Turkey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outpatients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be 2.1-13%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14.3-31% respectively.7,8,15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reason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inclusion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healthcare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services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5.8%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population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13.8%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nursing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38.7%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staying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hospitals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50.5%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staying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rehabilitation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centers.4 On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Seneca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multinational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severe protein-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10-38%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healthy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5-12%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26-65%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staying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hospital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5-85%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staying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nursing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homes.16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staying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nursing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be 68.8%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10.3%, respectively.3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Turkey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33.1-48.3%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38.2-39.3%.9,10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3%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48%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homecare.17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53 (36.30%)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42 (28.8%)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consistent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previous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Therefore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role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prevention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>.</w:t>
      </w:r>
    </w:p>
    <w:p w14:paraId="303F6508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13B67B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Enteral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products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options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preferred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malnutrition.1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increase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weight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BMI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3rd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6th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months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oral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product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standard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group.18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rate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enteral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products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Nevertheless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61.9%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enteral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product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5.7%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enteral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product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most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common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lastRenderedPageBreak/>
        <w:t>problems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associated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insidious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onset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accordingly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probability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overlooked.9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Inadequate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critical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problem.9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reasons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utilizing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services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need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regularly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screened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treated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appeared.9,17</w:t>
      </w:r>
    </w:p>
    <w:p w14:paraId="0E4C469B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3D6B72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increased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failed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relationship.3,6,10,12,14,15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showed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gender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but a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females.6,9,10,12,14,15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regard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education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marital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increase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decreasing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education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level.3,12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gender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education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marital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>.</w:t>
      </w:r>
    </w:p>
    <w:p w14:paraId="124FC4AA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3875D7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bedridden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participants.10,14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completely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bedridden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partially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bedridden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most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playing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 role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both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healing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decubitus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ulcers.19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Turkey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decubitus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ulcers.10,15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Likewise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decubitus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ulcers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common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0D88E8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49F0EA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revealed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controversial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outcomes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presence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diseases.7,8,15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presence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disease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demonstrated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 relationship.3,6-8,10,15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Nevertheless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hypertension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coronary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artery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disease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type-2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diabetes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mellitus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dementia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depression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congestive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heart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failure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failed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demonstrate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relationship.3,8,10,15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presence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disease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dementia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dementia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depression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malnutrition.8,15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Besides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diseases.6-8</w:t>
      </w:r>
    </w:p>
    <w:p w14:paraId="5FAC2988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C22F3B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Measurement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serum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albumin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malnutrition.9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albumin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failed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albumin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states.7,8,10,15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albumin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malnourished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creatinine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lower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creatinine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malnutrition.9,10,15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might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arisen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fact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daily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fluid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requirement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replaced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developed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unit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documented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hemoglobin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hematocrit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hemoglobin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hematocrit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concentrations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malnourished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failed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demonstrate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relationship.7-10,15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hemoglobin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hematocrit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might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resulted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necessary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supportive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hemoglobin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hematocrit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TSH level.9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evaluating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Vitamin B12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Vitamin B12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difference.7-9,15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Vitamin B12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malnourished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statistically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High B12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resulted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necessary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supportive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developing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9AC8B2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121B78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limitations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MNA test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assess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65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age.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MNA is a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appropriate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test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lastRenderedPageBreak/>
        <w:t>assessment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geriatric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participants.4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limitation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evaluation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supportive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going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on.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limitation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not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evaluate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depression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because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orientation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cooperation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diagnosed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depression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follow-up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antidepressant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therapy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B4BD63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D23CEF" w14:textId="77777777" w:rsidR="00E525C5" w:rsidRPr="00A10BC4" w:rsidRDefault="00E525C5" w:rsidP="00E52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conclusion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detected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53 (36.3%)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detected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42 (28.8%)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enteral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product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it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5.7%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completely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bedridden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having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decubitus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ulcers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Regular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screening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follow-up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early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soon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developed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critical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importance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receiving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homecare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greater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 xml:space="preserve"> risk of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>.</w:t>
      </w:r>
    </w:p>
    <w:p w14:paraId="3C78589E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EC7D49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b/>
          <w:sz w:val="20"/>
          <w:szCs w:val="20"/>
        </w:rPr>
        <w:t>Conflict</w:t>
      </w:r>
      <w:proofErr w:type="spellEnd"/>
      <w:r w:rsidRPr="00A10B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b/>
          <w:sz w:val="20"/>
          <w:szCs w:val="20"/>
        </w:rPr>
        <w:t>interest</w:t>
      </w:r>
      <w:proofErr w:type="spellEnd"/>
      <w:r w:rsidRPr="00A10BC4">
        <w:rPr>
          <w:rFonts w:ascii="Times New Roman" w:hAnsi="Times New Roman" w:cs="Times New Roman"/>
          <w:b/>
          <w:sz w:val="20"/>
          <w:szCs w:val="20"/>
        </w:rPr>
        <w:t>:</w:t>
      </w:r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>.</w:t>
      </w:r>
    </w:p>
    <w:p w14:paraId="5E8F5C31" w14:textId="77777777" w:rsidR="00E525C5" w:rsidRDefault="00E525C5" w:rsidP="00E525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D0BB9D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BC4">
        <w:rPr>
          <w:rFonts w:ascii="Times New Roman" w:hAnsi="Times New Roman" w:cs="Times New Roman"/>
          <w:b/>
          <w:sz w:val="20"/>
          <w:szCs w:val="20"/>
        </w:rPr>
        <w:t>Funding</w:t>
      </w:r>
      <w:proofErr w:type="spellEnd"/>
      <w:r w:rsidRPr="00A10B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b/>
          <w:sz w:val="20"/>
          <w:szCs w:val="20"/>
        </w:rPr>
        <w:t>source</w:t>
      </w:r>
      <w:proofErr w:type="spellEnd"/>
      <w:r w:rsidRPr="00A10BC4">
        <w:rPr>
          <w:rFonts w:ascii="Times New Roman" w:hAnsi="Times New Roman" w:cs="Times New Roman"/>
          <w:b/>
          <w:sz w:val="20"/>
          <w:szCs w:val="20"/>
        </w:rPr>
        <w:t>:</w:t>
      </w:r>
      <w:r w:rsidRPr="00A10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BC4">
        <w:rPr>
          <w:rFonts w:ascii="Times New Roman" w:hAnsi="Times New Roman" w:cs="Times New Roman"/>
          <w:sz w:val="20"/>
          <w:szCs w:val="20"/>
        </w:rPr>
        <w:t>None</w:t>
      </w:r>
      <w:proofErr w:type="spellEnd"/>
      <w:r w:rsidRPr="00A10BC4">
        <w:rPr>
          <w:rFonts w:ascii="Times New Roman" w:hAnsi="Times New Roman" w:cs="Times New Roman"/>
          <w:sz w:val="20"/>
          <w:szCs w:val="20"/>
        </w:rPr>
        <w:t>.</w:t>
      </w:r>
    </w:p>
    <w:p w14:paraId="2EBA3A85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63DAE8" w14:textId="77777777" w:rsidR="00E525C5" w:rsidRPr="00A10BC4" w:rsidRDefault="00E525C5" w:rsidP="00E525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6D1C0E9" w14:textId="52462ECC" w:rsidR="00E525C5" w:rsidRPr="00D523F8" w:rsidRDefault="00E525C5" w:rsidP="002A38B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23F8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77E2812F" w14:textId="77777777" w:rsidR="00E525C5" w:rsidRPr="00A10BC4" w:rsidRDefault="00E525C5" w:rsidP="002A3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82E069" w14:textId="697E2FBC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Arıoğul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S. Evde Bakımda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Malnütrisyon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Yaşlılarda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Malnütrisyon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Kılavuzu. Ankara: Akademik Geriatri Derneği, 2013. p.72-76</w:t>
      </w:r>
    </w:p>
    <w:p w14:paraId="02E7EB33" w14:textId="28FA2128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Volkert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D,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Kreuel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K,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Heseker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Stehle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P.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nutrient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intake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young-old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old-old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very-old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Germany.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J ClinNutr</w:t>
      </w:r>
      <w:proofErr w:type="gramStart"/>
      <w:r w:rsidRPr="00D523F8">
        <w:rPr>
          <w:rFonts w:ascii="Times New Roman" w:hAnsi="Times New Roman" w:cs="Times New Roman"/>
          <w:sz w:val="20"/>
          <w:szCs w:val="20"/>
        </w:rPr>
        <w:t>2004;58:1190</w:t>
      </w:r>
      <w:proofErr w:type="gramEnd"/>
      <w:r w:rsidRPr="00D523F8">
        <w:rPr>
          <w:rFonts w:ascii="Times New Roman" w:hAnsi="Times New Roman" w:cs="Times New Roman"/>
          <w:sz w:val="20"/>
          <w:szCs w:val="20"/>
        </w:rPr>
        <w:t>-200.</w:t>
      </w:r>
    </w:p>
    <w:p w14:paraId="1636A8D8" w14:textId="1ED6B78D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Nazemi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L,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Skoog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Karlsson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Hosseini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S,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Mohammadi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MR,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Hosseini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M, et al.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Relation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Residents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Nursing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Homes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Tehran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, Iran. Iran J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Public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Health 2015;44(2):218-27.</w:t>
      </w:r>
    </w:p>
    <w:p w14:paraId="49F82B7B" w14:textId="2E4C62A8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Kaiser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MJ,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Bauer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JM,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Ramsch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C,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Uter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W,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Guigoz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Y,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Cederholm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T, et al.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Frequency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older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adults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: 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multinational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perspective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mini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J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GeriatrSoc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2010;58(9):1734-8.</w:t>
      </w:r>
    </w:p>
    <w:p w14:paraId="50A8E353" w14:textId="437196FB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523F8">
        <w:rPr>
          <w:rFonts w:ascii="Times New Roman" w:hAnsi="Times New Roman" w:cs="Times New Roman"/>
          <w:sz w:val="20"/>
          <w:szCs w:val="20"/>
        </w:rPr>
        <w:t xml:space="preserve">Aslan D,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Şengelen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M, Bilir N. Yaşlılık Döneminde Beslenme Sorunları ve Yaklaşımlar. Ankara: Geriatri Derneği Eğitim Serisi No </w:t>
      </w:r>
      <w:proofErr w:type="gramStart"/>
      <w:r w:rsidRPr="00D523F8">
        <w:rPr>
          <w:rFonts w:ascii="Times New Roman" w:hAnsi="Times New Roman" w:cs="Times New Roman"/>
          <w:sz w:val="20"/>
          <w:szCs w:val="20"/>
        </w:rPr>
        <w:t>1;2008:7</w:t>
      </w:r>
      <w:proofErr w:type="gramEnd"/>
      <w:r w:rsidRPr="00D523F8">
        <w:rPr>
          <w:rFonts w:ascii="Times New Roman" w:hAnsi="Times New Roman" w:cs="Times New Roman"/>
          <w:sz w:val="20"/>
          <w:szCs w:val="20"/>
        </w:rPr>
        <w:t>-14.</w:t>
      </w:r>
    </w:p>
    <w:p w14:paraId="7A25D897" w14:textId="77B9EDC0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Lisboa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Silva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D,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Alves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Santos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P,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Coelho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Cabral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P,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Pessoa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Burgos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MG.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screening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at 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Hospital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Northeastern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Hosp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2012;27(6):2015-9.</w:t>
      </w:r>
    </w:p>
    <w:p w14:paraId="18F31936" w14:textId="32E2E566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523F8">
        <w:rPr>
          <w:rFonts w:ascii="Times New Roman" w:hAnsi="Times New Roman" w:cs="Times New Roman"/>
          <w:sz w:val="20"/>
          <w:szCs w:val="20"/>
        </w:rPr>
        <w:t xml:space="preserve">Saka B,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Özkuluk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H. İç hastalıkları polikliniğine başvuran yaşlı hastalarda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nütrisyonel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durumun değerlendirilmesi ve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malnütrisyonun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diğer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geriatric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sendromlarla ilişkisi.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Gülhane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Tıp Dergisi 2008;50(3):151-7.</w:t>
      </w:r>
    </w:p>
    <w:p w14:paraId="411AE5F0" w14:textId="45873D44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523F8">
        <w:rPr>
          <w:rFonts w:ascii="Times New Roman" w:hAnsi="Times New Roman" w:cs="Times New Roman"/>
          <w:sz w:val="20"/>
          <w:szCs w:val="20"/>
        </w:rPr>
        <w:t xml:space="preserve">Saka B, Kaya O,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Ozturk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GB, Erten N, Karan MA.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geriatric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syndromes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ClinNutr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2010;29(6):745-8.</w:t>
      </w:r>
    </w:p>
    <w:p w14:paraId="3FF4004E" w14:textId="704630EB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523F8">
        <w:rPr>
          <w:rFonts w:ascii="Times New Roman" w:hAnsi="Times New Roman" w:cs="Times New Roman"/>
          <w:sz w:val="20"/>
          <w:szCs w:val="20"/>
        </w:rPr>
        <w:t xml:space="preserve">Çevik A,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Basat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Ucak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S. Evde Sağlık Hizmeti Alan Yaşlı Hastalarda Beslenme Durumunun Değerlendirilmesi ve Beslenme Durumunun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Laboratuar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Parametreleri Üzerine Olan Etkisinin İrdelenmesi. Konuralp Tıp Dergisi 2014;6(3):31-37.</w:t>
      </w:r>
    </w:p>
    <w:p w14:paraId="0EBC7B31" w14:textId="4FCF91B2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523F8">
        <w:rPr>
          <w:rFonts w:ascii="Times New Roman" w:hAnsi="Times New Roman" w:cs="Times New Roman"/>
          <w:sz w:val="20"/>
          <w:szCs w:val="20"/>
        </w:rPr>
        <w:t xml:space="preserve">H. Akan, A.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Ayraler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, O. Hayran. Evde sağlık birimine başvuran yaşlı hastaların beslenme durumları.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Türk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Aile Hek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Derg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2013;17(3):106-112.</w:t>
      </w:r>
    </w:p>
    <w:p w14:paraId="6FCECBE2" w14:textId="691529E9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523F8">
        <w:rPr>
          <w:rFonts w:ascii="Times New Roman" w:hAnsi="Times New Roman" w:cs="Times New Roman"/>
          <w:sz w:val="20"/>
          <w:szCs w:val="20"/>
        </w:rPr>
        <w:t xml:space="preserve">Sarıkaya, D.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Geriatrik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hastalarda Mini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Nütrisyonel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Değerlendirme (MNA) testinin uzun ve kısa (MNA-SF) formunun geçerlilik çalışması. Uzmanlık tezi. Hacettepe Üniversitesi, Tıp Fakültesi, İç Hastalıkları Anabilim Dalı, 2013.</w:t>
      </w:r>
    </w:p>
    <w:p w14:paraId="6B708912" w14:textId="6BF5BE16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Ramya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MS,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Ranganath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TS,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Jyothi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J,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Swetha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NB.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assess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influencing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it, in an urban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area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Bengaluru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- 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cross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sectional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J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Community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Med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Public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Health 2017;4(5):1727-32.</w:t>
      </w:r>
    </w:p>
    <w:p w14:paraId="57476E00" w14:textId="4D8A4827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Guigoz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Y.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Mini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(MNA)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literature-what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it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tell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us? J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Health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Aging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2006;10(6):466-85.</w:t>
      </w:r>
    </w:p>
    <w:p w14:paraId="6A53D695" w14:textId="4CFEEB3D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Mastronuzzi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T,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Paci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C,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Portincasa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P,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Montanaro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N,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Grattagliano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Assessing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Older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Family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Practice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: Evaluation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Implications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Management.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2015;34(6):1184-88.</w:t>
      </w:r>
    </w:p>
    <w:p w14:paraId="2D5BF124" w14:textId="6A9372A7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523F8">
        <w:rPr>
          <w:rFonts w:ascii="Times New Roman" w:hAnsi="Times New Roman" w:cs="Times New Roman"/>
          <w:sz w:val="20"/>
          <w:szCs w:val="20"/>
        </w:rPr>
        <w:t xml:space="preserve">Ülger Z, Halil M, Kalan I, Yavuz BB, Cankurtaran M, Güngör E et al.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Comprehensive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assesment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malnutririon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large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community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dwelling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older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adults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2010;29(4):507-11.</w:t>
      </w:r>
    </w:p>
    <w:p w14:paraId="3B3EB1D8" w14:textId="35A2554C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523F8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Groot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CP,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van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Staveren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WA,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Dirren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Hautvast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JG.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Summary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conclusions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report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second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collection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period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longitudinal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SENECA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J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1996;50(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Suppl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</w:t>
      </w:r>
      <w:proofErr w:type="gramStart"/>
      <w:r w:rsidRPr="00D523F8">
        <w:rPr>
          <w:rFonts w:ascii="Times New Roman" w:hAnsi="Times New Roman" w:cs="Times New Roman"/>
          <w:sz w:val="20"/>
          <w:szCs w:val="20"/>
        </w:rPr>
        <w:t>):S</w:t>
      </w:r>
      <w:proofErr w:type="gramEnd"/>
      <w:r w:rsidRPr="00D523F8">
        <w:rPr>
          <w:rFonts w:ascii="Times New Roman" w:hAnsi="Times New Roman" w:cs="Times New Roman"/>
          <w:sz w:val="20"/>
          <w:szCs w:val="20"/>
        </w:rPr>
        <w:t>123-4.</w:t>
      </w:r>
    </w:p>
    <w:p w14:paraId="6F39750C" w14:textId="2FAF1C47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lastRenderedPageBreak/>
        <w:t>Soini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Routasalo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P,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Lagström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H.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Mini-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elderly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home-care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J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ClinNutr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2004;58(1):64-70.</w:t>
      </w:r>
    </w:p>
    <w:p w14:paraId="0A4C3570" w14:textId="6BDC9733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Stow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R,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Ives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N, Smith C,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Rick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C,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Rushton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A. A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cluster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randomised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feasibility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trial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evaluating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interventions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home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adult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residents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Trials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523F8">
        <w:rPr>
          <w:rFonts w:ascii="Times New Roman" w:hAnsi="Times New Roman" w:cs="Times New Roman"/>
          <w:sz w:val="20"/>
          <w:szCs w:val="20"/>
        </w:rPr>
        <w:t>2015;16:433</w:t>
      </w:r>
      <w:proofErr w:type="gramEnd"/>
      <w:r w:rsidRPr="00D523F8">
        <w:rPr>
          <w:rFonts w:ascii="Times New Roman" w:hAnsi="Times New Roman" w:cs="Times New Roman"/>
          <w:sz w:val="20"/>
          <w:szCs w:val="20"/>
        </w:rPr>
        <w:t>.</w:t>
      </w:r>
    </w:p>
    <w:p w14:paraId="28AAC8B4" w14:textId="08A15D57" w:rsidR="00E525C5" w:rsidRPr="00D523F8" w:rsidRDefault="00E525C5" w:rsidP="00D523F8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Primiano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Friend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McClure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C,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Nardi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S,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Fix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L,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Schafer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M, et al.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Pressure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ulcer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prolonged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23F8">
        <w:rPr>
          <w:rFonts w:ascii="Times New Roman" w:hAnsi="Times New Roman" w:cs="Times New Roman"/>
          <w:sz w:val="20"/>
          <w:szCs w:val="20"/>
        </w:rPr>
        <w:t>surgical</w:t>
      </w:r>
      <w:proofErr w:type="spellEnd"/>
      <w:r w:rsidRPr="00D523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523F8">
        <w:rPr>
          <w:rFonts w:ascii="Times New Roman" w:hAnsi="Times New Roman" w:cs="Times New Roman"/>
          <w:sz w:val="20"/>
          <w:szCs w:val="20"/>
        </w:rPr>
        <w:t>procedures.AORN</w:t>
      </w:r>
      <w:proofErr w:type="spellEnd"/>
      <w:proofErr w:type="gramEnd"/>
      <w:r w:rsidRPr="00D523F8">
        <w:rPr>
          <w:rFonts w:ascii="Times New Roman" w:hAnsi="Times New Roman" w:cs="Times New Roman"/>
          <w:sz w:val="20"/>
          <w:szCs w:val="20"/>
        </w:rPr>
        <w:t xml:space="preserve"> J 2011;94(6):555-66.</w:t>
      </w:r>
    </w:p>
    <w:p w14:paraId="3AE27204" w14:textId="77777777" w:rsidR="00E525C5" w:rsidRPr="00A10BC4" w:rsidRDefault="00E525C5" w:rsidP="002A38B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3CC804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D1FCA5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D632D0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682C7B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7F3923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BFAE02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8368B5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54A365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0D4A03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DD1349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3981DB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377A17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5386E4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6ABE0E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0A0822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E6F3AB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1EAF95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428D0B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29B563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20815E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0FA3EC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109E75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9B9C96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D2F52B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1441D3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2DEEE7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32F70C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3C841D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A53701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3C25EA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8741EC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F8D240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A6C116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4A28AF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078430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66EB46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5C9AFF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B2F5D0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8D09D9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BFA923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C8A5B8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8A3D04" w14:textId="77777777" w:rsidR="00E645AA" w:rsidRDefault="00E645AA" w:rsidP="00E645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538CA1" w14:textId="77777777" w:rsidR="00437E82" w:rsidRDefault="00437E82" w:rsidP="00E64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46F5F2" w14:textId="77777777" w:rsidR="00870855" w:rsidRPr="00123060" w:rsidRDefault="00870855" w:rsidP="00E645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870855" w:rsidRPr="00123060" w:rsidSect="001D682E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C4573" w14:textId="77777777" w:rsidR="00112C98" w:rsidRDefault="00112C98" w:rsidP="000739D5">
      <w:pPr>
        <w:spacing w:after="0" w:line="240" w:lineRule="auto"/>
      </w:pPr>
      <w:r>
        <w:separator/>
      </w:r>
    </w:p>
  </w:endnote>
  <w:endnote w:type="continuationSeparator" w:id="0">
    <w:p w14:paraId="4E299398" w14:textId="77777777" w:rsidR="00112C98" w:rsidRDefault="00112C98" w:rsidP="0007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</w:rPr>
      <w:id w:val="128753052"/>
      <w:docPartObj>
        <w:docPartGallery w:val="Page Numbers (Bottom of Page)"/>
        <w:docPartUnique/>
      </w:docPartObj>
    </w:sdtPr>
    <w:sdtEndPr/>
    <w:sdtContent>
      <w:p w14:paraId="68512668" w14:textId="77777777" w:rsidR="002A38BF" w:rsidRPr="000739D5" w:rsidRDefault="002A38BF">
        <w:pPr>
          <w:pStyle w:val="AltBilgi"/>
          <w:jc w:val="right"/>
          <w:rPr>
            <w:color w:val="808080" w:themeColor="background1" w:themeShade="80"/>
          </w:rPr>
        </w:pPr>
        <w:r w:rsidRPr="000739D5">
          <w:rPr>
            <w:color w:val="808080" w:themeColor="background1" w:themeShade="80"/>
          </w:rPr>
          <w:fldChar w:fldCharType="begin"/>
        </w:r>
        <w:r w:rsidRPr="000739D5">
          <w:rPr>
            <w:color w:val="808080" w:themeColor="background1" w:themeShade="80"/>
          </w:rPr>
          <w:instrText>PAGE   \* MERGEFORMAT</w:instrText>
        </w:r>
        <w:r w:rsidRPr="000739D5">
          <w:rPr>
            <w:color w:val="808080" w:themeColor="background1" w:themeShade="80"/>
          </w:rPr>
          <w:fldChar w:fldCharType="separate"/>
        </w:r>
        <w:r w:rsidR="00D523F8">
          <w:rPr>
            <w:noProof/>
            <w:color w:val="808080" w:themeColor="background1" w:themeShade="80"/>
          </w:rPr>
          <w:t>166</w:t>
        </w:r>
        <w:r w:rsidRPr="000739D5">
          <w:rPr>
            <w:color w:val="808080" w:themeColor="background1" w:themeShade="80"/>
          </w:rPr>
          <w:fldChar w:fldCharType="end"/>
        </w:r>
      </w:p>
    </w:sdtContent>
  </w:sdt>
  <w:p w14:paraId="0C3B4172" w14:textId="3006E494" w:rsidR="002A38BF" w:rsidRPr="002A38BF" w:rsidRDefault="002A38BF">
    <w:pPr>
      <w:pStyle w:val="AltBilgi"/>
      <w:rPr>
        <w:rFonts w:ascii="Times New Roman" w:hAnsi="Times New Roman" w:cs="Times New Roman"/>
        <w:color w:val="808080" w:themeColor="background1" w:themeShade="80"/>
      </w:rPr>
    </w:pPr>
    <w:r>
      <w:tab/>
    </w:r>
    <w:r w:rsidR="00D523F8">
      <w:rPr>
        <w:rFonts w:ascii="Times New Roman" w:hAnsi="Times New Roman" w:cs="Times New Roman"/>
        <w:color w:val="808080" w:themeColor="background1" w:themeShade="80"/>
      </w:rPr>
      <w:t>Tüzün</w:t>
    </w:r>
    <w:r w:rsidRPr="002A38BF">
      <w:rPr>
        <w:rFonts w:ascii="Times New Roman" w:hAnsi="Times New Roman" w:cs="Times New Roman"/>
        <w:color w:val="808080" w:themeColor="background1" w:themeShade="80"/>
      </w:rPr>
      <w:t xml:space="preserve"> et al., TJFMPC www.tjfmpc.gen.tr 2019; 13(</w:t>
    </w:r>
    <w:r>
      <w:rPr>
        <w:rFonts w:ascii="Times New Roman" w:hAnsi="Times New Roman" w:cs="Times New Roman"/>
        <w:color w:val="808080" w:themeColor="background1" w:themeShade="80"/>
      </w:rPr>
      <w:t>2</w:t>
    </w:r>
    <w:r w:rsidRPr="002A38BF">
      <w:rPr>
        <w:rFonts w:ascii="Times New Roman" w:hAnsi="Times New Roman" w:cs="Times New Roman"/>
        <w:color w:val="808080" w:themeColor="background1" w:themeShade="8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A84A7" w14:textId="77777777" w:rsidR="002A38BF" w:rsidRPr="000739D5" w:rsidRDefault="002A38BF" w:rsidP="005D51F9">
    <w:pPr>
      <w:pStyle w:val="AltBilgi"/>
      <w:rPr>
        <w:color w:val="808080" w:themeColor="background1" w:themeShade="80"/>
      </w:rPr>
    </w:pPr>
    <w:r>
      <w:tab/>
    </w:r>
    <w:r>
      <w:rPr>
        <w:color w:val="808080" w:themeColor="background1" w:themeShade="80"/>
      </w:rPr>
      <w:t>Sabah</w:t>
    </w:r>
    <w:r w:rsidRPr="000739D5">
      <w:rPr>
        <w:color w:val="808080" w:themeColor="background1" w:themeShade="80"/>
      </w:rPr>
      <w:t xml:space="preserve"> et al., TJFMPC www.tjfmpc.gen.tr 2019; 13(1)</w:t>
    </w:r>
  </w:p>
  <w:p w14:paraId="5D6FBF87" w14:textId="77777777" w:rsidR="002A38BF" w:rsidRDefault="002A38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A7454" w14:textId="77777777" w:rsidR="00112C98" w:rsidRDefault="00112C98" w:rsidP="000739D5">
      <w:pPr>
        <w:spacing w:after="0" w:line="240" w:lineRule="auto"/>
      </w:pPr>
      <w:r>
        <w:separator/>
      </w:r>
    </w:p>
  </w:footnote>
  <w:footnote w:type="continuationSeparator" w:id="0">
    <w:p w14:paraId="247E440E" w14:textId="77777777" w:rsidR="00112C98" w:rsidRDefault="00112C98" w:rsidP="0007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7254" w14:textId="77777777" w:rsidR="002A38BF" w:rsidRDefault="002A38BF" w:rsidP="005D51F9">
    <w:pPr>
      <w:pStyle w:val="stBilgi"/>
    </w:pPr>
  </w:p>
  <w:p w14:paraId="0A59C66D" w14:textId="77777777" w:rsidR="002A38BF" w:rsidRDefault="002A38BF">
    <w:pPr>
      <w:pStyle w:val="stBilgi"/>
    </w:pPr>
    <w:r>
      <w:rPr>
        <w:noProof/>
        <w:lang w:eastAsia="tr-TR"/>
      </w:rP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6A23" w14:textId="77777777" w:rsidR="002A38BF" w:rsidRDefault="002A38BF">
    <w:pPr>
      <w:pStyle w:val="stBilgi"/>
      <w:rPr>
        <w:noProof/>
        <w:lang w:eastAsia="tr-TR"/>
      </w:rPr>
    </w:pPr>
    <w:r>
      <w:rPr>
        <w:noProof/>
        <w:lang w:val="en-US"/>
      </w:rPr>
      <w:drawing>
        <wp:inline distT="0" distB="0" distL="0" distR="0" wp14:anchorId="2B10395E" wp14:editId="28758B83">
          <wp:extent cx="2286000" cy="42037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4075FB8E" wp14:editId="09403DB2">
          <wp:extent cx="548640" cy="506095"/>
          <wp:effectExtent l="0" t="0" r="3810" b="825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BAA20C" w14:textId="77777777" w:rsidR="002A38BF" w:rsidRPr="00E645AA" w:rsidRDefault="002A38BF" w:rsidP="00E645AA">
    <w:pPr>
      <w:tabs>
        <w:tab w:val="left" w:pos="5200"/>
      </w:tabs>
      <w:jc w:val="both"/>
      <w:rPr>
        <w:rFonts w:ascii="Times New Roman" w:hAnsi="Times New Roman" w:cs="Times New Roman"/>
        <w:b/>
        <w:szCs w:val="16"/>
      </w:rPr>
    </w:pPr>
    <w:proofErr w:type="spellStart"/>
    <w:r w:rsidRPr="00E645AA">
      <w:rPr>
        <w:rFonts w:ascii="Times New Roman" w:hAnsi="Times New Roman" w:cs="Times New Roman"/>
        <w:b/>
        <w:szCs w:val="16"/>
      </w:rPr>
      <w:t>Original</w:t>
    </w:r>
    <w:proofErr w:type="spellEnd"/>
    <w:r w:rsidRPr="00E645AA">
      <w:rPr>
        <w:rFonts w:ascii="Times New Roman" w:hAnsi="Times New Roman" w:cs="Times New Roman"/>
        <w:b/>
        <w:szCs w:val="16"/>
      </w:rPr>
      <w:t xml:space="preserve"> </w:t>
    </w:r>
    <w:proofErr w:type="spellStart"/>
    <w:r w:rsidRPr="00E645AA">
      <w:rPr>
        <w:rFonts w:ascii="Times New Roman" w:hAnsi="Times New Roman" w:cs="Times New Roman"/>
        <w:b/>
        <w:szCs w:val="16"/>
      </w:rPr>
      <w:t>Research</w:t>
    </w:r>
    <w:proofErr w:type="spellEnd"/>
    <w:r w:rsidRPr="00E645AA">
      <w:rPr>
        <w:rFonts w:ascii="Times New Roman" w:hAnsi="Times New Roman" w:cs="Times New Roman"/>
        <w:b/>
        <w:szCs w:val="16"/>
      </w:rPr>
      <w:t xml:space="preserve"> / Özgün Araştırma</w:t>
    </w:r>
    <w:r w:rsidRPr="00E645AA">
      <w:rPr>
        <w:rFonts w:ascii="Times New Roman" w:hAnsi="Times New Roman" w:cs="Times New Roman"/>
        <w:b/>
        <w:szCs w:val="16"/>
      </w:rPr>
      <w:tab/>
    </w:r>
  </w:p>
  <w:p w14:paraId="2FE77E54" w14:textId="77777777" w:rsidR="002A38BF" w:rsidRDefault="002A38BF">
    <w:pPr>
      <w:pStyle w:val="stBilgi"/>
      <w:rPr>
        <w:noProof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96B10"/>
    <w:multiLevelType w:val="hybridMultilevel"/>
    <w:tmpl w:val="3BFC9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E5D94"/>
    <w:multiLevelType w:val="hybridMultilevel"/>
    <w:tmpl w:val="0FD2552C"/>
    <w:lvl w:ilvl="0" w:tplc="628E694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19C"/>
    <w:rsid w:val="000236E0"/>
    <w:rsid w:val="000443DC"/>
    <w:rsid w:val="000739D5"/>
    <w:rsid w:val="00087BEC"/>
    <w:rsid w:val="00112C98"/>
    <w:rsid w:val="00114052"/>
    <w:rsid w:val="00123060"/>
    <w:rsid w:val="00196FF4"/>
    <w:rsid w:val="001A476E"/>
    <w:rsid w:val="001D682E"/>
    <w:rsid w:val="001E5E6C"/>
    <w:rsid w:val="001F1FF5"/>
    <w:rsid w:val="00265C0D"/>
    <w:rsid w:val="00281FFE"/>
    <w:rsid w:val="002A38BF"/>
    <w:rsid w:val="00391DCE"/>
    <w:rsid w:val="0040504B"/>
    <w:rsid w:val="00437E82"/>
    <w:rsid w:val="004F0986"/>
    <w:rsid w:val="00567C12"/>
    <w:rsid w:val="005D51F9"/>
    <w:rsid w:val="006E1691"/>
    <w:rsid w:val="007C6564"/>
    <w:rsid w:val="00820974"/>
    <w:rsid w:val="0083444B"/>
    <w:rsid w:val="00870855"/>
    <w:rsid w:val="008C241D"/>
    <w:rsid w:val="00942F7A"/>
    <w:rsid w:val="00A10BC4"/>
    <w:rsid w:val="00A576D4"/>
    <w:rsid w:val="00A602AC"/>
    <w:rsid w:val="00AF2E86"/>
    <w:rsid w:val="00B241B6"/>
    <w:rsid w:val="00B2719C"/>
    <w:rsid w:val="00D523F8"/>
    <w:rsid w:val="00DE370E"/>
    <w:rsid w:val="00E12E68"/>
    <w:rsid w:val="00E525C5"/>
    <w:rsid w:val="00E645AA"/>
    <w:rsid w:val="00EE6E15"/>
    <w:rsid w:val="00F2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3C2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25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7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19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271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3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39D5"/>
  </w:style>
  <w:style w:type="paragraph" w:styleId="AltBilgi">
    <w:name w:val="footer"/>
    <w:basedOn w:val="Normal"/>
    <w:link w:val="AltBilgiChar"/>
    <w:uiPriority w:val="99"/>
    <w:unhideWhenUsed/>
    <w:rsid w:val="00073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39D5"/>
  </w:style>
  <w:style w:type="paragraph" w:styleId="AralkYok">
    <w:name w:val="No Spacing"/>
    <w:uiPriority w:val="1"/>
    <w:qFormat/>
    <w:rsid w:val="005D5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C450-D58E-4EC2-8717-02C78B39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4189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gizemdurucu01@gmail.com</dc:creator>
  <cp:keywords/>
  <dc:description/>
  <cp:lastModifiedBy>Nafiz Bozdemir</cp:lastModifiedBy>
  <cp:revision>4</cp:revision>
  <dcterms:created xsi:type="dcterms:W3CDTF">2019-03-28T20:36:00Z</dcterms:created>
  <dcterms:modified xsi:type="dcterms:W3CDTF">2019-05-23T09:26:00Z</dcterms:modified>
</cp:coreProperties>
</file>