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4CF8E" w14:textId="77777777" w:rsidR="00DB1DEA" w:rsidRPr="00D270BC" w:rsidRDefault="00DB1DEA" w:rsidP="00DB1DEA">
      <w:pPr>
        <w:spacing w:after="0"/>
        <w:rPr>
          <w:rFonts w:ascii="Times New Roman" w:hAnsi="Times New Roman" w:cs="Times New Roman"/>
          <w:b/>
          <w:lang w:val="en-US"/>
        </w:rPr>
      </w:pPr>
      <w:r w:rsidRPr="00113439">
        <w:rPr>
          <w:noProof/>
          <w:lang w:val="en-US"/>
        </w:rPr>
        <w:drawing>
          <wp:anchor distT="0" distB="0" distL="114300" distR="114300" simplePos="0" relativeHeight="251659264" behindDoc="0" locked="0" layoutInCell="1" allowOverlap="1" wp14:anchorId="086C7D08" wp14:editId="45054BA3">
            <wp:simplePos x="0" y="0"/>
            <wp:positionH relativeFrom="column">
              <wp:posOffset>5796280</wp:posOffset>
            </wp:positionH>
            <wp:positionV relativeFrom="paragraph">
              <wp:posOffset>-74930</wp:posOffset>
            </wp:positionV>
            <wp:extent cx="546735" cy="507365"/>
            <wp:effectExtent l="0" t="0" r="5715" b="6985"/>
            <wp:wrapThrough wrapText="bothSides">
              <wp:wrapPolygon edited="0">
                <wp:start x="0" y="0"/>
                <wp:lineTo x="0" y="21086"/>
                <wp:lineTo x="21073" y="21086"/>
                <wp:lineTo x="21073" y="0"/>
                <wp:lineTo x="0" y="0"/>
              </wp:wrapPolygon>
            </wp:wrapThrough>
            <wp:docPr id="2" name="Resim 2"/>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anchor>
        </w:drawing>
      </w:r>
      <w:r w:rsidRPr="00113439">
        <w:rPr>
          <w:noProof/>
          <w:lang w:val="en-US"/>
        </w:rPr>
        <w:drawing>
          <wp:inline distT="0" distB="0" distL="0" distR="0" wp14:anchorId="77337ABD" wp14:editId="0CF88C4A">
            <wp:extent cx="2286000" cy="417830"/>
            <wp:effectExtent l="0" t="0" r="0" b="0"/>
            <wp:docPr id="1"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p>
    <w:p w14:paraId="2DEDCA64" w14:textId="0540962F" w:rsidR="00F7346F" w:rsidRPr="00D270BC" w:rsidRDefault="00DB1DEA" w:rsidP="00DB1DEA">
      <w:pPr>
        <w:spacing w:after="0"/>
        <w:rPr>
          <w:lang w:val="en-US"/>
        </w:rPr>
      </w:pPr>
      <w:r w:rsidRPr="00D270BC">
        <w:rPr>
          <w:rFonts w:ascii="Times New Roman" w:hAnsi="Times New Roman" w:cs="Times New Roman"/>
          <w:b/>
          <w:lang w:val="en-US"/>
        </w:rPr>
        <w:t xml:space="preserve">Original Research / </w:t>
      </w:r>
      <w:proofErr w:type="spellStart"/>
      <w:r w:rsidRPr="00D270BC">
        <w:rPr>
          <w:rFonts w:ascii="Times New Roman" w:hAnsi="Times New Roman" w:cs="Times New Roman"/>
          <w:b/>
          <w:lang w:val="en-US"/>
        </w:rPr>
        <w:t>Özgün</w:t>
      </w:r>
      <w:proofErr w:type="spellEnd"/>
      <w:r w:rsidRPr="00D270BC">
        <w:rPr>
          <w:rFonts w:ascii="Times New Roman" w:hAnsi="Times New Roman" w:cs="Times New Roman"/>
          <w:b/>
          <w:lang w:val="en-US"/>
        </w:rPr>
        <w:t xml:space="preserve"> </w:t>
      </w:r>
      <w:proofErr w:type="spellStart"/>
      <w:r w:rsidRPr="00D270BC">
        <w:rPr>
          <w:rFonts w:ascii="Times New Roman" w:hAnsi="Times New Roman" w:cs="Times New Roman"/>
          <w:b/>
          <w:lang w:val="en-US"/>
        </w:rPr>
        <w:t>Araştırma</w:t>
      </w:r>
      <w:proofErr w:type="spellEnd"/>
    </w:p>
    <w:p w14:paraId="6A67B42E" w14:textId="77777777" w:rsidR="00F7346F" w:rsidRPr="00D270BC" w:rsidRDefault="00F7346F" w:rsidP="00D270BC">
      <w:pPr>
        <w:spacing w:after="0"/>
        <w:rPr>
          <w:rFonts w:ascii="Times New Roman" w:hAnsi="Times New Roman" w:cs="Times New Roman"/>
          <w:b/>
          <w:sz w:val="36"/>
          <w:szCs w:val="36"/>
          <w:lang w:val="en-US"/>
        </w:rPr>
      </w:pPr>
      <w:r w:rsidRPr="00D270BC">
        <w:rPr>
          <w:rFonts w:ascii="Times New Roman" w:hAnsi="Times New Roman" w:cs="Times New Roman"/>
          <w:b/>
          <w:sz w:val="36"/>
          <w:szCs w:val="36"/>
          <w:lang w:val="en-US"/>
        </w:rPr>
        <w:t>Effect of Follow-Up Visit Frequencies on Weight Lost: A Historical Cohort Study</w:t>
      </w:r>
    </w:p>
    <w:p w14:paraId="47482798" w14:textId="77777777" w:rsidR="00F7346F" w:rsidRPr="00D270BC" w:rsidRDefault="00F7346F" w:rsidP="00CD73CE">
      <w:pPr>
        <w:tabs>
          <w:tab w:val="left" w:pos="5537"/>
        </w:tabs>
        <w:spacing w:before="100" w:beforeAutospacing="1" w:after="0"/>
        <w:rPr>
          <w:rFonts w:ascii="Times New Roman" w:hAnsi="Times New Roman" w:cs="Times New Roman"/>
          <w:b/>
          <w:sz w:val="32"/>
          <w:szCs w:val="32"/>
          <w:lang w:val="en-US"/>
        </w:rPr>
      </w:pPr>
      <w:proofErr w:type="spellStart"/>
      <w:r w:rsidRPr="00D270BC">
        <w:rPr>
          <w:rFonts w:ascii="Times New Roman" w:hAnsi="Times New Roman" w:cs="Times New Roman"/>
          <w:b/>
          <w:sz w:val="32"/>
          <w:szCs w:val="32"/>
          <w:lang w:val="en-US"/>
        </w:rPr>
        <w:t>İzlem</w:t>
      </w:r>
      <w:proofErr w:type="spellEnd"/>
      <w:r w:rsidRPr="00D270BC">
        <w:rPr>
          <w:rFonts w:ascii="Times New Roman" w:hAnsi="Times New Roman" w:cs="Times New Roman"/>
          <w:b/>
          <w:sz w:val="32"/>
          <w:szCs w:val="32"/>
          <w:lang w:val="en-US"/>
        </w:rPr>
        <w:t xml:space="preserve"> </w:t>
      </w:r>
      <w:proofErr w:type="spellStart"/>
      <w:r w:rsidRPr="00D270BC">
        <w:rPr>
          <w:rFonts w:ascii="Times New Roman" w:hAnsi="Times New Roman" w:cs="Times New Roman"/>
          <w:b/>
          <w:sz w:val="32"/>
          <w:szCs w:val="32"/>
          <w:lang w:val="en-US"/>
        </w:rPr>
        <w:t>Sıklığının</w:t>
      </w:r>
      <w:proofErr w:type="spellEnd"/>
      <w:r w:rsidRPr="00D270BC">
        <w:rPr>
          <w:rFonts w:ascii="Times New Roman" w:hAnsi="Times New Roman" w:cs="Times New Roman"/>
          <w:b/>
          <w:sz w:val="32"/>
          <w:szCs w:val="32"/>
          <w:lang w:val="en-US"/>
        </w:rPr>
        <w:t xml:space="preserve"> Kilo </w:t>
      </w:r>
      <w:proofErr w:type="spellStart"/>
      <w:r w:rsidRPr="00D270BC">
        <w:rPr>
          <w:rFonts w:ascii="Times New Roman" w:hAnsi="Times New Roman" w:cs="Times New Roman"/>
          <w:b/>
          <w:sz w:val="32"/>
          <w:szCs w:val="32"/>
          <w:lang w:val="en-US"/>
        </w:rPr>
        <w:t>Kaybı</w:t>
      </w:r>
      <w:proofErr w:type="spellEnd"/>
      <w:r w:rsidRPr="00D270BC">
        <w:rPr>
          <w:rFonts w:ascii="Times New Roman" w:hAnsi="Times New Roman" w:cs="Times New Roman"/>
          <w:b/>
          <w:sz w:val="32"/>
          <w:szCs w:val="32"/>
          <w:lang w:val="en-US"/>
        </w:rPr>
        <w:t xml:space="preserve"> </w:t>
      </w:r>
      <w:proofErr w:type="spellStart"/>
      <w:r w:rsidRPr="00D270BC">
        <w:rPr>
          <w:rFonts w:ascii="Times New Roman" w:hAnsi="Times New Roman" w:cs="Times New Roman"/>
          <w:b/>
          <w:sz w:val="32"/>
          <w:szCs w:val="32"/>
          <w:lang w:val="en-US"/>
        </w:rPr>
        <w:t>Üzerine</w:t>
      </w:r>
      <w:proofErr w:type="spellEnd"/>
      <w:r w:rsidRPr="00D270BC">
        <w:rPr>
          <w:rFonts w:ascii="Times New Roman" w:hAnsi="Times New Roman" w:cs="Times New Roman"/>
          <w:b/>
          <w:sz w:val="32"/>
          <w:szCs w:val="32"/>
          <w:lang w:val="en-US"/>
        </w:rPr>
        <w:t xml:space="preserve"> </w:t>
      </w:r>
      <w:proofErr w:type="spellStart"/>
      <w:r w:rsidRPr="00D270BC">
        <w:rPr>
          <w:rFonts w:ascii="Times New Roman" w:hAnsi="Times New Roman" w:cs="Times New Roman"/>
          <w:b/>
          <w:sz w:val="32"/>
          <w:szCs w:val="32"/>
          <w:lang w:val="en-US"/>
        </w:rPr>
        <w:t>Etkisi</w:t>
      </w:r>
      <w:proofErr w:type="spellEnd"/>
      <w:r w:rsidRPr="00D270BC">
        <w:rPr>
          <w:rFonts w:ascii="Times New Roman" w:hAnsi="Times New Roman" w:cs="Times New Roman"/>
          <w:b/>
          <w:sz w:val="32"/>
          <w:szCs w:val="32"/>
          <w:lang w:val="en-US"/>
        </w:rPr>
        <w:t xml:space="preserve">: Bir </w:t>
      </w:r>
      <w:proofErr w:type="spellStart"/>
      <w:r w:rsidRPr="00D270BC">
        <w:rPr>
          <w:rFonts w:ascii="Times New Roman" w:hAnsi="Times New Roman" w:cs="Times New Roman"/>
          <w:b/>
          <w:sz w:val="32"/>
          <w:szCs w:val="32"/>
          <w:lang w:val="en-US"/>
        </w:rPr>
        <w:t>Retrospektif</w:t>
      </w:r>
      <w:proofErr w:type="spellEnd"/>
      <w:r w:rsidRPr="00D270BC">
        <w:rPr>
          <w:rFonts w:ascii="Times New Roman" w:hAnsi="Times New Roman" w:cs="Times New Roman"/>
          <w:b/>
          <w:sz w:val="32"/>
          <w:szCs w:val="32"/>
          <w:lang w:val="en-US"/>
        </w:rPr>
        <w:t xml:space="preserve"> </w:t>
      </w:r>
      <w:proofErr w:type="spellStart"/>
      <w:r w:rsidRPr="00D270BC">
        <w:rPr>
          <w:rFonts w:ascii="Times New Roman" w:hAnsi="Times New Roman" w:cs="Times New Roman"/>
          <w:b/>
          <w:sz w:val="32"/>
          <w:szCs w:val="32"/>
          <w:lang w:val="en-US"/>
        </w:rPr>
        <w:t>Kohort</w:t>
      </w:r>
      <w:proofErr w:type="spellEnd"/>
      <w:r w:rsidRPr="00D270BC">
        <w:rPr>
          <w:rFonts w:ascii="Times New Roman" w:hAnsi="Times New Roman" w:cs="Times New Roman"/>
          <w:b/>
          <w:sz w:val="32"/>
          <w:szCs w:val="32"/>
          <w:lang w:val="en-US"/>
        </w:rPr>
        <w:t xml:space="preserve"> </w:t>
      </w:r>
      <w:proofErr w:type="spellStart"/>
      <w:r w:rsidRPr="00D270BC">
        <w:rPr>
          <w:rFonts w:ascii="Times New Roman" w:hAnsi="Times New Roman" w:cs="Times New Roman"/>
          <w:b/>
          <w:sz w:val="32"/>
          <w:szCs w:val="32"/>
          <w:lang w:val="en-US"/>
        </w:rPr>
        <w:t>Çalışması</w:t>
      </w:r>
      <w:proofErr w:type="spellEnd"/>
    </w:p>
    <w:p w14:paraId="13F3E8AC" w14:textId="77777777" w:rsidR="00DB1DEA" w:rsidRPr="00D270BC" w:rsidRDefault="007D1B47" w:rsidP="00CD73CE">
      <w:pPr>
        <w:tabs>
          <w:tab w:val="left" w:pos="5537"/>
        </w:tabs>
        <w:spacing w:before="100" w:beforeAutospacing="1" w:after="0"/>
        <w:rPr>
          <w:rFonts w:ascii="Times New Roman" w:hAnsi="Times New Roman" w:cs="Times New Roman"/>
          <w:i/>
          <w:lang w:val="en-US"/>
        </w:rPr>
      </w:pPr>
      <w:proofErr w:type="spellStart"/>
      <w:r w:rsidRPr="00D270BC">
        <w:rPr>
          <w:rFonts w:ascii="Times New Roman" w:hAnsi="Times New Roman" w:cs="Times New Roman"/>
          <w:i/>
          <w:lang w:val="en-US"/>
        </w:rPr>
        <w:t>Elif</w:t>
      </w:r>
      <w:proofErr w:type="spellEnd"/>
      <w:r w:rsidRPr="00D270BC">
        <w:rPr>
          <w:rFonts w:ascii="Times New Roman" w:hAnsi="Times New Roman" w:cs="Times New Roman"/>
          <w:i/>
          <w:lang w:val="en-US"/>
        </w:rPr>
        <w:t xml:space="preserve"> Ateş</w:t>
      </w:r>
      <w:r w:rsidRPr="00D270BC">
        <w:rPr>
          <w:rFonts w:ascii="Times New Roman" w:hAnsi="Times New Roman" w:cs="Times New Roman"/>
          <w:i/>
          <w:vertAlign w:val="superscript"/>
          <w:lang w:val="en-US"/>
        </w:rPr>
        <w:t>1</w:t>
      </w:r>
      <w:proofErr w:type="gramStart"/>
      <w:r w:rsidR="00113439" w:rsidRPr="00D270BC">
        <w:rPr>
          <w:rFonts w:ascii="Times New Roman" w:hAnsi="Times New Roman" w:cs="Times New Roman"/>
          <w:i/>
          <w:vertAlign w:val="superscript"/>
          <w:lang w:val="en-US"/>
        </w:rPr>
        <w:t>*</w:t>
      </w:r>
      <w:r w:rsidR="00EC0AB8" w:rsidRPr="00D270BC">
        <w:rPr>
          <w:rFonts w:ascii="Times New Roman" w:hAnsi="Times New Roman" w:cs="Times New Roman"/>
          <w:i/>
          <w:lang w:val="en-US"/>
        </w:rPr>
        <w:t>,</w:t>
      </w:r>
      <w:proofErr w:type="spellStart"/>
      <w:r w:rsidRPr="00D270BC">
        <w:rPr>
          <w:rFonts w:ascii="Times New Roman" w:hAnsi="Times New Roman" w:cs="Times New Roman"/>
          <w:i/>
          <w:lang w:val="en-US"/>
        </w:rPr>
        <w:t>Turan</w:t>
      </w:r>
      <w:proofErr w:type="spellEnd"/>
      <w:proofErr w:type="gramEnd"/>
      <w:r w:rsidRPr="00D270BC">
        <w:rPr>
          <w:rFonts w:ascii="Times New Roman" w:hAnsi="Times New Roman" w:cs="Times New Roman"/>
          <w:i/>
          <w:lang w:val="en-US"/>
        </w:rPr>
        <w:t xml:space="preserve"> Set</w:t>
      </w:r>
      <w:r w:rsidRPr="00D270BC">
        <w:rPr>
          <w:rFonts w:ascii="Times New Roman" w:hAnsi="Times New Roman" w:cs="Times New Roman"/>
          <w:i/>
          <w:vertAlign w:val="superscript"/>
          <w:lang w:val="en-US"/>
        </w:rPr>
        <w:t>2</w:t>
      </w:r>
      <w:r w:rsidR="00EC0AB8" w:rsidRPr="00D270BC">
        <w:rPr>
          <w:rFonts w:ascii="Times New Roman" w:hAnsi="Times New Roman" w:cs="Times New Roman"/>
          <w:i/>
          <w:lang w:val="en-US"/>
        </w:rPr>
        <w:t>,</w:t>
      </w:r>
      <w:r w:rsidRPr="00D270BC">
        <w:rPr>
          <w:rFonts w:ascii="Times New Roman" w:hAnsi="Times New Roman" w:cs="Times New Roman"/>
          <w:i/>
          <w:lang w:val="en-US"/>
        </w:rPr>
        <w:t>Gamze Dur</w:t>
      </w:r>
      <w:r w:rsidRPr="00D270BC">
        <w:rPr>
          <w:rFonts w:ascii="Times New Roman" w:hAnsi="Times New Roman" w:cs="Times New Roman"/>
          <w:i/>
          <w:vertAlign w:val="superscript"/>
          <w:lang w:val="en-US"/>
        </w:rPr>
        <w:t>3</w:t>
      </w:r>
      <w:r w:rsidR="00CD73CE" w:rsidRPr="00D270BC">
        <w:rPr>
          <w:rFonts w:ascii="Times New Roman" w:hAnsi="Times New Roman" w:cs="Times New Roman"/>
          <w:i/>
          <w:lang w:val="en-US"/>
        </w:rPr>
        <w:tab/>
      </w:r>
    </w:p>
    <w:p w14:paraId="022A34B5" w14:textId="77777777" w:rsidR="00F7346F" w:rsidRPr="00113439" w:rsidRDefault="00F7346F" w:rsidP="00DB1DEA">
      <w:pPr>
        <w:spacing w:line="240" w:lineRule="auto"/>
        <w:jc w:val="both"/>
        <w:rPr>
          <w:rFonts w:ascii="Times New Roman" w:eastAsia="Calibri" w:hAnsi="Times New Roman" w:cs="Times New Roman"/>
          <w:b/>
          <w:sz w:val="20"/>
          <w:szCs w:val="20"/>
          <w:lang w:val="en-US"/>
        </w:rPr>
      </w:pPr>
    </w:p>
    <w:p w14:paraId="2834BE5A" w14:textId="77777777" w:rsidR="00DB1DEA" w:rsidRPr="00F7346F" w:rsidRDefault="00DB1DEA" w:rsidP="00DB1DEA">
      <w:pPr>
        <w:spacing w:line="240" w:lineRule="auto"/>
        <w:jc w:val="both"/>
        <w:rPr>
          <w:rFonts w:ascii="Times New Roman" w:eastAsia="Calibri" w:hAnsi="Times New Roman" w:cs="Times New Roman"/>
          <w:b/>
          <w:sz w:val="20"/>
          <w:szCs w:val="20"/>
          <w:lang w:val="en-US"/>
        </w:rPr>
      </w:pPr>
      <w:r w:rsidRPr="00F7346F">
        <w:rPr>
          <w:rFonts w:ascii="Times New Roman" w:eastAsia="Calibri" w:hAnsi="Times New Roman" w:cs="Times New Roman"/>
          <w:b/>
          <w:sz w:val="20"/>
          <w:szCs w:val="20"/>
          <w:lang w:val="en-US"/>
        </w:rPr>
        <w:t xml:space="preserve">ABSTRACT </w:t>
      </w:r>
    </w:p>
    <w:p w14:paraId="0A7737D3" w14:textId="77777777" w:rsidR="000978CD" w:rsidRPr="00D270BC" w:rsidRDefault="00DB1DEA" w:rsidP="000978CD">
      <w:pPr>
        <w:spacing w:after="0" w:line="240" w:lineRule="auto"/>
        <w:jc w:val="both"/>
        <w:rPr>
          <w:rFonts w:ascii="Times New Roman" w:eastAsia="Calibri" w:hAnsi="Times New Roman" w:cs="Times New Roman"/>
          <w:sz w:val="18"/>
          <w:szCs w:val="18"/>
          <w:lang w:val="en-US"/>
        </w:rPr>
      </w:pPr>
      <w:r w:rsidRPr="00D270BC">
        <w:rPr>
          <w:rFonts w:ascii="Times New Roman" w:eastAsia="Calibri" w:hAnsi="Times New Roman" w:cs="Times New Roman"/>
          <w:b/>
          <w:sz w:val="18"/>
          <w:szCs w:val="18"/>
          <w:lang w:val="en-US"/>
        </w:rPr>
        <w:t>Aim/Background:</w:t>
      </w:r>
      <w:r w:rsidRPr="00D270BC">
        <w:rPr>
          <w:rFonts w:ascii="Times New Roman" w:eastAsia="Calibri" w:hAnsi="Times New Roman" w:cs="Times New Roman"/>
          <w:sz w:val="18"/>
          <w:szCs w:val="18"/>
          <w:lang w:val="en-US"/>
        </w:rPr>
        <w:t xml:space="preserve"> Obesity is an important problem facing healthcare givers. Obesity care requires a comprehensive approach including diet, exercise, frequent visits and counseling. Guidelines recommend frequent follow-up visits in the first three months. However, some patients fail to attend regularly. This study was intended to examine differences in body mass index (BMI) and body fat percentage (BFP) after weight loss among overweight subjects with regular and </w:t>
      </w:r>
      <w:r w:rsidR="000978CD" w:rsidRPr="00D270BC">
        <w:rPr>
          <w:rFonts w:ascii="Times New Roman" w:eastAsia="Calibri" w:hAnsi="Times New Roman" w:cs="Times New Roman"/>
          <w:sz w:val="18"/>
          <w:szCs w:val="18"/>
          <w:lang w:val="en-US"/>
        </w:rPr>
        <w:t xml:space="preserve">irregular follow-up attendance. </w:t>
      </w:r>
      <w:r w:rsidRPr="00D270BC">
        <w:rPr>
          <w:rFonts w:ascii="Times New Roman" w:eastAsia="Calibri" w:hAnsi="Times New Roman" w:cs="Times New Roman"/>
          <w:b/>
          <w:sz w:val="18"/>
          <w:szCs w:val="18"/>
          <w:lang w:val="en-US"/>
        </w:rPr>
        <w:t>Methods:</w:t>
      </w:r>
      <w:r w:rsidRPr="00D270BC">
        <w:rPr>
          <w:rFonts w:ascii="Times New Roman" w:eastAsia="Calibri" w:hAnsi="Times New Roman" w:cs="Times New Roman"/>
          <w:sz w:val="18"/>
          <w:szCs w:val="18"/>
          <w:lang w:val="en-US"/>
        </w:rPr>
        <w:t xml:space="preserve"> We designed a historical cohort study involving patients with BMI of ≥ 25 kg/m</w:t>
      </w:r>
      <w:r w:rsidRPr="00D270BC">
        <w:rPr>
          <w:rFonts w:ascii="Times New Roman" w:eastAsia="Calibri" w:hAnsi="Times New Roman" w:cs="Times New Roman"/>
          <w:sz w:val="18"/>
          <w:szCs w:val="18"/>
          <w:vertAlign w:val="superscript"/>
          <w:lang w:val="en-US"/>
        </w:rPr>
        <w:t>2</w:t>
      </w:r>
      <w:r w:rsidRPr="00D270BC">
        <w:rPr>
          <w:rFonts w:ascii="Times New Roman" w:eastAsia="Calibri" w:hAnsi="Times New Roman" w:cs="Times New Roman"/>
          <w:sz w:val="18"/>
          <w:szCs w:val="18"/>
          <w:lang w:val="en-US"/>
        </w:rPr>
        <w:t>. Decreases in BMI and BFP between regular follow-up and irregular follow-up groups were evaluat</w:t>
      </w:r>
      <w:r w:rsidR="000978CD" w:rsidRPr="00D270BC">
        <w:rPr>
          <w:rFonts w:ascii="Times New Roman" w:eastAsia="Calibri" w:hAnsi="Times New Roman" w:cs="Times New Roman"/>
          <w:sz w:val="18"/>
          <w:szCs w:val="18"/>
          <w:lang w:val="en-US"/>
        </w:rPr>
        <w:t xml:space="preserve">ed at the end of three months.  </w:t>
      </w:r>
      <w:r w:rsidRPr="00D270BC">
        <w:rPr>
          <w:rFonts w:ascii="Times New Roman" w:eastAsia="Calibri" w:hAnsi="Times New Roman" w:cs="Times New Roman"/>
          <w:b/>
          <w:sz w:val="18"/>
          <w:szCs w:val="18"/>
          <w:lang w:val="en-US"/>
        </w:rPr>
        <w:t>Results:</w:t>
      </w:r>
      <w:r w:rsidRPr="00D270BC">
        <w:rPr>
          <w:rFonts w:ascii="Times New Roman" w:eastAsia="Calibri" w:hAnsi="Times New Roman" w:cs="Times New Roman"/>
          <w:sz w:val="18"/>
          <w:szCs w:val="18"/>
          <w:lang w:val="en-US"/>
        </w:rPr>
        <w:t xml:space="preserve"> 186 patients, 156 women (83.9%) and 30 men (16.1%), with a mean age of 37.8 ± 12.0 years, met the inclusion criteria. One hundred twenty-seven patients (68.3%) attended regular follow-ups and 59 patients (31.7%) attended irregularly. Significant differences were found in BMI and fat percentages between the first visit and at the end of the 3rd month in both groups (p&lt;0.001). The differences in the decreases in BMI and BFP between the two gro</w:t>
      </w:r>
      <w:r w:rsidR="000978CD" w:rsidRPr="00D270BC">
        <w:rPr>
          <w:rFonts w:ascii="Times New Roman" w:eastAsia="Calibri" w:hAnsi="Times New Roman" w:cs="Times New Roman"/>
          <w:sz w:val="18"/>
          <w:szCs w:val="18"/>
          <w:lang w:val="en-US"/>
        </w:rPr>
        <w:t xml:space="preserve">ups were significant (p&lt;0.001). </w:t>
      </w:r>
      <w:r w:rsidRPr="00D270BC">
        <w:rPr>
          <w:rFonts w:ascii="Times New Roman" w:eastAsia="Calibri" w:hAnsi="Times New Roman" w:cs="Times New Roman"/>
          <w:b/>
          <w:sz w:val="18"/>
          <w:szCs w:val="18"/>
          <w:lang w:val="en-US"/>
        </w:rPr>
        <w:t>Conclusion:</w:t>
      </w:r>
      <w:r w:rsidRPr="00D270BC">
        <w:rPr>
          <w:rFonts w:ascii="Times New Roman" w:eastAsia="Calibri" w:hAnsi="Times New Roman" w:cs="Times New Roman"/>
          <w:sz w:val="18"/>
          <w:szCs w:val="18"/>
          <w:lang w:val="en-US"/>
        </w:rPr>
        <w:t xml:space="preserve"> Statistically significant differences were found between the regular and irregular follow-up groups in terms of decreases in BMI and fat percentages. Although regular follow-up of obese patients is recommended, even patients attending only irregularly can ac</w:t>
      </w:r>
      <w:r w:rsidR="000978CD" w:rsidRPr="00D270BC">
        <w:rPr>
          <w:rFonts w:ascii="Times New Roman" w:eastAsia="Calibri" w:hAnsi="Times New Roman" w:cs="Times New Roman"/>
          <w:sz w:val="18"/>
          <w:szCs w:val="18"/>
          <w:lang w:val="en-US"/>
        </w:rPr>
        <w:t xml:space="preserve">hieve significant weight loss. </w:t>
      </w:r>
    </w:p>
    <w:p w14:paraId="1AA55BD1" w14:textId="77777777" w:rsidR="00DB1DEA" w:rsidRPr="00D270BC" w:rsidRDefault="00DB1DEA" w:rsidP="000978CD">
      <w:pPr>
        <w:spacing w:after="0" w:line="240" w:lineRule="auto"/>
        <w:jc w:val="both"/>
        <w:rPr>
          <w:rFonts w:ascii="Times New Roman" w:eastAsia="Calibri" w:hAnsi="Times New Roman" w:cs="Times New Roman"/>
          <w:sz w:val="18"/>
          <w:szCs w:val="18"/>
          <w:lang w:val="en-US"/>
        </w:rPr>
      </w:pPr>
      <w:r w:rsidRPr="00D270BC">
        <w:rPr>
          <w:rFonts w:ascii="Times New Roman" w:eastAsia="Calibri" w:hAnsi="Times New Roman" w:cs="Times New Roman"/>
          <w:b/>
          <w:sz w:val="18"/>
          <w:szCs w:val="18"/>
          <w:lang w:val="en-US"/>
        </w:rPr>
        <w:t>Key words:</w:t>
      </w:r>
      <w:r w:rsidR="000978CD" w:rsidRPr="00D270BC">
        <w:rPr>
          <w:rFonts w:ascii="Times New Roman" w:eastAsia="Calibri" w:hAnsi="Times New Roman" w:cs="Times New Roman"/>
          <w:sz w:val="18"/>
          <w:szCs w:val="18"/>
          <w:lang w:val="en-US"/>
        </w:rPr>
        <w:t xml:space="preserve"> B</w:t>
      </w:r>
      <w:r w:rsidR="009F1C00" w:rsidRPr="00D270BC">
        <w:rPr>
          <w:rFonts w:ascii="Times New Roman" w:eastAsia="Calibri" w:hAnsi="Times New Roman" w:cs="Times New Roman"/>
          <w:sz w:val="18"/>
          <w:szCs w:val="18"/>
          <w:lang w:val="en-US"/>
        </w:rPr>
        <w:t>ody fat distribution, body mass index,</w:t>
      </w:r>
      <w:r w:rsidRPr="00D270BC">
        <w:rPr>
          <w:rFonts w:ascii="Times New Roman" w:eastAsia="Calibri" w:hAnsi="Times New Roman" w:cs="Times New Roman"/>
          <w:sz w:val="18"/>
          <w:szCs w:val="18"/>
          <w:lang w:val="en-US"/>
        </w:rPr>
        <w:t xml:space="preserve"> electric impeda</w:t>
      </w:r>
      <w:r w:rsidR="000978CD" w:rsidRPr="00D270BC">
        <w:rPr>
          <w:rFonts w:ascii="Times New Roman" w:eastAsia="Calibri" w:hAnsi="Times New Roman" w:cs="Times New Roman"/>
          <w:sz w:val="18"/>
          <w:szCs w:val="18"/>
          <w:lang w:val="en-US"/>
        </w:rPr>
        <w:t>nce</w:t>
      </w:r>
      <w:r w:rsidR="009F1C00" w:rsidRPr="00D270BC">
        <w:rPr>
          <w:rFonts w:ascii="Times New Roman" w:eastAsia="Calibri" w:hAnsi="Times New Roman" w:cs="Times New Roman"/>
          <w:sz w:val="18"/>
          <w:szCs w:val="18"/>
          <w:lang w:val="en-US"/>
        </w:rPr>
        <w:t xml:space="preserve">, obesity, </w:t>
      </w:r>
      <w:r w:rsidR="000978CD" w:rsidRPr="00D270BC">
        <w:rPr>
          <w:rFonts w:ascii="Times New Roman" w:eastAsia="Calibri" w:hAnsi="Times New Roman" w:cs="Times New Roman"/>
          <w:sz w:val="18"/>
          <w:szCs w:val="18"/>
          <w:lang w:val="en-US"/>
        </w:rPr>
        <w:t>overweight</w:t>
      </w:r>
    </w:p>
    <w:p w14:paraId="54C02350" w14:textId="77777777" w:rsidR="000978CD" w:rsidRPr="00D270BC" w:rsidRDefault="000978CD" w:rsidP="000978CD">
      <w:pPr>
        <w:spacing w:line="240" w:lineRule="auto"/>
        <w:jc w:val="both"/>
        <w:rPr>
          <w:rFonts w:ascii="Times New Roman" w:eastAsia="Calibri" w:hAnsi="Times New Roman" w:cs="Times New Roman"/>
          <w:b/>
          <w:sz w:val="18"/>
          <w:szCs w:val="18"/>
          <w:lang w:val="en-US"/>
        </w:rPr>
      </w:pPr>
    </w:p>
    <w:p w14:paraId="6A178B5A" w14:textId="77777777" w:rsidR="000978CD" w:rsidRPr="00113439" w:rsidRDefault="000978CD" w:rsidP="000978CD">
      <w:pPr>
        <w:spacing w:line="240" w:lineRule="auto"/>
        <w:jc w:val="both"/>
        <w:rPr>
          <w:rFonts w:ascii="Times New Roman" w:eastAsia="Calibri" w:hAnsi="Times New Roman" w:cs="Times New Roman"/>
          <w:b/>
          <w:sz w:val="20"/>
          <w:szCs w:val="20"/>
          <w:lang w:val="en-US"/>
        </w:rPr>
      </w:pPr>
      <w:r w:rsidRPr="00113439">
        <w:rPr>
          <w:rFonts w:ascii="Times New Roman" w:eastAsia="Calibri" w:hAnsi="Times New Roman" w:cs="Times New Roman"/>
          <w:b/>
          <w:sz w:val="20"/>
          <w:szCs w:val="20"/>
          <w:lang w:val="en-US"/>
        </w:rPr>
        <w:t>ÖZET</w:t>
      </w:r>
    </w:p>
    <w:p w14:paraId="2449ECFD" w14:textId="20C69E3B" w:rsidR="000978CD" w:rsidRPr="00D270BC" w:rsidRDefault="000978CD" w:rsidP="000978CD">
      <w:pPr>
        <w:spacing w:after="0" w:line="240" w:lineRule="auto"/>
        <w:jc w:val="both"/>
        <w:rPr>
          <w:rFonts w:ascii="Times New Roman" w:eastAsia="Calibri" w:hAnsi="Times New Roman" w:cs="Times New Roman"/>
          <w:sz w:val="18"/>
          <w:szCs w:val="18"/>
          <w:lang w:val="en-US"/>
        </w:rPr>
      </w:pPr>
      <w:proofErr w:type="spellStart"/>
      <w:r w:rsidRPr="00D270BC">
        <w:rPr>
          <w:rFonts w:ascii="Times New Roman" w:eastAsia="Calibri" w:hAnsi="Times New Roman" w:cs="Times New Roman"/>
          <w:b/>
          <w:sz w:val="18"/>
          <w:szCs w:val="18"/>
          <w:lang w:val="en-US"/>
        </w:rPr>
        <w:t>Amaç</w:t>
      </w:r>
      <w:proofErr w:type="spellEnd"/>
      <w:r w:rsidRPr="00D270BC">
        <w:rPr>
          <w:rFonts w:ascii="Times New Roman" w:eastAsia="Calibri" w:hAnsi="Times New Roman" w:cs="Times New Roman"/>
          <w:b/>
          <w:sz w:val="18"/>
          <w:szCs w:val="18"/>
          <w:lang w:val="en-US"/>
        </w:rPr>
        <w:t>:</w:t>
      </w:r>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Obezite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sağlık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hizmeti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verenlerin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karşılaştığı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önemli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bir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sorundur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Obezite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bakımı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diyet</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egzersiz</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sık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izlem</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danışmanlığı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içeren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kapsamlı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bir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yaklaşım</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gerektirir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Kılavuzlar</w:t>
      </w:r>
      <w:proofErr w:type="spellEnd"/>
      <w:r w:rsidRPr="00D270BC">
        <w:rPr>
          <w:rFonts w:ascii="Times New Roman" w:eastAsia="Calibri" w:hAnsi="Times New Roman" w:cs="Times New Roman"/>
          <w:sz w:val="18"/>
          <w:szCs w:val="18"/>
          <w:lang w:val="en-US"/>
        </w:rPr>
        <w:t xml:space="preserve"> ilk </w:t>
      </w:r>
      <w:proofErr w:type="spellStart"/>
      <w:r w:rsidRPr="00D270BC">
        <w:rPr>
          <w:rFonts w:ascii="Times New Roman" w:eastAsia="Calibri" w:hAnsi="Times New Roman" w:cs="Times New Roman"/>
          <w:sz w:val="18"/>
          <w:szCs w:val="18"/>
          <w:lang w:val="en-US"/>
        </w:rPr>
        <w:t>üç</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ayda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sık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takip</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ziyaretleri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yapılmasını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önermektedir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Ancak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bazı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hastalar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takiplere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düzenli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olarak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katılamamaktadır</w:t>
      </w:r>
      <w:proofErr w:type="spellEnd"/>
      <w:r w:rsidRPr="00D270BC">
        <w:rPr>
          <w:rFonts w:ascii="Times New Roman" w:eastAsia="Calibri" w:hAnsi="Times New Roman" w:cs="Times New Roman"/>
          <w:sz w:val="18"/>
          <w:szCs w:val="18"/>
          <w:lang w:val="en-US"/>
        </w:rPr>
        <w:t xml:space="preserve">. Bu </w:t>
      </w:r>
      <w:proofErr w:type="spellStart"/>
      <w:r w:rsidRPr="00D270BC">
        <w:rPr>
          <w:rFonts w:ascii="Times New Roman" w:eastAsia="Calibri" w:hAnsi="Times New Roman" w:cs="Times New Roman"/>
          <w:sz w:val="18"/>
          <w:szCs w:val="18"/>
          <w:lang w:val="en-US"/>
        </w:rPr>
        <w:t>çalışma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düzenli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düzensiz</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izlem</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sıklığına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sahip</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olan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fazla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kilolu</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bireyler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arasında</w:t>
      </w:r>
      <w:proofErr w:type="spellEnd"/>
      <w:r w:rsidRPr="00D270BC">
        <w:rPr>
          <w:rFonts w:ascii="Times New Roman" w:eastAsia="Calibri" w:hAnsi="Times New Roman" w:cs="Times New Roman"/>
          <w:sz w:val="18"/>
          <w:szCs w:val="18"/>
          <w:lang w:val="en-US"/>
        </w:rPr>
        <w:t xml:space="preserve">, kilo </w:t>
      </w:r>
      <w:proofErr w:type="spellStart"/>
      <w:r w:rsidRPr="00D270BC">
        <w:rPr>
          <w:rFonts w:ascii="Times New Roman" w:eastAsia="Calibri" w:hAnsi="Times New Roman" w:cs="Times New Roman"/>
          <w:sz w:val="18"/>
          <w:szCs w:val="18"/>
          <w:lang w:val="en-US"/>
        </w:rPr>
        <w:t>verdikten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sonra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beden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kitle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indeksi</w:t>
      </w:r>
      <w:proofErr w:type="spellEnd"/>
      <w:r w:rsidRPr="00D270BC">
        <w:rPr>
          <w:rFonts w:ascii="Times New Roman" w:eastAsia="Calibri" w:hAnsi="Times New Roman" w:cs="Times New Roman"/>
          <w:sz w:val="18"/>
          <w:szCs w:val="18"/>
          <w:lang w:val="en-US"/>
        </w:rPr>
        <w:t xml:space="preserve"> (BKİ)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vücut</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yağ</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yüzdesi</w:t>
      </w:r>
      <w:proofErr w:type="spellEnd"/>
      <w:r w:rsidRPr="00D270BC">
        <w:rPr>
          <w:rFonts w:ascii="Times New Roman" w:eastAsia="Calibri" w:hAnsi="Times New Roman" w:cs="Times New Roman"/>
          <w:sz w:val="18"/>
          <w:szCs w:val="18"/>
          <w:lang w:val="en-US"/>
        </w:rPr>
        <w:t xml:space="preserve"> (</w:t>
      </w:r>
      <w:r w:rsidR="00E946CB">
        <w:rPr>
          <w:rFonts w:ascii="Times New Roman" w:eastAsia="Calibri" w:hAnsi="Times New Roman" w:cs="Times New Roman"/>
          <w:sz w:val="18"/>
          <w:szCs w:val="18"/>
          <w:lang w:val="en-US"/>
        </w:rPr>
        <w:t>BFP</w:t>
      </w:r>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arasındaki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farkları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incelemeyi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amaçlamıştır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b/>
          <w:sz w:val="18"/>
          <w:szCs w:val="18"/>
          <w:lang w:val="en-US"/>
        </w:rPr>
        <w:t>Yöntem</w:t>
      </w:r>
      <w:proofErr w:type="spellEnd"/>
      <w:r w:rsidRPr="00D270BC">
        <w:rPr>
          <w:rFonts w:ascii="Times New Roman" w:eastAsia="Calibri" w:hAnsi="Times New Roman" w:cs="Times New Roman"/>
          <w:b/>
          <w:sz w:val="18"/>
          <w:szCs w:val="18"/>
          <w:lang w:val="en-US"/>
        </w:rPr>
        <w:t>:</w:t>
      </w:r>
      <w:r w:rsidRPr="00D270BC">
        <w:rPr>
          <w:rFonts w:ascii="Times New Roman" w:eastAsia="Calibri" w:hAnsi="Times New Roman" w:cs="Times New Roman"/>
          <w:sz w:val="18"/>
          <w:szCs w:val="18"/>
          <w:lang w:val="en-US"/>
        </w:rPr>
        <w:t xml:space="preserve"> BKİ ≥ 25 kg / m</w:t>
      </w:r>
      <w:r w:rsidRPr="00D270BC">
        <w:rPr>
          <w:rFonts w:ascii="Times New Roman" w:eastAsia="Calibri" w:hAnsi="Times New Roman" w:cs="Times New Roman"/>
          <w:sz w:val="18"/>
          <w:szCs w:val="18"/>
          <w:vertAlign w:val="superscript"/>
          <w:lang w:val="en-US"/>
        </w:rPr>
        <w:t>2</w:t>
      </w:r>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olan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hastaları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içeren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bir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retrospektif</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kohort</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çalışması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tasarladık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Düzenli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düzensiz</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takip</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grupları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arasında</w:t>
      </w:r>
      <w:proofErr w:type="spellEnd"/>
      <w:r w:rsidRPr="00D270BC">
        <w:rPr>
          <w:rFonts w:ascii="Times New Roman" w:eastAsia="Calibri" w:hAnsi="Times New Roman" w:cs="Times New Roman"/>
          <w:sz w:val="18"/>
          <w:szCs w:val="18"/>
          <w:lang w:val="en-US"/>
        </w:rPr>
        <w:t xml:space="preserve">, BKİ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BFP' de </w:t>
      </w:r>
      <w:proofErr w:type="spellStart"/>
      <w:r w:rsidRPr="00D270BC">
        <w:rPr>
          <w:rFonts w:ascii="Times New Roman" w:eastAsia="Calibri" w:hAnsi="Times New Roman" w:cs="Times New Roman"/>
          <w:sz w:val="18"/>
          <w:szCs w:val="18"/>
          <w:lang w:val="en-US"/>
        </w:rPr>
        <w:t>düşüş</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üç</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ayın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sonunda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değerlendirildi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b/>
          <w:sz w:val="18"/>
          <w:szCs w:val="18"/>
          <w:lang w:val="en-US"/>
        </w:rPr>
        <w:t>Bulgular</w:t>
      </w:r>
      <w:proofErr w:type="spellEnd"/>
      <w:r w:rsidRPr="00D270BC">
        <w:rPr>
          <w:rFonts w:ascii="Times New Roman" w:eastAsia="Calibri" w:hAnsi="Times New Roman" w:cs="Times New Roman"/>
          <w:b/>
          <w:sz w:val="18"/>
          <w:szCs w:val="18"/>
          <w:lang w:val="en-US"/>
        </w:rPr>
        <w:t>:</w:t>
      </w:r>
      <w:r w:rsidRPr="00D270BC">
        <w:rPr>
          <w:rFonts w:ascii="Times New Roman" w:eastAsia="Calibri" w:hAnsi="Times New Roman" w:cs="Times New Roman"/>
          <w:sz w:val="18"/>
          <w:szCs w:val="18"/>
          <w:lang w:val="en-US"/>
        </w:rPr>
        <w:t xml:space="preserve"> Dahil </w:t>
      </w:r>
      <w:proofErr w:type="spellStart"/>
      <w:r w:rsidRPr="00D270BC">
        <w:rPr>
          <w:rFonts w:ascii="Times New Roman" w:eastAsia="Calibri" w:hAnsi="Times New Roman" w:cs="Times New Roman"/>
          <w:sz w:val="18"/>
          <w:szCs w:val="18"/>
          <w:lang w:val="en-US"/>
        </w:rPr>
        <w:t>etme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kritelerini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karşılayan</w:t>
      </w:r>
      <w:proofErr w:type="spellEnd"/>
      <w:r w:rsidRPr="00D270BC">
        <w:rPr>
          <w:rFonts w:ascii="Times New Roman" w:eastAsia="Calibri" w:hAnsi="Times New Roman" w:cs="Times New Roman"/>
          <w:sz w:val="18"/>
          <w:szCs w:val="18"/>
          <w:lang w:val="en-US"/>
        </w:rPr>
        <w:t xml:space="preserve"> 186 </w:t>
      </w:r>
      <w:proofErr w:type="spellStart"/>
      <w:r w:rsidRPr="00D270BC">
        <w:rPr>
          <w:rFonts w:ascii="Times New Roman" w:eastAsia="Calibri" w:hAnsi="Times New Roman" w:cs="Times New Roman"/>
          <w:sz w:val="18"/>
          <w:szCs w:val="18"/>
          <w:lang w:val="en-US"/>
        </w:rPr>
        <w:t>hastanın</w:t>
      </w:r>
      <w:proofErr w:type="spellEnd"/>
      <w:r w:rsidRPr="00D270BC">
        <w:rPr>
          <w:rFonts w:ascii="Times New Roman" w:eastAsia="Calibri" w:hAnsi="Times New Roman" w:cs="Times New Roman"/>
          <w:sz w:val="18"/>
          <w:szCs w:val="18"/>
          <w:lang w:val="en-US"/>
        </w:rPr>
        <w:t xml:space="preserve">, 156’sı </w:t>
      </w:r>
      <w:proofErr w:type="spellStart"/>
      <w:r w:rsidRPr="00D270BC">
        <w:rPr>
          <w:rFonts w:ascii="Times New Roman" w:eastAsia="Calibri" w:hAnsi="Times New Roman" w:cs="Times New Roman"/>
          <w:sz w:val="18"/>
          <w:szCs w:val="18"/>
          <w:lang w:val="en-US"/>
        </w:rPr>
        <w:t>kadın</w:t>
      </w:r>
      <w:proofErr w:type="spellEnd"/>
      <w:r w:rsidRPr="00D270BC">
        <w:rPr>
          <w:rFonts w:ascii="Times New Roman" w:eastAsia="Calibri" w:hAnsi="Times New Roman" w:cs="Times New Roman"/>
          <w:sz w:val="18"/>
          <w:szCs w:val="18"/>
          <w:lang w:val="en-US"/>
        </w:rPr>
        <w:t xml:space="preserve"> (% 83,9)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30’u </w:t>
      </w:r>
      <w:proofErr w:type="spellStart"/>
      <w:r w:rsidRPr="00D270BC">
        <w:rPr>
          <w:rFonts w:ascii="Times New Roman" w:eastAsia="Calibri" w:hAnsi="Times New Roman" w:cs="Times New Roman"/>
          <w:sz w:val="18"/>
          <w:szCs w:val="18"/>
          <w:lang w:val="en-US"/>
        </w:rPr>
        <w:t>erkek</w:t>
      </w:r>
      <w:proofErr w:type="spellEnd"/>
      <w:r w:rsidRPr="00D270BC">
        <w:rPr>
          <w:rFonts w:ascii="Times New Roman" w:eastAsia="Calibri" w:hAnsi="Times New Roman" w:cs="Times New Roman"/>
          <w:sz w:val="18"/>
          <w:szCs w:val="18"/>
          <w:lang w:val="en-US"/>
        </w:rPr>
        <w:t xml:space="preserve"> (% 16,1), </w:t>
      </w:r>
      <w:proofErr w:type="spellStart"/>
      <w:r w:rsidRPr="00D270BC">
        <w:rPr>
          <w:rFonts w:ascii="Times New Roman" w:eastAsia="Calibri" w:hAnsi="Times New Roman" w:cs="Times New Roman"/>
          <w:sz w:val="18"/>
          <w:szCs w:val="18"/>
          <w:lang w:val="en-US"/>
        </w:rPr>
        <w:t>yaş</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ortalaması</w:t>
      </w:r>
      <w:proofErr w:type="spellEnd"/>
      <w:r w:rsidRPr="00D270BC">
        <w:rPr>
          <w:rFonts w:ascii="Times New Roman" w:eastAsia="Calibri" w:hAnsi="Times New Roman" w:cs="Times New Roman"/>
          <w:sz w:val="18"/>
          <w:szCs w:val="18"/>
          <w:lang w:val="en-US"/>
        </w:rPr>
        <w:t xml:space="preserve"> 37,8 ± 12,0 </w:t>
      </w:r>
      <w:proofErr w:type="spellStart"/>
      <w:r w:rsidRPr="00D270BC">
        <w:rPr>
          <w:rFonts w:ascii="Times New Roman" w:eastAsia="Calibri" w:hAnsi="Times New Roman" w:cs="Times New Roman"/>
          <w:sz w:val="18"/>
          <w:szCs w:val="18"/>
          <w:lang w:val="en-US"/>
        </w:rPr>
        <w:t>yıl</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idi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Takiplere</w:t>
      </w:r>
      <w:proofErr w:type="spellEnd"/>
      <w:r w:rsidRPr="00D270BC">
        <w:rPr>
          <w:rFonts w:ascii="Times New Roman" w:eastAsia="Calibri" w:hAnsi="Times New Roman" w:cs="Times New Roman"/>
          <w:sz w:val="18"/>
          <w:szCs w:val="18"/>
          <w:lang w:val="en-US"/>
        </w:rPr>
        <w:t xml:space="preserve"> 127 hasta (% 68,3) </w:t>
      </w:r>
      <w:proofErr w:type="spellStart"/>
      <w:r w:rsidRPr="00D270BC">
        <w:rPr>
          <w:rFonts w:ascii="Times New Roman" w:eastAsia="Calibri" w:hAnsi="Times New Roman" w:cs="Times New Roman"/>
          <w:sz w:val="18"/>
          <w:szCs w:val="18"/>
          <w:lang w:val="en-US"/>
        </w:rPr>
        <w:t>düzenli</w:t>
      </w:r>
      <w:proofErr w:type="spellEnd"/>
      <w:r w:rsidRPr="00D270BC">
        <w:rPr>
          <w:rFonts w:ascii="Times New Roman" w:eastAsia="Calibri" w:hAnsi="Times New Roman" w:cs="Times New Roman"/>
          <w:sz w:val="18"/>
          <w:szCs w:val="18"/>
          <w:lang w:val="en-US"/>
        </w:rPr>
        <w:t xml:space="preserve">, 59 hasta (% 31,7) </w:t>
      </w:r>
      <w:proofErr w:type="spellStart"/>
      <w:r w:rsidRPr="00D270BC">
        <w:rPr>
          <w:rFonts w:ascii="Times New Roman" w:eastAsia="Calibri" w:hAnsi="Times New Roman" w:cs="Times New Roman"/>
          <w:sz w:val="18"/>
          <w:szCs w:val="18"/>
          <w:lang w:val="en-US"/>
        </w:rPr>
        <w:t>düzensiz</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olarak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katılmıştı</w:t>
      </w:r>
      <w:proofErr w:type="spellEnd"/>
      <w:r w:rsidRPr="00D270BC">
        <w:rPr>
          <w:rFonts w:ascii="Times New Roman" w:eastAsia="Calibri" w:hAnsi="Times New Roman" w:cs="Times New Roman"/>
          <w:sz w:val="18"/>
          <w:szCs w:val="18"/>
          <w:lang w:val="en-US"/>
        </w:rPr>
        <w:t xml:space="preserve">. Her </w:t>
      </w:r>
      <w:proofErr w:type="spellStart"/>
      <w:r w:rsidRPr="00D270BC">
        <w:rPr>
          <w:rFonts w:ascii="Times New Roman" w:eastAsia="Calibri" w:hAnsi="Times New Roman" w:cs="Times New Roman"/>
          <w:sz w:val="18"/>
          <w:szCs w:val="18"/>
          <w:lang w:val="en-US"/>
        </w:rPr>
        <w:t>iki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grupta</w:t>
      </w:r>
      <w:proofErr w:type="spellEnd"/>
      <w:r w:rsidRPr="00D270BC">
        <w:rPr>
          <w:rFonts w:ascii="Times New Roman" w:eastAsia="Calibri" w:hAnsi="Times New Roman" w:cs="Times New Roman"/>
          <w:sz w:val="18"/>
          <w:szCs w:val="18"/>
          <w:lang w:val="en-US"/>
        </w:rPr>
        <w:t xml:space="preserve"> da ilk </w:t>
      </w:r>
      <w:proofErr w:type="spellStart"/>
      <w:r w:rsidRPr="00D270BC">
        <w:rPr>
          <w:rFonts w:ascii="Times New Roman" w:eastAsia="Calibri" w:hAnsi="Times New Roman" w:cs="Times New Roman"/>
          <w:sz w:val="18"/>
          <w:szCs w:val="18"/>
          <w:lang w:val="en-US"/>
        </w:rPr>
        <w:t>ziyaret</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3. ay </w:t>
      </w:r>
      <w:proofErr w:type="spellStart"/>
      <w:r w:rsidRPr="00D270BC">
        <w:rPr>
          <w:rFonts w:ascii="Times New Roman" w:eastAsia="Calibri" w:hAnsi="Times New Roman" w:cs="Times New Roman"/>
          <w:sz w:val="18"/>
          <w:szCs w:val="18"/>
          <w:lang w:val="en-US"/>
        </w:rPr>
        <w:t>sonunda</w:t>
      </w:r>
      <w:proofErr w:type="spellEnd"/>
      <w:r w:rsidRPr="00D270BC">
        <w:rPr>
          <w:rFonts w:ascii="Times New Roman" w:eastAsia="Calibri" w:hAnsi="Times New Roman" w:cs="Times New Roman"/>
          <w:sz w:val="18"/>
          <w:szCs w:val="18"/>
          <w:lang w:val="en-US"/>
        </w:rPr>
        <w:t xml:space="preserve"> BKİ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yağ</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yüzdelerinde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anlamlı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farklılıklar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gözlendi</w:t>
      </w:r>
      <w:proofErr w:type="spellEnd"/>
      <w:r w:rsidRPr="00D270BC">
        <w:rPr>
          <w:rFonts w:ascii="Times New Roman" w:eastAsia="Calibri" w:hAnsi="Times New Roman" w:cs="Times New Roman"/>
          <w:sz w:val="18"/>
          <w:szCs w:val="18"/>
          <w:lang w:val="en-US"/>
        </w:rPr>
        <w:t xml:space="preserve"> (p &lt;0,001). </w:t>
      </w:r>
      <w:proofErr w:type="spellStart"/>
      <w:r w:rsidRPr="00D270BC">
        <w:rPr>
          <w:rFonts w:ascii="Times New Roman" w:eastAsia="Calibri" w:hAnsi="Times New Roman" w:cs="Times New Roman"/>
          <w:sz w:val="18"/>
          <w:szCs w:val="18"/>
          <w:lang w:val="en-US"/>
        </w:rPr>
        <w:t>İki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grup</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arasında</w:t>
      </w:r>
      <w:proofErr w:type="spellEnd"/>
      <w:r w:rsidRPr="00D270BC">
        <w:rPr>
          <w:rFonts w:ascii="Times New Roman" w:eastAsia="Calibri" w:hAnsi="Times New Roman" w:cs="Times New Roman"/>
          <w:sz w:val="18"/>
          <w:szCs w:val="18"/>
          <w:lang w:val="en-US"/>
        </w:rPr>
        <w:t xml:space="preserve"> BKİ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BFP'deki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azalmadaki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farklar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anlamlıydı</w:t>
      </w:r>
      <w:proofErr w:type="spellEnd"/>
      <w:r w:rsidRPr="00D270BC">
        <w:rPr>
          <w:rFonts w:ascii="Times New Roman" w:eastAsia="Calibri" w:hAnsi="Times New Roman" w:cs="Times New Roman"/>
          <w:sz w:val="18"/>
          <w:szCs w:val="18"/>
          <w:lang w:val="en-US"/>
        </w:rPr>
        <w:t xml:space="preserve"> (p &lt;0,001). </w:t>
      </w:r>
      <w:proofErr w:type="spellStart"/>
      <w:r w:rsidRPr="00D270BC">
        <w:rPr>
          <w:rFonts w:ascii="Times New Roman" w:eastAsia="Calibri" w:hAnsi="Times New Roman" w:cs="Times New Roman"/>
          <w:b/>
          <w:sz w:val="18"/>
          <w:szCs w:val="18"/>
          <w:lang w:val="en-US"/>
        </w:rPr>
        <w:t>Sonuç</w:t>
      </w:r>
      <w:proofErr w:type="spellEnd"/>
      <w:r w:rsidRPr="00D270BC">
        <w:rPr>
          <w:rFonts w:ascii="Times New Roman" w:eastAsia="Calibri" w:hAnsi="Times New Roman" w:cs="Times New Roman"/>
          <w:b/>
          <w:sz w:val="18"/>
          <w:szCs w:val="18"/>
          <w:lang w:val="en-US"/>
        </w:rPr>
        <w:t>:</w:t>
      </w:r>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Düzenli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düzensiz</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takip</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grupları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arasında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BKİ'deki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ve</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yağ</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yüzdeleri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açısından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azalmalarda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istatistiksel</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olarak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anlamlı</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farklılıklar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gözlendi</w:t>
      </w:r>
      <w:proofErr w:type="spellEnd"/>
      <w:r w:rsidRPr="00D270BC">
        <w:rPr>
          <w:rFonts w:ascii="Times New Roman" w:eastAsia="Calibri" w:hAnsi="Times New Roman" w:cs="Times New Roman"/>
          <w:sz w:val="18"/>
          <w:szCs w:val="18"/>
          <w:lang w:val="en-US"/>
        </w:rPr>
        <w:t xml:space="preserve">. Her ne </w:t>
      </w:r>
      <w:proofErr w:type="spellStart"/>
      <w:r w:rsidRPr="00D270BC">
        <w:rPr>
          <w:rFonts w:ascii="Times New Roman" w:eastAsia="Calibri" w:hAnsi="Times New Roman" w:cs="Times New Roman"/>
          <w:sz w:val="18"/>
          <w:szCs w:val="18"/>
          <w:lang w:val="en-US"/>
        </w:rPr>
        <w:t>kadar</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obez</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hastaların</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düzenli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olarak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izlenmesi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önerilse</w:t>
      </w:r>
      <w:proofErr w:type="spellEnd"/>
      <w:r w:rsidRPr="00D270BC">
        <w:rPr>
          <w:rFonts w:ascii="Times New Roman" w:eastAsia="Calibri" w:hAnsi="Times New Roman" w:cs="Times New Roman"/>
          <w:sz w:val="18"/>
          <w:szCs w:val="18"/>
          <w:lang w:val="en-US"/>
        </w:rPr>
        <w:t xml:space="preserve"> de, </w:t>
      </w:r>
      <w:proofErr w:type="spellStart"/>
      <w:r w:rsidRPr="00D270BC">
        <w:rPr>
          <w:rFonts w:ascii="Times New Roman" w:eastAsia="Calibri" w:hAnsi="Times New Roman" w:cs="Times New Roman"/>
          <w:sz w:val="18"/>
          <w:szCs w:val="18"/>
          <w:lang w:val="en-US"/>
        </w:rPr>
        <w:t>düzensiz</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takipli</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hastalar</w:t>
      </w:r>
      <w:proofErr w:type="spellEnd"/>
      <w:r w:rsidRPr="00D270BC">
        <w:rPr>
          <w:rFonts w:ascii="Times New Roman" w:eastAsia="Calibri" w:hAnsi="Times New Roman" w:cs="Times New Roman"/>
          <w:sz w:val="18"/>
          <w:szCs w:val="18"/>
          <w:lang w:val="en-US"/>
        </w:rPr>
        <w:t xml:space="preserve"> bile </w:t>
      </w:r>
      <w:proofErr w:type="spellStart"/>
      <w:r w:rsidRPr="00D270BC">
        <w:rPr>
          <w:rFonts w:ascii="Times New Roman" w:eastAsia="Calibri" w:hAnsi="Times New Roman" w:cs="Times New Roman"/>
          <w:sz w:val="18"/>
          <w:szCs w:val="18"/>
          <w:lang w:val="en-US"/>
        </w:rPr>
        <w:t>anlamlı</w:t>
      </w:r>
      <w:proofErr w:type="spellEnd"/>
      <w:r w:rsidRPr="00D270BC">
        <w:rPr>
          <w:rFonts w:ascii="Times New Roman" w:eastAsia="Calibri" w:hAnsi="Times New Roman" w:cs="Times New Roman"/>
          <w:sz w:val="18"/>
          <w:szCs w:val="18"/>
          <w:lang w:val="en-US"/>
        </w:rPr>
        <w:t xml:space="preserve"> kilo </w:t>
      </w:r>
      <w:proofErr w:type="spellStart"/>
      <w:r w:rsidRPr="00D270BC">
        <w:rPr>
          <w:rFonts w:ascii="Times New Roman" w:eastAsia="Calibri" w:hAnsi="Times New Roman" w:cs="Times New Roman"/>
          <w:sz w:val="18"/>
          <w:szCs w:val="18"/>
          <w:lang w:val="en-US"/>
        </w:rPr>
        <w:t>verebilirler</w:t>
      </w:r>
      <w:proofErr w:type="spellEnd"/>
      <w:r w:rsidRPr="00D270BC">
        <w:rPr>
          <w:rFonts w:ascii="Times New Roman" w:eastAsia="Calibri" w:hAnsi="Times New Roman" w:cs="Times New Roman"/>
          <w:sz w:val="18"/>
          <w:szCs w:val="18"/>
          <w:lang w:val="en-US"/>
        </w:rPr>
        <w:t>.</w:t>
      </w:r>
    </w:p>
    <w:p w14:paraId="431571F6" w14:textId="77777777" w:rsidR="000978CD" w:rsidRPr="00D270BC" w:rsidRDefault="000978CD" w:rsidP="000978CD">
      <w:pPr>
        <w:spacing w:after="0" w:line="240" w:lineRule="auto"/>
        <w:jc w:val="both"/>
        <w:rPr>
          <w:rFonts w:ascii="Times New Roman" w:eastAsia="Calibri" w:hAnsi="Times New Roman" w:cs="Times New Roman"/>
          <w:sz w:val="18"/>
          <w:szCs w:val="18"/>
          <w:lang w:val="en-US"/>
        </w:rPr>
      </w:pPr>
      <w:proofErr w:type="spellStart"/>
      <w:r w:rsidRPr="00D270BC">
        <w:rPr>
          <w:rFonts w:ascii="Times New Roman" w:eastAsia="Calibri" w:hAnsi="Times New Roman" w:cs="Times New Roman"/>
          <w:b/>
          <w:sz w:val="18"/>
          <w:szCs w:val="18"/>
          <w:lang w:val="en-US"/>
        </w:rPr>
        <w:t>Anahtar</w:t>
      </w:r>
      <w:proofErr w:type="spellEnd"/>
      <w:r w:rsidRPr="00D270BC">
        <w:rPr>
          <w:rFonts w:ascii="Times New Roman" w:eastAsia="Calibri" w:hAnsi="Times New Roman" w:cs="Times New Roman"/>
          <w:b/>
          <w:sz w:val="18"/>
          <w:szCs w:val="18"/>
          <w:lang w:val="en-US"/>
        </w:rPr>
        <w:t xml:space="preserve"> </w:t>
      </w:r>
      <w:proofErr w:type="spellStart"/>
      <w:r w:rsidRPr="00D270BC">
        <w:rPr>
          <w:rFonts w:ascii="Times New Roman" w:eastAsia="Calibri" w:hAnsi="Times New Roman" w:cs="Times New Roman"/>
          <w:b/>
          <w:sz w:val="18"/>
          <w:szCs w:val="18"/>
          <w:lang w:val="en-US"/>
        </w:rPr>
        <w:t>kelimeler</w:t>
      </w:r>
      <w:proofErr w:type="spellEnd"/>
      <w:r w:rsidRPr="00D270BC">
        <w:rPr>
          <w:rFonts w:ascii="Times New Roman" w:eastAsia="Calibri" w:hAnsi="Times New Roman" w:cs="Times New Roman"/>
          <w:b/>
          <w:sz w:val="18"/>
          <w:szCs w:val="18"/>
          <w:lang w:val="en-US"/>
        </w:rPr>
        <w:t>:</w:t>
      </w:r>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V</w:t>
      </w:r>
      <w:r w:rsidR="0013463F" w:rsidRPr="00D270BC">
        <w:rPr>
          <w:rFonts w:ascii="Times New Roman" w:eastAsia="Calibri" w:hAnsi="Times New Roman" w:cs="Times New Roman"/>
          <w:sz w:val="18"/>
          <w:szCs w:val="18"/>
          <w:lang w:val="en-US"/>
        </w:rPr>
        <w:t>ücut</w:t>
      </w:r>
      <w:proofErr w:type="spellEnd"/>
      <w:r w:rsidR="0013463F" w:rsidRPr="00D270BC">
        <w:rPr>
          <w:rFonts w:ascii="Times New Roman" w:eastAsia="Calibri" w:hAnsi="Times New Roman" w:cs="Times New Roman"/>
          <w:sz w:val="18"/>
          <w:szCs w:val="18"/>
          <w:lang w:val="en-US"/>
        </w:rPr>
        <w:t xml:space="preserve"> </w:t>
      </w:r>
      <w:proofErr w:type="spellStart"/>
      <w:r w:rsidR="0013463F" w:rsidRPr="00D270BC">
        <w:rPr>
          <w:rFonts w:ascii="Times New Roman" w:eastAsia="Calibri" w:hAnsi="Times New Roman" w:cs="Times New Roman"/>
          <w:sz w:val="18"/>
          <w:szCs w:val="18"/>
          <w:lang w:val="en-US"/>
        </w:rPr>
        <w:t>yağ</w:t>
      </w:r>
      <w:proofErr w:type="spellEnd"/>
      <w:r w:rsidR="0013463F" w:rsidRPr="00D270BC">
        <w:rPr>
          <w:rFonts w:ascii="Times New Roman" w:eastAsia="Calibri" w:hAnsi="Times New Roman" w:cs="Times New Roman"/>
          <w:sz w:val="18"/>
          <w:szCs w:val="18"/>
          <w:lang w:val="en-US"/>
        </w:rPr>
        <w:t xml:space="preserve"> </w:t>
      </w:r>
      <w:proofErr w:type="spellStart"/>
      <w:r w:rsidR="0013463F" w:rsidRPr="00D270BC">
        <w:rPr>
          <w:rFonts w:ascii="Times New Roman" w:eastAsia="Calibri" w:hAnsi="Times New Roman" w:cs="Times New Roman"/>
          <w:sz w:val="18"/>
          <w:szCs w:val="18"/>
          <w:lang w:val="en-US"/>
        </w:rPr>
        <w:t>dağılımı</w:t>
      </w:r>
      <w:proofErr w:type="spellEnd"/>
      <w:r w:rsidR="0013463F" w:rsidRPr="00D270BC">
        <w:rPr>
          <w:rFonts w:ascii="Times New Roman" w:eastAsia="Calibri" w:hAnsi="Times New Roman" w:cs="Times New Roman"/>
          <w:sz w:val="18"/>
          <w:szCs w:val="18"/>
          <w:lang w:val="en-US"/>
        </w:rPr>
        <w:t xml:space="preserve">, </w:t>
      </w:r>
      <w:proofErr w:type="spellStart"/>
      <w:r w:rsidR="0013463F" w:rsidRPr="00D270BC">
        <w:rPr>
          <w:rFonts w:ascii="Times New Roman" w:eastAsia="Calibri" w:hAnsi="Times New Roman" w:cs="Times New Roman"/>
          <w:sz w:val="18"/>
          <w:szCs w:val="18"/>
          <w:lang w:val="en-US"/>
        </w:rPr>
        <w:t>vücut</w:t>
      </w:r>
      <w:proofErr w:type="spellEnd"/>
      <w:r w:rsidR="0013463F" w:rsidRPr="00D270BC">
        <w:rPr>
          <w:rFonts w:ascii="Times New Roman" w:eastAsia="Calibri" w:hAnsi="Times New Roman" w:cs="Times New Roman"/>
          <w:sz w:val="18"/>
          <w:szCs w:val="18"/>
          <w:lang w:val="en-US"/>
        </w:rPr>
        <w:t xml:space="preserve"> </w:t>
      </w:r>
      <w:proofErr w:type="spellStart"/>
      <w:r w:rsidR="0013463F" w:rsidRPr="00D270BC">
        <w:rPr>
          <w:rFonts w:ascii="Times New Roman" w:eastAsia="Calibri" w:hAnsi="Times New Roman" w:cs="Times New Roman"/>
          <w:sz w:val="18"/>
          <w:szCs w:val="18"/>
          <w:lang w:val="en-US"/>
        </w:rPr>
        <w:t>kitle</w:t>
      </w:r>
      <w:proofErr w:type="spellEnd"/>
      <w:r w:rsidR="0013463F" w:rsidRPr="00D270BC">
        <w:rPr>
          <w:rFonts w:ascii="Times New Roman" w:eastAsia="Calibri" w:hAnsi="Times New Roman" w:cs="Times New Roman"/>
          <w:sz w:val="18"/>
          <w:szCs w:val="18"/>
          <w:lang w:val="en-US"/>
        </w:rPr>
        <w:t xml:space="preserve"> </w:t>
      </w:r>
      <w:proofErr w:type="spellStart"/>
      <w:r w:rsidR="0013463F" w:rsidRPr="00D270BC">
        <w:rPr>
          <w:rFonts w:ascii="Times New Roman" w:eastAsia="Calibri" w:hAnsi="Times New Roman" w:cs="Times New Roman"/>
          <w:sz w:val="18"/>
          <w:szCs w:val="18"/>
          <w:lang w:val="en-US"/>
        </w:rPr>
        <w:t>indeksi</w:t>
      </w:r>
      <w:proofErr w:type="spellEnd"/>
      <w:r w:rsidR="0013463F"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elektrik</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empe</w:t>
      </w:r>
      <w:r w:rsidR="0013463F" w:rsidRPr="00D270BC">
        <w:rPr>
          <w:rFonts w:ascii="Times New Roman" w:eastAsia="Calibri" w:hAnsi="Times New Roman" w:cs="Times New Roman"/>
          <w:sz w:val="18"/>
          <w:szCs w:val="18"/>
          <w:lang w:val="en-US"/>
        </w:rPr>
        <w:t>dansı</w:t>
      </w:r>
      <w:proofErr w:type="spellEnd"/>
      <w:r w:rsidR="0013463F"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obezit</w:t>
      </w:r>
      <w:proofErr w:type="spellEnd"/>
      <w:r w:rsidR="0013463F" w:rsidRPr="00D270BC">
        <w:rPr>
          <w:rFonts w:ascii="Times New Roman" w:eastAsia="Calibri" w:hAnsi="Times New Roman" w:cs="Times New Roman"/>
          <w:sz w:val="18"/>
          <w:szCs w:val="18"/>
          <w:lang w:val="en-US"/>
        </w:rPr>
        <w:t>,</w:t>
      </w:r>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fazla</w:t>
      </w:r>
      <w:proofErr w:type="spellEnd"/>
      <w:r w:rsidRPr="00D270BC">
        <w:rPr>
          <w:rFonts w:ascii="Times New Roman" w:eastAsia="Calibri" w:hAnsi="Times New Roman" w:cs="Times New Roman"/>
          <w:sz w:val="18"/>
          <w:szCs w:val="18"/>
          <w:lang w:val="en-US"/>
        </w:rPr>
        <w:t xml:space="preserve"> </w:t>
      </w:r>
      <w:proofErr w:type="spellStart"/>
      <w:r w:rsidRPr="00D270BC">
        <w:rPr>
          <w:rFonts w:ascii="Times New Roman" w:eastAsia="Calibri" w:hAnsi="Times New Roman" w:cs="Times New Roman"/>
          <w:sz w:val="18"/>
          <w:szCs w:val="18"/>
          <w:lang w:val="en-US"/>
        </w:rPr>
        <w:t>kiloluluk</w:t>
      </w:r>
      <w:proofErr w:type="spellEnd"/>
    </w:p>
    <w:p w14:paraId="2EAA7EBE" w14:textId="2D4A6524" w:rsidR="007D1B47" w:rsidRPr="00D270BC" w:rsidRDefault="000978CD" w:rsidP="00D270BC">
      <w:pPr>
        <w:spacing w:before="100" w:beforeAutospacing="1" w:after="0"/>
        <w:rPr>
          <w:rFonts w:ascii="Times New Roman" w:hAnsi="Times New Roman" w:cs="Times New Roman"/>
          <w:b/>
          <w:sz w:val="16"/>
          <w:szCs w:val="16"/>
          <w:lang w:val="en-US"/>
        </w:rPr>
      </w:pPr>
      <w:r w:rsidRPr="00113439">
        <w:rPr>
          <w:rFonts w:ascii="Times New Roman" w:hAnsi="Times New Roman" w:cs="Times New Roman"/>
          <w:i/>
          <w:noProof/>
          <w:lang w:val="en-US"/>
        </w:rPr>
        <mc:AlternateContent>
          <mc:Choice Requires="wps">
            <w:drawing>
              <wp:anchor distT="0" distB="0" distL="114300" distR="114300" simplePos="0" relativeHeight="251660288" behindDoc="0" locked="0" layoutInCell="1" allowOverlap="1" wp14:anchorId="3C67F673" wp14:editId="7B6672F0">
                <wp:simplePos x="0" y="0"/>
                <wp:positionH relativeFrom="column">
                  <wp:posOffset>2540</wp:posOffset>
                </wp:positionH>
                <wp:positionV relativeFrom="paragraph">
                  <wp:posOffset>58288</wp:posOffset>
                </wp:positionV>
                <wp:extent cx="5854535" cy="0"/>
                <wp:effectExtent l="0" t="0" r="13335" b="19050"/>
                <wp:wrapNone/>
                <wp:docPr id="3" name="Düz Bağlayıcı 3"/>
                <wp:cNvGraphicFramePr/>
                <a:graphic xmlns:a="http://schemas.openxmlformats.org/drawingml/2006/main">
                  <a:graphicData uri="http://schemas.microsoft.com/office/word/2010/wordprocessingShape">
                    <wps:wsp>
                      <wps:cNvCnPr/>
                      <wps:spPr>
                        <a:xfrm>
                          <a:off x="0" y="0"/>
                          <a:ext cx="585453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1D61D"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4.6pt" to="461.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" strokecolor="#0070c0"/>
            </w:pict>
          </mc:Fallback>
        </mc:AlternateContent>
      </w:r>
      <w:r w:rsidRPr="00D270BC">
        <w:rPr>
          <w:rFonts w:ascii="Times New Roman" w:hAnsi="Times New Roman" w:cs="Times New Roman"/>
          <w:b/>
          <w:sz w:val="16"/>
          <w:szCs w:val="16"/>
          <w:lang w:val="en-US"/>
        </w:rPr>
        <w:t xml:space="preserve">Received Date: </w:t>
      </w:r>
      <w:r w:rsidR="007D1B47" w:rsidRPr="00D270BC">
        <w:rPr>
          <w:rFonts w:ascii="Times New Roman" w:hAnsi="Times New Roman" w:cs="Times New Roman"/>
          <w:sz w:val="16"/>
          <w:szCs w:val="16"/>
          <w:lang w:val="en-US"/>
        </w:rPr>
        <w:t>23</w:t>
      </w:r>
      <w:r w:rsidRPr="00D270BC">
        <w:rPr>
          <w:rFonts w:ascii="Times New Roman" w:hAnsi="Times New Roman" w:cs="Times New Roman"/>
          <w:sz w:val="16"/>
          <w:szCs w:val="16"/>
          <w:lang w:val="en-US"/>
        </w:rPr>
        <w:t>.</w:t>
      </w:r>
      <w:r w:rsidR="00113439" w:rsidRPr="00D270BC">
        <w:rPr>
          <w:rFonts w:ascii="Times New Roman" w:hAnsi="Times New Roman" w:cs="Times New Roman"/>
          <w:sz w:val="16"/>
          <w:szCs w:val="16"/>
          <w:lang w:val="en-US"/>
        </w:rPr>
        <w:t>01.</w:t>
      </w:r>
      <w:r w:rsidRPr="00D270BC">
        <w:rPr>
          <w:rFonts w:ascii="Times New Roman" w:hAnsi="Times New Roman" w:cs="Times New Roman"/>
          <w:sz w:val="16"/>
          <w:szCs w:val="16"/>
          <w:lang w:val="en-US"/>
        </w:rPr>
        <w:t>201</w:t>
      </w:r>
      <w:r w:rsidR="00113439" w:rsidRPr="00D270BC">
        <w:rPr>
          <w:rFonts w:ascii="Times New Roman" w:hAnsi="Times New Roman" w:cs="Times New Roman"/>
          <w:sz w:val="16"/>
          <w:szCs w:val="16"/>
          <w:lang w:val="en-US"/>
        </w:rPr>
        <w:t>9</w:t>
      </w:r>
      <w:r w:rsidRPr="00D270BC">
        <w:rPr>
          <w:rFonts w:ascii="Times New Roman" w:hAnsi="Times New Roman" w:cs="Times New Roman"/>
          <w:b/>
          <w:sz w:val="16"/>
          <w:szCs w:val="16"/>
          <w:lang w:val="en-US"/>
        </w:rPr>
        <w:t xml:space="preserve">, Accepted Date: </w:t>
      </w:r>
      <w:r w:rsidR="007D1B47" w:rsidRPr="00D270BC">
        <w:rPr>
          <w:rFonts w:ascii="Times New Roman" w:hAnsi="Times New Roman" w:cs="Times New Roman"/>
          <w:sz w:val="16"/>
          <w:szCs w:val="16"/>
          <w:lang w:val="en-US"/>
        </w:rPr>
        <w:t>2</w:t>
      </w:r>
      <w:r w:rsidRPr="00D270BC">
        <w:rPr>
          <w:rFonts w:ascii="Times New Roman" w:hAnsi="Times New Roman" w:cs="Times New Roman"/>
          <w:sz w:val="16"/>
          <w:szCs w:val="16"/>
          <w:lang w:val="en-US"/>
        </w:rPr>
        <w:t>6.</w:t>
      </w:r>
      <w:r w:rsidR="00113439" w:rsidRPr="00D270BC">
        <w:rPr>
          <w:rFonts w:ascii="Times New Roman" w:hAnsi="Times New Roman" w:cs="Times New Roman"/>
          <w:sz w:val="16"/>
          <w:szCs w:val="16"/>
          <w:lang w:val="en-US"/>
        </w:rPr>
        <w:t>02.</w:t>
      </w:r>
      <w:r w:rsidRPr="00D270BC">
        <w:rPr>
          <w:rFonts w:ascii="Times New Roman" w:hAnsi="Times New Roman" w:cs="Times New Roman"/>
          <w:sz w:val="16"/>
          <w:szCs w:val="16"/>
          <w:lang w:val="en-US"/>
        </w:rPr>
        <w:t>2019</w:t>
      </w:r>
    </w:p>
    <w:p w14:paraId="5DCD150A" w14:textId="79DFBFFE" w:rsidR="007D1B47" w:rsidRPr="00D270BC" w:rsidRDefault="007D1B47" w:rsidP="007D1B47">
      <w:pPr>
        <w:spacing w:after="0"/>
        <w:jc w:val="both"/>
        <w:rPr>
          <w:rFonts w:ascii="Times New Roman" w:hAnsi="Times New Roman" w:cs="Times New Roman"/>
          <w:sz w:val="16"/>
          <w:szCs w:val="16"/>
          <w:lang w:val="en-US"/>
        </w:rPr>
      </w:pPr>
      <w:r w:rsidRPr="00D270BC">
        <w:rPr>
          <w:rFonts w:ascii="Times New Roman" w:hAnsi="Times New Roman" w:cs="Times New Roman"/>
          <w:sz w:val="16"/>
          <w:szCs w:val="16"/>
          <w:vertAlign w:val="superscript"/>
          <w:lang w:val="en-US"/>
        </w:rPr>
        <w:t>1</w:t>
      </w:r>
      <w:r w:rsidRPr="00D270BC">
        <w:rPr>
          <w:rFonts w:ascii="Times New Roman" w:hAnsi="Times New Roman" w:cs="Times New Roman"/>
          <w:sz w:val="16"/>
          <w:szCs w:val="16"/>
          <w:lang w:val="en-US"/>
        </w:rPr>
        <w:t xml:space="preserve">Karadeniz Technical University Faculty </w:t>
      </w:r>
      <w:r w:rsidR="00D270BC" w:rsidRPr="00D270BC">
        <w:rPr>
          <w:rFonts w:ascii="Times New Roman" w:hAnsi="Times New Roman" w:cs="Times New Roman"/>
          <w:sz w:val="16"/>
          <w:szCs w:val="16"/>
          <w:lang w:val="en-US"/>
        </w:rPr>
        <w:t>of</w:t>
      </w:r>
      <w:r w:rsidRPr="00D270BC">
        <w:rPr>
          <w:rFonts w:ascii="Times New Roman" w:hAnsi="Times New Roman" w:cs="Times New Roman"/>
          <w:sz w:val="16"/>
          <w:szCs w:val="16"/>
          <w:lang w:val="en-US"/>
        </w:rPr>
        <w:t xml:space="preserve"> Medicine Department </w:t>
      </w:r>
      <w:r w:rsidR="00D270BC" w:rsidRPr="00D270BC">
        <w:rPr>
          <w:rFonts w:ascii="Times New Roman" w:hAnsi="Times New Roman" w:cs="Times New Roman"/>
          <w:sz w:val="16"/>
          <w:szCs w:val="16"/>
          <w:lang w:val="en-US"/>
        </w:rPr>
        <w:t>of</w:t>
      </w:r>
      <w:r w:rsidRPr="00D270BC">
        <w:rPr>
          <w:rFonts w:ascii="Times New Roman" w:hAnsi="Times New Roman" w:cs="Times New Roman"/>
          <w:sz w:val="16"/>
          <w:szCs w:val="16"/>
          <w:lang w:val="en-US"/>
        </w:rPr>
        <w:t xml:space="preserve"> Family Medicine</w:t>
      </w:r>
    </w:p>
    <w:p w14:paraId="1FAD0E8E" w14:textId="71E16AE5" w:rsidR="007D1B47" w:rsidRPr="00D270BC" w:rsidRDefault="007D1B47" w:rsidP="007D1B47">
      <w:pPr>
        <w:spacing w:after="0"/>
        <w:jc w:val="both"/>
        <w:rPr>
          <w:rFonts w:ascii="Times New Roman" w:hAnsi="Times New Roman" w:cs="Times New Roman"/>
          <w:sz w:val="16"/>
          <w:szCs w:val="16"/>
          <w:lang w:val="en-US"/>
        </w:rPr>
      </w:pPr>
      <w:r w:rsidRPr="00D270BC">
        <w:rPr>
          <w:rFonts w:ascii="Times New Roman" w:hAnsi="Times New Roman" w:cs="Times New Roman"/>
          <w:sz w:val="16"/>
          <w:szCs w:val="16"/>
          <w:vertAlign w:val="superscript"/>
          <w:lang w:val="en-US"/>
        </w:rPr>
        <w:t>2</w:t>
      </w:r>
      <w:r w:rsidRPr="00D270BC">
        <w:rPr>
          <w:rFonts w:ascii="Times New Roman" w:hAnsi="Times New Roman" w:cs="Times New Roman"/>
          <w:sz w:val="16"/>
          <w:szCs w:val="16"/>
          <w:lang w:val="en-US"/>
        </w:rPr>
        <w:t xml:space="preserve">Karadeniz Technical University Faculty </w:t>
      </w:r>
      <w:r w:rsidR="00D270BC" w:rsidRPr="00D270BC">
        <w:rPr>
          <w:rFonts w:ascii="Times New Roman" w:hAnsi="Times New Roman" w:cs="Times New Roman"/>
          <w:sz w:val="16"/>
          <w:szCs w:val="16"/>
          <w:lang w:val="en-US"/>
        </w:rPr>
        <w:t>of</w:t>
      </w:r>
      <w:r w:rsidRPr="00D270BC">
        <w:rPr>
          <w:rFonts w:ascii="Times New Roman" w:hAnsi="Times New Roman" w:cs="Times New Roman"/>
          <w:sz w:val="16"/>
          <w:szCs w:val="16"/>
          <w:lang w:val="en-US"/>
        </w:rPr>
        <w:t xml:space="preserve"> Medicine Department </w:t>
      </w:r>
      <w:r w:rsidR="00D270BC" w:rsidRPr="00D270BC">
        <w:rPr>
          <w:rFonts w:ascii="Times New Roman" w:hAnsi="Times New Roman" w:cs="Times New Roman"/>
          <w:sz w:val="16"/>
          <w:szCs w:val="16"/>
          <w:lang w:val="en-US"/>
        </w:rPr>
        <w:t>of</w:t>
      </w:r>
      <w:r w:rsidRPr="00D270BC">
        <w:rPr>
          <w:rFonts w:ascii="Times New Roman" w:hAnsi="Times New Roman" w:cs="Times New Roman"/>
          <w:sz w:val="16"/>
          <w:szCs w:val="16"/>
          <w:lang w:val="en-US"/>
        </w:rPr>
        <w:t xml:space="preserve"> Family Medicine</w:t>
      </w:r>
    </w:p>
    <w:p w14:paraId="4D1422F8" w14:textId="77777777" w:rsidR="007D1B47" w:rsidRPr="00D270BC" w:rsidRDefault="007D1B47" w:rsidP="007D1B47">
      <w:pPr>
        <w:spacing w:after="0"/>
        <w:jc w:val="both"/>
        <w:rPr>
          <w:rFonts w:ascii="Times New Roman" w:hAnsi="Times New Roman" w:cs="Times New Roman"/>
          <w:sz w:val="16"/>
          <w:szCs w:val="16"/>
          <w:lang w:val="en-US"/>
        </w:rPr>
      </w:pPr>
      <w:r w:rsidRPr="00D270BC">
        <w:rPr>
          <w:rFonts w:ascii="Times New Roman" w:hAnsi="Times New Roman" w:cs="Times New Roman"/>
          <w:sz w:val="16"/>
          <w:szCs w:val="16"/>
          <w:vertAlign w:val="superscript"/>
          <w:lang w:val="en-US"/>
        </w:rPr>
        <w:t>3</w:t>
      </w:r>
      <w:r w:rsidRPr="00D270BC">
        <w:rPr>
          <w:rFonts w:ascii="Times New Roman" w:hAnsi="Times New Roman" w:cs="Times New Roman"/>
          <w:sz w:val="16"/>
          <w:szCs w:val="16"/>
          <w:lang w:val="en-US"/>
        </w:rPr>
        <w:t>General Directorate of Health Services, Ministry of Health, Republic of Turkey</w:t>
      </w:r>
    </w:p>
    <w:p w14:paraId="188E6594" w14:textId="4FC7E8F5" w:rsidR="007D1B47" w:rsidRPr="00D270BC" w:rsidRDefault="000978CD" w:rsidP="000978CD">
      <w:pPr>
        <w:spacing w:after="0"/>
        <w:jc w:val="both"/>
        <w:rPr>
          <w:rFonts w:ascii="Times New Roman" w:hAnsi="Times New Roman" w:cs="Times New Roman"/>
          <w:sz w:val="16"/>
          <w:szCs w:val="16"/>
          <w:lang w:val="en-US"/>
        </w:rPr>
      </w:pPr>
      <w:r w:rsidRPr="00D270BC">
        <w:rPr>
          <w:rFonts w:ascii="Times New Roman" w:hAnsi="Times New Roman" w:cs="Times New Roman"/>
          <w:b/>
          <w:sz w:val="16"/>
          <w:szCs w:val="16"/>
          <w:lang w:val="en-US"/>
        </w:rPr>
        <w:t xml:space="preserve">*Address for Correspondence / </w:t>
      </w:r>
      <w:proofErr w:type="spellStart"/>
      <w:r w:rsidRPr="00D270BC">
        <w:rPr>
          <w:rFonts w:ascii="Times New Roman" w:hAnsi="Times New Roman" w:cs="Times New Roman"/>
          <w:b/>
          <w:sz w:val="16"/>
          <w:szCs w:val="16"/>
          <w:lang w:val="en-US"/>
        </w:rPr>
        <w:t>Yazışma</w:t>
      </w:r>
      <w:proofErr w:type="spellEnd"/>
      <w:r w:rsidRPr="00D270BC">
        <w:rPr>
          <w:rFonts w:ascii="Times New Roman" w:hAnsi="Times New Roman" w:cs="Times New Roman"/>
          <w:b/>
          <w:sz w:val="16"/>
          <w:szCs w:val="16"/>
          <w:lang w:val="en-US"/>
        </w:rPr>
        <w:t xml:space="preserve"> </w:t>
      </w:r>
      <w:proofErr w:type="spellStart"/>
      <w:r w:rsidRPr="00D270BC">
        <w:rPr>
          <w:rFonts w:ascii="Times New Roman" w:hAnsi="Times New Roman" w:cs="Times New Roman"/>
          <w:b/>
          <w:sz w:val="16"/>
          <w:szCs w:val="16"/>
          <w:lang w:val="en-US"/>
        </w:rPr>
        <w:t>Adresi</w:t>
      </w:r>
      <w:proofErr w:type="spellEnd"/>
      <w:r w:rsidRPr="00D270BC">
        <w:rPr>
          <w:rFonts w:ascii="Times New Roman" w:hAnsi="Times New Roman" w:cs="Times New Roman"/>
          <w:b/>
          <w:sz w:val="16"/>
          <w:szCs w:val="16"/>
          <w:lang w:val="en-US"/>
        </w:rPr>
        <w:t>:</w:t>
      </w:r>
      <w:r w:rsidRPr="00D270BC">
        <w:rPr>
          <w:rFonts w:ascii="Times New Roman" w:hAnsi="Times New Roman" w:cs="Times New Roman"/>
          <w:sz w:val="16"/>
          <w:szCs w:val="16"/>
          <w:lang w:val="en-US"/>
        </w:rPr>
        <w:t xml:space="preserve"> </w:t>
      </w:r>
      <w:proofErr w:type="spellStart"/>
      <w:r w:rsidR="007D1B47" w:rsidRPr="00D270BC">
        <w:rPr>
          <w:rFonts w:ascii="Times New Roman" w:hAnsi="Times New Roman" w:cs="Times New Roman"/>
          <w:sz w:val="16"/>
          <w:szCs w:val="16"/>
          <w:lang w:val="en-US"/>
        </w:rPr>
        <w:t>Elif</w:t>
      </w:r>
      <w:proofErr w:type="spellEnd"/>
      <w:r w:rsidR="007D1B47" w:rsidRPr="00D270BC">
        <w:rPr>
          <w:rFonts w:ascii="Times New Roman" w:hAnsi="Times New Roman" w:cs="Times New Roman"/>
          <w:sz w:val="16"/>
          <w:szCs w:val="16"/>
          <w:lang w:val="en-US"/>
        </w:rPr>
        <w:t xml:space="preserve"> </w:t>
      </w:r>
      <w:proofErr w:type="spellStart"/>
      <w:r w:rsidR="00113439" w:rsidRPr="00D270BC">
        <w:rPr>
          <w:rFonts w:ascii="Times New Roman" w:hAnsi="Times New Roman" w:cs="Times New Roman"/>
          <w:sz w:val="16"/>
          <w:szCs w:val="16"/>
          <w:lang w:val="en-US"/>
        </w:rPr>
        <w:t>Ateş</w:t>
      </w:r>
      <w:proofErr w:type="spellEnd"/>
      <w:r w:rsidR="00113439" w:rsidRPr="00D270BC">
        <w:rPr>
          <w:rFonts w:ascii="Times New Roman" w:hAnsi="Times New Roman" w:cs="Times New Roman"/>
          <w:sz w:val="16"/>
          <w:szCs w:val="16"/>
          <w:lang w:val="en-US"/>
        </w:rPr>
        <w:t>,</w:t>
      </w:r>
      <w:r w:rsidR="007D1B47" w:rsidRPr="00D270BC">
        <w:rPr>
          <w:rFonts w:ascii="Times New Roman" w:hAnsi="Times New Roman" w:cs="Times New Roman"/>
          <w:sz w:val="16"/>
          <w:szCs w:val="16"/>
          <w:lang w:val="en-US"/>
        </w:rPr>
        <w:t xml:space="preserve"> Karadeniz Technical University Faculty </w:t>
      </w:r>
      <w:proofErr w:type="gramStart"/>
      <w:r w:rsidR="007D1B47" w:rsidRPr="00D270BC">
        <w:rPr>
          <w:rFonts w:ascii="Times New Roman" w:hAnsi="Times New Roman" w:cs="Times New Roman"/>
          <w:sz w:val="16"/>
          <w:szCs w:val="16"/>
          <w:lang w:val="en-US"/>
        </w:rPr>
        <w:t>Of</w:t>
      </w:r>
      <w:proofErr w:type="gramEnd"/>
      <w:r w:rsidR="007D1B47" w:rsidRPr="00D270BC">
        <w:rPr>
          <w:rFonts w:ascii="Times New Roman" w:hAnsi="Times New Roman" w:cs="Times New Roman"/>
          <w:sz w:val="16"/>
          <w:szCs w:val="16"/>
          <w:lang w:val="en-US"/>
        </w:rPr>
        <w:t xml:space="preserve"> Medicine Department Of Family Medicine </w:t>
      </w:r>
    </w:p>
    <w:p w14:paraId="29DB9E4E" w14:textId="77777777" w:rsidR="00516597" w:rsidRPr="00D270BC" w:rsidRDefault="000978CD" w:rsidP="000978CD">
      <w:pPr>
        <w:spacing w:after="0"/>
        <w:jc w:val="both"/>
        <w:rPr>
          <w:rFonts w:ascii="Times New Roman" w:hAnsi="Times New Roman" w:cs="Times New Roman"/>
          <w:sz w:val="16"/>
          <w:szCs w:val="16"/>
          <w:lang w:val="en-US"/>
        </w:rPr>
      </w:pPr>
      <w:r w:rsidRPr="00D270BC">
        <w:rPr>
          <w:rFonts w:ascii="Times New Roman" w:hAnsi="Times New Roman" w:cs="Times New Roman"/>
          <w:b/>
          <w:sz w:val="16"/>
          <w:szCs w:val="16"/>
          <w:lang w:val="en-US"/>
        </w:rPr>
        <w:t>E-mail:</w:t>
      </w:r>
      <w:r w:rsidRPr="00D270BC">
        <w:rPr>
          <w:rFonts w:ascii="Times New Roman" w:hAnsi="Times New Roman" w:cs="Times New Roman"/>
          <w:sz w:val="16"/>
          <w:szCs w:val="16"/>
          <w:lang w:val="en-US"/>
        </w:rPr>
        <w:t xml:space="preserve"> </w:t>
      </w:r>
      <w:r w:rsidR="007D1B47" w:rsidRPr="00D270BC">
        <w:rPr>
          <w:rFonts w:ascii="Times New Roman" w:eastAsia="Times New Roman" w:hAnsi="Times New Roman" w:cs="Times New Roman"/>
          <w:sz w:val="16"/>
          <w:szCs w:val="16"/>
          <w:lang w:val="en-US"/>
        </w:rPr>
        <w:t>drealtunbas@yahoo.com</w:t>
      </w:r>
    </w:p>
    <w:p w14:paraId="6954F15F" w14:textId="36C1F2EA" w:rsidR="00F7346F" w:rsidRDefault="00113439" w:rsidP="00C02830">
      <w:pPr>
        <w:tabs>
          <w:tab w:val="center" w:pos="4536"/>
          <w:tab w:val="right" w:pos="9072"/>
        </w:tabs>
        <w:spacing w:after="0" w:line="240" w:lineRule="auto"/>
        <w:jc w:val="both"/>
        <w:rPr>
          <w:rFonts w:ascii="Times New Roman" w:eastAsia="Times New Roman" w:hAnsi="Times New Roman" w:cs="Times New Roman"/>
          <w:b/>
          <w:sz w:val="16"/>
          <w:szCs w:val="16"/>
          <w:lang w:val="en-US"/>
        </w:rPr>
      </w:pPr>
      <w:r>
        <w:rPr>
          <w:rFonts w:ascii="Times New Roman" w:hAnsi="Times New Roman" w:cs="Times New Roman"/>
          <w:sz w:val="16"/>
          <w:szCs w:val="16"/>
        </w:rPr>
        <w:t>Ateş</w:t>
      </w:r>
      <w:r w:rsidR="002263E5">
        <w:rPr>
          <w:rFonts w:ascii="Times New Roman" w:hAnsi="Times New Roman" w:cs="Times New Roman"/>
          <w:sz w:val="16"/>
          <w:szCs w:val="16"/>
        </w:rPr>
        <w:t xml:space="preserve"> </w:t>
      </w:r>
      <w:r w:rsidR="00D270BC">
        <w:rPr>
          <w:rFonts w:ascii="Times New Roman" w:hAnsi="Times New Roman" w:cs="Times New Roman"/>
          <w:sz w:val="16"/>
          <w:szCs w:val="16"/>
        </w:rPr>
        <w:t>E, Set</w:t>
      </w:r>
      <w:r w:rsidR="002263E5">
        <w:rPr>
          <w:rFonts w:ascii="Times New Roman" w:hAnsi="Times New Roman" w:cs="Times New Roman"/>
          <w:sz w:val="16"/>
          <w:szCs w:val="16"/>
        </w:rPr>
        <w:t xml:space="preserve"> T</w:t>
      </w:r>
      <w:r>
        <w:rPr>
          <w:rFonts w:ascii="Times New Roman" w:hAnsi="Times New Roman" w:cs="Times New Roman"/>
          <w:sz w:val="16"/>
          <w:szCs w:val="16"/>
        </w:rPr>
        <w:t>, Dur</w:t>
      </w:r>
      <w:r w:rsidR="002263E5">
        <w:rPr>
          <w:rFonts w:ascii="Times New Roman" w:hAnsi="Times New Roman" w:cs="Times New Roman"/>
          <w:sz w:val="16"/>
          <w:szCs w:val="16"/>
        </w:rPr>
        <w:t xml:space="preserve"> G</w:t>
      </w:r>
      <w:r>
        <w:rPr>
          <w:rFonts w:ascii="Times New Roman" w:hAnsi="Times New Roman" w:cs="Times New Roman"/>
          <w:sz w:val="16"/>
          <w:szCs w:val="16"/>
        </w:rPr>
        <w:t>.</w:t>
      </w:r>
      <w:r w:rsidRPr="008C241D">
        <w:rPr>
          <w:rFonts w:ascii="Times New Roman" w:hAnsi="Times New Roman" w:cs="Times New Roman"/>
          <w:sz w:val="16"/>
          <w:szCs w:val="16"/>
        </w:rPr>
        <w:t xml:space="preserve"> </w:t>
      </w:r>
      <w:proofErr w:type="spellStart"/>
      <w:r w:rsidR="00F7346F" w:rsidRPr="00F7346F">
        <w:rPr>
          <w:rFonts w:ascii="Times New Roman" w:hAnsi="Times New Roman" w:cs="Times New Roman"/>
          <w:sz w:val="16"/>
          <w:szCs w:val="16"/>
        </w:rPr>
        <w:t>Effect</w:t>
      </w:r>
      <w:proofErr w:type="spellEnd"/>
      <w:r w:rsidR="00F7346F" w:rsidRPr="00F7346F">
        <w:rPr>
          <w:rFonts w:ascii="Times New Roman" w:hAnsi="Times New Roman" w:cs="Times New Roman"/>
          <w:sz w:val="16"/>
          <w:szCs w:val="16"/>
        </w:rPr>
        <w:t xml:space="preserve"> of </w:t>
      </w:r>
      <w:proofErr w:type="spellStart"/>
      <w:r w:rsidR="00F7346F" w:rsidRPr="00F7346F">
        <w:rPr>
          <w:rFonts w:ascii="Times New Roman" w:hAnsi="Times New Roman" w:cs="Times New Roman"/>
          <w:sz w:val="16"/>
          <w:szCs w:val="16"/>
        </w:rPr>
        <w:t>Follow-Up</w:t>
      </w:r>
      <w:proofErr w:type="spellEnd"/>
      <w:r w:rsidR="00F7346F" w:rsidRPr="00F7346F">
        <w:rPr>
          <w:rFonts w:ascii="Times New Roman" w:hAnsi="Times New Roman" w:cs="Times New Roman"/>
          <w:sz w:val="16"/>
          <w:szCs w:val="16"/>
        </w:rPr>
        <w:t xml:space="preserve"> </w:t>
      </w:r>
      <w:proofErr w:type="spellStart"/>
      <w:r w:rsidR="00F7346F" w:rsidRPr="00F7346F">
        <w:rPr>
          <w:rFonts w:ascii="Times New Roman" w:hAnsi="Times New Roman" w:cs="Times New Roman"/>
          <w:sz w:val="16"/>
          <w:szCs w:val="16"/>
        </w:rPr>
        <w:t>Visit</w:t>
      </w:r>
      <w:proofErr w:type="spellEnd"/>
      <w:r w:rsidR="00F7346F" w:rsidRPr="00F7346F">
        <w:rPr>
          <w:rFonts w:ascii="Times New Roman" w:hAnsi="Times New Roman" w:cs="Times New Roman"/>
          <w:sz w:val="16"/>
          <w:szCs w:val="16"/>
        </w:rPr>
        <w:t xml:space="preserve"> </w:t>
      </w:r>
      <w:proofErr w:type="spellStart"/>
      <w:r w:rsidR="00F7346F" w:rsidRPr="00F7346F">
        <w:rPr>
          <w:rFonts w:ascii="Times New Roman" w:hAnsi="Times New Roman" w:cs="Times New Roman"/>
          <w:sz w:val="16"/>
          <w:szCs w:val="16"/>
        </w:rPr>
        <w:t>Frequencies</w:t>
      </w:r>
      <w:proofErr w:type="spellEnd"/>
      <w:r w:rsidR="00F7346F" w:rsidRPr="00F7346F">
        <w:rPr>
          <w:rFonts w:ascii="Times New Roman" w:hAnsi="Times New Roman" w:cs="Times New Roman"/>
          <w:sz w:val="16"/>
          <w:szCs w:val="16"/>
        </w:rPr>
        <w:t xml:space="preserve"> on </w:t>
      </w:r>
      <w:proofErr w:type="spellStart"/>
      <w:r w:rsidR="00F7346F" w:rsidRPr="00F7346F">
        <w:rPr>
          <w:rFonts w:ascii="Times New Roman" w:hAnsi="Times New Roman" w:cs="Times New Roman"/>
          <w:sz w:val="16"/>
          <w:szCs w:val="16"/>
        </w:rPr>
        <w:t>Weight</w:t>
      </w:r>
      <w:proofErr w:type="spellEnd"/>
      <w:r w:rsidR="00F7346F" w:rsidRPr="00F7346F">
        <w:rPr>
          <w:rFonts w:ascii="Times New Roman" w:hAnsi="Times New Roman" w:cs="Times New Roman"/>
          <w:sz w:val="16"/>
          <w:szCs w:val="16"/>
        </w:rPr>
        <w:t xml:space="preserve"> </w:t>
      </w:r>
      <w:proofErr w:type="spellStart"/>
      <w:r w:rsidR="00F7346F" w:rsidRPr="00F7346F">
        <w:rPr>
          <w:rFonts w:ascii="Times New Roman" w:hAnsi="Times New Roman" w:cs="Times New Roman"/>
          <w:sz w:val="16"/>
          <w:szCs w:val="16"/>
        </w:rPr>
        <w:t>Lost</w:t>
      </w:r>
      <w:proofErr w:type="spellEnd"/>
      <w:r w:rsidR="00F7346F" w:rsidRPr="00F7346F">
        <w:rPr>
          <w:rFonts w:ascii="Times New Roman" w:hAnsi="Times New Roman" w:cs="Times New Roman"/>
          <w:sz w:val="16"/>
          <w:szCs w:val="16"/>
        </w:rPr>
        <w:t xml:space="preserve">: A </w:t>
      </w:r>
      <w:proofErr w:type="spellStart"/>
      <w:r w:rsidR="00F7346F" w:rsidRPr="00F7346F">
        <w:rPr>
          <w:rFonts w:ascii="Times New Roman" w:hAnsi="Times New Roman" w:cs="Times New Roman"/>
          <w:sz w:val="16"/>
          <w:szCs w:val="16"/>
        </w:rPr>
        <w:t>Historical</w:t>
      </w:r>
      <w:proofErr w:type="spellEnd"/>
      <w:r w:rsidR="00F7346F" w:rsidRPr="00F7346F">
        <w:rPr>
          <w:rFonts w:ascii="Times New Roman" w:hAnsi="Times New Roman" w:cs="Times New Roman"/>
          <w:sz w:val="16"/>
          <w:szCs w:val="16"/>
        </w:rPr>
        <w:t xml:space="preserve"> </w:t>
      </w:r>
      <w:proofErr w:type="spellStart"/>
      <w:r w:rsidR="00F7346F" w:rsidRPr="00F7346F">
        <w:rPr>
          <w:rFonts w:ascii="Times New Roman" w:hAnsi="Times New Roman" w:cs="Times New Roman"/>
          <w:sz w:val="16"/>
          <w:szCs w:val="16"/>
        </w:rPr>
        <w:t>Cohort</w:t>
      </w:r>
      <w:proofErr w:type="spellEnd"/>
      <w:r w:rsidR="00F7346F" w:rsidRPr="00F7346F">
        <w:rPr>
          <w:rFonts w:ascii="Times New Roman" w:hAnsi="Times New Roman" w:cs="Times New Roman"/>
          <w:sz w:val="16"/>
          <w:szCs w:val="16"/>
        </w:rPr>
        <w:t xml:space="preserve"> </w:t>
      </w:r>
      <w:proofErr w:type="spellStart"/>
      <w:r w:rsidR="00F7346F" w:rsidRPr="00F7346F">
        <w:rPr>
          <w:rFonts w:ascii="Times New Roman" w:hAnsi="Times New Roman" w:cs="Times New Roman"/>
          <w:sz w:val="16"/>
          <w:szCs w:val="16"/>
        </w:rPr>
        <w:t>Study</w:t>
      </w:r>
      <w:proofErr w:type="spellEnd"/>
      <w:r w:rsidRPr="008C241D">
        <w:rPr>
          <w:rFonts w:ascii="Times New Roman" w:hAnsi="Times New Roman" w:cs="Times New Roman"/>
          <w:sz w:val="16"/>
          <w:szCs w:val="16"/>
        </w:rPr>
        <w:t>. TJFMPC, 201</w:t>
      </w:r>
      <w:r>
        <w:rPr>
          <w:rFonts w:ascii="Times New Roman" w:hAnsi="Times New Roman" w:cs="Times New Roman"/>
          <w:sz w:val="16"/>
          <w:szCs w:val="16"/>
        </w:rPr>
        <w:t xml:space="preserve">9; 13(2): </w:t>
      </w:r>
      <w:r w:rsidR="00D270BC">
        <w:rPr>
          <w:rFonts w:ascii="Times New Roman" w:hAnsi="Times New Roman" w:cs="Times New Roman"/>
          <w:sz w:val="16"/>
          <w:szCs w:val="16"/>
        </w:rPr>
        <w:t>191-</w:t>
      </w:r>
      <w:r w:rsidR="000F0C4A">
        <w:rPr>
          <w:rFonts w:ascii="Times New Roman" w:hAnsi="Times New Roman" w:cs="Times New Roman"/>
          <w:sz w:val="16"/>
          <w:szCs w:val="16"/>
        </w:rPr>
        <w:t>19</w:t>
      </w:r>
      <w:bookmarkStart w:id="0" w:name="_GoBack"/>
      <w:bookmarkEnd w:id="0"/>
      <w:r w:rsidR="00D270BC">
        <w:rPr>
          <w:rFonts w:ascii="Times New Roman" w:hAnsi="Times New Roman" w:cs="Times New Roman"/>
          <w:sz w:val="16"/>
          <w:szCs w:val="16"/>
        </w:rPr>
        <w:t>5.</w:t>
      </w:r>
      <w:r w:rsidR="00F7346F">
        <w:rPr>
          <w:rFonts w:ascii="Times New Roman" w:eastAsia="Times New Roman" w:hAnsi="Times New Roman" w:cs="Times New Roman"/>
          <w:b/>
          <w:sz w:val="16"/>
          <w:szCs w:val="16"/>
          <w:lang w:val="en-US"/>
        </w:rPr>
        <w:t xml:space="preserve"> </w:t>
      </w:r>
    </w:p>
    <w:p w14:paraId="7ABCBDF2" w14:textId="77777777" w:rsidR="00C02830" w:rsidRPr="00113439" w:rsidRDefault="00C02830" w:rsidP="00C02830">
      <w:pPr>
        <w:tabs>
          <w:tab w:val="center" w:pos="4536"/>
          <w:tab w:val="right" w:pos="9072"/>
        </w:tabs>
        <w:spacing w:after="0" w:line="240" w:lineRule="auto"/>
        <w:jc w:val="both"/>
        <w:rPr>
          <w:rFonts w:ascii="Times New Roman" w:eastAsia="Times New Roman" w:hAnsi="Times New Roman" w:cs="Times New Roman"/>
          <w:b/>
          <w:sz w:val="16"/>
          <w:szCs w:val="16"/>
          <w:lang w:val="en-US"/>
        </w:rPr>
      </w:pPr>
      <w:r w:rsidRPr="00113439">
        <w:rPr>
          <w:rFonts w:ascii="Times New Roman" w:eastAsia="Times New Roman" w:hAnsi="Times New Roman" w:cs="Times New Roman"/>
          <w:b/>
          <w:sz w:val="16"/>
          <w:szCs w:val="16"/>
          <w:lang w:val="en-US"/>
        </w:rPr>
        <w:t>DOI:</w:t>
      </w:r>
    </w:p>
    <w:p w14:paraId="35CFF775" w14:textId="77777777" w:rsidR="00516597" w:rsidRPr="00D270BC" w:rsidRDefault="00516597">
      <w:pPr>
        <w:rPr>
          <w:rFonts w:ascii="Times New Roman" w:hAnsi="Times New Roman" w:cs="Times New Roman"/>
          <w:sz w:val="16"/>
          <w:szCs w:val="16"/>
          <w:lang w:val="en-US"/>
        </w:rPr>
      </w:pPr>
      <w:r w:rsidRPr="00D270BC">
        <w:rPr>
          <w:rFonts w:ascii="Times New Roman" w:hAnsi="Times New Roman" w:cs="Times New Roman"/>
          <w:sz w:val="16"/>
          <w:szCs w:val="16"/>
          <w:lang w:val="en-US"/>
        </w:rPr>
        <w:br w:type="page"/>
      </w:r>
    </w:p>
    <w:p w14:paraId="065517CD" w14:textId="77777777" w:rsidR="00516597" w:rsidRPr="00D270BC" w:rsidRDefault="00516597" w:rsidP="000978CD">
      <w:pPr>
        <w:spacing w:after="0"/>
        <w:jc w:val="both"/>
        <w:rPr>
          <w:rFonts w:ascii="Times New Roman" w:hAnsi="Times New Roman" w:cs="Times New Roman"/>
          <w:lang w:val="en-US"/>
        </w:rPr>
        <w:sectPr w:rsidR="00516597" w:rsidRPr="00D270BC" w:rsidSect="00D270BC">
          <w:footerReference w:type="even" r:id="rId9"/>
          <w:footerReference w:type="default" r:id="rId10"/>
          <w:pgSz w:w="11906" w:h="16838"/>
          <w:pgMar w:top="1417" w:right="1417" w:bottom="1417" w:left="1417" w:header="708" w:footer="708" w:gutter="0"/>
          <w:pgNumType w:start="191"/>
          <w:cols w:space="708"/>
          <w:docGrid w:linePitch="360"/>
        </w:sectPr>
      </w:pPr>
    </w:p>
    <w:p w14:paraId="097ED437" w14:textId="77777777" w:rsidR="00516597" w:rsidRPr="00D270BC" w:rsidRDefault="00516597" w:rsidP="00516597">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lastRenderedPageBreak/>
        <w:t>INTRODUCTION</w:t>
      </w:r>
    </w:p>
    <w:p w14:paraId="619FF30F" w14:textId="77777777" w:rsidR="00516597" w:rsidRPr="00D270BC" w:rsidRDefault="00516597" w:rsidP="00516597">
      <w:pPr>
        <w:spacing w:after="0"/>
        <w:jc w:val="both"/>
        <w:rPr>
          <w:rFonts w:ascii="Times New Roman" w:hAnsi="Times New Roman" w:cs="Times New Roman"/>
          <w:sz w:val="20"/>
          <w:lang w:val="en-US"/>
        </w:rPr>
      </w:pPr>
    </w:p>
    <w:p w14:paraId="503C5F50" w14:textId="77777777" w:rsidR="00516597" w:rsidRPr="00D270BC" w:rsidRDefault="00516597" w:rsidP="00516597">
      <w:pPr>
        <w:spacing w:after="0"/>
        <w:jc w:val="both"/>
        <w:rPr>
          <w:rFonts w:ascii="Times New Roman" w:hAnsi="Times New Roman" w:cs="Times New Roman"/>
          <w:sz w:val="20"/>
          <w:lang w:val="en-US"/>
        </w:rPr>
      </w:pPr>
      <w:r w:rsidRPr="00D270BC">
        <w:rPr>
          <w:rFonts w:ascii="Times New Roman" w:hAnsi="Times New Roman" w:cs="Times New Roman"/>
          <w:sz w:val="20"/>
          <w:lang w:val="en-US"/>
        </w:rPr>
        <w:t>The prevalence of chronic illnesses is increasing as the global population ages. Obesity is a particularly difficult problem, which occupies much of healthcare providers’ time. Many procedures have been tested for the treatment of obese patients, in addition to innovative approaches as the use of serious digital games.</w:t>
      </w:r>
      <w:r w:rsidRPr="00D270BC">
        <w:rPr>
          <w:rFonts w:ascii="Times New Roman" w:hAnsi="Times New Roman" w:cs="Times New Roman"/>
          <w:sz w:val="20"/>
          <w:vertAlign w:val="superscript"/>
          <w:lang w:val="en-US"/>
        </w:rPr>
        <w:t>1</w:t>
      </w:r>
      <w:r w:rsidRPr="00D270BC">
        <w:rPr>
          <w:rFonts w:ascii="Times New Roman" w:hAnsi="Times New Roman" w:cs="Times New Roman"/>
          <w:sz w:val="20"/>
          <w:lang w:val="en-US"/>
        </w:rPr>
        <w:t xml:space="preserve"> Obesity follow-up requires a comprehensive approach including rules concerning diet, motivating people to take exercise, behavioral interventions, and the provision of surgery for indicated patients.</w:t>
      </w:r>
      <w:r w:rsidRPr="00D270BC">
        <w:rPr>
          <w:rFonts w:ascii="Times New Roman" w:hAnsi="Times New Roman" w:cs="Times New Roman"/>
          <w:sz w:val="20"/>
          <w:vertAlign w:val="superscript"/>
          <w:lang w:val="en-US"/>
        </w:rPr>
        <w:t>2,3</w:t>
      </w:r>
    </w:p>
    <w:p w14:paraId="37216A3D" w14:textId="77777777" w:rsidR="00516597" w:rsidRPr="00D270BC" w:rsidRDefault="00516597" w:rsidP="00516597">
      <w:pPr>
        <w:spacing w:after="0"/>
        <w:jc w:val="both"/>
        <w:rPr>
          <w:rFonts w:ascii="Times New Roman" w:hAnsi="Times New Roman" w:cs="Times New Roman"/>
          <w:sz w:val="20"/>
          <w:lang w:val="en-US"/>
        </w:rPr>
      </w:pPr>
      <w:r w:rsidRPr="00D270BC">
        <w:rPr>
          <w:rFonts w:ascii="Times New Roman" w:hAnsi="Times New Roman" w:cs="Times New Roman"/>
          <w:sz w:val="20"/>
          <w:lang w:val="en-US"/>
        </w:rPr>
        <w:t>Individuals with a body mass index (BMI) equal to or greater than 25 are defined as overweight, with those with BMI of 30 or more are defined as obese, according to the 2016 World Health Organization BMI Classification.</w:t>
      </w:r>
      <w:r w:rsidRPr="00D270BC">
        <w:rPr>
          <w:rFonts w:ascii="Times New Roman" w:hAnsi="Times New Roman" w:cs="Times New Roman"/>
          <w:sz w:val="20"/>
          <w:vertAlign w:val="superscript"/>
          <w:lang w:val="en-US"/>
        </w:rPr>
        <w:t>4</w:t>
      </w:r>
      <w:r w:rsidRPr="00D270BC">
        <w:rPr>
          <w:rFonts w:ascii="Times New Roman" w:hAnsi="Times New Roman" w:cs="Times New Roman"/>
          <w:sz w:val="20"/>
          <w:lang w:val="en-US"/>
        </w:rPr>
        <w:t xml:space="preserve"> The easiest way to assess overweight is to measure BMI, but BMI does not differentiate body fat. Obesity involves an increase in body fat. The follow-up of obesity should therefore also include body fat levels. Bioelectrical impedance analysis (BIA) can be used to determine body composition.</w:t>
      </w:r>
      <w:r w:rsidRPr="00D270BC">
        <w:rPr>
          <w:rFonts w:ascii="Times New Roman" w:hAnsi="Times New Roman" w:cs="Times New Roman"/>
          <w:sz w:val="20"/>
          <w:vertAlign w:val="superscript"/>
          <w:lang w:val="en-US"/>
        </w:rPr>
        <w:t>4,5</w:t>
      </w:r>
    </w:p>
    <w:p w14:paraId="17F56866" w14:textId="77777777" w:rsidR="00516597" w:rsidRPr="00D270BC" w:rsidRDefault="00516597" w:rsidP="00516597">
      <w:pPr>
        <w:spacing w:after="0"/>
        <w:ind w:firstLine="708"/>
        <w:jc w:val="both"/>
        <w:rPr>
          <w:rFonts w:ascii="Times New Roman" w:hAnsi="Times New Roman" w:cs="Times New Roman"/>
          <w:sz w:val="20"/>
          <w:lang w:val="en-US"/>
        </w:rPr>
      </w:pPr>
    </w:p>
    <w:p w14:paraId="3CB2DA69" w14:textId="77777777" w:rsidR="00516597" w:rsidRPr="00D270BC" w:rsidRDefault="00516597" w:rsidP="00516597">
      <w:pPr>
        <w:spacing w:after="0"/>
        <w:ind w:firstLine="708"/>
        <w:jc w:val="both"/>
        <w:rPr>
          <w:rFonts w:ascii="Times New Roman" w:hAnsi="Times New Roman" w:cs="Times New Roman"/>
          <w:sz w:val="20"/>
          <w:lang w:val="en-US"/>
        </w:rPr>
      </w:pPr>
      <w:r w:rsidRPr="00D270BC">
        <w:rPr>
          <w:rFonts w:ascii="Times New Roman" w:hAnsi="Times New Roman" w:cs="Times New Roman"/>
          <w:sz w:val="20"/>
          <w:lang w:val="en-US"/>
        </w:rPr>
        <w:t>Ideally, regular follow-ups are recommended in order to lose weight.</w:t>
      </w:r>
      <w:r w:rsidRPr="00D270BC">
        <w:rPr>
          <w:rFonts w:ascii="Times New Roman" w:hAnsi="Times New Roman" w:cs="Times New Roman"/>
          <w:sz w:val="20"/>
          <w:vertAlign w:val="superscript"/>
          <w:lang w:val="en-US"/>
        </w:rPr>
        <w:t>6</w:t>
      </w:r>
      <w:r w:rsidRPr="00D270BC">
        <w:rPr>
          <w:rFonts w:ascii="Times New Roman" w:hAnsi="Times New Roman" w:cs="Times New Roman"/>
          <w:sz w:val="20"/>
          <w:lang w:val="en-US"/>
        </w:rPr>
        <w:t xml:space="preserve"> However, we observed that many of our patients failed to attend regular check-ups. If follow-up regularity as recommended in guidelines is related to get success on weight loss, we expect people attending irregularly could not have a significant decrease at BMI and body fat percentages (BFP).</w:t>
      </w:r>
      <w:r w:rsidRPr="00D270BC">
        <w:rPr>
          <w:rFonts w:ascii="Times New Roman" w:hAnsi="Times New Roman" w:cs="Times New Roman"/>
          <w:sz w:val="20"/>
          <w:vertAlign w:val="superscript"/>
          <w:lang w:val="en-US"/>
        </w:rPr>
        <w:t>6</w:t>
      </w:r>
      <w:r w:rsidRPr="00D270BC">
        <w:rPr>
          <w:rFonts w:ascii="Times New Roman" w:hAnsi="Times New Roman" w:cs="Times New Roman"/>
          <w:sz w:val="20"/>
          <w:lang w:val="en-US"/>
        </w:rPr>
        <w:t xml:space="preserve"> We wished to compare regular and irregular follow-up status in our patients. This study was intended to examine differences in BMI and BFP after weight loss among overweight subjects with regular and irregular follow-up attendance.  </w:t>
      </w:r>
    </w:p>
    <w:p w14:paraId="3471C151" w14:textId="77777777" w:rsidR="00516597" w:rsidRPr="00D270BC" w:rsidRDefault="00516597" w:rsidP="00516597">
      <w:pPr>
        <w:spacing w:after="0"/>
        <w:jc w:val="both"/>
        <w:rPr>
          <w:rFonts w:ascii="Times New Roman" w:hAnsi="Times New Roman" w:cs="Times New Roman"/>
          <w:sz w:val="20"/>
          <w:lang w:val="en-US"/>
        </w:rPr>
      </w:pPr>
    </w:p>
    <w:p w14:paraId="0B120BBB" w14:textId="77777777" w:rsidR="00F7346F" w:rsidRPr="00D270BC" w:rsidRDefault="00F7346F" w:rsidP="00F7346F">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SUBJECTS AND METHODS</w:t>
      </w:r>
    </w:p>
    <w:p w14:paraId="4E58CD77" w14:textId="77777777" w:rsidR="00F7346F" w:rsidRDefault="00F7346F" w:rsidP="00F7346F">
      <w:pPr>
        <w:spacing w:after="0"/>
        <w:jc w:val="both"/>
        <w:rPr>
          <w:rFonts w:ascii="Times New Roman" w:hAnsi="Times New Roman" w:cs="Times New Roman"/>
          <w:sz w:val="20"/>
          <w:lang w:val="en-US"/>
        </w:rPr>
      </w:pPr>
    </w:p>
    <w:p w14:paraId="3FCF217A" w14:textId="77777777" w:rsidR="00F7346F" w:rsidRDefault="00F7346F" w:rsidP="00F7346F">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Study design</w:t>
      </w:r>
    </w:p>
    <w:p w14:paraId="08441798" w14:textId="77777777" w:rsidR="00F7346F" w:rsidRPr="00D270BC" w:rsidRDefault="00F7346F" w:rsidP="00F7346F">
      <w:pPr>
        <w:spacing w:after="0"/>
        <w:jc w:val="both"/>
        <w:rPr>
          <w:rFonts w:ascii="Times New Roman" w:hAnsi="Times New Roman" w:cs="Times New Roman"/>
          <w:b/>
          <w:sz w:val="20"/>
          <w:lang w:val="en-US"/>
        </w:rPr>
      </w:pPr>
    </w:p>
    <w:p w14:paraId="3749E6A1" w14:textId="77777777" w:rsidR="00F7346F" w:rsidRDefault="00F7346F" w:rsidP="00F7346F">
      <w:pPr>
        <w:spacing w:after="0"/>
        <w:jc w:val="both"/>
        <w:rPr>
          <w:rFonts w:ascii="Times New Roman" w:hAnsi="Times New Roman" w:cs="Times New Roman"/>
          <w:sz w:val="20"/>
          <w:lang w:val="en-US"/>
        </w:rPr>
      </w:pPr>
      <w:r w:rsidRPr="00F7346F">
        <w:rPr>
          <w:rFonts w:ascii="Times New Roman" w:hAnsi="Times New Roman" w:cs="Times New Roman"/>
          <w:sz w:val="20"/>
          <w:lang w:val="en-US"/>
        </w:rPr>
        <w:t>This historical cohort study was designed in a family medicine clinic which is specialized in obesity treatment at Karadeniz Technical University Medical Faculty, in Trabzon, Turkey. The data which has been collected between May 2014 and June 2016 were included in the study.</w:t>
      </w:r>
    </w:p>
    <w:p w14:paraId="2921821C" w14:textId="77777777" w:rsidR="00F7346F" w:rsidRPr="00F7346F" w:rsidRDefault="00F7346F" w:rsidP="00F7346F">
      <w:pPr>
        <w:spacing w:after="0"/>
        <w:jc w:val="both"/>
        <w:rPr>
          <w:rFonts w:ascii="Times New Roman" w:hAnsi="Times New Roman" w:cs="Times New Roman"/>
          <w:sz w:val="20"/>
          <w:lang w:val="en-US"/>
        </w:rPr>
      </w:pPr>
    </w:p>
    <w:p w14:paraId="05893AED" w14:textId="77777777" w:rsidR="00F7346F" w:rsidRDefault="00F7346F" w:rsidP="00F7346F">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Selection of study subjects</w:t>
      </w:r>
    </w:p>
    <w:p w14:paraId="7CA645E6" w14:textId="77777777" w:rsidR="00F7346F" w:rsidRPr="00D270BC" w:rsidRDefault="00F7346F" w:rsidP="00F7346F">
      <w:pPr>
        <w:spacing w:after="0"/>
        <w:jc w:val="both"/>
        <w:rPr>
          <w:rFonts w:ascii="Times New Roman" w:hAnsi="Times New Roman" w:cs="Times New Roman"/>
          <w:b/>
          <w:sz w:val="20"/>
          <w:lang w:val="en-US"/>
        </w:rPr>
      </w:pPr>
    </w:p>
    <w:p w14:paraId="11D4846A" w14:textId="77777777" w:rsidR="00F7346F" w:rsidRDefault="00F7346F" w:rsidP="00F7346F">
      <w:pPr>
        <w:spacing w:after="0"/>
        <w:jc w:val="both"/>
        <w:rPr>
          <w:rFonts w:ascii="Times New Roman" w:hAnsi="Times New Roman" w:cs="Times New Roman"/>
          <w:sz w:val="20"/>
          <w:lang w:val="en-US"/>
        </w:rPr>
      </w:pPr>
      <w:r w:rsidRPr="00F7346F">
        <w:rPr>
          <w:rFonts w:ascii="Times New Roman" w:hAnsi="Times New Roman" w:cs="Times New Roman"/>
          <w:sz w:val="20"/>
          <w:lang w:val="en-US"/>
        </w:rPr>
        <w:t>Patients with age of ≥ 18, BMI of ≥ 25 kg/m2 who attended our clinic with a desire to lose weight and have data for initial and third-month follow-up visits were included in the study. We excluded patients who have a pregnancy, endogenous obesity and referred to obesity surgery. Patients attending at least one visit every month for three months were defined as the “regular follow-up group”. Patients attending fewer visits than the regular group, between the initial and third follow-up visits were defined as the “irregular follow-up group”. The regular follow-up group consisted of 127 patients and the irregular follow-up group of 59. There were 186 patients’ data totally in the study.</w:t>
      </w:r>
    </w:p>
    <w:p w14:paraId="20E893BA" w14:textId="77777777" w:rsidR="00F7346F" w:rsidRPr="00F7346F" w:rsidRDefault="00F7346F" w:rsidP="00F7346F">
      <w:pPr>
        <w:spacing w:after="0"/>
        <w:jc w:val="both"/>
        <w:rPr>
          <w:rFonts w:ascii="Times New Roman" w:hAnsi="Times New Roman" w:cs="Times New Roman"/>
          <w:sz w:val="20"/>
          <w:lang w:val="en-US"/>
        </w:rPr>
      </w:pPr>
    </w:p>
    <w:p w14:paraId="15780969" w14:textId="77777777" w:rsidR="00F7346F" w:rsidRDefault="00F7346F" w:rsidP="00F7346F">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Outcomes</w:t>
      </w:r>
    </w:p>
    <w:p w14:paraId="390DB585" w14:textId="77777777" w:rsidR="00F7346F" w:rsidRPr="00D270BC" w:rsidRDefault="00F7346F" w:rsidP="00F7346F">
      <w:pPr>
        <w:spacing w:after="0"/>
        <w:jc w:val="both"/>
        <w:rPr>
          <w:rFonts w:ascii="Times New Roman" w:hAnsi="Times New Roman" w:cs="Times New Roman"/>
          <w:b/>
          <w:sz w:val="20"/>
          <w:lang w:val="en-US"/>
        </w:rPr>
      </w:pPr>
    </w:p>
    <w:p w14:paraId="5DF987E1" w14:textId="77777777" w:rsidR="00F7346F" w:rsidRDefault="00F7346F" w:rsidP="00F7346F">
      <w:pPr>
        <w:spacing w:after="0"/>
        <w:jc w:val="both"/>
        <w:rPr>
          <w:rFonts w:ascii="Times New Roman" w:hAnsi="Times New Roman" w:cs="Times New Roman"/>
          <w:sz w:val="20"/>
          <w:lang w:val="en-US"/>
        </w:rPr>
      </w:pPr>
      <w:r w:rsidRPr="00F7346F">
        <w:rPr>
          <w:rFonts w:ascii="Times New Roman" w:hAnsi="Times New Roman" w:cs="Times New Roman"/>
          <w:sz w:val="20"/>
          <w:lang w:val="en-US"/>
        </w:rPr>
        <w:t>We noted patients’ descriptive characteristics, follow-up status, BMI and BFP measured during each visit using a bio-impedance body composition analyzer (Tanita BC-418MA; Tanita Corp., Tokyo, Japan) from follow-up files. Follow-up files consisted of patient descriptive characteristics, diet and exercise behaviors, physical examination and laboratory findings and notes about counseling at all control visits. Both groups received the same counseling. During counseling, we advised patients to reduce their intake of refined carbohydrates and sugar, to lower their calorie intake than daily needs, to exercise regularly as brisk walking for 150 minutes per week, to take fluid approximately 2.5 liters per day and to chew each mouthful of food several times.</w:t>
      </w:r>
    </w:p>
    <w:p w14:paraId="48DEB767" w14:textId="77777777" w:rsidR="00F7346F" w:rsidRPr="00F7346F" w:rsidRDefault="00F7346F" w:rsidP="00F7346F">
      <w:pPr>
        <w:spacing w:after="0"/>
        <w:jc w:val="both"/>
        <w:rPr>
          <w:rFonts w:ascii="Times New Roman" w:hAnsi="Times New Roman" w:cs="Times New Roman"/>
          <w:sz w:val="20"/>
          <w:lang w:val="en-US"/>
        </w:rPr>
      </w:pPr>
    </w:p>
    <w:p w14:paraId="232EBD24" w14:textId="77777777" w:rsidR="00F7346F" w:rsidRDefault="00F7346F" w:rsidP="00F7346F">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Analysis</w:t>
      </w:r>
    </w:p>
    <w:p w14:paraId="531AD5EF" w14:textId="77777777" w:rsidR="00F7346F" w:rsidRPr="00D270BC" w:rsidRDefault="00F7346F" w:rsidP="00F7346F">
      <w:pPr>
        <w:spacing w:after="0"/>
        <w:jc w:val="both"/>
        <w:rPr>
          <w:rFonts w:ascii="Times New Roman" w:hAnsi="Times New Roman" w:cs="Times New Roman"/>
          <w:b/>
          <w:sz w:val="20"/>
          <w:lang w:val="en-US"/>
        </w:rPr>
      </w:pPr>
    </w:p>
    <w:p w14:paraId="478E1315" w14:textId="77777777" w:rsidR="00F7346F" w:rsidRPr="00F7346F" w:rsidRDefault="00F7346F" w:rsidP="00F7346F">
      <w:pPr>
        <w:spacing w:after="0"/>
        <w:jc w:val="both"/>
        <w:rPr>
          <w:rFonts w:ascii="Times New Roman" w:hAnsi="Times New Roman" w:cs="Times New Roman"/>
          <w:sz w:val="20"/>
          <w:lang w:val="en-US"/>
        </w:rPr>
      </w:pPr>
      <w:r w:rsidRPr="00F7346F">
        <w:rPr>
          <w:rFonts w:ascii="Times New Roman" w:hAnsi="Times New Roman" w:cs="Times New Roman"/>
          <w:sz w:val="20"/>
          <w:lang w:val="en-US"/>
        </w:rPr>
        <w:t>Statistical analyses were performed on Statistical Package for the Social Sciences version 18.0 software. We analyzed patients’ characteristics using descriptive statistics and frequency tables. Pearson’s chi-square test was used to assess the presence of any difference between the regular and irregular follow-up groups in terms of gender. The paired samples t-tests was used to compare differences in BMI and body fat percentages between the first visit and at the end of three months for the regular and irregular follow-up groups. Differences in percentage decreases in BMI and body fat percentages for both groups were compared using the independent samples t-tests. P values &lt; 0.05 were considered statistically significant.</w:t>
      </w:r>
    </w:p>
    <w:p w14:paraId="307EDDA1" w14:textId="77777777" w:rsidR="00516597" w:rsidRPr="00D270BC" w:rsidRDefault="00516597" w:rsidP="00516597">
      <w:pPr>
        <w:spacing w:after="0"/>
        <w:jc w:val="both"/>
        <w:rPr>
          <w:rFonts w:ascii="Times New Roman" w:hAnsi="Times New Roman" w:cs="Times New Roman"/>
          <w:sz w:val="20"/>
          <w:lang w:val="en-US"/>
        </w:rPr>
      </w:pPr>
    </w:p>
    <w:p w14:paraId="0E092A88" w14:textId="77777777" w:rsidR="00516597" w:rsidRPr="00D270BC" w:rsidRDefault="00516597" w:rsidP="00516597">
      <w:pPr>
        <w:spacing w:line="240" w:lineRule="auto"/>
        <w:jc w:val="both"/>
        <w:rPr>
          <w:rFonts w:ascii="Times New Roman" w:hAnsi="Times New Roman" w:cs="Times New Roman"/>
          <w:b/>
          <w:sz w:val="20"/>
          <w:szCs w:val="20"/>
          <w:lang w:val="en-US"/>
        </w:rPr>
      </w:pPr>
      <w:r w:rsidRPr="00D270BC">
        <w:rPr>
          <w:rFonts w:ascii="Times New Roman" w:hAnsi="Times New Roman" w:cs="Times New Roman"/>
          <w:b/>
          <w:sz w:val="20"/>
          <w:szCs w:val="20"/>
          <w:lang w:val="en-US"/>
        </w:rPr>
        <w:lastRenderedPageBreak/>
        <w:t>RESULTS</w:t>
      </w:r>
    </w:p>
    <w:p w14:paraId="10B149FF" w14:textId="77777777" w:rsidR="00516597" w:rsidRDefault="00516597" w:rsidP="00516597">
      <w:pPr>
        <w:spacing w:line="240" w:lineRule="auto"/>
        <w:jc w:val="both"/>
        <w:rPr>
          <w:rFonts w:ascii="Times New Roman" w:hAnsi="Times New Roman" w:cs="Times New Roman"/>
          <w:sz w:val="20"/>
          <w:szCs w:val="20"/>
          <w:lang w:val="en-US"/>
        </w:rPr>
      </w:pPr>
      <w:r w:rsidRPr="00D270BC">
        <w:rPr>
          <w:rFonts w:ascii="Times New Roman" w:hAnsi="Times New Roman" w:cs="Times New Roman"/>
          <w:sz w:val="20"/>
          <w:szCs w:val="20"/>
          <w:lang w:val="en-US"/>
        </w:rPr>
        <w:t xml:space="preserve">One hundred eighty-six patients, 156 women (83.9%) and 30 men (16.1%), with a mean age of 37.8 ± 12.0 years, met the inclusion criteria. The mean BMI value for the entire patient group was 34.1 ± 7.0. One hundred twenty-seven patients (68.3%) attended regular follow-ups and 59 patients (31.7%) attended irregularly. While the median of regular group was 5 (min 4 - max 7); it was 2 (min 2 – max 5) for the irregular group. As shown in Table 1, there was no difference between the two groups in terms of baseline characteristics (p&gt; 0.05). </w:t>
      </w:r>
    </w:p>
    <w:p w14:paraId="7C708404" w14:textId="77777777" w:rsidR="00F7346F" w:rsidRDefault="00F7346F" w:rsidP="00516597">
      <w:pPr>
        <w:spacing w:line="240" w:lineRule="auto"/>
        <w:jc w:val="both"/>
        <w:rPr>
          <w:rFonts w:ascii="Times New Roman" w:hAnsi="Times New Roman" w:cs="Times New Roman"/>
          <w:sz w:val="20"/>
          <w:szCs w:val="20"/>
          <w:lang w:val="en-US"/>
        </w:rPr>
      </w:pPr>
    </w:p>
    <w:p w14:paraId="03857921" w14:textId="77777777" w:rsidR="00F7346F" w:rsidRPr="00D270BC" w:rsidRDefault="00F7346F" w:rsidP="00516597">
      <w:pPr>
        <w:spacing w:line="240" w:lineRule="auto"/>
        <w:jc w:val="both"/>
        <w:rPr>
          <w:rFonts w:ascii="Times New Roman" w:hAnsi="Times New Roman" w:cs="Times New Roman"/>
          <w:sz w:val="20"/>
          <w:szCs w:val="20"/>
          <w:lang w:val="en-US"/>
        </w:rPr>
      </w:pPr>
    </w:p>
    <w:p w14:paraId="32849B37" w14:textId="77777777" w:rsidR="00516597" w:rsidRPr="00D270BC" w:rsidRDefault="00516597" w:rsidP="00516597">
      <w:pPr>
        <w:spacing w:line="240" w:lineRule="auto"/>
        <w:ind w:firstLine="708"/>
        <w:jc w:val="both"/>
        <w:rPr>
          <w:rFonts w:ascii="Times New Roman" w:hAnsi="Times New Roman" w:cs="Times New Roman"/>
          <w:sz w:val="20"/>
          <w:szCs w:val="20"/>
          <w:lang w:val="en-US"/>
        </w:rPr>
      </w:pPr>
      <w:r w:rsidRPr="00D270BC">
        <w:rPr>
          <w:rFonts w:ascii="Times New Roman" w:hAnsi="Times New Roman" w:cs="Times New Roman"/>
          <w:sz w:val="20"/>
          <w:szCs w:val="20"/>
          <w:lang w:val="en-US"/>
        </w:rPr>
        <w:t xml:space="preserve">There was no significant difference between the regular and irregular follow-up groups in terms of gender (p = 0.516). </w:t>
      </w:r>
    </w:p>
    <w:p w14:paraId="2443579C" w14:textId="77777777" w:rsidR="00516597" w:rsidRPr="00D270BC" w:rsidRDefault="00516597" w:rsidP="00516597">
      <w:pPr>
        <w:spacing w:line="240" w:lineRule="auto"/>
        <w:ind w:firstLine="708"/>
        <w:jc w:val="both"/>
        <w:rPr>
          <w:rFonts w:ascii="Times New Roman" w:hAnsi="Times New Roman" w:cs="Times New Roman"/>
          <w:sz w:val="20"/>
          <w:szCs w:val="20"/>
          <w:lang w:val="en-US"/>
        </w:rPr>
      </w:pPr>
      <w:r w:rsidRPr="00D270BC">
        <w:rPr>
          <w:rFonts w:ascii="Times New Roman" w:hAnsi="Times New Roman" w:cs="Times New Roman"/>
          <w:sz w:val="20"/>
          <w:szCs w:val="20"/>
          <w:lang w:val="en-US"/>
        </w:rPr>
        <w:t>As shown in table 2, significant differences were found in BMI and fat percentages between the first visit and the end of the third</w:t>
      </w:r>
      <w:r w:rsidRPr="00D270BC">
        <w:rPr>
          <w:rFonts w:ascii="Times New Roman" w:hAnsi="Times New Roman" w:cs="Times New Roman"/>
          <w:sz w:val="20"/>
          <w:szCs w:val="20"/>
          <w:vertAlign w:val="superscript"/>
          <w:lang w:val="en-US"/>
        </w:rPr>
        <w:t xml:space="preserve"> </w:t>
      </w:r>
      <w:r w:rsidRPr="00D270BC">
        <w:rPr>
          <w:rFonts w:ascii="Times New Roman" w:hAnsi="Times New Roman" w:cs="Times New Roman"/>
          <w:sz w:val="20"/>
          <w:szCs w:val="20"/>
          <w:lang w:val="en-US"/>
        </w:rPr>
        <w:t xml:space="preserve">month in both groups (p&lt; 0.001). </w:t>
      </w:r>
    </w:p>
    <w:p w14:paraId="4684D237" w14:textId="77777777" w:rsidR="00516597" w:rsidRPr="00D270BC" w:rsidRDefault="00516597" w:rsidP="00516597">
      <w:pPr>
        <w:spacing w:line="240" w:lineRule="auto"/>
        <w:ind w:firstLine="708"/>
        <w:jc w:val="both"/>
        <w:rPr>
          <w:rFonts w:ascii="Times New Roman" w:hAnsi="Times New Roman" w:cs="Times New Roman"/>
          <w:sz w:val="20"/>
          <w:szCs w:val="20"/>
          <w:lang w:val="en-US"/>
        </w:rPr>
      </w:pPr>
      <w:r w:rsidRPr="00D270BC">
        <w:rPr>
          <w:rFonts w:ascii="Times New Roman" w:hAnsi="Times New Roman" w:cs="Times New Roman"/>
          <w:sz w:val="20"/>
          <w:szCs w:val="20"/>
          <w:lang w:val="en-US"/>
        </w:rPr>
        <w:t>The decrease in BMI of 2.1 kg/m</w:t>
      </w:r>
      <w:r w:rsidRPr="00D270BC">
        <w:rPr>
          <w:rFonts w:ascii="Times New Roman" w:hAnsi="Times New Roman" w:cs="Times New Roman"/>
          <w:sz w:val="20"/>
          <w:szCs w:val="20"/>
          <w:vertAlign w:val="superscript"/>
          <w:lang w:val="en-US"/>
        </w:rPr>
        <w:t>2</w:t>
      </w:r>
      <w:r w:rsidRPr="00D270BC">
        <w:rPr>
          <w:rFonts w:ascii="Times New Roman" w:hAnsi="Times New Roman" w:cs="Times New Roman"/>
          <w:sz w:val="20"/>
          <w:szCs w:val="20"/>
          <w:lang w:val="en-US"/>
        </w:rPr>
        <w:t xml:space="preserve"> was found in the regular follow-up group and of 1.1 kg/m</w:t>
      </w:r>
      <w:r w:rsidRPr="00D270BC">
        <w:rPr>
          <w:rFonts w:ascii="Times New Roman" w:hAnsi="Times New Roman" w:cs="Times New Roman"/>
          <w:sz w:val="20"/>
          <w:szCs w:val="20"/>
          <w:vertAlign w:val="superscript"/>
          <w:lang w:val="en-US"/>
        </w:rPr>
        <w:t xml:space="preserve">2 </w:t>
      </w:r>
      <w:r w:rsidRPr="00D270BC">
        <w:rPr>
          <w:rFonts w:ascii="Times New Roman" w:hAnsi="Times New Roman" w:cs="Times New Roman"/>
          <w:sz w:val="20"/>
          <w:szCs w:val="20"/>
          <w:lang w:val="en-US"/>
        </w:rPr>
        <w:t>in the irregular follow-up group. A decrease in fat percentage of 2.5 was determined in the regular follow-up group and of 1.5 in the irregular group. As shown in table 2, the differences in the decreases in BMI and fat percentage between the two groups were statistically significant (p&lt; 0.001).</w:t>
      </w:r>
    </w:p>
    <w:p w14:paraId="708159F3" w14:textId="77777777" w:rsidR="00516597" w:rsidRPr="00D270BC" w:rsidRDefault="00516597" w:rsidP="00516597">
      <w:pPr>
        <w:spacing w:after="0"/>
        <w:jc w:val="both"/>
        <w:rPr>
          <w:rFonts w:ascii="Times New Roman" w:hAnsi="Times New Roman" w:cs="Times New Roman"/>
          <w:sz w:val="20"/>
          <w:lang w:val="en-US"/>
        </w:rPr>
      </w:pPr>
    </w:p>
    <w:p w14:paraId="2D64B48B" w14:textId="77777777" w:rsidR="00516597" w:rsidRPr="00D270BC" w:rsidRDefault="00516597" w:rsidP="00516597">
      <w:pPr>
        <w:autoSpaceDE w:val="0"/>
        <w:autoSpaceDN w:val="0"/>
        <w:adjustRightInd w:val="0"/>
        <w:spacing w:after="0" w:line="240" w:lineRule="auto"/>
        <w:jc w:val="both"/>
        <w:rPr>
          <w:rFonts w:ascii="Times New Roman" w:hAnsi="Times New Roman" w:cs="Times New Roman"/>
          <w:sz w:val="20"/>
          <w:szCs w:val="20"/>
          <w:lang w:val="en-US"/>
        </w:rPr>
      </w:pPr>
    </w:p>
    <w:p w14:paraId="0BB5579E" w14:textId="77777777" w:rsidR="00516597" w:rsidRDefault="00516597">
      <w:pPr>
        <w:rPr>
          <w:rFonts w:ascii="Times New Roman" w:hAnsi="Times New Roman" w:cs="Times New Roman"/>
          <w:sz w:val="20"/>
          <w:szCs w:val="20"/>
          <w:lang w:val="en-US"/>
        </w:rPr>
      </w:pPr>
    </w:p>
    <w:p w14:paraId="46EEF8E0" w14:textId="77777777" w:rsidR="00F7346F" w:rsidRPr="00D270BC" w:rsidRDefault="00F7346F">
      <w:pPr>
        <w:rPr>
          <w:rFonts w:ascii="Times New Roman" w:hAnsi="Times New Roman" w:cs="Times New Roman"/>
          <w:sz w:val="20"/>
          <w:szCs w:val="20"/>
          <w:lang w:val="en-US"/>
        </w:rPr>
        <w:sectPr w:rsidR="00F7346F" w:rsidRPr="00D270BC" w:rsidSect="00516597">
          <w:type w:val="continuous"/>
          <w:pgSz w:w="11906" w:h="16838"/>
          <w:pgMar w:top="1417" w:right="1417" w:bottom="1417" w:left="1417" w:header="708" w:footer="708" w:gutter="0"/>
          <w:cols w:num="2" w:space="709"/>
          <w:docGrid w:linePitch="360"/>
        </w:sect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5"/>
        <w:gridCol w:w="2268"/>
        <w:gridCol w:w="2268"/>
        <w:gridCol w:w="2232"/>
      </w:tblGrid>
      <w:tr w:rsidR="00516597" w:rsidRPr="00113439" w14:paraId="03529EDE" w14:textId="77777777" w:rsidTr="00516597">
        <w:trPr>
          <w:trHeight w:val="567"/>
        </w:trPr>
        <w:tc>
          <w:tcPr>
            <w:tcW w:w="8963" w:type="dxa"/>
            <w:gridSpan w:val="4"/>
          </w:tcPr>
          <w:p w14:paraId="58CE9738" w14:textId="77777777" w:rsidR="003F6C6D" w:rsidRPr="00D270BC" w:rsidRDefault="003F6C6D" w:rsidP="00516597">
            <w:pPr>
              <w:spacing w:after="0" w:line="240" w:lineRule="auto"/>
              <w:jc w:val="both"/>
              <w:rPr>
                <w:rFonts w:ascii="Times New Roman" w:hAnsi="Times New Roman" w:cs="Times New Roman"/>
                <w:b/>
                <w:sz w:val="20"/>
                <w:szCs w:val="20"/>
                <w:lang w:val="en-US"/>
              </w:rPr>
            </w:pPr>
          </w:p>
          <w:p w14:paraId="088C2420" w14:textId="77777777" w:rsidR="00516597" w:rsidRPr="00D270BC" w:rsidRDefault="00516597" w:rsidP="003F6C6D">
            <w:pPr>
              <w:spacing w:after="0" w:line="240" w:lineRule="auto"/>
              <w:jc w:val="both"/>
              <w:rPr>
                <w:rFonts w:ascii="Times New Roman" w:hAnsi="Times New Roman" w:cs="Times New Roman"/>
                <w:b/>
                <w:sz w:val="20"/>
                <w:szCs w:val="20"/>
                <w:lang w:val="en-US"/>
              </w:rPr>
            </w:pPr>
            <w:r w:rsidRPr="00D270BC">
              <w:rPr>
                <w:rFonts w:ascii="Times New Roman" w:hAnsi="Times New Roman" w:cs="Times New Roman"/>
                <w:b/>
                <w:sz w:val="20"/>
                <w:szCs w:val="20"/>
                <w:lang w:val="en-US"/>
              </w:rPr>
              <w:t xml:space="preserve">Table 1. Baseline characteristics of the patients </w:t>
            </w:r>
          </w:p>
        </w:tc>
      </w:tr>
      <w:tr w:rsidR="00516597" w:rsidRPr="00113439" w14:paraId="4FA940D2" w14:textId="77777777" w:rsidTr="00516597">
        <w:trPr>
          <w:trHeight w:val="397"/>
        </w:trPr>
        <w:tc>
          <w:tcPr>
            <w:tcW w:w="2195" w:type="dxa"/>
          </w:tcPr>
          <w:p w14:paraId="13A569D1"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br w:type="page"/>
            </w:r>
          </w:p>
        </w:tc>
        <w:tc>
          <w:tcPr>
            <w:tcW w:w="2268" w:type="dxa"/>
          </w:tcPr>
          <w:p w14:paraId="4BD92F20" w14:textId="77777777" w:rsidR="00516597" w:rsidRPr="00D270BC" w:rsidRDefault="00516597" w:rsidP="00516597">
            <w:pPr>
              <w:rPr>
                <w:rFonts w:ascii="Times New Roman" w:hAnsi="Times New Roman" w:cs="Times New Roman"/>
                <w:b/>
                <w:sz w:val="20"/>
                <w:szCs w:val="20"/>
                <w:lang w:val="en-US"/>
              </w:rPr>
            </w:pPr>
            <w:r w:rsidRPr="00D270BC">
              <w:rPr>
                <w:rFonts w:ascii="Times New Roman" w:hAnsi="Times New Roman" w:cs="Times New Roman"/>
                <w:b/>
                <w:sz w:val="20"/>
                <w:szCs w:val="20"/>
                <w:lang w:val="en-US"/>
              </w:rPr>
              <w:t>Regular follow-up</w:t>
            </w:r>
          </w:p>
        </w:tc>
        <w:tc>
          <w:tcPr>
            <w:tcW w:w="2268" w:type="dxa"/>
          </w:tcPr>
          <w:p w14:paraId="65F1B1F1" w14:textId="77777777" w:rsidR="00516597" w:rsidRPr="00D270BC" w:rsidRDefault="00516597" w:rsidP="00516597">
            <w:pPr>
              <w:rPr>
                <w:rFonts w:ascii="Times New Roman" w:hAnsi="Times New Roman" w:cs="Times New Roman"/>
                <w:b/>
                <w:sz w:val="20"/>
                <w:szCs w:val="20"/>
                <w:lang w:val="en-US"/>
              </w:rPr>
            </w:pPr>
            <w:r w:rsidRPr="00D270BC">
              <w:rPr>
                <w:rFonts w:ascii="Times New Roman" w:hAnsi="Times New Roman" w:cs="Times New Roman"/>
                <w:b/>
                <w:sz w:val="20"/>
                <w:szCs w:val="20"/>
                <w:lang w:val="en-US"/>
              </w:rPr>
              <w:t>Irregular follow-up</w:t>
            </w:r>
          </w:p>
        </w:tc>
        <w:tc>
          <w:tcPr>
            <w:tcW w:w="2232" w:type="dxa"/>
          </w:tcPr>
          <w:p w14:paraId="04446A28" w14:textId="77777777" w:rsidR="00516597" w:rsidRPr="00D270BC" w:rsidRDefault="00516597" w:rsidP="00516597">
            <w:pPr>
              <w:rPr>
                <w:rFonts w:ascii="Times New Roman" w:hAnsi="Times New Roman" w:cs="Times New Roman"/>
                <w:b/>
                <w:sz w:val="20"/>
                <w:szCs w:val="20"/>
                <w:lang w:val="en-US"/>
              </w:rPr>
            </w:pPr>
            <w:r w:rsidRPr="00D270BC">
              <w:rPr>
                <w:rFonts w:ascii="Times New Roman" w:hAnsi="Times New Roman" w:cs="Times New Roman"/>
                <w:b/>
                <w:sz w:val="20"/>
                <w:szCs w:val="20"/>
                <w:lang w:val="en-US"/>
              </w:rPr>
              <w:t>p values</w:t>
            </w:r>
          </w:p>
        </w:tc>
      </w:tr>
      <w:tr w:rsidR="00516597" w:rsidRPr="00113439" w14:paraId="16DD43DC" w14:textId="77777777" w:rsidTr="00516597">
        <w:trPr>
          <w:trHeight w:val="347"/>
        </w:trPr>
        <w:tc>
          <w:tcPr>
            <w:tcW w:w="2195" w:type="dxa"/>
          </w:tcPr>
          <w:p w14:paraId="2B288C49" w14:textId="77777777" w:rsidR="00516597" w:rsidRPr="00D270BC" w:rsidRDefault="00516597" w:rsidP="00516597">
            <w:pPr>
              <w:ind w:left="-73"/>
              <w:rPr>
                <w:rFonts w:ascii="Times New Roman" w:hAnsi="Times New Roman" w:cs="Times New Roman"/>
                <w:b/>
                <w:sz w:val="20"/>
                <w:szCs w:val="20"/>
                <w:lang w:val="en-US"/>
              </w:rPr>
            </w:pPr>
            <w:r w:rsidRPr="00D270BC">
              <w:rPr>
                <w:rFonts w:ascii="Times New Roman" w:hAnsi="Times New Roman" w:cs="Times New Roman"/>
                <w:b/>
                <w:sz w:val="20"/>
                <w:szCs w:val="20"/>
                <w:lang w:val="en-US"/>
              </w:rPr>
              <w:t>Age – years*</w:t>
            </w:r>
          </w:p>
        </w:tc>
        <w:tc>
          <w:tcPr>
            <w:tcW w:w="2268" w:type="dxa"/>
          </w:tcPr>
          <w:p w14:paraId="4D9A97BF"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36.8 ± 12.3</w:t>
            </w:r>
          </w:p>
        </w:tc>
        <w:tc>
          <w:tcPr>
            <w:tcW w:w="2268" w:type="dxa"/>
          </w:tcPr>
          <w:p w14:paraId="3EBC6250"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39.8 ± 10.9</w:t>
            </w:r>
          </w:p>
        </w:tc>
        <w:tc>
          <w:tcPr>
            <w:tcW w:w="2232" w:type="dxa"/>
          </w:tcPr>
          <w:p w14:paraId="5C146E6D"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0.103</w:t>
            </w:r>
          </w:p>
        </w:tc>
      </w:tr>
      <w:tr w:rsidR="00516597" w:rsidRPr="00113439" w14:paraId="23E3F9B6" w14:textId="77777777" w:rsidTr="00516597">
        <w:trPr>
          <w:trHeight w:val="397"/>
        </w:trPr>
        <w:tc>
          <w:tcPr>
            <w:tcW w:w="2195" w:type="dxa"/>
          </w:tcPr>
          <w:p w14:paraId="418116DA" w14:textId="77777777" w:rsidR="00516597" w:rsidRPr="00D270BC" w:rsidRDefault="00516597" w:rsidP="00516597">
            <w:pPr>
              <w:ind w:left="-73"/>
              <w:rPr>
                <w:rFonts w:ascii="Times New Roman" w:hAnsi="Times New Roman" w:cs="Times New Roman"/>
                <w:b/>
                <w:sz w:val="20"/>
                <w:szCs w:val="20"/>
                <w:lang w:val="en-US"/>
              </w:rPr>
            </w:pPr>
            <w:r w:rsidRPr="00D270BC">
              <w:rPr>
                <w:rFonts w:ascii="Times New Roman" w:hAnsi="Times New Roman" w:cs="Times New Roman"/>
                <w:b/>
                <w:sz w:val="20"/>
                <w:szCs w:val="20"/>
                <w:lang w:val="en-US"/>
              </w:rPr>
              <w:t>BMI - kg/m2*</w:t>
            </w:r>
          </w:p>
        </w:tc>
        <w:tc>
          <w:tcPr>
            <w:tcW w:w="2268" w:type="dxa"/>
          </w:tcPr>
          <w:p w14:paraId="1056916C"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34.7 ± 7.5</w:t>
            </w:r>
          </w:p>
        </w:tc>
        <w:tc>
          <w:tcPr>
            <w:tcW w:w="2268" w:type="dxa"/>
          </w:tcPr>
          <w:p w14:paraId="6415A91C"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32.7 ± 5.5</w:t>
            </w:r>
          </w:p>
        </w:tc>
        <w:tc>
          <w:tcPr>
            <w:tcW w:w="2232" w:type="dxa"/>
          </w:tcPr>
          <w:p w14:paraId="2E057EF3"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0.067</w:t>
            </w:r>
          </w:p>
        </w:tc>
      </w:tr>
      <w:tr w:rsidR="00516597" w:rsidRPr="00113439" w14:paraId="7A5CF20C" w14:textId="77777777" w:rsidTr="00516597">
        <w:trPr>
          <w:trHeight w:val="446"/>
        </w:trPr>
        <w:tc>
          <w:tcPr>
            <w:tcW w:w="2195" w:type="dxa"/>
          </w:tcPr>
          <w:p w14:paraId="7BEF6EE4" w14:textId="77777777" w:rsidR="00516597" w:rsidRPr="00D270BC" w:rsidRDefault="00516597" w:rsidP="00516597">
            <w:pPr>
              <w:ind w:left="-73"/>
              <w:rPr>
                <w:rFonts w:ascii="Times New Roman" w:hAnsi="Times New Roman" w:cs="Times New Roman"/>
                <w:b/>
                <w:sz w:val="20"/>
                <w:szCs w:val="20"/>
                <w:lang w:val="en-US"/>
              </w:rPr>
            </w:pPr>
            <w:r w:rsidRPr="00D270BC">
              <w:rPr>
                <w:rFonts w:ascii="Times New Roman" w:hAnsi="Times New Roman" w:cs="Times New Roman"/>
                <w:b/>
                <w:sz w:val="20"/>
                <w:szCs w:val="20"/>
                <w:lang w:val="en-US"/>
              </w:rPr>
              <w:t>Fat percentage %*</w:t>
            </w:r>
          </w:p>
        </w:tc>
        <w:tc>
          <w:tcPr>
            <w:tcW w:w="2268" w:type="dxa"/>
          </w:tcPr>
          <w:p w14:paraId="2B7E0E60"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38.6 ± 8.3</w:t>
            </w:r>
          </w:p>
        </w:tc>
        <w:tc>
          <w:tcPr>
            <w:tcW w:w="2268" w:type="dxa"/>
          </w:tcPr>
          <w:p w14:paraId="1DFA41EF"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38.1 ± 7.3</w:t>
            </w:r>
          </w:p>
        </w:tc>
        <w:tc>
          <w:tcPr>
            <w:tcW w:w="2232" w:type="dxa"/>
          </w:tcPr>
          <w:p w14:paraId="24C02520" w14:textId="77777777" w:rsidR="00516597" w:rsidRPr="00D270BC" w:rsidRDefault="00516597" w:rsidP="00516597">
            <w:pPr>
              <w:ind w:left="-73"/>
              <w:rPr>
                <w:rFonts w:ascii="Times New Roman" w:hAnsi="Times New Roman" w:cs="Times New Roman"/>
                <w:sz w:val="20"/>
                <w:szCs w:val="20"/>
                <w:lang w:val="en-US"/>
              </w:rPr>
            </w:pPr>
            <w:r w:rsidRPr="00D270BC">
              <w:rPr>
                <w:rFonts w:ascii="Times New Roman" w:hAnsi="Times New Roman" w:cs="Times New Roman"/>
                <w:sz w:val="20"/>
                <w:szCs w:val="20"/>
                <w:lang w:val="en-US"/>
              </w:rPr>
              <w:t>0.655</w:t>
            </w:r>
          </w:p>
        </w:tc>
      </w:tr>
    </w:tbl>
    <w:p w14:paraId="5ABEA3C1" w14:textId="77777777" w:rsidR="00516597" w:rsidRPr="00D270BC" w:rsidRDefault="00516597" w:rsidP="00516597">
      <w:pPr>
        <w:spacing w:after="0"/>
        <w:jc w:val="both"/>
        <w:rPr>
          <w:rFonts w:ascii="Times New Roman" w:hAnsi="Times New Roman" w:cs="Times New Roman"/>
          <w:sz w:val="16"/>
          <w:lang w:val="en-US"/>
        </w:rPr>
      </w:pPr>
      <w:r w:rsidRPr="00D270BC">
        <w:rPr>
          <w:rFonts w:ascii="Times New Roman" w:hAnsi="Times New Roman" w:cs="Times New Roman"/>
          <w:sz w:val="16"/>
          <w:lang w:val="en-US"/>
        </w:rPr>
        <w:t>*(mean ± SD)</w:t>
      </w:r>
    </w:p>
    <w:p w14:paraId="5E9D0472" w14:textId="77777777" w:rsidR="00516597" w:rsidRPr="00D270BC" w:rsidRDefault="00516597" w:rsidP="00516597">
      <w:pPr>
        <w:spacing w:after="0"/>
        <w:jc w:val="both"/>
        <w:rPr>
          <w:rFonts w:ascii="Times New Roman" w:hAnsi="Times New Roman" w:cs="Times New Roman"/>
          <w:sz w:val="20"/>
          <w:lang w:val="en-US"/>
        </w:rPr>
      </w:pPr>
    </w:p>
    <w:p w14:paraId="48C06161" w14:textId="77777777" w:rsidR="00BC596D" w:rsidRPr="00D270BC" w:rsidRDefault="00BC596D" w:rsidP="00516597">
      <w:pPr>
        <w:spacing w:after="0"/>
        <w:jc w:val="both"/>
        <w:rPr>
          <w:rFonts w:ascii="Times New Roman" w:hAnsi="Times New Roman" w:cs="Times New Roman"/>
          <w:sz w:val="20"/>
          <w:lang w:val="en-US"/>
        </w:rPr>
      </w:pPr>
    </w:p>
    <w:p w14:paraId="1764A985" w14:textId="77777777" w:rsidR="003F6C6D" w:rsidRPr="00D270BC" w:rsidRDefault="003F6C6D" w:rsidP="00516597">
      <w:pPr>
        <w:spacing w:after="0"/>
        <w:jc w:val="both"/>
        <w:rPr>
          <w:rFonts w:ascii="Times New Roman" w:hAnsi="Times New Roman" w:cs="Times New Roman"/>
          <w:sz w:val="20"/>
          <w:lang w:val="en-US"/>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157"/>
        <w:gridCol w:w="731"/>
        <w:gridCol w:w="886"/>
        <w:gridCol w:w="744"/>
        <w:gridCol w:w="720"/>
        <w:gridCol w:w="628"/>
        <w:gridCol w:w="203"/>
        <w:gridCol w:w="731"/>
        <w:gridCol w:w="906"/>
        <w:gridCol w:w="744"/>
        <w:gridCol w:w="720"/>
        <w:gridCol w:w="628"/>
        <w:gridCol w:w="151"/>
        <w:gridCol w:w="628"/>
      </w:tblGrid>
      <w:tr w:rsidR="003F6C6D" w:rsidRPr="00113439" w14:paraId="683F758A" w14:textId="77777777" w:rsidTr="003F6C6D">
        <w:trPr>
          <w:trHeight w:val="486"/>
        </w:trPr>
        <w:tc>
          <w:tcPr>
            <w:tcW w:w="9851" w:type="dxa"/>
            <w:gridSpan w:val="15"/>
          </w:tcPr>
          <w:p w14:paraId="0BC820A5" w14:textId="77777777" w:rsidR="003F6C6D" w:rsidRPr="00D270BC" w:rsidRDefault="003F6C6D" w:rsidP="003F6C6D">
            <w:pPr>
              <w:spacing w:after="0"/>
              <w:ind w:left="709"/>
              <w:jc w:val="both"/>
              <w:rPr>
                <w:rFonts w:ascii="Times New Roman" w:hAnsi="Times New Roman" w:cs="Times New Roman"/>
                <w:sz w:val="16"/>
                <w:szCs w:val="16"/>
                <w:lang w:val="en-US"/>
              </w:rPr>
            </w:pPr>
          </w:p>
          <w:p w14:paraId="17991ECE" w14:textId="77777777" w:rsidR="003F6C6D" w:rsidRPr="00D270BC" w:rsidRDefault="003F6C6D" w:rsidP="00D270BC">
            <w:pPr>
              <w:autoSpaceDE w:val="0"/>
              <w:autoSpaceDN w:val="0"/>
              <w:adjustRightInd w:val="0"/>
              <w:spacing w:after="0" w:line="240" w:lineRule="auto"/>
              <w:jc w:val="both"/>
              <w:rPr>
                <w:rFonts w:ascii="Times New Roman" w:hAnsi="Times New Roman" w:cs="Times New Roman"/>
                <w:b/>
                <w:sz w:val="16"/>
                <w:szCs w:val="16"/>
                <w:lang w:val="en-US"/>
              </w:rPr>
            </w:pPr>
            <w:r w:rsidRPr="00D270BC">
              <w:rPr>
                <w:rFonts w:ascii="Times New Roman" w:eastAsia="Calibri" w:hAnsi="Times New Roman" w:cs="Times New Roman"/>
                <w:b/>
                <w:sz w:val="16"/>
                <w:szCs w:val="16"/>
                <w:lang w:val="en-US"/>
              </w:rPr>
              <w:t>Table 2. Summary of the measurements</w:t>
            </w:r>
          </w:p>
        </w:tc>
      </w:tr>
      <w:tr w:rsidR="00BC596D" w:rsidRPr="00113439" w14:paraId="13EF07E3" w14:textId="77777777" w:rsidTr="00BC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336" w:type="dxa"/>
            <w:gridSpan w:val="2"/>
            <w:tcBorders>
              <w:top w:val="single" w:sz="4" w:space="0" w:color="auto"/>
              <w:left w:val="single" w:sz="4" w:space="0" w:color="auto"/>
              <w:bottom w:val="nil"/>
              <w:right w:val="single" w:sz="4" w:space="0" w:color="auto"/>
            </w:tcBorders>
            <w:vAlign w:val="center"/>
            <w:hideMark/>
          </w:tcPr>
          <w:p w14:paraId="658D0B84" w14:textId="77777777" w:rsidR="00BC596D" w:rsidRPr="00D270BC" w:rsidRDefault="00BC596D" w:rsidP="003F6C6D">
            <w:pPr>
              <w:spacing w:after="0" w:line="240" w:lineRule="auto"/>
              <w:jc w:val="center"/>
              <w:rPr>
                <w:rFonts w:ascii="Times New Roman" w:eastAsia="Times New Roman" w:hAnsi="Times New Roman" w:cs="Times New Roman"/>
                <w:b/>
                <w:bCs/>
                <w:color w:val="000000"/>
                <w:sz w:val="16"/>
                <w:szCs w:val="16"/>
                <w:lang w:val="en-US" w:eastAsia="tr-TR"/>
              </w:rPr>
            </w:pPr>
            <w:r w:rsidRPr="00D270BC">
              <w:rPr>
                <w:rFonts w:ascii="Times New Roman" w:eastAsia="Times New Roman" w:hAnsi="Times New Roman" w:cs="Times New Roman"/>
                <w:bCs/>
                <w:color w:val="000000"/>
                <w:sz w:val="16"/>
                <w:szCs w:val="16"/>
                <w:lang w:val="en-US" w:eastAsia="tr-TR"/>
              </w:rPr>
              <w:t> </w:t>
            </w:r>
          </w:p>
        </w:tc>
        <w:tc>
          <w:tcPr>
            <w:tcW w:w="0" w:type="auto"/>
            <w:gridSpan w:val="5"/>
            <w:tcBorders>
              <w:top w:val="single" w:sz="4" w:space="0" w:color="auto"/>
              <w:left w:val="single" w:sz="4" w:space="0" w:color="auto"/>
              <w:right w:val="nil"/>
            </w:tcBorders>
            <w:vAlign w:val="center"/>
            <w:hideMark/>
          </w:tcPr>
          <w:p w14:paraId="6EFFC5BB" w14:textId="77777777" w:rsidR="00BC596D" w:rsidRPr="00D270BC" w:rsidRDefault="00BC596D" w:rsidP="003F6C6D">
            <w:pPr>
              <w:spacing w:after="0" w:line="240" w:lineRule="auto"/>
              <w:jc w:val="center"/>
              <w:rPr>
                <w:rFonts w:ascii="Times New Roman" w:eastAsia="Times New Roman" w:hAnsi="Times New Roman" w:cs="Times New Roman"/>
                <w:b/>
                <w:bCs/>
                <w:color w:val="000000"/>
                <w:sz w:val="16"/>
                <w:szCs w:val="16"/>
                <w:lang w:val="en-US" w:eastAsia="tr-TR"/>
              </w:rPr>
            </w:pPr>
            <w:r w:rsidRPr="00D270BC">
              <w:rPr>
                <w:rFonts w:ascii="Times New Roman" w:eastAsia="Times New Roman" w:hAnsi="Times New Roman" w:cs="Times New Roman"/>
                <w:b/>
                <w:bCs/>
                <w:color w:val="000000"/>
                <w:sz w:val="16"/>
                <w:szCs w:val="16"/>
                <w:lang w:val="en-US" w:eastAsia="tr-TR"/>
              </w:rPr>
              <w:t>Regular follow-up group</w:t>
            </w:r>
          </w:p>
        </w:tc>
        <w:tc>
          <w:tcPr>
            <w:tcW w:w="190" w:type="dxa"/>
            <w:tcBorders>
              <w:top w:val="single" w:sz="4" w:space="0" w:color="auto"/>
              <w:left w:val="nil"/>
              <w:bottom w:val="single" w:sz="4" w:space="0" w:color="auto"/>
              <w:right w:val="single" w:sz="4" w:space="0" w:color="auto"/>
            </w:tcBorders>
            <w:vAlign w:val="center"/>
            <w:hideMark/>
          </w:tcPr>
          <w:p w14:paraId="65517DA9" w14:textId="77777777" w:rsidR="00BC596D" w:rsidRPr="00D270BC" w:rsidRDefault="00BC596D" w:rsidP="003F6C6D">
            <w:pPr>
              <w:spacing w:after="0" w:line="240" w:lineRule="auto"/>
              <w:jc w:val="center"/>
              <w:rPr>
                <w:rFonts w:ascii="Times New Roman" w:eastAsia="Times New Roman" w:hAnsi="Times New Roman" w:cs="Times New Roman"/>
                <w:b/>
                <w:bCs/>
                <w:color w:val="000000"/>
                <w:sz w:val="16"/>
                <w:szCs w:val="16"/>
                <w:lang w:val="en-US" w:eastAsia="tr-TR"/>
              </w:rPr>
            </w:pPr>
          </w:p>
          <w:p w14:paraId="024E9770" w14:textId="77777777" w:rsidR="00BC596D" w:rsidRPr="00D270BC" w:rsidRDefault="00BC596D" w:rsidP="00BC596D">
            <w:pPr>
              <w:spacing w:after="0" w:line="240" w:lineRule="auto"/>
              <w:jc w:val="center"/>
              <w:rPr>
                <w:rFonts w:ascii="Times New Roman" w:eastAsia="Times New Roman" w:hAnsi="Times New Roman" w:cs="Times New Roman"/>
                <w:b/>
                <w:bCs/>
                <w:color w:val="000000"/>
                <w:sz w:val="16"/>
                <w:szCs w:val="16"/>
                <w:lang w:val="en-US" w:eastAsia="tr-TR"/>
              </w:rPr>
            </w:pPr>
          </w:p>
        </w:tc>
        <w:tc>
          <w:tcPr>
            <w:tcW w:w="3727" w:type="dxa"/>
            <w:gridSpan w:val="5"/>
            <w:tcBorders>
              <w:top w:val="single" w:sz="4" w:space="0" w:color="auto"/>
              <w:left w:val="nil"/>
              <w:bottom w:val="single" w:sz="4" w:space="0" w:color="auto"/>
              <w:right w:val="single" w:sz="4" w:space="0" w:color="auto"/>
            </w:tcBorders>
            <w:vAlign w:val="center"/>
          </w:tcPr>
          <w:p w14:paraId="1C144B67" w14:textId="77777777" w:rsidR="00BC596D" w:rsidRPr="00D270BC" w:rsidRDefault="00BC596D" w:rsidP="00BC596D">
            <w:pPr>
              <w:spacing w:after="0" w:line="240" w:lineRule="auto"/>
              <w:jc w:val="center"/>
              <w:rPr>
                <w:rFonts w:ascii="Times New Roman" w:eastAsia="Times New Roman" w:hAnsi="Times New Roman" w:cs="Times New Roman"/>
                <w:b/>
                <w:bCs/>
                <w:color w:val="000000"/>
                <w:sz w:val="16"/>
                <w:szCs w:val="16"/>
                <w:lang w:val="en-US" w:eastAsia="tr-TR"/>
              </w:rPr>
            </w:pPr>
            <w:r w:rsidRPr="00D270BC">
              <w:rPr>
                <w:rFonts w:ascii="Times New Roman" w:eastAsia="Times New Roman" w:hAnsi="Times New Roman" w:cs="Times New Roman"/>
                <w:b/>
                <w:bCs/>
                <w:color w:val="000000"/>
                <w:sz w:val="16"/>
                <w:szCs w:val="16"/>
                <w:lang w:val="en-US" w:eastAsia="tr-TR"/>
              </w:rPr>
              <w:t> Irregular follow-up group</w:t>
            </w:r>
          </w:p>
        </w:tc>
        <w:tc>
          <w:tcPr>
            <w:tcW w:w="0" w:type="auto"/>
            <w:gridSpan w:val="2"/>
            <w:tcBorders>
              <w:top w:val="single" w:sz="4" w:space="0" w:color="auto"/>
              <w:left w:val="single" w:sz="4" w:space="0" w:color="auto"/>
              <w:bottom w:val="single" w:sz="4" w:space="0" w:color="auto"/>
              <w:right w:val="single" w:sz="4" w:space="0" w:color="auto"/>
            </w:tcBorders>
          </w:tcPr>
          <w:p w14:paraId="519D6C3C" w14:textId="77777777" w:rsidR="00BC596D" w:rsidRPr="00D270BC" w:rsidRDefault="00BC596D" w:rsidP="00BC596D">
            <w:pPr>
              <w:spacing w:after="0" w:line="240" w:lineRule="auto"/>
              <w:rPr>
                <w:rFonts w:ascii="Times New Roman" w:eastAsia="Times New Roman" w:hAnsi="Times New Roman" w:cs="Times New Roman"/>
                <w:b/>
                <w:bCs/>
                <w:i/>
                <w:color w:val="000000"/>
                <w:sz w:val="16"/>
                <w:szCs w:val="16"/>
                <w:lang w:val="en-US" w:eastAsia="tr-TR"/>
              </w:rPr>
            </w:pPr>
          </w:p>
          <w:p w14:paraId="1F4E2506" w14:textId="77777777" w:rsidR="00BC596D" w:rsidRPr="00D270BC" w:rsidRDefault="00BC596D" w:rsidP="00BC596D">
            <w:pPr>
              <w:spacing w:after="0" w:line="240" w:lineRule="auto"/>
              <w:rPr>
                <w:rFonts w:ascii="Times New Roman" w:eastAsia="Times New Roman" w:hAnsi="Times New Roman" w:cs="Times New Roman"/>
                <w:b/>
                <w:bCs/>
                <w:color w:val="000000"/>
                <w:sz w:val="16"/>
                <w:szCs w:val="16"/>
                <w:lang w:val="en-US" w:eastAsia="tr-TR"/>
              </w:rPr>
            </w:pPr>
            <w:r w:rsidRPr="00D270BC">
              <w:rPr>
                <w:rFonts w:ascii="Times New Roman" w:eastAsia="Times New Roman" w:hAnsi="Times New Roman" w:cs="Times New Roman"/>
                <w:b/>
                <w:bCs/>
                <w:color w:val="000000"/>
                <w:sz w:val="16"/>
                <w:szCs w:val="16"/>
                <w:lang w:val="en-US" w:eastAsia="tr-TR"/>
              </w:rPr>
              <w:t xml:space="preserve">     p</w:t>
            </w:r>
          </w:p>
        </w:tc>
      </w:tr>
      <w:tr w:rsidR="003F6C6D" w:rsidRPr="00113439" w14:paraId="75BC7E49" w14:textId="77777777" w:rsidTr="003F6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190" w:type="dxa"/>
            <w:tcBorders>
              <w:left w:val="single" w:sz="4" w:space="0" w:color="auto"/>
            </w:tcBorders>
            <w:vAlign w:val="center"/>
            <w:hideMark/>
          </w:tcPr>
          <w:p w14:paraId="540E457D" w14:textId="77777777" w:rsidR="003F6C6D" w:rsidRPr="00D270BC" w:rsidRDefault="003F6C6D" w:rsidP="003F6C6D">
            <w:pPr>
              <w:spacing w:after="0"/>
              <w:rPr>
                <w:rFonts w:ascii="Calibri" w:eastAsia="Calibri" w:hAnsi="Calibri" w:cs="Times New Roman"/>
                <w:sz w:val="16"/>
                <w:szCs w:val="16"/>
                <w:lang w:val="en-US"/>
              </w:rPr>
            </w:pPr>
          </w:p>
        </w:tc>
        <w:tc>
          <w:tcPr>
            <w:tcW w:w="0" w:type="auto"/>
            <w:tcBorders>
              <w:right w:val="single" w:sz="4" w:space="0" w:color="auto"/>
            </w:tcBorders>
          </w:tcPr>
          <w:p w14:paraId="428CA4D3"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vMerge w:val="restart"/>
            <w:tcBorders>
              <w:top w:val="single" w:sz="4" w:space="0" w:color="auto"/>
              <w:left w:val="single" w:sz="4" w:space="0" w:color="auto"/>
              <w:bottom w:val="single" w:sz="8" w:space="0" w:color="000000"/>
              <w:right w:val="single" w:sz="4" w:space="0" w:color="auto"/>
            </w:tcBorders>
            <w:vAlign w:val="center"/>
            <w:hideMark/>
          </w:tcPr>
          <w:p w14:paraId="289C1961" w14:textId="77777777" w:rsidR="003F6C6D" w:rsidRPr="00D270BC" w:rsidRDefault="003F6C6D" w:rsidP="003F6C6D">
            <w:pPr>
              <w:spacing w:after="0" w:line="240" w:lineRule="auto"/>
              <w:jc w:val="center"/>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First</w:t>
            </w:r>
          </w:p>
        </w:tc>
        <w:tc>
          <w:tcPr>
            <w:tcW w:w="0" w:type="auto"/>
            <w:vMerge w:val="restart"/>
            <w:tcBorders>
              <w:top w:val="single" w:sz="4" w:space="0" w:color="auto"/>
              <w:left w:val="single" w:sz="4" w:space="0" w:color="auto"/>
              <w:bottom w:val="single" w:sz="8" w:space="0" w:color="000000"/>
              <w:right w:val="single" w:sz="4" w:space="0" w:color="auto"/>
            </w:tcBorders>
            <w:vAlign w:val="center"/>
            <w:hideMark/>
          </w:tcPr>
          <w:p w14:paraId="07867934" w14:textId="77777777" w:rsidR="003F6C6D" w:rsidRPr="00D270BC" w:rsidRDefault="003F6C6D" w:rsidP="003F6C6D">
            <w:pPr>
              <w:spacing w:after="0" w:line="240" w:lineRule="auto"/>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Third month</w:t>
            </w:r>
          </w:p>
        </w:tc>
        <w:tc>
          <w:tcPr>
            <w:tcW w:w="0" w:type="auto"/>
            <w:gridSpan w:val="2"/>
            <w:tcBorders>
              <w:top w:val="single" w:sz="4" w:space="0" w:color="auto"/>
              <w:left w:val="single" w:sz="4" w:space="0" w:color="auto"/>
              <w:bottom w:val="single" w:sz="8" w:space="0" w:color="auto"/>
              <w:right w:val="single" w:sz="4" w:space="0" w:color="auto"/>
            </w:tcBorders>
            <w:vAlign w:val="center"/>
            <w:hideMark/>
          </w:tcPr>
          <w:p w14:paraId="4CE486FF" w14:textId="77777777" w:rsidR="003F6C6D" w:rsidRPr="00D270BC" w:rsidRDefault="003F6C6D" w:rsidP="003F6C6D">
            <w:pPr>
              <w:spacing w:after="0" w:line="240" w:lineRule="auto"/>
              <w:jc w:val="center"/>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95% CI for the difference</w:t>
            </w:r>
          </w:p>
        </w:tc>
        <w:tc>
          <w:tcPr>
            <w:tcW w:w="0" w:type="auto"/>
            <w:vMerge w:val="restart"/>
            <w:tcBorders>
              <w:top w:val="single" w:sz="4" w:space="0" w:color="auto"/>
              <w:left w:val="single" w:sz="4" w:space="0" w:color="auto"/>
              <w:bottom w:val="single" w:sz="8" w:space="0" w:color="000000"/>
              <w:right w:val="nil"/>
            </w:tcBorders>
            <w:vAlign w:val="center"/>
            <w:hideMark/>
          </w:tcPr>
          <w:p w14:paraId="761BCCEF" w14:textId="77777777" w:rsidR="003F6C6D" w:rsidRPr="00D270BC" w:rsidRDefault="003F6C6D" w:rsidP="003F6C6D">
            <w:pPr>
              <w:spacing w:after="0" w:line="240" w:lineRule="auto"/>
              <w:jc w:val="center"/>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p</w:t>
            </w:r>
          </w:p>
        </w:tc>
        <w:tc>
          <w:tcPr>
            <w:tcW w:w="0" w:type="auto"/>
            <w:tcBorders>
              <w:top w:val="single" w:sz="4" w:space="0" w:color="auto"/>
              <w:right w:val="single" w:sz="4" w:space="0" w:color="auto"/>
            </w:tcBorders>
            <w:vAlign w:val="center"/>
            <w:hideMark/>
          </w:tcPr>
          <w:p w14:paraId="2391E709" w14:textId="77777777" w:rsidR="003F6C6D" w:rsidRPr="00D270BC" w:rsidRDefault="003F6C6D" w:rsidP="003F6C6D">
            <w:pPr>
              <w:spacing w:after="0"/>
              <w:rPr>
                <w:rFonts w:ascii="Calibri" w:eastAsia="Calibri" w:hAnsi="Calibri" w:cs="Times New Roman"/>
                <w:sz w:val="16"/>
                <w:szCs w:val="16"/>
                <w:lang w:val="en-US"/>
              </w:rPr>
            </w:pPr>
          </w:p>
        </w:tc>
        <w:tc>
          <w:tcPr>
            <w:tcW w:w="0" w:type="auto"/>
            <w:vMerge w:val="restart"/>
            <w:tcBorders>
              <w:top w:val="single" w:sz="4" w:space="0" w:color="auto"/>
              <w:left w:val="single" w:sz="4" w:space="0" w:color="auto"/>
              <w:bottom w:val="single" w:sz="8" w:space="0" w:color="000000"/>
              <w:right w:val="single" w:sz="4" w:space="0" w:color="auto"/>
            </w:tcBorders>
            <w:vAlign w:val="center"/>
            <w:hideMark/>
          </w:tcPr>
          <w:p w14:paraId="2F5901A3" w14:textId="77777777" w:rsidR="003F6C6D" w:rsidRPr="00D270BC" w:rsidRDefault="003F6C6D" w:rsidP="003F6C6D">
            <w:pPr>
              <w:spacing w:after="0" w:line="240" w:lineRule="auto"/>
              <w:jc w:val="center"/>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First</w:t>
            </w:r>
          </w:p>
        </w:tc>
        <w:tc>
          <w:tcPr>
            <w:tcW w:w="0" w:type="auto"/>
            <w:vMerge w:val="restart"/>
            <w:tcBorders>
              <w:top w:val="single" w:sz="4" w:space="0" w:color="auto"/>
              <w:left w:val="single" w:sz="4" w:space="0" w:color="auto"/>
              <w:bottom w:val="single" w:sz="8" w:space="0" w:color="000000"/>
              <w:right w:val="single" w:sz="4" w:space="0" w:color="auto"/>
            </w:tcBorders>
            <w:vAlign w:val="center"/>
            <w:hideMark/>
          </w:tcPr>
          <w:p w14:paraId="04A09AFE" w14:textId="77777777" w:rsidR="003F6C6D" w:rsidRPr="00D270BC" w:rsidRDefault="003F6C6D" w:rsidP="003F6C6D">
            <w:pPr>
              <w:spacing w:after="0" w:line="240" w:lineRule="auto"/>
              <w:jc w:val="center"/>
              <w:rPr>
                <w:rFonts w:ascii="Times New Roman" w:eastAsia="Times New Roman" w:hAnsi="Times New Roman" w:cs="Times New Roman"/>
                <w:b/>
                <w:color w:val="000000"/>
                <w:sz w:val="16"/>
                <w:szCs w:val="16"/>
                <w:lang w:val="en-US" w:eastAsia="tr-TR"/>
              </w:rPr>
            </w:pPr>
            <w:proofErr w:type="gramStart"/>
            <w:r w:rsidRPr="00D270BC">
              <w:rPr>
                <w:rFonts w:ascii="Times New Roman" w:eastAsia="Times New Roman" w:hAnsi="Times New Roman" w:cs="Times New Roman"/>
                <w:b/>
                <w:color w:val="000000"/>
                <w:sz w:val="16"/>
                <w:szCs w:val="16"/>
                <w:lang w:val="en-US" w:eastAsia="tr-TR"/>
              </w:rPr>
              <w:t>Third  month</w:t>
            </w:r>
            <w:proofErr w:type="gramEnd"/>
          </w:p>
        </w:tc>
        <w:tc>
          <w:tcPr>
            <w:tcW w:w="0" w:type="auto"/>
            <w:gridSpan w:val="2"/>
            <w:tcBorders>
              <w:top w:val="single" w:sz="4" w:space="0" w:color="auto"/>
              <w:left w:val="single" w:sz="4" w:space="0" w:color="auto"/>
              <w:bottom w:val="single" w:sz="8" w:space="0" w:color="auto"/>
              <w:right w:val="single" w:sz="4" w:space="0" w:color="auto"/>
            </w:tcBorders>
            <w:vAlign w:val="center"/>
            <w:hideMark/>
          </w:tcPr>
          <w:p w14:paraId="2066AE69"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95% CI for the difference</w:t>
            </w:r>
          </w:p>
        </w:tc>
        <w:tc>
          <w:tcPr>
            <w:tcW w:w="0" w:type="auto"/>
            <w:vMerge w:val="restart"/>
            <w:tcBorders>
              <w:top w:val="single" w:sz="4" w:space="0" w:color="auto"/>
              <w:left w:val="single" w:sz="4" w:space="0" w:color="auto"/>
              <w:bottom w:val="single" w:sz="8" w:space="0" w:color="000000"/>
              <w:right w:val="single" w:sz="4" w:space="0" w:color="auto"/>
            </w:tcBorders>
            <w:vAlign w:val="center"/>
            <w:hideMark/>
          </w:tcPr>
          <w:p w14:paraId="1E3DA519" w14:textId="77777777" w:rsidR="003F6C6D" w:rsidRPr="00D270BC" w:rsidRDefault="003F6C6D" w:rsidP="003F6C6D">
            <w:pPr>
              <w:spacing w:after="0" w:line="240" w:lineRule="auto"/>
              <w:jc w:val="center"/>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p</w:t>
            </w:r>
          </w:p>
        </w:tc>
        <w:tc>
          <w:tcPr>
            <w:tcW w:w="0" w:type="auto"/>
            <w:tcBorders>
              <w:top w:val="single" w:sz="4" w:space="0" w:color="auto"/>
              <w:left w:val="single" w:sz="4" w:space="0" w:color="auto"/>
            </w:tcBorders>
          </w:tcPr>
          <w:p w14:paraId="3DF37757"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tcBorders>
              <w:top w:val="single" w:sz="4" w:space="0" w:color="auto"/>
              <w:left w:val="nil"/>
              <w:bottom w:val="nil"/>
              <w:right w:val="single" w:sz="4" w:space="0" w:color="auto"/>
            </w:tcBorders>
            <w:vAlign w:val="center"/>
            <w:hideMark/>
          </w:tcPr>
          <w:p w14:paraId="4036147B" w14:textId="77777777" w:rsidR="003F6C6D" w:rsidRPr="00D270BC" w:rsidRDefault="003F6C6D" w:rsidP="003F6C6D">
            <w:pPr>
              <w:spacing w:after="0"/>
              <w:rPr>
                <w:rFonts w:ascii="Calibri" w:eastAsia="Calibri" w:hAnsi="Calibri" w:cs="Times New Roman"/>
                <w:sz w:val="16"/>
                <w:szCs w:val="16"/>
                <w:lang w:val="en-US"/>
              </w:rPr>
            </w:pPr>
          </w:p>
        </w:tc>
      </w:tr>
      <w:tr w:rsidR="003F6C6D" w:rsidRPr="00113439" w14:paraId="37BC0587" w14:textId="77777777" w:rsidTr="00BC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190" w:type="dxa"/>
            <w:tcBorders>
              <w:top w:val="nil"/>
              <w:left w:val="single" w:sz="4" w:space="0" w:color="auto"/>
              <w:bottom w:val="single" w:sz="4" w:space="0" w:color="auto"/>
              <w:right w:val="nil"/>
            </w:tcBorders>
            <w:vAlign w:val="center"/>
            <w:hideMark/>
          </w:tcPr>
          <w:p w14:paraId="5B459AEC" w14:textId="77777777" w:rsidR="003F6C6D" w:rsidRPr="00D270BC" w:rsidRDefault="003F6C6D" w:rsidP="003F6C6D">
            <w:pPr>
              <w:spacing w:after="0"/>
              <w:rPr>
                <w:rFonts w:ascii="Calibri" w:eastAsia="Calibri" w:hAnsi="Calibri" w:cs="Times New Roman"/>
                <w:sz w:val="16"/>
                <w:szCs w:val="16"/>
                <w:lang w:val="en-US"/>
              </w:rPr>
            </w:pPr>
          </w:p>
        </w:tc>
        <w:tc>
          <w:tcPr>
            <w:tcW w:w="0" w:type="auto"/>
            <w:tcBorders>
              <w:bottom w:val="single" w:sz="4" w:space="0" w:color="auto"/>
              <w:right w:val="single" w:sz="4" w:space="0" w:color="auto"/>
            </w:tcBorders>
          </w:tcPr>
          <w:p w14:paraId="185538DD"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vMerge/>
            <w:tcBorders>
              <w:top w:val="nil"/>
              <w:left w:val="single" w:sz="4" w:space="0" w:color="auto"/>
              <w:bottom w:val="single" w:sz="8" w:space="0" w:color="000000"/>
              <w:right w:val="single" w:sz="4" w:space="0" w:color="auto"/>
            </w:tcBorders>
            <w:vAlign w:val="center"/>
            <w:hideMark/>
          </w:tcPr>
          <w:p w14:paraId="187323B2"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vMerge/>
            <w:tcBorders>
              <w:top w:val="nil"/>
              <w:left w:val="single" w:sz="4" w:space="0" w:color="auto"/>
              <w:bottom w:val="single" w:sz="8" w:space="0" w:color="000000"/>
              <w:right w:val="single" w:sz="4" w:space="0" w:color="auto"/>
            </w:tcBorders>
            <w:vAlign w:val="center"/>
            <w:hideMark/>
          </w:tcPr>
          <w:p w14:paraId="142D19FD"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top w:val="nil"/>
              <w:left w:val="single" w:sz="4" w:space="0" w:color="auto"/>
              <w:bottom w:val="single" w:sz="8" w:space="0" w:color="auto"/>
              <w:right w:val="single" w:sz="4" w:space="0" w:color="auto"/>
            </w:tcBorders>
            <w:vAlign w:val="center"/>
            <w:hideMark/>
          </w:tcPr>
          <w:p w14:paraId="214ACCD6"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Lower</w:t>
            </w:r>
          </w:p>
        </w:tc>
        <w:tc>
          <w:tcPr>
            <w:tcW w:w="0" w:type="auto"/>
            <w:tcBorders>
              <w:top w:val="nil"/>
              <w:left w:val="single" w:sz="4" w:space="0" w:color="auto"/>
              <w:bottom w:val="single" w:sz="8" w:space="0" w:color="auto"/>
              <w:right w:val="single" w:sz="4" w:space="0" w:color="auto"/>
            </w:tcBorders>
            <w:vAlign w:val="center"/>
            <w:hideMark/>
          </w:tcPr>
          <w:p w14:paraId="4DA103FC"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Upper</w:t>
            </w:r>
          </w:p>
        </w:tc>
        <w:tc>
          <w:tcPr>
            <w:tcW w:w="0" w:type="auto"/>
            <w:vMerge/>
            <w:tcBorders>
              <w:top w:val="nil"/>
              <w:left w:val="single" w:sz="4" w:space="0" w:color="auto"/>
              <w:bottom w:val="single" w:sz="8" w:space="0" w:color="000000"/>
              <w:right w:val="nil"/>
            </w:tcBorders>
            <w:vAlign w:val="center"/>
            <w:hideMark/>
          </w:tcPr>
          <w:p w14:paraId="3522B702"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p>
        </w:tc>
        <w:tc>
          <w:tcPr>
            <w:tcW w:w="0" w:type="auto"/>
            <w:tcBorders>
              <w:bottom w:val="single" w:sz="4" w:space="0" w:color="auto"/>
              <w:right w:val="single" w:sz="4" w:space="0" w:color="auto"/>
            </w:tcBorders>
            <w:vAlign w:val="center"/>
            <w:hideMark/>
          </w:tcPr>
          <w:p w14:paraId="0FD3A71D"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 </w:t>
            </w: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45BEBFC7"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vMerge/>
            <w:tcBorders>
              <w:left w:val="single" w:sz="4" w:space="0" w:color="auto"/>
              <w:bottom w:val="single" w:sz="8" w:space="0" w:color="000000"/>
              <w:right w:val="single" w:sz="4" w:space="0" w:color="auto"/>
            </w:tcBorders>
            <w:vAlign w:val="center"/>
            <w:hideMark/>
          </w:tcPr>
          <w:p w14:paraId="41D010A1"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top w:val="nil"/>
              <w:left w:val="single" w:sz="4" w:space="0" w:color="auto"/>
              <w:bottom w:val="single" w:sz="8" w:space="0" w:color="auto"/>
              <w:right w:val="single" w:sz="4" w:space="0" w:color="auto"/>
            </w:tcBorders>
            <w:vAlign w:val="center"/>
            <w:hideMark/>
          </w:tcPr>
          <w:p w14:paraId="661ADA6F"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Lower</w:t>
            </w:r>
          </w:p>
        </w:tc>
        <w:tc>
          <w:tcPr>
            <w:tcW w:w="0" w:type="auto"/>
            <w:tcBorders>
              <w:top w:val="nil"/>
              <w:left w:val="single" w:sz="4" w:space="0" w:color="auto"/>
              <w:bottom w:val="single" w:sz="8" w:space="0" w:color="auto"/>
              <w:right w:val="single" w:sz="4" w:space="0" w:color="auto"/>
            </w:tcBorders>
            <w:vAlign w:val="center"/>
            <w:hideMark/>
          </w:tcPr>
          <w:p w14:paraId="2F3ACE62"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Upper</w:t>
            </w:r>
          </w:p>
        </w:tc>
        <w:tc>
          <w:tcPr>
            <w:tcW w:w="0" w:type="auto"/>
            <w:vMerge/>
            <w:tcBorders>
              <w:top w:val="double" w:sz="6" w:space="0" w:color="auto"/>
              <w:left w:val="single" w:sz="4" w:space="0" w:color="auto"/>
              <w:bottom w:val="single" w:sz="4" w:space="0" w:color="auto"/>
              <w:right w:val="single" w:sz="4" w:space="0" w:color="auto"/>
            </w:tcBorders>
            <w:vAlign w:val="center"/>
            <w:hideMark/>
          </w:tcPr>
          <w:p w14:paraId="7E0C5B51"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p>
        </w:tc>
        <w:tc>
          <w:tcPr>
            <w:tcW w:w="0" w:type="auto"/>
            <w:tcBorders>
              <w:left w:val="single" w:sz="4" w:space="0" w:color="auto"/>
              <w:bottom w:val="single" w:sz="4" w:space="0" w:color="auto"/>
            </w:tcBorders>
          </w:tcPr>
          <w:p w14:paraId="3B182AD6"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tcBorders>
              <w:bottom w:val="single" w:sz="4" w:space="0" w:color="auto"/>
              <w:right w:val="single" w:sz="4" w:space="0" w:color="auto"/>
            </w:tcBorders>
            <w:vAlign w:val="center"/>
            <w:hideMark/>
          </w:tcPr>
          <w:p w14:paraId="293029B0" w14:textId="77777777" w:rsidR="003F6C6D" w:rsidRPr="00D270BC" w:rsidRDefault="003F6C6D" w:rsidP="003F6C6D">
            <w:pPr>
              <w:spacing w:after="0" w:line="240" w:lineRule="auto"/>
              <w:jc w:val="center"/>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 </w:t>
            </w:r>
          </w:p>
        </w:tc>
      </w:tr>
      <w:tr w:rsidR="003F6C6D" w:rsidRPr="00113439" w14:paraId="5B17C8A8" w14:textId="77777777" w:rsidTr="00BC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190" w:type="dxa"/>
            <w:tcBorders>
              <w:top w:val="single" w:sz="4" w:space="0" w:color="auto"/>
              <w:left w:val="single" w:sz="4" w:space="0" w:color="auto"/>
              <w:bottom w:val="single" w:sz="4" w:space="0" w:color="auto"/>
              <w:right w:val="nil"/>
            </w:tcBorders>
            <w:vAlign w:val="center"/>
            <w:hideMark/>
          </w:tcPr>
          <w:p w14:paraId="432CD58C" w14:textId="77777777" w:rsidR="003F6C6D" w:rsidRPr="00D270BC" w:rsidRDefault="003F6C6D" w:rsidP="003F6C6D">
            <w:pPr>
              <w:spacing w:after="0" w:line="240" w:lineRule="auto"/>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BMI kg/m</w:t>
            </w:r>
            <w:r w:rsidRPr="00D270BC">
              <w:rPr>
                <w:rFonts w:ascii="Times New Roman" w:eastAsia="Times New Roman" w:hAnsi="Times New Roman" w:cs="Times New Roman"/>
                <w:b/>
                <w:color w:val="000000"/>
                <w:sz w:val="16"/>
                <w:szCs w:val="16"/>
                <w:vertAlign w:val="superscript"/>
                <w:lang w:val="en-US" w:eastAsia="tr-TR"/>
              </w:rPr>
              <w:t>2</w:t>
            </w:r>
          </w:p>
        </w:tc>
        <w:tc>
          <w:tcPr>
            <w:tcW w:w="0" w:type="auto"/>
            <w:tcBorders>
              <w:top w:val="single" w:sz="4" w:space="0" w:color="auto"/>
              <w:bottom w:val="single" w:sz="4" w:space="0" w:color="auto"/>
              <w:right w:val="single" w:sz="4" w:space="0" w:color="auto"/>
            </w:tcBorders>
          </w:tcPr>
          <w:p w14:paraId="2A093CF8"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left w:val="single" w:sz="4" w:space="0" w:color="auto"/>
              <w:bottom w:val="single" w:sz="4" w:space="0" w:color="auto"/>
              <w:right w:val="single" w:sz="4" w:space="0" w:color="auto"/>
            </w:tcBorders>
            <w:vAlign w:val="center"/>
            <w:hideMark/>
          </w:tcPr>
          <w:p w14:paraId="3F74B928"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34.7±7.5</w:t>
            </w:r>
          </w:p>
        </w:tc>
        <w:tc>
          <w:tcPr>
            <w:tcW w:w="0" w:type="auto"/>
            <w:tcBorders>
              <w:left w:val="single" w:sz="4" w:space="0" w:color="auto"/>
              <w:bottom w:val="single" w:sz="4" w:space="0" w:color="auto"/>
              <w:right w:val="single" w:sz="4" w:space="0" w:color="auto"/>
            </w:tcBorders>
            <w:vAlign w:val="center"/>
            <w:hideMark/>
          </w:tcPr>
          <w:p w14:paraId="7BEFFCCF"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32.5±7.3</w:t>
            </w:r>
          </w:p>
        </w:tc>
        <w:tc>
          <w:tcPr>
            <w:tcW w:w="0" w:type="auto"/>
            <w:tcBorders>
              <w:left w:val="single" w:sz="4" w:space="0" w:color="auto"/>
              <w:bottom w:val="single" w:sz="4" w:space="0" w:color="auto"/>
              <w:right w:val="single" w:sz="4" w:space="0" w:color="auto"/>
            </w:tcBorders>
            <w:vAlign w:val="center"/>
            <w:hideMark/>
          </w:tcPr>
          <w:p w14:paraId="40C283C4"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1.9</w:t>
            </w:r>
          </w:p>
        </w:tc>
        <w:tc>
          <w:tcPr>
            <w:tcW w:w="0" w:type="auto"/>
            <w:tcBorders>
              <w:left w:val="single" w:sz="4" w:space="0" w:color="auto"/>
              <w:bottom w:val="single" w:sz="4" w:space="0" w:color="auto"/>
              <w:right w:val="single" w:sz="4" w:space="0" w:color="auto"/>
            </w:tcBorders>
            <w:vAlign w:val="center"/>
            <w:hideMark/>
          </w:tcPr>
          <w:p w14:paraId="0145C5B5"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2.4</w:t>
            </w:r>
          </w:p>
        </w:tc>
        <w:tc>
          <w:tcPr>
            <w:tcW w:w="0" w:type="auto"/>
            <w:tcBorders>
              <w:left w:val="single" w:sz="4" w:space="0" w:color="auto"/>
              <w:bottom w:val="single" w:sz="4" w:space="0" w:color="auto"/>
            </w:tcBorders>
            <w:vAlign w:val="center"/>
            <w:hideMark/>
          </w:tcPr>
          <w:p w14:paraId="6CBE5983"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&lt;0.001</w:t>
            </w:r>
          </w:p>
        </w:tc>
        <w:tc>
          <w:tcPr>
            <w:tcW w:w="0" w:type="auto"/>
            <w:tcBorders>
              <w:top w:val="single" w:sz="4" w:space="0" w:color="auto"/>
              <w:bottom w:val="single" w:sz="4" w:space="0" w:color="auto"/>
              <w:right w:val="single" w:sz="4" w:space="0" w:color="auto"/>
            </w:tcBorders>
            <w:vAlign w:val="center"/>
            <w:hideMark/>
          </w:tcPr>
          <w:p w14:paraId="5D7CEF99" w14:textId="77777777" w:rsidR="003F6C6D" w:rsidRPr="00D270BC" w:rsidRDefault="003F6C6D" w:rsidP="003F6C6D">
            <w:pPr>
              <w:spacing w:after="0"/>
              <w:rPr>
                <w:rFonts w:ascii="Calibri" w:eastAsia="Calibri" w:hAnsi="Calibri" w:cs="Times New Roman"/>
                <w:sz w:val="16"/>
                <w:szCs w:val="16"/>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00B373"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32.7±5.5</w:t>
            </w:r>
          </w:p>
        </w:tc>
        <w:tc>
          <w:tcPr>
            <w:tcW w:w="0" w:type="auto"/>
            <w:tcBorders>
              <w:left w:val="single" w:sz="4" w:space="0" w:color="auto"/>
              <w:bottom w:val="single" w:sz="4" w:space="0" w:color="auto"/>
              <w:right w:val="single" w:sz="4" w:space="0" w:color="auto"/>
            </w:tcBorders>
            <w:vAlign w:val="center"/>
            <w:hideMark/>
          </w:tcPr>
          <w:p w14:paraId="3EF107B6"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31.5±5.0</w:t>
            </w:r>
          </w:p>
        </w:tc>
        <w:tc>
          <w:tcPr>
            <w:tcW w:w="0" w:type="auto"/>
            <w:tcBorders>
              <w:left w:val="single" w:sz="4" w:space="0" w:color="auto"/>
              <w:bottom w:val="single" w:sz="4" w:space="0" w:color="auto"/>
              <w:right w:val="single" w:sz="4" w:space="0" w:color="auto"/>
            </w:tcBorders>
            <w:vAlign w:val="center"/>
            <w:hideMark/>
          </w:tcPr>
          <w:p w14:paraId="3FC1AF27"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0.7</w:t>
            </w:r>
          </w:p>
        </w:tc>
        <w:tc>
          <w:tcPr>
            <w:tcW w:w="0" w:type="auto"/>
            <w:tcBorders>
              <w:left w:val="single" w:sz="4" w:space="0" w:color="auto"/>
              <w:bottom w:val="single" w:sz="4" w:space="0" w:color="auto"/>
              <w:right w:val="single" w:sz="4" w:space="0" w:color="auto"/>
            </w:tcBorders>
            <w:vAlign w:val="center"/>
            <w:hideMark/>
          </w:tcPr>
          <w:p w14:paraId="04694370"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1.5</w:t>
            </w:r>
          </w:p>
        </w:tc>
        <w:tc>
          <w:tcPr>
            <w:tcW w:w="0" w:type="auto"/>
            <w:tcBorders>
              <w:left w:val="single" w:sz="4" w:space="0" w:color="auto"/>
              <w:bottom w:val="single" w:sz="4" w:space="0" w:color="auto"/>
              <w:right w:val="single" w:sz="4" w:space="0" w:color="auto"/>
            </w:tcBorders>
            <w:vAlign w:val="center"/>
            <w:hideMark/>
          </w:tcPr>
          <w:p w14:paraId="554CD21D"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&lt;0.001</w:t>
            </w:r>
          </w:p>
        </w:tc>
        <w:tc>
          <w:tcPr>
            <w:tcW w:w="0" w:type="auto"/>
            <w:tcBorders>
              <w:left w:val="single" w:sz="4" w:space="0" w:color="auto"/>
              <w:bottom w:val="single" w:sz="4" w:space="0" w:color="auto"/>
            </w:tcBorders>
          </w:tcPr>
          <w:p w14:paraId="7F2585BD"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bottom w:val="single" w:sz="4" w:space="0" w:color="auto"/>
              <w:right w:val="single" w:sz="4" w:space="0" w:color="auto"/>
            </w:tcBorders>
            <w:vAlign w:val="center"/>
            <w:hideMark/>
          </w:tcPr>
          <w:p w14:paraId="5D889061" w14:textId="77777777" w:rsidR="003F6C6D" w:rsidRPr="00D270BC" w:rsidRDefault="003F6C6D" w:rsidP="003F6C6D">
            <w:pPr>
              <w:spacing w:after="0"/>
              <w:rPr>
                <w:rFonts w:ascii="Calibri" w:eastAsia="Calibri" w:hAnsi="Calibri" w:cs="Times New Roman"/>
                <w:sz w:val="16"/>
                <w:szCs w:val="16"/>
                <w:lang w:val="en-US"/>
              </w:rPr>
            </w:pPr>
          </w:p>
        </w:tc>
      </w:tr>
      <w:tr w:rsidR="003F6C6D" w:rsidRPr="00113439" w14:paraId="0A8514FD" w14:textId="77777777" w:rsidTr="00BC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1190" w:type="dxa"/>
            <w:tcBorders>
              <w:top w:val="single" w:sz="4" w:space="0" w:color="auto"/>
              <w:left w:val="single" w:sz="4" w:space="0" w:color="auto"/>
              <w:bottom w:val="single" w:sz="4" w:space="0" w:color="auto"/>
              <w:right w:val="nil"/>
            </w:tcBorders>
            <w:vAlign w:val="center"/>
            <w:hideMark/>
          </w:tcPr>
          <w:p w14:paraId="3A79B2B1" w14:textId="77777777" w:rsidR="003F6C6D" w:rsidRPr="00D270BC" w:rsidRDefault="003F6C6D" w:rsidP="003F6C6D">
            <w:pPr>
              <w:spacing w:after="0" w:line="240" w:lineRule="auto"/>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 xml:space="preserve">Fat percentage % </w:t>
            </w:r>
          </w:p>
        </w:tc>
        <w:tc>
          <w:tcPr>
            <w:tcW w:w="0" w:type="auto"/>
            <w:tcBorders>
              <w:bottom w:val="single" w:sz="4" w:space="0" w:color="auto"/>
              <w:right w:val="single" w:sz="4" w:space="0" w:color="auto"/>
            </w:tcBorders>
          </w:tcPr>
          <w:p w14:paraId="69C90C16"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top w:val="nil"/>
              <w:left w:val="single" w:sz="4" w:space="0" w:color="auto"/>
              <w:bottom w:val="single" w:sz="4" w:space="0" w:color="auto"/>
              <w:right w:val="single" w:sz="4" w:space="0" w:color="auto"/>
            </w:tcBorders>
            <w:vAlign w:val="center"/>
            <w:hideMark/>
          </w:tcPr>
          <w:p w14:paraId="60E19563"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38.6±8.3</w:t>
            </w:r>
          </w:p>
        </w:tc>
        <w:tc>
          <w:tcPr>
            <w:tcW w:w="0" w:type="auto"/>
            <w:tcBorders>
              <w:top w:val="nil"/>
              <w:left w:val="single" w:sz="4" w:space="0" w:color="auto"/>
              <w:bottom w:val="single" w:sz="4" w:space="0" w:color="auto"/>
              <w:right w:val="single" w:sz="4" w:space="0" w:color="auto"/>
            </w:tcBorders>
            <w:vAlign w:val="center"/>
            <w:hideMark/>
          </w:tcPr>
          <w:p w14:paraId="492CD84C"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36.0±8.8</w:t>
            </w:r>
          </w:p>
        </w:tc>
        <w:tc>
          <w:tcPr>
            <w:tcW w:w="0" w:type="auto"/>
            <w:tcBorders>
              <w:top w:val="nil"/>
              <w:left w:val="single" w:sz="4" w:space="0" w:color="auto"/>
              <w:bottom w:val="single" w:sz="4" w:space="0" w:color="auto"/>
              <w:right w:val="single" w:sz="4" w:space="0" w:color="auto"/>
            </w:tcBorders>
            <w:vAlign w:val="center"/>
            <w:hideMark/>
          </w:tcPr>
          <w:p w14:paraId="5872B393"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2.1</w:t>
            </w:r>
          </w:p>
        </w:tc>
        <w:tc>
          <w:tcPr>
            <w:tcW w:w="0" w:type="auto"/>
            <w:tcBorders>
              <w:top w:val="nil"/>
              <w:left w:val="single" w:sz="4" w:space="0" w:color="auto"/>
              <w:bottom w:val="single" w:sz="4" w:space="0" w:color="auto"/>
              <w:right w:val="single" w:sz="4" w:space="0" w:color="auto"/>
            </w:tcBorders>
            <w:vAlign w:val="center"/>
            <w:hideMark/>
          </w:tcPr>
          <w:p w14:paraId="435FF1AF"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2.9</w:t>
            </w:r>
          </w:p>
        </w:tc>
        <w:tc>
          <w:tcPr>
            <w:tcW w:w="0" w:type="auto"/>
            <w:tcBorders>
              <w:top w:val="nil"/>
              <w:left w:val="single" w:sz="4" w:space="0" w:color="auto"/>
              <w:bottom w:val="single" w:sz="4" w:space="0" w:color="auto"/>
              <w:right w:val="nil"/>
            </w:tcBorders>
            <w:vAlign w:val="center"/>
            <w:hideMark/>
          </w:tcPr>
          <w:p w14:paraId="52C793E6"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&lt;0.001</w:t>
            </w:r>
          </w:p>
        </w:tc>
        <w:tc>
          <w:tcPr>
            <w:tcW w:w="0" w:type="auto"/>
            <w:tcBorders>
              <w:bottom w:val="single" w:sz="4" w:space="0" w:color="auto"/>
              <w:right w:val="single" w:sz="4" w:space="0" w:color="auto"/>
            </w:tcBorders>
            <w:vAlign w:val="center"/>
            <w:hideMark/>
          </w:tcPr>
          <w:p w14:paraId="4D81C9C7"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 </w:t>
            </w:r>
          </w:p>
        </w:tc>
        <w:tc>
          <w:tcPr>
            <w:tcW w:w="0" w:type="auto"/>
            <w:tcBorders>
              <w:top w:val="nil"/>
              <w:left w:val="single" w:sz="4" w:space="0" w:color="auto"/>
              <w:bottom w:val="single" w:sz="4" w:space="0" w:color="auto"/>
              <w:right w:val="single" w:sz="4" w:space="0" w:color="auto"/>
            </w:tcBorders>
            <w:vAlign w:val="center"/>
            <w:hideMark/>
          </w:tcPr>
          <w:p w14:paraId="0726AE5D"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38.1±7.3</w:t>
            </w:r>
          </w:p>
        </w:tc>
        <w:tc>
          <w:tcPr>
            <w:tcW w:w="0" w:type="auto"/>
            <w:tcBorders>
              <w:top w:val="nil"/>
              <w:left w:val="single" w:sz="4" w:space="0" w:color="auto"/>
              <w:bottom w:val="single" w:sz="4" w:space="0" w:color="auto"/>
              <w:right w:val="single" w:sz="4" w:space="0" w:color="auto"/>
            </w:tcBorders>
            <w:vAlign w:val="center"/>
            <w:hideMark/>
          </w:tcPr>
          <w:p w14:paraId="71FBDBCE"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36.6±7.4</w:t>
            </w:r>
          </w:p>
        </w:tc>
        <w:tc>
          <w:tcPr>
            <w:tcW w:w="0" w:type="auto"/>
            <w:tcBorders>
              <w:top w:val="nil"/>
              <w:left w:val="single" w:sz="4" w:space="0" w:color="auto"/>
              <w:bottom w:val="single" w:sz="4" w:space="0" w:color="auto"/>
              <w:right w:val="single" w:sz="4" w:space="0" w:color="auto"/>
            </w:tcBorders>
            <w:vAlign w:val="center"/>
            <w:hideMark/>
          </w:tcPr>
          <w:p w14:paraId="662C6C9D"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0.9</w:t>
            </w:r>
          </w:p>
        </w:tc>
        <w:tc>
          <w:tcPr>
            <w:tcW w:w="0" w:type="auto"/>
            <w:tcBorders>
              <w:top w:val="nil"/>
              <w:left w:val="single" w:sz="4" w:space="0" w:color="auto"/>
              <w:bottom w:val="single" w:sz="4" w:space="0" w:color="auto"/>
              <w:right w:val="single" w:sz="4" w:space="0" w:color="auto"/>
            </w:tcBorders>
            <w:vAlign w:val="center"/>
            <w:hideMark/>
          </w:tcPr>
          <w:p w14:paraId="514FA9C3"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2</w:t>
            </w:r>
          </w:p>
        </w:tc>
        <w:tc>
          <w:tcPr>
            <w:tcW w:w="0" w:type="auto"/>
            <w:tcBorders>
              <w:top w:val="nil"/>
              <w:left w:val="single" w:sz="4" w:space="0" w:color="auto"/>
              <w:bottom w:val="single" w:sz="4" w:space="0" w:color="auto"/>
              <w:right w:val="single" w:sz="4" w:space="0" w:color="auto"/>
            </w:tcBorders>
            <w:vAlign w:val="center"/>
            <w:hideMark/>
          </w:tcPr>
          <w:p w14:paraId="783078CD"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&lt;0.001</w:t>
            </w:r>
          </w:p>
        </w:tc>
        <w:tc>
          <w:tcPr>
            <w:tcW w:w="0" w:type="auto"/>
            <w:tcBorders>
              <w:left w:val="single" w:sz="4" w:space="0" w:color="auto"/>
              <w:bottom w:val="single" w:sz="4" w:space="0" w:color="auto"/>
            </w:tcBorders>
          </w:tcPr>
          <w:p w14:paraId="76973DF1"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bottom w:val="single" w:sz="4" w:space="0" w:color="auto"/>
              <w:right w:val="single" w:sz="4" w:space="0" w:color="auto"/>
            </w:tcBorders>
            <w:vAlign w:val="center"/>
            <w:hideMark/>
          </w:tcPr>
          <w:p w14:paraId="23302EEE"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 </w:t>
            </w:r>
          </w:p>
        </w:tc>
      </w:tr>
      <w:tr w:rsidR="003F6C6D" w:rsidRPr="00113439" w14:paraId="35550E45" w14:textId="77777777" w:rsidTr="00BC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1"/>
        </w:trPr>
        <w:tc>
          <w:tcPr>
            <w:tcW w:w="1190" w:type="dxa"/>
            <w:tcBorders>
              <w:top w:val="single" w:sz="4" w:space="0" w:color="auto"/>
              <w:left w:val="single" w:sz="4" w:space="0" w:color="auto"/>
              <w:bottom w:val="single" w:sz="4" w:space="0" w:color="auto"/>
              <w:right w:val="nil"/>
            </w:tcBorders>
            <w:vAlign w:val="center"/>
            <w:hideMark/>
          </w:tcPr>
          <w:p w14:paraId="2E82EE0D" w14:textId="77777777" w:rsidR="003F6C6D" w:rsidRPr="00D270BC" w:rsidRDefault="003F6C6D" w:rsidP="003F6C6D">
            <w:pPr>
              <w:spacing w:after="0" w:line="240" w:lineRule="auto"/>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Decrease at BMI kg/m</w:t>
            </w:r>
            <w:r w:rsidRPr="00D270BC">
              <w:rPr>
                <w:rFonts w:ascii="Times New Roman" w:eastAsia="Times New Roman" w:hAnsi="Times New Roman" w:cs="Times New Roman"/>
                <w:b/>
                <w:color w:val="000000"/>
                <w:sz w:val="16"/>
                <w:szCs w:val="16"/>
                <w:vertAlign w:val="superscript"/>
                <w:lang w:val="en-US" w:eastAsia="tr-TR"/>
              </w:rPr>
              <w:t>2</w:t>
            </w:r>
            <w:r w:rsidRPr="00D270BC">
              <w:rPr>
                <w:rFonts w:ascii="Times New Roman" w:eastAsia="Times New Roman" w:hAnsi="Times New Roman" w:cs="Times New Roman"/>
                <w:b/>
                <w:color w:val="000000"/>
                <w:sz w:val="16"/>
                <w:szCs w:val="16"/>
                <w:lang w:val="en-US" w:eastAsia="tr-TR"/>
              </w:rPr>
              <w:t>*</w:t>
            </w:r>
          </w:p>
        </w:tc>
        <w:tc>
          <w:tcPr>
            <w:tcW w:w="0" w:type="auto"/>
            <w:tcBorders>
              <w:top w:val="single" w:sz="4" w:space="0" w:color="auto"/>
              <w:bottom w:val="single" w:sz="4" w:space="0" w:color="auto"/>
              <w:right w:val="single" w:sz="4" w:space="0" w:color="auto"/>
            </w:tcBorders>
          </w:tcPr>
          <w:p w14:paraId="6FF32EC7"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gridSpan w:val="5"/>
            <w:tcBorders>
              <w:top w:val="single" w:sz="4" w:space="0" w:color="auto"/>
              <w:left w:val="single" w:sz="4" w:space="0" w:color="auto"/>
              <w:bottom w:val="single" w:sz="4" w:space="0" w:color="auto"/>
              <w:right w:val="nil"/>
            </w:tcBorders>
            <w:vAlign w:val="center"/>
            <w:hideMark/>
          </w:tcPr>
          <w:p w14:paraId="5F568220"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2.1 ± 1.5 (6.3)</w:t>
            </w:r>
          </w:p>
        </w:tc>
        <w:tc>
          <w:tcPr>
            <w:tcW w:w="0" w:type="auto"/>
            <w:tcBorders>
              <w:top w:val="single" w:sz="4" w:space="0" w:color="auto"/>
              <w:bottom w:val="single" w:sz="4" w:space="0" w:color="auto"/>
              <w:right w:val="single" w:sz="4" w:space="0" w:color="auto"/>
            </w:tcBorders>
            <w:vAlign w:val="center"/>
            <w:hideMark/>
          </w:tcPr>
          <w:p w14:paraId="14CAECF4"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47F112A0"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1.1 ± 1.6 (3.2)</w:t>
            </w:r>
          </w:p>
        </w:tc>
        <w:tc>
          <w:tcPr>
            <w:tcW w:w="0" w:type="auto"/>
            <w:tcBorders>
              <w:top w:val="single" w:sz="4" w:space="0" w:color="auto"/>
              <w:left w:val="single" w:sz="4" w:space="0" w:color="auto"/>
              <w:bottom w:val="single" w:sz="4" w:space="0" w:color="auto"/>
            </w:tcBorders>
          </w:tcPr>
          <w:p w14:paraId="066450A1"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top w:val="single" w:sz="4" w:space="0" w:color="auto"/>
              <w:bottom w:val="single" w:sz="4" w:space="0" w:color="auto"/>
              <w:right w:val="single" w:sz="4" w:space="0" w:color="auto"/>
            </w:tcBorders>
            <w:vAlign w:val="center"/>
            <w:hideMark/>
          </w:tcPr>
          <w:p w14:paraId="5175F56C"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&lt;0.001</w:t>
            </w:r>
          </w:p>
        </w:tc>
      </w:tr>
      <w:tr w:rsidR="003F6C6D" w:rsidRPr="00113439" w14:paraId="538F5613" w14:textId="77777777" w:rsidTr="00BC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
        </w:trPr>
        <w:tc>
          <w:tcPr>
            <w:tcW w:w="1190" w:type="dxa"/>
            <w:tcBorders>
              <w:top w:val="single" w:sz="4" w:space="0" w:color="auto"/>
              <w:left w:val="single" w:sz="4" w:space="0" w:color="auto"/>
              <w:bottom w:val="nil"/>
              <w:right w:val="nil"/>
            </w:tcBorders>
            <w:vAlign w:val="center"/>
          </w:tcPr>
          <w:p w14:paraId="1B114556"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top w:val="single" w:sz="4" w:space="0" w:color="auto"/>
              <w:right w:val="single" w:sz="4" w:space="0" w:color="auto"/>
            </w:tcBorders>
          </w:tcPr>
          <w:p w14:paraId="009DA6AC"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gridSpan w:val="5"/>
            <w:tcBorders>
              <w:top w:val="single" w:sz="4" w:space="0" w:color="auto"/>
              <w:left w:val="single" w:sz="4" w:space="0" w:color="auto"/>
              <w:bottom w:val="nil"/>
              <w:right w:val="nil"/>
            </w:tcBorders>
            <w:vAlign w:val="center"/>
          </w:tcPr>
          <w:p w14:paraId="3B0FD154"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tcBorders>
              <w:top w:val="single" w:sz="4" w:space="0" w:color="auto"/>
              <w:right w:val="single" w:sz="4" w:space="0" w:color="auto"/>
            </w:tcBorders>
            <w:vAlign w:val="center"/>
          </w:tcPr>
          <w:p w14:paraId="68DE49DF"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gridSpan w:val="5"/>
            <w:tcBorders>
              <w:top w:val="single" w:sz="4" w:space="0" w:color="auto"/>
              <w:left w:val="single" w:sz="4" w:space="0" w:color="auto"/>
              <w:bottom w:val="nil"/>
              <w:right w:val="single" w:sz="4" w:space="0" w:color="auto"/>
            </w:tcBorders>
            <w:vAlign w:val="center"/>
          </w:tcPr>
          <w:p w14:paraId="32C4EAD2" w14:textId="77777777" w:rsidR="003F6C6D" w:rsidRPr="00D270BC" w:rsidRDefault="003F6C6D" w:rsidP="003F6C6D">
            <w:pPr>
              <w:spacing w:after="0" w:line="240" w:lineRule="auto"/>
              <w:jc w:val="center"/>
              <w:rPr>
                <w:rFonts w:ascii="Times New Roman" w:eastAsia="Times New Roman" w:hAnsi="Times New Roman" w:cs="Times New Roman"/>
                <w:color w:val="000000"/>
                <w:sz w:val="16"/>
                <w:szCs w:val="16"/>
                <w:lang w:val="en-US" w:eastAsia="tr-TR"/>
              </w:rPr>
            </w:pPr>
          </w:p>
        </w:tc>
        <w:tc>
          <w:tcPr>
            <w:tcW w:w="0" w:type="auto"/>
            <w:tcBorders>
              <w:top w:val="single" w:sz="4" w:space="0" w:color="auto"/>
              <w:left w:val="single" w:sz="4" w:space="0" w:color="auto"/>
            </w:tcBorders>
          </w:tcPr>
          <w:p w14:paraId="477148F7" w14:textId="77777777" w:rsidR="003F6C6D" w:rsidRPr="00D270BC" w:rsidRDefault="003F6C6D" w:rsidP="003F6C6D">
            <w:pPr>
              <w:spacing w:after="0" w:line="240" w:lineRule="auto"/>
              <w:rPr>
                <w:rFonts w:ascii="Times New Roman" w:eastAsia="Times New Roman" w:hAnsi="Times New Roman" w:cs="Times New Roman"/>
                <w:color w:val="000000"/>
                <w:sz w:val="16"/>
                <w:szCs w:val="16"/>
                <w:lang w:val="en-US" w:eastAsia="tr-TR"/>
              </w:rPr>
            </w:pPr>
          </w:p>
        </w:tc>
        <w:tc>
          <w:tcPr>
            <w:tcW w:w="0" w:type="auto"/>
            <w:tcBorders>
              <w:top w:val="single" w:sz="4" w:space="0" w:color="auto"/>
              <w:right w:val="single" w:sz="4" w:space="0" w:color="auto"/>
            </w:tcBorders>
            <w:vAlign w:val="center"/>
          </w:tcPr>
          <w:p w14:paraId="6008FAEE" w14:textId="77777777" w:rsidR="003F6C6D" w:rsidRPr="00D270BC" w:rsidRDefault="003F6C6D" w:rsidP="003F6C6D">
            <w:pPr>
              <w:spacing w:after="0" w:line="240" w:lineRule="auto"/>
              <w:rPr>
                <w:rFonts w:ascii="Times New Roman" w:eastAsia="Times New Roman" w:hAnsi="Times New Roman" w:cs="Times New Roman"/>
                <w:i/>
                <w:color w:val="000000"/>
                <w:sz w:val="16"/>
                <w:szCs w:val="16"/>
                <w:lang w:val="en-US" w:eastAsia="tr-TR"/>
              </w:rPr>
            </w:pPr>
          </w:p>
        </w:tc>
      </w:tr>
      <w:tr w:rsidR="00BC596D" w:rsidRPr="00113439" w14:paraId="0AA4FDF5" w14:textId="77777777" w:rsidTr="00BC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1336" w:type="dxa"/>
            <w:gridSpan w:val="2"/>
            <w:tcBorders>
              <w:top w:val="nil"/>
              <w:left w:val="single" w:sz="4" w:space="0" w:color="auto"/>
              <w:bottom w:val="single" w:sz="4" w:space="0" w:color="auto"/>
              <w:right w:val="single" w:sz="4" w:space="0" w:color="auto"/>
            </w:tcBorders>
            <w:vAlign w:val="center"/>
            <w:hideMark/>
          </w:tcPr>
          <w:p w14:paraId="3CE5FA08" w14:textId="77777777" w:rsidR="00BC596D" w:rsidRPr="00D270BC" w:rsidRDefault="00BC596D" w:rsidP="003F6C6D">
            <w:pPr>
              <w:spacing w:after="0" w:line="240" w:lineRule="auto"/>
              <w:jc w:val="center"/>
              <w:rPr>
                <w:rFonts w:ascii="Times New Roman" w:eastAsia="Times New Roman" w:hAnsi="Times New Roman" w:cs="Times New Roman"/>
                <w:b/>
                <w:color w:val="000000"/>
                <w:sz w:val="16"/>
                <w:szCs w:val="16"/>
                <w:lang w:val="en-US" w:eastAsia="tr-TR"/>
              </w:rPr>
            </w:pPr>
            <w:r w:rsidRPr="00D270BC">
              <w:rPr>
                <w:rFonts w:ascii="Times New Roman" w:eastAsia="Times New Roman" w:hAnsi="Times New Roman" w:cs="Times New Roman"/>
                <w:b/>
                <w:color w:val="000000"/>
                <w:sz w:val="16"/>
                <w:szCs w:val="16"/>
                <w:lang w:val="en-US" w:eastAsia="tr-TR"/>
              </w:rPr>
              <w:t>Decrease at BFP %*</w:t>
            </w:r>
          </w:p>
        </w:tc>
        <w:tc>
          <w:tcPr>
            <w:tcW w:w="0" w:type="auto"/>
            <w:gridSpan w:val="5"/>
            <w:tcBorders>
              <w:top w:val="nil"/>
              <w:left w:val="single" w:sz="4" w:space="0" w:color="auto"/>
              <w:bottom w:val="single" w:sz="4" w:space="0" w:color="auto"/>
              <w:right w:val="nil"/>
            </w:tcBorders>
            <w:vAlign w:val="center"/>
            <w:hideMark/>
          </w:tcPr>
          <w:p w14:paraId="5DB5EAA8" w14:textId="77777777" w:rsidR="00BC596D" w:rsidRPr="00D270BC" w:rsidRDefault="00BC596D" w:rsidP="003F6C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2.5 ± 2.3 (7.1)</w:t>
            </w:r>
          </w:p>
        </w:tc>
        <w:tc>
          <w:tcPr>
            <w:tcW w:w="190" w:type="dxa"/>
            <w:tcBorders>
              <w:top w:val="nil"/>
              <w:left w:val="nil"/>
              <w:bottom w:val="single" w:sz="4" w:space="0" w:color="auto"/>
              <w:right w:val="single" w:sz="4" w:space="0" w:color="auto"/>
            </w:tcBorders>
            <w:vAlign w:val="center"/>
            <w:hideMark/>
          </w:tcPr>
          <w:p w14:paraId="26F8227F" w14:textId="77777777" w:rsidR="00BC596D" w:rsidRPr="00D270BC" w:rsidRDefault="00BC596D" w:rsidP="00BC596D">
            <w:pPr>
              <w:spacing w:after="0" w:line="240" w:lineRule="auto"/>
              <w:jc w:val="center"/>
              <w:rPr>
                <w:rFonts w:ascii="Times New Roman" w:eastAsia="Times New Roman" w:hAnsi="Times New Roman" w:cs="Times New Roman"/>
                <w:color w:val="000000"/>
                <w:sz w:val="16"/>
                <w:szCs w:val="16"/>
                <w:lang w:val="en-US" w:eastAsia="tr-TR"/>
              </w:rPr>
            </w:pPr>
          </w:p>
        </w:tc>
        <w:tc>
          <w:tcPr>
            <w:tcW w:w="3727" w:type="dxa"/>
            <w:gridSpan w:val="5"/>
            <w:tcBorders>
              <w:top w:val="nil"/>
              <w:left w:val="single" w:sz="4" w:space="0" w:color="auto"/>
              <w:bottom w:val="single" w:sz="4" w:space="0" w:color="auto"/>
              <w:right w:val="single" w:sz="4" w:space="0" w:color="auto"/>
            </w:tcBorders>
            <w:vAlign w:val="center"/>
          </w:tcPr>
          <w:p w14:paraId="18503875" w14:textId="77777777" w:rsidR="00BC596D" w:rsidRPr="00D270BC" w:rsidRDefault="00BC596D" w:rsidP="00BC596D">
            <w:pPr>
              <w:spacing w:after="0" w:line="240" w:lineRule="auto"/>
              <w:jc w:val="center"/>
              <w:rPr>
                <w:rFonts w:ascii="Times New Roman" w:eastAsia="Times New Roman" w:hAnsi="Times New Roman" w:cs="Times New Roman"/>
                <w:color w:val="000000"/>
                <w:sz w:val="16"/>
                <w:szCs w:val="16"/>
                <w:lang w:val="en-US" w:eastAsia="tr-TR"/>
              </w:rPr>
            </w:pPr>
            <w:r w:rsidRPr="00D270BC">
              <w:rPr>
                <w:rFonts w:ascii="Times New Roman" w:eastAsia="Times New Roman" w:hAnsi="Times New Roman" w:cs="Times New Roman"/>
                <w:color w:val="000000"/>
                <w:sz w:val="16"/>
                <w:szCs w:val="16"/>
                <w:lang w:val="en-US" w:eastAsia="tr-TR"/>
              </w:rPr>
              <w:t> 1.4 ± 2.1 (4.0)</w:t>
            </w:r>
          </w:p>
        </w:tc>
        <w:tc>
          <w:tcPr>
            <w:tcW w:w="0" w:type="auto"/>
            <w:gridSpan w:val="2"/>
            <w:tcBorders>
              <w:top w:val="nil"/>
              <w:left w:val="single" w:sz="4" w:space="0" w:color="auto"/>
              <w:bottom w:val="single" w:sz="4" w:space="0" w:color="auto"/>
              <w:right w:val="single" w:sz="4" w:space="0" w:color="auto"/>
            </w:tcBorders>
          </w:tcPr>
          <w:p w14:paraId="58929D92" w14:textId="77777777" w:rsidR="00BC596D" w:rsidRPr="00D270BC" w:rsidRDefault="00BC596D" w:rsidP="003F6C6D">
            <w:pPr>
              <w:spacing w:after="0" w:line="240" w:lineRule="auto"/>
              <w:rPr>
                <w:rFonts w:ascii="Times New Roman" w:eastAsia="Times New Roman" w:hAnsi="Times New Roman" w:cs="Times New Roman"/>
                <w:i/>
                <w:color w:val="000000"/>
                <w:sz w:val="16"/>
                <w:szCs w:val="16"/>
                <w:lang w:val="en-US" w:eastAsia="tr-TR"/>
              </w:rPr>
            </w:pPr>
          </w:p>
          <w:p w14:paraId="0BB3C54E" w14:textId="77777777" w:rsidR="00BC596D" w:rsidRPr="00D270BC" w:rsidRDefault="00BC596D" w:rsidP="003F6C6D">
            <w:pPr>
              <w:spacing w:after="0" w:line="240" w:lineRule="auto"/>
              <w:rPr>
                <w:rFonts w:ascii="Times New Roman" w:eastAsia="Times New Roman" w:hAnsi="Times New Roman" w:cs="Times New Roman"/>
                <w:i/>
                <w:color w:val="000000"/>
                <w:sz w:val="16"/>
                <w:szCs w:val="16"/>
                <w:lang w:val="en-US" w:eastAsia="tr-TR"/>
              </w:rPr>
            </w:pPr>
            <w:r w:rsidRPr="00D270BC">
              <w:rPr>
                <w:rFonts w:ascii="Times New Roman" w:eastAsia="Times New Roman" w:hAnsi="Times New Roman" w:cs="Times New Roman"/>
                <w:i/>
                <w:color w:val="000000"/>
                <w:sz w:val="16"/>
                <w:szCs w:val="16"/>
                <w:lang w:val="en-US" w:eastAsia="tr-TR"/>
              </w:rPr>
              <w:t xml:space="preserve">  0.004</w:t>
            </w:r>
          </w:p>
        </w:tc>
      </w:tr>
    </w:tbl>
    <w:p w14:paraId="76AF5174" w14:textId="77777777" w:rsidR="00BC596D" w:rsidRPr="00113439" w:rsidRDefault="00BC596D" w:rsidP="00BC596D">
      <w:pPr>
        <w:autoSpaceDE w:val="0"/>
        <w:autoSpaceDN w:val="0"/>
        <w:adjustRightInd w:val="0"/>
        <w:spacing w:after="0" w:line="240" w:lineRule="auto"/>
        <w:jc w:val="both"/>
        <w:rPr>
          <w:rFonts w:ascii="Times New Roman" w:hAnsi="Times New Roman" w:cs="Times New Roman"/>
          <w:sz w:val="16"/>
          <w:szCs w:val="20"/>
          <w:lang w:val="en-US"/>
        </w:rPr>
      </w:pPr>
      <w:r w:rsidRPr="00113439">
        <w:rPr>
          <w:rFonts w:ascii="Times New Roman" w:hAnsi="Times New Roman" w:cs="Times New Roman"/>
          <w:b/>
          <w:sz w:val="16"/>
          <w:szCs w:val="20"/>
          <w:lang w:val="en-US"/>
        </w:rPr>
        <w:t>CI:</w:t>
      </w:r>
      <w:r w:rsidRPr="00113439">
        <w:rPr>
          <w:rFonts w:ascii="Times New Roman" w:hAnsi="Times New Roman" w:cs="Times New Roman"/>
          <w:sz w:val="16"/>
          <w:szCs w:val="20"/>
          <w:lang w:val="en-US"/>
        </w:rPr>
        <w:t xml:space="preserve"> Confidence Interval</w:t>
      </w:r>
    </w:p>
    <w:p w14:paraId="3ED4CAD9" w14:textId="77777777" w:rsidR="00BC596D" w:rsidRPr="00113439" w:rsidRDefault="00BC596D" w:rsidP="00BC596D">
      <w:pPr>
        <w:autoSpaceDE w:val="0"/>
        <w:autoSpaceDN w:val="0"/>
        <w:adjustRightInd w:val="0"/>
        <w:spacing w:after="0" w:line="240" w:lineRule="auto"/>
        <w:jc w:val="both"/>
        <w:rPr>
          <w:rFonts w:ascii="Times New Roman" w:eastAsia="Times New Roman" w:hAnsi="Times New Roman" w:cs="Times New Roman"/>
          <w:color w:val="000000"/>
          <w:sz w:val="16"/>
          <w:szCs w:val="20"/>
          <w:lang w:val="en-US" w:eastAsia="tr-TR"/>
        </w:rPr>
      </w:pPr>
      <w:r w:rsidRPr="00113439">
        <w:rPr>
          <w:rFonts w:ascii="Times New Roman" w:eastAsia="Times New Roman" w:hAnsi="Times New Roman" w:cs="Times New Roman"/>
          <w:b/>
          <w:color w:val="000000"/>
          <w:sz w:val="16"/>
          <w:szCs w:val="20"/>
          <w:lang w:val="en-US" w:eastAsia="tr-TR"/>
        </w:rPr>
        <w:t>BMI:</w:t>
      </w:r>
      <w:r w:rsidRPr="00113439">
        <w:rPr>
          <w:rFonts w:ascii="Times New Roman" w:eastAsia="Times New Roman" w:hAnsi="Times New Roman" w:cs="Times New Roman"/>
          <w:color w:val="000000"/>
          <w:sz w:val="16"/>
          <w:szCs w:val="20"/>
          <w:lang w:val="en-US" w:eastAsia="tr-TR"/>
        </w:rPr>
        <w:t xml:space="preserve"> Body Mass Index</w:t>
      </w:r>
    </w:p>
    <w:p w14:paraId="0476BC7B" w14:textId="77777777" w:rsidR="00BC596D" w:rsidRPr="00113439" w:rsidRDefault="00BC596D" w:rsidP="00BC596D">
      <w:pPr>
        <w:autoSpaceDE w:val="0"/>
        <w:autoSpaceDN w:val="0"/>
        <w:adjustRightInd w:val="0"/>
        <w:spacing w:after="0" w:line="240" w:lineRule="auto"/>
        <w:jc w:val="both"/>
        <w:rPr>
          <w:rFonts w:ascii="Times New Roman" w:eastAsia="Times New Roman" w:hAnsi="Times New Roman" w:cs="Times New Roman"/>
          <w:color w:val="000000"/>
          <w:sz w:val="16"/>
          <w:szCs w:val="20"/>
          <w:lang w:val="en-US" w:eastAsia="tr-TR"/>
        </w:rPr>
      </w:pPr>
      <w:r w:rsidRPr="00113439">
        <w:rPr>
          <w:rFonts w:ascii="Times New Roman" w:eastAsia="Times New Roman" w:hAnsi="Times New Roman" w:cs="Times New Roman"/>
          <w:b/>
          <w:color w:val="000000"/>
          <w:sz w:val="16"/>
          <w:szCs w:val="20"/>
          <w:lang w:val="en-US" w:eastAsia="tr-TR"/>
        </w:rPr>
        <w:t>BFP:</w:t>
      </w:r>
      <w:r w:rsidRPr="00113439">
        <w:rPr>
          <w:rFonts w:ascii="Times New Roman" w:eastAsia="Times New Roman" w:hAnsi="Times New Roman" w:cs="Times New Roman"/>
          <w:color w:val="000000"/>
          <w:sz w:val="16"/>
          <w:szCs w:val="20"/>
          <w:lang w:val="en-US" w:eastAsia="tr-TR"/>
        </w:rPr>
        <w:t xml:space="preserve"> Body Fat Percentage</w:t>
      </w:r>
    </w:p>
    <w:p w14:paraId="5A295F66" w14:textId="77777777" w:rsidR="00BC596D" w:rsidRPr="00113439" w:rsidRDefault="00BC596D" w:rsidP="00BC596D">
      <w:pPr>
        <w:autoSpaceDE w:val="0"/>
        <w:autoSpaceDN w:val="0"/>
        <w:adjustRightInd w:val="0"/>
        <w:spacing w:after="0" w:line="240" w:lineRule="auto"/>
        <w:jc w:val="both"/>
        <w:rPr>
          <w:rFonts w:ascii="Times New Roman" w:hAnsi="Times New Roman" w:cs="Times New Roman"/>
          <w:sz w:val="16"/>
          <w:szCs w:val="20"/>
          <w:lang w:val="en-US"/>
        </w:rPr>
      </w:pPr>
      <w:r w:rsidRPr="00113439">
        <w:rPr>
          <w:rFonts w:ascii="Times New Roman" w:eastAsia="Times New Roman" w:hAnsi="Times New Roman" w:cs="Times New Roman"/>
          <w:color w:val="000000"/>
          <w:sz w:val="16"/>
          <w:szCs w:val="20"/>
          <w:lang w:val="en-US" w:eastAsia="tr-TR"/>
        </w:rPr>
        <w:t>*Decrease at the end of 3</w:t>
      </w:r>
      <w:r w:rsidRPr="00113439">
        <w:rPr>
          <w:rFonts w:ascii="Times New Roman" w:eastAsia="Times New Roman" w:hAnsi="Times New Roman" w:cs="Times New Roman"/>
          <w:color w:val="000000"/>
          <w:sz w:val="16"/>
          <w:szCs w:val="20"/>
          <w:vertAlign w:val="superscript"/>
          <w:lang w:val="en-US" w:eastAsia="tr-TR"/>
        </w:rPr>
        <w:t>rd</w:t>
      </w:r>
      <w:r w:rsidRPr="00113439">
        <w:rPr>
          <w:rFonts w:ascii="Times New Roman" w:eastAsia="Times New Roman" w:hAnsi="Times New Roman" w:cs="Times New Roman"/>
          <w:color w:val="000000"/>
          <w:sz w:val="16"/>
          <w:szCs w:val="20"/>
          <w:lang w:val="en-US" w:eastAsia="tr-TR"/>
        </w:rPr>
        <w:t xml:space="preserve"> month </w:t>
      </w:r>
      <w:r w:rsidRPr="00113439">
        <w:rPr>
          <w:rFonts w:ascii="Times New Roman" w:hAnsi="Times New Roman" w:cs="Times New Roman"/>
          <w:sz w:val="16"/>
          <w:szCs w:val="20"/>
          <w:lang w:val="en-US"/>
        </w:rPr>
        <w:t xml:space="preserve">[Mean </w:t>
      </w:r>
      <w:r w:rsidRPr="00113439">
        <w:rPr>
          <w:rFonts w:ascii="Times New Roman" w:eastAsia="Times New Roman" w:hAnsi="Times New Roman" w:cs="Times New Roman"/>
          <w:color w:val="000000"/>
          <w:sz w:val="16"/>
          <w:szCs w:val="20"/>
          <w:lang w:val="en-US" w:eastAsia="tr-TR"/>
        </w:rPr>
        <w:t>± SD (%)]</w:t>
      </w:r>
    </w:p>
    <w:p w14:paraId="003DA60C" w14:textId="77777777" w:rsidR="003F6C6D" w:rsidRPr="00D270BC" w:rsidRDefault="003F6C6D" w:rsidP="00516597">
      <w:pPr>
        <w:spacing w:after="0"/>
        <w:jc w:val="both"/>
        <w:rPr>
          <w:rFonts w:ascii="Times New Roman" w:hAnsi="Times New Roman" w:cs="Times New Roman"/>
          <w:sz w:val="20"/>
          <w:lang w:val="en-US"/>
        </w:rPr>
      </w:pPr>
    </w:p>
    <w:p w14:paraId="251DB276" w14:textId="77777777" w:rsidR="00BC596D" w:rsidRPr="00D270BC" w:rsidRDefault="00BC596D" w:rsidP="00516597">
      <w:pPr>
        <w:spacing w:after="0"/>
        <w:jc w:val="both"/>
        <w:rPr>
          <w:rFonts w:ascii="Times New Roman" w:hAnsi="Times New Roman" w:cs="Times New Roman"/>
          <w:sz w:val="20"/>
          <w:lang w:val="en-US"/>
        </w:rPr>
        <w:sectPr w:rsidR="00BC596D" w:rsidRPr="00D270BC" w:rsidSect="00516597">
          <w:type w:val="continuous"/>
          <w:pgSz w:w="11906" w:h="16838"/>
          <w:pgMar w:top="1417" w:right="1417" w:bottom="1417" w:left="1417" w:header="708" w:footer="708" w:gutter="0"/>
          <w:cols w:space="709"/>
          <w:docGrid w:linePitch="360"/>
        </w:sectPr>
      </w:pPr>
    </w:p>
    <w:p w14:paraId="7F540FDC" w14:textId="77777777" w:rsidR="00F7346F" w:rsidRPr="008B0E4E" w:rsidRDefault="00F7346F" w:rsidP="00F7346F">
      <w:pPr>
        <w:spacing w:line="240" w:lineRule="auto"/>
        <w:jc w:val="both"/>
        <w:rPr>
          <w:rFonts w:ascii="Times New Roman" w:hAnsi="Times New Roman" w:cs="Times New Roman"/>
          <w:b/>
          <w:sz w:val="20"/>
          <w:szCs w:val="20"/>
          <w:lang w:val="en-US"/>
        </w:rPr>
      </w:pPr>
      <w:r w:rsidRPr="008B0E4E">
        <w:rPr>
          <w:rFonts w:ascii="Times New Roman" w:hAnsi="Times New Roman" w:cs="Times New Roman"/>
          <w:b/>
          <w:sz w:val="20"/>
          <w:szCs w:val="20"/>
          <w:lang w:val="en-US"/>
        </w:rPr>
        <w:lastRenderedPageBreak/>
        <w:t xml:space="preserve">DISCUSSION </w:t>
      </w:r>
    </w:p>
    <w:p w14:paraId="56F17790" w14:textId="77777777" w:rsidR="00F7346F" w:rsidRPr="008B0E4E" w:rsidRDefault="00F7346F" w:rsidP="00F7346F">
      <w:pPr>
        <w:spacing w:line="240" w:lineRule="auto"/>
        <w:jc w:val="both"/>
        <w:rPr>
          <w:rFonts w:ascii="Times New Roman" w:hAnsi="Times New Roman" w:cs="Times New Roman"/>
          <w:sz w:val="20"/>
          <w:szCs w:val="20"/>
          <w:lang w:val="en-US"/>
        </w:rPr>
      </w:pPr>
      <w:r w:rsidRPr="008B0E4E">
        <w:rPr>
          <w:rFonts w:ascii="Times New Roman" w:hAnsi="Times New Roman" w:cs="Times New Roman"/>
          <w:sz w:val="20"/>
          <w:szCs w:val="20"/>
          <w:lang w:val="en-US"/>
        </w:rPr>
        <w:t xml:space="preserve">Statistically significant differences were found between the regular follow-up and irregular follow-up groups in terms of decreases in BMI and fat percentages. Significant decreases in BMI and body fat percentages were also found between baseline and the third month in the irregular follow-up group. </w:t>
      </w:r>
    </w:p>
    <w:p w14:paraId="0884A6E8" w14:textId="77777777" w:rsidR="00F7346F" w:rsidRPr="008B0E4E" w:rsidRDefault="00F7346F" w:rsidP="00F7346F">
      <w:pPr>
        <w:spacing w:line="240" w:lineRule="auto"/>
        <w:ind w:firstLine="708"/>
        <w:jc w:val="both"/>
        <w:rPr>
          <w:rFonts w:ascii="Times New Roman" w:hAnsi="Times New Roman" w:cs="Times New Roman"/>
          <w:sz w:val="20"/>
          <w:szCs w:val="20"/>
          <w:lang w:val="en-US"/>
        </w:rPr>
      </w:pPr>
      <w:r w:rsidRPr="008B0E4E">
        <w:rPr>
          <w:rFonts w:ascii="Times New Roman" w:hAnsi="Times New Roman" w:cs="Times New Roman"/>
          <w:sz w:val="20"/>
          <w:szCs w:val="20"/>
          <w:lang w:val="en-US"/>
        </w:rPr>
        <w:t>The regular follow-up rate in our study was approximately 70%. The US Preventive Services Task Force (USPSTF) recommends a follow-up frequency of once a week in the first month, every other week for the next four months, and monthly thereafter.</w:t>
      </w:r>
      <w:r w:rsidRPr="008B0E4E">
        <w:rPr>
          <w:rFonts w:ascii="Times New Roman" w:hAnsi="Times New Roman" w:cs="Times New Roman"/>
          <w:sz w:val="20"/>
          <w:szCs w:val="20"/>
          <w:vertAlign w:val="superscript"/>
          <w:lang w:val="en-US"/>
        </w:rPr>
        <w:t>7</w:t>
      </w:r>
      <w:r w:rsidRPr="008B0E4E">
        <w:rPr>
          <w:rFonts w:ascii="Times New Roman" w:hAnsi="Times New Roman" w:cs="Times New Roman"/>
          <w:sz w:val="20"/>
          <w:szCs w:val="20"/>
          <w:lang w:val="en-US"/>
        </w:rPr>
        <w:t xml:space="preserve"> In our daily practice at our clinic, we advise our patients to attend for a check-up once every 15 days, although in this study we defined regular follow-up as one visit a month. </w:t>
      </w:r>
    </w:p>
    <w:p w14:paraId="6403D2B8" w14:textId="77777777" w:rsidR="00F7346F" w:rsidRPr="008B0E4E" w:rsidRDefault="00F7346F" w:rsidP="00F7346F">
      <w:pPr>
        <w:spacing w:line="240" w:lineRule="auto"/>
        <w:ind w:firstLine="708"/>
        <w:jc w:val="both"/>
        <w:rPr>
          <w:rFonts w:ascii="Times New Roman" w:hAnsi="Times New Roman" w:cs="Times New Roman"/>
          <w:sz w:val="20"/>
          <w:szCs w:val="20"/>
          <w:lang w:val="en-US"/>
        </w:rPr>
      </w:pPr>
      <w:r w:rsidRPr="008B0E4E">
        <w:rPr>
          <w:rFonts w:ascii="Times New Roman" w:hAnsi="Times New Roman" w:cs="Times New Roman"/>
          <w:sz w:val="20"/>
          <w:szCs w:val="20"/>
          <w:lang w:val="en-US"/>
        </w:rPr>
        <w:t>When we compare the decrease in BMI with the literature; one study reported a mean decrease of 1 kilo with quarterly follow-ups at the end of 12 months.</w:t>
      </w:r>
      <w:r w:rsidRPr="008B0E4E">
        <w:rPr>
          <w:rFonts w:ascii="Times New Roman" w:hAnsi="Times New Roman" w:cs="Times New Roman"/>
          <w:sz w:val="20"/>
          <w:szCs w:val="20"/>
          <w:vertAlign w:val="superscript"/>
          <w:lang w:val="en-US"/>
        </w:rPr>
        <w:t>8</w:t>
      </w:r>
      <w:r w:rsidRPr="008B0E4E">
        <w:rPr>
          <w:rFonts w:ascii="Times New Roman" w:hAnsi="Times New Roman" w:cs="Times New Roman"/>
          <w:sz w:val="20"/>
          <w:szCs w:val="20"/>
          <w:lang w:val="en-US"/>
        </w:rPr>
        <w:t xml:space="preserve"> Our results appear better than this after only three months. This may be because we obtained these findings in three months, and the best results are known to be achieved at the beginning of the weight loss period. As the number of patients with longer follow-up was not </w:t>
      </w:r>
      <w:proofErr w:type="gramStart"/>
      <w:r w:rsidRPr="008B0E4E">
        <w:rPr>
          <w:rFonts w:ascii="Times New Roman" w:hAnsi="Times New Roman" w:cs="Times New Roman"/>
          <w:sz w:val="20"/>
          <w:szCs w:val="20"/>
          <w:lang w:val="en-US"/>
        </w:rPr>
        <w:t>sufficient</w:t>
      </w:r>
      <w:proofErr w:type="gramEnd"/>
      <w:r w:rsidRPr="008B0E4E">
        <w:rPr>
          <w:rFonts w:ascii="Times New Roman" w:hAnsi="Times New Roman" w:cs="Times New Roman"/>
          <w:sz w:val="20"/>
          <w:szCs w:val="20"/>
          <w:lang w:val="en-US"/>
        </w:rPr>
        <w:t xml:space="preserve"> in our study, patients with a follow-up of 3 months were taken into the study.</w:t>
      </w:r>
    </w:p>
    <w:p w14:paraId="01B7BEC7" w14:textId="77777777" w:rsidR="00BC596D" w:rsidRPr="00D270BC" w:rsidRDefault="00F7346F" w:rsidP="00BC596D">
      <w:pPr>
        <w:spacing w:after="0"/>
        <w:jc w:val="both"/>
        <w:rPr>
          <w:rFonts w:ascii="Times New Roman" w:hAnsi="Times New Roman" w:cs="Times New Roman"/>
          <w:sz w:val="20"/>
          <w:szCs w:val="20"/>
          <w:lang w:val="en-US"/>
        </w:rPr>
      </w:pPr>
      <w:r w:rsidRPr="008B0E4E">
        <w:rPr>
          <w:rFonts w:ascii="Times New Roman" w:hAnsi="Times New Roman" w:cs="Times New Roman"/>
          <w:sz w:val="20"/>
          <w:szCs w:val="20"/>
          <w:lang w:val="en-US"/>
        </w:rPr>
        <w:t xml:space="preserve">Compared with the irregular group, the decreases in BMI and body fat were significantly higher in the regular follow-up group. In one study evaluating the </w:t>
      </w:r>
      <w:r w:rsidRPr="00113439">
        <w:rPr>
          <w:rFonts w:ascii="Times New Roman" w:hAnsi="Times New Roman" w:cs="Times New Roman"/>
          <w:sz w:val="20"/>
          <w:szCs w:val="20"/>
          <w:lang w:val="en-US"/>
        </w:rPr>
        <w:t>effectiveness of</w:t>
      </w:r>
      <w:r w:rsidRPr="008B0E4E">
        <w:rPr>
          <w:rFonts w:ascii="Times New Roman" w:hAnsi="Times New Roman" w:cs="Times New Roman"/>
          <w:sz w:val="20"/>
          <w:szCs w:val="20"/>
          <w:lang w:val="en-US"/>
        </w:rPr>
        <w:t xml:space="preserve"> using medical assistants (MA), the control group received quarterly primary care provider visits and weight loss materials, while the study group received brief counseling during eight visits from an MA over six months</w:t>
      </w:r>
      <w:r>
        <w:rPr>
          <w:rFonts w:ascii="Times New Roman" w:hAnsi="Times New Roman" w:cs="Times New Roman"/>
          <w:sz w:val="20"/>
          <w:szCs w:val="20"/>
          <w:lang w:val="en-US"/>
        </w:rPr>
        <w:t xml:space="preserve">. </w:t>
      </w:r>
      <w:r w:rsidR="00BC596D" w:rsidRPr="00D270BC">
        <w:rPr>
          <w:rFonts w:ascii="Times New Roman" w:hAnsi="Times New Roman" w:cs="Times New Roman"/>
          <w:sz w:val="20"/>
          <w:lang w:val="en-US"/>
        </w:rPr>
        <w:t>The control group lost 0.9 ± 0.6 kg (1.0 ± 0.7% of initial weight) and the brief counseling group lost 4.4 ± 0.6 kg (5.1 ± 0.7%).</w:t>
      </w:r>
      <w:r w:rsidR="00BC596D" w:rsidRPr="00D270BC">
        <w:rPr>
          <w:rFonts w:ascii="Times New Roman" w:hAnsi="Times New Roman" w:cs="Times New Roman"/>
          <w:sz w:val="20"/>
          <w:vertAlign w:val="superscript"/>
          <w:lang w:val="en-US"/>
        </w:rPr>
        <w:t>9</w:t>
      </w:r>
      <w:r w:rsidR="00BC596D" w:rsidRPr="00D270BC">
        <w:rPr>
          <w:rFonts w:ascii="Times New Roman" w:hAnsi="Times New Roman" w:cs="Times New Roman"/>
          <w:sz w:val="20"/>
          <w:lang w:val="en-US"/>
        </w:rPr>
        <w:t xml:space="preserve"> In accordance with guidelines, we recommend frequent and regular visits, especially in the first three months of follow-up.</w:t>
      </w:r>
    </w:p>
    <w:p w14:paraId="011E9B48" w14:textId="77777777" w:rsidR="00BC596D" w:rsidRPr="00D270BC" w:rsidRDefault="00BC596D" w:rsidP="00BC596D">
      <w:pPr>
        <w:spacing w:after="0"/>
        <w:ind w:firstLine="708"/>
        <w:jc w:val="both"/>
        <w:rPr>
          <w:rFonts w:ascii="Times New Roman" w:hAnsi="Times New Roman" w:cs="Times New Roman"/>
          <w:sz w:val="20"/>
          <w:lang w:val="en-US"/>
        </w:rPr>
      </w:pPr>
    </w:p>
    <w:p w14:paraId="0E37DB79" w14:textId="77777777" w:rsidR="00BC596D" w:rsidRPr="00D270BC" w:rsidRDefault="00BC596D" w:rsidP="00BC596D">
      <w:pPr>
        <w:spacing w:after="0"/>
        <w:ind w:firstLine="708"/>
        <w:jc w:val="both"/>
        <w:rPr>
          <w:rFonts w:ascii="Times New Roman" w:hAnsi="Times New Roman" w:cs="Times New Roman"/>
          <w:sz w:val="20"/>
          <w:lang w:val="en-US"/>
        </w:rPr>
      </w:pPr>
      <w:r w:rsidRPr="00D270BC">
        <w:rPr>
          <w:rFonts w:ascii="Times New Roman" w:hAnsi="Times New Roman" w:cs="Times New Roman"/>
          <w:sz w:val="20"/>
          <w:lang w:val="en-US"/>
        </w:rPr>
        <w:t>Most previous studies have compared procedures involving quarterly routine care, additional brief counseling with MAs and medical treatment. One systematic review concluded that one visit per month or fewer in primary care was not effective for weight loss.</w:t>
      </w:r>
      <w:r w:rsidRPr="00D270BC">
        <w:rPr>
          <w:rFonts w:ascii="Times New Roman" w:hAnsi="Times New Roman" w:cs="Times New Roman"/>
          <w:sz w:val="20"/>
          <w:vertAlign w:val="superscript"/>
          <w:lang w:val="en-US"/>
        </w:rPr>
        <w:t>10,11</w:t>
      </w:r>
      <w:r w:rsidRPr="00D270BC">
        <w:rPr>
          <w:rFonts w:ascii="Times New Roman" w:hAnsi="Times New Roman" w:cs="Times New Roman"/>
          <w:sz w:val="20"/>
          <w:lang w:val="en-US"/>
        </w:rPr>
        <w:t xml:space="preserve"> Another study of obese adults compared the effectiveness of routine care, consisting of quarterly primary care provider visits (including information concerning weight management), with brief lifestyle counseling, consisting of routine care combined with lifestyle </w:t>
      </w:r>
      <w:r w:rsidRPr="00D270BC">
        <w:rPr>
          <w:rFonts w:ascii="Times New Roman" w:hAnsi="Times New Roman" w:cs="Times New Roman"/>
          <w:sz w:val="20"/>
          <w:lang w:val="en-US"/>
        </w:rPr>
        <w:t>coaches providing brief monthly sessions about behavioral weight control and enhanced brief lifestyle counseling (plus meal replacement or medication). Mean weight loss values following routine care, brief lifestyle counseling, and enhanced brief lifestyle counseling were 1.7±0.7, 2.9±0.7, and 4.6±0.7 kg, respectively, at the end of two years.</w:t>
      </w:r>
      <w:r w:rsidRPr="00D270BC">
        <w:rPr>
          <w:rFonts w:ascii="Times New Roman" w:hAnsi="Times New Roman" w:cs="Times New Roman"/>
          <w:sz w:val="20"/>
          <w:vertAlign w:val="superscript"/>
          <w:lang w:val="en-US"/>
        </w:rPr>
        <w:t>12</w:t>
      </w:r>
      <w:r w:rsidRPr="00D270BC">
        <w:rPr>
          <w:rFonts w:ascii="Times New Roman" w:hAnsi="Times New Roman" w:cs="Times New Roman"/>
          <w:sz w:val="20"/>
          <w:lang w:val="en-US"/>
        </w:rPr>
        <w:t xml:space="preserve"> </w:t>
      </w:r>
    </w:p>
    <w:p w14:paraId="0FEB71EB" w14:textId="77777777" w:rsidR="00BC596D" w:rsidRPr="00D270BC" w:rsidRDefault="00BC596D" w:rsidP="00BC596D">
      <w:pPr>
        <w:spacing w:after="0"/>
        <w:jc w:val="both"/>
        <w:rPr>
          <w:rFonts w:ascii="Times New Roman" w:hAnsi="Times New Roman" w:cs="Times New Roman"/>
          <w:sz w:val="20"/>
          <w:lang w:val="en-US"/>
        </w:rPr>
      </w:pPr>
    </w:p>
    <w:p w14:paraId="567DF73A" w14:textId="77777777" w:rsidR="00F7346F" w:rsidRDefault="00BC596D" w:rsidP="00BC596D">
      <w:pPr>
        <w:spacing w:after="0"/>
        <w:ind w:firstLine="708"/>
        <w:jc w:val="both"/>
        <w:rPr>
          <w:rFonts w:ascii="Times New Roman" w:hAnsi="Times New Roman" w:cs="Times New Roman"/>
          <w:sz w:val="20"/>
          <w:lang w:val="en-US"/>
        </w:rPr>
      </w:pPr>
      <w:r w:rsidRPr="00D270BC">
        <w:rPr>
          <w:rFonts w:ascii="Times New Roman" w:hAnsi="Times New Roman" w:cs="Times New Roman"/>
          <w:sz w:val="20"/>
          <w:lang w:val="en-US"/>
        </w:rPr>
        <w:t>Significant differences in BMI and body fat percentages indicates that even if patients attended follow-up only irregularly, they still exhibited statistically significant levels of weight and fat loss by the end of the third month. Our research suggests that even irregular follow-up is still effective. However, the decreases were significantly greater in the regular follow-up group than in the irregular group.</w:t>
      </w:r>
    </w:p>
    <w:p w14:paraId="39825A92" w14:textId="77777777" w:rsidR="00BC596D" w:rsidRPr="00D270BC" w:rsidRDefault="00BC596D" w:rsidP="00BC596D">
      <w:pPr>
        <w:spacing w:after="0"/>
        <w:ind w:firstLine="708"/>
        <w:jc w:val="both"/>
        <w:rPr>
          <w:rFonts w:ascii="Times New Roman" w:hAnsi="Times New Roman" w:cs="Times New Roman"/>
          <w:sz w:val="20"/>
          <w:lang w:val="en-US"/>
        </w:rPr>
      </w:pPr>
      <w:r w:rsidRPr="00D270BC">
        <w:rPr>
          <w:rFonts w:ascii="Times New Roman" w:hAnsi="Times New Roman" w:cs="Times New Roman"/>
          <w:sz w:val="20"/>
          <w:lang w:val="en-US"/>
        </w:rPr>
        <w:t xml:space="preserve"> </w:t>
      </w:r>
    </w:p>
    <w:p w14:paraId="58D971AC" w14:textId="77777777" w:rsidR="00BC596D" w:rsidRPr="00D270BC" w:rsidRDefault="00BC596D" w:rsidP="00BC596D">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 xml:space="preserve">The strengths of the study </w:t>
      </w:r>
    </w:p>
    <w:p w14:paraId="28EABD23" w14:textId="77777777" w:rsidR="00BC596D" w:rsidRPr="00D270BC" w:rsidRDefault="00BC596D" w:rsidP="00BC596D">
      <w:pPr>
        <w:spacing w:after="0"/>
        <w:jc w:val="both"/>
        <w:rPr>
          <w:rFonts w:ascii="Times New Roman" w:hAnsi="Times New Roman" w:cs="Times New Roman"/>
          <w:sz w:val="20"/>
          <w:lang w:val="en-US"/>
        </w:rPr>
      </w:pPr>
    </w:p>
    <w:p w14:paraId="50669F89" w14:textId="77777777" w:rsidR="00BC596D" w:rsidRDefault="00BC596D" w:rsidP="00BC596D">
      <w:pPr>
        <w:spacing w:after="0"/>
        <w:ind w:firstLine="708"/>
        <w:jc w:val="both"/>
        <w:rPr>
          <w:rFonts w:ascii="Times New Roman" w:hAnsi="Times New Roman" w:cs="Times New Roman"/>
          <w:sz w:val="20"/>
          <w:lang w:val="en-US"/>
        </w:rPr>
      </w:pPr>
      <w:r w:rsidRPr="00D270BC">
        <w:rPr>
          <w:rFonts w:ascii="Times New Roman" w:hAnsi="Times New Roman" w:cs="Times New Roman"/>
          <w:sz w:val="20"/>
          <w:lang w:val="en-US"/>
        </w:rPr>
        <w:t xml:space="preserve">Our scan of the literature revealed no studies comparing regular and irregular follow-up visits over a three-month period. This represents a distinguishing feature of the present study. </w:t>
      </w:r>
    </w:p>
    <w:p w14:paraId="0C0330FA" w14:textId="77777777" w:rsidR="00A85F1B" w:rsidRPr="00D270BC" w:rsidRDefault="00A85F1B" w:rsidP="00BC596D">
      <w:pPr>
        <w:spacing w:after="0"/>
        <w:ind w:firstLine="708"/>
        <w:jc w:val="both"/>
        <w:rPr>
          <w:rFonts w:ascii="Times New Roman" w:hAnsi="Times New Roman" w:cs="Times New Roman"/>
          <w:sz w:val="20"/>
          <w:lang w:val="en-US"/>
        </w:rPr>
      </w:pPr>
    </w:p>
    <w:p w14:paraId="717A9101" w14:textId="77777777" w:rsidR="00BC596D" w:rsidRPr="00D270BC" w:rsidRDefault="00BC596D" w:rsidP="00BC596D">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 xml:space="preserve">The limitations of the study </w:t>
      </w:r>
    </w:p>
    <w:p w14:paraId="0619B752" w14:textId="77777777" w:rsidR="00A85F1B" w:rsidRPr="00D270BC" w:rsidRDefault="00A85F1B" w:rsidP="00BC596D">
      <w:pPr>
        <w:spacing w:after="0"/>
        <w:jc w:val="both"/>
        <w:rPr>
          <w:rFonts w:ascii="Times New Roman" w:hAnsi="Times New Roman" w:cs="Times New Roman"/>
          <w:sz w:val="20"/>
          <w:lang w:val="en-US"/>
        </w:rPr>
      </w:pPr>
    </w:p>
    <w:p w14:paraId="239A8441" w14:textId="77777777" w:rsidR="00BC596D" w:rsidRPr="00D270BC" w:rsidRDefault="00BC596D" w:rsidP="00BC596D">
      <w:pPr>
        <w:spacing w:after="0"/>
        <w:jc w:val="both"/>
        <w:rPr>
          <w:rFonts w:ascii="Times New Roman" w:hAnsi="Times New Roman" w:cs="Times New Roman"/>
          <w:sz w:val="20"/>
          <w:lang w:val="en-US"/>
        </w:rPr>
      </w:pPr>
      <w:r w:rsidRPr="00D270BC">
        <w:rPr>
          <w:rFonts w:ascii="Times New Roman" w:hAnsi="Times New Roman" w:cs="Times New Roman"/>
          <w:sz w:val="20"/>
          <w:lang w:val="en-US"/>
        </w:rPr>
        <w:t xml:space="preserve">The principal limitation of this study is a three-month follow-up period. Longer follow-up could give clearer results. However, we think that our results are important to give an opinion to show the influence of the follow-up visit frequencies. </w:t>
      </w:r>
    </w:p>
    <w:p w14:paraId="79D085AE" w14:textId="77777777" w:rsidR="00BC596D" w:rsidRPr="00D270BC" w:rsidRDefault="00BC596D" w:rsidP="00BC596D">
      <w:pPr>
        <w:spacing w:after="0"/>
        <w:jc w:val="both"/>
        <w:rPr>
          <w:rFonts w:ascii="Times New Roman" w:hAnsi="Times New Roman" w:cs="Times New Roman"/>
          <w:sz w:val="20"/>
          <w:lang w:val="en-US"/>
        </w:rPr>
      </w:pPr>
      <w:r w:rsidRPr="00D270BC">
        <w:rPr>
          <w:rFonts w:ascii="Times New Roman" w:hAnsi="Times New Roman" w:cs="Times New Roman"/>
          <w:sz w:val="20"/>
          <w:lang w:val="en-US"/>
        </w:rPr>
        <w:t xml:space="preserve">Another limitation is that we did not ask the reason why they could not attend regularly. Patients who are successful will like to show that; patients who are not may be embarrassed or are reluctant to have a conversation on their ‘failure’. There should be a good idea to organize a qualitative study to find out the reasons for not attending.  </w:t>
      </w:r>
    </w:p>
    <w:p w14:paraId="4FA55CC5" w14:textId="77777777" w:rsidR="00BC596D" w:rsidRPr="00D270BC" w:rsidRDefault="00BC596D" w:rsidP="00BC596D">
      <w:pPr>
        <w:spacing w:after="0"/>
        <w:jc w:val="both"/>
        <w:rPr>
          <w:rFonts w:ascii="Times New Roman" w:hAnsi="Times New Roman" w:cs="Times New Roman"/>
          <w:b/>
          <w:sz w:val="20"/>
          <w:lang w:val="en-US"/>
        </w:rPr>
      </w:pPr>
    </w:p>
    <w:p w14:paraId="15E4D573" w14:textId="77777777" w:rsidR="00BC596D" w:rsidRPr="00D270BC" w:rsidRDefault="00BC596D" w:rsidP="00BC596D">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CONCLUSION</w:t>
      </w:r>
    </w:p>
    <w:p w14:paraId="06DD5521" w14:textId="77777777" w:rsidR="00BC596D" w:rsidRPr="00D270BC" w:rsidRDefault="00BC596D" w:rsidP="00BC596D">
      <w:pPr>
        <w:spacing w:after="0"/>
        <w:jc w:val="both"/>
        <w:rPr>
          <w:rFonts w:ascii="Times New Roman" w:hAnsi="Times New Roman" w:cs="Times New Roman"/>
          <w:sz w:val="20"/>
          <w:lang w:val="en-US"/>
        </w:rPr>
      </w:pPr>
    </w:p>
    <w:p w14:paraId="741776E0" w14:textId="77777777" w:rsidR="00BC596D" w:rsidRPr="00D270BC" w:rsidRDefault="00BC596D" w:rsidP="00BC596D">
      <w:pPr>
        <w:spacing w:after="0"/>
        <w:jc w:val="both"/>
        <w:rPr>
          <w:rFonts w:ascii="Times New Roman" w:hAnsi="Times New Roman" w:cs="Times New Roman"/>
          <w:sz w:val="20"/>
          <w:lang w:val="en-US"/>
        </w:rPr>
      </w:pPr>
      <w:r w:rsidRPr="00D270BC">
        <w:rPr>
          <w:rFonts w:ascii="Times New Roman" w:hAnsi="Times New Roman" w:cs="Times New Roman"/>
          <w:sz w:val="20"/>
          <w:lang w:val="en-US"/>
        </w:rPr>
        <w:t xml:space="preserve">Although regular follow-up of obese patients is recommended, even patients attending only irregularly can also lose significant amounts of weight. It is essential to monitor all overweight subjects in order to facilitate weight loss. However, further work is still needed to improve regular follow-up rates. Because of the high evidence value of the recommendations of the guidelines, we should still recommend frequent follow-up to our patients. We expect our results to be a guide in </w:t>
      </w:r>
      <w:r w:rsidRPr="00D270BC">
        <w:rPr>
          <w:rFonts w:ascii="Times New Roman" w:hAnsi="Times New Roman" w:cs="Times New Roman"/>
          <w:sz w:val="20"/>
          <w:lang w:val="en-US"/>
        </w:rPr>
        <w:lastRenderedPageBreak/>
        <w:t>counseling for obese individuals in family medicine practices.</w:t>
      </w:r>
    </w:p>
    <w:p w14:paraId="43386FCD" w14:textId="77777777" w:rsidR="00BC596D" w:rsidRPr="00D270BC" w:rsidRDefault="00BC596D" w:rsidP="00BC596D">
      <w:pPr>
        <w:spacing w:after="0"/>
        <w:jc w:val="both"/>
        <w:rPr>
          <w:rFonts w:ascii="Times New Roman" w:hAnsi="Times New Roman" w:cs="Times New Roman"/>
          <w:b/>
          <w:sz w:val="20"/>
          <w:lang w:val="en-US"/>
        </w:rPr>
      </w:pPr>
    </w:p>
    <w:p w14:paraId="6725F233" w14:textId="77777777" w:rsidR="00BC596D" w:rsidRPr="00D270BC" w:rsidRDefault="00BC596D" w:rsidP="00BC596D">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Acknowledgement</w:t>
      </w:r>
    </w:p>
    <w:p w14:paraId="35C9697E" w14:textId="77777777" w:rsidR="00BC596D" w:rsidRPr="00D270BC" w:rsidRDefault="00BC596D" w:rsidP="00BC596D">
      <w:pPr>
        <w:spacing w:after="0"/>
        <w:jc w:val="both"/>
        <w:rPr>
          <w:rFonts w:ascii="Times New Roman" w:hAnsi="Times New Roman" w:cs="Times New Roman"/>
          <w:sz w:val="20"/>
          <w:lang w:val="en-US"/>
        </w:rPr>
      </w:pPr>
      <w:r w:rsidRPr="00D270BC">
        <w:rPr>
          <w:rFonts w:ascii="Times New Roman" w:hAnsi="Times New Roman" w:cs="Times New Roman"/>
          <w:sz w:val="20"/>
          <w:lang w:val="en-US"/>
        </w:rPr>
        <w:t xml:space="preserve">Our study was previously presented as an oral presentation by us at the 6th International Trakya Family Medicine Congress in Edirne, Turkey, 2017. </w:t>
      </w:r>
    </w:p>
    <w:p w14:paraId="0AE0CDE2" w14:textId="77777777" w:rsidR="00BC596D" w:rsidRPr="00D270BC" w:rsidRDefault="00BC596D" w:rsidP="00BC596D">
      <w:pPr>
        <w:spacing w:after="0"/>
        <w:jc w:val="both"/>
        <w:rPr>
          <w:rFonts w:ascii="Times New Roman" w:hAnsi="Times New Roman" w:cs="Times New Roman"/>
          <w:b/>
          <w:sz w:val="20"/>
          <w:lang w:val="en-US"/>
        </w:rPr>
      </w:pPr>
    </w:p>
    <w:p w14:paraId="6D471909" w14:textId="77777777" w:rsidR="00BC596D" w:rsidRPr="00D270BC" w:rsidRDefault="00BC596D" w:rsidP="00BC596D">
      <w:pPr>
        <w:spacing w:after="0"/>
        <w:jc w:val="both"/>
        <w:rPr>
          <w:rFonts w:ascii="Times New Roman" w:hAnsi="Times New Roman" w:cs="Times New Roman"/>
          <w:b/>
          <w:sz w:val="20"/>
          <w:lang w:val="en-US"/>
        </w:rPr>
      </w:pPr>
      <w:r w:rsidRPr="00D270BC">
        <w:rPr>
          <w:rFonts w:ascii="Times New Roman" w:hAnsi="Times New Roman" w:cs="Times New Roman"/>
          <w:b/>
          <w:sz w:val="20"/>
          <w:lang w:val="en-US"/>
        </w:rPr>
        <w:t>Conflicts of interest</w:t>
      </w:r>
    </w:p>
    <w:p w14:paraId="5B98687A" w14:textId="77777777" w:rsidR="00BC596D" w:rsidRPr="00D270BC" w:rsidRDefault="00BC596D" w:rsidP="00BC596D">
      <w:pPr>
        <w:spacing w:after="0"/>
        <w:jc w:val="both"/>
        <w:rPr>
          <w:rFonts w:ascii="Times New Roman" w:hAnsi="Times New Roman" w:cs="Times New Roman"/>
          <w:sz w:val="20"/>
          <w:lang w:val="en-US"/>
        </w:rPr>
      </w:pPr>
      <w:r w:rsidRPr="00D270BC">
        <w:rPr>
          <w:rFonts w:ascii="Times New Roman" w:hAnsi="Times New Roman" w:cs="Times New Roman"/>
          <w:sz w:val="20"/>
          <w:lang w:val="en-US"/>
        </w:rPr>
        <w:t>The authors state that they have no conflict of interest.</w:t>
      </w:r>
    </w:p>
    <w:p w14:paraId="00ECF40E" w14:textId="77777777" w:rsidR="00BC596D" w:rsidRPr="00D270BC" w:rsidRDefault="00BC596D" w:rsidP="00BC596D">
      <w:pPr>
        <w:spacing w:after="0"/>
        <w:jc w:val="both"/>
        <w:rPr>
          <w:rFonts w:ascii="Times New Roman" w:hAnsi="Times New Roman" w:cs="Times New Roman"/>
          <w:sz w:val="20"/>
          <w:lang w:val="en-US"/>
        </w:rPr>
      </w:pPr>
    </w:p>
    <w:p w14:paraId="1D5B677F" w14:textId="77777777" w:rsidR="00BC596D" w:rsidRPr="00D270BC" w:rsidRDefault="00BC596D" w:rsidP="00D270BC">
      <w:pPr>
        <w:pStyle w:val="ListeParagraf"/>
        <w:spacing w:after="0"/>
        <w:ind w:left="360"/>
        <w:jc w:val="both"/>
        <w:rPr>
          <w:rFonts w:ascii="Times New Roman" w:hAnsi="Times New Roman" w:cs="Times New Roman"/>
          <w:b/>
          <w:sz w:val="20"/>
          <w:lang w:val="en-US"/>
        </w:rPr>
      </w:pPr>
      <w:r w:rsidRPr="00D270BC">
        <w:rPr>
          <w:rFonts w:ascii="Times New Roman" w:hAnsi="Times New Roman" w:cs="Times New Roman"/>
          <w:b/>
          <w:sz w:val="20"/>
          <w:lang w:val="en-US"/>
        </w:rPr>
        <w:t>REFERENCES</w:t>
      </w:r>
    </w:p>
    <w:p w14:paraId="569E45A2" w14:textId="77777777" w:rsidR="00BC596D" w:rsidRPr="00D270BC" w:rsidRDefault="00BC596D" w:rsidP="00113439">
      <w:pPr>
        <w:spacing w:after="0"/>
        <w:jc w:val="both"/>
        <w:rPr>
          <w:rFonts w:ascii="Times New Roman" w:hAnsi="Times New Roman" w:cs="Times New Roman"/>
          <w:sz w:val="20"/>
          <w:lang w:val="en-US"/>
        </w:rPr>
      </w:pPr>
    </w:p>
    <w:p w14:paraId="10E23CAC" w14:textId="5136E8D1" w:rsidR="00BC596D" w:rsidRPr="00D270BC" w:rsidRDefault="00BC596D" w:rsidP="00D270BC">
      <w:pPr>
        <w:pStyle w:val="ListeParagraf"/>
        <w:numPr>
          <w:ilvl w:val="0"/>
          <w:numId w:val="1"/>
        </w:numPr>
        <w:spacing w:after="0"/>
        <w:ind w:left="360" w:right="397"/>
        <w:jc w:val="both"/>
        <w:rPr>
          <w:rFonts w:ascii="Times New Roman" w:hAnsi="Times New Roman" w:cs="Times New Roman"/>
          <w:sz w:val="20"/>
          <w:lang w:val="en-US"/>
        </w:rPr>
      </w:pPr>
      <w:proofErr w:type="spellStart"/>
      <w:r w:rsidRPr="00D270BC">
        <w:rPr>
          <w:rFonts w:ascii="Times New Roman" w:hAnsi="Times New Roman" w:cs="Times New Roman"/>
          <w:sz w:val="20"/>
          <w:lang w:val="en-US"/>
        </w:rPr>
        <w:t>Shiyko</w:t>
      </w:r>
      <w:proofErr w:type="spellEnd"/>
      <w:r w:rsidRPr="00D270BC">
        <w:rPr>
          <w:rFonts w:ascii="Times New Roman" w:hAnsi="Times New Roman" w:cs="Times New Roman"/>
          <w:sz w:val="20"/>
          <w:lang w:val="en-US"/>
        </w:rPr>
        <w:t xml:space="preserve"> M, Hallinan S, </w:t>
      </w:r>
      <w:proofErr w:type="spellStart"/>
      <w:r w:rsidRPr="00D270BC">
        <w:rPr>
          <w:rFonts w:ascii="Times New Roman" w:hAnsi="Times New Roman" w:cs="Times New Roman"/>
          <w:sz w:val="20"/>
          <w:lang w:val="en-US"/>
        </w:rPr>
        <w:t>Seif</w:t>
      </w:r>
      <w:proofErr w:type="spellEnd"/>
      <w:r w:rsidRPr="00D270BC">
        <w:rPr>
          <w:rFonts w:ascii="Times New Roman" w:hAnsi="Times New Roman" w:cs="Times New Roman"/>
          <w:sz w:val="20"/>
          <w:lang w:val="en-US"/>
        </w:rPr>
        <w:t xml:space="preserve"> El-Nasr M, Subramanian S, Castaneda-</w:t>
      </w:r>
      <w:proofErr w:type="spellStart"/>
      <w:r w:rsidRPr="00D270BC">
        <w:rPr>
          <w:rFonts w:ascii="Times New Roman" w:hAnsi="Times New Roman" w:cs="Times New Roman"/>
          <w:sz w:val="20"/>
          <w:lang w:val="en-US"/>
        </w:rPr>
        <w:t>Sceppa</w:t>
      </w:r>
      <w:proofErr w:type="spellEnd"/>
      <w:r w:rsidRPr="00D270BC">
        <w:rPr>
          <w:rFonts w:ascii="Times New Roman" w:hAnsi="Times New Roman" w:cs="Times New Roman"/>
          <w:sz w:val="20"/>
          <w:lang w:val="en-US"/>
        </w:rPr>
        <w:t xml:space="preserve"> C. Effects of Playing a Serious Computer Game on Body Mass Index and Nutrition Knowledge in Women. JMIR Serious Games 2016; 4: 8. DOI:10.2196/games.4977.</w:t>
      </w:r>
    </w:p>
    <w:p w14:paraId="523E41FD" w14:textId="77777777"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r w:rsidRPr="00D270BC">
        <w:rPr>
          <w:rFonts w:ascii="Times New Roman" w:hAnsi="Times New Roman" w:cs="Times New Roman"/>
          <w:sz w:val="20"/>
          <w:lang w:val="en-US"/>
        </w:rPr>
        <w:t>2</w:t>
      </w:r>
      <w:proofErr w:type="gramStart"/>
      <w:r w:rsidRPr="00D270BC">
        <w:rPr>
          <w:rFonts w:ascii="Times New Roman" w:hAnsi="Times New Roman" w:cs="Times New Roman"/>
          <w:sz w:val="20"/>
          <w:lang w:val="en-US"/>
        </w:rPr>
        <w:tab/>
        <w:t>.</w:t>
      </w:r>
      <w:proofErr w:type="spellStart"/>
      <w:r w:rsidRPr="00D270BC">
        <w:rPr>
          <w:rFonts w:ascii="Times New Roman" w:hAnsi="Times New Roman" w:cs="Times New Roman"/>
          <w:sz w:val="20"/>
          <w:lang w:val="en-US"/>
        </w:rPr>
        <w:t>Joslowski</w:t>
      </w:r>
      <w:proofErr w:type="spellEnd"/>
      <w:proofErr w:type="gramEnd"/>
      <w:r w:rsidRPr="00D270BC">
        <w:rPr>
          <w:rFonts w:ascii="Times New Roman" w:hAnsi="Times New Roman" w:cs="Times New Roman"/>
          <w:sz w:val="20"/>
          <w:lang w:val="en-US"/>
        </w:rPr>
        <w:t xml:space="preserve"> G, Halim J, </w:t>
      </w:r>
      <w:proofErr w:type="spellStart"/>
      <w:r w:rsidRPr="00D270BC">
        <w:rPr>
          <w:rFonts w:ascii="Times New Roman" w:hAnsi="Times New Roman" w:cs="Times New Roman"/>
          <w:sz w:val="20"/>
          <w:lang w:val="en-US"/>
        </w:rPr>
        <w:t>Goletzke</w:t>
      </w:r>
      <w:proofErr w:type="spellEnd"/>
      <w:r w:rsidRPr="00D270BC">
        <w:rPr>
          <w:rFonts w:ascii="Times New Roman" w:hAnsi="Times New Roman" w:cs="Times New Roman"/>
          <w:sz w:val="20"/>
          <w:lang w:val="en-US"/>
        </w:rPr>
        <w:t xml:space="preserve"> J, </w:t>
      </w:r>
      <w:proofErr w:type="spellStart"/>
      <w:r w:rsidRPr="00D270BC">
        <w:rPr>
          <w:rFonts w:ascii="Times New Roman" w:hAnsi="Times New Roman" w:cs="Times New Roman"/>
          <w:sz w:val="20"/>
          <w:lang w:val="en-US"/>
        </w:rPr>
        <w:t>Gow</w:t>
      </w:r>
      <w:proofErr w:type="spellEnd"/>
      <w:r w:rsidRPr="00D270BC">
        <w:rPr>
          <w:rFonts w:ascii="Times New Roman" w:hAnsi="Times New Roman" w:cs="Times New Roman"/>
          <w:sz w:val="20"/>
          <w:lang w:val="en-US"/>
        </w:rPr>
        <w:t xml:space="preserve"> M, Ho M, Louie JCY et al. Dietary glycemic load, insulin load, and weight loss in obese, insulin resistant adolescents: RESIST study. Clin </w:t>
      </w:r>
      <w:proofErr w:type="spellStart"/>
      <w:r w:rsidRPr="00D270BC">
        <w:rPr>
          <w:rFonts w:ascii="Times New Roman" w:hAnsi="Times New Roman" w:cs="Times New Roman"/>
          <w:sz w:val="20"/>
          <w:lang w:val="en-US"/>
        </w:rPr>
        <w:t>Nutr</w:t>
      </w:r>
      <w:proofErr w:type="spellEnd"/>
      <w:r w:rsidRPr="00D270BC">
        <w:rPr>
          <w:rFonts w:ascii="Times New Roman" w:hAnsi="Times New Roman" w:cs="Times New Roman"/>
          <w:sz w:val="20"/>
          <w:lang w:val="en-US"/>
        </w:rPr>
        <w:t xml:space="preserve"> 2015; 34: 89-94. DOI: 10.1016/j.clnu.2014.01.015. </w:t>
      </w:r>
    </w:p>
    <w:p w14:paraId="397666E5" w14:textId="428E71E4"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proofErr w:type="spellStart"/>
      <w:r w:rsidRPr="00D270BC">
        <w:rPr>
          <w:rFonts w:ascii="Times New Roman" w:hAnsi="Times New Roman" w:cs="Times New Roman"/>
          <w:sz w:val="20"/>
          <w:lang w:val="en-US"/>
        </w:rPr>
        <w:t>Alfadda</w:t>
      </w:r>
      <w:proofErr w:type="spellEnd"/>
      <w:r w:rsidRPr="00D270BC">
        <w:rPr>
          <w:rFonts w:ascii="Times New Roman" w:hAnsi="Times New Roman" w:cs="Times New Roman"/>
          <w:sz w:val="20"/>
          <w:lang w:val="en-US"/>
        </w:rPr>
        <w:t xml:space="preserve"> AA, Al-</w:t>
      </w:r>
      <w:proofErr w:type="spellStart"/>
      <w:r w:rsidRPr="00D270BC">
        <w:rPr>
          <w:rFonts w:ascii="Times New Roman" w:hAnsi="Times New Roman" w:cs="Times New Roman"/>
          <w:sz w:val="20"/>
          <w:lang w:val="en-US"/>
        </w:rPr>
        <w:t>Dhwayan</w:t>
      </w:r>
      <w:proofErr w:type="spellEnd"/>
      <w:r w:rsidRPr="00D270BC">
        <w:rPr>
          <w:rFonts w:ascii="Times New Roman" w:hAnsi="Times New Roman" w:cs="Times New Roman"/>
          <w:sz w:val="20"/>
          <w:lang w:val="en-US"/>
        </w:rPr>
        <w:t xml:space="preserve"> MM, Alharbi AA, Al </w:t>
      </w:r>
      <w:proofErr w:type="spellStart"/>
      <w:r w:rsidRPr="00D270BC">
        <w:rPr>
          <w:rFonts w:ascii="Times New Roman" w:hAnsi="Times New Roman" w:cs="Times New Roman"/>
          <w:sz w:val="20"/>
          <w:lang w:val="en-US"/>
        </w:rPr>
        <w:t>Khudhair</w:t>
      </w:r>
      <w:proofErr w:type="spellEnd"/>
      <w:r w:rsidRPr="00D270BC">
        <w:rPr>
          <w:rFonts w:ascii="Times New Roman" w:hAnsi="Times New Roman" w:cs="Times New Roman"/>
          <w:sz w:val="20"/>
          <w:lang w:val="en-US"/>
        </w:rPr>
        <w:t xml:space="preserve"> BK, Al </w:t>
      </w:r>
      <w:proofErr w:type="spellStart"/>
      <w:r w:rsidRPr="00D270BC">
        <w:rPr>
          <w:rFonts w:ascii="Times New Roman" w:hAnsi="Times New Roman" w:cs="Times New Roman"/>
          <w:sz w:val="20"/>
          <w:lang w:val="en-US"/>
        </w:rPr>
        <w:t>Nozha</w:t>
      </w:r>
      <w:proofErr w:type="spellEnd"/>
      <w:r w:rsidRPr="00D270BC">
        <w:rPr>
          <w:rFonts w:ascii="Times New Roman" w:hAnsi="Times New Roman" w:cs="Times New Roman"/>
          <w:sz w:val="20"/>
          <w:lang w:val="en-US"/>
        </w:rPr>
        <w:t xml:space="preserve"> OM, Al-Qahtani NM et al. The Saudi clinical practice guideline for the management of overweight and obesity in adults. Saudi med j 2016; 37:1151. DOI: 10.15537/smj.2016.10.14353.</w:t>
      </w:r>
    </w:p>
    <w:p w14:paraId="0E562CD2" w14:textId="6DB41B1B" w:rsidR="00BC596D" w:rsidRPr="00D270BC" w:rsidRDefault="00BC596D" w:rsidP="00D270BC">
      <w:pPr>
        <w:pStyle w:val="ListeParagraf"/>
        <w:numPr>
          <w:ilvl w:val="0"/>
          <w:numId w:val="1"/>
        </w:numPr>
        <w:spacing w:after="0"/>
        <w:ind w:left="360" w:right="-57"/>
        <w:jc w:val="both"/>
        <w:rPr>
          <w:rFonts w:ascii="Times New Roman" w:hAnsi="Times New Roman" w:cs="Times New Roman"/>
          <w:sz w:val="20"/>
          <w:lang w:val="en-US"/>
        </w:rPr>
      </w:pPr>
      <w:r w:rsidRPr="00D270BC">
        <w:rPr>
          <w:rFonts w:ascii="Times New Roman" w:hAnsi="Times New Roman" w:cs="Times New Roman"/>
          <w:sz w:val="20"/>
          <w:lang w:val="en-US"/>
        </w:rPr>
        <w:t>Arroyo-Johnson C, Mincey KD. Obesity Epidemiology Worldwide. Gastroenterol Clin North Am 2016; 45: 571-9. Gastroenterol Clin N Am 45 (2016) 571–579. DOI: 10.1016/j.gtc.2016.07.012</w:t>
      </w:r>
    </w:p>
    <w:p w14:paraId="1B022EA9" w14:textId="3180CE80" w:rsidR="00BC596D" w:rsidRPr="00D270BC" w:rsidRDefault="00BC596D" w:rsidP="00D270BC">
      <w:pPr>
        <w:pStyle w:val="ListeParagraf"/>
        <w:numPr>
          <w:ilvl w:val="0"/>
          <w:numId w:val="1"/>
        </w:numPr>
        <w:spacing w:after="0"/>
        <w:ind w:left="360" w:right="113"/>
        <w:jc w:val="both"/>
        <w:rPr>
          <w:rFonts w:ascii="Times New Roman" w:hAnsi="Times New Roman" w:cs="Times New Roman"/>
          <w:sz w:val="20"/>
          <w:lang w:val="en-US"/>
        </w:rPr>
      </w:pPr>
      <w:r w:rsidRPr="00D270BC">
        <w:rPr>
          <w:rFonts w:ascii="Times New Roman" w:hAnsi="Times New Roman" w:cs="Times New Roman"/>
          <w:sz w:val="20"/>
          <w:lang w:val="en-US"/>
        </w:rPr>
        <w:t xml:space="preserve">Wan CS, Ward LC, Halim J, Glow ML, Ho M, </w:t>
      </w:r>
      <w:proofErr w:type="spellStart"/>
      <w:r w:rsidRPr="00D270BC">
        <w:rPr>
          <w:rFonts w:ascii="Times New Roman" w:hAnsi="Times New Roman" w:cs="Times New Roman"/>
          <w:sz w:val="20"/>
          <w:lang w:val="en-US"/>
        </w:rPr>
        <w:t>Briody</w:t>
      </w:r>
      <w:proofErr w:type="spellEnd"/>
      <w:r w:rsidRPr="00D270BC">
        <w:rPr>
          <w:rFonts w:ascii="Times New Roman" w:hAnsi="Times New Roman" w:cs="Times New Roman"/>
          <w:sz w:val="20"/>
          <w:lang w:val="en-US"/>
        </w:rPr>
        <w:t xml:space="preserve"> JN et al. Bioelectrical impedance analysis to estimate body composition, and change in adiposity, in overweight and obese adolescents: comparison with dual-energy x-ray absorptiometry. </w:t>
      </w:r>
      <w:proofErr w:type="spellStart"/>
      <w:r w:rsidRPr="00D270BC">
        <w:rPr>
          <w:rFonts w:ascii="Times New Roman" w:hAnsi="Times New Roman" w:cs="Times New Roman"/>
          <w:sz w:val="20"/>
          <w:lang w:val="en-US"/>
        </w:rPr>
        <w:t>Bmc</w:t>
      </w:r>
      <w:proofErr w:type="spellEnd"/>
      <w:r w:rsidRPr="00D270BC">
        <w:rPr>
          <w:rFonts w:ascii="Times New Roman" w:hAnsi="Times New Roman" w:cs="Times New Roman"/>
          <w:sz w:val="20"/>
          <w:lang w:val="en-US"/>
        </w:rPr>
        <w:t xml:space="preserve"> </w:t>
      </w:r>
      <w:proofErr w:type="spellStart"/>
      <w:r w:rsidRPr="00D270BC">
        <w:rPr>
          <w:rFonts w:ascii="Times New Roman" w:hAnsi="Times New Roman" w:cs="Times New Roman"/>
          <w:sz w:val="20"/>
          <w:lang w:val="en-US"/>
        </w:rPr>
        <w:t>Pediatr</w:t>
      </w:r>
      <w:proofErr w:type="spellEnd"/>
      <w:r w:rsidRPr="00D270BC">
        <w:rPr>
          <w:rFonts w:ascii="Times New Roman" w:hAnsi="Times New Roman" w:cs="Times New Roman"/>
          <w:sz w:val="20"/>
          <w:lang w:val="en-US"/>
        </w:rPr>
        <w:t xml:space="preserve"> 2014; 14.1: 249. https://doi.org/10.1186/1471-2431-14-249.</w:t>
      </w:r>
    </w:p>
    <w:p w14:paraId="3DC4CFFA" w14:textId="357EC95C"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r w:rsidRPr="00D270BC">
        <w:rPr>
          <w:rFonts w:ascii="Times New Roman" w:hAnsi="Times New Roman" w:cs="Times New Roman"/>
          <w:sz w:val="20"/>
          <w:lang w:val="en-US"/>
        </w:rPr>
        <w:t xml:space="preserve">Nakade M, </w:t>
      </w:r>
      <w:proofErr w:type="spellStart"/>
      <w:r w:rsidRPr="00D270BC">
        <w:rPr>
          <w:rFonts w:ascii="Times New Roman" w:hAnsi="Times New Roman" w:cs="Times New Roman"/>
          <w:sz w:val="20"/>
          <w:lang w:val="en-US"/>
        </w:rPr>
        <w:t>Aiba</w:t>
      </w:r>
      <w:proofErr w:type="spellEnd"/>
      <w:r w:rsidRPr="00D270BC">
        <w:rPr>
          <w:rFonts w:ascii="Times New Roman" w:hAnsi="Times New Roman" w:cs="Times New Roman"/>
          <w:sz w:val="20"/>
          <w:lang w:val="en-US"/>
        </w:rPr>
        <w:t xml:space="preserve"> N, </w:t>
      </w:r>
      <w:proofErr w:type="spellStart"/>
      <w:r w:rsidRPr="00D270BC">
        <w:rPr>
          <w:rFonts w:ascii="Times New Roman" w:hAnsi="Times New Roman" w:cs="Times New Roman"/>
          <w:sz w:val="20"/>
          <w:lang w:val="en-US"/>
        </w:rPr>
        <w:t>Suda</w:t>
      </w:r>
      <w:proofErr w:type="spellEnd"/>
      <w:r w:rsidRPr="00D270BC">
        <w:rPr>
          <w:rFonts w:ascii="Times New Roman" w:hAnsi="Times New Roman" w:cs="Times New Roman"/>
          <w:sz w:val="20"/>
          <w:lang w:val="en-US"/>
        </w:rPr>
        <w:t xml:space="preserve"> N, Morita A, Miyachi M, Sasaki S et al. Behavioral change during weight loss program and one-year follow-up: </w:t>
      </w:r>
      <w:proofErr w:type="spellStart"/>
      <w:r w:rsidRPr="00D270BC">
        <w:rPr>
          <w:rFonts w:ascii="Times New Roman" w:hAnsi="Times New Roman" w:cs="Times New Roman"/>
          <w:sz w:val="20"/>
          <w:lang w:val="en-US"/>
        </w:rPr>
        <w:t>Saku</w:t>
      </w:r>
      <w:proofErr w:type="spellEnd"/>
      <w:r w:rsidRPr="00D270BC">
        <w:rPr>
          <w:rFonts w:ascii="Times New Roman" w:hAnsi="Times New Roman" w:cs="Times New Roman"/>
          <w:sz w:val="20"/>
          <w:lang w:val="en-US"/>
        </w:rPr>
        <w:t xml:space="preserve"> Control Obesity Program (SCOP) in Japan. Asia Pac J Clin </w:t>
      </w:r>
      <w:proofErr w:type="spellStart"/>
      <w:r w:rsidRPr="00D270BC">
        <w:rPr>
          <w:rFonts w:ascii="Times New Roman" w:hAnsi="Times New Roman" w:cs="Times New Roman"/>
          <w:sz w:val="20"/>
          <w:lang w:val="en-US"/>
        </w:rPr>
        <w:t>Nutr</w:t>
      </w:r>
      <w:proofErr w:type="spellEnd"/>
      <w:r w:rsidRPr="00D270BC">
        <w:rPr>
          <w:rFonts w:ascii="Times New Roman" w:hAnsi="Times New Roman" w:cs="Times New Roman"/>
          <w:sz w:val="20"/>
          <w:lang w:val="en-US"/>
        </w:rPr>
        <w:t xml:space="preserve"> 2012; 21: 22-34. DOI:10.6133/apjcn.2012.21.1.04.</w:t>
      </w:r>
    </w:p>
    <w:p w14:paraId="426B87B5" w14:textId="5BFFA57D"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proofErr w:type="spellStart"/>
      <w:r w:rsidRPr="00D270BC">
        <w:rPr>
          <w:rFonts w:ascii="Times New Roman" w:hAnsi="Times New Roman" w:cs="Times New Roman"/>
          <w:sz w:val="20"/>
          <w:lang w:val="en-US"/>
        </w:rPr>
        <w:t>Ard</w:t>
      </w:r>
      <w:proofErr w:type="spellEnd"/>
      <w:r w:rsidRPr="00D270BC">
        <w:rPr>
          <w:rFonts w:ascii="Times New Roman" w:hAnsi="Times New Roman" w:cs="Times New Roman"/>
          <w:sz w:val="20"/>
          <w:lang w:val="en-US"/>
        </w:rPr>
        <w:t xml:space="preserve"> J. Obesity in the US: what is the best role for primary care? Brit Med J 2015; 350: 7846. </w:t>
      </w:r>
      <w:proofErr w:type="spellStart"/>
      <w:r w:rsidRPr="00D270BC">
        <w:rPr>
          <w:rFonts w:ascii="Times New Roman" w:hAnsi="Times New Roman" w:cs="Times New Roman"/>
          <w:sz w:val="20"/>
          <w:lang w:val="en-US"/>
        </w:rPr>
        <w:t>doi</w:t>
      </w:r>
      <w:proofErr w:type="spellEnd"/>
      <w:r w:rsidRPr="00D270BC">
        <w:rPr>
          <w:rFonts w:ascii="Times New Roman" w:hAnsi="Times New Roman" w:cs="Times New Roman"/>
          <w:sz w:val="20"/>
          <w:lang w:val="en-US"/>
        </w:rPr>
        <w:t xml:space="preserve">: https://doi.org/10.1136/bmj.g7846. </w:t>
      </w:r>
    </w:p>
    <w:p w14:paraId="3241F515" w14:textId="797C88CB"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proofErr w:type="spellStart"/>
      <w:r w:rsidRPr="00D270BC">
        <w:rPr>
          <w:rFonts w:ascii="Times New Roman" w:hAnsi="Times New Roman" w:cs="Times New Roman"/>
          <w:sz w:val="20"/>
          <w:lang w:val="en-US"/>
        </w:rPr>
        <w:t>Ockene</w:t>
      </w:r>
      <w:proofErr w:type="spellEnd"/>
      <w:r w:rsidRPr="00D270BC">
        <w:rPr>
          <w:rFonts w:ascii="Times New Roman" w:hAnsi="Times New Roman" w:cs="Times New Roman"/>
          <w:sz w:val="20"/>
          <w:lang w:val="en-US"/>
        </w:rPr>
        <w:t xml:space="preserve"> IS, Hebert JR, </w:t>
      </w:r>
      <w:proofErr w:type="spellStart"/>
      <w:r w:rsidRPr="00D270BC">
        <w:rPr>
          <w:rFonts w:ascii="Times New Roman" w:hAnsi="Times New Roman" w:cs="Times New Roman"/>
          <w:sz w:val="20"/>
          <w:lang w:val="en-US"/>
        </w:rPr>
        <w:t>Ockene</w:t>
      </w:r>
      <w:proofErr w:type="spellEnd"/>
      <w:r w:rsidRPr="00D270BC">
        <w:rPr>
          <w:rFonts w:ascii="Times New Roman" w:hAnsi="Times New Roman" w:cs="Times New Roman"/>
          <w:sz w:val="20"/>
          <w:lang w:val="en-US"/>
        </w:rPr>
        <w:t xml:space="preserve"> JK, </w:t>
      </w:r>
      <w:proofErr w:type="spellStart"/>
      <w:r w:rsidRPr="00D270BC">
        <w:rPr>
          <w:rFonts w:ascii="Times New Roman" w:hAnsi="Times New Roman" w:cs="Times New Roman"/>
          <w:sz w:val="20"/>
          <w:lang w:val="en-US"/>
        </w:rPr>
        <w:t>Saperia</w:t>
      </w:r>
      <w:proofErr w:type="spellEnd"/>
      <w:r w:rsidRPr="00D270BC">
        <w:rPr>
          <w:rFonts w:ascii="Times New Roman" w:hAnsi="Times New Roman" w:cs="Times New Roman"/>
          <w:sz w:val="20"/>
          <w:lang w:val="en-US"/>
        </w:rPr>
        <w:t xml:space="preserve"> GM, Stanek E, Nicolosi R et al. Effect of physician-delivered nutrition counseling training and an office-support program on saturated fat intake, weight, and serum lipid measurements in a hyperlipidemic population: Worcester Area Trial for Counseling in Hyperlipidemia (WATCH). Arch Intern Med 1999; 159: 725-31. DOI:10.1001/archinte.159.7.725.</w:t>
      </w:r>
    </w:p>
    <w:p w14:paraId="276407AA" w14:textId="3998D287"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r w:rsidRPr="00D270BC">
        <w:rPr>
          <w:rFonts w:ascii="Times New Roman" w:hAnsi="Times New Roman" w:cs="Times New Roman"/>
          <w:sz w:val="20"/>
          <w:lang w:val="en-US"/>
        </w:rPr>
        <w:t xml:space="preserve">Tsai AG, </w:t>
      </w:r>
      <w:proofErr w:type="spellStart"/>
      <w:r w:rsidRPr="00D270BC">
        <w:rPr>
          <w:rFonts w:ascii="Times New Roman" w:hAnsi="Times New Roman" w:cs="Times New Roman"/>
          <w:sz w:val="20"/>
          <w:lang w:val="en-US"/>
        </w:rPr>
        <w:t>Wadden</w:t>
      </w:r>
      <w:proofErr w:type="spellEnd"/>
      <w:r w:rsidRPr="00D270BC">
        <w:rPr>
          <w:rFonts w:ascii="Times New Roman" w:hAnsi="Times New Roman" w:cs="Times New Roman"/>
          <w:sz w:val="20"/>
          <w:lang w:val="en-US"/>
        </w:rPr>
        <w:t xml:space="preserve"> TA, Rogers MA, Day SC, Moore RH, Islam BJ. A primary care intervention for weight loss: results of a randomized controlled pilot study. Obesity 2010; 18: 1614-8. https://doi.org/10.1038/oby.2009.457.</w:t>
      </w:r>
    </w:p>
    <w:p w14:paraId="4386C0DA" w14:textId="36D14568"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r w:rsidRPr="00D270BC">
        <w:rPr>
          <w:rFonts w:ascii="Times New Roman" w:hAnsi="Times New Roman" w:cs="Times New Roman"/>
          <w:sz w:val="20"/>
          <w:lang w:val="en-US"/>
        </w:rPr>
        <w:t xml:space="preserve">Tsai AG, </w:t>
      </w:r>
      <w:proofErr w:type="spellStart"/>
      <w:r w:rsidRPr="00D270BC">
        <w:rPr>
          <w:rFonts w:ascii="Times New Roman" w:hAnsi="Times New Roman" w:cs="Times New Roman"/>
          <w:sz w:val="20"/>
          <w:lang w:val="en-US"/>
        </w:rPr>
        <w:t>Wadden</w:t>
      </w:r>
      <w:proofErr w:type="spellEnd"/>
      <w:r w:rsidRPr="00D270BC">
        <w:rPr>
          <w:rFonts w:ascii="Times New Roman" w:hAnsi="Times New Roman" w:cs="Times New Roman"/>
          <w:sz w:val="20"/>
          <w:lang w:val="en-US"/>
        </w:rPr>
        <w:t xml:space="preserve"> TA. Treatment of obesity in primary care practice in the United States: a systematic review. J Gen Intern Med 2009; 24: 1073-9. DOI: 10.1007/s11606-009-1042-5.</w:t>
      </w:r>
    </w:p>
    <w:p w14:paraId="23A13899" w14:textId="77777777" w:rsidR="00BC596D" w:rsidRPr="00D270BC" w:rsidRDefault="00BC596D" w:rsidP="00113439">
      <w:pPr>
        <w:spacing w:after="0"/>
        <w:jc w:val="both"/>
        <w:rPr>
          <w:rFonts w:ascii="Times New Roman" w:hAnsi="Times New Roman" w:cs="Times New Roman"/>
          <w:sz w:val="20"/>
          <w:lang w:val="en-US"/>
        </w:rPr>
      </w:pPr>
    </w:p>
    <w:p w14:paraId="7B051168" w14:textId="156081BF"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r w:rsidRPr="00D270BC">
        <w:rPr>
          <w:rFonts w:ascii="Times New Roman" w:hAnsi="Times New Roman" w:cs="Times New Roman"/>
          <w:sz w:val="20"/>
          <w:lang w:val="en-US"/>
        </w:rPr>
        <w:t xml:space="preserve">Jensen MD, Ryan DH, </w:t>
      </w:r>
      <w:proofErr w:type="spellStart"/>
      <w:r w:rsidRPr="00D270BC">
        <w:rPr>
          <w:rFonts w:ascii="Times New Roman" w:hAnsi="Times New Roman" w:cs="Times New Roman"/>
          <w:sz w:val="20"/>
          <w:lang w:val="en-US"/>
        </w:rPr>
        <w:t>Apovian</w:t>
      </w:r>
      <w:proofErr w:type="spellEnd"/>
      <w:r w:rsidRPr="00D270BC">
        <w:rPr>
          <w:rFonts w:ascii="Times New Roman" w:hAnsi="Times New Roman" w:cs="Times New Roman"/>
          <w:sz w:val="20"/>
          <w:lang w:val="en-US"/>
        </w:rPr>
        <w:t xml:space="preserve"> CM, </w:t>
      </w:r>
      <w:proofErr w:type="spellStart"/>
      <w:r w:rsidRPr="00D270BC">
        <w:rPr>
          <w:rFonts w:ascii="Times New Roman" w:hAnsi="Times New Roman" w:cs="Times New Roman"/>
          <w:sz w:val="20"/>
          <w:lang w:val="en-US"/>
        </w:rPr>
        <w:t>Ard</w:t>
      </w:r>
      <w:proofErr w:type="spellEnd"/>
      <w:r w:rsidRPr="00D270BC">
        <w:rPr>
          <w:rFonts w:ascii="Times New Roman" w:hAnsi="Times New Roman" w:cs="Times New Roman"/>
          <w:sz w:val="20"/>
          <w:lang w:val="en-US"/>
        </w:rPr>
        <w:t xml:space="preserve"> JD, </w:t>
      </w:r>
      <w:proofErr w:type="spellStart"/>
      <w:r w:rsidRPr="00D270BC">
        <w:rPr>
          <w:rFonts w:ascii="Times New Roman" w:hAnsi="Times New Roman" w:cs="Times New Roman"/>
          <w:sz w:val="20"/>
          <w:lang w:val="en-US"/>
        </w:rPr>
        <w:t>Comuzzie</w:t>
      </w:r>
      <w:proofErr w:type="spellEnd"/>
      <w:r w:rsidRPr="00D270BC">
        <w:rPr>
          <w:rFonts w:ascii="Times New Roman" w:hAnsi="Times New Roman" w:cs="Times New Roman"/>
          <w:sz w:val="20"/>
          <w:lang w:val="en-US"/>
        </w:rPr>
        <w:t xml:space="preserve"> AG, Donato KA, et al. 2013 AHA/ACC/TOS Guideline for the Management of Overweight and Obesity in Adults. Circulation 2014; 129 (Suppl 2): 102-38. DOI: 10.1016/j.jacc.2013.11.004.</w:t>
      </w:r>
    </w:p>
    <w:p w14:paraId="0C79BC18" w14:textId="325E437F" w:rsidR="00BC596D" w:rsidRPr="00D270BC" w:rsidRDefault="00BC596D" w:rsidP="00D270BC">
      <w:pPr>
        <w:pStyle w:val="ListeParagraf"/>
        <w:numPr>
          <w:ilvl w:val="0"/>
          <w:numId w:val="1"/>
        </w:numPr>
        <w:spacing w:after="0"/>
        <w:ind w:left="360"/>
        <w:jc w:val="both"/>
        <w:rPr>
          <w:rFonts w:ascii="Times New Roman" w:hAnsi="Times New Roman" w:cs="Times New Roman"/>
          <w:sz w:val="20"/>
          <w:lang w:val="en-US"/>
        </w:rPr>
      </w:pPr>
      <w:proofErr w:type="spellStart"/>
      <w:r w:rsidRPr="00D270BC">
        <w:rPr>
          <w:rFonts w:ascii="Times New Roman" w:hAnsi="Times New Roman" w:cs="Times New Roman"/>
          <w:sz w:val="20"/>
          <w:lang w:val="en-US"/>
        </w:rPr>
        <w:t>Wadden</w:t>
      </w:r>
      <w:proofErr w:type="spellEnd"/>
      <w:r w:rsidRPr="00D270BC">
        <w:rPr>
          <w:rFonts w:ascii="Times New Roman" w:hAnsi="Times New Roman" w:cs="Times New Roman"/>
          <w:sz w:val="20"/>
          <w:lang w:val="en-US"/>
        </w:rPr>
        <w:t xml:space="preserve"> TA, </w:t>
      </w:r>
      <w:proofErr w:type="spellStart"/>
      <w:r w:rsidRPr="00D270BC">
        <w:rPr>
          <w:rFonts w:ascii="Times New Roman" w:hAnsi="Times New Roman" w:cs="Times New Roman"/>
          <w:sz w:val="20"/>
          <w:lang w:val="en-US"/>
        </w:rPr>
        <w:t>Volger</w:t>
      </w:r>
      <w:proofErr w:type="spellEnd"/>
      <w:r w:rsidRPr="00D270BC">
        <w:rPr>
          <w:rFonts w:ascii="Times New Roman" w:hAnsi="Times New Roman" w:cs="Times New Roman"/>
          <w:sz w:val="20"/>
          <w:lang w:val="en-US"/>
        </w:rPr>
        <w:t xml:space="preserve"> S, </w:t>
      </w:r>
      <w:proofErr w:type="spellStart"/>
      <w:r w:rsidRPr="00D270BC">
        <w:rPr>
          <w:rFonts w:ascii="Times New Roman" w:hAnsi="Times New Roman" w:cs="Times New Roman"/>
          <w:sz w:val="20"/>
          <w:lang w:val="en-US"/>
        </w:rPr>
        <w:t>Sarwer</w:t>
      </w:r>
      <w:proofErr w:type="spellEnd"/>
      <w:r w:rsidRPr="00D270BC">
        <w:rPr>
          <w:rFonts w:ascii="Times New Roman" w:hAnsi="Times New Roman" w:cs="Times New Roman"/>
          <w:sz w:val="20"/>
          <w:lang w:val="en-US"/>
        </w:rPr>
        <w:t xml:space="preserve"> DB, Vetter ML, Tsai AG, Berkowitz RI, et al. A two-year randomized trial of obesity treatment in primary care practice. New </w:t>
      </w:r>
      <w:proofErr w:type="spellStart"/>
      <w:r w:rsidRPr="00D270BC">
        <w:rPr>
          <w:rFonts w:ascii="Times New Roman" w:hAnsi="Times New Roman" w:cs="Times New Roman"/>
          <w:sz w:val="20"/>
          <w:lang w:val="en-US"/>
        </w:rPr>
        <w:t>Engl</w:t>
      </w:r>
      <w:proofErr w:type="spellEnd"/>
      <w:r w:rsidRPr="00D270BC">
        <w:rPr>
          <w:rFonts w:ascii="Times New Roman" w:hAnsi="Times New Roman" w:cs="Times New Roman"/>
          <w:sz w:val="20"/>
          <w:lang w:val="en-US"/>
        </w:rPr>
        <w:t xml:space="preserve"> J Med 2011; 365: 1969-79. DOI: 10.1056/NEJMoa</w:t>
      </w:r>
      <w:proofErr w:type="gramStart"/>
      <w:r w:rsidRPr="00D270BC">
        <w:rPr>
          <w:rFonts w:ascii="Times New Roman" w:hAnsi="Times New Roman" w:cs="Times New Roman"/>
          <w:sz w:val="20"/>
          <w:lang w:val="en-US"/>
        </w:rPr>
        <w:t>1109220 .</w:t>
      </w:r>
      <w:proofErr w:type="gramEnd"/>
      <w:r w:rsidRPr="00D270BC">
        <w:rPr>
          <w:rFonts w:ascii="Times New Roman" w:hAnsi="Times New Roman" w:cs="Times New Roman"/>
          <w:sz w:val="20"/>
          <w:lang w:val="en-US"/>
        </w:rPr>
        <w:t> </w:t>
      </w:r>
    </w:p>
    <w:sectPr w:rsidR="00BC596D" w:rsidRPr="00D270BC" w:rsidSect="00BC596D">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92A3" w14:textId="77777777" w:rsidR="00DF4E4E" w:rsidRDefault="00DF4E4E" w:rsidP="00CD73CE">
      <w:pPr>
        <w:spacing w:after="0" w:line="240" w:lineRule="auto"/>
      </w:pPr>
      <w:r>
        <w:separator/>
      </w:r>
    </w:p>
  </w:endnote>
  <w:endnote w:type="continuationSeparator" w:id="0">
    <w:p w14:paraId="41846FE9" w14:textId="77777777" w:rsidR="00DF4E4E" w:rsidRDefault="00DF4E4E" w:rsidP="00CD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F055" w14:textId="77777777" w:rsidR="00D270BC" w:rsidRDefault="00D270BC"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47A5BE9" w14:textId="77777777" w:rsidR="00D270BC" w:rsidRDefault="00D270BC" w:rsidP="00D270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4BBEE" w14:textId="77777777" w:rsidR="00D270BC" w:rsidRDefault="00D270BC"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191</w:t>
    </w:r>
    <w:r>
      <w:rPr>
        <w:rStyle w:val="SayfaNumaras"/>
      </w:rPr>
      <w:fldChar w:fldCharType="end"/>
    </w:r>
  </w:p>
  <w:p w14:paraId="2BDC8DC4" w14:textId="4E11A9BF" w:rsidR="00CD73CE" w:rsidRDefault="007D1B47" w:rsidP="00D270BC">
    <w:pPr>
      <w:pStyle w:val="AltBilgi"/>
      <w:ind w:right="360"/>
    </w:pPr>
    <w:r>
      <w:rPr>
        <w:rFonts w:ascii="Times New Roman" w:hAnsi="Times New Roman" w:cs="Times New Roman"/>
        <w:color w:val="808080" w:themeColor="background1" w:themeShade="80"/>
      </w:rPr>
      <w:tab/>
    </w:r>
    <w:r w:rsidR="00113439">
      <w:rPr>
        <w:rFonts w:ascii="Times New Roman" w:hAnsi="Times New Roman" w:cs="Times New Roman"/>
        <w:color w:val="808080" w:themeColor="background1" w:themeShade="80"/>
      </w:rPr>
      <w:t>Ateş</w:t>
    </w:r>
    <w:r w:rsidR="00113439" w:rsidRPr="002A38BF">
      <w:rPr>
        <w:rFonts w:ascii="Times New Roman" w:hAnsi="Times New Roman" w:cs="Times New Roman"/>
        <w:color w:val="808080" w:themeColor="background1" w:themeShade="80"/>
      </w:rPr>
      <w:t xml:space="preserve"> </w:t>
    </w:r>
    <w:r w:rsidR="00CD73CE" w:rsidRPr="002A38BF">
      <w:rPr>
        <w:rFonts w:ascii="Times New Roman" w:hAnsi="Times New Roman" w:cs="Times New Roman"/>
        <w:color w:val="808080" w:themeColor="background1" w:themeShade="80"/>
      </w:rPr>
      <w:t>et al., TJFMPC www.tjfmpc.gen.tr 2019; 13(</w:t>
    </w:r>
    <w:r w:rsidR="00CD73CE">
      <w:rPr>
        <w:rFonts w:ascii="Times New Roman" w:hAnsi="Times New Roman" w:cs="Times New Roman"/>
        <w:color w:val="808080" w:themeColor="background1" w:themeShade="80"/>
      </w:rPr>
      <w:t>2</w:t>
    </w:r>
    <w:r w:rsidR="00CD73CE" w:rsidRPr="002A38BF">
      <w:rPr>
        <w:rFonts w:ascii="Times New Roman" w:hAnsi="Times New Roman" w:cs="Times New Roman"/>
        <w:color w:val="808080" w:themeColor="background1"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2C9D7" w14:textId="77777777" w:rsidR="00DF4E4E" w:rsidRDefault="00DF4E4E" w:rsidP="00CD73CE">
      <w:pPr>
        <w:spacing w:after="0" w:line="240" w:lineRule="auto"/>
      </w:pPr>
      <w:r>
        <w:separator/>
      </w:r>
    </w:p>
  </w:footnote>
  <w:footnote w:type="continuationSeparator" w:id="0">
    <w:p w14:paraId="51B0B238" w14:textId="77777777" w:rsidR="00DF4E4E" w:rsidRDefault="00DF4E4E" w:rsidP="00CD7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4003"/>
    <w:multiLevelType w:val="hybridMultilevel"/>
    <w:tmpl w:val="FCC22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2520B1"/>
    <w:multiLevelType w:val="hybridMultilevel"/>
    <w:tmpl w:val="54F80D64"/>
    <w:lvl w:ilvl="0" w:tplc="3A64721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DEA"/>
    <w:rsid w:val="00031D83"/>
    <w:rsid w:val="000978CD"/>
    <w:rsid w:val="00097B51"/>
    <w:rsid w:val="000F0C4A"/>
    <w:rsid w:val="00113439"/>
    <w:rsid w:val="0013463F"/>
    <w:rsid w:val="001834B6"/>
    <w:rsid w:val="002263E5"/>
    <w:rsid w:val="003F6C6D"/>
    <w:rsid w:val="00516597"/>
    <w:rsid w:val="005D0150"/>
    <w:rsid w:val="0067387D"/>
    <w:rsid w:val="00792FB1"/>
    <w:rsid w:val="007D1B47"/>
    <w:rsid w:val="00862163"/>
    <w:rsid w:val="009F1C00"/>
    <w:rsid w:val="00A85F1B"/>
    <w:rsid w:val="00BC596D"/>
    <w:rsid w:val="00C02830"/>
    <w:rsid w:val="00CD73CE"/>
    <w:rsid w:val="00D142DD"/>
    <w:rsid w:val="00D270BC"/>
    <w:rsid w:val="00DB1DEA"/>
    <w:rsid w:val="00DF4E4E"/>
    <w:rsid w:val="00E946CB"/>
    <w:rsid w:val="00EC0AB8"/>
    <w:rsid w:val="00ED259E"/>
    <w:rsid w:val="00EF7890"/>
    <w:rsid w:val="00F253AB"/>
    <w:rsid w:val="00F7346F"/>
    <w:rsid w:val="00F749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39B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1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1DEA"/>
    <w:rPr>
      <w:rFonts w:ascii="Tahoma" w:hAnsi="Tahoma" w:cs="Tahoma"/>
      <w:sz w:val="16"/>
      <w:szCs w:val="16"/>
    </w:rPr>
  </w:style>
  <w:style w:type="paragraph" w:styleId="stBilgi">
    <w:name w:val="header"/>
    <w:basedOn w:val="Normal"/>
    <w:link w:val="stBilgiChar"/>
    <w:uiPriority w:val="99"/>
    <w:unhideWhenUsed/>
    <w:rsid w:val="00DB1D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1DEA"/>
  </w:style>
  <w:style w:type="character" w:styleId="Kpr">
    <w:name w:val="Hyperlink"/>
    <w:basedOn w:val="VarsaylanParagrafYazTipi"/>
    <w:uiPriority w:val="99"/>
    <w:unhideWhenUsed/>
    <w:rsid w:val="00516597"/>
    <w:rPr>
      <w:color w:val="0000FF" w:themeColor="hyperlink"/>
      <w:u w:val="single"/>
    </w:rPr>
  </w:style>
  <w:style w:type="paragraph" w:styleId="ListeParagraf">
    <w:name w:val="List Paragraph"/>
    <w:basedOn w:val="Normal"/>
    <w:uiPriority w:val="34"/>
    <w:qFormat/>
    <w:rsid w:val="00ED259E"/>
    <w:pPr>
      <w:ind w:left="720"/>
      <w:contextualSpacing/>
    </w:pPr>
  </w:style>
  <w:style w:type="paragraph" w:styleId="AltBilgi">
    <w:name w:val="footer"/>
    <w:basedOn w:val="Normal"/>
    <w:link w:val="AltBilgiChar"/>
    <w:uiPriority w:val="99"/>
    <w:unhideWhenUsed/>
    <w:rsid w:val="00CD73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73CE"/>
  </w:style>
  <w:style w:type="character" w:styleId="SayfaNumaras">
    <w:name w:val="page number"/>
    <w:basedOn w:val="VarsaylanParagrafYazTipi"/>
    <w:uiPriority w:val="99"/>
    <w:semiHidden/>
    <w:unhideWhenUsed/>
    <w:rsid w:val="00D2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2269">
      <w:bodyDiv w:val="1"/>
      <w:marLeft w:val="0"/>
      <w:marRight w:val="0"/>
      <w:marTop w:val="0"/>
      <w:marBottom w:val="0"/>
      <w:divBdr>
        <w:top w:val="none" w:sz="0" w:space="0" w:color="auto"/>
        <w:left w:val="none" w:sz="0" w:space="0" w:color="auto"/>
        <w:bottom w:val="none" w:sz="0" w:space="0" w:color="auto"/>
        <w:right w:val="none" w:sz="0" w:space="0" w:color="auto"/>
      </w:divBdr>
    </w:div>
    <w:div w:id="703601534">
      <w:bodyDiv w:val="1"/>
      <w:marLeft w:val="0"/>
      <w:marRight w:val="0"/>
      <w:marTop w:val="0"/>
      <w:marBottom w:val="0"/>
      <w:divBdr>
        <w:top w:val="none" w:sz="0" w:space="0" w:color="auto"/>
        <w:left w:val="none" w:sz="0" w:space="0" w:color="auto"/>
        <w:bottom w:val="none" w:sz="0" w:space="0" w:color="auto"/>
        <w:right w:val="none" w:sz="0" w:space="0" w:color="auto"/>
      </w:divBdr>
    </w:div>
    <w:div w:id="865826214">
      <w:bodyDiv w:val="1"/>
      <w:marLeft w:val="0"/>
      <w:marRight w:val="0"/>
      <w:marTop w:val="0"/>
      <w:marBottom w:val="0"/>
      <w:divBdr>
        <w:top w:val="none" w:sz="0" w:space="0" w:color="auto"/>
        <w:left w:val="none" w:sz="0" w:space="0" w:color="auto"/>
        <w:bottom w:val="none" w:sz="0" w:space="0" w:color="auto"/>
        <w:right w:val="none" w:sz="0" w:space="0" w:color="auto"/>
      </w:divBdr>
    </w:div>
    <w:div w:id="1065908698">
      <w:bodyDiv w:val="1"/>
      <w:marLeft w:val="0"/>
      <w:marRight w:val="0"/>
      <w:marTop w:val="0"/>
      <w:marBottom w:val="0"/>
      <w:divBdr>
        <w:top w:val="none" w:sz="0" w:space="0" w:color="auto"/>
        <w:left w:val="none" w:sz="0" w:space="0" w:color="auto"/>
        <w:bottom w:val="none" w:sz="0" w:space="0" w:color="auto"/>
        <w:right w:val="none" w:sz="0" w:space="0" w:color="auto"/>
      </w:divBdr>
    </w:div>
    <w:div w:id="1187058500">
      <w:bodyDiv w:val="1"/>
      <w:marLeft w:val="0"/>
      <w:marRight w:val="0"/>
      <w:marTop w:val="0"/>
      <w:marBottom w:val="0"/>
      <w:divBdr>
        <w:top w:val="none" w:sz="0" w:space="0" w:color="auto"/>
        <w:left w:val="none" w:sz="0" w:space="0" w:color="auto"/>
        <w:bottom w:val="none" w:sz="0" w:space="0" w:color="auto"/>
        <w:right w:val="none" w:sz="0" w:space="0" w:color="auto"/>
      </w:divBdr>
    </w:div>
    <w:div w:id="1417246977">
      <w:bodyDiv w:val="1"/>
      <w:marLeft w:val="0"/>
      <w:marRight w:val="0"/>
      <w:marTop w:val="0"/>
      <w:marBottom w:val="0"/>
      <w:divBdr>
        <w:top w:val="none" w:sz="0" w:space="0" w:color="auto"/>
        <w:left w:val="none" w:sz="0" w:space="0" w:color="auto"/>
        <w:bottom w:val="none" w:sz="0" w:space="0" w:color="auto"/>
        <w:right w:val="none" w:sz="0" w:space="0" w:color="auto"/>
      </w:divBdr>
    </w:div>
    <w:div w:id="1525553279">
      <w:bodyDiv w:val="1"/>
      <w:marLeft w:val="0"/>
      <w:marRight w:val="0"/>
      <w:marTop w:val="0"/>
      <w:marBottom w:val="0"/>
      <w:divBdr>
        <w:top w:val="none" w:sz="0" w:space="0" w:color="auto"/>
        <w:left w:val="none" w:sz="0" w:space="0" w:color="auto"/>
        <w:bottom w:val="none" w:sz="0" w:space="0" w:color="auto"/>
        <w:right w:val="none" w:sz="0" w:space="0" w:color="auto"/>
      </w:divBdr>
    </w:div>
    <w:div w:id="181799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Nafiz Bozdemir</cp:lastModifiedBy>
  <cp:revision>6</cp:revision>
  <dcterms:created xsi:type="dcterms:W3CDTF">2019-05-03T17:08:00Z</dcterms:created>
  <dcterms:modified xsi:type="dcterms:W3CDTF">2019-05-23T10:21:00Z</dcterms:modified>
</cp:coreProperties>
</file>