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6516"/>
      </w:tblGrid>
      <w:tr w:rsidR="000F2F23" w:rsidRPr="00C7468B" w14:paraId="5B238BE7" w14:textId="77777777" w:rsidTr="007E582F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31A44A7E" w14:textId="69DBB363" w:rsidR="00F91333" w:rsidRPr="00C7468B" w:rsidRDefault="00981D54" w:rsidP="00B7476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18"/>
              </w:rPr>
            </w:pPr>
            <w:r w:rsidRPr="00C7468B">
              <w:rPr>
                <w:rFonts w:ascii="Times New Roman" w:hAnsi="Times New Roman"/>
                <w:b/>
                <w:caps/>
                <w:noProof/>
                <w:sz w:val="24"/>
                <w:szCs w:val="18"/>
                <w:lang w:eastAsia="tr-TR"/>
              </w:rPr>
              <w:drawing>
                <wp:inline distT="0" distB="0" distL="0" distR="0" wp14:anchorId="2C7DCFFB" wp14:editId="3A9C25E1">
                  <wp:extent cx="5760720" cy="12001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HS ACADEMY Başlık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F07E0A" w14:textId="77777777" w:rsidR="00C45E13" w:rsidRPr="00C7468B" w:rsidRDefault="00C45E13" w:rsidP="004723D1">
            <w:pPr>
              <w:pStyle w:val="zetYazs"/>
              <w:shd w:val="clear" w:color="auto" w:fill="FFFFFF" w:themeFill="background1"/>
              <w:spacing w:before="0" w:after="0"/>
              <w:rPr>
                <w:rFonts w:eastAsia="Times New Roman"/>
                <w:b/>
                <w:sz w:val="28"/>
                <w:szCs w:val="22"/>
                <w:vertAlign w:val="baseline"/>
              </w:rPr>
            </w:pPr>
          </w:p>
          <w:p w14:paraId="7431A622" w14:textId="77777777" w:rsidR="00C45E13" w:rsidRPr="00C7468B" w:rsidRDefault="00C45E13" w:rsidP="004723D1">
            <w:pPr>
              <w:pStyle w:val="zetYazs"/>
              <w:shd w:val="clear" w:color="auto" w:fill="FFFFFF" w:themeFill="background1"/>
              <w:spacing w:before="0" w:after="0"/>
              <w:rPr>
                <w:rFonts w:eastAsia="Times New Roman"/>
                <w:b/>
                <w:sz w:val="28"/>
                <w:szCs w:val="22"/>
                <w:vertAlign w:val="baseline"/>
              </w:rPr>
            </w:pPr>
            <w:r w:rsidRPr="00C7468B">
              <w:rPr>
                <w:rFonts w:eastAsia="Times New Roman"/>
                <w:b/>
                <w:sz w:val="28"/>
                <w:szCs w:val="22"/>
                <w:vertAlign w:val="baseline"/>
              </w:rPr>
              <w:t>METANOL ZEHİRLENMESİ VE SAĞALTIM YAKLAŞIMI</w:t>
            </w:r>
          </w:p>
          <w:p w14:paraId="14700159" w14:textId="77777777" w:rsidR="00C45E13" w:rsidRPr="00C7468B" w:rsidRDefault="00C45E13" w:rsidP="004723D1">
            <w:pPr>
              <w:pStyle w:val="zetYazs"/>
              <w:shd w:val="clear" w:color="auto" w:fill="FFFFFF" w:themeFill="background1"/>
              <w:spacing w:before="0" w:after="0"/>
              <w:rPr>
                <w:b/>
                <w:szCs w:val="20"/>
                <w:vertAlign w:val="baseline"/>
              </w:rPr>
            </w:pPr>
          </w:p>
          <w:p w14:paraId="28E9848A" w14:textId="16638F57" w:rsidR="002E5B97" w:rsidRPr="00C7468B" w:rsidRDefault="00C45E13" w:rsidP="004723D1">
            <w:pPr>
              <w:pStyle w:val="zetYazs"/>
              <w:shd w:val="clear" w:color="auto" w:fill="FFFFFF" w:themeFill="background1"/>
              <w:spacing w:before="0" w:after="0"/>
              <w:rPr>
                <w:b/>
                <w:szCs w:val="20"/>
                <w:vertAlign w:val="baseline"/>
              </w:rPr>
            </w:pPr>
            <w:r w:rsidRPr="00C7468B">
              <w:rPr>
                <w:b/>
                <w:szCs w:val="20"/>
                <w:vertAlign w:val="baseline"/>
              </w:rPr>
              <w:t>Mustafa Cüneyt Gezen</w:t>
            </w:r>
            <w:r w:rsidR="004723D1" w:rsidRPr="00C7468B">
              <w:rPr>
                <w:b/>
                <w:szCs w:val="20"/>
              </w:rPr>
              <w:t>1</w:t>
            </w:r>
            <w:r w:rsidR="004723D1" w:rsidRPr="00C7468B">
              <w:rPr>
                <w:b/>
                <w:szCs w:val="20"/>
                <w:vertAlign w:val="baseline"/>
              </w:rPr>
              <w:t xml:space="preserve">, </w:t>
            </w:r>
            <w:r w:rsidRPr="00C7468B">
              <w:rPr>
                <w:b/>
                <w:szCs w:val="20"/>
                <w:vertAlign w:val="baseline"/>
              </w:rPr>
              <w:t>Nuri Bingöl</w:t>
            </w:r>
            <w:r w:rsidRPr="00C7468B">
              <w:rPr>
                <w:b/>
                <w:szCs w:val="20"/>
              </w:rPr>
              <w:t>1</w:t>
            </w:r>
            <w:r w:rsidR="00A64A8B" w:rsidRPr="00C7468B">
              <w:rPr>
                <w:b/>
                <w:szCs w:val="20"/>
                <w:vertAlign w:val="baseline"/>
              </w:rPr>
              <w:t xml:space="preserve"> </w:t>
            </w:r>
          </w:p>
          <w:p w14:paraId="5E058299" w14:textId="4870B87D" w:rsidR="00F24177" w:rsidRPr="00C7468B" w:rsidRDefault="002E5B97" w:rsidP="00C45E13">
            <w:pPr>
              <w:pStyle w:val="zetYazs"/>
              <w:spacing w:before="0" w:after="0"/>
              <w:rPr>
                <w:szCs w:val="20"/>
                <w:vertAlign w:val="baseline"/>
              </w:rPr>
            </w:pPr>
            <w:r w:rsidRPr="00C7468B">
              <w:rPr>
                <w:szCs w:val="20"/>
              </w:rPr>
              <w:t>1</w:t>
            </w:r>
            <w:r w:rsidRPr="00C7468B">
              <w:rPr>
                <w:szCs w:val="20"/>
                <w:vertAlign w:val="baseline"/>
              </w:rPr>
              <w:t xml:space="preserve"> </w:t>
            </w:r>
            <w:r w:rsidR="004723D1" w:rsidRPr="00C7468B">
              <w:rPr>
                <w:szCs w:val="20"/>
                <w:vertAlign w:val="baseline"/>
              </w:rPr>
              <w:t xml:space="preserve">T.C. </w:t>
            </w:r>
            <w:r w:rsidR="00C45E13" w:rsidRPr="00C7468B">
              <w:rPr>
                <w:szCs w:val="20"/>
                <w:vertAlign w:val="baseline"/>
              </w:rPr>
              <w:t>Üsküdar</w:t>
            </w:r>
            <w:r w:rsidR="004723D1" w:rsidRPr="00C7468B">
              <w:rPr>
                <w:szCs w:val="20"/>
                <w:vertAlign w:val="baseline"/>
              </w:rPr>
              <w:t xml:space="preserve"> Ünivers</w:t>
            </w:r>
            <w:r w:rsidR="009F3CC8" w:rsidRPr="00C7468B">
              <w:rPr>
                <w:szCs w:val="20"/>
                <w:vertAlign w:val="baseline"/>
              </w:rPr>
              <w:t xml:space="preserve">itesi, </w:t>
            </w:r>
            <w:r w:rsidR="00C45E13" w:rsidRPr="00C7468B">
              <w:rPr>
                <w:szCs w:val="20"/>
                <w:vertAlign w:val="baseline"/>
              </w:rPr>
              <w:t>Sağlık Bilimleri Enstitüsü</w:t>
            </w:r>
            <w:r w:rsidR="009F3CC8" w:rsidRPr="00C7468B">
              <w:rPr>
                <w:szCs w:val="20"/>
                <w:vertAlign w:val="baseline"/>
              </w:rPr>
              <w:t xml:space="preserve">, </w:t>
            </w:r>
            <w:r w:rsidR="00C45E13" w:rsidRPr="00C7468B">
              <w:rPr>
                <w:szCs w:val="20"/>
                <w:vertAlign w:val="baseline"/>
              </w:rPr>
              <w:t>İş Sağlığı ve Güvenliği P</w:t>
            </w:r>
            <w:r w:rsidR="00C7468B">
              <w:rPr>
                <w:szCs w:val="20"/>
                <w:vertAlign w:val="baseline"/>
              </w:rPr>
              <w:t>r</w:t>
            </w:r>
            <w:r w:rsidR="00C45E13" w:rsidRPr="00C7468B">
              <w:rPr>
                <w:szCs w:val="20"/>
                <w:vertAlign w:val="baseline"/>
              </w:rPr>
              <w:t xml:space="preserve">ogramı, </w:t>
            </w:r>
            <w:r w:rsidR="004723D1" w:rsidRPr="00C7468B">
              <w:rPr>
                <w:szCs w:val="20"/>
                <w:vertAlign w:val="baseline"/>
              </w:rPr>
              <w:t>İstanbul,</w:t>
            </w:r>
            <w:r w:rsidR="00447051" w:rsidRPr="00C7468B">
              <w:rPr>
                <w:szCs w:val="20"/>
                <w:vertAlign w:val="baseline"/>
              </w:rPr>
              <w:t xml:space="preserve"> </w:t>
            </w:r>
            <w:r w:rsidR="004723D1" w:rsidRPr="00C7468B">
              <w:rPr>
                <w:szCs w:val="20"/>
                <w:vertAlign w:val="baseline"/>
              </w:rPr>
              <w:t>Türkiye</w:t>
            </w:r>
          </w:p>
          <w:p w14:paraId="00D73547" w14:textId="19D458B6" w:rsidR="00C45E13" w:rsidRPr="00C7468B" w:rsidRDefault="00C45E13" w:rsidP="00C45E13">
            <w:pPr>
              <w:pStyle w:val="zetYazs"/>
              <w:spacing w:before="0" w:after="0"/>
              <w:rPr>
                <w:szCs w:val="20"/>
                <w:vertAlign w:val="baseline"/>
              </w:rPr>
            </w:pPr>
          </w:p>
        </w:tc>
      </w:tr>
      <w:tr w:rsidR="007E582F" w:rsidRPr="00C7468B" w14:paraId="0B3C37C8" w14:textId="77777777" w:rsidTr="006B0210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0D4AD78F" w14:textId="77777777" w:rsidR="007E582F" w:rsidRPr="00C7468B" w:rsidRDefault="007E582F" w:rsidP="002E5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7468B">
              <w:rPr>
                <w:rFonts w:ascii="Times New Roman" w:hAnsi="Times New Roman"/>
                <w:b/>
                <w:sz w:val="20"/>
                <w:szCs w:val="20"/>
              </w:rPr>
              <w:t>Özet</w:t>
            </w:r>
          </w:p>
        </w:tc>
      </w:tr>
      <w:tr w:rsidR="007E582F" w:rsidRPr="00C7468B" w14:paraId="36D1BDB7" w14:textId="77777777" w:rsidTr="006B0210"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</w:tcPr>
          <w:p w14:paraId="436ED853" w14:textId="05CF6462" w:rsidR="00C45E13" w:rsidRPr="00C7468B" w:rsidRDefault="00C45E13" w:rsidP="00C45E1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468B">
              <w:rPr>
                <w:rFonts w:ascii="Times New Roman" w:hAnsi="Times New Roman"/>
                <w:sz w:val="20"/>
                <w:szCs w:val="20"/>
              </w:rPr>
              <w:t>Metanol</w:t>
            </w:r>
            <w:proofErr w:type="spellEnd"/>
            <w:r w:rsidRPr="00C7468B">
              <w:rPr>
                <w:rFonts w:ascii="Times New Roman" w:hAnsi="Times New Roman"/>
                <w:sz w:val="20"/>
                <w:szCs w:val="20"/>
              </w:rPr>
              <w:t xml:space="preserve"> (metil alkol, CH3OH) odun ispirtosu olarak bilinir. Odun talaşının damıtılması yoluyla elde edildiği gibi, son zamanlarda düşük basınç altında doğal gazda da elde edilir. EC </w:t>
            </w:r>
            <w:proofErr w:type="spellStart"/>
            <w:r w:rsidRPr="00C7468B">
              <w:rPr>
                <w:rFonts w:ascii="Times New Roman" w:hAnsi="Times New Roman"/>
                <w:sz w:val="20"/>
                <w:szCs w:val="20"/>
              </w:rPr>
              <w:t>Nr</w:t>
            </w:r>
            <w:proofErr w:type="spellEnd"/>
            <w:r w:rsidRPr="00C7468B">
              <w:rPr>
                <w:rFonts w:ascii="Times New Roman" w:hAnsi="Times New Roman"/>
                <w:sz w:val="20"/>
                <w:szCs w:val="20"/>
              </w:rPr>
              <w:t xml:space="preserve">. 200-659-6; CAS </w:t>
            </w:r>
            <w:proofErr w:type="spellStart"/>
            <w:r w:rsidRPr="00C7468B">
              <w:rPr>
                <w:rFonts w:ascii="Times New Roman" w:hAnsi="Times New Roman"/>
                <w:sz w:val="20"/>
                <w:szCs w:val="20"/>
              </w:rPr>
              <w:t>Nr</w:t>
            </w:r>
            <w:proofErr w:type="spellEnd"/>
            <w:r w:rsidRPr="00C7468B">
              <w:rPr>
                <w:rFonts w:ascii="Times New Roman" w:hAnsi="Times New Roman"/>
                <w:sz w:val="20"/>
                <w:szCs w:val="20"/>
              </w:rPr>
              <w:t xml:space="preserve">. 67-56-1; UN 1230 </w:t>
            </w:r>
            <w:proofErr w:type="spellStart"/>
            <w:r w:rsidRPr="00C7468B">
              <w:rPr>
                <w:rFonts w:ascii="Times New Roman" w:hAnsi="Times New Roman"/>
                <w:sz w:val="20"/>
                <w:szCs w:val="20"/>
              </w:rPr>
              <w:t>Metanol</w:t>
            </w:r>
            <w:proofErr w:type="spellEnd"/>
            <w:r w:rsidRPr="00C7468B">
              <w:rPr>
                <w:rFonts w:ascii="Times New Roman" w:hAnsi="Times New Roman"/>
                <w:sz w:val="20"/>
                <w:szCs w:val="20"/>
              </w:rPr>
              <w:t xml:space="preserve">, 3 (6.1), PGII, (D/E). Boya çıkarıcılarda, antifrizlerde ve cam temizleme sıvılarının yapısında yer alır. Ayrıca içten yanmalı motorların yakıtlarında katkı maddesi olarak kullanılır.  </w:t>
            </w:r>
            <w:proofErr w:type="spellStart"/>
            <w:r w:rsidRPr="00C7468B">
              <w:rPr>
                <w:rFonts w:ascii="Times New Roman" w:hAnsi="Times New Roman"/>
                <w:sz w:val="20"/>
                <w:szCs w:val="20"/>
              </w:rPr>
              <w:t>Toksisitesi</w:t>
            </w:r>
            <w:proofErr w:type="spellEnd"/>
            <w:r w:rsidRPr="00C7468B">
              <w:rPr>
                <w:rFonts w:ascii="Times New Roman" w:hAnsi="Times New Roman"/>
                <w:sz w:val="20"/>
                <w:szCs w:val="20"/>
              </w:rPr>
              <w:t xml:space="preserve">, genellikle ya alkollü içkilere karışmasıyla kazara ya da bilinçli olarak intihar için kullanılır. </w:t>
            </w:r>
            <w:proofErr w:type="spellStart"/>
            <w:r w:rsidRPr="00C7468B">
              <w:rPr>
                <w:rFonts w:ascii="Times New Roman" w:hAnsi="Times New Roman"/>
                <w:sz w:val="20"/>
                <w:szCs w:val="20"/>
              </w:rPr>
              <w:t>Metanol</w:t>
            </w:r>
            <w:proofErr w:type="spellEnd"/>
            <w:r w:rsidRPr="00C74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hAnsi="Times New Roman"/>
                <w:sz w:val="20"/>
                <w:szCs w:val="20"/>
              </w:rPr>
              <w:t>toksisitesi</w:t>
            </w:r>
            <w:proofErr w:type="spellEnd"/>
            <w:r w:rsidRPr="00C7468B">
              <w:rPr>
                <w:rFonts w:ascii="Times New Roman" w:hAnsi="Times New Roman"/>
                <w:sz w:val="20"/>
                <w:szCs w:val="20"/>
              </w:rPr>
              <w:t xml:space="preserve">, onun iki </w:t>
            </w:r>
            <w:proofErr w:type="spellStart"/>
            <w:r w:rsidRPr="00C7468B">
              <w:rPr>
                <w:rFonts w:ascii="Times New Roman" w:hAnsi="Times New Roman"/>
                <w:sz w:val="20"/>
                <w:szCs w:val="20"/>
              </w:rPr>
              <w:t>toksik</w:t>
            </w:r>
            <w:proofErr w:type="spellEnd"/>
            <w:r w:rsidRPr="00C746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hAnsi="Times New Roman"/>
                <w:sz w:val="20"/>
                <w:szCs w:val="20"/>
              </w:rPr>
              <w:t>metabolitinin</w:t>
            </w:r>
            <w:proofErr w:type="spellEnd"/>
            <w:r w:rsidRPr="00C7468B">
              <w:rPr>
                <w:rFonts w:ascii="Times New Roman" w:hAnsi="Times New Roman"/>
                <w:sz w:val="20"/>
                <w:szCs w:val="20"/>
              </w:rPr>
              <w:t xml:space="preserve"> oluşumuna dayanır: Formaldehit (HCOH) ve formik asit (HCOOH). Bu noktadan çıkarak, sağaltıcı yöntemler bu iki </w:t>
            </w:r>
            <w:proofErr w:type="spellStart"/>
            <w:r w:rsidR="00C7468B">
              <w:rPr>
                <w:rFonts w:ascii="Times New Roman" w:hAnsi="Times New Roman"/>
                <w:sz w:val="20"/>
                <w:szCs w:val="20"/>
              </w:rPr>
              <w:t>m</w:t>
            </w:r>
            <w:r w:rsidRPr="00C7468B">
              <w:rPr>
                <w:rFonts w:ascii="Times New Roman" w:hAnsi="Times New Roman"/>
                <w:sz w:val="20"/>
                <w:szCs w:val="20"/>
              </w:rPr>
              <w:t>etabolitin</w:t>
            </w:r>
            <w:proofErr w:type="spellEnd"/>
            <w:r w:rsidRPr="00C7468B">
              <w:rPr>
                <w:rFonts w:ascii="Times New Roman" w:hAnsi="Times New Roman"/>
                <w:sz w:val="20"/>
                <w:szCs w:val="20"/>
              </w:rPr>
              <w:t xml:space="preserve"> oluşmasını engellemeye ya da onların vücuttan uzaklaştırılmasına dayanır.</w:t>
            </w:r>
          </w:p>
          <w:p w14:paraId="69FD55CE" w14:textId="5E65E633" w:rsidR="007E582F" w:rsidRPr="00C7468B" w:rsidRDefault="00C45E13" w:rsidP="00C45E13">
            <w:pPr>
              <w:spacing w:after="12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r w:rsidRPr="00C7468B">
              <w:rPr>
                <w:rFonts w:ascii="Times New Roman" w:hAnsi="Times New Roman"/>
                <w:b/>
                <w:i/>
                <w:sz w:val="20"/>
                <w:szCs w:val="20"/>
              </w:rPr>
              <w:t>Anahtar sözcükler</w:t>
            </w:r>
            <w:r w:rsidRPr="00C7468B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proofErr w:type="spellStart"/>
            <w:r w:rsidRPr="00C7468B">
              <w:rPr>
                <w:rFonts w:ascii="Times New Roman" w:hAnsi="Times New Roman"/>
                <w:i/>
                <w:sz w:val="20"/>
                <w:szCs w:val="20"/>
              </w:rPr>
              <w:t>Toksisite</w:t>
            </w:r>
            <w:proofErr w:type="spellEnd"/>
            <w:r w:rsidRPr="00C7468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468B">
              <w:rPr>
                <w:rFonts w:ascii="Times New Roman" w:hAnsi="Times New Roman"/>
                <w:i/>
                <w:sz w:val="20"/>
                <w:szCs w:val="20"/>
              </w:rPr>
              <w:t>metabolik</w:t>
            </w:r>
            <w:proofErr w:type="spellEnd"/>
            <w:r w:rsidRPr="00C7468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hAnsi="Times New Roman"/>
                <w:i/>
                <w:sz w:val="20"/>
                <w:szCs w:val="20"/>
              </w:rPr>
              <w:t>asidoz</w:t>
            </w:r>
            <w:proofErr w:type="spellEnd"/>
            <w:r w:rsidRPr="00C7468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468B">
              <w:rPr>
                <w:rFonts w:ascii="Times New Roman" w:hAnsi="Times New Roman"/>
                <w:i/>
                <w:sz w:val="20"/>
                <w:szCs w:val="20"/>
              </w:rPr>
              <w:t>folat</w:t>
            </w:r>
            <w:proofErr w:type="spellEnd"/>
            <w:r w:rsidRPr="00C7468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468B">
              <w:rPr>
                <w:rFonts w:ascii="Times New Roman" w:hAnsi="Times New Roman"/>
                <w:i/>
                <w:sz w:val="20"/>
                <w:szCs w:val="20"/>
              </w:rPr>
              <w:t>metabolit</w:t>
            </w:r>
            <w:proofErr w:type="spellEnd"/>
            <w:r w:rsidRPr="00C7468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468B">
              <w:rPr>
                <w:rFonts w:ascii="Times New Roman" w:hAnsi="Times New Roman"/>
                <w:i/>
                <w:sz w:val="20"/>
                <w:szCs w:val="20"/>
              </w:rPr>
              <w:t>intoksikasyon</w:t>
            </w:r>
            <w:proofErr w:type="spellEnd"/>
            <w:r w:rsidRPr="00C7468B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0F2F23" w:rsidRPr="00C7468B" w14:paraId="204E1583" w14:textId="77777777" w:rsidTr="00C27829">
        <w:trPr>
          <w:trHeight w:val="20"/>
        </w:trPr>
        <w:tc>
          <w:tcPr>
            <w:tcW w:w="2555" w:type="dxa"/>
            <w:tcBorders>
              <w:bottom w:val="nil"/>
              <w:right w:val="nil"/>
            </w:tcBorders>
          </w:tcPr>
          <w:p w14:paraId="2767F551" w14:textId="77777777" w:rsidR="000F2F23" w:rsidRPr="00C7468B" w:rsidRDefault="000F2F23" w:rsidP="002E5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517" w:type="dxa"/>
            <w:tcBorders>
              <w:left w:val="nil"/>
              <w:bottom w:val="nil"/>
            </w:tcBorders>
          </w:tcPr>
          <w:p w14:paraId="5A3AE41D" w14:textId="77777777" w:rsidR="000F2F23" w:rsidRPr="00C7468B" w:rsidRDefault="000F2F23" w:rsidP="002E5B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2E5B97" w:rsidRPr="00C7468B" w14:paraId="72FBFC29" w14:textId="77777777" w:rsidTr="007E582F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2F8C82D8" w14:textId="4F4E040B" w:rsidR="00806181" w:rsidRPr="00C7468B" w:rsidRDefault="00C45E13" w:rsidP="008061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6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METHANOL INTOXICATION AND </w:t>
            </w:r>
            <w:r w:rsidR="00EA19F9" w:rsidRPr="00C746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THERAPEUTIC </w:t>
            </w:r>
            <w:r w:rsidRPr="00C746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APPROACH</w:t>
            </w:r>
          </w:p>
          <w:p w14:paraId="60D4FD46" w14:textId="0A65050A" w:rsidR="001115FC" w:rsidRPr="00C7468B" w:rsidRDefault="001115FC" w:rsidP="001115FC">
            <w:pPr>
              <w:pStyle w:val="zetYazs"/>
              <w:shd w:val="clear" w:color="auto" w:fill="FFFFFF" w:themeFill="background1"/>
              <w:spacing w:before="0" w:after="0"/>
              <w:rPr>
                <w:b/>
                <w:szCs w:val="20"/>
                <w:vertAlign w:val="baseline"/>
              </w:rPr>
            </w:pPr>
            <w:r w:rsidRPr="00C7468B">
              <w:rPr>
                <w:b/>
                <w:szCs w:val="20"/>
                <w:vertAlign w:val="baseline"/>
              </w:rPr>
              <w:t>Mustafa Cüneyt Gezen</w:t>
            </w:r>
            <w:r w:rsidRPr="00C7468B">
              <w:rPr>
                <w:b/>
                <w:szCs w:val="20"/>
              </w:rPr>
              <w:t>1</w:t>
            </w:r>
            <w:r w:rsidRPr="00C7468B">
              <w:rPr>
                <w:b/>
                <w:szCs w:val="20"/>
                <w:vertAlign w:val="baseline"/>
              </w:rPr>
              <w:t>, Nuri Bingöl</w:t>
            </w:r>
            <w:r w:rsidRPr="00C7468B">
              <w:rPr>
                <w:b/>
                <w:szCs w:val="20"/>
              </w:rPr>
              <w:t>1</w:t>
            </w:r>
          </w:p>
          <w:p w14:paraId="6E9C086C" w14:textId="68CE80FF" w:rsidR="00F63890" w:rsidRPr="00C7468B" w:rsidRDefault="00C45E13" w:rsidP="00C7468B">
            <w:pPr>
              <w:pStyle w:val="zetYazs"/>
              <w:spacing w:before="0" w:after="0"/>
              <w:ind w:right="428"/>
              <w:rPr>
                <w:szCs w:val="20"/>
                <w:vertAlign w:val="baseline"/>
              </w:rPr>
            </w:pPr>
            <w:proofErr w:type="spellStart"/>
            <w:r w:rsidRPr="00C7468B">
              <w:rPr>
                <w:szCs w:val="20"/>
                <w:vertAlign w:val="baseline"/>
              </w:rPr>
              <w:t>R.o.T</w:t>
            </w:r>
            <w:proofErr w:type="spellEnd"/>
            <w:r w:rsidRPr="00C7468B">
              <w:rPr>
                <w:szCs w:val="20"/>
                <w:vertAlign w:val="baseline"/>
              </w:rPr>
              <w:t xml:space="preserve">. </w:t>
            </w:r>
            <w:proofErr w:type="spellStart"/>
            <w:r w:rsidRPr="00C7468B">
              <w:rPr>
                <w:szCs w:val="20"/>
                <w:vertAlign w:val="baseline"/>
              </w:rPr>
              <w:t>Uskudar</w:t>
            </w:r>
            <w:proofErr w:type="spellEnd"/>
            <w:r w:rsidRPr="00C7468B">
              <w:rPr>
                <w:szCs w:val="20"/>
                <w:vertAlign w:val="baseline"/>
              </w:rPr>
              <w:t xml:space="preserve"> </w:t>
            </w:r>
            <w:proofErr w:type="spellStart"/>
            <w:r w:rsidRPr="00C7468B">
              <w:rPr>
                <w:szCs w:val="20"/>
                <w:vertAlign w:val="baseline"/>
              </w:rPr>
              <w:t>University</w:t>
            </w:r>
            <w:proofErr w:type="spellEnd"/>
            <w:r w:rsidRPr="00C7468B">
              <w:rPr>
                <w:szCs w:val="20"/>
                <w:vertAlign w:val="baseline"/>
              </w:rPr>
              <w:t xml:space="preserve">, </w:t>
            </w:r>
            <w:proofErr w:type="spellStart"/>
            <w:r w:rsidR="001115FC" w:rsidRPr="00C7468B">
              <w:rPr>
                <w:szCs w:val="20"/>
                <w:vertAlign w:val="baseline"/>
              </w:rPr>
              <w:t>Institute</w:t>
            </w:r>
            <w:proofErr w:type="spellEnd"/>
            <w:r w:rsidR="001115FC" w:rsidRPr="00C7468B">
              <w:rPr>
                <w:szCs w:val="20"/>
                <w:vertAlign w:val="baseline"/>
              </w:rPr>
              <w:t xml:space="preserve"> of </w:t>
            </w:r>
            <w:proofErr w:type="spellStart"/>
            <w:r w:rsidR="001115FC" w:rsidRPr="00C7468B">
              <w:rPr>
                <w:szCs w:val="20"/>
                <w:vertAlign w:val="baseline"/>
              </w:rPr>
              <w:t>Health</w:t>
            </w:r>
            <w:proofErr w:type="spellEnd"/>
            <w:r w:rsidR="001115FC" w:rsidRPr="00C7468B">
              <w:rPr>
                <w:szCs w:val="20"/>
                <w:vertAlign w:val="baseline"/>
              </w:rPr>
              <w:t xml:space="preserve"> </w:t>
            </w:r>
            <w:proofErr w:type="spellStart"/>
            <w:r w:rsidR="001115FC" w:rsidRPr="00C7468B">
              <w:rPr>
                <w:szCs w:val="20"/>
                <w:vertAlign w:val="baseline"/>
              </w:rPr>
              <w:t>Sciences</w:t>
            </w:r>
            <w:proofErr w:type="spellEnd"/>
            <w:r w:rsidRPr="00C7468B">
              <w:rPr>
                <w:szCs w:val="20"/>
                <w:vertAlign w:val="baseline"/>
              </w:rPr>
              <w:t xml:space="preserve">, </w:t>
            </w:r>
            <w:proofErr w:type="spellStart"/>
            <w:r w:rsidR="001115FC" w:rsidRPr="00C7468B">
              <w:rPr>
                <w:szCs w:val="20"/>
                <w:vertAlign w:val="baseline"/>
              </w:rPr>
              <w:t>Occupational</w:t>
            </w:r>
            <w:proofErr w:type="spellEnd"/>
            <w:r w:rsidR="001115FC" w:rsidRPr="00C7468B">
              <w:rPr>
                <w:szCs w:val="20"/>
                <w:vertAlign w:val="baseline"/>
              </w:rPr>
              <w:t xml:space="preserve"> </w:t>
            </w:r>
            <w:proofErr w:type="spellStart"/>
            <w:r w:rsidR="001115FC" w:rsidRPr="00C7468B">
              <w:rPr>
                <w:szCs w:val="20"/>
                <w:vertAlign w:val="baseline"/>
              </w:rPr>
              <w:t>Health</w:t>
            </w:r>
            <w:proofErr w:type="spellEnd"/>
            <w:r w:rsidR="001115FC" w:rsidRPr="00C7468B">
              <w:rPr>
                <w:szCs w:val="20"/>
                <w:vertAlign w:val="baseline"/>
              </w:rPr>
              <w:t xml:space="preserve"> </w:t>
            </w:r>
            <w:proofErr w:type="spellStart"/>
            <w:r w:rsidR="001115FC" w:rsidRPr="00C7468B">
              <w:rPr>
                <w:szCs w:val="20"/>
                <w:vertAlign w:val="baseline"/>
              </w:rPr>
              <w:t>and</w:t>
            </w:r>
            <w:proofErr w:type="spellEnd"/>
            <w:r w:rsidR="001115FC" w:rsidRPr="00C7468B">
              <w:rPr>
                <w:szCs w:val="20"/>
                <w:vertAlign w:val="baseline"/>
              </w:rPr>
              <w:t xml:space="preserve"> </w:t>
            </w:r>
            <w:proofErr w:type="spellStart"/>
            <w:r w:rsidR="001115FC" w:rsidRPr="00C7468B">
              <w:rPr>
                <w:szCs w:val="20"/>
                <w:vertAlign w:val="baseline"/>
              </w:rPr>
              <w:t>Safety</w:t>
            </w:r>
            <w:proofErr w:type="spellEnd"/>
            <w:r w:rsidR="001115FC" w:rsidRPr="00C7468B">
              <w:rPr>
                <w:szCs w:val="20"/>
                <w:vertAlign w:val="baseline"/>
              </w:rPr>
              <w:t xml:space="preserve"> </w:t>
            </w:r>
            <w:r w:rsidR="00C7468B" w:rsidRPr="00C7468B">
              <w:rPr>
                <w:szCs w:val="20"/>
                <w:vertAlign w:val="baseline"/>
              </w:rPr>
              <w:t>Progra</w:t>
            </w:r>
            <w:r w:rsidR="00C7468B">
              <w:rPr>
                <w:szCs w:val="20"/>
                <w:vertAlign w:val="baseline"/>
              </w:rPr>
              <w:t>mı,</w:t>
            </w:r>
            <w:r w:rsidR="00C7468B" w:rsidRPr="00C7468B">
              <w:rPr>
                <w:szCs w:val="20"/>
                <w:vertAlign w:val="baseline"/>
              </w:rPr>
              <w:t xml:space="preserve"> </w:t>
            </w:r>
            <w:proofErr w:type="spellStart"/>
            <w:r w:rsidR="001115FC" w:rsidRPr="00C7468B">
              <w:rPr>
                <w:szCs w:val="20"/>
                <w:vertAlign w:val="baseline"/>
              </w:rPr>
              <w:t>I</w:t>
            </w:r>
            <w:r w:rsidRPr="00C7468B">
              <w:rPr>
                <w:szCs w:val="20"/>
                <w:vertAlign w:val="baseline"/>
              </w:rPr>
              <w:t>stanbul</w:t>
            </w:r>
            <w:proofErr w:type="spellEnd"/>
            <w:r w:rsidRPr="00C7468B">
              <w:rPr>
                <w:szCs w:val="20"/>
                <w:vertAlign w:val="baseline"/>
              </w:rPr>
              <w:t>, Türkiye</w:t>
            </w:r>
          </w:p>
        </w:tc>
      </w:tr>
      <w:tr w:rsidR="000F2F23" w:rsidRPr="00C7468B" w14:paraId="1B84F38F" w14:textId="77777777" w:rsidTr="007E582F"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4805A482" w14:textId="77777777" w:rsidR="000F2F23" w:rsidRPr="00C7468B" w:rsidRDefault="000F2F23" w:rsidP="002E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</w:p>
        </w:tc>
      </w:tr>
      <w:tr w:rsidR="007E582F" w:rsidRPr="00C7468B" w14:paraId="6899ED51" w14:textId="77777777" w:rsidTr="006B0210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200EB" w14:textId="287A3158" w:rsidR="007E582F" w:rsidRPr="00C7468B" w:rsidRDefault="007E582F" w:rsidP="007D26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C746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Abstract</w:t>
            </w:r>
            <w:proofErr w:type="spellEnd"/>
            <w:r w:rsidR="00FB0092" w:rsidRPr="00C746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7E582F" w:rsidRPr="00C7468B" w14:paraId="489504D5" w14:textId="77777777" w:rsidTr="006B0210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35CA8" w14:textId="1FB0E65A" w:rsidR="00C45E13" w:rsidRPr="00C7468B" w:rsidRDefault="00815EC4" w:rsidP="00C45E13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Methanol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methyl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alcohol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, CH3OH) is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known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as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wood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sprit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It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is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also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obtained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natural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gas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under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low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pressure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recent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times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, as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obtained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by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distillation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wood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chips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past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It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is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placed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paint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removers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antifreeze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and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glass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cleaning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liquids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. EC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. 200-659-6; CAS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. 67-56-1; UN 1230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Methanol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, 3 (6.1), PGII, (D/E).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It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is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also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used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as an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additive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fuels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internal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combustion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engines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Toxicity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is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often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used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for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accidental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or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conscious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suicide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by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mixing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with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alcoholic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beverages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Methanol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toxicity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is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due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to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formation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its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two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toxic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metabolites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formaldehyde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and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formic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acid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From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this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point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therapeutic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methods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are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based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on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preventing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formation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these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two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metabolites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or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removing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them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from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proofErr w:type="spellEnd"/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body.</w:t>
            </w:r>
          </w:p>
          <w:p w14:paraId="247C1DEE" w14:textId="12C03096" w:rsidR="00D969FF" w:rsidRPr="00C7468B" w:rsidRDefault="00C45E13" w:rsidP="00C45E13">
            <w:pPr>
              <w:spacing w:after="120" w:line="240" w:lineRule="auto"/>
              <w:ind w:right="14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C7468B">
              <w:rPr>
                <w:rFonts w:ascii="Times New Roman" w:eastAsia="Times New Roman" w:hAnsi="Times New Roman"/>
                <w:b/>
                <w:sz w:val="20"/>
                <w:szCs w:val="20"/>
              </w:rPr>
              <w:t>Keywords</w:t>
            </w:r>
            <w:proofErr w:type="spellEnd"/>
            <w:r w:rsidRPr="00C7468B">
              <w:rPr>
                <w:rFonts w:ascii="Times New Roman" w:eastAsia="Times New Roman" w:hAnsi="Times New Roman"/>
                <w:b/>
                <w:sz w:val="20"/>
                <w:szCs w:val="20"/>
              </w:rPr>
              <w:t>:</w:t>
            </w:r>
            <w:r w:rsidRPr="00C7468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68B">
              <w:rPr>
                <w:rFonts w:ascii="Times New Roman" w:hAnsi="Times New Roman"/>
                <w:i/>
                <w:sz w:val="21"/>
                <w:szCs w:val="21"/>
              </w:rPr>
              <w:t>Toxicity</w:t>
            </w:r>
            <w:proofErr w:type="spellEnd"/>
            <w:r w:rsidRPr="00C7468B">
              <w:rPr>
                <w:rFonts w:ascii="Times New Roman" w:hAnsi="Times New Roman"/>
                <w:i/>
                <w:sz w:val="21"/>
                <w:szCs w:val="21"/>
              </w:rPr>
              <w:t xml:space="preserve">, </w:t>
            </w:r>
            <w:proofErr w:type="spellStart"/>
            <w:r w:rsidRPr="00C7468B">
              <w:rPr>
                <w:rFonts w:ascii="Times New Roman" w:hAnsi="Times New Roman"/>
                <w:i/>
                <w:sz w:val="21"/>
                <w:szCs w:val="21"/>
              </w:rPr>
              <w:t>metabolic</w:t>
            </w:r>
            <w:proofErr w:type="spellEnd"/>
            <w:r w:rsidRPr="00C7468B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C7468B">
              <w:rPr>
                <w:rFonts w:ascii="Times New Roman" w:hAnsi="Times New Roman"/>
                <w:i/>
                <w:sz w:val="21"/>
                <w:szCs w:val="21"/>
              </w:rPr>
              <w:t>acidosis</w:t>
            </w:r>
            <w:proofErr w:type="spellEnd"/>
            <w:r w:rsidRPr="00C7468B">
              <w:rPr>
                <w:rFonts w:ascii="Times New Roman" w:hAnsi="Times New Roman"/>
                <w:i/>
                <w:sz w:val="21"/>
                <w:szCs w:val="21"/>
              </w:rPr>
              <w:t xml:space="preserve">, </w:t>
            </w:r>
            <w:proofErr w:type="spellStart"/>
            <w:r w:rsidRPr="00C7468B">
              <w:rPr>
                <w:rFonts w:ascii="Times New Roman" w:hAnsi="Times New Roman"/>
                <w:i/>
                <w:sz w:val="21"/>
                <w:szCs w:val="21"/>
              </w:rPr>
              <w:t>folate</w:t>
            </w:r>
            <w:proofErr w:type="spellEnd"/>
            <w:r w:rsidRPr="00C7468B">
              <w:rPr>
                <w:rFonts w:ascii="Times New Roman" w:hAnsi="Times New Roman"/>
                <w:i/>
                <w:sz w:val="21"/>
                <w:szCs w:val="21"/>
              </w:rPr>
              <w:t xml:space="preserve">, </w:t>
            </w:r>
            <w:proofErr w:type="spellStart"/>
            <w:r w:rsidRPr="00C7468B">
              <w:rPr>
                <w:rFonts w:ascii="Times New Roman" w:hAnsi="Times New Roman"/>
                <w:i/>
                <w:sz w:val="21"/>
                <w:szCs w:val="21"/>
              </w:rPr>
              <w:t>metabolite</w:t>
            </w:r>
            <w:proofErr w:type="spellEnd"/>
            <w:r w:rsidRPr="00C7468B">
              <w:rPr>
                <w:rFonts w:ascii="Times New Roman" w:hAnsi="Times New Roman"/>
                <w:i/>
                <w:sz w:val="21"/>
                <w:szCs w:val="21"/>
              </w:rPr>
              <w:t xml:space="preserve">, </w:t>
            </w:r>
            <w:proofErr w:type="spellStart"/>
            <w:r w:rsidRPr="00C7468B">
              <w:rPr>
                <w:rFonts w:ascii="Times New Roman" w:hAnsi="Times New Roman"/>
                <w:i/>
                <w:sz w:val="21"/>
                <w:szCs w:val="21"/>
              </w:rPr>
              <w:t>intoxication</w:t>
            </w:r>
            <w:proofErr w:type="spellEnd"/>
            <w:r w:rsidRPr="00C7468B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</w:tbl>
    <w:p w14:paraId="50E9E150" w14:textId="104EE78A" w:rsidR="005F7484" w:rsidRPr="00C7468B" w:rsidRDefault="005F7484" w:rsidP="002C18E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134FEC" w14:textId="77777777" w:rsidR="005F7484" w:rsidRPr="00C7468B" w:rsidRDefault="005F7484" w:rsidP="002C18E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  <w:sectPr w:rsidR="005F7484" w:rsidRPr="00C7468B" w:rsidSect="00C7468B"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type w:val="continuous"/>
          <w:pgSz w:w="11906" w:h="16838" w:code="9"/>
          <w:pgMar w:top="1418" w:right="1418" w:bottom="1418" w:left="1418" w:header="709" w:footer="709" w:gutter="0"/>
          <w:pgNumType w:start="50"/>
          <w:cols w:space="708"/>
          <w:titlePg/>
          <w:docGrid w:linePitch="360"/>
        </w:sectPr>
      </w:pPr>
    </w:p>
    <w:p w14:paraId="51423F31" w14:textId="77777777" w:rsidR="002E5B97" w:rsidRPr="00C7468B" w:rsidRDefault="002E5B97" w:rsidP="002C18E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7468B">
        <w:rPr>
          <w:rFonts w:ascii="Times New Roman" w:hAnsi="Times New Roman"/>
          <w:b/>
          <w:sz w:val="20"/>
          <w:szCs w:val="20"/>
        </w:rPr>
        <w:t>1. Giriş</w:t>
      </w:r>
    </w:p>
    <w:p w14:paraId="757F14DD" w14:textId="77777777" w:rsidR="009E0052" w:rsidRPr="00C7468B" w:rsidRDefault="009E0052" w:rsidP="002C18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0B07480" w14:textId="7F692640" w:rsidR="00190DB6" w:rsidRPr="00C7468B" w:rsidRDefault="00EA19F9" w:rsidP="006129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7468B">
        <w:rPr>
          <w:rFonts w:ascii="Times New Roman" w:eastAsia="Times New Roman" w:hAnsi="Times New Roman"/>
          <w:sz w:val="20"/>
          <w:szCs w:val="20"/>
        </w:rPr>
        <w:t xml:space="preserve">       </w:t>
      </w:r>
      <w:proofErr w:type="spellStart"/>
      <w:r w:rsidR="001115FC" w:rsidRPr="00C7468B">
        <w:rPr>
          <w:rFonts w:ascii="Times New Roman" w:eastAsia="Times New Roman" w:hAnsi="Times New Roman"/>
          <w:sz w:val="20"/>
          <w:szCs w:val="20"/>
        </w:rPr>
        <w:t>Metanol</w:t>
      </w:r>
      <w:proofErr w:type="spellEnd"/>
      <w:r w:rsidR="001115FC" w:rsidRPr="00C7468B">
        <w:rPr>
          <w:rFonts w:ascii="Times New Roman" w:eastAsia="Times New Roman" w:hAnsi="Times New Roman"/>
          <w:sz w:val="20"/>
          <w:szCs w:val="20"/>
        </w:rPr>
        <w:t xml:space="preserve"> renksiz, farklı kokusu olan uçucu ve yanıcı bir sıvıdır. Kapalı kap testiyle parlama noktası 12oC’dir. Kapalı atmosferlerde buharlarının patlama aralığı %6-36,5’tur. Sindirim sisteminden çok iyi emilir. Yutmayla alındıktan 30-90 dakika sonra pik düzeye ulaşır. </w:t>
      </w:r>
      <w:proofErr w:type="spellStart"/>
      <w:r w:rsidR="001115FC" w:rsidRPr="00C7468B">
        <w:rPr>
          <w:rFonts w:ascii="Times New Roman" w:eastAsia="Times New Roman" w:hAnsi="Times New Roman"/>
          <w:sz w:val="20"/>
          <w:szCs w:val="20"/>
        </w:rPr>
        <w:t>Toksisite</w:t>
      </w:r>
      <w:proofErr w:type="spellEnd"/>
      <w:r w:rsidR="001115FC" w:rsidRPr="00C7468B">
        <w:rPr>
          <w:rFonts w:ascii="Times New Roman" w:eastAsia="Times New Roman" w:hAnsi="Times New Roman"/>
          <w:sz w:val="20"/>
          <w:szCs w:val="20"/>
        </w:rPr>
        <w:t xml:space="preserve"> genelde ağız yoluyla alımından sonra olmakla birlikte, akciğerlerden ya da ciltten de önemli ölçüde emilim gerçekleşebilir. Hafif </w:t>
      </w:r>
      <w:proofErr w:type="spellStart"/>
      <w:r w:rsidR="001115FC" w:rsidRPr="00C7468B">
        <w:rPr>
          <w:rFonts w:ascii="Times New Roman" w:eastAsia="Times New Roman" w:hAnsi="Times New Roman"/>
          <w:sz w:val="20"/>
          <w:szCs w:val="20"/>
        </w:rPr>
        <w:t>toksisiteden</w:t>
      </w:r>
      <w:proofErr w:type="spellEnd"/>
      <w:r w:rsidR="001115FC" w:rsidRPr="00C7468B">
        <w:rPr>
          <w:rFonts w:ascii="Times New Roman" w:eastAsia="Times New Roman" w:hAnsi="Times New Roman"/>
          <w:sz w:val="20"/>
          <w:szCs w:val="20"/>
        </w:rPr>
        <w:t xml:space="preserve"> sonra serum yenilenme ömrü 14-20 saat, şiddetli </w:t>
      </w:r>
      <w:proofErr w:type="spellStart"/>
      <w:r w:rsidR="001115FC" w:rsidRPr="00C7468B">
        <w:rPr>
          <w:rFonts w:ascii="Times New Roman" w:eastAsia="Times New Roman" w:hAnsi="Times New Roman"/>
          <w:sz w:val="20"/>
          <w:szCs w:val="20"/>
        </w:rPr>
        <w:t>toksisiteden</w:t>
      </w:r>
      <w:proofErr w:type="spellEnd"/>
      <w:r w:rsidR="001115FC" w:rsidRPr="00C7468B">
        <w:rPr>
          <w:rFonts w:ascii="Times New Roman" w:eastAsia="Times New Roman" w:hAnsi="Times New Roman"/>
          <w:sz w:val="20"/>
          <w:szCs w:val="20"/>
        </w:rPr>
        <w:t xml:space="preserve"> sonra 24-30 saattir. Alımı izleyen en yüksek derişim böbrekler, karaciğer ve </w:t>
      </w:r>
      <w:r w:rsidR="001115FC" w:rsidRPr="00C7468B">
        <w:rPr>
          <w:rFonts w:ascii="Times New Roman" w:eastAsia="Times New Roman" w:hAnsi="Times New Roman"/>
          <w:sz w:val="20"/>
          <w:szCs w:val="20"/>
        </w:rPr>
        <w:t xml:space="preserve">sindirim sisteminde görülürken, </w:t>
      </w:r>
      <w:proofErr w:type="spellStart"/>
      <w:r w:rsidR="001115FC" w:rsidRPr="00C7468B">
        <w:rPr>
          <w:rFonts w:ascii="Times New Roman" w:eastAsia="Times New Roman" w:hAnsi="Times New Roman"/>
          <w:sz w:val="20"/>
          <w:szCs w:val="20"/>
        </w:rPr>
        <w:t>vitröz</w:t>
      </w:r>
      <w:proofErr w:type="spellEnd"/>
      <w:r w:rsidR="001115FC" w:rsidRPr="00C7468B">
        <w:rPr>
          <w:rFonts w:ascii="Times New Roman" w:eastAsia="Times New Roman" w:hAnsi="Times New Roman"/>
          <w:sz w:val="20"/>
          <w:szCs w:val="20"/>
        </w:rPr>
        <w:t xml:space="preserve"> humar ve optik sinirde de düzeyi yüksektir. </w:t>
      </w:r>
      <w:proofErr w:type="spellStart"/>
      <w:r w:rsidR="001115FC" w:rsidRPr="00C7468B">
        <w:rPr>
          <w:rFonts w:ascii="Times New Roman" w:eastAsia="Times New Roman" w:hAnsi="Times New Roman"/>
          <w:sz w:val="20"/>
          <w:szCs w:val="20"/>
        </w:rPr>
        <w:t>Metanolün</w:t>
      </w:r>
      <w:proofErr w:type="spellEnd"/>
      <w:r w:rsidR="001115FC" w:rsidRPr="00C7468B">
        <w:rPr>
          <w:rFonts w:ascii="Times New Roman" w:eastAsia="Times New Roman" w:hAnsi="Times New Roman"/>
          <w:sz w:val="20"/>
          <w:szCs w:val="20"/>
        </w:rPr>
        <w:t xml:space="preserve"> %90-95 gibi büyük bir bölümü karaciğerden, %22-50’si böbreklerden ve çok az miktarı ise akciğerlerden atılır. </w:t>
      </w:r>
      <w:proofErr w:type="spellStart"/>
      <w:r w:rsidR="001115FC" w:rsidRPr="00C7468B">
        <w:rPr>
          <w:rFonts w:ascii="Times New Roman" w:eastAsia="Times New Roman" w:hAnsi="Times New Roman"/>
          <w:sz w:val="20"/>
          <w:szCs w:val="20"/>
        </w:rPr>
        <w:t>Toksisitenin</w:t>
      </w:r>
      <w:proofErr w:type="spellEnd"/>
      <w:r w:rsidR="001115FC" w:rsidRPr="00C7468B">
        <w:rPr>
          <w:rFonts w:ascii="Times New Roman" w:eastAsia="Times New Roman" w:hAnsi="Times New Roman"/>
          <w:sz w:val="20"/>
          <w:szCs w:val="20"/>
        </w:rPr>
        <w:t xml:space="preserve"> nedeni, </w:t>
      </w:r>
      <w:proofErr w:type="spellStart"/>
      <w:r w:rsidR="001115FC" w:rsidRPr="00C7468B">
        <w:rPr>
          <w:rFonts w:ascii="Times New Roman" w:eastAsia="Times New Roman" w:hAnsi="Times New Roman"/>
          <w:sz w:val="20"/>
          <w:szCs w:val="20"/>
        </w:rPr>
        <w:t>metanolün</w:t>
      </w:r>
      <w:proofErr w:type="spellEnd"/>
      <w:r w:rsidR="001115FC" w:rsidRPr="00C7468B">
        <w:rPr>
          <w:rFonts w:ascii="Times New Roman" w:eastAsia="Times New Roman" w:hAnsi="Times New Roman"/>
          <w:sz w:val="20"/>
          <w:szCs w:val="20"/>
        </w:rPr>
        <w:t xml:space="preserve">, karaciğerde </w:t>
      </w:r>
      <w:proofErr w:type="spellStart"/>
      <w:r w:rsidR="001115FC" w:rsidRPr="00C7468B">
        <w:rPr>
          <w:rFonts w:ascii="Times New Roman" w:eastAsia="Times New Roman" w:hAnsi="Times New Roman"/>
          <w:spacing w:val="-2"/>
          <w:sz w:val="20"/>
          <w:szCs w:val="20"/>
        </w:rPr>
        <w:t>alkoldehidrogenaz</w:t>
      </w:r>
      <w:proofErr w:type="spellEnd"/>
      <w:r w:rsidR="001115FC" w:rsidRPr="00C7468B">
        <w:rPr>
          <w:rFonts w:ascii="Times New Roman" w:eastAsia="Times New Roman" w:hAnsi="Times New Roman"/>
          <w:spacing w:val="-2"/>
          <w:sz w:val="20"/>
          <w:szCs w:val="20"/>
        </w:rPr>
        <w:t xml:space="preserve"> (AD1H) enzimleriyle parçalanarak</w:t>
      </w:r>
      <w:r w:rsidR="001115FC"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1115FC" w:rsidRPr="00C7468B">
        <w:rPr>
          <w:rFonts w:ascii="Times New Roman" w:eastAsia="Times New Roman" w:hAnsi="Times New Roman"/>
          <w:sz w:val="20"/>
          <w:szCs w:val="20"/>
        </w:rPr>
        <w:t>formaldehit’e</w:t>
      </w:r>
      <w:proofErr w:type="spellEnd"/>
      <w:r w:rsidR="001115FC" w:rsidRPr="00C7468B">
        <w:rPr>
          <w:rFonts w:ascii="Times New Roman" w:eastAsia="Times New Roman" w:hAnsi="Times New Roman"/>
          <w:sz w:val="20"/>
          <w:szCs w:val="20"/>
        </w:rPr>
        <w:t xml:space="preserve"> ve daha sonra </w:t>
      </w:r>
      <w:proofErr w:type="spellStart"/>
      <w:r w:rsidR="001115FC" w:rsidRPr="00C7468B">
        <w:rPr>
          <w:rFonts w:ascii="Times New Roman" w:eastAsia="Times New Roman" w:hAnsi="Times New Roman"/>
          <w:sz w:val="20"/>
          <w:szCs w:val="20"/>
        </w:rPr>
        <w:t>aldehitdehidrogenaz</w:t>
      </w:r>
      <w:proofErr w:type="spellEnd"/>
      <w:r w:rsidR="001115FC" w:rsidRPr="00C7468B">
        <w:rPr>
          <w:rFonts w:ascii="Times New Roman" w:eastAsia="Times New Roman" w:hAnsi="Times New Roman"/>
          <w:sz w:val="20"/>
          <w:szCs w:val="20"/>
        </w:rPr>
        <w:t xml:space="preserve"> enzimleriyle de formik </w:t>
      </w:r>
      <w:proofErr w:type="spellStart"/>
      <w:r w:rsidR="001115FC" w:rsidRPr="00C7468B">
        <w:rPr>
          <w:rFonts w:ascii="Times New Roman" w:eastAsia="Times New Roman" w:hAnsi="Times New Roman"/>
          <w:sz w:val="20"/>
          <w:szCs w:val="20"/>
        </w:rPr>
        <w:t>asit’e</w:t>
      </w:r>
      <w:proofErr w:type="spellEnd"/>
      <w:r w:rsidR="001115FC" w:rsidRPr="00C7468B">
        <w:rPr>
          <w:rFonts w:ascii="Times New Roman" w:eastAsia="Times New Roman" w:hAnsi="Times New Roman"/>
          <w:sz w:val="20"/>
          <w:szCs w:val="20"/>
        </w:rPr>
        <w:t xml:space="preserve"> dönüşmesidir.</w:t>
      </w:r>
    </w:p>
    <w:p w14:paraId="6C724A62" w14:textId="77777777" w:rsidR="00190DB6" w:rsidRPr="00C7468B" w:rsidRDefault="00190DB6" w:rsidP="00190DB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72D8DD9" w14:textId="070CE327" w:rsidR="00190DB6" w:rsidRPr="00C7468B" w:rsidRDefault="00EA19F9" w:rsidP="00EA19F9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7468B">
        <w:rPr>
          <w:rFonts w:ascii="Times New Roman" w:hAnsi="Times New Roman"/>
          <w:sz w:val="20"/>
          <w:szCs w:val="20"/>
        </w:rPr>
        <w:t xml:space="preserve">Formik asit birikimi klinik belirtilerle ilintilidir. Burada görülen laktik </w:t>
      </w:r>
      <w:proofErr w:type="spellStart"/>
      <w:r w:rsidRPr="00C7468B">
        <w:rPr>
          <w:rFonts w:ascii="Times New Roman" w:hAnsi="Times New Roman"/>
          <w:sz w:val="20"/>
          <w:szCs w:val="20"/>
        </w:rPr>
        <w:t>asidozun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nedeni; formik </w:t>
      </w:r>
      <w:proofErr w:type="spellStart"/>
      <w:r w:rsidRPr="00C7468B">
        <w:rPr>
          <w:rFonts w:ascii="Times New Roman" w:hAnsi="Times New Roman"/>
          <w:sz w:val="20"/>
          <w:szCs w:val="20"/>
        </w:rPr>
        <w:t>asitin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mitokondrial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solunumu sınırlandırıcı etkisi ve bunun sonucunda görülen dokularda oksijen azalmasıdır </w:t>
      </w:r>
      <w:r w:rsidRPr="00C7468B">
        <w:rPr>
          <w:rFonts w:ascii="Times New Roman" w:hAnsi="Times New Roman"/>
          <w:sz w:val="20"/>
          <w:szCs w:val="20"/>
        </w:rPr>
        <w:lastRenderedPageBreak/>
        <w:t>(</w:t>
      </w:r>
      <w:proofErr w:type="spellStart"/>
      <w:r w:rsidRPr="00C7468B">
        <w:rPr>
          <w:rFonts w:ascii="Times New Roman" w:hAnsi="Times New Roman"/>
          <w:sz w:val="20"/>
          <w:szCs w:val="20"/>
        </w:rPr>
        <w:t>hipoksia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). Retinada formaldehit oluşumu özellikle “kör sarhoş” diye tanımlanan körlüğe neden olan optik </w:t>
      </w:r>
      <w:proofErr w:type="spellStart"/>
      <w:r w:rsidRPr="00C7468B">
        <w:rPr>
          <w:rFonts w:ascii="Times New Roman" w:hAnsi="Times New Roman"/>
          <w:sz w:val="20"/>
          <w:szCs w:val="20"/>
        </w:rPr>
        <w:t>papillit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ve </w:t>
      </w:r>
      <w:proofErr w:type="spellStart"/>
      <w:r w:rsidRPr="00C7468B">
        <w:rPr>
          <w:rFonts w:ascii="Times New Roman" w:hAnsi="Times New Roman"/>
          <w:sz w:val="20"/>
          <w:szCs w:val="20"/>
        </w:rPr>
        <w:t>retinal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ödeme yol açar.</w:t>
      </w:r>
    </w:p>
    <w:p w14:paraId="3BB5A0E9" w14:textId="3D57EE60" w:rsidR="00EA19F9" w:rsidRPr="00C7468B" w:rsidRDefault="00EA19F9" w:rsidP="00EA19F9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7468B">
        <w:rPr>
          <w:rFonts w:ascii="Times New Roman" w:hAnsi="Times New Roman"/>
          <w:sz w:val="20"/>
          <w:szCs w:val="20"/>
        </w:rPr>
        <w:t xml:space="preserve">       Formik </w:t>
      </w:r>
      <w:proofErr w:type="spellStart"/>
      <w:r w:rsidRPr="00C7468B">
        <w:rPr>
          <w:rFonts w:ascii="Times New Roman" w:hAnsi="Times New Roman"/>
          <w:sz w:val="20"/>
          <w:szCs w:val="20"/>
        </w:rPr>
        <w:t>asitin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karbon dioksit ve suya parçalan-</w:t>
      </w:r>
      <w:proofErr w:type="spellStart"/>
      <w:r w:rsidRPr="00C7468B">
        <w:rPr>
          <w:rFonts w:ascii="Times New Roman" w:hAnsi="Times New Roman"/>
          <w:sz w:val="20"/>
          <w:szCs w:val="20"/>
        </w:rPr>
        <w:t>masında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folat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bir </w:t>
      </w:r>
      <w:proofErr w:type="spellStart"/>
      <w:r w:rsidRPr="00C7468B">
        <w:rPr>
          <w:rFonts w:ascii="Times New Roman" w:hAnsi="Times New Roman"/>
          <w:sz w:val="20"/>
          <w:szCs w:val="20"/>
        </w:rPr>
        <w:t>kofaktör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olduğundan olayı, </w:t>
      </w:r>
      <w:proofErr w:type="spellStart"/>
      <w:r w:rsidRPr="00C7468B">
        <w:rPr>
          <w:rFonts w:ascii="Times New Roman" w:hAnsi="Times New Roman"/>
          <w:sz w:val="20"/>
          <w:szCs w:val="20"/>
        </w:rPr>
        <w:t>folat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eksikliği olan alkolikler </w:t>
      </w:r>
      <w:proofErr w:type="spellStart"/>
      <w:r w:rsidRPr="00C7468B">
        <w:rPr>
          <w:rFonts w:ascii="Times New Roman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toksisitesine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daha çok duyarlıdırlar. </w:t>
      </w:r>
      <w:proofErr w:type="spellStart"/>
      <w:r w:rsidRPr="00C7468B">
        <w:rPr>
          <w:rFonts w:ascii="Times New Roman" w:hAnsi="Times New Roman"/>
          <w:sz w:val="20"/>
          <w:szCs w:val="20"/>
        </w:rPr>
        <w:t>Toksisiteye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neden olan </w:t>
      </w:r>
      <w:proofErr w:type="spellStart"/>
      <w:r w:rsidRPr="00C7468B">
        <w:rPr>
          <w:rFonts w:ascii="Times New Roman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miktarı değişiklik gösterir. %40’lık çözeltilerde 15mL gibi küçük dozlarda bile ölüm olayları rapor edilmiştir. Ancak 30 </w:t>
      </w:r>
      <w:proofErr w:type="spellStart"/>
      <w:r w:rsidRPr="00C7468B">
        <w:rPr>
          <w:rFonts w:ascii="Times New Roman" w:hAnsi="Times New Roman"/>
          <w:sz w:val="20"/>
          <w:szCs w:val="20"/>
        </w:rPr>
        <w:t>mL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lik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%40’lık çözelti ölümcül doz olarak kabul edilmesine karşın, 500-600 </w:t>
      </w:r>
      <w:proofErr w:type="spellStart"/>
      <w:r w:rsidRPr="00C7468B">
        <w:rPr>
          <w:rFonts w:ascii="Times New Roman" w:hAnsi="Times New Roman"/>
          <w:sz w:val="20"/>
          <w:szCs w:val="20"/>
        </w:rPr>
        <w:t>mL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enjekte edildikten sonra yaşanan olgular rapor edilmiştir.</w:t>
      </w:r>
    </w:p>
    <w:p w14:paraId="6B12424F" w14:textId="41EAEA67" w:rsidR="002E5B97" w:rsidRPr="00C7468B" w:rsidRDefault="00E85F49" w:rsidP="00EA19F9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7468B">
        <w:rPr>
          <w:rFonts w:ascii="Times New Roman" w:hAnsi="Times New Roman"/>
          <w:b/>
          <w:sz w:val="20"/>
          <w:szCs w:val="20"/>
        </w:rPr>
        <w:t xml:space="preserve">2. </w:t>
      </w:r>
      <w:r w:rsidR="00804011" w:rsidRPr="00C7468B">
        <w:rPr>
          <w:rFonts w:ascii="Times New Roman" w:hAnsi="Times New Roman"/>
          <w:b/>
          <w:sz w:val="20"/>
          <w:szCs w:val="20"/>
        </w:rPr>
        <w:t>Materyal ve Yöntem</w:t>
      </w:r>
    </w:p>
    <w:p w14:paraId="3F1618F3" w14:textId="2E791072" w:rsidR="00190DB6" w:rsidRPr="00C7468B" w:rsidRDefault="00EA19F9" w:rsidP="00190DB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7468B">
        <w:rPr>
          <w:rFonts w:ascii="Times New Roman" w:eastAsia="Times New Roman" w:hAnsi="Times New Roman"/>
          <w:sz w:val="20"/>
          <w:szCs w:val="20"/>
        </w:rPr>
        <w:t xml:space="preserve">       Bu çalışmanın hazırlanması</w:t>
      </w:r>
      <w:r w:rsidR="0010681C" w:rsidRPr="00C7468B">
        <w:rPr>
          <w:rFonts w:ascii="Times New Roman" w:eastAsia="Times New Roman" w:hAnsi="Times New Roman"/>
          <w:sz w:val="20"/>
          <w:szCs w:val="20"/>
        </w:rPr>
        <w:t xml:space="preserve"> konusu</w:t>
      </w:r>
      <w:r w:rsidRPr="00C7468B">
        <w:rPr>
          <w:rFonts w:ascii="Times New Roman" w:eastAsia="Times New Roman" w:hAnsi="Times New Roman"/>
          <w:sz w:val="20"/>
          <w:szCs w:val="20"/>
        </w:rPr>
        <w:t xml:space="preserve">nda literatür araştırması yöntemi </w:t>
      </w:r>
      <w:r w:rsidR="0010681C" w:rsidRPr="00C7468B">
        <w:rPr>
          <w:rFonts w:ascii="Times New Roman" w:eastAsia="Times New Roman" w:hAnsi="Times New Roman"/>
          <w:sz w:val="20"/>
          <w:szCs w:val="20"/>
        </w:rPr>
        <w:t>benimsenmiştir</w:t>
      </w:r>
      <w:r w:rsidRPr="00C7468B">
        <w:rPr>
          <w:rFonts w:ascii="Times New Roman" w:eastAsia="Times New Roman" w:hAnsi="Times New Roman"/>
          <w:sz w:val="20"/>
          <w:szCs w:val="20"/>
        </w:rPr>
        <w:t>.</w:t>
      </w:r>
      <w:r w:rsidR="00190DB6" w:rsidRPr="00C7468B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6B185A5E" w14:textId="77777777" w:rsidR="00501EE7" w:rsidRPr="00C7468B" w:rsidRDefault="00501EE7" w:rsidP="002C18E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4B5996D" w14:textId="77777777" w:rsidR="002C18EA" w:rsidRPr="00C7468B" w:rsidRDefault="002C18EA" w:rsidP="002C18E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52D4475" w14:textId="4088E83A" w:rsidR="002E5B97" w:rsidRPr="00C7468B" w:rsidRDefault="00BB2506" w:rsidP="002C18EA">
      <w:pPr>
        <w:pStyle w:val="ListeParagraf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C7468B">
        <w:rPr>
          <w:rFonts w:ascii="Times New Roman" w:hAnsi="Times New Roman"/>
          <w:b/>
          <w:sz w:val="20"/>
          <w:szCs w:val="20"/>
        </w:rPr>
        <w:t>3</w:t>
      </w:r>
      <w:r w:rsidR="002E5B97" w:rsidRPr="00C7468B">
        <w:rPr>
          <w:rFonts w:ascii="Times New Roman" w:hAnsi="Times New Roman"/>
          <w:b/>
          <w:sz w:val="20"/>
          <w:szCs w:val="20"/>
        </w:rPr>
        <w:t xml:space="preserve">. </w:t>
      </w:r>
      <w:r w:rsidR="00804011" w:rsidRPr="00C7468B">
        <w:rPr>
          <w:rFonts w:ascii="Times New Roman" w:hAnsi="Times New Roman"/>
          <w:b/>
          <w:sz w:val="20"/>
          <w:szCs w:val="20"/>
        </w:rPr>
        <w:t>Bulgular</w:t>
      </w:r>
    </w:p>
    <w:p w14:paraId="0741FCE0" w14:textId="77777777" w:rsidR="001671BF" w:rsidRPr="00C7468B" w:rsidRDefault="001671BF" w:rsidP="002C18EA">
      <w:pPr>
        <w:pStyle w:val="ListeParagraf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0C7FA673" w14:textId="2475D682" w:rsidR="00EA19F9" w:rsidRPr="00C7468B" w:rsidRDefault="00EA19F9" w:rsidP="00EA19F9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7468B">
        <w:rPr>
          <w:rFonts w:ascii="Times New Roman" w:eastAsia="Times New Roman" w:hAnsi="Times New Roman"/>
          <w:sz w:val="20"/>
          <w:szCs w:val="20"/>
        </w:rPr>
        <w:t xml:space="preserve">      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Metanolün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toksik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metabolitlerine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dönüşümü uzun zaman aldığından, zehirlenmelere bağlı belirtiler 12-18 saatten önce ortaya çıkmayabilir. Eğer birlikte etanol de alınmış ise, belirtiler daha da geç ortaya çıkabilir.</w:t>
      </w:r>
    </w:p>
    <w:p w14:paraId="182138AF" w14:textId="77777777" w:rsidR="00EA19F9" w:rsidRPr="00C7468B" w:rsidRDefault="00EA19F9" w:rsidP="00EA19F9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7468B">
        <w:rPr>
          <w:rFonts w:ascii="Times New Roman" w:eastAsia="Times New Roman" w:hAnsi="Times New Roman"/>
          <w:sz w:val="20"/>
          <w:szCs w:val="20"/>
        </w:rPr>
        <w:t xml:space="preserve">       Kardinal klinik bulgular; merkezi sinir sistemi depresyonu (etanole benzer şekilde), görme bozukluğu, karın ağrısı ve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metabolik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asidozdur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. Hastaneye geldiğinde kişi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konfüze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ve hatta şiddetli olgularda koma durumunda olabilir.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Vertigo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C7468B">
        <w:rPr>
          <w:rFonts w:ascii="Times New Roman" w:eastAsia="Times New Roman" w:hAnsi="Times New Roman"/>
          <w:spacing w:val="-2"/>
          <w:sz w:val="20"/>
          <w:szCs w:val="20"/>
        </w:rPr>
        <w:t>nöbetleri ve baş ağrısı da görülebilir. Görme bozukluğu</w:t>
      </w:r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insidansı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yaklaşık %50dir. Bunlar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diplopi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, bulanık görme, görme keskinliğinin azalması,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fotofobi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, karlı bir bölgeye bakma gibi tanımlamalar, görme alanında daralma ve körlüktür.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Klinisyen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nistagmus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fikse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ve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dilate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pupiller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retinal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ödem, optik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atrofi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veya optik diskte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hiperemi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gibi bulgular saptayabilir. Bilgisayarlı tomografi (CT)’de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parkinsonizm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ile uyumlu sayılabilecek bazal gangliyon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enfarktları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görülebilir.</w:t>
      </w:r>
    </w:p>
    <w:p w14:paraId="61A7DB06" w14:textId="77777777" w:rsidR="0010681C" w:rsidRPr="00C7468B" w:rsidRDefault="00EA19F9" w:rsidP="00EA19F9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7468B">
        <w:rPr>
          <w:rFonts w:ascii="Times New Roman" w:eastAsia="Times New Roman" w:hAnsi="Times New Roman"/>
          <w:sz w:val="20"/>
          <w:szCs w:val="20"/>
        </w:rPr>
        <w:t xml:space="preserve">      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, potansiyel bir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mukozal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tahriş edicidir ve hastaların yarısından çoğunda şiddetli karın ağrısı ve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pankreatit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sıkça rapor edilmiştir. Ancak şiddetli alıma rağmen, sindirim sistemi bulguları görülmeyebilir. Düşük tansiyon ve düşük nabız geç bulgulardır ve kötüye gidiş olduğunu gösterir. Hastanın gidişatı serum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derişiminden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çok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asidozun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şiddeti ile ilişkilidir. </w:t>
      </w:r>
    </w:p>
    <w:p w14:paraId="4D88602C" w14:textId="7F8A4F3D" w:rsidR="00EA19F9" w:rsidRPr="00C7468B" w:rsidRDefault="00EA19F9" w:rsidP="00EA19F9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intoksikasyonunun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tanısı öykü, belirgin klinik bulgular, geniş anyon açıklık ve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metabolik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asidozun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bulunması ile konur. Tanının doğrulanması maddenin kanda gösterilmesine dayanmasına karşın gecikmeye bağlı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morbiditeden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kaçınmak için uygun klinik tablo ortaya çıktığında ivedilikle sağaltıma başlanmalıdır.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Endojen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kaynaklardan oluşan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C7468B">
        <w:rPr>
          <w:rFonts w:ascii="Times New Roman" w:eastAsia="Times New Roman" w:hAnsi="Times New Roman"/>
          <w:sz w:val="20"/>
          <w:szCs w:val="20"/>
        </w:rPr>
        <w:t xml:space="preserve">derişimi 0,05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>/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dL’dir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.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Asemptomatik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kişilerde pik düzeyi 20mL/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dL’nin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altındadır.</w:t>
      </w:r>
    </w:p>
    <w:p w14:paraId="01E970EC" w14:textId="07B54E85" w:rsidR="00767E14" w:rsidRPr="00C7468B" w:rsidRDefault="00EA19F9" w:rsidP="00EA19F9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7468B">
        <w:rPr>
          <w:rFonts w:ascii="Times New Roman" w:eastAsia="Times New Roman" w:hAnsi="Times New Roman"/>
          <w:sz w:val="20"/>
          <w:szCs w:val="20"/>
        </w:rPr>
        <w:t xml:space="preserve">      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Endojen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kaynaklardan oluşan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derişimi 0,05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>/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dL’dir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.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Asemptomatik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kişilerde pik düzeyi 20mL/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dL’nin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altındadır. 50mL/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dL’nin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üzerindeki değerler şiddetli zehirlenmeyi gösterir. Merkezi sinir sistemi belirtileri 20mg/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dL’nin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ve göz sorunları 50mg/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dL’nin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üzerinde ortaya çıkar. 150-200mg/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dL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üzerindeki değerlerde ise ölüm riski artar. Ayırıcı tanıda etilen glikol, diyabetik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ketoasidoz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izoniyazit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salisilatlar, demir, laktik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asidoz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ve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fenformin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toksisiteleri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ile üremi gibi geniş anyon açıklık,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metabolik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asidoza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neden olan durumlar düşünülmelidir.</w:t>
      </w:r>
      <w:r w:rsidR="00767E14" w:rsidRPr="00C7468B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6AD30615" w14:textId="77777777" w:rsidR="00EA19F9" w:rsidRPr="00C7468B" w:rsidRDefault="00EA19F9" w:rsidP="00EA19F9">
      <w:pPr>
        <w:rPr>
          <w:rFonts w:ascii="Times New Roman" w:eastAsia="Times New Roman" w:hAnsi="Times New Roman"/>
          <w:b/>
          <w:sz w:val="20"/>
          <w:szCs w:val="20"/>
        </w:rPr>
      </w:pPr>
      <w:r w:rsidRPr="00C7468B">
        <w:rPr>
          <w:rFonts w:ascii="Times New Roman" w:eastAsia="Times New Roman" w:hAnsi="Times New Roman"/>
          <w:b/>
          <w:sz w:val="20"/>
          <w:szCs w:val="20"/>
        </w:rPr>
        <w:t xml:space="preserve">4. Sağaltım </w:t>
      </w:r>
    </w:p>
    <w:p w14:paraId="1AE557A1" w14:textId="77777777" w:rsidR="0010681C" w:rsidRPr="00C7468B" w:rsidRDefault="0010681C" w:rsidP="0010681C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İntoksikasyondan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kuşkulanıldığında damar yolu (IV) açılır, kan glikozu bakılır ve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endikasyon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varsa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tiamin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ve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naloksan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verilir. </w:t>
      </w:r>
    </w:p>
    <w:p w14:paraId="0C7E357B" w14:textId="6B5F873D" w:rsidR="0010681C" w:rsidRPr="00C7468B" w:rsidRDefault="0010681C" w:rsidP="0010681C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7468B">
        <w:rPr>
          <w:rFonts w:ascii="Times New Roman" w:eastAsia="Times New Roman" w:hAnsi="Times New Roman"/>
          <w:sz w:val="20"/>
          <w:szCs w:val="20"/>
        </w:rPr>
        <w:t>Sağaltımda yer alan genel önlemler:</w:t>
      </w:r>
    </w:p>
    <w:p w14:paraId="60D65AB1" w14:textId="251A61C4" w:rsidR="0010681C" w:rsidRPr="00C7468B" w:rsidRDefault="0010681C" w:rsidP="0010681C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7468B">
        <w:rPr>
          <w:rFonts w:ascii="Times New Roman" w:eastAsia="Times New Roman" w:hAnsi="Times New Roman"/>
          <w:sz w:val="20"/>
          <w:szCs w:val="20"/>
        </w:rPr>
        <w:t>1- Destek sağaltım,</w:t>
      </w:r>
    </w:p>
    <w:p w14:paraId="1A621C2F" w14:textId="434B4C92" w:rsidR="0010681C" w:rsidRPr="00C7468B" w:rsidRDefault="0010681C" w:rsidP="0010681C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7468B">
        <w:rPr>
          <w:rFonts w:ascii="Times New Roman" w:eastAsia="Times New Roman" w:hAnsi="Times New Roman"/>
          <w:sz w:val="20"/>
          <w:szCs w:val="20"/>
        </w:rPr>
        <w:t xml:space="preserve">2-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Asidozun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düzeltilmesi,</w:t>
      </w:r>
    </w:p>
    <w:p w14:paraId="40DFEF6C" w14:textId="3943B0CE" w:rsidR="0010681C" w:rsidRPr="00C7468B" w:rsidRDefault="0010681C" w:rsidP="0010681C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7468B">
        <w:rPr>
          <w:rFonts w:ascii="Times New Roman" w:eastAsia="Times New Roman" w:hAnsi="Times New Roman"/>
          <w:sz w:val="20"/>
          <w:szCs w:val="20"/>
        </w:rPr>
        <w:t xml:space="preserve">3-Toksik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metabolitlere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dönüşümü azaltmak için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fomepizol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ya da etanol verilmesi,</w:t>
      </w:r>
    </w:p>
    <w:p w14:paraId="69F0CC7C" w14:textId="0B55E1FB" w:rsidR="0010681C" w:rsidRPr="00C7468B" w:rsidRDefault="0010681C" w:rsidP="0010681C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7468B">
        <w:rPr>
          <w:rFonts w:ascii="Times New Roman" w:eastAsia="Times New Roman" w:hAnsi="Times New Roman"/>
          <w:sz w:val="20"/>
          <w:szCs w:val="20"/>
        </w:rPr>
        <w:t xml:space="preserve">4-Metanolu elimine etmek için hemodiyaliz. </w:t>
      </w:r>
    </w:p>
    <w:p w14:paraId="55E1B179" w14:textId="466A897A" w:rsidR="0010681C" w:rsidRPr="00C7468B" w:rsidRDefault="0010681C" w:rsidP="0010681C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7468B">
        <w:rPr>
          <w:rFonts w:ascii="Times New Roman" w:eastAsia="Times New Roman" w:hAnsi="Times New Roman"/>
          <w:sz w:val="20"/>
          <w:szCs w:val="20"/>
        </w:rPr>
        <w:t xml:space="preserve">Şayet hasta alımdan hemen sonra gelmişse,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gastrik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lavaj uygulanabilir. Lavaj sıvısı olarak 5-10 kez 300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%3-5’lik sodyum bikarbonat çözeltisi kullanılır. Geç kalma durumunda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gastrik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lavajın </w:t>
      </w:r>
      <w:bookmarkStart w:id="0" w:name="_GoBack"/>
      <w:bookmarkEnd w:id="0"/>
      <w:r w:rsidR="00C7468B" w:rsidRPr="00C7468B">
        <w:rPr>
          <w:rFonts w:ascii="Times New Roman" w:eastAsia="Times New Roman" w:hAnsi="Times New Roman"/>
          <w:sz w:val="20"/>
          <w:szCs w:val="20"/>
        </w:rPr>
        <w:t>hiçbir</w:t>
      </w:r>
      <w:r w:rsidRPr="00C7468B">
        <w:rPr>
          <w:rFonts w:ascii="Times New Roman" w:eastAsia="Times New Roman" w:hAnsi="Times New Roman"/>
          <w:sz w:val="20"/>
          <w:szCs w:val="20"/>
        </w:rPr>
        <w:t xml:space="preserve"> yararı yoktur.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Metanolün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aktif karbona bağlanması çok zayıftır; bu yöntemin yararı yoktur. Gerekirse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entübasyon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uygulanır. Kan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pH’sını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normale getirmek için sodyum bikarbonat (yemek sodası, NaHCO3) çözeltisi verilmelidir. Çünkü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metanolün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görme bozukluğu gibi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toksik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etkileri,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metabolik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asidozun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düzeltilmesi ile bir miktar düzelir. Bu amaçla %8,4 derişimde hazırlanmış (1mEq/ml) sodyum bikarbonat çözeltisi 1-2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mEq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/kg dozunda,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izotonik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sodyum klorür serum içine katılarak hastaya yavaş yavaş IV yolla uygulanır.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Fomepizol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başlangıç sağaltımında başarılı bir biçimde kullanılır, ancak bu konuda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fomepizolun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etilen glikol zehirlenmesinde kullanılması kadar deneyim yoktur.</w:t>
      </w:r>
    </w:p>
    <w:p w14:paraId="4E625589" w14:textId="2D923051" w:rsidR="0010681C" w:rsidRPr="00C7468B" w:rsidRDefault="0010681C" w:rsidP="0010681C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7468B">
        <w:rPr>
          <w:rFonts w:ascii="Times New Roman" w:eastAsia="Times New Roman" w:hAnsi="Times New Roman"/>
          <w:sz w:val="20"/>
          <w:szCs w:val="20"/>
        </w:rPr>
        <w:t xml:space="preserve">Bir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alkoldehidrogenaz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engelleyici olan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fomepizol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toksik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metobolit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oluşumunu önler.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Fomepizol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, etanolün tersine merkezi sinir sistemi depresyonu yapmaz. Çoğu uzmanlar, erişkin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toksitesinde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etanol yerine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fomepizolü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önermektedir.</w:t>
      </w:r>
    </w:p>
    <w:p w14:paraId="228B3E40" w14:textId="6081C390" w:rsidR="0010681C" w:rsidRPr="00C7468B" w:rsidRDefault="0010681C" w:rsidP="0010681C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7468B">
        <w:rPr>
          <w:rFonts w:ascii="Times New Roman" w:eastAsia="Times New Roman" w:hAnsi="Times New Roman"/>
          <w:sz w:val="20"/>
          <w:szCs w:val="20"/>
        </w:rPr>
        <w:t xml:space="preserve">Ancak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fomepizol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kullanımı diyaliz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endikasyonunu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değiştirmez. Kimi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klinisyenler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ise sağaltımda etanolü tercih etmektedirler Çocuklarda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fomepizol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kullanımı ile ilgili yeterli veri yoktur.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Fomepizol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15mg/kg’a yükleme dozunu takiben her 12 saatte bir 10mg/kg’</w:t>
      </w:r>
      <w:r w:rsidR="00815EC4" w:rsidRPr="00C7468B">
        <w:rPr>
          <w:rFonts w:ascii="Times New Roman" w:eastAsia="Times New Roman" w:hAnsi="Times New Roman"/>
          <w:sz w:val="20"/>
          <w:szCs w:val="20"/>
        </w:rPr>
        <w:t>-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lastRenderedPageBreak/>
        <w:t>lık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4 dozda verilir. Her doz 30 dakikalık bir süreyle damar yolundan yavaş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infüzyonla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verilir.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Fomepizol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dializle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atılacağından diyalize giren hastalar da doz sıklığı arttırılmalıdır. </w:t>
      </w:r>
    </w:p>
    <w:p w14:paraId="71FDC856" w14:textId="1E91AF68" w:rsidR="005F7484" w:rsidRPr="00C7468B" w:rsidRDefault="0010681C" w:rsidP="0010681C">
      <w:pPr>
        <w:spacing w:line="240" w:lineRule="auto"/>
        <w:jc w:val="both"/>
        <w:rPr>
          <w:rFonts w:ascii="Times New Roman" w:eastAsia="Times" w:hAnsi="Times New Roman"/>
          <w:b/>
          <w:sz w:val="20"/>
          <w:szCs w:val="20"/>
        </w:rPr>
      </w:pPr>
      <w:r w:rsidRPr="00C7468B">
        <w:rPr>
          <w:rFonts w:ascii="Times New Roman" w:eastAsia="Times" w:hAnsi="Times New Roman"/>
          <w:b/>
          <w:sz w:val="20"/>
          <w:szCs w:val="20"/>
        </w:rPr>
        <w:t>5. Tartışma</w:t>
      </w:r>
    </w:p>
    <w:p w14:paraId="014B14F7" w14:textId="27BB218D" w:rsidR="0010681C" w:rsidRPr="00C7468B" w:rsidRDefault="0010681C" w:rsidP="0010681C">
      <w:pPr>
        <w:spacing w:line="240" w:lineRule="auto"/>
        <w:jc w:val="both"/>
        <w:rPr>
          <w:rFonts w:ascii="Times New Roman" w:eastAsia="Times" w:hAnsi="Times New Roman"/>
          <w:sz w:val="20"/>
          <w:szCs w:val="20"/>
        </w:rPr>
      </w:pPr>
      <w:proofErr w:type="spellStart"/>
      <w:r w:rsidRPr="00C7468B">
        <w:rPr>
          <w:rFonts w:ascii="Times New Roman" w:eastAsia="Times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zehirlenmesinde, sağaltımın başlangıcında klasik olarak etanol kullanılır. Etanolün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alkoldehidrogenaz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enzimlerine 10-20 kat daha fazla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afinitesi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vardır ve bunu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kompetatif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olarak engeller. </w:t>
      </w:r>
      <w:proofErr w:type="spellStart"/>
      <w:r w:rsidRPr="00C7468B">
        <w:rPr>
          <w:rFonts w:ascii="Times New Roman" w:eastAsia="Times" w:hAnsi="Times New Roman"/>
          <w:spacing w:val="-2"/>
          <w:sz w:val="20"/>
          <w:szCs w:val="20"/>
        </w:rPr>
        <w:t>Toksik</w:t>
      </w:r>
      <w:proofErr w:type="spellEnd"/>
      <w:r w:rsidRPr="00C7468B">
        <w:rPr>
          <w:rFonts w:ascii="Times New Roman" w:eastAsia="Times" w:hAnsi="Times New Roman"/>
          <w:spacing w:val="-2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" w:hAnsi="Times New Roman"/>
          <w:spacing w:val="-2"/>
          <w:sz w:val="20"/>
          <w:szCs w:val="20"/>
        </w:rPr>
        <w:t>metabolit</w:t>
      </w:r>
      <w:proofErr w:type="spellEnd"/>
      <w:r w:rsidRPr="00C7468B">
        <w:rPr>
          <w:rFonts w:ascii="Times New Roman" w:eastAsia="Times" w:hAnsi="Times New Roman"/>
          <w:spacing w:val="-2"/>
          <w:sz w:val="20"/>
          <w:szCs w:val="20"/>
        </w:rPr>
        <w:t xml:space="preserve"> oluşumunu tümüyle engelleyebilmek</w:t>
      </w:r>
      <w:r w:rsidRPr="00C7468B">
        <w:rPr>
          <w:rFonts w:ascii="Times New Roman" w:eastAsia="Times" w:hAnsi="Times New Roman"/>
          <w:sz w:val="20"/>
          <w:szCs w:val="20"/>
        </w:rPr>
        <w:t xml:space="preserve"> için 100-150mg/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dL’lik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etanol düzeyi sağlanmalıdır. 100mg/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dL’nin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altındaki düzeylerde etkinlik düşüktür ve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toksisite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artar.</w:t>
      </w:r>
    </w:p>
    <w:p w14:paraId="6276A747" w14:textId="38700865" w:rsidR="0010681C" w:rsidRPr="00C7468B" w:rsidRDefault="0010681C" w:rsidP="0010681C">
      <w:pPr>
        <w:spacing w:line="240" w:lineRule="auto"/>
        <w:jc w:val="both"/>
        <w:rPr>
          <w:rFonts w:ascii="Times New Roman" w:eastAsia="Times" w:hAnsi="Times New Roman"/>
          <w:sz w:val="20"/>
          <w:szCs w:val="20"/>
        </w:rPr>
      </w:pPr>
      <w:r w:rsidRPr="00C7468B">
        <w:rPr>
          <w:rFonts w:ascii="Times New Roman" w:eastAsia="Times" w:hAnsi="Times New Roman"/>
          <w:sz w:val="20"/>
          <w:szCs w:val="20"/>
        </w:rPr>
        <w:t xml:space="preserve">Etanol damardan, ağızdan ya da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nazogastrik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tüp yoluyla verilebilir. Ancak damar yolu (IV) tercih edilmelidir. Damar yolunun komplikasyonu yüzeysel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tromboflebite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neden olur. Damar yolu çözeltisi %5’lik serum dekstroz içinde %10 etanol içermelidir. Oral dozda %20 ya da %30’luk derişim kullanılabilir. 100-150 mg/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dL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etanol düzeyini sağlamak için damardan ya da ağızdan 0,6-0,8gr/kg yükleme dozu ve saatte yaklaşık 0,11gr/kg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lık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sürerlik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dozu verilmelidir. </w:t>
      </w:r>
    </w:p>
    <w:p w14:paraId="7CFC37D7" w14:textId="01BA2893" w:rsidR="0010681C" w:rsidRPr="00C7468B" w:rsidRDefault="0010681C" w:rsidP="0010681C">
      <w:pPr>
        <w:spacing w:line="240" w:lineRule="auto"/>
        <w:jc w:val="both"/>
        <w:rPr>
          <w:rFonts w:ascii="Times New Roman" w:eastAsia="Times" w:hAnsi="Times New Roman"/>
          <w:sz w:val="20"/>
          <w:szCs w:val="20"/>
        </w:rPr>
      </w:pPr>
      <w:r w:rsidRPr="00C7468B">
        <w:rPr>
          <w:rFonts w:ascii="Times New Roman" w:eastAsia="Times" w:hAnsi="Times New Roman"/>
          <w:sz w:val="20"/>
          <w:szCs w:val="20"/>
        </w:rPr>
        <w:t xml:space="preserve">Eğer önerilen %5’lik serum dekstroz içinde %10’luk etanol kullanılırsa, yükleme dozu 10mg/kg ve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sürerlik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dozu saatte 1,6mg/kg olur. Eğer hasta etanol bağımlısı (yani artmış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hepatik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eliminasyon) ise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sürerlik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infüzyonuna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15gr/kg’dan başlanmalıdır.</w:t>
      </w:r>
    </w:p>
    <w:p w14:paraId="0E8405F4" w14:textId="0C7B7794" w:rsidR="0010681C" w:rsidRPr="00C7468B" w:rsidRDefault="0010681C" w:rsidP="0010681C">
      <w:pPr>
        <w:spacing w:line="240" w:lineRule="auto"/>
        <w:jc w:val="both"/>
        <w:rPr>
          <w:rFonts w:ascii="Times New Roman" w:eastAsia="Times" w:hAnsi="Times New Roman"/>
          <w:sz w:val="20"/>
          <w:szCs w:val="20"/>
        </w:rPr>
      </w:pPr>
      <w:proofErr w:type="spellStart"/>
      <w:r w:rsidRPr="00C7468B">
        <w:rPr>
          <w:rFonts w:ascii="Times New Roman" w:eastAsia="Times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düzeyi sıfıra gelinceye dek etanol verilmesi sürdürülmelidir. Eğer diyalize başlanmış ise, etanol diyaliz edilen bir madde olduğundan, etanol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sürerlik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dozu daha yüksek olmalıdır (0,24 g/kg/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sa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>). Etanol verilmesiyle hipoglisemi görülürse, kan glikoz düzeyi izlemi uygulanmalıdır.</w:t>
      </w:r>
    </w:p>
    <w:p w14:paraId="79E50FDE" w14:textId="120BCE8A" w:rsidR="0010681C" w:rsidRPr="00C7468B" w:rsidRDefault="0010681C" w:rsidP="0010681C">
      <w:pPr>
        <w:spacing w:line="240" w:lineRule="auto"/>
        <w:jc w:val="both"/>
        <w:rPr>
          <w:rFonts w:ascii="Times New Roman" w:eastAsia="Times" w:hAnsi="Times New Roman"/>
          <w:sz w:val="20"/>
          <w:szCs w:val="20"/>
        </w:rPr>
      </w:pPr>
      <w:r w:rsidRPr="00C7468B">
        <w:rPr>
          <w:rFonts w:ascii="Times New Roman" w:eastAsia="Times" w:hAnsi="Times New Roman"/>
          <w:spacing w:val="-2"/>
          <w:sz w:val="20"/>
          <w:szCs w:val="20"/>
        </w:rPr>
        <w:t>Görme ve merkezi sinir sistemi bozuklukları bulguları</w:t>
      </w:r>
      <w:r w:rsidRPr="00C7468B">
        <w:rPr>
          <w:rFonts w:ascii="Times New Roman" w:eastAsia="Times" w:hAnsi="Times New Roman"/>
          <w:sz w:val="20"/>
          <w:szCs w:val="20"/>
        </w:rPr>
        <w:t xml:space="preserve"> görüldüğünde 25 mg /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dL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düzeylerinde,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düzeyine bakılmaksızın şiddetli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metabolik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asidoz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varlığında ve 30mL’nin üzerinde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alımında diyaliz uygulanmalıdır. Hemodiyaliz, periton diyalizinden daha etkilidir. Diyaliz hem maddeyi hem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toksik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metabolitleri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elimine eder.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Fomepizol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sağılımı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alan hastalarda diyaliz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endikasyonları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değişmez.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Folat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metabolizmasında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kofaktör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olduğundan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folat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eksikliği olanlarda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folat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verilir. Bütün hastalara birkaç gün boyunca damar yoluyla 50mg/kg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folat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verilmesi önerilir.</w:t>
      </w:r>
    </w:p>
    <w:p w14:paraId="5602FAD4" w14:textId="1220ECAD" w:rsidR="0010681C" w:rsidRPr="00C7468B" w:rsidRDefault="0010681C" w:rsidP="00B55752">
      <w:pPr>
        <w:spacing w:line="240" w:lineRule="auto"/>
        <w:jc w:val="both"/>
        <w:rPr>
          <w:rFonts w:ascii="Times New Roman" w:eastAsia="Times" w:hAnsi="Times New Roman"/>
          <w:b/>
          <w:sz w:val="20"/>
          <w:szCs w:val="20"/>
        </w:rPr>
      </w:pPr>
      <w:r w:rsidRPr="00C7468B">
        <w:rPr>
          <w:rFonts w:ascii="Times New Roman" w:eastAsia="Times" w:hAnsi="Times New Roman"/>
          <w:sz w:val="20"/>
          <w:szCs w:val="20"/>
        </w:rPr>
        <w:t>20 mg/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dL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’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nin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üstündeki dozlar 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toksik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kabul edilir. 40 mg/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dL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üstü çok ciddi bozukluklara yol açar. 80-100 mg/</w:t>
      </w:r>
      <w:proofErr w:type="spellStart"/>
      <w:r w:rsidRPr="00C7468B">
        <w:rPr>
          <w:rFonts w:ascii="Times New Roman" w:eastAsia="Times" w:hAnsi="Times New Roman"/>
          <w:sz w:val="20"/>
          <w:szCs w:val="20"/>
        </w:rPr>
        <w:t>dL’lik</w:t>
      </w:r>
      <w:proofErr w:type="spellEnd"/>
      <w:r w:rsidRPr="00C7468B">
        <w:rPr>
          <w:rFonts w:ascii="Times New Roman" w:eastAsia="Times" w:hAnsi="Times New Roman"/>
          <w:sz w:val="20"/>
          <w:szCs w:val="20"/>
        </w:rPr>
        <w:t xml:space="preserve"> düzey genellikle ölümcül sınır düzey olarak kabul edilir.</w:t>
      </w:r>
    </w:p>
    <w:p w14:paraId="4734C9F0" w14:textId="1485419C" w:rsidR="00B55752" w:rsidRPr="00C7468B" w:rsidRDefault="00B55752" w:rsidP="00B55752">
      <w:pPr>
        <w:spacing w:after="12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C7468B">
        <w:rPr>
          <w:rFonts w:ascii="Times New Roman" w:eastAsia="Times New Roman" w:hAnsi="Times New Roman"/>
          <w:b/>
          <w:sz w:val="20"/>
          <w:szCs w:val="20"/>
        </w:rPr>
        <w:t>6. Sonuç</w:t>
      </w:r>
    </w:p>
    <w:p w14:paraId="4F33E1A4" w14:textId="55557244" w:rsidR="00B55752" w:rsidRPr="00C7468B" w:rsidRDefault="00B55752" w:rsidP="00B55752">
      <w:pPr>
        <w:jc w:val="both"/>
        <w:rPr>
          <w:rFonts w:ascii="Times New Roman" w:eastAsia="Times New Roman" w:hAnsi="Times New Roman"/>
          <w:sz w:val="20"/>
          <w:szCs w:val="20"/>
        </w:rPr>
      </w:pPr>
      <w:r w:rsidRPr="00C7468B">
        <w:rPr>
          <w:rFonts w:ascii="Times New Roman" w:eastAsia="Times New Roman" w:hAnsi="Times New Roman"/>
          <w:sz w:val="20"/>
          <w:szCs w:val="20"/>
        </w:rPr>
        <w:t xml:space="preserve">Yüksek anyon açıklığından dolayı tanımlanamayan bir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metabolik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asidoz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ya da illegal alkollü içeceklerin </w:t>
      </w:r>
      <w:r w:rsidRPr="00C7468B">
        <w:rPr>
          <w:rFonts w:ascii="Times New Roman" w:eastAsia="Times New Roman" w:hAnsi="Times New Roman"/>
          <w:sz w:val="20"/>
          <w:szCs w:val="20"/>
        </w:rPr>
        <w:t xml:space="preserve">alınmasını izleyen zaman diliminde kronik alkol içicilerinde ortaya çıkan görme güçlüğü veya nörolojik bozukluklar gibi bulgularla gelen tüm hastalarda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zehirlenmesi kuşkusu </w:t>
      </w:r>
      <w:r w:rsidRPr="00C7468B">
        <w:rPr>
          <w:rFonts w:ascii="Times New Roman" w:eastAsia="Times New Roman" w:hAnsi="Times New Roman"/>
          <w:spacing w:val="-2"/>
          <w:sz w:val="20"/>
          <w:szCs w:val="20"/>
        </w:rPr>
        <w:t xml:space="preserve">duyulmalıdır. </w:t>
      </w:r>
      <w:proofErr w:type="spellStart"/>
      <w:r w:rsidRPr="00C7468B">
        <w:rPr>
          <w:rFonts w:ascii="Times New Roman" w:eastAsia="Times New Roman" w:hAnsi="Times New Roman"/>
          <w:spacing w:val="-2"/>
          <w:sz w:val="20"/>
          <w:szCs w:val="20"/>
        </w:rPr>
        <w:t>Metanol</w:t>
      </w:r>
      <w:proofErr w:type="spellEnd"/>
      <w:r w:rsidRPr="00C7468B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pacing w:val="-2"/>
          <w:sz w:val="20"/>
          <w:szCs w:val="20"/>
        </w:rPr>
        <w:t>intoksikasyonunda</w:t>
      </w:r>
      <w:proofErr w:type="spellEnd"/>
      <w:r w:rsidRPr="00C7468B">
        <w:rPr>
          <w:rFonts w:ascii="Times New Roman" w:eastAsia="Times New Roman" w:hAnsi="Times New Roman"/>
          <w:spacing w:val="-2"/>
          <w:sz w:val="20"/>
          <w:szCs w:val="20"/>
        </w:rPr>
        <w:t xml:space="preserve"> ölüm oranı,</w:t>
      </w:r>
      <w:r w:rsidRPr="00C7468B">
        <w:rPr>
          <w:rFonts w:ascii="Times New Roman" w:eastAsia="Times New Roman" w:hAnsi="Times New Roman"/>
          <w:sz w:val="20"/>
          <w:szCs w:val="20"/>
        </w:rPr>
        <w:t xml:space="preserve"> aşırı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metabolik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asidoz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(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pH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≤6.90), suni solunum aparatı gerekliliği ve hasta kabulde koma ve felç olaylarına bağlıdır. </w:t>
      </w:r>
      <w:proofErr w:type="spellStart"/>
      <w:r w:rsidRPr="00C7468B">
        <w:rPr>
          <w:rFonts w:ascii="Times New Roman" w:eastAsia="Times New Roman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eastAsia="Times New Roman" w:hAnsi="Times New Roman"/>
          <w:sz w:val="20"/>
          <w:szCs w:val="20"/>
        </w:rPr>
        <w:t xml:space="preserve"> zehirlenmelerinde bikarbonatın, etanolün ve destek sağaltımın yanı sıra hemodiyalizin (HD) de yaşam kurtarıcı önemli bir yeri olduğu unutulmamalıdır. </w:t>
      </w:r>
    </w:p>
    <w:p w14:paraId="69FF3788" w14:textId="1464282C" w:rsidR="0010681C" w:rsidRPr="00C7468B" w:rsidRDefault="00B55752" w:rsidP="00B55752">
      <w:pPr>
        <w:spacing w:after="12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C7468B">
        <w:rPr>
          <w:rFonts w:ascii="Times New Roman" w:eastAsia="Times New Roman" w:hAnsi="Times New Roman"/>
          <w:b/>
          <w:sz w:val="20"/>
          <w:szCs w:val="20"/>
        </w:rPr>
        <w:t>Kaynaklar</w:t>
      </w:r>
    </w:p>
    <w:p w14:paraId="151BF717" w14:textId="083A447B" w:rsidR="00B55752" w:rsidRPr="00C7468B" w:rsidRDefault="00B55752" w:rsidP="00B55752">
      <w:pPr>
        <w:tabs>
          <w:tab w:val="left" w:pos="142"/>
        </w:tabs>
        <w:spacing w:after="120" w:line="240" w:lineRule="auto"/>
        <w:rPr>
          <w:rFonts w:ascii="Times New Roman" w:hAnsi="Times New Roman"/>
          <w:sz w:val="20"/>
          <w:szCs w:val="20"/>
        </w:rPr>
      </w:pPr>
      <w:r w:rsidRPr="00C7468B">
        <w:rPr>
          <w:rFonts w:ascii="Times New Roman" w:hAnsi="Times New Roman"/>
          <w:sz w:val="20"/>
          <w:szCs w:val="20"/>
        </w:rPr>
        <w:t xml:space="preserve">1- </w:t>
      </w:r>
      <w:proofErr w:type="spellStart"/>
      <w:r w:rsidRPr="00C7468B">
        <w:rPr>
          <w:rFonts w:ascii="Times New Roman" w:hAnsi="Times New Roman"/>
          <w:sz w:val="20"/>
          <w:szCs w:val="20"/>
        </w:rPr>
        <w:t>Frequently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Asked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Questions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(FAQ) on </w:t>
      </w:r>
      <w:proofErr w:type="spellStart"/>
      <w:r w:rsidRPr="00C7468B">
        <w:rPr>
          <w:rFonts w:ascii="Times New Roman" w:hAnsi="Times New Roman"/>
          <w:sz w:val="20"/>
          <w:szCs w:val="20"/>
        </w:rPr>
        <w:t>Methanol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Poisonings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&amp; </w:t>
      </w:r>
      <w:proofErr w:type="spellStart"/>
      <w:r w:rsidRPr="00C7468B">
        <w:rPr>
          <w:rFonts w:ascii="Times New Roman" w:hAnsi="Times New Roman"/>
          <w:sz w:val="20"/>
          <w:szCs w:val="20"/>
        </w:rPr>
        <w:t>Treatment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hyperlink r:id="rId13" w:history="1">
        <w:r w:rsidRPr="00C7468B">
          <w:rPr>
            <w:rStyle w:val="Kpr"/>
            <w:rFonts w:ascii="Times New Roman" w:hAnsi="Times New Roman"/>
            <w:sz w:val="20"/>
            <w:szCs w:val="20"/>
          </w:rPr>
          <w:t>http://www.methanol.org/wp-content/uploads/2017/02/FAQ-on-methanol-poisoning-treatment-20160322-EN-general.pdf</w:t>
        </w:r>
      </w:hyperlink>
      <w:r w:rsidRPr="00C7468B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C7468B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C7468B">
        <w:rPr>
          <w:rFonts w:ascii="Times New Roman" w:hAnsi="Times New Roman"/>
          <w:sz w:val="20"/>
          <w:szCs w:val="20"/>
        </w:rPr>
        <w:t>s/e 2018.09.06).</w:t>
      </w:r>
    </w:p>
    <w:p w14:paraId="6CE2DF41" w14:textId="18FE8F5C" w:rsidR="00B55752" w:rsidRPr="00C7468B" w:rsidRDefault="00B55752" w:rsidP="00B55752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C7468B">
        <w:rPr>
          <w:rFonts w:ascii="Times New Roman" w:hAnsi="Times New Roman"/>
          <w:sz w:val="20"/>
          <w:szCs w:val="20"/>
        </w:rPr>
        <w:t xml:space="preserve">2- </w:t>
      </w:r>
      <w:proofErr w:type="spellStart"/>
      <w:r w:rsidRPr="00C7468B">
        <w:rPr>
          <w:rFonts w:ascii="Times New Roman" w:hAnsi="Times New Roman"/>
          <w:sz w:val="20"/>
          <w:szCs w:val="20"/>
        </w:rPr>
        <w:t>Tejas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D, </w:t>
      </w:r>
      <w:proofErr w:type="spellStart"/>
      <w:r w:rsidRPr="00C7468B">
        <w:rPr>
          <w:rFonts w:ascii="Times New Roman" w:hAnsi="Times New Roman"/>
          <w:sz w:val="20"/>
          <w:szCs w:val="20"/>
        </w:rPr>
        <w:t>Aditya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S. et al, “</w:t>
      </w:r>
      <w:proofErr w:type="spellStart"/>
      <w:r w:rsidRPr="00C7468B">
        <w:rPr>
          <w:rFonts w:ascii="Times New Roman" w:hAnsi="Times New Roman"/>
          <w:sz w:val="20"/>
          <w:szCs w:val="20"/>
        </w:rPr>
        <w:t>Methanol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Poisoning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468B">
        <w:rPr>
          <w:rFonts w:ascii="Times New Roman" w:hAnsi="Times New Roman"/>
          <w:sz w:val="20"/>
          <w:szCs w:val="20"/>
        </w:rPr>
        <w:t>Predictors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of Visual </w:t>
      </w:r>
      <w:proofErr w:type="spellStart"/>
      <w:r w:rsidRPr="00C7468B">
        <w:rPr>
          <w:rFonts w:ascii="Times New Roman" w:hAnsi="Times New Roman"/>
          <w:sz w:val="20"/>
          <w:szCs w:val="20"/>
        </w:rPr>
        <w:t>Outcomes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”, </w:t>
      </w:r>
      <w:proofErr w:type="spellStart"/>
      <w:r w:rsidRPr="00C7468B">
        <w:rPr>
          <w:rFonts w:ascii="Times New Roman" w:hAnsi="Times New Roman"/>
          <w:sz w:val="20"/>
          <w:szCs w:val="20"/>
        </w:rPr>
        <w:t>Jama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Ophthalmol</w:t>
      </w:r>
      <w:proofErr w:type="spellEnd"/>
      <w:r w:rsidRPr="00C7468B">
        <w:rPr>
          <w:rFonts w:ascii="Times New Roman" w:hAnsi="Times New Roman"/>
          <w:sz w:val="20"/>
          <w:szCs w:val="20"/>
        </w:rPr>
        <w:t>/</w:t>
      </w:r>
      <w:proofErr w:type="spellStart"/>
      <w:r w:rsidRPr="00C7468B">
        <w:rPr>
          <w:rFonts w:ascii="Times New Roman" w:hAnsi="Times New Roman"/>
          <w:sz w:val="20"/>
          <w:szCs w:val="20"/>
        </w:rPr>
        <w:t>Vol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131 (</w:t>
      </w:r>
      <w:proofErr w:type="spellStart"/>
      <w:r w:rsidRPr="00C7468B">
        <w:rPr>
          <w:rFonts w:ascii="Times New Roman" w:hAnsi="Times New Roman"/>
          <w:sz w:val="20"/>
          <w:szCs w:val="20"/>
        </w:rPr>
        <w:t>Nr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. 3), Mar 2013 www. jamaophth.com  </w:t>
      </w:r>
    </w:p>
    <w:p w14:paraId="569BBFC4" w14:textId="02487E50" w:rsidR="00B55752" w:rsidRPr="00C7468B" w:rsidRDefault="00B55752" w:rsidP="00B55752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C7468B">
        <w:rPr>
          <w:rFonts w:ascii="Times New Roman" w:hAnsi="Times New Roman"/>
          <w:sz w:val="20"/>
          <w:szCs w:val="20"/>
        </w:rPr>
        <w:t xml:space="preserve">3- </w:t>
      </w:r>
      <w:proofErr w:type="spellStart"/>
      <w:r w:rsidRPr="00C7468B">
        <w:rPr>
          <w:rFonts w:ascii="Times New Roman" w:hAnsi="Times New Roman"/>
          <w:sz w:val="20"/>
          <w:szCs w:val="20"/>
        </w:rPr>
        <w:t>Methanol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Safety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C7468B">
        <w:rPr>
          <w:rFonts w:ascii="Times New Roman" w:hAnsi="Times New Roman"/>
          <w:sz w:val="20"/>
          <w:szCs w:val="20"/>
        </w:rPr>
        <w:t>Sheet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468B">
        <w:rPr>
          <w:rFonts w:ascii="Times New Roman" w:hAnsi="Times New Roman"/>
          <w:sz w:val="20"/>
          <w:szCs w:val="20"/>
        </w:rPr>
        <w:t>Valtech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Diagnostic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Inc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., </w:t>
      </w:r>
      <w:proofErr w:type="spellStart"/>
      <w:r w:rsidRPr="00C7468B">
        <w:rPr>
          <w:rFonts w:ascii="Times New Roman" w:hAnsi="Times New Roman"/>
          <w:sz w:val="20"/>
          <w:szCs w:val="20"/>
        </w:rPr>
        <w:t>Date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C7468B">
        <w:rPr>
          <w:rFonts w:ascii="Times New Roman" w:hAnsi="Times New Roman"/>
          <w:sz w:val="20"/>
          <w:szCs w:val="20"/>
        </w:rPr>
        <w:t>issue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: 07/03/2013 </w:t>
      </w:r>
      <w:proofErr w:type="spellStart"/>
      <w:r w:rsidRPr="00C7468B">
        <w:rPr>
          <w:rFonts w:ascii="Times New Roman" w:hAnsi="Times New Roman"/>
          <w:sz w:val="20"/>
          <w:szCs w:val="20"/>
        </w:rPr>
        <w:t>Revision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date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: 11/15/2013 </w:t>
      </w:r>
      <w:proofErr w:type="spellStart"/>
      <w:r w:rsidRPr="00C7468B">
        <w:rPr>
          <w:rFonts w:ascii="Times New Roman" w:hAnsi="Times New Roman"/>
          <w:sz w:val="20"/>
          <w:szCs w:val="20"/>
        </w:rPr>
        <w:t>Supersedes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: 10/02/2013 </w:t>
      </w:r>
      <w:proofErr w:type="spellStart"/>
      <w:r w:rsidRPr="00C7468B">
        <w:rPr>
          <w:rFonts w:ascii="Times New Roman" w:hAnsi="Times New Roman"/>
          <w:sz w:val="20"/>
          <w:szCs w:val="20"/>
        </w:rPr>
        <w:t>Version</w:t>
      </w:r>
      <w:proofErr w:type="spellEnd"/>
      <w:r w:rsidRPr="00C7468B">
        <w:rPr>
          <w:rFonts w:ascii="Times New Roman" w:hAnsi="Times New Roman"/>
          <w:sz w:val="20"/>
          <w:szCs w:val="20"/>
        </w:rPr>
        <w:t>: 1.2</w:t>
      </w:r>
    </w:p>
    <w:p w14:paraId="3018A57C" w14:textId="6ABA157E" w:rsidR="00B55752" w:rsidRPr="00C7468B" w:rsidRDefault="00A85F03" w:rsidP="00B55752">
      <w:pPr>
        <w:spacing w:after="120" w:line="240" w:lineRule="auto"/>
        <w:rPr>
          <w:rFonts w:ascii="Times New Roman" w:hAnsi="Times New Roman"/>
          <w:sz w:val="20"/>
          <w:szCs w:val="20"/>
        </w:rPr>
      </w:pPr>
      <w:hyperlink r:id="rId14" w:history="1">
        <w:r w:rsidR="00B55752" w:rsidRPr="00C7468B">
          <w:rPr>
            <w:rStyle w:val="Kpr"/>
            <w:rFonts w:ascii="Times New Roman" w:hAnsi="Times New Roman"/>
            <w:sz w:val="20"/>
            <w:szCs w:val="20"/>
          </w:rPr>
          <w:t>https://www.labchem.com/tools/msds/msds/VT430.pdf</w:t>
        </w:r>
      </w:hyperlink>
      <w:r w:rsidR="00B55752" w:rsidRPr="00C7468B">
        <w:rPr>
          <w:rFonts w:ascii="Times New Roman" w:hAnsi="Times New Roman"/>
          <w:sz w:val="20"/>
          <w:szCs w:val="20"/>
        </w:rPr>
        <w:t xml:space="preserve">  (s/e 2018.09.06)</w:t>
      </w:r>
    </w:p>
    <w:p w14:paraId="3C915360" w14:textId="7FD767A0" w:rsidR="00B55752" w:rsidRPr="00C7468B" w:rsidRDefault="00B55752" w:rsidP="00B55752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C7468B">
        <w:rPr>
          <w:rFonts w:ascii="Times New Roman" w:hAnsi="Times New Roman"/>
          <w:sz w:val="20"/>
          <w:szCs w:val="20"/>
        </w:rPr>
        <w:t xml:space="preserve">4-Kute V B, </w:t>
      </w:r>
      <w:proofErr w:type="spellStart"/>
      <w:r w:rsidRPr="00C7468B">
        <w:rPr>
          <w:rFonts w:ascii="Times New Roman" w:hAnsi="Times New Roman"/>
          <w:sz w:val="20"/>
          <w:szCs w:val="20"/>
        </w:rPr>
        <w:t>Godora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S M et al, “</w:t>
      </w:r>
      <w:proofErr w:type="spellStart"/>
      <w:r w:rsidRPr="00C7468B">
        <w:rPr>
          <w:rFonts w:ascii="Times New Roman" w:hAnsi="Times New Roman"/>
          <w:sz w:val="20"/>
          <w:szCs w:val="20"/>
        </w:rPr>
        <w:t>Hemodialysis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for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methyl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alcohol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poisoning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: A </w:t>
      </w:r>
      <w:proofErr w:type="spellStart"/>
      <w:r w:rsidRPr="00C7468B">
        <w:rPr>
          <w:rFonts w:ascii="Times New Roman" w:hAnsi="Times New Roman"/>
          <w:sz w:val="20"/>
          <w:szCs w:val="20"/>
        </w:rPr>
        <w:t>single-center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experience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”, </w:t>
      </w:r>
      <w:proofErr w:type="spellStart"/>
      <w:r w:rsidRPr="00C7468B">
        <w:rPr>
          <w:rFonts w:ascii="Times New Roman" w:hAnsi="Times New Roman"/>
          <w:sz w:val="20"/>
          <w:szCs w:val="20"/>
        </w:rPr>
        <w:t>Saudi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Journal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C7468B">
        <w:rPr>
          <w:rFonts w:ascii="Times New Roman" w:hAnsi="Times New Roman"/>
          <w:sz w:val="20"/>
          <w:szCs w:val="20"/>
        </w:rPr>
        <w:t>Kidney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Diseases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and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Transplantation</w:t>
      </w:r>
      <w:proofErr w:type="spellEnd"/>
      <w:r w:rsidRPr="00C7468B">
        <w:rPr>
          <w:rFonts w:ascii="Times New Roman" w:hAnsi="Times New Roman"/>
          <w:sz w:val="20"/>
          <w:szCs w:val="20"/>
        </w:rPr>
        <w:t>, 2012;23(1):37-43</w:t>
      </w:r>
    </w:p>
    <w:p w14:paraId="2E384EBC" w14:textId="31DDFB26" w:rsidR="00B55752" w:rsidRPr="00C7468B" w:rsidRDefault="00B55752" w:rsidP="00B55752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C7468B">
        <w:rPr>
          <w:rFonts w:ascii="Times New Roman" w:hAnsi="Times New Roman"/>
          <w:sz w:val="20"/>
          <w:szCs w:val="20"/>
        </w:rPr>
        <w:t xml:space="preserve">5- </w:t>
      </w:r>
      <w:proofErr w:type="spellStart"/>
      <w:r w:rsidRPr="00C7468B">
        <w:rPr>
          <w:rFonts w:ascii="Times New Roman" w:hAnsi="Times New Roman"/>
          <w:sz w:val="20"/>
          <w:szCs w:val="20"/>
        </w:rPr>
        <w:t>Clary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J </w:t>
      </w:r>
      <w:proofErr w:type="spellStart"/>
      <w:r w:rsidRPr="00C7468B">
        <w:rPr>
          <w:rFonts w:ascii="Times New Roman" w:hAnsi="Times New Roman"/>
          <w:sz w:val="20"/>
          <w:szCs w:val="20"/>
        </w:rPr>
        <w:t>J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C7468B">
        <w:rPr>
          <w:rFonts w:ascii="Times New Roman" w:hAnsi="Times New Roman"/>
          <w:sz w:val="20"/>
          <w:szCs w:val="20"/>
        </w:rPr>
        <w:t>editor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), (2013), </w:t>
      </w:r>
      <w:proofErr w:type="spellStart"/>
      <w:r w:rsidRPr="00C7468B">
        <w:rPr>
          <w:rFonts w:ascii="Times New Roman" w:hAnsi="Times New Roman"/>
          <w:sz w:val="20"/>
          <w:szCs w:val="20"/>
        </w:rPr>
        <w:t>The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Toxicology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C7468B">
        <w:rPr>
          <w:rFonts w:ascii="Times New Roman" w:hAnsi="Times New Roman"/>
          <w:sz w:val="20"/>
          <w:szCs w:val="20"/>
        </w:rPr>
        <w:t>Methanol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, John </w:t>
      </w:r>
      <w:proofErr w:type="spellStart"/>
      <w:r w:rsidRPr="00C7468B">
        <w:rPr>
          <w:rFonts w:ascii="Times New Roman" w:hAnsi="Times New Roman"/>
          <w:sz w:val="20"/>
          <w:szCs w:val="20"/>
        </w:rPr>
        <w:t>Wiley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&amp; </w:t>
      </w:r>
      <w:proofErr w:type="spellStart"/>
      <w:r w:rsidRPr="00C7468B">
        <w:rPr>
          <w:rFonts w:ascii="Times New Roman" w:hAnsi="Times New Roman"/>
          <w:sz w:val="20"/>
          <w:szCs w:val="20"/>
        </w:rPr>
        <w:t>Sons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468B">
        <w:rPr>
          <w:rFonts w:ascii="Times New Roman" w:hAnsi="Times New Roman"/>
          <w:sz w:val="20"/>
          <w:szCs w:val="20"/>
        </w:rPr>
        <w:t>Inc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., </w:t>
      </w:r>
      <w:proofErr w:type="spellStart"/>
      <w:r w:rsidRPr="00C7468B">
        <w:rPr>
          <w:rFonts w:ascii="Times New Roman" w:hAnsi="Times New Roman"/>
          <w:sz w:val="20"/>
          <w:szCs w:val="20"/>
        </w:rPr>
        <w:t>Hoboken</w:t>
      </w:r>
      <w:proofErr w:type="spellEnd"/>
      <w:r w:rsidRPr="00C7468B">
        <w:rPr>
          <w:rFonts w:ascii="Times New Roman" w:hAnsi="Times New Roman"/>
          <w:sz w:val="20"/>
          <w:szCs w:val="20"/>
        </w:rPr>
        <w:t>, NJ.</w:t>
      </w:r>
    </w:p>
    <w:p w14:paraId="4131595D" w14:textId="7C2C2B01" w:rsidR="00B55752" w:rsidRPr="00C7468B" w:rsidRDefault="00B55752" w:rsidP="00B55752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C7468B">
        <w:rPr>
          <w:rFonts w:ascii="Times New Roman" w:hAnsi="Times New Roman"/>
          <w:sz w:val="20"/>
          <w:szCs w:val="20"/>
        </w:rPr>
        <w:t xml:space="preserve">6- Charles J C </w:t>
      </w:r>
      <w:proofErr w:type="spellStart"/>
      <w:r w:rsidRPr="00C7468B">
        <w:rPr>
          <w:rFonts w:ascii="Times New Roman" w:hAnsi="Times New Roman"/>
          <w:sz w:val="20"/>
          <w:szCs w:val="20"/>
        </w:rPr>
        <w:t>and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Heilman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R L, “</w:t>
      </w:r>
      <w:proofErr w:type="spellStart"/>
      <w:r w:rsidRPr="00C7468B">
        <w:rPr>
          <w:rFonts w:ascii="Times New Roman" w:hAnsi="Times New Roman"/>
          <w:sz w:val="20"/>
          <w:szCs w:val="20"/>
        </w:rPr>
        <w:t>Metabolic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Acidosis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”, </w:t>
      </w:r>
      <w:proofErr w:type="spellStart"/>
      <w:r w:rsidRPr="00C7468B">
        <w:rPr>
          <w:rFonts w:ascii="Times New Roman" w:hAnsi="Times New Roman"/>
          <w:sz w:val="20"/>
          <w:szCs w:val="20"/>
        </w:rPr>
        <w:t>Hospital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Physician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468B">
        <w:rPr>
          <w:rFonts w:ascii="Times New Roman" w:hAnsi="Times New Roman"/>
          <w:sz w:val="20"/>
          <w:szCs w:val="20"/>
        </w:rPr>
        <w:t>March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2005, pp.37-42.</w:t>
      </w:r>
    </w:p>
    <w:p w14:paraId="1D3E212D" w14:textId="1036D1CE" w:rsidR="00B55752" w:rsidRPr="00C7468B" w:rsidRDefault="00B55752" w:rsidP="00B55752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C7468B">
        <w:rPr>
          <w:rFonts w:ascii="Times New Roman" w:hAnsi="Times New Roman"/>
          <w:sz w:val="20"/>
          <w:szCs w:val="20"/>
        </w:rPr>
        <w:t>7- Kavalcı C, Sezenler E et al, “</w:t>
      </w:r>
      <w:proofErr w:type="spellStart"/>
      <w:r w:rsidRPr="00C7468B">
        <w:rPr>
          <w:rFonts w:ascii="Times New Roman" w:hAnsi="Times New Roman"/>
          <w:sz w:val="20"/>
          <w:szCs w:val="20"/>
        </w:rPr>
        <w:t>Metanol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Zehirlenmesi: Olgu Sunumu”, Akademik Acil Tıp Olgu Sunumları Dergisi 2011, Cilt: 2 Sayı:1, ss.14-16.</w:t>
      </w:r>
    </w:p>
    <w:p w14:paraId="738B6D66" w14:textId="152F0362" w:rsidR="00B55752" w:rsidRPr="00C7468B" w:rsidRDefault="00B55752" w:rsidP="00B55752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C7468B">
        <w:rPr>
          <w:rFonts w:ascii="Times New Roman" w:hAnsi="Times New Roman"/>
          <w:sz w:val="20"/>
          <w:szCs w:val="20"/>
        </w:rPr>
        <w:t>8- Demircan A, Keles A et al, “</w:t>
      </w:r>
      <w:proofErr w:type="spellStart"/>
      <w:r w:rsidRPr="00C7468B">
        <w:rPr>
          <w:rFonts w:ascii="Times New Roman" w:hAnsi="Times New Roman"/>
          <w:sz w:val="20"/>
          <w:szCs w:val="20"/>
        </w:rPr>
        <w:t>Fatal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Methanol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Poisoning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”, </w:t>
      </w:r>
      <w:proofErr w:type="spellStart"/>
      <w:r w:rsidRPr="00C7468B">
        <w:rPr>
          <w:rFonts w:ascii="Times New Roman" w:hAnsi="Times New Roman"/>
          <w:sz w:val="20"/>
          <w:szCs w:val="20"/>
        </w:rPr>
        <w:t>Journal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C7468B">
        <w:rPr>
          <w:rFonts w:ascii="Times New Roman" w:hAnsi="Times New Roman"/>
          <w:sz w:val="20"/>
          <w:szCs w:val="20"/>
        </w:rPr>
        <w:t>Emergency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Medicine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468B">
        <w:rPr>
          <w:rFonts w:ascii="Times New Roman" w:hAnsi="Times New Roman"/>
          <w:sz w:val="20"/>
          <w:szCs w:val="20"/>
        </w:rPr>
        <w:t>Trauma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and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Acute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Care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, Vol.9, </w:t>
      </w:r>
      <w:proofErr w:type="spellStart"/>
      <w:r w:rsidRPr="00C7468B">
        <w:rPr>
          <w:rFonts w:ascii="Times New Roman" w:hAnsi="Times New Roman"/>
          <w:sz w:val="20"/>
          <w:szCs w:val="20"/>
        </w:rPr>
        <w:t>Issue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1, </w:t>
      </w:r>
      <w:proofErr w:type="spellStart"/>
      <w:r w:rsidRPr="00C7468B">
        <w:rPr>
          <w:rFonts w:ascii="Times New Roman" w:hAnsi="Times New Roman"/>
          <w:sz w:val="20"/>
          <w:szCs w:val="20"/>
        </w:rPr>
        <w:t>March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2000.</w:t>
      </w:r>
    </w:p>
    <w:p w14:paraId="46F0C8C8" w14:textId="1933FEAC" w:rsidR="00B55752" w:rsidRPr="00C7468B" w:rsidRDefault="00B55752" w:rsidP="00B55752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C7468B">
        <w:rPr>
          <w:rFonts w:ascii="Times New Roman" w:hAnsi="Times New Roman"/>
          <w:sz w:val="20"/>
          <w:szCs w:val="20"/>
        </w:rPr>
        <w:t xml:space="preserve">9- </w:t>
      </w:r>
      <w:proofErr w:type="spellStart"/>
      <w:r w:rsidRPr="00C7468B">
        <w:rPr>
          <w:rFonts w:ascii="Times New Roman" w:hAnsi="Times New Roman"/>
          <w:sz w:val="20"/>
          <w:szCs w:val="20"/>
        </w:rPr>
        <w:t>Sturkenboom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468B">
        <w:rPr>
          <w:rFonts w:ascii="Times New Roman" w:hAnsi="Times New Roman"/>
          <w:sz w:val="20"/>
          <w:szCs w:val="20"/>
        </w:rPr>
        <w:t>van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Rieke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&amp; </w:t>
      </w:r>
      <w:proofErr w:type="spellStart"/>
      <w:r w:rsidRPr="00C7468B">
        <w:rPr>
          <w:rFonts w:ascii="Times New Roman" w:hAnsi="Times New Roman"/>
          <w:sz w:val="20"/>
          <w:szCs w:val="20"/>
        </w:rPr>
        <w:t>Uges</w:t>
      </w:r>
      <w:proofErr w:type="spellEnd"/>
      <w:r w:rsidRPr="00C7468B">
        <w:rPr>
          <w:rFonts w:ascii="Times New Roman" w:hAnsi="Times New Roman"/>
          <w:sz w:val="20"/>
          <w:szCs w:val="20"/>
        </w:rPr>
        <w:t>, “</w:t>
      </w:r>
      <w:proofErr w:type="spellStart"/>
      <w:r w:rsidRPr="00C7468B">
        <w:rPr>
          <w:rFonts w:ascii="Times New Roman" w:hAnsi="Times New Roman"/>
          <w:sz w:val="20"/>
          <w:szCs w:val="20"/>
        </w:rPr>
        <w:t>Treatment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C7468B">
        <w:rPr>
          <w:rFonts w:ascii="Times New Roman" w:hAnsi="Times New Roman"/>
          <w:sz w:val="20"/>
          <w:szCs w:val="20"/>
        </w:rPr>
        <w:t>Ethylene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Glycol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and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Methanol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Poisoning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C7468B">
        <w:rPr>
          <w:rFonts w:ascii="Times New Roman" w:hAnsi="Times New Roman"/>
          <w:sz w:val="20"/>
          <w:szCs w:val="20"/>
        </w:rPr>
        <w:t>Why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Ethanol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?”, </w:t>
      </w:r>
      <w:proofErr w:type="spellStart"/>
      <w:r w:rsidRPr="00C7468B">
        <w:rPr>
          <w:rFonts w:ascii="Times New Roman" w:hAnsi="Times New Roman"/>
          <w:sz w:val="20"/>
          <w:szCs w:val="20"/>
        </w:rPr>
        <w:t>Netherlands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468B">
        <w:rPr>
          <w:rFonts w:ascii="Times New Roman" w:hAnsi="Times New Roman"/>
          <w:sz w:val="20"/>
          <w:szCs w:val="20"/>
        </w:rPr>
        <w:t>Journal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 of Critical </w:t>
      </w:r>
      <w:proofErr w:type="spellStart"/>
      <w:r w:rsidRPr="00C7468B">
        <w:rPr>
          <w:rFonts w:ascii="Times New Roman" w:hAnsi="Times New Roman"/>
          <w:sz w:val="20"/>
          <w:szCs w:val="20"/>
        </w:rPr>
        <w:t>Care</w:t>
      </w:r>
      <w:proofErr w:type="spellEnd"/>
      <w:r w:rsidRPr="00C7468B">
        <w:rPr>
          <w:rFonts w:ascii="Times New Roman" w:hAnsi="Times New Roman"/>
          <w:sz w:val="20"/>
          <w:szCs w:val="20"/>
        </w:rPr>
        <w:t xml:space="preserve">, Vol.13-Nr.6-December 2009, pp.297-302. </w:t>
      </w:r>
    </w:p>
    <w:p w14:paraId="5ED632C3" w14:textId="5F0694AE" w:rsidR="00BB2506" w:rsidRPr="00C7468B" w:rsidRDefault="00B55752" w:rsidP="00B55752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C7468B">
        <w:rPr>
          <w:rFonts w:ascii="Times New Roman" w:hAnsi="Times New Roman"/>
          <w:sz w:val="20"/>
          <w:szCs w:val="20"/>
        </w:rPr>
        <w:t xml:space="preserve">10- Vural N. (2005), Toksikoloji, A. Ü. Eczacılık Fak. Yayın </w:t>
      </w:r>
      <w:proofErr w:type="spellStart"/>
      <w:r w:rsidRPr="00C7468B">
        <w:rPr>
          <w:rFonts w:ascii="Times New Roman" w:hAnsi="Times New Roman"/>
          <w:sz w:val="20"/>
          <w:szCs w:val="20"/>
        </w:rPr>
        <w:t>nr</w:t>
      </w:r>
      <w:proofErr w:type="spellEnd"/>
      <w:r w:rsidRPr="00C7468B">
        <w:rPr>
          <w:rFonts w:ascii="Times New Roman" w:hAnsi="Times New Roman"/>
          <w:sz w:val="20"/>
          <w:szCs w:val="20"/>
        </w:rPr>
        <w:t>. 73, Ankara.</w:t>
      </w:r>
    </w:p>
    <w:sectPr w:rsidR="00BB2506" w:rsidRPr="00C7468B" w:rsidSect="00955688">
      <w:type w:val="continuous"/>
      <w:pgSz w:w="11906" w:h="16838" w:code="9"/>
      <w:pgMar w:top="1417" w:right="1417" w:bottom="1417" w:left="1417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88709" w14:textId="77777777" w:rsidR="00A85F03" w:rsidRDefault="00A85F03" w:rsidP="007C0DEA">
      <w:pPr>
        <w:spacing w:after="0" w:line="240" w:lineRule="auto"/>
      </w:pPr>
      <w:r>
        <w:separator/>
      </w:r>
    </w:p>
  </w:endnote>
  <w:endnote w:type="continuationSeparator" w:id="0">
    <w:p w14:paraId="07BD14C4" w14:textId="77777777" w:rsidR="00A85F03" w:rsidRDefault="00A85F03" w:rsidP="007C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4031698"/>
      <w:docPartObj>
        <w:docPartGallery w:val="Page Numbers (Bottom of Page)"/>
        <w:docPartUnique/>
      </w:docPartObj>
    </w:sdtPr>
    <w:sdtContent>
      <w:p w14:paraId="22167D65" w14:textId="3A186170" w:rsidR="00C7468B" w:rsidRDefault="00C7468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95F9A4" w14:textId="77777777" w:rsidR="00C45E13" w:rsidRDefault="00C45E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9485761"/>
      <w:docPartObj>
        <w:docPartGallery w:val="Page Numbers (Bottom of Page)"/>
        <w:docPartUnique/>
      </w:docPartObj>
    </w:sdtPr>
    <w:sdtContent>
      <w:p w14:paraId="3D226233" w14:textId="7E236E19" w:rsidR="00C7468B" w:rsidRDefault="00C7468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D046D" w14:textId="77777777" w:rsidR="00C45E13" w:rsidRDefault="00C45E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43FA5" w14:textId="77777777" w:rsidR="00A85F03" w:rsidRDefault="00A85F03" w:rsidP="007C0DEA">
      <w:pPr>
        <w:spacing w:after="0" w:line="240" w:lineRule="auto"/>
      </w:pPr>
      <w:r>
        <w:separator/>
      </w:r>
    </w:p>
  </w:footnote>
  <w:footnote w:type="continuationSeparator" w:id="0">
    <w:p w14:paraId="13C2C241" w14:textId="77777777" w:rsidR="00A85F03" w:rsidRDefault="00A85F03" w:rsidP="007C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B90FF" w14:textId="5B5B88EE" w:rsidR="00C45E13" w:rsidRPr="00614BD5" w:rsidRDefault="00C45E13" w:rsidP="00614BD5">
    <w:pPr>
      <w:pStyle w:val="stBilgi"/>
      <w:tabs>
        <w:tab w:val="clear" w:pos="4536"/>
      </w:tabs>
      <w:jc w:val="center"/>
      <w:rPr>
        <w:rFonts w:ascii="Cambria" w:hAnsi="Cambria"/>
        <w:i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00C45E13" w14:paraId="762D917E" w14:textId="77777777" w:rsidTr="00777C0A">
      <w:trPr>
        <w:trHeight w:val="983"/>
        <w:jc w:val="center"/>
      </w:trPr>
      <w:tc>
        <w:tcPr>
          <w:tcW w:w="4820" w:type="dxa"/>
        </w:tcPr>
        <w:p w14:paraId="28C35A2A" w14:textId="0CC21B3A" w:rsidR="00C45E13" w:rsidRPr="00D01597" w:rsidRDefault="00C45E13" w:rsidP="00D01597">
          <w:pPr>
            <w:pStyle w:val="stBilgi"/>
            <w:shd w:val="clear" w:color="auto" w:fill="FFFFFF" w:themeFill="background1"/>
            <w:contextualSpacing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OHS ACADEMY</w:t>
          </w:r>
          <w:r>
            <w:rPr>
              <w:rFonts w:ascii="Cambria" w:hAnsi="Cambria"/>
              <w:sz w:val="18"/>
              <w:szCs w:val="18"/>
            </w:rPr>
            <w:br/>
          </w:r>
          <w:r w:rsidR="00C7468B">
            <w:rPr>
              <w:rFonts w:ascii="Cambria" w:hAnsi="Cambria"/>
              <w:sz w:val="18"/>
              <w:szCs w:val="18"/>
            </w:rPr>
            <w:t>2</w:t>
          </w:r>
          <w:r>
            <w:rPr>
              <w:rFonts w:ascii="Cambria" w:hAnsi="Cambria"/>
              <w:sz w:val="18"/>
              <w:szCs w:val="18"/>
            </w:rPr>
            <w:t>(</w:t>
          </w:r>
          <w:r w:rsidR="00C7468B">
            <w:rPr>
              <w:rFonts w:ascii="Cambria" w:hAnsi="Cambria"/>
              <w:sz w:val="18"/>
              <w:szCs w:val="18"/>
            </w:rPr>
            <w:t>2</w:t>
          </w:r>
          <w:r w:rsidR="00B8144D">
            <w:rPr>
              <w:rFonts w:ascii="Cambria" w:hAnsi="Cambria"/>
              <w:sz w:val="18"/>
              <w:szCs w:val="18"/>
            </w:rPr>
            <w:t>)</w:t>
          </w:r>
          <w:r>
            <w:rPr>
              <w:rFonts w:ascii="Cambria" w:hAnsi="Cambria"/>
              <w:sz w:val="18"/>
              <w:szCs w:val="18"/>
            </w:rPr>
            <w:t xml:space="preserve">, </w:t>
          </w:r>
          <w:r w:rsidR="00C7468B">
            <w:rPr>
              <w:rFonts w:ascii="Cambria" w:hAnsi="Cambria"/>
              <w:sz w:val="18"/>
              <w:szCs w:val="18"/>
            </w:rPr>
            <w:t>30</w:t>
          </w:r>
          <w:r>
            <w:rPr>
              <w:rFonts w:ascii="Cambria" w:hAnsi="Cambria"/>
              <w:sz w:val="18"/>
              <w:szCs w:val="18"/>
            </w:rPr>
            <w:t>-</w:t>
          </w:r>
          <w:r w:rsidR="00C7468B">
            <w:rPr>
              <w:rFonts w:ascii="Cambria" w:hAnsi="Cambria"/>
              <w:sz w:val="18"/>
              <w:szCs w:val="18"/>
            </w:rPr>
            <w:t>8</w:t>
          </w:r>
          <w:r>
            <w:rPr>
              <w:rFonts w:ascii="Cambria" w:hAnsi="Cambria"/>
              <w:sz w:val="18"/>
              <w:szCs w:val="18"/>
            </w:rPr>
            <w:t xml:space="preserve">, </w:t>
          </w:r>
          <w:r w:rsidR="00B8144D">
            <w:rPr>
              <w:rFonts w:ascii="Cambria" w:hAnsi="Cambria"/>
              <w:sz w:val="18"/>
              <w:szCs w:val="18"/>
            </w:rPr>
            <w:t>20</w:t>
          </w:r>
          <w:r w:rsidR="00C7468B">
            <w:rPr>
              <w:rFonts w:ascii="Cambria" w:hAnsi="Cambria"/>
              <w:sz w:val="18"/>
              <w:szCs w:val="18"/>
            </w:rPr>
            <w:t>19</w:t>
          </w:r>
        </w:p>
        <w:p w14:paraId="2DEA4B02" w14:textId="54EB248E" w:rsidR="00C45E13" w:rsidRDefault="00C45E13" w:rsidP="00D01597">
          <w:pPr>
            <w:pStyle w:val="stBilgi"/>
            <w:shd w:val="clear" w:color="auto" w:fill="FFFFFF" w:themeFill="background1"/>
            <w:tabs>
              <w:tab w:val="clear" w:pos="4536"/>
              <w:tab w:val="clear" w:pos="9072"/>
              <w:tab w:val="left" w:pos="2869"/>
            </w:tabs>
            <w:contextualSpacing/>
            <w:rPr>
              <w:rFonts w:ascii="Cambria" w:hAnsi="Cambria"/>
              <w:sz w:val="18"/>
              <w:szCs w:val="18"/>
            </w:rPr>
          </w:pPr>
          <w:r w:rsidRPr="00BE310E">
            <w:rPr>
              <w:rFonts w:ascii="Cambria" w:hAnsi="Cambria"/>
              <w:sz w:val="18"/>
              <w:szCs w:val="18"/>
            </w:rPr>
            <w:t>ISSN-2630-578X</w:t>
          </w:r>
          <w:r w:rsidRPr="00BB2731">
            <w:rPr>
              <w:rFonts w:ascii="Cambria" w:hAnsi="Cambria"/>
              <w:sz w:val="18"/>
              <w:szCs w:val="18"/>
            </w:rPr>
            <w:tab/>
          </w:r>
          <w:r>
            <w:rPr>
              <w:rFonts w:ascii="Cambria" w:hAnsi="Cambria"/>
              <w:sz w:val="18"/>
              <w:szCs w:val="18"/>
            </w:rPr>
            <w:t xml:space="preserve">      </w:t>
          </w:r>
        </w:p>
        <w:p w14:paraId="2404290E" w14:textId="104C5829" w:rsidR="00C45E13" w:rsidRPr="00777C0A" w:rsidRDefault="00C45E13" w:rsidP="00777C0A">
          <w:pPr>
            <w:pStyle w:val="stBilgi"/>
            <w:tabs>
              <w:tab w:val="clear" w:pos="4536"/>
              <w:tab w:val="clear" w:pos="9072"/>
              <w:tab w:val="left" w:pos="2869"/>
            </w:tabs>
            <w:contextualSpacing/>
            <w:jc w:val="right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Araştırma Makalesi</w:t>
          </w:r>
        </w:p>
      </w:tc>
      <w:tc>
        <w:tcPr>
          <w:tcW w:w="4818" w:type="dxa"/>
        </w:tcPr>
        <w:p w14:paraId="45B43E2B" w14:textId="38B9FA4F" w:rsidR="00C45E13" w:rsidRPr="00BB2731" w:rsidRDefault="00C45E13" w:rsidP="00F63890">
          <w:pPr>
            <w:pStyle w:val="stBilgi"/>
            <w:contextualSpacing/>
            <w:jc w:val="right"/>
            <w:rPr>
              <w:rFonts w:ascii="Cambria" w:hAnsi="Cambria"/>
              <w:sz w:val="18"/>
              <w:szCs w:val="18"/>
            </w:rPr>
          </w:pPr>
          <w:r w:rsidRPr="00195595">
            <w:rPr>
              <w:rFonts w:ascii="Cambria" w:hAnsi="Cambria"/>
              <w:sz w:val="18"/>
              <w:szCs w:val="16"/>
              <w:lang w:val="en-US"/>
            </w:rPr>
            <w:br/>
          </w:r>
        </w:p>
        <w:p w14:paraId="1FF6AFB2" w14:textId="5F398EC2" w:rsidR="00C45E13" w:rsidRDefault="00C45E13" w:rsidP="00F63890">
          <w:pPr>
            <w:pStyle w:val="stBilgi"/>
            <w:contextualSpacing/>
            <w:jc w:val="right"/>
            <w:rPr>
              <w:rFonts w:ascii="Cambria" w:hAnsi="Cambria"/>
              <w:sz w:val="18"/>
              <w:szCs w:val="18"/>
              <w:lang w:val="en-US"/>
            </w:rPr>
          </w:pPr>
        </w:p>
        <w:p w14:paraId="0FA63435" w14:textId="04C812EB" w:rsidR="00C45E13" w:rsidRPr="00777C0A" w:rsidRDefault="00C45E13" w:rsidP="00330090">
          <w:pPr>
            <w:pStyle w:val="stBilgi"/>
            <w:contextualSpacing/>
            <w:rPr>
              <w:rFonts w:ascii="Cambria" w:hAnsi="Cambria"/>
              <w:sz w:val="18"/>
              <w:szCs w:val="18"/>
              <w:lang w:val="en-US"/>
            </w:rPr>
          </w:pPr>
          <w:r>
            <w:rPr>
              <w:rFonts w:ascii="Cambria" w:hAnsi="Cambria"/>
              <w:sz w:val="18"/>
              <w:szCs w:val="18"/>
              <w:lang w:val="en-US"/>
            </w:rPr>
            <w:t xml:space="preserve">                                                  </w:t>
          </w:r>
        </w:p>
      </w:tc>
    </w:tr>
  </w:tbl>
  <w:p w14:paraId="4D339079" w14:textId="77777777" w:rsidR="00C45E13" w:rsidRDefault="00C45E13" w:rsidP="00FA714D">
    <w:pPr>
      <w:pStyle w:val="stBilgi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1507"/>
    <w:multiLevelType w:val="multilevel"/>
    <w:tmpl w:val="C3E0D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F758D"/>
    <w:multiLevelType w:val="hybridMultilevel"/>
    <w:tmpl w:val="8C26311E"/>
    <w:lvl w:ilvl="0" w:tplc="9BFC92A8">
      <w:start w:val="1"/>
      <w:numFmt w:val="decimal"/>
      <w:lvlText w:val="Adım %1:"/>
      <w:lvlJc w:val="left"/>
      <w:pPr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C51272"/>
    <w:multiLevelType w:val="hybridMultilevel"/>
    <w:tmpl w:val="B03697D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7D72B2"/>
    <w:multiLevelType w:val="hybridMultilevel"/>
    <w:tmpl w:val="0EFE9C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7204"/>
    <w:multiLevelType w:val="hybridMultilevel"/>
    <w:tmpl w:val="EE025C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559C"/>
    <w:multiLevelType w:val="multilevel"/>
    <w:tmpl w:val="F92219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124335"/>
    <w:multiLevelType w:val="hybridMultilevel"/>
    <w:tmpl w:val="0EFE9C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22678"/>
    <w:multiLevelType w:val="hybridMultilevel"/>
    <w:tmpl w:val="B7944A5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407026"/>
    <w:multiLevelType w:val="multilevel"/>
    <w:tmpl w:val="4F3AB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B33DDF"/>
    <w:multiLevelType w:val="multilevel"/>
    <w:tmpl w:val="C2724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2E671D"/>
    <w:multiLevelType w:val="multilevel"/>
    <w:tmpl w:val="141850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712F8"/>
    <w:multiLevelType w:val="multilevel"/>
    <w:tmpl w:val="ED28A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F75CA5"/>
    <w:multiLevelType w:val="multilevel"/>
    <w:tmpl w:val="CBB6C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CE68F2"/>
    <w:multiLevelType w:val="hybridMultilevel"/>
    <w:tmpl w:val="03AC2618"/>
    <w:lvl w:ilvl="0" w:tplc="6B3EBB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ACE2DC8"/>
    <w:multiLevelType w:val="hybridMultilevel"/>
    <w:tmpl w:val="4AE0C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E69ED"/>
    <w:multiLevelType w:val="hybridMultilevel"/>
    <w:tmpl w:val="10DAC9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A147E"/>
    <w:multiLevelType w:val="multilevel"/>
    <w:tmpl w:val="DA9085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DB0267"/>
    <w:multiLevelType w:val="hybridMultilevel"/>
    <w:tmpl w:val="B6F8E27A"/>
    <w:lvl w:ilvl="0" w:tplc="72C4384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43EA2050"/>
    <w:multiLevelType w:val="hybridMultilevel"/>
    <w:tmpl w:val="8F2E55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52C12"/>
    <w:multiLevelType w:val="hybridMultilevel"/>
    <w:tmpl w:val="AFD284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CA5563"/>
    <w:multiLevelType w:val="hybridMultilevel"/>
    <w:tmpl w:val="8AD45B8C"/>
    <w:lvl w:ilvl="0" w:tplc="5F7EC8E4">
      <w:start w:val="1"/>
      <w:numFmt w:val="decimal"/>
      <w:lvlText w:val="Adım %1:"/>
      <w:lvlJc w:val="left"/>
      <w:pPr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385599B"/>
    <w:multiLevelType w:val="multilevel"/>
    <w:tmpl w:val="9476FD12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631F4B"/>
    <w:multiLevelType w:val="multilevel"/>
    <w:tmpl w:val="8A209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1112DE"/>
    <w:multiLevelType w:val="multilevel"/>
    <w:tmpl w:val="E43C77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E53FFB"/>
    <w:multiLevelType w:val="hybridMultilevel"/>
    <w:tmpl w:val="8C26311E"/>
    <w:lvl w:ilvl="0" w:tplc="9BFC92A8">
      <w:start w:val="1"/>
      <w:numFmt w:val="decimal"/>
      <w:lvlText w:val="Adım %1:"/>
      <w:lvlJc w:val="left"/>
      <w:pPr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CAD6C04"/>
    <w:multiLevelType w:val="multilevel"/>
    <w:tmpl w:val="5BE49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0E77EC"/>
    <w:multiLevelType w:val="hybridMultilevel"/>
    <w:tmpl w:val="C07854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976F4"/>
    <w:multiLevelType w:val="hybridMultilevel"/>
    <w:tmpl w:val="7C4E42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D38E6"/>
    <w:multiLevelType w:val="hybridMultilevel"/>
    <w:tmpl w:val="24A08B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856B6D"/>
    <w:multiLevelType w:val="multilevel"/>
    <w:tmpl w:val="0FAA62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FD68A2"/>
    <w:multiLevelType w:val="multilevel"/>
    <w:tmpl w:val="F4D09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55C2AB3"/>
    <w:multiLevelType w:val="hybridMultilevel"/>
    <w:tmpl w:val="89621B9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2B05A0"/>
    <w:multiLevelType w:val="hybridMultilevel"/>
    <w:tmpl w:val="0530523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13691A"/>
    <w:multiLevelType w:val="multilevel"/>
    <w:tmpl w:val="9A787E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30"/>
  </w:num>
  <w:num w:numId="4">
    <w:abstractNumId w:val="20"/>
  </w:num>
  <w:num w:numId="5">
    <w:abstractNumId w:val="24"/>
  </w:num>
  <w:num w:numId="6">
    <w:abstractNumId w:val="1"/>
  </w:num>
  <w:num w:numId="7">
    <w:abstractNumId w:val="21"/>
  </w:num>
  <w:num w:numId="8">
    <w:abstractNumId w:val="13"/>
  </w:num>
  <w:num w:numId="9">
    <w:abstractNumId w:val="6"/>
  </w:num>
  <w:num w:numId="10">
    <w:abstractNumId w:val="3"/>
  </w:num>
  <w:num w:numId="11">
    <w:abstractNumId w:val="11"/>
  </w:num>
  <w:num w:numId="12">
    <w:abstractNumId w:val="12"/>
  </w:num>
  <w:num w:numId="13">
    <w:abstractNumId w:val="0"/>
  </w:num>
  <w:num w:numId="14">
    <w:abstractNumId w:val="27"/>
  </w:num>
  <w:num w:numId="15">
    <w:abstractNumId w:val="26"/>
  </w:num>
  <w:num w:numId="16">
    <w:abstractNumId w:val="32"/>
  </w:num>
  <w:num w:numId="17">
    <w:abstractNumId w:val="2"/>
  </w:num>
  <w:num w:numId="18">
    <w:abstractNumId w:val="19"/>
  </w:num>
  <w:num w:numId="19">
    <w:abstractNumId w:val="28"/>
  </w:num>
  <w:num w:numId="20">
    <w:abstractNumId w:val="31"/>
  </w:num>
  <w:num w:numId="21">
    <w:abstractNumId w:val="7"/>
  </w:num>
  <w:num w:numId="22">
    <w:abstractNumId w:val="25"/>
  </w:num>
  <w:num w:numId="23">
    <w:abstractNumId w:val="22"/>
  </w:num>
  <w:num w:numId="24">
    <w:abstractNumId w:val="29"/>
  </w:num>
  <w:num w:numId="25">
    <w:abstractNumId w:val="23"/>
  </w:num>
  <w:num w:numId="26">
    <w:abstractNumId w:val="8"/>
  </w:num>
  <w:num w:numId="27">
    <w:abstractNumId w:val="9"/>
  </w:num>
  <w:num w:numId="28">
    <w:abstractNumId w:val="10"/>
  </w:num>
  <w:num w:numId="29">
    <w:abstractNumId w:val="33"/>
  </w:num>
  <w:num w:numId="30">
    <w:abstractNumId w:val="16"/>
  </w:num>
  <w:num w:numId="31">
    <w:abstractNumId w:val="5"/>
  </w:num>
  <w:num w:numId="32">
    <w:abstractNumId w:val="4"/>
  </w:num>
  <w:num w:numId="33">
    <w:abstractNumId w:val="1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DEA"/>
    <w:rsid w:val="000029FC"/>
    <w:rsid w:val="00037E36"/>
    <w:rsid w:val="00043780"/>
    <w:rsid w:val="00046849"/>
    <w:rsid w:val="00052578"/>
    <w:rsid w:val="00082297"/>
    <w:rsid w:val="00090A8C"/>
    <w:rsid w:val="000D6368"/>
    <w:rsid w:val="000E4D28"/>
    <w:rsid w:val="000E5EAF"/>
    <w:rsid w:val="000F05CC"/>
    <w:rsid w:val="000F207A"/>
    <w:rsid w:val="000F2F23"/>
    <w:rsid w:val="000F447C"/>
    <w:rsid w:val="001015B6"/>
    <w:rsid w:val="0010681C"/>
    <w:rsid w:val="00107E75"/>
    <w:rsid w:val="00110B2B"/>
    <w:rsid w:val="00110FD3"/>
    <w:rsid w:val="001115FC"/>
    <w:rsid w:val="00113A46"/>
    <w:rsid w:val="00137D83"/>
    <w:rsid w:val="00155390"/>
    <w:rsid w:val="001602FC"/>
    <w:rsid w:val="001636CF"/>
    <w:rsid w:val="001671BF"/>
    <w:rsid w:val="00181DCC"/>
    <w:rsid w:val="001831BE"/>
    <w:rsid w:val="00190DB6"/>
    <w:rsid w:val="00195595"/>
    <w:rsid w:val="0019641C"/>
    <w:rsid w:val="001A3B54"/>
    <w:rsid w:val="001C012A"/>
    <w:rsid w:val="001C1E79"/>
    <w:rsid w:val="001F0541"/>
    <w:rsid w:val="001F61B0"/>
    <w:rsid w:val="0020452E"/>
    <w:rsid w:val="00204B9F"/>
    <w:rsid w:val="002257C9"/>
    <w:rsid w:val="002327C0"/>
    <w:rsid w:val="0025651F"/>
    <w:rsid w:val="002575A9"/>
    <w:rsid w:val="00260B4B"/>
    <w:rsid w:val="002907E2"/>
    <w:rsid w:val="00291B21"/>
    <w:rsid w:val="002A29DE"/>
    <w:rsid w:val="002A47FC"/>
    <w:rsid w:val="002B14CB"/>
    <w:rsid w:val="002C18EA"/>
    <w:rsid w:val="002C2AD3"/>
    <w:rsid w:val="002D0300"/>
    <w:rsid w:val="002D3007"/>
    <w:rsid w:val="002E0843"/>
    <w:rsid w:val="002E3BE7"/>
    <w:rsid w:val="002E530A"/>
    <w:rsid w:val="002E5B97"/>
    <w:rsid w:val="002E78B7"/>
    <w:rsid w:val="002F6854"/>
    <w:rsid w:val="003125DA"/>
    <w:rsid w:val="00323B45"/>
    <w:rsid w:val="00330090"/>
    <w:rsid w:val="003342B9"/>
    <w:rsid w:val="00335FC3"/>
    <w:rsid w:val="003371E4"/>
    <w:rsid w:val="003400AF"/>
    <w:rsid w:val="003611FD"/>
    <w:rsid w:val="00370DB4"/>
    <w:rsid w:val="003810C7"/>
    <w:rsid w:val="00393919"/>
    <w:rsid w:val="003A0AEF"/>
    <w:rsid w:val="003B01A2"/>
    <w:rsid w:val="003B32F2"/>
    <w:rsid w:val="003C1C18"/>
    <w:rsid w:val="003C54AE"/>
    <w:rsid w:val="003D435E"/>
    <w:rsid w:val="003D56F4"/>
    <w:rsid w:val="003D6E16"/>
    <w:rsid w:val="003E00AF"/>
    <w:rsid w:val="003E4E0E"/>
    <w:rsid w:val="003F0EA5"/>
    <w:rsid w:val="003F5262"/>
    <w:rsid w:val="003F7DE6"/>
    <w:rsid w:val="00407F06"/>
    <w:rsid w:val="004201B0"/>
    <w:rsid w:val="00424989"/>
    <w:rsid w:val="00427E41"/>
    <w:rsid w:val="004339DB"/>
    <w:rsid w:val="00447051"/>
    <w:rsid w:val="004723D1"/>
    <w:rsid w:val="00480FDE"/>
    <w:rsid w:val="004926DD"/>
    <w:rsid w:val="004A2794"/>
    <w:rsid w:val="004B0B3E"/>
    <w:rsid w:val="004B3D74"/>
    <w:rsid w:val="004B59A6"/>
    <w:rsid w:val="004C21FE"/>
    <w:rsid w:val="004D06D9"/>
    <w:rsid w:val="004D0DB8"/>
    <w:rsid w:val="004D3427"/>
    <w:rsid w:val="00501A31"/>
    <w:rsid w:val="00501EE7"/>
    <w:rsid w:val="00503C1D"/>
    <w:rsid w:val="00510BA0"/>
    <w:rsid w:val="00513968"/>
    <w:rsid w:val="005844CC"/>
    <w:rsid w:val="00584EAB"/>
    <w:rsid w:val="00596A92"/>
    <w:rsid w:val="00597125"/>
    <w:rsid w:val="005B137F"/>
    <w:rsid w:val="005B2342"/>
    <w:rsid w:val="005C6008"/>
    <w:rsid w:val="005E0932"/>
    <w:rsid w:val="005F0934"/>
    <w:rsid w:val="005F4DD4"/>
    <w:rsid w:val="005F708E"/>
    <w:rsid w:val="005F7484"/>
    <w:rsid w:val="00601677"/>
    <w:rsid w:val="00604C64"/>
    <w:rsid w:val="00606C28"/>
    <w:rsid w:val="00607091"/>
    <w:rsid w:val="006129F6"/>
    <w:rsid w:val="00614BD5"/>
    <w:rsid w:val="00615486"/>
    <w:rsid w:val="006229F7"/>
    <w:rsid w:val="00623DFE"/>
    <w:rsid w:val="00637899"/>
    <w:rsid w:val="00654B3B"/>
    <w:rsid w:val="00670F0D"/>
    <w:rsid w:val="0067754A"/>
    <w:rsid w:val="0069564A"/>
    <w:rsid w:val="006B0210"/>
    <w:rsid w:val="006C5940"/>
    <w:rsid w:val="006D0CD2"/>
    <w:rsid w:val="006D5963"/>
    <w:rsid w:val="006E17EC"/>
    <w:rsid w:val="006E411E"/>
    <w:rsid w:val="006F3B4A"/>
    <w:rsid w:val="006F3DDE"/>
    <w:rsid w:val="00710E6C"/>
    <w:rsid w:val="007112C7"/>
    <w:rsid w:val="00721B59"/>
    <w:rsid w:val="007235CB"/>
    <w:rsid w:val="00741C1E"/>
    <w:rsid w:val="00764045"/>
    <w:rsid w:val="00766636"/>
    <w:rsid w:val="00767BEF"/>
    <w:rsid w:val="00767E14"/>
    <w:rsid w:val="00772C2D"/>
    <w:rsid w:val="00777C0A"/>
    <w:rsid w:val="00785032"/>
    <w:rsid w:val="00786A1A"/>
    <w:rsid w:val="00792EFF"/>
    <w:rsid w:val="007A069E"/>
    <w:rsid w:val="007A072C"/>
    <w:rsid w:val="007A0B77"/>
    <w:rsid w:val="007B64EE"/>
    <w:rsid w:val="007B76A1"/>
    <w:rsid w:val="007C0DEA"/>
    <w:rsid w:val="007C1D00"/>
    <w:rsid w:val="007D2314"/>
    <w:rsid w:val="007D26DA"/>
    <w:rsid w:val="007E039A"/>
    <w:rsid w:val="007E582F"/>
    <w:rsid w:val="007F1A95"/>
    <w:rsid w:val="007F56F0"/>
    <w:rsid w:val="00804011"/>
    <w:rsid w:val="00805D15"/>
    <w:rsid w:val="00806181"/>
    <w:rsid w:val="0081132A"/>
    <w:rsid w:val="0081382A"/>
    <w:rsid w:val="00815EC4"/>
    <w:rsid w:val="00822434"/>
    <w:rsid w:val="0082386A"/>
    <w:rsid w:val="008254F7"/>
    <w:rsid w:val="00835107"/>
    <w:rsid w:val="0085449C"/>
    <w:rsid w:val="00866E70"/>
    <w:rsid w:val="00867AB1"/>
    <w:rsid w:val="00876BE6"/>
    <w:rsid w:val="008779F6"/>
    <w:rsid w:val="0088513A"/>
    <w:rsid w:val="00896951"/>
    <w:rsid w:val="008A41D8"/>
    <w:rsid w:val="008B243B"/>
    <w:rsid w:val="008C6F09"/>
    <w:rsid w:val="008E4DF6"/>
    <w:rsid w:val="008E79E4"/>
    <w:rsid w:val="00900989"/>
    <w:rsid w:val="0092254B"/>
    <w:rsid w:val="0093343E"/>
    <w:rsid w:val="00941A3D"/>
    <w:rsid w:val="00942C87"/>
    <w:rsid w:val="00953AB7"/>
    <w:rsid w:val="00955688"/>
    <w:rsid w:val="00972FF7"/>
    <w:rsid w:val="0098021F"/>
    <w:rsid w:val="00981D54"/>
    <w:rsid w:val="0098450E"/>
    <w:rsid w:val="00996CAD"/>
    <w:rsid w:val="009A3F10"/>
    <w:rsid w:val="009B01CE"/>
    <w:rsid w:val="009B64CF"/>
    <w:rsid w:val="009E0052"/>
    <w:rsid w:val="009F2BCF"/>
    <w:rsid w:val="009F3CC8"/>
    <w:rsid w:val="009F5CE9"/>
    <w:rsid w:val="00A20875"/>
    <w:rsid w:val="00A239A1"/>
    <w:rsid w:val="00A55AA3"/>
    <w:rsid w:val="00A64A8B"/>
    <w:rsid w:val="00A661BD"/>
    <w:rsid w:val="00A67EF4"/>
    <w:rsid w:val="00A70045"/>
    <w:rsid w:val="00A70AC4"/>
    <w:rsid w:val="00A71A73"/>
    <w:rsid w:val="00A77762"/>
    <w:rsid w:val="00A806C8"/>
    <w:rsid w:val="00A858B3"/>
    <w:rsid w:val="00A85F03"/>
    <w:rsid w:val="00AB3537"/>
    <w:rsid w:val="00AD0F39"/>
    <w:rsid w:val="00AD1E61"/>
    <w:rsid w:val="00AD318F"/>
    <w:rsid w:val="00AD4A5E"/>
    <w:rsid w:val="00AD7604"/>
    <w:rsid w:val="00AF1AAD"/>
    <w:rsid w:val="00AF2B5E"/>
    <w:rsid w:val="00B14706"/>
    <w:rsid w:val="00B153B4"/>
    <w:rsid w:val="00B330AE"/>
    <w:rsid w:val="00B36B76"/>
    <w:rsid w:val="00B45FBD"/>
    <w:rsid w:val="00B46F59"/>
    <w:rsid w:val="00B55752"/>
    <w:rsid w:val="00B7476C"/>
    <w:rsid w:val="00B74FA5"/>
    <w:rsid w:val="00B75270"/>
    <w:rsid w:val="00B77A20"/>
    <w:rsid w:val="00B8144D"/>
    <w:rsid w:val="00B86FAD"/>
    <w:rsid w:val="00B96E64"/>
    <w:rsid w:val="00B97EC9"/>
    <w:rsid w:val="00BB2506"/>
    <w:rsid w:val="00BB2731"/>
    <w:rsid w:val="00BB4A93"/>
    <w:rsid w:val="00BD4B22"/>
    <w:rsid w:val="00BE0E33"/>
    <w:rsid w:val="00BE310E"/>
    <w:rsid w:val="00BF126E"/>
    <w:rsid w:val="00BF1B04"/>
    <w:rsid w:val="00BF3D08"/>
    <w:rsid w:val="00BF40D2"/>
    <w:rsid w:val="00BF6FE3"/>
    <w:rsid w:val="00C03B44"/>
    <w:rsid w:val="00C06E32"/>
    <w:rsid w:val="00C27829"/>
    <w:rsid w:val="00C279BE"/>
    <w:rsid w:val="00C45E13"/>
    <w:rsid w:val="00C670B6"/>
    <w:rsid w:val="00C7468B"/>
    <w:rsid w:val="00C74C1E"/>
    <w:rsid w:val="00C80798"/>
    <w:rsid w:val="00C81A68"/>
    <w:rsid w:val="00C95EC6"/>
    <w:rsid w:val="00CA0772"/>
    <w:rsid w:val="00CA0B57"/>
    <w:rsid w:val="00CA2661"/>
    <w:rsid w:val="00CA77CE"/>
    <w:rsid w:val="00CC6184"/>
    <w:rsid w:val="00CE40A2"/>
    <w:rsid w:val="00CE5373"/>
    <w:rsid w:val="00CF2C5D"/>
    <w:rsid w:val="00D01597"/>
    <w:rsid w:val="00D05824"/>
    <w:rsid w:val="00D205F8"/>
    <w:rsid w:val="00D324F5"/>
    <w:rsid w:val="00D3529E"/>
    <w:rsid w:val="00D4205B"/>
    <w:rsid w:val="00D4554D"/>
    <w:rsid w:val="00D64178"/>
    <w:rsid w:val="00D708C9"/>
    <w:rsid w:val="00D810F7"/>
    <w:rsid w:val="00D83D85"/>
    <w:rsid w:val="00D9133F"/>
    <w:rsid w:val="00D95254"/>
    <w:rsid w:val="00D969FF"/>
    <w:rsid w:val="00DA22B9"/>
    <w:rsid w:val="00DA4C99"/>
    <w:rsid w:val="00DB4699"/>
    <w:rsid w:val="00DC2A3D"/>
    <w:rsid w:val="00DD62D5"/>
    <w:rsid w:val="00DE1BDE"/>
    <w:rsid w:val="00DF4048"/>
    <w:rsid w:val="00E10031"/>
    <w:rsid w:val="00E4526C"/>
    <w:rsid w:val="00E501AE"/>
    <w:rsid w:val="00E54770"/>
    <w:rsid w:val="00E63CB5"/>
    <w:rsid w:val="00E648C1"/>
    <w:rsid w:val="00E70AD5"/>
    <w:rsid w:val="00E82AA7"/>
    <w:rsid w:val="00E85F49"/>
    <w:rsid w:val="00E92E9F"/>
    <w:rsid w:val="00EA19F9"/>
    <w:rsid w:val="00EA3473"/>
    <w:rsid w:val="00EC0705"/>
    <w:rsid w:val="00EC1055"/>
    <w:rsid w:val="00EC1239"/>
    <w:rsid w:val="00ED077A"/>
    <w:rsid w:val="00ED7D7F"/>
    <w:rsid w:val="00EE6C61"/>
    <w:rsid w:val="00F12EC0"/>
    <w:rsid w:val="00F13CF0"/>
    <w:rsid w:val="00F174E9"/>
    <w:rsid w:val="00F24177"/>
    <w:rsid w:val="00F24ED1"/>
    <w:rsid w:val="00F263BF"/>
    <w:rsid w:val="00F277F4"/>
    <w:rsid w:val="00F63890"/>
    <w:rsid w:val="00F65146"/>
    <w:rsid w:val="00F847C4"/>
    <w:rsid w:val="00F87E08"/>
    <w:rsid w:val="00F91333"/>
    <w:rsid w:val="00F91DD0"/>
    <w:rsid w:val="00F937DC"/>
    <w:rsid w:val="00FA25AA"/>
    <w:rsid w:val="00FA714D"/>
    <w:rsid w:val="00FB0092"/>
    <w:rsid w:val="00FB5C2D"/>
    <w:rsid w:val="00FB76AC"/>
    <w:rsid w:val="00FD01E7"/>
    <w:rsid w:val="00FD2C2D"/>
    <w:rsid w:val="00FE612E"/>
    <w:rsid w:val="00FE692B"/>
    <w:rsid w:val="00FE6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7D4AA"/>
  <w15:docId w15:val="{1F616BE3-0A62-48E2-94DB-9DC00267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E0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52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7B64EE"/>
    <w:pPr>
      <w:keepNext/>
      <w:spacing w:after="0" w:line="360" w:lineRule="auto"/>
      <w:ind w:left="2832" w:firstLine="708"/>
      <w:outlineLvl w:val="2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DEA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unhideWhenUsed/>
    <w:rsid w:val="007C0DE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C0DE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C0DEA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C0DE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C0DE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C0DEA"/>
    <w:rPr>
      <w:vertAlign w:val="superscript"/>
    </w:rPr>
  </w:style>
  <w:style w:type="paragraph" w:styleId="ListeParagraf">
    <w:name w:val="List Paragraph"/>
    <w:basedOn w:val="Normal"/>
    <w:uiPriority w:val="34"/>
    <w:qFormat/>
    <w:rsid w:val="00C03B44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03B44"/>
    <w:rPr>
      <w:color w:val="808080"/>
    </w:rPr>
  </w:style>
  <w:style w:type="table" w:styleId="TabloKlavuzu">
    <w:name w:val="Table Grid"/>
    <w:basedOn w:val="NormalTablo"/>
    <w:uiPriority w:val="59"/>
    <w:rsid w:val="00C03B4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7EC"/>
  </w:style>
  <w:style w:type="paragraph" w:styleId="AltBilgi">
    <w:name w:val="footer"/>
    <w:basedOn w:val="Normal"/>
    <w:link w:val="AltBilgiChar"/>
    <w:uiPriority w:val="99"/>
    <w:unhideWhenUsed/>
    <w:rsid w:val="006E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7EC"/>
  </w:style>
  <w:style w:type="character" w:styleId="SatrNumaras">
    <w:name w:val="line number"/>
    <w:basedOn w:val="VarsaylanParagrafYazTipi"/>
    <w:uiPriority w:val="99"/>
    <w:semiHidden/>
    <w:unhideWhenUsed/>
    <w:rsid w:val="007E039A"/>
  </w:style>
  <w:style w:type="character" w:styleId="Kpr">
    <w:name w:val="Hyperlink"/>
    <w:basedOn w:val="VarsaylanParagrafYazTipi"/>
    <w:uiPriority w:val="99"/>
    <w:unhideWhenUsed/>
    <w:rsid w:val="00FA714D"/>
    <w:rPr>
      <w:color w:val="0000FF"/>
      <w:u w:val="single"/>
    </w:rPr>
  </w:style>
  <w:style w:type="paragraph" w:customStyle="1" w:styleId="zetYazs">
    <w:name w:val="ÖzetYazısı"/>
    <w:basedOn w:val="Normal"/>
    <w:qFormat/>
    <w:rsid w:val="002E5B97"/>
    <w:pPr>
      <w:spacing w:before="120" w:after="120" w:line="240" w:lineRule="auto"/>
      <w:jc w:val="center"/>
    </w:pPr>
    <w:rPr>
      <w:rFonts w:ascii="Times New Roman" w:hAnsi="Times New Roman"/>
      <w:sz w:val="20"/>
      <w:szCs w:val="24"/>
      <w:vertAlign w:val="superscript"/>
    </w:rPr>
  </w:style>
  <w:style w:type="paragraph" w:customStyle="1" w:styleId="letiim-Affilation">
    <w:name w:val="İletişim-Affilation"/>
    <w:basedOn w:val="Normal"/>
    <w:uiPriority w:val="99"/>
    <w:qFormat/>
    <w:rsid w:val="002E5B97"/>
    <w:pPr>
      <w:spacing w:after="0" w:line="240" w:lineRule="auto"/>
      <w:jc w:val="center"/>
    </w:pPr>
    <w:rPr>
      <w:rFonts w:ascii="Times New Roman" w:hAnsi="Times New Roman"/>
      <w:vertAlign w:val="superscript"/>
    </w:rPr>
  </w:style>
  <w:style w:type="paragraph" w:styleId="AralkYok">
    <w:name w:val="No Spacing"/>
    <w:uiPriority w:val="99"/>
    <w:qFormat/>
    <w:rsid w:val="00BD4B22"/>
    <w:rPr>
      <w:sz w:val="22"/>
      <w:szCs w:val="22"/>
      <w:lang w:eastAsia="en-US"/>
    </w:rPr>
  </w:style>
  <w:style w:type="paragraph" w:customStyle="1" w:styleId="ekil">
    <w:name w:val="şekil"/>
    <w:basedOn w:val="Normal"/>
    <w:link w:val="ekilChar"/>
    <w:qFormat/>
    <w:rsid w:val="007F1A95"/>
    <w:pPr>
      <w:spacing w:after="0" w:line="360" w:lineRule="auto"/>
      <w:ind w:firstLine="851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ekilChar">
    <w:name w:val="şekil Char"/>
    <w:link w:val="ekil"/>
    <w:rsid w:val="007F1A95"/>
    <w:rPr>
      <w:rFonts w:ascii="Times New Roman" w:eastAsia="Times New Roman" w:hAnsi="Times New Roman"/>
      <w:sz w:val="24"/>
      <w:lang w:eastAsia="en-US"/>
    </w:rPr>
  </w:style>
  <w:style w:type="paragraph" w:customStyle="1" w:styleId="Banko">
    <w:name w:val="Banko"/>
    <w:basedOn w:val="Normal"/>
    <w:link w:val="BankoChar"/>
    <w:qFormat/>
    <w:rsid w:val="007B64EE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nkoChar">
    <w:name w:val="Banko Char"/>
    <w:link w:val="Banko"/>
    <w:rsid w:val="007B64EE"/>
    <w:rPr>
      <w:rFonts w:ascii="Times New Roman" w:eastAsia="Times New Roman" w:hAnsi="Times New Roman"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7B64EE"/>
    <w:rPr>
      <w:rFonts w:ascii="Times New Roman" w:eastAsia="Times New Roman" w:hAnsi="Times New Roman"/>
      <w:sz w:val="24"/>
      <w:szCs w:val="24"/>
    </w:rPr>
  </w:style>
  <w:style w:type="paragraph" w:customStyle="1" w:styleId="izelge">
    <w:name w:val="Çizelge"/>
    <w:basedOn w:val="ekil"/>
    <w:link w:val="izelgeChar"/>
    <w:qFormat/>
    <w:rsid w:val="00110FD3"/>
    <w:pPr>
      <w:spacing w:line="240" w:lineRule="auto"/>
      <w:jc w:val="left"/>
    </w:pPr>
  </w:style>
  <w:style w:type="character" w:customStyle="1" w:styleId="izelgeChar">
    <w:name w:val="Çizelge Char"/>
    <w:basedOn w:val="ekilChar"/>
    <w:link w:val="izelge"/>
    <w:rsid w:val="00110FD3"/>
    <w:rPr>
      <w:rFonts w:ascii="Times New Roman" w:eastAsia="Times New Roman" w:hAnsi="Times New Roman"/>
      <w:sz w:val="24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52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Grid1">
    <w:name w:val="Table Grid1"/>
    <w:basedOn w:val="NormalTablo"/>
    <w:next w:val="TabloKlavuzu"/>
    <w:uiPriority w:val="59"/>
    <w:rsid w:val="008040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8040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link w:val="ResimYazsChar"/>
    <w:unhideWhenUsed/>
    <w:qFormat/>
    <w:rsid w:val="00804011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ResimYazsChar">
    <w:name w:val="Resim Yazısı Char"/>
    <w:basedOn w:val="VarsaylanParagrafYazTipi"/>
    <w:link w:val="ResimYazs"/>
    <w:locked/>
    <w:rsid w:val="00804011"/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TableGrid3">
    <w:name w:val="Table Grid3"/>
    <w:basedOn w:val="NormalTablo"/>
    <w:next w:val="TabloKlavuzu"/>
    <w:uiPriority w:val="59"/>
    <w:rsid w:val="00CC61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00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unhideWhenUsed/>
    <w:rsid w:val="00767BEF"/>
    <w:pPr>
      <w:spacing w:after="120" w:line="240" w:lineRule="auto"/>
      <w:ind w:left="283"/>
    </w:pPr>
    <w:rPr>
      <w:rFonts w:ascii="Times" w:eastAsia="Times New Roman" w:hAnsi="Times"/>
      <w:sz w:val="24"/>
      <w:szCs w:val="20"/>
      <w:lang w:val="en-US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767BEF"/>
    <w:rPr>
      <w:rFonts w:ascii="Times" w:eastAsia="Times New Roman" w:hAnsi="Times"/>
      <w:sz w:val="24"/>
      <w:lang w:val="en-US"/>
    </w:rPr>
  </w:style>
  <w:style w:type="paragraph" w:customStyle="1" w:styleId="References">
    <w:name w:val="References"/>
    <w:basedOn w:val="Normal"/>
    <w:rsid w:val="00767E14"/>
    <w:pPr>
      <w:spacing w:after="80" w:line="240" w:lineRule="auto"/>
      <w:ind w:left="144" w:hanging="144"/>
      <w:jc w:val="both"/>
    </w:pPr>
    <w:rPr>
      <w:rFonts w:ascii="Times New Roman" w:eastAsia="Times New Roman" w:hAnsi="Times New Roman"/>
      <w:sz w:val="18"/>
      <w:szCs w:val="20"/>
      <w:lang w:val="en-US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67E1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7E14"/>
    <w:pPr>
      <w:spacing w:after="160" w:line="240" w:lineRule="auto"/>
    </w:pPr>
    <w:rPr>
      <w:rFonts w:asciiTheme="minorHAnsi" w:eastAsiaTheme="minorEastAsia" w:hAnsiTheme="minorHAnsi" w:cstheme="minorBidi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67E14"/>
    <w:rPr>
      <w:rFonts w:asciiTheme="minorHAnsi" w:eastAsiaTheme="minorEastAsia" w:hAnsiTheme="minorHAnsi" w:cstheme="minorBidi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7E1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67E14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ethanol.org/wp-content/uploads/2017/02/FAQ-on-methanol-poisoning-treatment-20160322-EN-gener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labchem.com/tools/msds/msds/VT430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8C585-98B8-4CEB-AA80-4BA7D3A2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1882</Words>
  <Characters>10733</Characters>
  <Application>Microsoft Office Word</Application>
  <DocSecurity>0</DocSecurity>
  <Lines>89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NeC</Company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Onder</dc:creator>
  <cp:lastModifiedBy>sevim ercetin</cp:lastModifiedBy>
  <cp:revision>4</cp:revision>
  <cp:lastPrinted>2018-09-17T08:02:00Z</cp:lastPrinted>
  <dcterms:created xsi:type="dcterms:W3CDTF">2018-10-31T10:47:00Z</dcterms:created>
  <dcterms:modified xsi:type="dcterms:W3CDTF">2019-08-30T13:44:00Z</dcterms:modified>
</cp:coreProperties>
</file>