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48F" w:rsidRDefault="005B748F" w:rsidP="004E7EBF">
      <w:pPr>
        <w:spacing w:before="120" w:after="120" w:line="240" w:lineRule="auto"/>
        <w:jc w:val="center"/>
        <w:rPr>
          <w:b/>
          <w:sz w:val="28"/>
          <w:szCs w:val="28"/>
        </w:rPr>
      </w:pPr>
      <w:r w:rsidRPr="003332DB">
        <w:rPr>
          <w:b/>
          <w:sz w:val="28"/>
          <w:szCs w:val="28"/>
        </w:rPr>
        <w:t>ULUSAL GÜVENLİKTE KÜR</w:t>
      </w:r>
      <w:r>
        <w:rPr>
          <w:b/>
          <w:sz w:val="28"/>
          <w:szCs w:val="28"/>
        </w:rPr>
        <w:t>ESEL BİR TEHDİT: BİYOTERÖ</w:t>
      </w:r>
      <w:r w:rsidRPr="003332DB">
        <w:rPr>
          <w:b/>
          <w:sz w:val="28"/>
          <w:szCs w:val="28"/>
        </w:rPr>
        <w:t>RİZM</w:t>
      </w:r>
    </w:p>
    <w:p w:rsidR="00A87531" w:rsidRDefault="005B748F" w:rsidP="00A87531">
      <w:pPr>
        <w:spacing w:before="120" w:after="120" w:line="240" w:lineRule="auto"/>
        <w:jc w:val="right"/>
        <w:rPr>
          <w:b/>
          <w:i/>
          <w:sz w:val="22"/>
        </w:rPr>
      </w:pPr>
      <w:r w:rsidRPr="00BC74D5">
        <w:rPr>
          <w:b/>
          <w:i/>
          <w:sz w:val="22"/>
        </w:rPr>
        <w:t>Selma KARATEPE</w:t>
      </w:r>
      <w:r w:rsidR="00A87531">
        <w:rPr>
          <w:rStyle w:val="DipnotBavurusu"/>
          <w:b/>
          <w:i/>
          <w:sz w:val="22"/>
        </w:rPr>
        <w:footnoteReference w:customMarkFollows="1" w:id="1"/>
        <w:t>*</w:t>
      </w:r>
    </w:p>
    <w:p w:rsidR="00A87531" w:rsidRDefault="005B748F" w:rsidP="00A87531">
      <w:pPr>
        <w:spacing w:before="120" w:after="120" w:line="240" w:lineRule="auto"/>
        <w:jc w:val="right"/>
        <w:rPr>
          <w:b/>
          <w:i/>
          <w:sz w:val="22"/>
        </w:rPr>
      </w:pPr>
      <w:r w:rsidRPr="00BC74D5">
        <w:rPr>
          <w:b/>
          <w:i/>
          <w:sz w:val="22"/>
        </w:rPr>
        <w:t>Mehmet Seyda OZAN</w:t>
      </w:r>
      <w:r w:rsidR="00A87531">
        <w:rPr>
          <w:rStyle w:val="DipnotBavurusu"/>
          <w:b/>
          <w:i/>
          <w:sz w:val="22"/>
        </w:rPr>
        <w:footnoteReference w:customMarkFollows="1" w:id="2"/>
        <w:t>**</w:t>
      </w:r>
    </w:p>
    <w:p w:rsidR="00FE1CB5" w:rsidRPr="00BC74D5" w:rsidRDefault="005B748F" w:rsidP="00A87531">
      <w:pPr>
        <w:spacing w:before="120" w:after="120" w:line="240" w:lineRule="auto"/>
        <w:jc w:val="right"/>
        <w:rPr>
          <w:b/>
          <w:i/>
          <w:sz w:val="22"/>
        </w:rPr>
      </w:pPr>
      <w:r w:rsidRPr="00BC74D5">
        <w:rPr>
          <w:b/>
          <w:i/>
          <w:sz w:val="22"/>
        </w:rPr>
        <w:t xml:space="preserve"> </w:t>
      </w:r>
      <w:proofErr w:type="spellStart"/>
      <w:proofErr w:type="gramStart"/>
      <w:r w:rsidRPr="00BC74D5">
        <w:rPr>
          <w:b/>
          <w:i/>
          <w:sz w:val="22"/>
        </w:rPr>
        <w:t>A.Muhammet</w:t>
      </w:r>
      <w:proofErr w:type="spellEnd"/>
      <w:proofErr w:type="gramEnd"/>
      <w:r w:rsidRPr="00BC74D5">
        <w:rPr>
          <w:b/>
          <w:i/>
          <w:sz w:val="22"/>
        </w:rPr>
        <w:t xml:space="preserve"> BANAZILI</w:t>
      </w:r>
      <w:r w:rsidR="00A87531">
        <w:rPr>
          <w:rStyle w:val="DipnotBavurusu"/>
          <w:b/>
          <w:i/>
          <w:sz w:val="22"/>
        </w:rPr>
        <w:footnoteReference w:customMarkFollows="1" w:id="3"/>
        <w:t>***</w:t>
      </w:r>
    </w:p>
    <w:p w:rsidR="00FE1CB5" w:rsidRDefault="00FE1CB5" w:rsidP="004E7EBF">
      <w:pPr>
        <w:spacing w:line="240" w:lineRule="auto"/>
        <w:jc w:val="center"/>
        <w:rPr>
          <w:b/>
          <w:szCs w:val="24"/>
        </w:rPr>
      </w:pPr>
    </w:p>
    <w:p w:rsidR="005B748F" w:rsidRPr="00FE1CB5" w:rsidRDefault="00BC74D5" w:rsidP="00A87531">
      <w:pPr>
        <w:spacing w:before="120" w:after="120" w:line="240" w:lineRule="auto"/>
        <w:jc w:val="left"/>
        <w:rPr>
          <w:b/>
          <w:szCs w:val="24"/>
        </w:rPr>
      </w:pPr>
      <w:r>
        <w:rPr>
          <w:b/>
        </w:rPr>
        <w:t>Ö</w:t>
      </w:r>
      <w:r w:rsidR="00A87531">
        <w:rPr>
          <w:b/>
        </w:rPr>
        <w:t>z</w:t>
      </w:r>
    </w:p>
    <w:p w:rsidR="005B748F" w:rsidRPr="00FE1CB5" w:rsidRDefault="005B748F" w:rsidP="004E7EBF">
      <w:pPr>
        <w:spacing w:before="120" w:after="120" w:line="240" w:lineRule="auto"/>
        <w:rPr>
          <w:sz w:val="20"/>
          <w:szCs w:val="20"/>
        </w:rPr>
      </w:pPr>
      <w:r w:rsidRPr="00FE1CB5">
        <w:rPr>
          <w:sz w:val="20"/>
          <w:szCs w:val="20"/>
        </w:rPr>
        <w:t xml:space="preserve">İnsanlık tarihi boyunca kitle ölümlerine sebebiyet veren salgın ve bulaşıcı hastalıklar ekonomik, siyasal ve demografik sonuçlarıyla daima küresel bir tehdit olmuştur. Görünmez ordular diye nitelendirilen ve yıkıcı etkileri olan bu hastalıkların dünya haritasını yeniden çizme hususundaki etkisi biyoterörizm kavramını ortaya çıkarmıştır. Biyolojik silah kullanma temelinde bir ülke veya toplum kesimine karşı en az savaş </w:t>
      </w:r>
      <w:r w:rsidR="00E0533D">
        <w:rPr>
          <w:sz w:val="20"/>
          <w:szCs w:val="20"/>
        </w:rPr>
        <w:t xml:space="preserve">kadar yıkıcı etkileri olan </w:t>
      </w:r>
      <w:proofErr w:type="spellStart"/>
      <w:r w:rsidR="00E0533D">
        <w:rPr>
          <w:sz w:val="20"/>
          <w:szCs w:val="20"/>
        </w:rPr>
        <w:t>biyo</w:t>
      </w:r>
      <w:r w:rsidRPr="00FE1CB5">
        <w:rPr>
          <w:sz w:val="20"/>
          <w:szCs w:val="20"/>
        </w:rPr>
        <w:t>terör</w:t>
      </w:r>
      <w:proofErr w:type="spellEnd"/>
      <w:r w:rsidRPr="00FE1CB5">
        <w:rPr>
          <w:sz w:val="20"/>
          <w:szCs w:val="20"/>
        </w:rPr>
        <w:t>, ulusal ve küresel güvenlik adına oldukça önemli bir konudur. Konuyu hayati seviyede önemli kılan husus ise ulus yaşantılarını ve nihai olarak küresel yaşantıyı derin</w:t>
      </w:r>
      <w:r w:rsidR="00E0533D">
        <w:rPr>
          <w:sz w:val="20"/>
          <w:szCs w:val="20"/>
        </w:rPr>
        <w:t xml:space="preserve">den etkileyebilme gücüdür. </w:t>
      </w:r>
      <w:proofErr w:type="spellStart"/>
      <w:r w:rsidR="00E0533D">
        <w:rPr>
          <w:sz w:val="20"/>
          <w:szCs w:val="20"/>
        </w:rPr>
        <w:t>Biyo</w:t>
      </w:r>
      <w:r w:rsidRPr="00FE1CB5">
        <w:rPr>
          <w:sz w:val="20"/>
          <w:szCs w:val="20"/>
        </w:rPr>
        <w:t>terörün</w:t>
      </w:r>
      <w:proofErr w:type="spellEnd"/>
      <w:r w:rsidRPr="00FE1CB5">
        <w:rPr>
          <w:sz w:val="20"/>
          <w:szCs w:val="20"/>
        </w:rPr>
        <w:t xml:space="preserve"> bir millete veya devlete etkisi yalnızca hayat kayıplarıyla sınırlı kalmamaktadır. Bu tür saldırılar ulusların sosyo-ekonomik yaşantısını ve geleceğini de önemli ölçüde etkilemektedir. Ayrıca bu saldırıların genetiği değiştirilmiş bir virüs yoluyla kasıtlı olarak ortaya çıkarılabilmesi ve çok hızlı bir şekilde yayılabilmesi küresel tehdit boyutunu ortaya ç</w:t>
      </w:r>
      <w:r w:rsidR="00E0533D">
        <w:rPr>
          <w:sz w:val="20"/>
          <w:szCs w:val="20"/>
        </w:rPr>
        <w:t xml:space="preserve">ıkarmaktadır. </w:t>
      </w:r>
      <w:proofErr w:type="spellStart"/>
      <w:r w:rsidR="00E0533D">
        <w:rPr>
          <w:sz w:val="20"/>
          <w:szCs w:val="20"/>
        </w:rPr>
        <w:t>Biyo</w:t>
      </w:r>
      <w:r w:rsidRPr="00FE1CB5">
        <w:rPr>
          <w:sz w:val="20"/>
          <w:szCs w:val="20"/>
        </w:rPr>
        <w:t>terör</w:t>
      </w:r>
      <w:proofErr w:type="spellEnd"/>
      <w:r w:rsidRPr="00FE1CB5">
        <w:rPr>
          <w:sz w:val="20"/>
          <w:szCs w:val="20"/>
        </w:rPr>
        <w:t xml:space="preserve"> bu özelliklerinden ötürü nükleer terörden çok daha yıkıcı etkiler gösterebilmektedir. Herhangi bir nükleer terör saldırısı belirli sayıda insan </w:t>
      </w:r>
      <w:r w:rsidR="00E0533D">
        <w:rPr>
          <w:sz w:val="20"/>
          <w:szCs w:val="20"/>
        </w:rPr>
        <w:t xml:space="preserve">kaybına sebebiyet verirken </w:t>
      </w:r>
      <w:proofErr w:type="spellStart"/>
      <w:r w:rsidR="00E0533D">
        <w:rPr>
          <w:sz w:val="20"/>
          <w:szCs w:val="20"/>
        </w:rPr>
        <w:t>biyo</w:t>
      </w:r>
      <w:r w:rsidRPr="00FE1CB5">
        <w:rPr>
          <w:sz w:val="20"/>
          <w:szCs w:val="20"/>
        </w:rPr>
        <w:t>terör</w:t>
      </w:r>
      <w:proofErr w:type="spellEnd"/>
      <w:r w:rsidRPr="00FE1CB5">
        <w:rPr>
          <w:sz w:val="20"/>
          <w:szCs w:val="20"/>
        </w:rPr>
        <w:t xml:space="preserve"> ile insan kaybı hızla ve artarak devam etmektedir. Bu çarpıcı boyut konunun önemi</w:t>
      </w:r>
      <w:r w:rsidR="00CE555F" w:rsidRPr="00FE1CB5">
        <w:rPr>
          <w:sz w:val="20"/>
          <w:szCs w:val="20"/>
        </w:rPr>
        <w:t>ni</w:t>
      </w:r>
      <w:r w:rsidRPr="00FE1CB5">
        <w:rPr>
          <w:sz w:val="20"/>
          <w:szCs w:val="20"/>
        </w:rPr>
        <w:t>, önceliği</w:t>
      </w:r>
      <w:r w:rsidR="00CE555F" w:rsidRPr="00FE1CB5">
        <w:rPr>
          <w:sz w:val="20"/>
          <w:szCs w:val="20"/>
        </w:rPr>
        <w:t>ni</w:t>
      </w:r>
      <w:r w:rsidRPr="00FE1CB5">
        <w:rPr>
          <w:sz w:val="20"/>
          <w:szCs w:val="20"/>
        </w:rPr>
        <w:t xml:space="preserve"> ve alınması gereken önlemleri işaret etmektedir. Ayrıca bu tür salgın hastalıkların bulaşıcılığından ve kontrol altına alınmasının güç olmasından hareketle küresel güvenliği sağlama adına ciddi bir iş</w:t>
      </w:r>
      <w:r w:rsidR="00CE555F" w:rsidRPr="00FE1CB5">
        <w:rPr>
          <w:sz w:val="20"/>
          <w:szCs w:val="20"/>
        </w:rPr>
        <w:t xml:space="preserve"> </w:t>
      </w:r>
      <w:r w:rsidRPr="00FE1CB5">
        <w:rPr>
          <w:sz w:val="20"/>
          <w:szCs w:val="20"/>
        </w:rPr>
        <w:t>birliği gerekmektedir. Bu kapsamda ortaya çıkabilecek salgınları ve nedenlerini hızlı bir şekilde tespit edecek güçlendirilmiş bir küresel güvenlik iş</w:t>
      </w:r>
      <w:r w:rsidR="00CE555F" w:rsidRPr="00FE1CB5">
        <w:rPr>
          <w:sz w:val="20"/>
          <w:szCs w:val="20"/>
        </w:rPr>
        <w:t xml:space="preserve"> </w:t>
      </w:r>
      <w:r w:rsidRPr="00FE1CB5">
        <w:rPr>
          <w:sz w:val="20"/>
          <w:szCs w:val="20"/>
        </w:rPr>
        <w:t>birliği ile küresel halk sağlığı</w:t>
      </w:r>
      <w:r w:rsidR="00E0533D">
        <w:rPr>
          <w:sz w:val="20"/>
          <w:szCs w:val="20"/>
        </w:rPr>
        <w:t xml:space="preserve"> temel prensipleri dünyayı </w:t>
      </w:r>
      <w:proofErr w:type="spellStart"/>
      <w:r w:rsidR="00E0533D">
        <w:rPr>
          <w:sz w:val="20"/>
          <w:szCs w:val="20"/>
        </w:rPr>
        <w:t>biyo</w:t>
      </w:r>
      <w:r w:rsidRPr="00FE1CB5">
        <w:rPr>
          <w:sz w:val="20"/>
          <w:szCs w:val="20"/>
        </w:rPr>
        <w:t>terör</w:t>
      </w:r>
      <w:proofErr w:type="spellEnd"/>
      <w:r w:rsidRPr="00FE1CB5">
        <w:rPr>
          <w:sz w:val="20"/>
          <w:szCs w:val="20"/>
        </w:rPr>
        <w:t xml:space="preserve"> tehdidine karşı savunmanın tek akılcı yolu olarak görülmektedir. Bu çalışmada ulusların salgın hastalıklar karşısındaki savunmasızlığı irdelenmi</w:t>
      </w:r>
      <w:r w:rsidR="00E0533D">
        <w:rPr>
          <w:sz w:val="20"/>
          <w:szCs w:val="20"/>
        </w:rPr>
        <w:t xml:space="preserve">ş olup önemli ölçüde artan </w:t>
      </w:r>
      <w:proofErr w:type="spellStart"/>
      <w:r w:rsidR="00E0533D">
        <w:rPr>
          <w:sz w:val="20"/>
          <w:szCs w:val="20"/>
        </w:rPr>
        <w:t>biyo</w:t>
      </w:r>
      <w:r w:rsidRPr="00FE1CB5">
        <w:rPr>
          <w:sz w:val="20"/>
          <w:szCs w:val="20"/>
        </w:rPr>
        <w:t>terör</w:t>
      </w:r>
      <w:proofErr w:type="spellEnd"/>
      <w:r w:rsidRPr="00FE1CB5">
        <w:rPr>
          <w:sz w:val="20"/>
          <w:szCs w:val="20"/>
        </w:rPr>
        <w:t xml:space="preserve"> tehdidinin küresel güvenlik ve istihbarat çevrelerinde öncelik haline </w:t>
      </w:r>
      <w:r w:rsidR="003F14FF" w:rsidRPr="00FE1CB5">
        <w:rPr>
          <w:sz w:val="20"/>
          <w:szCs w:val="20"/>
        </w:rPr>
        <w:t>gelme süreci tartışılarak bazı önerilerde bulunulmuştur</w:t>
      </w:r>
      <w:r w:rsidRPr="00FE1CB5">
        <w:rPr>
          <w:sz w:val="20"/>
          <w:szCs w:val="20"/>
        </w:rPr>
        <w:t xml:space="preserve">. </w:t>
      </w:r>
    </w:p>
    <w:p w:rsidR="005B748F" w:rsidRPr="00FE1CB5" w:rsidRDefault="005B748F" w:rsidP="004E7EBF">
      <w:pPr>
        <w:spacing w:before="120" w:after="120" w:line="240" w:lineRule="auto"/>
        <w:rPr>
          <w:sz w:val="20"/>
          <w:szCs w:val="20"/>
        </w:rPr>
      </w:pPr>
      <w:r w:rsidRPr="00FE1CB5">
        <w:rPr>
          <w:b/>
          <w:sz w:val="20"/>
          <w:szCs w:val="20"/>
        </w:rPr>
        <w:t>Anahtar Kelimeler:</w:t>
      </w:r>
      <w:r w:rsidRPr="00FE1CB5">
        <w:rPr>
          <w:sz w:val="20"/>
          <w:szCs w:val="20"/>
        </w:rPr>
        <w:t xml:space="preserve"> Ulusal Güvenlik, Küresel Güvenlik, Biyoterörizm</w:t>
      </w:r>
    </w:p>
    <w:p w:rsidR="005B748F" w:rsidRDefault="005B748F" w:rsidP="004E7EBF">
      <w:pPr>
        <w:spacing w:line="240" w:lineRule="auto"/>
      </w:pPr>
    </w:p>
    <w:p w:rsidR="005B748F" w:rsidRDefault="005B748F" w:rsidP="004E7EBF">
      <w:pPr>
        <w:spacing w:line="240" w:lineRule="auto"/>
        <w:jc w:val="left"/>
      </w:pPr>
      <w:r>
        <w:br w:type="page"/>
      </w:r>
    </w:p>
    <w:p w:rsidR="00FE1CB5" w:rsidRDefault="005B748F" w:rsidP="004E7EBF">
      <w:pPr>
        <w:spacing w:before="120" w:after="120" w:line="240" w:lineRule="auto"/>
        <w:jc w:val="center"/>
        <w:rPr>
          <w:b/>
          <w:sz w:val="28"/>
          <w:szCs w:val="28"/>
        </w:rPr>
      </w:pPr>
      <w:r w:rsidRPr="004C5D5E">
        <w:rPr>
          <w:b/>
          <w:sz w:val="28"/>
          <w:szCs w:val="28"/>
        </w:rPr>
        <w:lastRenderedPageBreak/>
        <w:t>A GLOBAL THREAT IN NATIONAL SECURITY: BIOTER</w:t>
      </w:r>
      <w:r>
        <w:rPr>
          <w:b/>
          <w:sz w:val="28"/>
          <w:szCs w:val="28"/>
        </w:rPr>
        <w:t>R</w:t>
      </w:r>
      <w:r w:rsidRPr="004C5D5E">
        <w:rPr>
          <w:b/>
          <w:sz w:val="28"/>
          <w:szCs w:val="28"/>
        </w:rPr>
        <w:t>ORISM</w:t>
      </w:r>
    </w:p>
    <w:p w:rsidR="00FE1CB5" w:rsidRDefault="00FE1CB5" w:rsidP="004E7EBF">
      <w:pPr>
        <w:spacing w:line="240" w:lineRule="auto"/>
        <w:jc w:val="center"/>
        <w:rPr>
          <w:b/>
          <w:sz w:val="28"/>
          <w:szCs w:val="28"/>
        </w:rPr>
      </w:pPr>
    </w:p>
    <w:p w:rsidR="005B748F" w:rsidRPr="00FE1CB5" w:rsidRDefault="005B748F" w:rsidP="00A87531">
      <w:pPr>
        <w:spacing w:before="120" w:after="120" w:line="240" w:lineRule="auto"/>
        <w:jc w:val="left"/>
        <w:rPr>
          <w:b/>
          <w:sz w:val="28"/>
          <w:szCs w:val="28"/>
        </w:rPr>
      </w:pPr>
      <w:proofErr w:type="spellStart"/>
      <w:r>
        <w:rPr>
          <w:b/>
          <w:szCs w:val="24"/>
        </w:rPr>
        <w:t>A</w:t>
      </w:r>
      <w:r w:rsidR="00A87531">
        <w:rPr>
          <w:b/>
          <w:szCs w:val="24"/>
        </w:rPr>
        <w:t>bstract</w:t>
      </w:r>
      <w:proofErr w:type="spellEnd"/>
    </w:p>
    <w:p w:rsidR="005B748F" w:rsidRPr="00FE1CB5" w:rsidRDefault="005B748F" w:rsidP="004E7EBF">
      <w:pPr>
        <w:spacing w:before="120" w:after="120" w:line="240" w:lineRule="auto"/>
        <w:rPr>
          <w:sz w:val="20"/>
          <w:szCs w:val="20"/>
        </w:rPr>
      </w:pPr>
      <w:proofErr w:type="spellStart"/>
      <w:r w:rsidRPr="00FE1CB5">
        <w:rPr>
          <w:sz w:val="20"/>
          <w:szCs w:val="20"/>
        </w:rPr>
        <w:t>The</w:t>
      </w:r>
      <w:proofErr w:type="spellEnd"/>
      <w:r w:rsidRPr="00FE1CB5">
        <w:rPr>
          <w:sz w:val="20"/>
          <w:szCs w:val="20"/>
        </w:rPr>
        <w:t xml:space="preserve"> </w:t>
      </w:r>
      <w:proofErr w:type="spellStart"/>
      <w:r w:rsidRPr="00FE1CB5">
        <w:rPr>
          <w:sz w:val="20"/>
          <w:szCs w:val="20"/>
        </w:rPr>
        <w:t>epidemic</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infectious</w:t>
      </w:r>
      <w:proofErr w:type="spellEnd"/>
      <w:r w:rsidRPr="00FE1CB5">
        <w:rPr>
          <w:sz w:val="20"/>
          <w:szCs w:val="20"/>
        </w:rPr>
        <w:t xml:space="preserve"> </w:t>
      </w:r>
      <w:proofErr w:type="spellStart"/>
      <w:r w:rsidRPr="00FE1CB5">
        <w:rPr>
          <w:sz w:val="20"/>
          <w:szCs w:val="20"/>
        </w:rPr>
        <w:t>diseases</w:t>
      </w:r>
      <w:proofErr w:type="spellEnd"/>
      <w:r w:rsidRPr="00FE1CB5">
        <w:rPr>
          <w:sz w:val="20"/>
          <w:szCs w:val="20"/>
        </w:rPr>
        <w:t xml:space="preserve"> </w:t>
      </w:r>
      <w:proofErr w:type="spellStart"/>
      <w:r w:rsidRPr="00FE1CB5">
        <w:rPr>
          <w:sz w:val="20"/>
          <w:szCs w:val="20"/>
        </w:rPr>
        <w:t>that</w:t>
      </w:r>
      <w:proofErr w:type="spellEnd"/>
      <w:r w:rsidRPr="00FE1CB5">
        <w:rPr>
          <w:sz w:val="20"/>
          <w:szCs w:val="20"/>
        </w:rPr>
        <w:t xml:space="preserve"> </w:t>
      </w:r>
      <w:proofErr w:type="spellStart"/>
      <w:r w:rsidRPr="00FE1CB5">
        <w:rPr>
          <w:sz w:val="20"/>
          <w:szCs w:val="20"/>
        </w:rPr>
        <w:t>cause</w:t>
      </w:r>
      <w:proofErr w:type="spellEnd"/>
      <w:r w:rsidRPr="00FE1CB5">
        <w:rPr>
          <w:sz w:val="20"/>
          <w:szCs w:val="20"/>
        </w:rPr>
        <w:t xml:space="preserve"> </w:t>
      </w:r>
      <w:proofErr w:type="spellStart"/>
      <w:r w:rsidRPr="00FE1CB5">
        <w:rPr>
          <w:sz w:val="20"/>
          <w:szCs w:val="20"/>
        </w:rPr>
        <w:t>mass</w:t>
      </w:r>
      <w:proofErr w:type="spellEnd"/>
      <w:r w:rsidRPr="00FE1CB5">
        <w:rPr>
          <w:sz w:val="20"/>
          <w:szCs w:val="20"/>
        </w:rPr>
        <w:t xml:space="preserve"> </w:t>
      </w:r>
      <w:proofErr w:type="spellStart"/>
      <w:r w:rsidRPr="00FE1CB5">
        <w:rPr>
          <w:sz w:val="20"/>
          <w:szCs w:val="20"/>
        </w:rPr>
        <w:t>deaths</w:t>
      </w:r>
      <w:proofErr w:type="spellEnd"/>
      <w:r w:rsidRPr="00FE1CB5">
        <w:rPr>
          <w:sz w:val="20"/>
          <w:szCs w:val="20"/>
        </w:rPr>
        <w:t xml:space="preserve"> </w:t>
      </w:r>
      <w:proofErr w:type="spellStart"/>
      <w:r w:rsidRPr="00FE1CB5">
        <w:rPr>
          <w:sz w:val="20"/>
          <w:szCs w:val="20"/>
        </w:rPr>
        <w:t>throughout</w:t>
      </w:r>
      <w:proofErr w:type="spellEnd"/>
      <w:r w:rsidRPr="00FE1CB5">
        <w:rPr>
          <w:sz w:val="20"/>
          <w:szCs w:val="20"/>
        </w:rPr>
        <w:t xml:space="preserve"> </w:t>
      </w:r>
      <w:proofErr w:type="spellStart"/>
      <w:r w:rsidRPr="00FE1CB5">
        <w:rPr>
          <w:sz w:val="20"/>
          <w:szCs w:val="20"/>
        </w:rPr>
        <w:t>human</w:t>
      </w:r>
      <w:proofErr w:type="spellEnd"/>
      <w:r w:rsidRPr="00FE1CB5">
        <w:rPr>
          <w:sz w:val="20"/>
          <w:szCs w:val="20"/>
        </w:rPr>
        <w:t xml:space="preserve"> </w:t>
      </w:r>
      <w:proofErr w:type="spellStart"/>
      <w:r w:rsidRPr="00FE1CB5">
        <w:rPr>
          <w:sz w:val="20"/>
          <w:szCs w:val="20"/>
        </w:rPr>
        <w:t>history</w:t>
      </w:r>
      <w:proofErr w:type="spellEnd"/>
      <w:r w:rsidRPr="00FE1CB5">
        <w:rPr>
          <w:sz w:val="20"/>
          <w:szCs w:val="20"/>
        </w:rPr>
        <w:t xml:space="preserve"> </w:t>
      </w:r>
      <w:proofErr w:type="spellStart"/>
      <w:r w:rsidRPr="00FE1CB5">
        <w:rPr>
          <w:sz w:val="20"/>
          <w:szCs w:val="20"/>
        </w:rPr>
        <w:t>have</w:t>
      </w:r>
      <w:proofErr w:type="spellEnd"/>
      <w:r w:rsidRPr="00FE1CB5">
        <w:rPr>
          <w:sz w:val="20"/>
          <w:szCs w:val="20"/>
        </w:rPr>
        <w:t xml:space="preserve"> </w:t>
      </w:r>
      <w:proofErr w:type="spellStart"/>
      <w:r w:rsidRPr="00FE1CB5">
        <w:rPr>
          <w:sz w:val="20"/>
          <w:szCs w:val="20"/>
        </w:rPr>
        <w:t>always</w:t>
      </w:r>
      <w:proofErr w:type="spellEnd"/>
      <w:r w:rsidRPr="00FE1CB5">
        <w:rPr>
          <w:sz w:val="20"/>
          <w:szCs w:val="20"/>
        </w:rPr>
        <w:t xml:space="preserve"> </w:t>
      </w:r>
      <w:proofErr w:type="spellStart"/>
      <w:r w:rsidRPr="00FE1CB5">
        <w:rPr>
          <w:sz w:val="20"/>
          <w:szCs w:val="20"/>
        </w:rPr>
        <w:t>been</w:t>
      </w:r>
      <w:proofErr w:type="spellEnd"/>
      <w:r w:rsidRPr="00FE1CB5">
        <w:rPr>
          <w:sz w:val="20"/>
          <w:szCs w:val="20"/>
        </w:rPr>
        <w:t xml:space="preserve"> a global </w:t>
      </w:r>
      <w:proofErr w:type="spellStart"/>
      <w:r w:rsidRPr="00FE1CB5">
        <w:rPr>
          <w:sz w:val="20"/>
          <w:szCs w:val="20"/>
        </w:rPr>
        <w:t>threat</w:t>
      </w:r>
      <w:proofErr w:type="spellEnd"/>
      <w:r w:rsidRPr="00FE1CB5">
        <w:rPr>
          <w:sz w:val="20"/>
          <w:szCs w:val="20"/>
        </w:rPr>
        <w:t xml:space="preserve"> </w:t>
      </w:r>
      <w:proofErr w:type="spellStart"/>
      <w:r w:rsidRPr="00FE1CB5">
        <w:rPr>
          <w:sz w:val="20"/>
          <w:szCs w:val="20"/>
        </w:rPr>
        <w:t>with</w:t>
      </w:r>
      <w:proofErr w:type="spellEnd"/>
      <w:r w:rsidRPr="00FE1CB5">
        <w:rPr>
          <w:sz w:val="20"/>
          <w:szCs w:val="20"/>
        </w:rPr>
        <w:t xml:space="preserve"> </w:t>
      </w:r>
      <w:proofErr w:type="spellStart"/>
      <w:r w:rsidRPr="00FE1CB5">
        <w:rPr>
          <w:sz w:val="20"/>
          <w:szCs w:val="20"/>
        </w:rPr>
        <w:t>their</w:t>
      </w:r>
      <w:proofErr w:type="spellEnd"/>
      <w:r w:rsidRPr="00FE1CB5">
        <w:rPr>
          <w:sz w:val="20"/>
          <w:szCs w:val="20"/>
        </w:rPr>
        <w:t xml:space="preserve"> </w:t>
      </w:r>
      <w:proofErr w:type="spellStart"/>
      <w:r w:rsidRPr="00FE1CB5">
        <w:rPr>
          <w:sz w:val="20"/>
          <w:szCs w:val="20"/>
        </w:rPr>
        <w:t>economic</w:t>
      </w:r>
      <w:proofErr w:type="spellEnd"/>
      <w:r w:rsidRPr="00FE1CB5">
        <w:rPr>
          <w:sz w:val="20"/>
          <w:szCs w:val="20"/>
        </w:rPr>
        <w:t xml:space="preserve">, </w:t>
      </w:r>
      <w:proofErr w:type="spellStart"/>
      <w:r w:rsidRPr="00FE1CB5">
        <w:rPr>
          <w:sz w:val="20"/>
          <w:szCs w:val="20"/>
        </w:rPr>
        <w:t>political</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demographic</w:t>
      </w:r>
      <w:proofErr w:type="spellEnd"/>
      <w:r w:rsidRPr="00FE1CB5">
        <w:rPr>
          <w:sz w:val="20"/>
          <w:szCs w:val="20"/>
        </w:rPr>
        <w:t xml:space="preserve"> </w:t>
      </w:r>
      <w:proofErr w:type="spellStart"/>
      <w:r w:rsidRPr="00FE1CB5">
        <w:rPr>
          <w:sz w:val="20"/>
          <w:szCs w:val="20"/>
        </w:rPr>
        <w:t>results</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effects</w:t>
      </w:r>
      <w:proofErr w:type="spellEnd"/>
      <w:r w:rsidRPr="00FE1CB5">
        <w:rPr>
          <w:sz w:val="20"/>
          <w:szCs w:val="20"/>
        </w:rPr>
        <w:t xml:space="preserve"> of </w:t>
      </w:r>
      <w:proofErr w:type="spellStart"/>
      <w:r w:rsidRPr="00FE1CB5">
        <w:rPr>
          <w:sz w:val="20"/>
          <w:szCs w:val="20"/>
        </w:rPr>
        <w:t>these</w:t>
      </w:r>
      <w:proofErr w:type="spellEnd"/>
      <w:r w:rsidRPr="00FE1CB5">
        <w:rPr>
          <w:sz w:val="20"/>
          <w:szCs w:val="20"/>
        </w:rPr>
        <w:t xml:space="preserve"> </w:t>
      </w:r>
      <w:proofErr w:type="spellStart"/>
      <w:r w:rsidRPr="00FE1CB5">
        <w:rPr>
          <w:sz w:val="20"/>
          <w:szCs w:val="20"/>
        </w:rPr>
        <w:t>diseases</w:t>
      </w:r>
      <w:proofErr w:type="spellEnd"/>
      <w:r w:rsidRPr="00FE1CB5">
        <w:rPr>
          <w:sz w:val="20"/>
          <w:szCs w:val="20"/>
        </w:rPr>
        <w:t xml:space="preserve">, </w:t>
      </w:r>
      <w:proofErr w:type="spellStart"/>
      <w:r w:rsidRPr="00FE1CB5">
        <w:rPr>
          <w:sz w:val="20"/>
          <w:szCs w:val="20"/>
        </w:rPr>
        <w:t>which</w:t>
      </w:r>
      <w:proofErr w:type="spellEnd"/>
      <w:r w:rsidRPr="00FE1CB5">
        <w:rPr>
          <w:sz w:val="20"/>
          <w:szCs w:val="20"/>
        </w:rPr>
        <w:t xml:space="preserve"> </w:t>
      </w:r>
      <w:proofErr w:type="spellStart"/>
      <w:r w:rsidRPr="00FE1CB5">
        <w:rPr>
          <w:sz w:val="20"/>
          <w:szCs w:val="20"/>
        </w:rPr>
        <w:t>are</w:t>
      </w:r>
      <w:proofErr w:type="spellEnd"/>
      <w:r w:rsidRPr="00FE1CB5">
        <w:rPr>
          <w:sz w:val="20"/>
          <w:szCs w:val="20"/>
        </w:rPr>
        <w:t xml:space="preserve"> </w:t>
      </w:r>
      <w:proofErr w:type="spellStart"/>
      <w:r w:rsidRPr="00FE1CB5">
        <w:rPr>
          <w:sz w:val="20"/>
          <w:szCs w:val="20"/>
        </w:rPr>
        <w:t>called</w:t>
      </w:r>
      <w:proofErr w:type="spellEnd"/>
      <w:r w:rsidRPr="00FE1CB5">
        <w:rPr>
          <w:sz w:val="20"/>
          <w:szCs w:val="20"/>
        </w:rPr>
        <w:t xml:space="preserve"> as </w:t>
      </w:r>
      <w:proofErr w:type="spellStart"/>
      <w:r w:rsidRPr="00FE1CB5">
        <w:rPr>
          <w:sz w:val="20"/>
          <w:szCs w:val="20"/>
        </w:rPr>
        <w:t>invisible</w:t>
      </w:r>
      <w:proofErr w:type="spellEnd"/>
      <w:r w:rsidRPr="00FE1CB5">
        <w:rPr>
          <w:sz w:val="20"/>
          <w:szCs w:val="20"/>
        </w:rPr>
        <w:t xml:space="preserve"> </w:t>
      </w:r>
      <w:proofErr w:type="spellStart"/>
      <w:r w:rsidRPr="00FE1CB5">
        <w:rPr>
          <w:sz w:val="20"/>
          <w:szCs w:val="20"/>
        </w:rPr>
        <w:t>armies</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which</w:t>
      </w:r>
      <w:proofErr w:type="spellEnd"/>
      <w:r w:rsidRPr="00FE1CB5">
        <w:rPr>
          <w:sz w:val="20"/>
          <w:szCs w:val="20"/>
        </w:rPr>
        <w:t xml:space="preserve"> </w:t>
      </w:r>
      <w:proofErr w:type="spellStart"/>
      <w:r w:rsidRPr="00FE1CB5">
        <w:rPr>
          <w:sz w:val="20"/>
          <w:szCs w:val="20"/>
        </w:rPr>
        <w:t>have</w:t>
      </w:r>
      <w:proofErr w:type="spellEnd"/>
      <w:r w:rsidRPr="00FE1CB5">
        <w:rPr>
          <w:sz w:val="20"/>
          <w:szCs w:val="20"/>
        </w:rPr>
        <w:t xml:space="preserve"> </w:t>
      </w:r>
      <w:proofErr w:type="spellStart"/>
      <w:r w:rsidRPr="00FE1CB5">
        <w:rPr>
          <w:sz w:val="20"/>
          <w:szCs w:val="20"/>
        </w:rPr>
        <w:t>destructive</w:t>
      </w:r>
      <w:proofErr w:type="spellEnd"/>
      <w:r w:rsidRPr="00FE1CB5">
        <w:rPr>
          <w:sz w:val="20"/>
          <w:szCs w:val="20"/>
        </w:rPr>
        <w:t xml:space="preserve"> </w:t>
      </w:r>
      <w:proofErr w:type="spellStart"/>
      <w:r w:rsidRPr="00FE1CB5">
        <w:rPr>
          <w:sz w:val="20"/>
          <w:szCs w:val="20"/>
        </w:rPr>
        <w:t>effects</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w:t>
      </w:r>
      <w:proofErr w:type="spellStart"/>
      <w:r w:rsidRPr="00FE1CB5">
        <w:rPr>
          <w:sz w:val="20"/>
          <w:szCs w:val="20"/>
        </w:rPr>
        <w:t>redraw</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world</w:t>
      </w:r>
      <w:proofErr w:type="spellEnd"/>
      <w:r w:rsidRPr="00FE1CB5">
        <w:rPr>
          <w:sz w:val="20"/>
          <w:szCs w:val="20"/>
        </w:rPr>
        <w:t xml:space="preserve"> </w:t>
      </w:r>
      <w:proofErr w:type="spellStart"/>
      <w:r w:rsidRPr="00FE1CB5">
        <w:rPr>
          <w:sz w:val="20"/>
          <w:szCs w:val="20"/>
        </w:rPr>
        <w:t>map</w:t>
      </w:r>
      <w:proofErr w:type="spellEnd"/>
      <w:r w:rsidRPr="00FE1CB5">
        <w:rPr>
          <w:sz w:val="20"/>
          <w:szCs w:val="20"/>
        </w:rPr>
        <w:t xml:space="preserve">, </w:t>
      </w:r>
      <w:proofErr w:type="spellStart"/>
      <w:r w:rsidRPr="00FE1CB5">
        <w:rPr>
          <w:sz w:val="20"/>
          <w:szCs w:val="20"/>
        </w:rPr>
        <w:t>have</w:t>
      </w:r>
      <w:proofErr w:type="spellEnd"/>
      <w:r w:rsidRPr="00FE1CB5">
        <w:rPr>
          <w:sz w:val="20"/>
          <w:szCs w:val="20"/>
        </w:rPr>
        <w:t xml:space="preserve"> </w:t>
      </w:r>
      <w:proofErr w:type="spellStart"/>
      <w:r w:rsidRPr="00FE1CB5">
        <w:rPr>
          <w:sz w:val="20"/>
          <w:szCs w:val="20"/>
        </w:rPr>
        <w:t>revealed</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concept</w:t>
      </w:r>
      <w:proofErr w:type="spellEnd"/>
      <w:r w:rsidRPr="00FE1CB5">
        <w:rPr>
          <w:sz w:val="20"/>
          <w:szCs w:val="20"/>
        </w:rPr>
        <w:t xml:space="preserve"> of </w:t>
      </w:r>
      <w:proofErr w:type="spellStart"/>
      <w:r w:rsidRPr="00FE1CB5">
        <w:rPr>
          <w:sz w:val="20"/>
          <w:szCs w:val="20"/>
        </w:rPr>
        <w:t>bioterrorism</w:t>
      </w:r>
      <w:proofErr w:type="spellEnd"/>
      <w:r w:rsidRPr="00FE1CB5">
        <w:rPr>
          <w:sz w:val="20"/>
          <w:szCs w:val="20"/>
        </w:rPr>
        <w:t xml:space="preserve">. </w:t>
      </w:r>
      <w:proofErr w:type="spellStart"/>
      <w:r w:rsidRPr="00FE1CB5">
        <w:rPr>
          <w:sz w:val="20"/>
          <w:szCs w:val="20"/>
        </w:rPr>
        <w:t>Bio-terrorism</w:t>
      </w:r>
      <w:proofErr w:type="spellEnd"/>
      <w:r w:rsidRPr="00FE1CB5">
        <w:rPr>
          <w:sz w:val="20"/>
          <w:szCs w:val="20"/>
        </w:rPr>
        <w:t xml:space="preserve">, </w:t>
      </w:r>
      <w:proofErr w:type="spellStart"/>
      <w:r w:rsidRPr="00FE1CB5">
        <w:rPr>
          <w:sz w:val="20"/>
          <w:szCs w:val="20"/>
        </w:rPr>
        <w:t>which</w:t>
      </w:r>
      <w:proofErr w:type="spellEnd"/>
      <w:r w:rsidRPr="00FE1CB5">
        <w:rPr>
          <w:sz w:val="20"/>
          <w:szCs w:val="20"/>
        </w:rPr>
        <w:t xml:space="preserve"> has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most</w:t>
      </w:r>
      <w:proofErr w:type="spellEnd"/>
      <w:r w:rsidRPr="00FE1CB5">
        <w:rPr>
          <w:sz w:val="20"/>
          <w:szCs w:val="20"/>
        </w:rPr>
        <w:t xml:space="preserve"> </w:t>
      </w:r>
      <w:proofErr w:type="spellStart"/>
      <w:r w:rsidRPr="00FE1CB5">
        <w:rPr>
          <w:sz w:val="20"/>
          <w:szCs w:val="20"/>
        </w:rPr>
        <w:t>destructive</w:t>
      </w:r>
      <w:proofErr w:type="spellEnd"/>
      <w:r w:rsidRPr="00FE1CB5">
        <w:rPr>
          <w:sz w:val="20"/>
          <w:szCs w:val="20"/>
        </w:rPr>
        <w:t xml:space="preserve"> </w:t>
      </w:r>
      <w:proofErr w:type="spellStart"/>
      <w:r w:rsidRPr="00FE1CB5">
        <w:rPr>
          <w:sz w:val="20"/>
          <w:szCs w:val="20"/>
        </w:rPr>
        <w:t>effects</w:t>
      </w:r>
      <w:proofErr w:type="spellEnd"/>
      <w:r w:rsidRPr="00FE1CB5">
        <w:rPr>
          <w:sz w:val="20"/>
          <w:szCs w:val="20"/>
        </w:rPr>
        <w:t xml:space="preserve"> </w:t>
      </w:r>
      <w:proofErr w:type="spellStart"/>
      <w:r w:rsidRPr="00FE1CB5">
        <w:rPr>
          <w:sz w:val="20"/>
          <w:szCs w:val="20"/>
        </w:rPr>
        <w:t>against</w:t>
      </w:r>
      <w:proofErr w:type="spellEnd"/>
      <w:r w:rsidRPr="00FE1CB5">
        <w:rPr>
          <w:sz w:val="20"/>
          <w:szCs w:val="20"/>
        </w:rPr>
        <w:t xml:space="preserve"> a </w:t>
      </w:r>
      <w:proofErr w:type="spellStart"/>
      <w:r w:rsidRPr="00FE1CB5">
        <w:rPr>
          <w:sz w:val="20"/>
          <w:szCs w:val="20"/>
        </w:rPr>
        <w:t>country</w:t>
      </w:r>
      <w:proofErr w:type="spellEnd"/>
      <w:r w:rsidRPr="00FE1CB5">
        <w:rPr>
          <w:sz w:val="20"/>
          <w:szCs w:val="20"/>
        </w:rPr>
        <w:t xml:space="preserve"> </w:t>
      </w:r>
      <w:proofErr w:type="spellStart"/>
      <w:r w:rsidRPr="00FE1CB5">
        <w:rPr>
          <w:sz w:val="20"/>
          <w:szCs w:val="20"/>
        </w:rPr>
        <w:t>or</w:t>
      </w:r>
      <w:proofErr w:type="spellEnd"/>
      <w:r w:rsidRPr="00FE1CB5">
        <w:rPr>
          <w:sz w:val="20"/>
          <w:szCs w:val="20"/>
        </w:rPr>
        <w:t xml:space="preserve"> </w:t>
      </w:r>
      <w:proofErr w:type="spellStart"/>
      <w:r w:rsidRPr="00FE1CB5">
        <w:rPr>
          <w:sz w:val="20"/>
          <w:szCs w:val="20"/>
        </w:rPr>
        <w:t>community</w:t>
      </w:r>
      <w:proofErr w:type="spellEnd"/>
      <w:r w:rsidRPr="00FE1CB5">
        <w:rPr>
          <w:sz w:val="20"/>
          <w:szCs w:val="20"/>
        </w:rPr>
        <w:t xml:space="preserve"> on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basis</w:t>
      </w:r>
      <w:proofErr w:type="spellEnd"/>
      <w:r w:rsidRPr="00FE1CB5">
        <w:rPr>
          <w:sz w:val="20"/>
          <w:szCs w:val="20"/>
        </w:rPr>
        <w:t xml:space="preserve"> of </w:t>
      </w:r>
      <w:proofErr w:type="spellStart"/>
      <w:r w:rsidRPr="00FE1CB5">
        <w:rPr>
          <w:sz w:val="20"/>
          <w:szCs w:val="20"/>
        </w:rPr>
        <w:t>using</w:t>
      </w:r>
      <w:proofErr w:type="spellEnd"/>
      <w:r w:rsidRPr="00FE1CB5">
        <w:rPr>
          <w:sz w:val="20"/>
          <w:szCs w:val="20"/>
        </w:rPr>
        <w:t xml:space="preserve"> </w:t>
      </w:r>
      <w:proofErr w:type="spellStart"/>
      <w:r w:rsidRPr="00FE1CB5">
        <w:rPr>
          <w:sz w:val="20"/>
          <w:szCs w:val="20"/>
        </w:rPr>
        <w:t>biological</w:t>
      </w:r>
      <w:proofErr w:type="spellEnd"/>
      <w:r w:rsidRPr="00FE1CB5">
        <w:rPr>
          <w:sz w:val="20"/>
          <w:szCs w:val="20"/>
        </w:rPr>
        <w:t xml:space="preserve"> </w:t>
      </w:r>
      <w:proofErr w:type="spellStart"/>
      <w:r w:rsidRPr="00FE1CB5">
        <w:rPr>
          <w:sz w:val="20"/>
          <w:szCs w:val="20"/>
        </w:rPr>
        <w:t>weapons</w:t>
      </w:r>
      <w:proofErr w:type="spellEnd"/>
      <w:r w:rsidRPr="00FE1CB5">
        <w:rPr>
          <w:sz w:val="20"/>
          <w:szCs w:val="20"/>
        </w:rPr>
        <w:t xml:space="preserve">, is a </w:t>
      </w:r>
      <w:proofErr w:type="spellStart"/>
      <w:r w:rsidRPr="00FE1CB5">
        <w:rPr>
          <w:sz w:val="20"/>
          <w:szCs w:val="20"/>
        </w:rPr>
        <w:t>very</w:t>
      </w:r>
      <w:proofErr w:type="spellEnd"/>
      <w:r w:rsidRPr="00FE1CB5">
        <w:rPr>
          <w:sz w:val="20"/>
          <w:szCs w:val="20"/>
        </w:rPr>
        <w:t xml:space="preserve"> </w:t>
      </w:r>
      <w:proofErr w:type="spellStart"/>
      <w:r w:rsidRPr="00FE1CB5">
        <w:rPr>
          <w:sz w:val="20"/>
          <w:szCs w:val="20"/>
        </w:rPr>
        <w:t>important</w:t>
      </w:r>
      <w:proofErr w:type="spellEnd"/>
      <w:r w:rsidRPr="00FE1CB5">
        <w:rPr>
          <w:sz w:val="20"/>
          <w:szCs w:val="20"/>
        </w:rPr>
        <w:t xml:space="preserve"> </w:t>
      </w:r>
      <w:proofErr w:type="spellStart"/>
      <w:r w:rsidRPr="00FE1CB5">
        <w:rPr>
          <w:sz w:val="20"/>
          <w:szCs w:val="20"/>
        </w:rPr>
        <w:t>issue</w:t>
      </w:r>
      <w:proofErr w:type="spellEnd"/>
      <w:r w:rsidRPr="00FE1CB5">
        <w:rPr>
          <w:sz w:val="20"/>
          <w:szCs w:val="20"/>
        </w:rPr>
        <w:t xml:space="preserve"> </w:t>
      </w:r>
      <w:proofErr w:type="spellStart"/>
      <w:r w:rsidRPr="00FE1CB5">
        <w:rPr>
          <w:sz w:val="20"/>
          <w:szCs w:val="20"/>
        </w:rPr>
        <w:t>for</w:t>
      </w:r>
      <w:proofErr w:type="spellEnd"/>
      <w:r w:rsidRPr="00FE1CB5">
        <w:rPr>
          <w:sz w:val="20"/>
          <w:szCs w:val="20"/>
        </w:rPr>
        <w:t xml:space="preserve"> </w:t>
      </w:r>
      <w:proofErr w:type="spellStart"/>
      <w:r w:rsidRPr="00FE1CB5">
        <w:rPr>
          <w:sz w:val="20"/>
          <w:szCs w:val="20"/>
        </w:rPr>
        <w:t>national</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global </w:t>
      </w:r>
      <w:proofErr w:type="spellStart"/>
      <w:r w:rsidRPr="00FE1CB5">
        <w:rPr>
          <w:sz w:val="20"/>
          <w:szCs w:val="20"/>
        </w:rPr>
        <w:t>security</w:t>
      </w:r>
      <w:proofErr w:type="spellEnd"/>
      <w:r w:rsidRPr="00FE1CB5">
        <w:rPr>
          <w:sz w:val="20"/>
          <w:szCs w:val="20"/>
        </w:rPr>
        <w:t xml:space="preserve">. </w:t>
      </w:r>
      <w:proofErr w:type="spellStart"/>
      <w:r w:rsidRPr="00FE1CB5">
        <w:rPr>
          <w:sz w:val="20"/>
          <w:szCs w:val="20"/>
        </w:rPr>
        <w:t>What</w:t>
      </w:r>
      <w:proofErr w:type="spellEnd"/>
      <w:r w:rsidRPr="00FE1CB5">
        <w:rPr>
          <w:sz w:val="20"/>
          <w:szCs w:val="20"/>
        </w:rPr>
        <w:t xml:space="preserve"> </w:t>
      </w:r>
      <w:proofErr w:type="spellStart"/>
      <w:r w:rsidRPr="00FE1CB5">
        <w:rPr>
          <w:sz w:val="20"/>
          <w:szCs w:val="20"/>
        </w:rPr>
        <w:t>makes</w:t>
      </w:r>
      <w:proofErr w:type="spellEnd"/>
      <w:r w:rsidRPr="00FE1CB5">
        <w:rPr>
          <w:sz w:val="20"/>
          <w:szCs w:val="20"/>
        </w:rPr>
        <w:t xml:space="preserve"> </w:t>
      </w:r>
      <w:proofErr w:type="spellStart"/>
      <w:r w:rsidRPr="00FE1CB5">
        <w:rPr>
          <w:sz w:val="20"/>
          <w:szCs w:val="20"/>
        </w:rPr>
        <w:t>this</w:t>
      </w:r>
      <w:proofErr w:type="spellEnd"/>
      <w:r w:rsidRPr="00FE1CB5">
        <w:rPr>
          <w:sz w:val="20"/>
          <w:szCs w:val="20"/>
        </w:rPr>
        <w:t xml:space="preserve"> </w:t>
      </w:r>
      <w:proofErr w:type="spellStart"/>
      <w:r w:rsidRPr="00FE1CB5">
        <w:rPr>
          <w:sz w:val="20"/>
          <w:szCs w:val="20"/>
        </w:rPr>
        <w:t>matter</w:t>
      </w:r>
      <w:proofErr w:type="spellEnd"/>
      <w:r w:rsidRPr="00FE1CB5">
        <w:rPr>
          <w:sz w:val="20"/>
          <w:szCs w:val="20"/>
        </w:rPr>
        <w:t xml:space="preserve"> </w:t>
      </w:r>
      <w:proofErr w:type="spellStart"/>
      <w:r w:rsidRPr="00FE1CB5">
        <w:rPr>
          <w:sz w:val="20"/>
          <w:szCs w:val="20"/>
        </w:rPr>
        <w:t>vital</w:t>
      </w:r>
      <w:proofErr w:type="spellEnd"/>
      <w:r w:rsidRPr="00FE1CB5">
        <w:rPr>
          <w:sz w:val="20"/>
          <w:szCs w:val="20"/>
        </w:rPr>
        <w:t xml:space="preserve"> is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power</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w:t>
      </w:r>
      <w:proofErr w:type="spellStart"/>
      <w:r w:rsidRPr="00FE1CB5">
        <w:rPr>
          <w:sz w:val="20"/>
          <w:szCs w:val="20"/>
        </w:rPr>
        <w:t>deeply</w:t>
      </w:r>
      <w:proofErr w:type="spellEnd"/>
      <w:r w:rsidRPr="00FE1CB5">
        <w:rPr>
          <w:sz w:val="20"/>
          <w:szCs w:val="20"/>
        </w:rPr>
        <w:t xml:space="preserve"> </w:t>
      </w:r>
      <w:proofErr w:type="spellStart"/>
      <w:r w:rsidRPr="00FE1CB5">
        <w:rPr>
          <w:sz w:val="20"/>
          <w:szCs w:val="20"/>
        </w:rPr>
        <w:t>influence</w:t>
      </w:r>
      <w:proofErr w:type="spellEnd"/>
      <w:r w:rsidRPr="00FE1CB5">
        <w:rPr>
          <w:sz w:val="20"/>
          <w:szCs w:val="20"/>
        </w:rPr>
        <w:t xml:space="preserve"> </w:t>
      </w:r>
      <w:proofErr w:type="spellStart"/>
      <w:r w:rsidRPr="00FE1CB5">
        <w:rPr>
          <w:sz w:val="20"/>
          <w:szCs w:val="20"/>
        </w:rPr>
        <w:t>nation</w:t>
      </w:r>
      <w:proofErr w:type="spellEnd"/>
      <w:r w:rsidRPr="00FE1CB5">
        <w:rPr>
          <w:sz w:val="20"/>
          <w:szCs w:val="20"/>
        </w:rPr>
        <w:t xml:space="preserve"> life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ultimately</w:t>
      </w:r>
      <w:proofErr w:type="spellEnd"/>
      <w:r w:rsidRPr="00FE1CB5">
        <w:rPr>
          <w:sz w:val="20"/>
          <w:szCs w:val="20"/>
        </w:rPr>
        <w:t xml:space="preserve"> global life.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effect</w:t>
      </w:r>
      <w:proofErr w:type="spellEnd"/>
      <w:r w:rsidRPr="00FE1CB5">
        <w:rPr>
          <w:sz w:val="20"/>
          <w:szCs w:val="20"/>
        </w:rPr>
        <w:t xml:space="preserve"> of </w:t>
      </w:r>
      <w:proofErr w:type="spellStart"/>
      <w:r w:rsidRPr="00FE1CB5">
        <w:rPr>
          <w:sz w:val="20"/>
          <w:szCs w:val="20"/>
        </w:rPr>
        <w:t>bio-terrorism</w:t>
      </w:r>
      <w:proofErr w:type="spellEnd"/>
      <w:r w:rsidRPr="00FE1CB5">
        <w:rPr>
          <w:sz w:val="20"/>
          <w:szCs w:val="20"/>
        </w:rPr>
        <w:t xml:space="preserve"> on a </w:t>
      </w:r>
      <w:proofErr w:type="spellStart"/>
      <w:r w:rsidRPr="00FE1CB5">
        <w:rPr>
          <w:sz w:val="20"/>
          <w:szCs w:val="20"/>
        </w:rPr>
        <w:t>nation</w:t>
      </w:r>
      <w:proofErr w:type="spellEnd"/>
      <w:r w:rsidRPr="00FE1CB5">
        <w:rPr>
          <w:sz w:val="20"/>
          <w:szCs w:val="20"/>
        </w:rPr>
        <w:t xml:space="preserve"> </w:t>
      </w:r>
      <w:proofErr w:type="spellStart"/>
      <w:r w:rsidRPr="00FE1CB5">
        <w:rPr>
          <w:sz w:val="20"/>
          <w:szCs w:val="20"/>
        </w:rPr>
        <w:t>or</w:t>
      </w:r>
      <w:proofErr w:type="spellEnd"/>
      <w:r w:rsidRPr="00FE1CB5">
        <w:rPr>
          <w:sz w:val="20"/>
          <w:szCs w:val="20"/>
        </w:rPr>
        <w:t xml:space="preserve"> </w:t>
      </w:r>
      <w:proofErr w:type="spellStart"/>
      <w:r w:rsidRPr="00FE1CB5">
        <w:rPr>
          <w:sz w:val="20"/>
          <w:szCs w:val="20"/>
        </w:rPr>
        <w:t>state</w:t>
      </w:r>
      <w:proofErr w:type="spellEnd"/>
      <w:r w:rsidRPr="00FE1CB5">
        <w:rPr>
          <w:sz w:val="20"/>
          <w:szCs w:val="20"/>
        </w:rPr>
        <w:t xml:space="preserve"> is not </w:t>
      </w:r>
      <w:proofErr w:type="spellStart"/>
      <w:r w:rsidRPr="00FE1CB5">
        <w:rPr>
          <w:sz w:val="20"/>
          <w:szCs w:val="20"/>
        </w:rPr>
        <w:t>limited</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w:t>
      </w:r>
      <w:proofErr w:type="spellStart"/>
      <w:r w:rsidRPr="00FE1CB5">
        <w:rPr>
          <w:sz w:val="20"/>
          <w:szCs w:val="20"/>
        </w:rPr>
        <w:t>loss</w:t>
      </w:r>
      <w:proofErr w:type="spellEnd"/>
      <w:r w:rsidRPr="00FE1CB5">
        <w:rPr>
          <w:sz w:val="20"/>
          <w:szCs w:val="20"/>
        </w:rPr>
        <w:t xml:space="preserve"> of life. </w:t>
      </w:r>
      <w:proofErr w:type="spellStart"/>
      <w:r w:rsidRPr="00FE1CB5">
        <w:rPr>
          <w:sz w:val="20"/>
          <w:szCs w:val="20"/>
        </w:rPr>
        <w:t>Such</w:t>
      </w:r>
      <w:proofErr w:type="spellEnd"/>
      <w:r w:rsidRPr="00FE1CB5">
        <w:rPr>
          <w:sz w:val="20"/>
          <w:szCs w:val="20"/>
        </w:rPr>
        <w:t xml:space="preserve"> </w:t>
      </w:r>
      <w:proofErr w:type="spellStart"/>
      <w:r w:rsidRPr="00FE1CB5">
        <w:rPr>
          <w:sz w:val="20"/>
          <w:szCs w:val="20"/>
        </w:rPr>
        <w:t>attacks</w:t>
      </w:r>
      <w:proofErr w:type="spellEnd"/>
      <w:r w:rsidRPr="00FE1CB5">
        <w:rPr>
          <w:sz w:val="20"/>
          <w:szCs w:val="20"/>
        </w:rPr>
        <w:t xml:space="preserve"> </w:t>
      </w:r>
      <w:proofErr w:type="spellStart"/>
      <w:r w:rsidRPr="00FE1CB5">
        <w:rPr>
          <w:sz w:val="20"/>
          <w:szCs w:val="20"/>
        </w:rPr>
        <w:t>also</w:t>
      </w:r>
      <w:proofErr w:type="spellEnd"/>
      <w:r w:rsidRPr="00FE1CB5">
        <w:rPr>
          <w:sz w:val="20"/>
          <w:szCs w:val="20"/>
        </w:rPr>
        <w:t xml:space="preserve"> </w:t>
      </w:r>
      <w:proofErr w:type="spellStart"/>
      <w:r w:rsidRPr="00FE1CB5">
        <w:rPr>
          <w:sz w:val="20"/>
          <w:szCs w:val="20"/>
        </w:rPr>
        <w:t>significantly</w:t>
      </w:r>
      <w:proofErr w:type="spellEnd"/>
      <w:r w:rsidRPr="00FE1CB5">
        <w:rPr>
          <w:sz w:val="20"/>
          <w:szCs w:val="20"/>
        </w:rPr>
        <w:t xml:space="preserve"> </w:t>
      </w:r>
      <w:proofErr w:type="spellStart"/>
      <w:r w:rsidRPr="00FE1CB5">
        <w:rPr>
          <w:sz w:val="20"/>
          <w:szCs w:val="20"/>
        </w:rPr>
        <w:t>affect</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socio-economic</w:t>
      </w:r>
      <w:proofErr w:type="spellEnd"/>
      <w:r w:rsidRPr="00FE1CB5">
        <w:rPr>
          <w:sz w:val="20"/>
          <w:szCs w:val="20"/>
        </w:rPr>
        <w:t xml:space="preserve"> life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future</w:t>
      </w:r>
      <w:proofErr w:type="spellEnd"/>
      <w:r w:rsidRPr="00FE1CB5">
        <w:rPr>
          <w:sz w:val="20"/>
          <w:szCs w:val="20"/>
        </w:rPr>
        <w:t xml:space="preserve"> of </w:t>
      </w:r>
      <w:proofErr w:type="spellStart"/>
      <w:r w:rsidRPr="00FE1CB5">
        <w:rPr>
          <w:sz w:val="20"/>
          <w:szCs w:val="20"/>
        </w:rPr>
        <w:t>nations</w:t>
      </w:r>
      <w:proofErr w:type="spellEnd"/>
      <w:r w:rsidRPr="00FE1CB5">
        <w:rPr>
          <w:sz w:val="20"/>
          <w:szCs w:val="20"/>
        </w:rPr>
        <w:t xml:space="preserve">. </w:t>
      </w:r>
      <w:proofErr w:type="spellStart"/>
      <w:r w:rsidRPr="00FE1CB5">
        <w:rPr>
          <w:sz w:val="20"/>
          <w:szCs w:val="20"/>
        </w:rPr>
        <w:t>Moreover</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fact</w:t>
      </w:r>
      <w:proofErr w:type="spellEnd"/>
      <w:r w:rsidRPr="00FE1CB5">
        <w:rPr>
          <w:sz w:val="20"/>
          <w:szCs w:val="20"/>
        </w:rPr>
        <w:t xml:space="preserve"> </w:t>
      </w:r>
      <w:proofErr w:type="spellStart"/>
      <w:r w:rsidRPr="00FE1CB5">
        <w:rPr>
          <w:sz w:val="20"/>
          <w:szCs w:val="20"/>
        </w:rPr>
        <w:t>that</w:t>
      </w:r>
      <w:proofErr w:type="spellEnd"/>
      <w:r w:rsidRPr="00FE1CB5">
        <w:rPr>
          <w:sz w:val="20"/>
          <w:szCs w:val="20"/>
        </w:rPr>
        <w:t xml:space="preserve"> </w:t>
      </w:r>
      <w:proofErr w:type="spellStart"/>
      <w:r w:rsidRPr="00FE1CB5">
        <w:rPr>
          <w:sz w:val="20"/>
          <w:szCs w:val="20"/>
        </w:rPr>
        <w:t>these</w:t>
      </w:r>
      <w:proofErr w:type="spellEnd"/>
      <w:r w:rsidRPr="00FE1CB5">
        <w:rPr>
          <w:sz w:val="20"/>
          <w:szCs w:val="20"/>
        </w:rPr>
        <w:t xml:space="preserve"> </w:t>
      </w:r>
      <w:proofErr w:type="spellStart"/>
      <w:r w:rsidRPr="00FE1CB5">
        <w:rPr>
          <w:sz w:val="20"/>
          <w:szCs w:val="20"/>
        </w:rPr>
        <w:t>attacks</w:t>
      </w:r>
      <w:proofErr w:type="spellEnd"/>
      <w:r w:rsidRPr="00FE1CB5">
        <w:rPr>
          <w:sz w:val="20"/>
          <w:szCs w:val="20"/>
        </w:rPr>
        <w:t xml:space="preserve"> can be </w:t>
      </w:r>
      <w:proofErr w:type="spellStart"/>
      <w:r w:rsidRPr="00FE1CB5">
        <w:rPr>
          <w:sz w:val="20"/>
          <w:szCs w:val="20"/>
        </w:rPr>
        <w:t>deliberately</w:t>
      </w:r>
      <w:proofErr w:type="spellEnd"/>
      <w:r w:rsidRPr="00FE1CB5">
        <w:rPr>
          <w:sz w:val="20"/>
          <w:szCs w:val="20"/>
        </w:rPr>
        <w:t xml:space="preserve"> </w:t>
      </w:r>
      <w:proofErr w:type="spellStart"/>
      <w:r w:rsidRPr="00FE1CB5">
        <w:rPr>
          <w:sz w:val="20"/>
          <w:szCs w:val="20"/>
        </w:rPr>
        <w:t>revealed</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spread </w:t>
      </w:r>
      <w:proofErr w:type="spellStart"/>
      <w:r w:rsidRPr="00FE1CB5">
        <w:rPr>
          <w:sz w:val="20"/>
          <w:szCs w:val="20"/>
        </w:rPr>
        <w:t>very</w:t>
      </w:r>
      <w:proofErr w:type="spellEnd"/>
      <w:r w:rsidRPr="00FE1CB5">
        <w:rPr>
          <w:sz w:val="20"/>
          <w:szCs w:val="20"/>
        </w:rPr>
        <w:t xml:space="preserve"> </w:t>
      </w:r>
      <w:proofErr w:type="spellStart"/>
      <w:r w:rsidRPr="00FE1CB5">
        <w:rPr>
          <w:sz w:val="20"/>
          <w:szCs w:val="20"/>
        </w:rPr>
        <w:t>rapidly</w:t>
      </w:r>
      <w:proofErr w:type="spellEnd"/>
      <w:r w:rsidRPr="00FE1CB5">
        <w:rPr>
          <w:sz w:val="20"/>
          <w:szCs w:val="20"/>
        </w:rPr>
        <w:t xml:space="preserve"> </w:t>
      </w:r>
      <w:proofErr w:type="spellStart"/>
      <w:r w:rsidRPr="00FE1CB5">
        <w:rPr>
          <w:sz w:val="20"/>
          <w:szCs w:val="20"/>
        </w:rPr>
        <w:t>through</w:t>
      </w:r>
      <w:proofErr w:type="spellEnd"/>
      <w:r w:rsidRPr="00FE1CB5">
        <w:rPr>
          <w:sz w:val="20"/>
          <w:szCs w:val="20"/>
        </w:rPr>
        <w:t xml:space="preserve"> a </w:t>
      </w:r>
      <w:proofErr w:type="spellStart"/>
      <w:r w:rsidRPr="00FE1CB5">
        <w:rPr>
          <w:sz w:val="20"/>
          <w:szCs w:val="20"/>
        </w:rPr>
        <w:t>genetically</w:t>
      </w:r>
      <w:proofErr w:type="spellEnd"/>
      <w:r w:rsidRPr="00FE1CB5">
        <w:rPr>
          <w:sz w:val="20"/>
          <w:szCs w:val="20"/>
        </w:rPr>
        <w:t xml:space="preserve"> </w:t>
      </w:r>
      <w:proofErr w:type="spellStart"/>
      <w:r w:rsidRPr="00FE1CB5">
        <w:rPr>
          <w:sz w:val="20"/>
          <w:szCs w:val="20"/>
        </w:rPr>
        <w:t>modified</w:t>
      </w:r>
      <w:proofErr w:type="spellEnd"/>
      <w:r w:rsidRPr="00FE1CB5">
        <w:rPr>
          <w:sz w:val="20"/>
          <w:szCs w:val="20"/>
        </w:rPr>
        <w:t xml:space="preserve"> </w:t>
      </w:r>
      <w:proofErr w:type="spellStart"/>
      <w:r w:rsidRPr="00FE1CB5">
        <w:rPr>
          <w:sz w:val="20"/>
          <w:szCs w:val="20"/>
        </w:rPr>
        <w:t>virus</w:t>
      </w:r>
      <w:proofErr w:type="spellEnd"/>
      <w:r w:rsidRPr="00FE1CB5">
        <w:rPr>
          <w:sz w:val="20"/>
          <w:szCs w:val="20"/>
        </w:rPr>
        <w:t xml:space="preserve"> </w:t>
      </w:r>
      <w:proofErr w:type="spellStart"/>
      <w:r w:rsidRPr="00FE1CB5">
        <w:rPr>
          <w:sz w:val="20"/>
          <w:szCs w:val="20"/>
        </w:rPr>
        <w:t>reveals</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global </w:t>
      </w:r>
      <w:proofErr w:type="spellStart"/>
      <w:r w:rsidRPr="00FE1CB5">
        <w:rPr>
          <w:sz w:val="20"/>
          <w:szCs w:val="20"/>
        </w:rPr>
        <w:t>threat</w:t>
      </w:r>
      <w:proofErr w:type="spellEnd"/>
      <w:r w:rsidRPr="00FE1CB5">
        <w:rPr>
          <w:sz w:val="20"/>
          <w:szCs w:val="20"/>
        </w:rPr>
        <w:t xml:space="preserve"> </w:t>
      </w:r>
      <w:proofErr w:type="spellStart"/>
      <w:r w:rsidRPr="00FE1CB5">
        <w:rPr>
          <w:sz w:val="20"/>
          <w:szCs w:val="20"/>
        </w:rPr>
        <w:t>dimension</w:t>
      </w:r>
      <w:proofErr w:type="spellEnd"/>
      <w:r w:rsidRPr="00FE1CB5">
        <w:rPr>
          <w:sz w:val="20"/>
          <w:szCs w:val="20"/>
        </w:rPr>
        <w:t xml:space="preserve">. </w:t>
      </w:r>
      <w:proofErr w:type="spellStart"/>
      <w:r w:rsidRPr="00FE1CB5">
        <w:rPr>
          <w:sz w:val="20"/>
          <w:szCs w:val="20"/>
        </w:rPr>
        <w:t>Due</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w:t>
      </w:r>
      <w:proofErr w:type="spellStart"/>
      <w:r w:rsidRPr="00FE1CB5">
        <w:rPr>
          <w:sz w:val="20"/>
          <w:szCs w:val="20"/>
        </w:rPr>
        <w:t>these</w:t>
      </w:r>
      <w:proofErr w:type="spellEnd"/>
      <w:r w:rsidRPr="00FE1CB5">
        <w:rPr>
          <w:sz w:val="20"/>
          <w:szCs w:val="20"/>
        </w:rPr>
        <w:t xml:space="preserve"> </w:t>
      </w:r>
      <w:proofErr w:type="spellStart"/>
      <w:r w:rsidRPr="00FE1CB5">
        <w:rPr>
          <w:sz w:val="20"/>
          <w:szCs w:val="20"/>
        </w:rPr>
        <w:t>characteristics</w:t>
      </w:r>
      <w:proofErr w:type="spellEnd"/>
      <w:r w:rsidRPr="00FE1CB5">
        <w:rPr>
          <w:sz w:val="20"/>
          <w:szCs w:val="20"/>
        </w:rPr>
        <w:t xml:space="preserve">, </w:t>
      </w:r>
      <w:proofErr w:type="spellStart"/>
      <w:r w:rsidRPr="00FE1CB5">
        <w:rPr>
          <w:sz w:val="20"/>
          <w:szCs w:val="20"/>
        </w:rPr>
        <w:t>bio-terrorism</w:t>
      </w:r>
      <w:proofErr w:type="spellEnd"/>
      <w:r w:rsidRPr="00FE1CB5">
        <w:rPr>
          <w:sz w:val="20"/>
          <w:szCs w:val="20"/>
        </w:rPr>
        <w:t xml:space="preserve"> </w:t>
      </w:r>
      <w:proofErr w:type="spellStart"/>
      <w:r w:rsidRPr="00FE1CB5">
        <w:rPr>
          <w:sz w:val="20"/>
          <w:szCs w:val="20"/>
        </w:rPr>
        <w:t>may</w:t>
      </w:r>
      <w:proofErr w:type="spellEnd"/>
      <w:r w:rsidRPr="00FE1CB5">
        <w:rPr>
          <w:sz w:val="20"/>
          <w:szCs w:val="20"/>
        </w:rPr>
        <w:t xml:space="preserve"> </w:t>
      </w:r>
      <w:proofErr w:type="spellStart"/>
      <w:r w:rsidRPr="00FE1CB5">
        <w:rPr>
          <w:sz w:val="20"/>
          <w:szCs w:val="20"/>
        </w:rPr>
        <w:t>have</w:t>
      </w:r>
      <w:proofErr w:type="spellEnd"/>
      <w:r w:rsidRPr="00FE1CB5">
        <w:rPr>
          <w:sz w:val="20"/>
          <w:szCs w:val="20"/>
        </w:rPr>
        <w:t xml:space="preserve"> far </w:t>
      </w:r>
      <w:proofErr w:type="spellStart"/>
      <w:r w:rsidRPr="00FE1CB5">
        <w:rPr>
          <w:sz w:val="20"/>
          <w:szCs w:val="20"/>
        </w:rPr>
        <w:t>more</w:t>
      </w:r>
      <w:proofErr w:type="spellEnd"/>
      <w:r w:rsidRPr="00FE1CB5">
        <w:rPr>
          <w:sz w:val="20"/>
          <w:szCs w:val="20"/>
        </w:rPr>
        <w:t xml:space="preserve"> </w:t>
      </w:r>
      <w:proofErr w:type="spellStart"/>
      <w:r w:rsidRPr="00FE1CB5">
        <w:rPr>
          <w:sz w:val="20"/>
          <w:szCs w:val="20"/>
        </w:rPr>
        <w:t>destructive</w:t>
      </w:r>
      <w:proofErr w:type="spellEnd"/>
      <w:r w:rsidRPr="00FE1CB5">
        <w:rPr>
          <w:sz w:val="20"/>
          <w:szCs w:val="20"/>
        </w:rPr>
        <w:t xml:space="preserve"> </w:t>
      </w:r>
      <w:proofErr w:type="spellStart"/>
      <w:r w:rsidRPr="00FE1CB5">
        <w:rPr>
          <w:sz w:val="20"/>
          <w:szCs w:val="20"/>
        </w:rPr>
        <w:t>effects</w:t>
      </w:r>
      <w:proofErr w:type="spellEnd"/>
      <w:r w:rsidRPr="00FE1CB5">
        <w:rPr>
          <w:sz w:val="20"/>
          <w:szCs w:val="20"/>
        </w:rPr>
        <w:t xml:space="preserve"> </w:t>
      </w:r>
      <w:proofErr w:type="spellStart"/>
      <w:r w:rsidRPr="00FE1CB5">
        <w:rPr>
          <w:sz w:val="20"/>
          <w:szCs w:val="20"/>
        </w:rPr>
        <w:t>than</w:t>
      </w:r>
      <w:proofErr w:type="spellEnd"/>
      <w:r w:rsidRPr="00FE1CB5">
        <w:rPr>
          <w:sz w:val="20"/>
          <w:szCs w:val="20"/>
        </w:rPr>
        <w:t xml:space="preserve"> </w:t>
      </w:r>
      <w:proofErr w:type="spellStart"/>
      <w:r w:rsidRPr="00FE1CB5">
        <w:rPr>
          <w:sz w:val="20"/>
          <w:szCs w:val="20"/>
        </w:rPr>
        <w:t>nuclear</w:t>
      </w:r>
      <w:proofErr w:type="spellEnd"/>
      <w:r w:rsidRPr="00FE1CB5">
        <w:rPr>
          <w:sz w:val="20"/>
          <w:szCs w:val="20"/>
        </w:rPr>
        <w:t xml:space="preserve"> </w:t>
      </w:r>
      <w:proofErr w:type="spellStart"/>
      <w:r w:rsidRPr="00FE1CB5">
        <w:rPr>
          <w:sz w:val="20"/>
          <w:szCs w:val="20"/>
        </w:rPr>
        <w:t>terrorism</w:t>
      </w:r>
      <w:proofErr w:type="spellEnd"/>
      <w:r w:rsidRPr="00FE1CB5">
        <w:rPr>
          <w:sz w:val="20"/>
          <w:szCs w:val="20"/>
        </w:rPr>
        <w:t xml:space="preserve">. </w:t>
      </w:r>
      <w:proofErr w:type="spellStart"/>
      <w:r w:rsidRPr="00FE1CB5">
        <w:rPr>
          <w:sz w:val="20"/>
          <w:szCs w:val="20"/>
        </w:rPr>
        <w:t>While</w:t>
      </w:r>
      <w:proofErr w:type="spellEnd"/>
      <w:r w:rsidRPr="00FE1CB5">
        <w:rPr>
          <w:sz w:val="20"/>
          <w:szCs w:val="20"/>
        </w:rPr>
        <w:t xml:space="preserve"> </w:t>
      </w:r>
      <w:proofErr w:type="spellStart"/>
      <w:r w:rsidRPr="00FE1CB5">
        <w:rPr>
          <w:sz w:val="20"/>
          <w:szCs w:val="20"/>
        </w:rPr>
        <w:t>any</w:t>
      </w:r>
      <w:proofErr w:type="spellEnd"/>
      <w:r w:rsidRPr="00FE1CB5">
        <w:rPr>
          <w:sz w:val="20"/>
          <w:szCs w:val="20"/>
        </w:rPr>
        <w:t xml:space="preserve"> </w:t>
      </w:r>
      <w:proofErr w:type="spellStart"/>
      <w:r w:rsidRPr="00FE1CB5">
        <w:rPr>
          <w:sz w:val="20"/>
          <w:szCs w:val="20"/>
        </w:rPr>
        <w:t>nuclear</w:t>
      </w:r>
      <w:proofErr w:type="spellEnd"/>
      <w:r w:rsidRPr="00FE1CB5">
        <w:rPr>
          <w:sz w:val="20"/>
          <w:szCs w:val="20"/>
        </w:rPr>
        <w:t xml:space="preserve"> </w:t>
      </w:r>
      <w:proofErr w:type="spellStart"/>
      <w:r w:rsidRPr="00FE1CB5">
        <w:rPr>
          <w:sz w:val="20"/>
          <w:szCs w:val="20"/>
        </w:rPr>
        <w:t>terror</w:t>
      </w:r>
      <w:proofErr w:type="spellEnd"/>
      <w:r w:rsidRPr="00FE1CB5">
        <w:rPr>
          <w:sz w:val="20"/>
          <w:szCs w:val="20"/>
        </w:rPr>
        <w:t xml:space="preserve"> </w:t>
      </w:r>
      <w:proofErr w:type="spellStart"/>
      <w:r w:rsidRPr="00FE1CB5">
        <w:rPr>
          <w:sz w:val="20"/>
          <w:szCs w:val="20"/>
        </w:rPr>
        <w:t>attack</w:t>
      </w:r>
      <w:proofErr w:type="spellEnd"/>
      <w:r w:rsidRPr="00FE1CB5">
        <w:rPr>
          <w:sz w:val="20"/>
          <w:szCs w:val="20"/>
        </w:rPr>
        <w:t xml:space="preserve"> has </w:t>
      </w:r>
      <w:proofErr w:type="spellStart"/>
      <w:r w:rsidRPr="00FE1CB5">
        <w:rPr>
          <w:sz w:val="20"/>
          <w:szCs w:val="20"/>
        </w:rPr>
        <w:t>caused</w:t>
      </w:r>
      <w:proofErr w:type="spellEnd"/>
      <w:r w:rsidRPr="00FE1CB5">
        <w:rPr>
          <w:sz w:val="20"/>
          <w:szCs w:val="20"/>
        </w:rPr>
        <w:t xml:space="preserve"> a </w:t>
      </w:r>
      <w:proofErr w:type="spellStart"/>
      <w:r w:rsidRPr="00FE1CB5">
        <w:rPr>
          <w:sz w:val="20"/>
          <w:szCs w:val="20"/>
        </w:rPr>
        <w:t>certain</w:t>
      </w:r>
      <w:proofErr w:type="spellEnd"/>
      <w:r w:rsidRPr="00FE1CB5">
        <w:rPr>
          <w:sz w:val="20"/>
          <w:szCs w:val="20"/>
        </w:rPr>
        <w:t xml:space="preserve"> </w:t>
      </w:r>
      <w:proofErr w:type="spellStart"/>
      <w:r w:rsidRPr="00FE1CB5">
        <w:rPr>
          <w:sz w:val="20"/>
          <w:szCs w:val="20"/>
        </w:rPr>
        <w:t>number</w:t>
      </w:r>
      <w:proofErr w:type="spellEnd"/>
      <w:r w:rsidRPr="00FE1CB5">
        <w:rPr>
          <w:sz w:val="20"/>
          <w:szCs w:val="20"/>
        </w:rPr>
        <w:t xml:space="preserve"> of </w:t>
      </w:r>
      <w:proofErr w:type="spellStart"/>
      <w:r w:rsidRPr="00FE1CB5">
        <w:rPr>
          <w:sz w:val="20"/>
          <w:szCs w:val="20"/>
        </w:rPr>
        <w:t>human</w:t>
      </w:r>
      <w:proofErr w:type="spellEnd"/>
      <w:r w:rsidRPr="00FE1CB5">
        <w:rPr>
          <w:sz w:val="20"/>
          <w:szCs w:val="20"/>
        </w:rPr>
        <w:t xml:space="preserve"> </w:t>
      </w:r>
      <w:proofErr w:type="spellStart"/>
      <w:r w:rsidRPr="00FE1CB5">
        <w:rPr>
          <w:sz w:val="20"/>
          <w:szCs w:val="20"/>
        </w:rPr>
        <w:t>casualties</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loss</w:t>
      </w:r>
      <w:proofErr w:type="spellEnd"/>
      <w:r w:rsidRPr="00FE1CB5">
        <w:rPr>
          <w:sz w:val="20"/>
          <w:szCs w:val="20"/>
        </w:rPr>
        <w:t xml:space="preserve"> of </w:t>
      </w:r>
      <w:proofErr w:type="spellStart"/>
      <w:r w:rsidRPr="00FE1CB5">
        <w:rPr>
          <w:sz w:val="20"/>
          <w:szCs w:val="20"/>
        </w:rPr>
        <w:t>humanity</w:t>
      </w:r>
      <w:proofErr w:type="spellEnd"/>
      <w:r w:rsidRPr="00FE1CB5">
        <w:rPr>
          <w:sz w:val="20"/>
          <w:szCs w:val="20"/>
        </w:rPr>
        <w:t xml:space="preserve"> </w:t>
      </w:r>
      <w:proofErr w:type="spellStart"/>
      <w:r w:rsidRPr="00FE1CB5">
        <w:rPr>
          <w:sz w:val="20"/>
          <w:szCs w:val="20"/>
        </w:rPr>
        <w:t>through</w:t>
      </w:r>
      <w:proofErr w:type="spellEnd"/>
      <w:r w:rsidRPr="00FE1CB5">
        <w:rPr>
          <w:sz w:val="20"/>
          <w:szCs w:val="20"/>
        </w:rPr>
        <w:t xml:space="preserve"> </w:t>
      </w:r>
      <w:proofErr w:type="spellStart"/>
      <w:r w:rsidRPr="00FE1CB5">
        <w:rPr>
          <w:sz w:val="20"/>
          <w:szCs w:val="20"/>
        </w:rPr>
        <w:t>bio-terror</w:t>
      </w:r>
      <w:proofErr w:type="spellEnd"/>
      <w:r w:rsidRPr="00FE1CB5">
        <w:rPr>
          <w:sz w:val="20"/>
          <w:szCs w:val="20"/>
        </w:rPr>
        <w:t xml:space="preserve"> </w:t>
      </w:r>
      <w:proofErr w:type="spellStart"/>
      <w:r w:rsidRPr="00FE1CB5">
        <w:rPr>
          <w:sz w:val="20"/>
          <w:szCs w:val="20"/>
        </w:rPr>
        <w:t>continues</w:t>
      </w:r>
      <w:proofErr w:type="spellEnd"/>
      <w:r w:rsidRPr="00FE1CB5">
        <w:rPr>
          <w:sz w:val="20"/>
          <w:szCs w:val="20"/>
        </w:rPr>
        <w:t xml:space="preserve"> </w:t>
      </w:r>
      <w:proofErr w:type="spellStart"/>
      <w:r w:rsidRPr="00FE1CB5">
        <w:rPr>
          <w:sz w:val="20"/>
          <w:szCs w:val="20"/>
        </w:rPr>
        <w:t>rapidly</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progressively</w:t>
      </w:r>
      <w:proofErr w:type="spellEnd"/>
      <w:r w:rsidRPr="00FE1CB5">
        <w:rPr>
          <w:sz w:val="20"/>
          <w:szCs w:val="20"/>
        </w:rPr>
        <w:t xml:space="preserve">. </w:t>
      </w:r>
      <w:proofErr w:type="spellStart"/>
      <w:r w:rsidRPr="00FE1CB5">
        <w:rPr>
          <w:sz w:val="20"/>
          <w:szCs w:val="20"/>
        </w:rPr>
        <w:t>This</w:t>
      </w:r>
      <w:proofErr w:type="spellEnd"/>
      <w:r w:rsidRPr="00FE1CB5">
        <w:rPr>
          <w:sz w:val="20"/>
          <w:szCs w:val="20"/>
        </w:rPr>
        <w:t xml:space="preserve"> </w:t>
      </w:r>
      <w:proofErr w:type="spellStart"/>
      <w:r w:rsidRPr="00FE1CB5">
        <w:rPr>
          <w:sz w:val="20"/>
          <w:szCs w:val="20"/>
        </w:rPr>
        <w:t>striking</w:t>
      </w:r>
      <w:proofErr w:type="spellEnd"/>
      <w:r w:rsidRPr="00FE1CB5">
        <w:rPr>
          <w:sz w:val="20"/>
          <w:szCs w:val="20"/>
        </w:rPr>
        <w:t xml:space="preserve"> </w:t>
      </w:r>
      <w:proofErr w:type="spellStart"/>
      <w:r w:rsidRPr="00FE1CB5">
        <w:rPr>
          <w:sz w:val="20"/>
          <w:szCs w:val="20"/>
        </w:rPr>
        <w:t>dimension</w:t>
      </w:r>
      <w:proofErr w:type="spellEnd"/>
      <w:r w:rsidRPr="00FE1CB5">
        <w:rPr>
          <w:sz w:val="20"/>
          <w:szCs w:val="20"/>
        </w:rPr>
        <w:t xml:space="preserve"> </w:t>
      </w:r>
      <w:proofErr w:type="spellStart"/>
      <w:r w:rsidRPr="00FE1CB5">
        <w:rPr>
          <w:sz w:val="20"/>
          <w:szCs w:val="20"/>
        </w:rPr>
        <w:t>indicates</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importance</w:t>
      </w:r>
      <w:proofErr w:type="spellEnd"/>
      <w:r w:rsidRPr="00FE1CB5">
        <w:rPr>
          <w:sz w:val="20"/>
          <w:szCs w:val="20"/>
        </w:rPr>
        <w:t xml:space="preserve">, </w:t>
      </w:r>
      <w:proofErr w:type="spellStart"/>
      <w:r w:rsidRPr="00FE1CB5">
        <w:rPr>
          <w:sz w:val="20"/>
          <w:szCs w:val="20"/>
        </w:rPr>
        <w:t>priority</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precautions</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be </w:t>
      </w:r>
      <w:proofErr w:type="spellStart"/>
      <w:r w:rsidRPr="00FE1CB5">
        <w:rPr>
          <w:sz w:val="20"/>
          <w:szCs w:val="20"/>
        </w:rPr>
        <w:t>taken</w:t>
      </w:r>
      <w:proofErr w:type="spellEnd"/>
      <w:r w:rsidRPr="00FE1CB5">
        <w:rPr>
          <w:sz w:val="20"/>
          <w:szCs w:val="20"/>
        </w:rPr>
        <w:t xml:space="preserve">. </w:t>
      </w:r>
      <w:proofErr w:type="spellStart"/>
      <w:r w:rsidRPr="00FE1CB5">
        <w:rPr>
          <w:sz w:val="20"/>
          <w:szCs w:val="20"/>
        </w:rPr>
        <w:t>In</w:t>
      </w:r>
      <w:proofErr w:type="spellEnd"/>
      <w:r w:rsidRPr="00FE1CB5">
        <w:rPr>
          <w:sz w:val="20"/>
          <w:szCs w:val="20"/>
        </w:rPr>
        <w:t xml:space="preserve"> </w:t>
      </w:r>
      <w:proofErr w:type="spellStart"/>
      <w:r w:rsidRPr="00FE1CB5">
        <w:rPr>
          <w:sz w:val="20"/>
          <w:szCs w:val="20"/>
        </w:rPr>
        <w:t>addition</w:t>
      </w:r>
      <w:proofErr w:type="spellEnd"/>
      <w:r w:rsidRPr="00FE1CB5">
        <w:rPr>
          <w:sz w:val="20"/>
          <w:szCs w:val="20"/>
        </w:rPr>
        <w:t xml:space="preserve">, </w:t>
      </w:r>
      <w:proofErr w:type="spellStart"/>
      <w:r w:rsidRPr="00FE1CB5">
        <w:rPr>
          <w:sz w:val="20"/>
          <w:szCs w:val="20"/>
        </w:rPr>
        <w:t>serious</w:t>
      </w:r>
      <w:proofErr w:type="spellEnd"/>
      <w:r w:rsidRPr="00FE1CB5">
        <w:rPr>
          <w:sz w:val="20"/>
          <w:szCs w:val="20"/>
        </w:rPr>
        <w:t xml:space="preserve"> </w:t>
      </w:r>
      <w:proofErr w:type="spellStart"/>
      <w:r w:rsidRPr="00FE1CB5">
        <w:rPr>
          <w:sz w:val="20"/>
          <w:szCs w:val="20"/>
        </w:rPr>
        <w:t>cooperation</w:t>
      </w:r>
      <w:proofErr w:type="spellEnd"/>
      <w:r w:rsidRPr="00FE1CB5">
        <w:rPr>
          <w:sz w:val="20"/>
          <w:szCs w:val="20"/>
        </w:rPr>
        <w:t xml:space="preserve"> is </w:t>
      </w:r>
      <w:proofErr w:type="spellStart"/>
      <w:r w:rsidRPr="00FE1CB5">
        <w:rPr>
          <w:sz w:val="20"/>
          <w:szCs w:val="20"/>
        </w:rPr>
        <w:t>needed</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w:t>
      </w:r>
      <w:proofErr w:type="spellStart"/>
      <w:r w:rsidRPr="00FE1CB5">
        <w:rPr>
          <w:sz w:val="20"/>
          <w:szCs w:val="20"/>
        </w:rPr>
        <w:t>ensure</w:t>
      </w:r>
      <w:proofErr w:type="spellEnd"/>
      <w:r w:rsidRPr="00FE1CB5">
        <w:rPr>
          <w:sz w:val="20"/>
          <w:szCs w:val="20"/>
        </w:rPr>
        <w:t xml:space="preserve"> global </w:t>
      </w:r>
      <w:proofErr w:type="spellStart"/>
      <w:r w:rsidRPr="00FE1CB5">
        <w:rPr>
          <w:sz w:val="20"/>
          <w:szCs w:val="20"/>
        </w:rPr>
        <w:t>security</w:t>
      </w:r>
      <w:proofErr w:type="spellEnd"/>
      <w:r w:rsidRPr="00FE1CB5">
        <w:rPr>
          <w:sz w:val="20"/>
          <w:szCs w:val="20"/>
        </w:rPr>
        <w:t xml:space="preserve">, as </w:t>
      </w:r>
      <w:proofErr w:type="spellStart"/>
      <w:r w:rsidRPr="00FE1CB5">
        <w:rPr>
          <w:sz w:val="20"/>
          <w:szCs w:val="20"/>
        </w:rPr>
        <w:t>these</w:t>
      </w:r>
      <w:proofErr w:type="spellEnd"/>
      <w:r w:rsidRPr="00FE1CB5">
        <w:rPr>
          <w:sz w:val="20"/>
          <w:szCs w:val="20"/>
        </w:rPr>
        <w:t xml:space="preserve"> </w:t>
      </w:r>
      <w:proofErr w:type="spellStart"/>
      <w:r w:rsidRPr="00FE1CB5">
        <w:rPr>
          <w:sz w:val="20"/>
          <w:szCs w:val="20"/>
        </w:rPr>
        <w:t>epidemics</w:t>
      </w:r>
      <w:proofErr w:type="spellEnd"/>
      <w:r w:rsidRPr="00FE1CB5">
        <w:rPr>
          <w:sz w:val="20"/>
          <w:szCs w:val="20"/>
        </w:rPr>
        <w:t xml:space="preserve"> </w:t>
      </w:r>
      <w:proofErr w:type="spellStart"/>
      <w:r w:rsidRPr="00FE1CB5">
        <w:rPr>
          <w:sz w:val="20"/>
          <w:szCs w:val="20"/>
        </w:rPr>
        <w:t>are</w:t>
      </w:r>
      <w:proofErr w:type="spellEnd"/>
      <w:r w:rsidRPr="00FE1CB5">
        <w:rPr>
          <w:sz w:val="20"/>
          <w:szCs w:val="20"/>
        </w:rPr>
        <w:t xml:space="preserve"> </w:t>
      </w:r>
      <w:proofErr w:type="spellStart"/>
      <w:r w:rsidRPr="00FE1CB5">
        <w:rPr>
          <w:sz w:val="20"/>
          <w:szCs w:val="20"/>
        </w:rPr>
        <w:t>infectious</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difficult</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w:t>
      </w:r>
      <w:proofErr w:type="spellStart"/>
      <w:r w:rsidRPr="00FE1CB5">
        <w:rPr>
          <w:sz w:val="20"/>
          <w:szCs w:val="20"/>
        </w:rPr>
        <w:t>control</w:t>
      </w:r>
      <w:proofErr w:type="spellEnd"/>
      <w:r w:rsidRPr="00FE1CB5">
        <w:rPr>
          <w:sz w:val="20"/>
          <w:szCs w:val="20"/>
        </w:rPr>
        <w:t xml:space="preserve">. </w:t>
      </w:r>
      <w:proofErr w:type="spellStart"/>
      <w:r w:rsidRPr="00FE1CB5">
        <w:rPr>
          <w:sz w:val="20"/>
          <w:szCs w:val="20"/>
        </w:rPr>
        <w:t>With</w:t>
      </w:r>
      <w:proofErr w:type="spellEnd"/>
      <w:r w:rsidRPr="00FE1CB5">
        <w:rPr>
          <w:sz w:val="20"/>
          <w:szCs w:val="20"/>
        </w:rPr>
        <w:t xml:space="preserve"> a </w:t>
      </w:r>
      <w:proofErr w:type="spellStart"/>
      <w:r w:rsidRPr="00FE1CB5">
        <w:rPr>
          <w:sz w:val="20"/>
          <w:szCs w:val="20"/>
        </w:rPr>
        <w:t>strengthened</w:t>
      </w:r>
      <w:proofErr w:type="spellEnd"/>
      <w:r w:rsidRPr="00FE1CB5">
        <w:rPr>
          <w:sz w:val="20"/>
          <w:szCs w:val="20"/>
        </w:rPr>
        <w:t xml:space="preserve"> global </w:t>
      </w:r>
      <w:proofErr w:type="spellStart"/>
      <w:r w:rsidRPr="00FE1CB5">
        <w:rPr>
          <w:sz w:val="20"/>
          <w:szCs w:val="20"/>
        </w:rPr>
        <w:t>security</w:t>
      </w:r>
      <w:proofErr w:type="spellEnd"/>
      <w:r w:rsidRPr="00FE1CB5">
        <w:rPr>
          <w:sz w:val="20"/>
          <w:szCs w:val="20"/>
        </w:rPr>
        <w:t xml:space="preserve"> </w:t>
      </w:r>
      <w:proofErr w:type="spellStart"/>
      <w:r w:rsidRPr="00FE1CB5">
        <w:rPr>
          <w:sz w:val="20"/>
          <w:szCs w:val="20"/>
        </w:rPr>
        <w:t>cooperation</w:t>
      </w:r>
      <w:proofErr w:type="spellEnd"/>
      <w:r w:rsidRPr="00FE1CB5">
        <w:rPr>
          <w:sz w:val="20"/>
          <w:szCs w:val="20"/>
        </w:rPr>
        <w:t xml:space="preserve"> </w:t>
      </w:r>
      <w:proofErr w:type="spellStart"/>
      <w:r w:rsidRPr="00FE1CB5">
        <w:rPr>
          <w:sz w:val="20"/>
          <w:szCs w:val="20"/>
        </w:rPr>
        <w:t>to</w:t>
      </w:r>
      <w:proofErr w:type="spellEnd"/>
      <w:r w:rsidRPr="00FE1CB5">
        <w:rPr>
          <w:sz w:val="20"/>
          <w:szCs w:val="20"/>
        </w:rPr>
        <w:t xml:space="preserve"> </w:t>
      </w:r>
      <w:proofErr w:type="spellStart"/>
      <w:r w:rsidRPr="00FE1CB5">
        <w:rPr>
          <w:sz w:val="20"/>
          <w:szCs w:val="20"/>
        </w:rPr>
        <w:t>quickly</w:t>
      </w:r>
      <w:proofErr w:type="spellEnd"/>
      <w:r w:rsidRPr="00FE1CB5">
        <w:rPr>
          <w:sz w:val="20"/>
          <w:szCs w:val="20"/>
        </w:rPr>
        <w:t xml:space="preserve"> </w:t>
      </w:r>
      <w:proofErr w:type="spellStart"/>
      <w:r w:rsidRPr="00FE1CB5">
        <w:rPr>
          <w:sz w:val="20"/>
          <w:szCs w:val="20"/>
        </w:rPr>
        <w:t>identify</w:t>
      </w:r>
      <w:proofErr w:type="spellEnd"/>
      <w:r w:rsidRPr="00FE1CB5">
        <w:rPr>
          <w:sz w:val="20"/>
          <w:szCs w:val="20"/>
        </w:rPr>
        <w:t xml:space="preserve"> </w:t>
      </w:r>
      <w:proofErr w:type="spellStart"/>
      <w:r w:rsidRPr="00FE1CB5">
        <w:rPr>
          <w:sz w:val="20"/>
          <w:szCs w:val="20"/>
        </w:rPr>
        <w:t>outbreaks</w:t>
      </w:r>
      <w:proofErr w:type="spellEnd"/>
      <w:r w:rsidRPr="00FE1CB5">
        <w:rPr>
          <w:sz w:val="20"/>
          <w:szCs w:val="20"/>
        </w:rPr>
        <w:t xml:space="preserve"> </w:t>
      </w:r>
      <w:proofErr w:type="spellStart"/>
      <w:r w:rsidRPr="00FE1CB5">
        <w:rPr>
          <w:sz w:val="20"/>
          <w:szCs w:val="20"/>
        </w:rPr>
        <w:t>and</w:t>
      </w:r>
      <w:proofErr w:type="spellEnd"/>
      <w:r w:rsidRPr="00FE1CB5">
        <w:rPr>
          <w:sz w:val="20"/>
          <w:szCs w:val="20"/>
        </w:rPr>
        <w:t xml:space="preserve"> </w:t>
      </w:r>
      <w:proofErr w:type="spellStart"/>
      <w:r w:rsidRPr="00FE1CB5">
        <w:rPr>
          <w:sz w:val="20"/>
          <w:szCs w:val="20"/>
        </w:rPr>
        <w:t>causes</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basic</w:t>
      </w:r>
      <w:proofErr w:type="spellEnd"/>
      <w:r w:rsidRPr="00FE1CB5">
        <w:rPr>
          <w:sz w:val="20"/>
          <w:szCs w:val="20"/>
        </w:rPr>
        <w:t xml:space="preserve"> </w:t>
      </w:r>
      <w:proofErr w:type="spellStart"/>
      <w:r w:rsidRPr="00FE1CB5">
        <w:rPr>
          <w:sz w:val="20"/>
          <w:szCs w:val="20"/>
        </w:rPr>
        <w:t>principles</w:t>
      </w:r>
      <w:proofErr w:type="spellEnd"/>
      <w:r w:rsidRPr="00FE1CB5">
        <w:rPr>
          <w:sz w:val="20"/>
          <w:szCs w:val="20"/>
        </w:rPr>
        <w:t xml:space="preserve"> of global </w:t>
      </w:r>
      <w:proofErr w:type="spellStart"/>
      <w:r w:rsidRPr="00FE1CB5">
        <w:rPr>
          <w:sz w:val="20"/>
          <w:szCs w:val="20"/>
        </w:rPr>
        <w:t>public</w:t>
      </w:r>
      <w:proofErr w:type="spellEnd"/>
      <w:r w:rsidRPr="00FE1CB5">
        <w:rPr>
          <w:sz w:val="20"/>
          <w:szCs w:val="20"/>
        </w:rPr>
        <w:t xml:space="preserve"> </w:t>
      </w:r>
      <w:proofErr w:type="spellStart"/>
      <w:r w:rsidRPr="00FE1CB5">
        <w:rPr>
          <w:sz w:val="20"/>
          <w:szCs w:val="20"/>
        </w:rPr>
        <w:t>health</w:t>
      </w:r>
      <w:proofErr w:type="spellEnd"/>
      <w:r w:rsidRPr="00FE1CB5">
        <w:rPr>
          <w:sz w:val="20"/>
          <w:szCs w:val="20"/>
        </w:rPr>
        <w:t xml:space="preserve"> </w:t>
      </w:r>
      <w:proofErr w:type="spellStart"/>
      <w:r w:rsidRPr="00FE1CB5">
        <w:rPr>
          <w:sz w:val="20"/>
          <w:szCs w:val="20"/>
        </w:rPr>
        <w:t>are</w:t>
      </w:r>
      <w:proofErr w:type="spellEnd"/>
      <w:r w:rsidRPr="00FE1CB5">
        <w:rPr>
          <w:sz w:val="20"/>
          <w:szCs w:val="20"/>
        </w:rPr>
        <w:t xml:space="preserve"> </w:t>
      </w:r>
      <w:proofErr w:type="spellStart"/>
      <w:r w:rsidRPr="00FE1CB5">
        <w:rPr>
          <w:sz w:val="20"/>
          <w:szCs w:val="20"/>
        </w:rPr>
        <w:t>seen</w:t>
      </w:r>
      <w:proofErr w:type="spellEnd"/>
      <w:r w:rsidRPr="00FE1CB5">
        <w:rPr>
          <w:sz w:val="20"/>
          <w:szCs w:val="20"/>
        </w:rPr>
        <w:t xml:space="preserve"> as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only</w:t>
      </w:r>
      <w:proofErr w:type="spellEnd"/>
      <w:r w:rsidRPr="00FE1CB5">
        <w:rPr>
          <w:sz w:val="20"/>
          <w:szCs w:val="20"/>
        </w:rPr>
        <w:t xml:space="preserve"> </w:t>
      </w:r>
      <w:proofErr w:type="spellStart"/>
      <w:r w:rsidRPr="00FE1CB5">
        <w:rPr>
          <w:sz w:val="20"/>
          <w:szCs w:val="20"/>
        </w:rPr>
        <w:t>rational</w:t>
      </w:r>
      <w:proofErr w:type="spellEnd"/>
      <w:r w:rsidRPr="00FE1CB5">
        <w:rPr>
          <w:sz w:val="20"/>
          <w:szCs w:val="20"/>
        </w:rPr>
        <w:t xml:space="preserve"> </w:t>
      </w:r>
      <w:proofErr w:type="spellStart"/>
      <w:r w:rsidRPr="00FE1CB5">
        <w:rPr>
          <w:sz w:val="20"/>
          <w:szCs w:val="20"/>
        </w:rPr>
        <w:t>way</w:t>
      </w:r>
      <w:proofErr w:type="spellEnd"/>
      <w:r w:rsidRPr="00FE1CB5">
        <w:rPr>
          <w:sz w:val="20"/>
          <w:szCs w:val="20"/>
        </w:rPr>
        <w:t xml:space="preserve"> of </w:t>
      </w:r>
      <w:proofErr w:type="spellStart"/>
      <w:r w:rsidRPr="00FE1CB5">
        <w:rPr>
          <w:sz w:val="20"/>
          <w:szCs w:val="20"/>
        </w:rPr>
        <w:t>defending</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world</w:t>
      </w:r>
      <w:proofErr w:type="spellEnd"/>
      <w:r w:rsidRPr="00FE1CB5">
        <w:rPr>
          <w:sz w:val="20"/>
          <w:szCs w:val="20"/>
        </w:rPr>
        <w:t xml:space="preserve"> </w:t>
      </w:r>
      <w:proofErr w:type="spellStart"/>
      <w:r w:rsidRPr="00FE1CB5">
        <w:rPr>
          <w:sz w:val="20"/>
          <w:szCs w:val="20"/>
        </w:rPr>
        <w:t>against</w:t>
      </w:r>
      <w:proofErr w:type="spellEnd"/>
      <w:r w:rsidRPr="00FE1CB5">
        <w:rPr>
          <w:sz w:val="20"/>
          <w:szCs w:val="20"/>
        </w:rPr>
        <w:t xml:space="preserve"> </w:t>
      </w:r>
      <w:proofErr w:type="spellStart"/>
      <w:r w:rsidRPr="00FE1CB5">
        <w:rPr>
          <w:sz w:val="20"/>
          <w:szCs w:val="20"/>
        </w:rPr>
        <w:t>the</w:t>
      </w:r>
      <w:proofErr w:type="spellEnd"/>
      <w:r w:rsidRPr="00FE1CB5">
        <w:rPr>
          <w:sz w:val="20"/>
          <w:szCs w:val="20"/>
        </w:rPr>
        <w:t xml:space="preserve"> </w:t>
      </w:r>
      <w:proofErr w:type="spellStart"/>
      <w:r w:rsidRPr="00FE1CB5">
        <w:rPr>
          <w:sz w:val="20"/>
          <w:szCs w:val="20"/>
        </w:rPr>
        <w:t>threat</w:t>
      </w:r>
      <w:proofErr w:type="spellEnd"/>
      <w:r w:rsidRPr="00FE1CB5">
        <w:rPr>
          <w:sz w:val="20"/>
          <w:szCs w:val="20"/>
        </w:rPr>
        <w:t xml:space="preserve"> of </w:t>
      </w:r>
      <w:proofErr w:type="spellStart"/>
      <w:r w:rsidRPr="00FE1CB5">
        <w:rPr>
          <w:sz w:val="20"/>
          <w:szCs w:val="20"/>
        </w:rPr>
        <w:t>bio-terror</w:t>
      </w:r>
      <w:proofErr w:type="spellEnd"/>
      <w:r w:rsidRPr="00FE1CB5">
        <w:rPr>
          <w:sz w:val="20"/>
          <w:szCs w:val="20"/>
        </w:rPr>
        <w:t xml:space="preserve">. </w:t>
      </w:r>
      <w:proofErr w:type="spellStart"/>
      <w:r w:rsidR="00893645" w:rsidRPr="00FE1CB5">
        <w:rPr>
          <w:sz w:val="20"/>
          <w:szCs w:val="20"/>
        </w:rPr>
        <w:t>In</w:t>
      </w:r>
      <w:proofErr w:type="spellEnd"/>
      <w:r w:rsidR="00893645" w:rsidRPr="00FE1CB5">
        <w:rPr>
          <w:sz w:val="20"/>
          <w:szCs w:val="20"/>
        </w:rPr>
        <w:t xml:space="preserve"> </w:t>
      </w:r>
      <w:proofErr w:type="spellStart"/>
      <w:r w:rsidR="00893645" w:rsidRPr="00FE1CB5">
        <w:rPr>
          <w:sz w:val="20"/>
          <w:szCs w:val="20"/>
        </w:rPr>
        <w:t>this</w:t>
      </w:r>
      <w:proofErr w:type="spellEnd"/>
      <w:r w:rsidR="00893645" w:rsidRPr="00FE1CB5">
        <w:rPr>
          <w:sz w:val="20"/>
          <w:szCs w:val="20"/>
        </w:rPr>
        <w:t xml:space="preserve"> </w:t>
      </w:r>
      <w:proofErr w:type="spellStart"/>
      <w:r w:rsidR="00893645" w:rsidRPr="00FE1CB5">
        <w:rPr>
          <w:sz w:val="20"/>
          <w:szCs w:val="20"/>
        </w:rPr>
        <w:t>study</w:t>
      </w:r>
      <w:proofErr w:type="spellEnd"/>
      <w:r w:rsidR="00893645" w:rsidRPr="00FE1CB5">
        <w:rPr>
          <w:sz w:val="20"/>
          <w:szCs w:val="20"/>
        </w:rPr>
        <w:t xml:space="preserve">, </w:t>
      </w:r>
      <w:proofErr w:type="spellStart"/>
      <w:r w:rsidR="00893645" w:rsidRPr="00FE1CB5">
        <w:rPr>
          <w:sz w:val="20"/>
          <w:szCs w:val="20"/>
        </w:rPr>
        <w:t>the</w:t>
      </w:r>
      <w:proofErr w:type="spellEnd"/>
      <w:r w:rsidR="00893645" w:rsidRPr="00FE1CB5">
        <w:rPr>
          <w:sz w:val="20"/>
          <w:szCs w:val="20"/>
        </w:rPr>
        <w:t xml:space="preserve"> </w:t>
      </w:r>
      <w:proofErr w:type="spellStart"/>
      <w:r w:rsidR="00893645" w:rsidRPr="00FE1CB5">
        <w:rPr>
          <w:sz w:val="20"/>
          <w:szCs w:val="20"/>
        </w:rPr>
        <w:t>vulnerability</w:t>
      </w:r>
      <w:proofErr w:type="spellEnd"/>
      <w:r w:rsidR="00893645" w:rsidRPr="00FE1CB5">
        <w:rPr>
          <w:sz w:val="20"/>
          <w:szCs w:val="20"/>
        </w:rPr>
        <w:t xml:space="preserve"> of </w:t>
      </w:r>
      <w:proofErr w:type="spellStart"/>
      <w:r w:rsidR="00893645" w:rsidRPr="00FE1CB5">
        <w:rPr>
          <w:sz w:val="20"/>
          <w:szCs w:val="20"/>
        </w:rPr>
        <w:t>nations</w:t>
      </w:r>
      <w:proofErr w:type="spellEnd"/>
      <w:r w:rsidR="00893645" w:rsidRPr="00FE1CB5">
        <w:rPr>
          <w:sz w:val="20"/>
          <w:szCs w:val="20"/>
        </w:rPr>
        <w:t xml:space="preserve"> </w:t>
      </w:r>
      <w:proofErr w:type="spellStart"/>
      <w:r w:rsidR="00893645" w:rsidRPr="00FE1CB5">
        <w:rPr>
          <w:sz w:val="20"/>
          <w:szCs w:val="20"/>
        </w:rPr>
        <w:t>against</w:t>
      </w:r>
      <w:proofErr w:type="spellEnd"/>
      <w:r w:rsidR="00893645" w:rsidRPr="00FE1CB5">
        <w:rPr>
          <w:sz w:val="20"/>
          <w:szCs w:val="20"/>
        </w:rPr>
        <w:t xml:space="preserve"> </w:t>
      </w:r>
      <w:proofErr w:type="spellStart"/>
      <w:r w:rsidR="00893645" w:rsidRPr="00FE1CB5">
        <w:rPr>
          <w:sz w:val="20"/>
          <w:szCs w:val="20"/>
        </w:rPr>
        <w:t>epidemic</w:t>
      </w:r>
      <w:proofErr w:type="spellEnd"/>
      <w:r w:rsidR="00893645" w:rsidRPr="00FE1CB5">
        <w:rPr>
          <w:sz w:val="20"/>
          <w:szCs w:val="20"/>
        </w:rPr>
        <w:t xml:space="preserve"> </w:t>
      </w:r>
      <w:proofErr w:type="spellStart"/>
      <w:r w:rsidR="00893645" w:rsidRPr="00FE1CB5">
        <w:rPr>
          <w:sz w:val="20"/>
          <w:szCs w:val="20"/>
        </w:rPr>
        <w:t>diseases</w:t>
      </w:r>
      <w:proofErr w:type="spellEnd"/>
      <w:r w:rsidR="00893645" w:rsidRPr="00FE1CB5">
        <w:rPr>
          <w:sz w:val="20"/>
          <w:szCs w:val="20"/>
        </w:rPr>
        <w:t xml:space="preserve"> </w:t>
      </w:r>
      <w:proofErr w:type="spellStart"/>
      <w:r w:rsidR="00893645" w:rsidRPr="00FE1CB5">
        <w:rPr>
          <w:sz w:val="20"/>
          <w:szCs w:val="20"/>
        </w:rPr>
        <w:t>was</w:t>
      </w:r>
      <w:proofErr w:type="spellEnd"/>
      <w:r w:rsidR="00893645" w:rsidRPr="00FE1CB5">
        <w:rPr>
          <w:sz w:val="20"/>
          <w:szCs w:val="20"/>
        </w:rPr>
        <w:t xml:space="preserve"> </w:t>
      </w:r>
      <w:proofErr w:type="spellStart"/>
      <w:r w:rsidR="00893645" w:rsidRPr="00FE1CB5">
        <w:rPr>
          <w:sz w:val="20"/>
          <w:szCs w:val="20"/>
        </w:rPr>
        <w:t>examined</w:t>
      </w:r>
      <w:proofErr w:type="spellEnd"/>
      <w:r w:rsidR="00893645" w:rsidRPr="00FE1CB5">
        <w:rPr>
          <w:sz w:val="20"/>
          <w:szCs w:val="20"/>
        </w:rPr>
        <w:t xml:space="preserve"> </w:t>
      </w:r>
      <w:proofErr w:type="spellStart"/>
      <w:r w:rsidR="00893645" w:rsidRPr="00FE1CB5">
        <w:rPr>
          <w:sz w:val="20"/>
          <w:szCs w:val="20"/>
        </w:rPr>
        <w:t>and</w:t>
      </w:r>
      <w:proofErr w:type="spellEnd"/>
      <w:r w:rsidR="00893645" w:rsidRPr="00FE1CB5">
        <w:rPr>
          <w:sz w:val="20"/>
          <w:szCs w:val="20"/>
        </w:rPr>
        <w:t xml:space="preserve"> </w:t>
      </w:r>
      <w:proofErr w:type="spellStart"/>
      <w:r w:rsidR="00893645" w:rsidRPr="00FE1CB5">
        <w:rPr>
          <w:sz w:val="20"/>
          <w:szCs w:val="20"/>
        </w:rPr>
        <w:t>some</w:t>
      </w:r>
      <w:proofErr w:type="spellEnd"/>
      <w:r w:rsidR="00893645" w:rsidRPr="00FE1CB5">
        <w:rPr>
          <w:sz w:val="20"/>
          <w:szCs w:val="20"/>
        </w:rPr>
        <w:t xml:space="preserve"> </w:t>
      </w:r>
      <w:proofErr w:type="spellStart"/>
      <w:r w:rsidR="00893645" w:rsidRPr="00FE1CB5">
        <w:rPr>
          <w:sz w:val="20"/>
          <w:szCs w:val="20"/>
        </w:rPr>
        <w:t>suggestions</w:t>
      </w:r>
      <w:proofErr w:type="spellEnd"/>
      <w:r w:rsidR="00893645" w:rsidRPr="00FE1CB5">
        <w:rPr>
          <w:sz w:val="20"/>
          <w:szCs w:val="20"/>
        </w:rPr>
        <w:t xml:space="preserve"> </w:t>
      </w:r>
      <w:proofErr w:type="spellStart"/>
      <w:r w:rsidR="00893645" w:rsidRPr="00FE1CB5">
        <w:rPr>
          <w:sz w:val="20"/>
          <w:szCs w:val="20"/>
        </w:rPr>
        <w:t>made</w:t>
      </w:r>
      <w:proofErr w:type="spellEnd"/>
      <w:r w:rsidR="00893645" w:rsidRPr="00FE1CB5">
        <w:rPr>
          <w:sz w:val="20"/>
          <w:szCs w:val="20"/>
        </w:rPr>
        <w:t xml:space="preserve"> </w:t>
      </w:r>
      <w:proofErr w:type="spellStart"/>
      <w:r w:rsidR="00893645" w:rsidRPr="00FE1CB5">
        <w:rPr>
          <w:sz w:val="20"/>
          <w:szCs w:val="20"/>
        </w:rPr>
        <w:t>by</w:t>
      </w:r>
      <w:proofErr w:type="spellEnd"/>
      <w:r w:rsidR="00893645" w:rsidRPr="00FE1CB5">
        <w:rPr>
          <w:sz w:val="20"/>
          <w:szCs w:val="20"/>
        </w:rPr>
        <w:t xml:space="preserve"> </w:t>
      </w:r>
      <w:proofErr w:type="spellStart"/>
      <w:r w:rsidR="00893645" w:rsidRPr="00FE1CB5">
        <w:rPr>
          <w:sz w:val="20"/>
          <w:szCs w:val="20"/>
        </w:rPr>
        <w:t>discussing</w:t>
      </w:r>
      <w:proofErr w:type="spellEnd"/>
      <w:r w:rsidR="00893645" w:rsidRPr="00FE1CB5">
        <w:rPr>
          <w:sz w:val="20"/>
          <w:szCs w:val="20"/>
        </w:rPr>
        <w:t xml:space="preserve"> </w:t>
      </w:r>
      <w:proofErr w:type="spellStart"/>
      <w:r w:rsidR="00893645" w:rsidRPr="00FE1CB5">
        <w:rPr>
          <w:sz w:val="20"/>
          <w:szCs w:val="20"/>
        </w:rPr>
        <w:t>the</w:t>
      </w:r>
      <w:proofErr w:type="spellEnd"/>
      <w:r w:rsidR="00893645" w:rsidRPr="00FE1CB5">
        <w:rPr>
          <w:sz w:val="20"/>
          <w:szCs w:val="20"/>
        </w:rPr>
        <w:t xml:space="preserve"> </w:t>
      </w:r>
      <w:proofErr w:type="spellStart"/>
      <w:r w:rsidR="00893645" w:rsidRPr="00FE1CB5">
        <w:rPr>
          <w:sz w:val="20"/>
          <w:szCs w:val="20"/>
        </w:rPr>
        <w:t>process</w:t>
      </w:r>
      <w:proofErr w:type="spellEnd"/>
      <w:r w:rsidR="00893645" w:rsidRPr="00FE1CB5">
        <w:rPr>
          <w:sz w:val="20"/>
          <w:szCs w:val="20"/>
        </w:rPr>
        <w:t xml:space="preserve"> of </w:t>
      </w:r>
      <w:proofErr w:type="spellStart"/>
      <w:r w:rsidR="00893645" w:rsidRPr="00FE1CB5">
        <w:rPr>
          <w:sz w:val="20"/>
          <w:szCs w:val="20"/>
        </w:rPr>
        <w:t>becoming</w:t>
      </w:r>
      <w:proofErr w:type="spellEnd"/>
      <w:r w:rsidR="00893645" w:rsidRPr="00FE1CB5">
        <w:rPr>
          <w:sz w:val="20"/>
          <w:szCs w:val="20"/>
        </w:rPr>
        <w:t xml:space="preserve"> a </w:t>
      </w:r>
      <w:proofErr w:type="spellStart"/>
      <w:r w:rsidR="00893645" w:rsidRPr="00FE1CB5">
        <w:rPr>
          <w:sz w:val="20"/>
          <w:szCs w:val="20"/>
        </w:rPr>
        <w:t>priority</w:t>
      </w:r>
      <w:proofErr w:type="spellEnd"/>
      <w:r w:rsidR="00893645" w:rsidRPr="00FE1CB5">
        <w:rPr>
          <w:sz w:val="20"/>
          <w:szCs w:val="20"/>
        </w:rPr>
        <w:t xml:space="preserve"> in </w:t>
      </w:r>
      <w:proofErr w:type="spellStart"/>
      <w:r w:rsidR="00893645" w:rsidRPr="00FE1CB5">
        <w:rPr>
          <w:sz w:val="20"/>
          <w:szCs w:val="20"/>
        </w:rPr>
        <w:t>the</w:t>
      </w:r>
      <w:proofErr w:type="spellEnd"/>
      <w:r w:rsidR="00893645" w:rsidRPr="00FE1CB5">
        <w:rPr>
          <w:sz w:val="20"/>
          <w:szCs w:val="20"/>
        </w:rPr>
        <w:t xml:space="preserve"> global </w:t>
      </w:r>
      <w:proofErr w:type="spellStart"/>
      <w:r w:rsidR="00893645" w:rsidRPr="00FE1CB5">
        <w:rPr>
          <w:sz w:val="20"/>
          <w:szCs w:val="20"/>
        </w:rPr>
        <w:t>security</w:t>
      </w:r>
      <w:proofErr w:type="spellEnd"/>
      <w:r w:rsidR="00893645" w:rsidRPr="00FE1CB5">
        <w:rPr>
          <w:sz w:val="20"/>
          <w:szCs w:val="20"/>
        </w:rPr>
        <w:t xml:space="preserve"> </w:t>
      </w:r>
      <w:proofErr w:type="spellStart"/>
      <w:r w:rsidR="00893645" w:rsidRPr="00FE1CB5">
        <w:rPr>
          <w:sz w:val="20"/>
          <w:szCs w:val="20"/>
        </w:rPr>
        <w:t>and</w:t>
      </w:r>
      <w:proofErr w:type="spellEnd"/>
      <w:r w:rsidR="00893645" w:rsidRPr="00FE1CB5">
        <w:rPr>
          <w:sz w:val="20"/>
          <w:szCs w:val="20"/>
        </w:rPr>
        <w:t xml:space="preserve"> </w:t>
      </w:r>
      <w:proofErr w:type="spellStart"/>
      <w:r w:rsidR="00893645" w:rsidRPr="00FE1CB5">
        <w:rPr>
          <w:sz w:val="20"/>
          <w:szCs w:val="20"/>
        </w:rPr>
        <w:t>intelligence</w:t>
      </w:r>
      <w:proofErr w:type="spellEnd"/>
      <w:r w:rsidR="00893645" w:rsidRPr="00FE1CB5">
        <w:rPr>
          <w:sz w:val="20"/>
          <w:szCs w:val="20"/>
        </w:rPr>
        <w:t xml:space="preserve"> </w:t>
      </w:r>
      <w:proofErr w:type="spellStart"/>
      <w:r w:rsidR="00893645" w:rsidRPr="00FE1CB5">
        <w:rPr>
          <w:sz w:val="20"/>
          <w:szCs w:val="20"/>
        </w:rPr>
        <w:t>circles</w:t>
      </w:r>
      <w:proofErr w:type="spellEnd"/>
      <w:r w:rsidR="00893645" w:rsidRPr="00FE1CB5">
        <w:rPr>
          <w:sz w:val="20"/>
          <w:szCs w:val="20"/>
        </w:rPr>
        <w:t>.</w:t>
      </w:r>
    </w:p>
    <w:p w:rsidR="005B748F" w:rsidRPr="00FE1CB5" w:rsidRDefault="005B748F" w:rsidP="004E7EBF">
      <w:pPr>
        <w:spacing w:before="120" w:after="120" w:line="240" w:lineRule="auto"/>
        <w:rPr>
          <w:sz w:val="20"/>
          <w:szCs w:val="20"/>
        </w:rPr>
      </w:pPr>
      <w:proofErr w:type="spellStart"/>
      <w:r w:rsidRPr="00FE1CB5">
        <w:rPr>
          <w:b/>
          <w:sz w:val="20"/>
          <w:szCs w:val="20"/>
        </w:rPr>
        <w:t>Keywords</w:t>
      </w:r>
      <w:proofErr w:type="spellEnd"/>
      <w:r w:rsidRPr="00FE1CB5">
        <w:rPr>
          <w:b/>
          <w:sz w:val="20"/>
          <w:szCs w:val="20"/>
        </w:rPr>
        <w:t>:</w:t>
      </w:r>
      <w:r w:rsidRPr="00FE1CB5">
        <w:rPr>
          <w:sz w:val="20"/>
          <w:szCs w:val="20"/>
        </w:rPr>
        <w:t xml:space="preserve"> </w:t>
      </w:r>
      <w:proofErr w:type="spellStart"/>
      <w:r w:rsidRPr="00FE1CB5">
        <w:rPr>
          <w:sz w:val="20"/>
          <w:szCs w:val="20"/>
        </w:rPr>
        <w:t>National</w:t>
      </w:r>
      <w:proofErr w:type="spellEnd"/>
      <w:r w:rsidRPr="00FE1CB5">
        <w:rPr>
          <w:sz w:val="20"/>
          <w:szCs w:val="20"/>
        </w:rPr>
        <w:t xml:space="preserve"> Security, Global Security, </w:t>
      </w:r>
      <w:proofErr w:type="spellStart"/>
      <w:r w:rsidRPr="00FE1CB5">
        <w:rPr>
          <w:sz w:val="20"/>
          <w:szCs w:val="20"/>
        </w:rPr>
        <w:t>Bioterrorism</w:t>
      </w:r>
      <w:proofErr w:type="spellEnd"/>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5B748F" w:rsidRDefault="005B748F" w:rsidP="004E7EBF">
      <w:pPr>
        <w:spacing w:line="240" w:lineRule="auto"/>
        <w:rPr>
          <w:b/>
        </w:rPr>
      </w:pPr>
    </w:p>
    <w:p w:rsidR="004E7EBF" w:rsidRDefault="00D66FFF" w:rsidP="008240C6">
      <w:r>
        <w:tab/>
      </w:r>
    </w:p>
    <w:p w:rsidR="004E7EBF" w:rsidRDefault="004E7EBF" w:rsidP="008240C6"/>
    <w:p w:rsidR="004E7EBF" w:rsidRDefault="004E7EBF" w:rsidP="008240C6">
      <w:r>
        <w:tab/>
      </w:r>
    </w:p>
    <w:p w:rsidR="004E7EBF" w:rsidRDefault="004E7EBF" w:rsidP="004E7EBF"/>
    <w:p w:rsidR="0073406B" w:rsidRPr="00D464D4" w:rsidRDefault="004E7EBF" w:rsidP="004E7EBF">
      <w:pPr>
        <w:pStyle w:val="Balk1"/>
        <w:spacing w:before="120" w:after="120"/>
        <w:rPr>
          <w:sz w:val="22"/>
          <w:szCs w:val="22"/>
        </w:rPr>
      </w:pPr>
      <w:r w:rsidRPr="00D464D4">
        <w:rPr>
          <w:sz w:val="22"/>
          <w:szCs w:val="22"/>
        </w:rPr>
        <w:lastRenderedPageBreak/>
        <w:tab/>
      </w:r>
      <w:r w:rsidR="00816309" w:rsidRPr="00D464D4">
        <w:rPr>
          <w:sz w:val="22"/>
          <w:szCs w:val="22"/>
        </w:rPr>
        <w:t>1.</w:t>
      </w:r>
      <w:r w:rsidR="00DE0046" w:rsidRPr="00D464D4">
        <w:rPr>
          <w:sz w:val="22"/>
          <w:szCs w:val="22"/>
        </w:rPr>
        <w:t xml:space="preserve"> </w:t>
      </w:r>
      <w:r w:rsidR="00816309" w:rsidRPr="00D464D4">
        <w:rPr>
          <w:sz w:val="22"/>
          <w:szCs w:val="22"/>
        </w:rPr>
        <w:t>GİRİŞ</w:t>
      </w:r>
    </w:p>
    <w:p w:rsidR="00A62453" w:rsidRPr="00D464D4" w:rsidRDefault="00421B44" w:rsidP="00D464D4">
      <w:pPr>
        <w:spacing w:before="120" w:after="120" w:line="240" w:lineRule="auto"/>
        <w:ind w:firstLine="567"/>
        <w:rPr>
          <w:sz w:val="22"/>
        </w:rPr>
      </w:pPr>
      <w:r w:rsidRPr="00D464D4">
        <w:rPr>
          <w:sz w:val="22"/>
        </w:rPr>
        <w:t xml:space="preserve"> </w:t>
      </w:r>
      <w:r w:rsidR="008C72F4" w:rsidRPr="00D464D4">
        <w:rPr>
          <w:sz w:val="22"/>
        </w:rPr>
        <w:tab/>
      </w:r>
      <w:r w:rsidR="00CD2C0C" w:rsidRPr="00D464D4">
        <w:rPr>
          <w:sz w:val="22"/>
        </w:rPr>
        <w:t xml:space="preserve">Yakın geçmişte yeni bulaşıcı hastalıkların ortaya çıkması ve özellikle AIDS’in dünya genelinde yol açtığı büyük yıkım bulaşıcı hastalık tehdidinin boyutlarını ortaya koyarak ulusal güvenlik tartışmalarında kendine yer bulmuştur. </w:t>
      </w:r>
      <w:r w:rsidR="00CE1D93" w:rsidRPr="00D464D4">
        <w:rPr>
          <w:sz w:val="22"/>
        </w:rPr>
        <w:t>ABD’de 11 Eylül 2001 tarihinde yaşanan</w:t>
      </w:r>
      <w:r w:rsidR="000A7929" w:rsidRPr="00D464D4">
        <w:rPr>
          <w:sz w:val="22"/>
        </w:rPr>
        <w:t xml:space="preserve"> olayları</w:t>
      </w:r>
      <w:r w:rsidR="00CE1D93" w:rsidRPr="00D464D4">
        <w:rPr>
          <w:sz w:val="22"/>
        </w:rPr>
        <w:t>n akabinde</w:t>
      </w:r>
      <w:r w:rsidR="000A7929" w:rsidRPr="00D464D4">
        <w:rPr>
          <w:sz w:val="22"/>
        </w:rPr>
        <w:t xml:space="preserve"> terörün</w:t>
      </w:r>
      <w:r w:rsidR="000A2CB4" w:rsidRPr="00D464D4">
        <w:rPr>
          <w:sz w:val="22"/>
        </w:rPr>
        <w:t xml:space="preserve"> </w:t>
      </w:r>
      <w:r w:rsidR="00CE555F" w:rsidRPr="00D464D4">
        <w:rPr>
          <w:sz w:val="22"/>
        </w:rPr>
        <w:t>tüm</w:t>
      </w:r>
      <w:r w:rsidR="002C18D0">
        <w:rPr>
          <w:sz w:val="22"/>
        </w:rPr>
        <w:t xml:space="preserve"> </w:t>
      </w:r>
      <w:r w:rsidR="000A2CB4" w:rsidRPr="00D464D4">
        <w:rPr>
          <w:sz w:val="22"/>
        </w:rPr>
        <w:t>alan</w:t>
      </w:r>
      <w:r w:rsidR="00CE555F" w:rsidRPr="00D464D4">
        <w:rPr>
          <w:sz w:val="22"/>
        </w:rPr>
        <w:t>lar</w:t>
      </w:r>
      <w:r w:rsidR="000A2CB4" w:rsidRPr="00D464D4">
        <w:rPr>
          <w:sz w:val="22"/>
        </w:rPr>
        <w:t>daki</w:t>
      </w:r>
      <w:r w:rsidR="000A7929" w:rsidRPr="00D464D4">
        <w:rPr>
          <w:sz w:val="22"/>
        </w:rPr>
        <w:t xml:space="preserve"> kasıtlı kullanımı</w:t>
      </w:r>
      <w:r w:rsidR="00CE1D93" w:rsidRPr="00D464D4">
        <w:rPr>
          <w:sz w:val="22"/>
        </w:rPr>
        <w:t xml:space="preserve"> bulaşıcı hastalıklar tehdidini dramatik ve keskin şekilde değiştirmiştir.</w:t>
      </w:r>
      <w:r w:rsidR="000A7929" w:rsidRPr="00D464D4">
        <w:rPr>
          <w:sz w:val="22"/>
        </w:rPr>
        <w:t xml:space="preserve"> </w:t>
      </w:r>
      <w:r w:rsidR="000A2CB4" w:rsidRPr="00D464D4">
        <w:rPr>
          <w:sz w:val="22"/>
        </w:rPr>
        <w:t>Geçmişten bugüne ortaya çıkardığı yıkıcı sonuçlar ve kitle ölümleriyle ulusları derinden sarsan salgın ve bulaşıcı hastalıklar, küresel güvenlik için de daima bir tehdit olmuştur. Diğer bir tabirle “görünmez ordular” diye nitelendirilen bu hastalıkların ulusları istikrarsızlaştırması ve dünya haritasını yeniden çizme potansiyeli konuyu önemli kılmakta ve biyoterörizm kavramını gündeme getirmektedir. Biyolojik silah kullanma esasına dayanan ve bir ulusa karşı en az savaş kada</w:t>
      </w:r>
      <w:r w:rsidR="00E0533D">
        <w:rPr>
          <w:sz w:val="22"/>
        </w:rPr>
        <w:t xml:space="preserve">r yıkıcı etkileri olabilen </w:t>
      </w:r>
      <w:proofErr w:type="spellStart"/>
      <w:r w:rsidR="00E0533D">
        <w:rPr>
          <w:sz w:val="22"/>
        </w:rPr>
        <w:t>biyo</w:t>
      </w:r>
      <w:r w:rsidR="000A2CB4" w:rsidRPr="00D464D4">
        <w:rPr>
          <w:sz w:val="22"/>
        </w:rPr>
        <w:t>terör</w:t>
      </w:r>
      <w:proofErr w:type="spellEnd"/>
      <w:r w:rsidR="000A2CB4" w:rsidRPr="00D464D4">
        <w:rPr>
          <w:sz w:val="22"/>
        </w:rPr>
        <w:t xml:space="preserve"> ulusal ve küresel güvenliğe yönelik ciddi bir tehdittir.</w:t>
      </w:r>
      <w:r w:rsidR="002C18D0">
        <w:rPr>
          <w:sz w:val="22"/>
        </w:rPr>
        <w:t xml:space="preserve"> </w:t>
      </w:r>
      <w:proofErr w:type="spellStart"/>
      <w:r w:rsidR="002C18D0">
        <w:rPr>
          <w:sz w:val="22"/>
        </w:rPr>
        <w:t>Biyoterör</w:t>
      </w:r>
      <w:proofErr w:type="spellEnd"/>
      <w:r w:rsidR="002C18D0">
        <w:rPr>
          <w:sz w:val="22"/>
        </w:rPr>
        <w:t xml:space="preserve"> kavramı canlıların yaşamsal işleyişi ile ilgilenen</w:t>
      </w:r>
      <w:r w:rsidR="00E0533D">
        <w:rPr>
          <w:sz w:val="22"/>
        </w:rPr>
        <w:t xml:space="preserve"> biyoloji biliminin kısaltması</w:t>
      </w:r>
      <w:r w:rsidR="002C18D0">
        <w:rPr>
          <w:sz w:val="22"/>
        </w:rPr>
        <w:t xml:space="preserve"> olan “</w:t>
      </w:r>
      <w:proofErr w:type="spellStart"/>
      <w:r w:rsidR="002C18D0">
        <w:rPr>
          <w:sz w:val="22"/>
        </w:rPr>
        <w:t>bio</w:t>
      </w:r>
      <w:proofErr w:type="spellEnd"/>
      <w:r w:rsidR="002C18D0">
        <w:rPr>
          <w:sz w:val="22"/>
        </w:rPr>
        <w:t>” ve korku salma temelinde yapılan saldırıları ifade eden “terör”</w:t>
      </w:r>
      <w:r w:rsidR="00E0533D">
        <w:rPr>
          <w:sz w:val="22"/>
        </w:rPr>
        <w:t xml:space="preserve"> kelimelerinin birleşimi sonucunda oluşmuştur.</w:t>
      </w:r>
      <w:r w:rsidR="002C18D0">
        <w:rPr>
          <w:sz w:val="22"/>
        </w:rPr>
        <w:t xml:space="preserve"> </w:t>
      </w:r>
      <w:proofErr w:type="spellStart"/>
      <w:r w:rsidR="00E0533D">
        <w:rPr>
          <w:sz w:val="22"/>
        </w:rPr>
        <w:t>Biyoterör</w:t>
      </w:r>
      <w:proofErr w:type="spellEnd"/>
      <w:r w:rsidR="000A2CB4" w:rsidRPr="00D464D4">
        <w:rPr>
          <w:sz w:val="22"/>
        </w:rPr>
        <w:t xml:space="preserve"> saldırılar</w:t>
      </w:r>
      <w:r w:rsidR="00E0533D">
        <w:rPr>
          <w:sz w:val="22"/>
        </w:rPr>
        <w:t>ı</w:t>
      </w:r>
      <w:r w:rsidR="000A2CB4" w:rsidRPr="00D464D4">
        <w:rPr>
          <w:sz w:val="22"/>
        </w:rPr>
        <w:t xml:space="preserve"> ulusların sosyal ve ekonomik yaşantısı ile geleceğini de etkileyebilmektedir. </w:t>
      </w:r>
      <w:r w:rsidR="00CE555F" w:rsidRPr="00D464D4">
        <w:rPr>
          <w:sz w:val="22"/>
        </w:rPr>
        <w:t>Herhangi b</w:t>
      </w:r>
      <w:r w:rsidR="000A2CB4" w:rsidRPr="00D464D4">
        <w:rPr>
          <w:sz w:val="22"/>
        </w:rPr>
        <w:t>ir biyolojik terör saldırısının genetiği değiştirilmiş virüs</w:t>
      </w:r>
      <w:r w:rsidR="00CE555F" w:rsidRPr="00D464D4">
        <w:rPr>
          <w:sz w:val="22"/>
        </w:rPr>
        <w:t>ler</w:t>
      </w:r>
      <w:r w:rsidR="000A2CB4" w:rsidRPr="00D464D4">
        <w:rPr>
          <w:sz w:val="22"/>
        </w:rPr>
        <w:t xml:space="preserve"> yoluyla kasıtlı olarak ortaya çıkarılabilmesi ve çok hızlı bir şekilde yayılabilmesi küresel tehdit boyutunu ortaya çıkarmaktadır. Bu </w:t>
      </w:r>
      <w:r w:rsidR="00D472EC" w:rsidRPr="00D464D4">
        <w:rPr>
          <w:sz w:val="22"/>
        </w:rPr>
        <w:t xml:space="preserve">doğrultuda </w:t>
      </w:r>
      <w:proofErr w:type="spellStart"/>
      <w:r w:rsidR="00E0533D">
        <w:rPr>
          <w:sz w:val="22"/>
        </w:rPr>
        <w:t>biyo</w:t>
      </w:r>
      <w:r w:rsidR="000A2CB4" w:rsidRPr="00D464D4">
        <w:rPr>
          <w:sz w:val="22"/>
        </w:rPr>
        <w:t>terör</w:t>
      </w:r>
      <w:proofErr w:type="spellEnd"/>
      <w:r w:rsidR="00D472EC" w:rsidRPr="00D464D4">
        <w:rPr>
          <w:sz w:val="22"/>
        </w:rPr>
        <w:t>,</w:t>
      </w:r>
      <w:r w:rsidR="000A2CB4" w:rsidRPr="00D464D4">
        <w:rPr>
          <w:sz w:val="22"/>
        </w:rPr>
        <w:t xml:space="preserve"> ifade edilen özelliklerinden ötürü nükleer terörden çok daha yıkıcı etkiler gösterebilmektedir. </w:t>
      </w:r>
      <w:r w:rsidR="00CD2C0C" w:rsidRPr="00D464D4">
        <w:rPr>
          <w:sz w:val="22"/>
        </w:rPr>
        <w:t>Bu kapsamda</w:t>
      </w:r>
      <w:r w:rsidR="00DE0046" w:rsidRPr="00D464D4">
        <w:rPr>
          <w:sz w:val="22"/>
        </w:rPr>
        <w:t xml:space="preserve"> </w:t>
      </w:r>
      <w:r w:rsidR="000A2CB4" w:rsidRPr="00D464D4">
        <w:rPr>
          <w:sz w:val="22"/>
        </w:rPr>
        <w:t>gündeme gelen</w:t>
      </w:r>
      <w:r w:rsidR="00CE555F" w:rsidRPr="00D464D4">
        <w:rPr>
          <w:sz w:val="22"/>
        </w:rPr>
        <w:t xml:space="preserve"> biyo</w:t>
      </w:r>
      <w:r w:rsidR="00CD2C0C" w:rsidRPr="00D464D4">
        <w:rPr>
          <w:sz w:val="22"/>
        </w:rPr>
        <w:t xml:space="preserve">terörizm gerçeği, bulaşıcı hastalık tehdidini savunma ve istihbarat çevrelerinde dikkat edilmesi gereken yüksek öncelikli bir konu seviyesine </w:t>
      </w:r>
      <w:r w:rsidR="00F05B1E" w:rsidRPr="00D464D4">
        <w:rPr>
          <w:sz w:val="22"/>
        </w:rPr>
        <w:t>taşımıştır</w:t>
      </w:r>
      <w:r w:rsidR="00CD2C0C" w:rsidRPr="00D464D4">
        <w:rPr>
          <w:sz w:val="22"/>
        </w:rPr>
        <w:t>.</w:t>
      </w:r>
      <w:r w:rsidR="00A36B00" w:rsidRPr="00D464D4">
        <w:rPr>
          <w:sz w:val="22"/>
        </w:rPr>
        <w:t xml:space="preserve"> </w:t>
      </w:r>
      <w:r w:rsidR="00D66FFF" w:rsidRPr="00D464D4">
        <w:rPr>
          <w:sz w:val="22"/>
        </w:rPr>
        <w:t xml:space="preserve">Bu artan endişe ve mevcut durum ise salgınların hızlıca tespit edilmesinin ve küresel halk sağlığı güvenliği kapasitesinin </w:t>
      </w:r>
      <w:r w:rsidR="00CE555F" w:rsidRPr="00D464D4">
        <w:rPr>
          <w:sz w:val="22"/>
        </w:rPr>
        <w:t>güçlendirilmesinin biyoterörizm</w:t>
      </w:r>
      <w:r w:rsidR="00D66FFF" w:rsidRPr="00D464D4">
        <w:rPr>
          <w:sz w:val="22"/>
        </w:rPr>
        <w:t xml:space="preserve"> tehdidine karşı alınacak tek rasyonel yol olduğunu ortaya koymuştur. </w:t>
      </w:r>
      <w:proofErr w:type="spellStart"/>
      <w:r w:rsidR="00CE555F" w:rsidRPr="00D464D4">
        <w:rPr>
          <w:sz w:val="22"/>
        </w:rPr>
        <w:t>Biyo</w:t>
      </w:r>
      <w:r w:rsidR="0058021A" w:rsidRPr="00D464D4">
        <w:rPr>
          <w:sz w:val="22"/>
        </w:rPr>
        <w:t>terörizme</w:t>
      </w:r>
      <w:proofErr w:type="spellEnd"/>
      <w:r w:rsidR="0058021A" w:rsidRPr="00D464D4">
        <w:rPr>
          <w:sz w:val="22"/>
        </w:rPr>
        <w:t xml:space="preserve"> karşı </w:t>
      </w:r>
      <w:r w:rsidR="00E653E6" w:rsidRPr="00D464D4">
        <w:rPr>
          <w:sz w:val="22"/>
        </w:rPr>
        <w:t>geliştirilen bu ilke ve düşüncelerin</w:t>
      </w:r>
      <w:r w:rsidR="0058021A" w:rsidRPr="00D464D4">
        <w:rPr>
          <w:sz w:val="22"/>
        </w:rPr>
        <w:t xml:space="preserve"> </w:t>
      </w:r>
      <w:r w:rsidR="00E653E6" w:rsidRPr="00D464D4">
        <w:rPr>
          <w:sz w:val="22"/>
        </w:rPr>
        <w:t>ortaya çıkmasında</w:t>
      </w:r>
      <w:r w:rsidR="000A2CB4" w:rsidRPr="00D464D4">
        <w:rPr>
          <w:sz w:val="22"/>
        </w:rPr>
        <w:t>;</w:t>
      </w:r>
      <w:r w:rsidR="00E653E6" w:rsidRPr="00D464D4">
        <w:rPr>
          <w:sz w:val="22"/>
        </w:rPr>
        <w:t xml:space="preserve"> </w:t>
      </w:r>
      <w:r w:rsidR="000A2CB4" w:rsidRPr="00D464D4">
        <w:rPr>
          <w:sz w:val="22"/>
        </w:rPr>
        <w:t>b</w:t>
      </w:r>
      <w:r w:rsidR="00C50291" w:rsidRPr="00D464D4">
        <w:rPr>
          <w:sz w:val="22"/>
        </w:rPr>
        <w:t xml:space="preserve">ulaşıcı hastalık tehdidinin yüksek oranda </w:t>
      </w:r>
      <w:r w:rsidR="00E653E6" w:rsidRPr="00D464D4">
        <w:rPr>
          <w:sz w:val="22"/>
        </w:rPr>
        <w:t>artması ve</w:t>
      </w:r>
      <w:r w:rsidR="00C50291" w:rsidRPr="00D464D4">
        <w:rPr>
          <w:sz w:val="22"/>
        </w:rPr>
        <w:t xml:space="preserve"> </w:t>
      </w:r>
      <w:r w:rsidR="00E653E6" w:rsidRPr="00D464D4">
        <w:rPr>
          <w:sz w:val="22"/>
        </w:rPr>
        <w:t xml:space="preserve">neredeyse tüm ulusların </w:t>
      </w:r>
      <w:r w:rsidR="000A2CB4" w:rsidRPr="00D464D4">
        <w:rPr>
          <w:sz w:val="22"/>
        </w:rPr>
        <w:t xml:space="preserve">kasti </w:t>
      </w:r>
      <w:r w:rsidR="00E653E6" w:rsidRPr="00D464D4">
        <w:rPr>
          <w:sz w:val="22"/>
        </w:rPr>
        <w:t>salgınlara</w:t>
      </w:r>
      <w:r w:rsidR="00C50291" w:rsidRPr="00D464D4">
        <w:rPr>
          <w:sz w:val="22"/>
        </w:rPr>
        <w:t xml:space="preserve"> karşı </w:t>
      </w:r>
      <w:r w:rsidR="00E653E6" w:rsidRPr="00D464D4">
        <w:rPr>
          <w:sz w:val="22"/>
        </w:rPr>
        <w:t>savunmasız olması</w:t>
      </w:r>
      <w:r w:rsidR="000A2CB4" w:rsidRPr="00D464D4">
        <w:rPr>
          <w:sz w:val="22"/>
        </w:rPr>
        <w:t xml:space="preserve">; </w:t>
      </w:r>
      <w:r w:rsidR="00C50291" w:rsidRPr="00D464D4">
        <w:rPr>
          <w:sz w:val="22"/>
        </w:rPr>
        <w:t>AIDS’in Sa</w:t>
      </w:r>
      <w:r w:rsidR="008A0FA5" w:rsidRPr="00D464D4">
        <w:rPr>
          <w:sz w:val="22"/>
        </w:rPr>
        <w:t>hra A</w:t>
      </w:r>
      <w:r w:rsidR="00C50291" w:rsidRPr="00D464D4">
        <w:rPr>
          <w:sz w:val="22"/>
        </w:rPr>
        <w:t>ltı Afrika’ya</w:t>
      </w:r>
      <w:r w:rsidR="008A0FA5" w:rsidRPr="00D464D4">
        <w:rPr>
          <w:sz w:val="22"/>
        </w:rPr>
        <w:t xml:space="preserve"> olan yıkıcı etkisi ile</w:t>
      </w:r>
      <w:r w:rsidR="00C50291" w:rsidRPr="00D464D4">
        <w:rPr>
          <w:sz w:val="22"/>
        </w:rPr>
        <w:t xml:space="preserve"> bir hastalığın büyük bir coğrafi bölgeyi </w:t>
      </w:r>
      <w:r w:rsidR="008A0FA5" w:rsidRPr="00D464D4">
        <w:rPr>
          <w:sz w:val="22"/>
        </w:rPr>
        <w:t>ciddi oranda baltalama kapasitesine sahip olması</w:t>
      </w:r>
      <w:r w:rsidR="000A2CB4" w:rsidRPr="00D464D4">
        <w:rPr>
          <w:sz w:val="22"/>
        </w:rPr>
        <w:t>; y</w:t>
      </w:r>
      <w:r w:rsidR="00312F51" w:rsidRPr="00D464D4">
        <w:rPr>
          <w:sz w:val="22"/>
        </w:rPr>
        <w:t>ıkıcı ve bulaşıcı hastalık tehdidine karşı u</w:t>
      </w:r>
      <w:r w:rsidR="00C50291" w:rsidRPr="00D464D4">
        <w:rPr>
          <w:sz w:val="22"/>
        </w:rPr>
        <w:t>l</w:t>
      </w:r>
      <w:r w:rsidR="00312F51" w:rsidRPr="00D464D4">
        <w:rPr>
          <w:sz w:val="22"/>
        </w:rPr>
        <w:t xml:space="preserve">usal güvenlik </w:t>
      </w:r>
      <w:r w:rsidR="00D472EC" w:rsidRPr="00D464D4">
        <w:rPr>
          <w:sz w:val="22"/>
        </w:rPr>
        <w:t>kriterlerinin</w:t>
      </w:r>
      <w:r w:rsidR="00C50291" w:rsidRPr="00D464D4">
        <w:rPr>
          <w:sz w:val="22"/>
        </w:rPr>
        <w:t xml:space="preserve"> tekrar gözden geçir</w:t>
      </w:r>
      <w:r w:rsidR="00312F51" w:rsidRPr="00D464D4">
        <w:rPr>
          <w:sz w:val="22"/>
        </w:rPr>
        <w:t>ilmesi ve</w:t>
      </w:r>
      <w:r w:rsidR="00C50291" w:rsidRPr="00D464D4">
        <w:rPr>
          <w:sz w:val="22"/>
        </w:rPr>
        <w:t xml:space="preserve"> neyi</w:t>
      </w:r>
      <w:r w:rsidR="00312F51" w:rsidRPr="00D464D4">
        <w:rPr>
          <w:sz w:val="22"/>
        </w:rPr>
        <w:t>n güvenlik tehdidi oluşturup oluşturmadığının</w:t>
      </w:r>
      <w:r w:rsidR="00C50291" w:rsidRPr="00D464D4">
        <w:rPr>
          <w:sz w:val="22"/>
        </w:rPr>
        <w:t xml:space="preserve"> </w:t>
      </w:r>
      <w:r w:rsidR="003149EA" w:rsidRPr="00D464D4">
        <w:rPr>
          <w:sz w:val="22"/>
        </w:rPr>
        <w:t xml:space="preserve">hızlı bir şekilde </w:t>
      </w:r>
      <w:r w:rsidR="00312F51" w:rsidRPr="00D464D4">
        <w:rPr>
          <w:sz w:val="22"/>
        </w:rPr>
        <w:t xml:space="preserve">tespit edilmesi </w:t>
      </w:r>
      <w:r w:rsidR="000A2CB4" w:rsidRPr="00D464D4">
        <w:rPr>
          <w:sz w:val="22"/>
        </w:rPr>
        <w:t xml:space="preserve">gibi faktörler etkili olmuştur. </w:t>
      </w:r>
      <w:r w:rsidR="005A2136" w:rsidRPr="00D464D4">
        <w:rPr>
          <w:sz w:val="22"/>
        </w:rPr>
        <w:t>Bu çalışmada biyoterörizm teh</w:t>
      </w:r>
      <w:r w:rsidR="00A53DBD">
        <w:rPr>
          <w:sz w:val="22"/>
        </w:rPr>
        <w:t>di</w:t>
      </w:r>
      <w:r w:rsidR="005A2136" w:rsidRPr="00D464D4">
        <w:rPr>
          <w:sz w:val="22"/>
        </w:rPr>
        <w:t xml:space="preserve">dinin ciddi bir şekilde artması ve savunma/istihbarat çevrelerinde bulaşıcı hastalıklara öncelik verilmesi hususları ele alınarak olağan veya kasti olarak ortaya çıkarılan salgın hastalıkların yol açtığı/yol açabileceği ulusal ve küresel tehditler üzerinde durulmuştur. </w:t>
      </w:r>
      <w:r w:rsidR="005B748F" w:rsidRPr="00D464D4">
        <w:rPr>
          <w:sz w:val="22"/>
        </w:rPr>
        <w:t>Bu kapsamda çalışmada ulusların salgın hastalıklar karşısındaki savunmasızlığı, bulaşıcı hastalıkların yıkıcı etkisi ve ulusal güvenlik parametreleri irdelenmi</w:t>
      </w:r>
      <w:r w:rsidR="00E0533D">
        <w:rPr>
          <w:sz w:val="22"/>
        </w:rPr>
        <w:t xml:space="preserve">ş olup önemli ölçüde artan </w:t>
      </w:r>
      <w:proofErr w:type="spellStart"/>
      <w:r w:rsidR="00E0533D">
        <w:rPr>
          <w:sz w:val="22"/>
        </w:rPr>
        <w:t>biyo</w:t>
      </w:r>
      <w:r w:rsidR="005B748F" w:rsidRPr="00D464D4">
        <w:rPr>
          <w:sz w:val="22"/>
        </w:rPr>
        <w:t>terör</w:t>
      </w:r>
      <w:proofErr w:type="spellEnd"/>
      <w:r w:rsidR="005B748F" w:rsidRPr="00D464D4">
        <w:rPr>
          <w:sz w:val="22"/>
        </w:rPr>
        <w:t xml:space="preserve"> tehdidinin küresel güvenlik ve istihbarat çevrelerinde öncelik haline gelme süreci tartışılmıştır. </w:t>
      </w:r>
    </w:p>
    <w:p w:rsidR="003E506E" w:rsidRPr="00D464D4" w:rsidRDefault="00417698" w:rsidP="004E7EBF">
      <w:pPr>
        <w:pStyle w:val="Balk1"/>
        <w:spacing w:before="120" w:after="120" w:line="240" w:lineRule="auto"/>
        <w:rPr>
          <w:sz w:val="22"/>
          <w:szCs w:val="22"/>
        </w:rPr>
      </w:pPr>
      <w:r w:rsidRPr="00D464D4">
        <w:rPr>
          <w:sz w:val="22"/>
          <w:szCs w:val="22"/>
        </w:rPr>
        <w:tab/>
      </w:r>
      <w:r w:rsidR="009D7BC1" w:rsidRPr="00D464D4">
        <w:rPr>
          <w:sz w:val="22"/>
          <w:szCs w:val="22"/>
        </w:rPr>
        <w:t>2</w:t>
      </w:r>
      <w:r w:rsidR="007C4149" w:rsidRPr="00D464D4">
        <w:rPr>
          <w:sz w:val="22"/>
          <w:szCs w:val="22"/>
        </w:rPr>
        <w:t>. KÜRESEL VE ULUSAL GÜVENLİK ALGISININ DEĞİŞİMİ</w:t>
      </w:r>
    </w:p>
    <w:p w:rsidR="00C27510" w:rsidRPr="00D464D4" w:rsidRDefault="00417698" w:rsidP="004E7EBF">
      <w:pPr>
        <w:spacing w:before="120" w:after="120" w:line="240" w:lineRule="auto"/>
        <w:rPr>
          <w:sz w:val="22"/>
        </w:rPr>
      </w:pPr>
      <w:r w:rsidRPr="00D464D4">
        <w:rPr>
          <w:sz w:val="22"/>
        </w:rPr>
        <w:tab/>
      </w:r>
      <w:r w:rsidR="00934B58" w:rsidRPr="00D464D4">
        <w:rPr>
          <w:sz w:val="22"/>
        </w:rPr>
        <w:t>Geleneksel anlamda ulus güvenliği, bir ülkenin toprak bütünlüğünü</w:t>
      </w:r>
      <w:r w:rsidR="003E506E" w:rsidRPr="00D464D4">
        <w:rPr>
          <w:sz w:val="22"/>
        </w:rPr>
        <w:t xml:space="preserve"> koru</w:t>
      </w:r>
      <w:r w:rsidR="00934B58" w:rsidRPr="00D464D4">
        <w:rPr>
          <w:sz w:val="22"/>
        </w:rPr>
        <w:t>maya yönelik çaba</w:t>
      </w:r>
      <w:r w:rsidR="00651BDA" w:rsidRPr="00D464D4">
        <w:rPr>
          <w:sz w:val="22"/>
        </w:rPr>
        <w:t xml:space="preserve">ların </w:t>
      </w:r>
      <w:r w:rsidR="00277ABC" w:rsidRPr="00D464D4">
        <w:rPr>
          <w:sz w:val="22"/>
        </w:rPr>
        <w:t>tamamı olarak</w:t>
      </w:r>
      <w:r w:rsidR="00651BDA" w:rsidRPr="00D464D4">
        <w:rPr>
          <w:sz w:val="22"/>
        </w:rPr>
        <w:t xml:space="preserve"> </w:t>
      </w:r>
      <w:r w:rsidR="00277ABC" w:rsidRPr="00D464D4">
        <w:rPr>
          <w:sz w:val="22"/>
        </w:rPr>
        <w:t>ifade edilmektedir</w:t>
      </w:r>
      <w:r w:rsidR="00EA40DF" w:rsidRPr="00D464D4">
        <w:rPr>
          <w:sz w:val="22"/>
        </w:rPr>
        <w:t xml:space="preserve">. </w:t>
      </w:r>
      <w:r w:rsidR="00934B58" w:rsidRPr="00D464D4">
        <w:rPr>
          <w:sz w:val="22"/>
        </w:rPr>
        <w:t>Bu kapsamda geleneksel ulus güvenliğinin askeri işlevler içerdiğini ve nihai olarak ülke sınırla</w:t>
      </w:r>
      <w:r w:rsidR="00277ABC" w:rsidRPr="00D464D4">
        <w:rPr>
          <w:sz w:val="22"/>
        </w:rPr>
        <w:t>rını korumak olduğu söylenebilmektedir</w:t>
      </w:r>
      <w:r w:rsidR="00934B58" w:rsidRPr="00D464D4">
        <w:rPr>
          <w:sz w:val="22"/>
        </w:rPr>
        <w:t xml:space="preserve"> </w:t>
      </w:r>
      <w:r w:rsidR="00934B58" w:rsidRPr="00D464D4">
        <w:rPr>
          <w:color w:val="000000" w:themeColor="text1"/>
          <w:sz w:val="22"/>
        </w:rPr>
        <w:t>(</w:t>
      </w:r>
      <w:r w:rsidR="00EA40DF" w:rsidRPr="00D464D4">
        <w:rPr>
          <w:color w:val="000000" w:themeColor="text1"/>
          <w:sz w:val="22"/>
        </w:rPr>
        <w:t xml:space="preserve">Center </w:t>
      </w:r>
      <w:proofErr w:type="spellStart"/>
      <w:r w:rsidR="00EA40DF" w:rsidRPr="00D464D4">
        <w:rPr>
          <w:color w:val="000000" w:themeColor="text1"/>
          <w:sz w:val="22"/>
        </w:rPr>
        <w:t>for</w:t>
      </w:r>
      <w:proofErr w:type="spellEnd"/>
      <w:r w:rsidR="00EA40DF" w:rsidRPr="00D464D4">
        <w:rPr>
          <w:color w:val="000000" w:themeColor="text1"/>
          <w:sz w:val="22"/>
        </w:rPr>
        <w:t xml:space="preserve"> Strategic </w:t>
      </w:r>
      <w:proofErr w:type="spellStart"/>
      <w:r w:rsidR="00EA40DF" w:rsidRPr="00D464D4">
        <w:rPr>
          <w:color w:val="000000" w:themeColor="text1"/>
          <w:sz w:val="22"/>
        </w:rPr>
        <w:t>and</w:t>
      </w:r>
      <w:proofErr w:type="spellEnd"/>
      <w:r w:rsidR="00EA40DF" w:rsidRPr="00D464D4">
        <w:rPr>
          <w:color w:val="000000" w:themeColor="text1"/>
          <w:sz w:val="22"/>
        </w:rPr>
        <w:t xml:space="preserve"> International </w:t>
      </w:r>
      <w:proofErr w:type="spellStart"/>
      <w:r w:rsidR="00EA40DF" w:rsidRPr="00D464D4">
        <w:rPr>
          <w:color w:val="000000" w:themeColor="text1"/>
          <w:sz w:val="22"/>
        </w:rPr>
        <w:t>Studies</w:t>
      </w:r>
      <w:proofErr w:type="spellEnd"/>
      <w:r w:rsidR="00EA40DF" w:rsidRPr="00D464D4">
        <w:rPr>
          <w:color w:val="000000" w:themeColor="text1"/>
          <w:sz w:val="22"/>
        </w:rPr>
        <w:t>, 2000</w:t>
      </w:r>
      <w:r w:rsidR="00934B58" w:rsidRPr="00D464D4">
        <w:rPr>
          <w:color w:val="000000" w:themeColor="text1"/>
          <w:sz w:val="22"/>
        </w:rPr>
        <w:t>).</w:t>
      </w:r>
      <w:r w:rsidR="00651BDA" w:rsidRPr="00D464D4">
        <w:rPr>
          <w:color w:val="000000" w:themeColor="text1"/>
          <w:sz w:val="22"/>
        </w:rPr>
        <w:t xml:space="preserve"> </w:t>
      </w:r>
      <w:r w:rsidR="00651BDA" w:rsidRPr="00D464D4">
        <w:rPr>
          <w:sz w:val="22"/>
        </w:rPr>
        <w:t xml:space="preserve">Ancak </w:t>
      </w:r>
      <w:r w:rsidR="00277ABC" w:rsidRPr="00D464D4">
        <w:rPr>
          <w:sz w:val="22"/>
        </w:rPr>
        <w:t xml:space="preserve">tarihsel akış içerisindeki </w:t>
      </w:r>
      <w:r w:rsidR="00651BDA" w:rsidRPr="00D464D4">
        <w:rPr>
          <w:sz w:val="22"/>
        </w:rPr>
        <w:t>iki önemli gelişme</w:t>
      </w:r>
      <w:r w:rsidR="00277ABC" w:rsidRPr="00D464D4">
        <w:rPr>
          <w:sz w:val="22"/>
        </w:rPr>
        <w:t xml:space="preserve"> bu geleneksel anlama meydan okumuştur.</w:t>
      </w:r>
      <w:r w:rsidR="00651BDA" w:rsidRPr="00D464D4">
        <w:rPr>
          <w:sz w:val="22"/>
        </w:rPr>
        <w:t xml:space="preserve"> Bunlardan birincisi Soğuk Savaşın sona ermesi olarak ifade edilebilir. Ülkelerdeki s</w:t>
      </w:r>
      <w:r w:rsidR="003E506E" w:rsidRPr="00D464D4">
        <w:rPr>
          <w:sz w:val="22"/>
        </w:rPr>
        <w:t>ivil huzursuzluk, iç çatışm</w:t>
      </w:r>
      <w:r w:rsidR="00651BDA" w:rsidRPr="00D464D4">
        <w:rPr>
          <w:sz w:val="22"/>
        </w:rPr>
        <w:t>alar, mültecilerin toplu göçü ve</w:t>
      </w:r>
      <w:r w:rsidR="003E506E" w:rsidRPr="00D464D4">
        <w:rPr>
          <w:sz w:val="22"/>
        </w:rPr>
        <w:t xml:space="preserve"> komşu ülkeler arasındaki yerelleşmiş savaşlar </w:t>
      </w:r>
      <w:r w:rsidR="00651BDA" w:rsidRPr="00D464D4">
        <w:rPr>
          <w:sz w:val="22"/>
        </w:rPr>
        <w:t>gibi unsurlar ulusal güvenliğin farklı bir boyutunu ortaya çıkarmıştır</w:t>
      </w:r>
      <w:r w:rsidR="00405B3B" w:rsidRPr="00D464D4">
        <w:rPr>
          <w:sz w:val="22"/>
        </w:rPr>
        <w:t xml:space="preserve"> </w:t>
      </w:r>
      <w:r w:rsidR="00405B3B" w:rsidRPr="00D464D4">
        <w:rPr>
          <w:color w:val="000000" w:themeColor="text1"/>
          <w:sz w:val="22"/>
        </w:rPr>
        <w:t>(</w:t>
      </w:r>
      <w:proofErr w:type="spellStart"/>
      <w:r w:rsidR="007D6053" w:rsidRPr="00D464D4">
        <w:rPr>
          <w:color w:val="000000" w:themeColor="text1"/>
          <w:sz w:val="22"/>
        </w:rPr>
        <w:t>Kelley</w:t>
      </w:r>
      <w:proofErr w:type="spellEnd"/>
      <w:r w:rsidR="007D6053" w:rsidRPr="00D464D4">
        <w:rPr>
          <w:color w:val="000000" w:themeColor="text1"/>
          <w:sz w:val="22"/>
        </w:rPr>
        <w:t>, 2000: 59-60).</w:t>
      </w:r>
      <w:r w:rsidR="007D6053" w:rsidRPr="00D464D4">
        <w:rPr>
          <w:sz w:val="22"/>
        </w:rPr>
        <w:t xml:space="preserve"> </w:t>
      </w:r>
      <w:r w:rsidR="00651BDA" w:rsidRPr="00D464D4">
        <w:rPr>
          <w:sz w:val="22"/>
        </w:rPr>
        <w:t xml:space="preserve">Sonuç olarak </w:t>
      </w:r>
      <w:r w:rsidR="00405B3B" w:rsidRPr="00D464D4">
        <w:rPr>
          <w:sz w:val="22"/>
        </w:rPr>
        <w:t>güvenlik sorunları g</w:t>
      </w:r>
      <w:r w:rsidR="00651BDA" w:rsidRPr="00D464D4">
        <w:rPr>
          <w:sz w:val="22"/>
        </w:rPr>
        <w:t>ittikçe daha karmaşık hale ge</w:t>
      </w:r>
      <w:r w:rsidR="005C0B48" w:rsidRPr="00D464D4">
        <w:rPr>
          <w:sz w:val="22"/>
        </w:rPr>
        <w:t>lmiş ve</w:t>
      </w:r>
      <w:r w:rsidR="00651BDA" w:rsidRPr="00D464D4">
        <w:rPr>
          <w:sz w:val="22"/>
        </w:rPr>
        <w:t xml:space="preserve"> odak yönü dış saldırılara</w:t>
      </w:r>
      <w:r w:rsidR="00405B3B" w:rsidRPr="00D464D4">
        <w:rPr>
          <w:sz w:val="22"/>
        </w:rPr>
        <w:t xml:space="preserve"> karşı ulusal sınırları savunmak yerine </w:t>
      </w:r>
      <w:r w:rsidR="00277ABC" w:rsidRPr="00D464D4">
        <w:rPr>
          <w:sz w:val="22"/>
        </w:rPr>
        <w:t xml:space="preserve">iç </w:t>
      </w:r>
      <w:r w:rsidR="00405B3B" w:rsidRPr="00D464D4">
        <w:rPr>
          <w:sz w:val="22"/>
        </w:rPr>
        <w:t>huzursuzluk, çatışma ve kitlesel nüfu</w:t>
      </w:r>
      <w:r w:rsidR="005C0B48" w:rsidRPr="00D464D4">
        <w:rPr>
          <w:sz w:val="22"/>
        </w:rPr>
        <w:t xml:space="preserve">s hareketinin temel nedenlerinin ele alınması ile </w:t>
      </w:r>
      <w:r w:rsidR="00405B3B" w:rsidRPr="00D464D4">
        <w:rPr>
          <w:sz w:val="22"/>
        </w:rPr>
        <w:t xml:space="preserve">devletlerin iç istikrarını sağlamaya </w:t>
      </w:r>
      <w:r w:rsidR="00651BDA" w:rsidRPr="00D464D4">
        <w:rPr>
          <w:sz w:val="22"/>
        </w:rPr>
        <w:t xml:space="preserve">doğru </w:t>
      </w:r>
      <w:r w:rsidR="0012297C" w:rsidRPr="00D464D4">
        <w:rPr>
          <w:sz w:val="22"/>
        </w:rPr>
        <w:t xml:space="preserve">kaymıştır. </w:t>
      </w:r>
      <w:r w:rsidR="003000E4" w:rsidRPr="00D464D4">
        <w:rPr>
          <w:sz w:val="22"/>
        </w:rPr>
        <w:t>Bu gelişmelerin ardından</w:t>
      </w:r>
      <w:r w:rsidR="00405B3B" w:rsidRPr="00D464D4">
        <w:rPr>
          <w:sz w:val="22"/>
        </w:rPr>
        <w:t xml:space="preserve"> çevresel koşullardan gelire, eğitime ve</w:t>
      </w:r>
      <w:r w:rsidR="003000E4" w:rsidRPr="00D464D4">
        <w:rPr>
          <w:sz w:val="22"/>
        </w:rPr>
        <w:t xml:space="preserve"> sağlığa kadar birçok faktör </w:t>
      </w:r>
      <w:r w:rsidR="00405B3B" w:rsidRPr="00D464D4">
        <w:rPr>
          <w:sz w:val="22"/>
        </w:rPr>
        <w:t xml:space="preserve">devlet içi istikrarın </w:t>
      </w:r>
      <w:r w:rsidR="003000E4" w:rsidRPr="00D464D4">
        <w:rPr>
          <w:sz w:val="22"/>
        </w:rPr>
        <w:t xml:space="preserve">temel </w:t>
      </w:r>
      <w:r w:rsidR="00405B3B" w:rsidRPr="00D464D4">
        <w:rPr>
          <w:sz w:val="22"/>
        </w:rPr>
        <w:t>belirle</w:t>
      </w:r>
      <w:r w:rsidR="003000E4" w:rsidRPr="00D464D4">
        <w:rPr>
          <w:sz w:val="22"/>
        </w:rPr>
        <w:t>yicileri olmuştur</w:t>
      </w:r>
      <w:r w:rsidR="0012297C" w:rsidRPr="00D464D4">
        <w:rPr>
          <w:sz w:val="22"/>
        </w:rPr>
        <w:t xml:space="preserve">. </w:t>
      </w:r>
      <w:r w:rsidR="00B45FE4" w:rsidRPr="00D464D4">
        <w:rPr>
          <w:sz w:val="22"/>
        </w:rPr>
        <w:t xml:space="preserve">İkinci </w:t>
      </w:r>
      <w:r w:rsidR="000F4FAD" w:rsidRPr="00D464D4">
        <w:rPr>
          <w:sz w:val="22"/>
        </w:rPr>
        <w:t xml:space="preserve">gelişme ise hızlı </w:t>
      </w:r>
      <w:r w:rsidR="00B45FE4" w:rsidRPr="00D464D4">
        <w:rPr>
          <w:sz w:val="22"/>
        </w:rPr>
        <w:t>küreselleşme</w:t>
      </w:r>
      <w:r w:rsidR="000F4FAD" w:rsidRPr="00D464D4">
        <w:rPr>
          <w:sz w:val="22"/>
        </w:rPr>
        <w:t xml:space="preserve"> sürecidir. Küreselleşme, ulusal sınırları ortadan kaldıran </w:t>
      </w:r>
      <w:r w:rsidR="00AF2A8E" w:rsidRPr="00D464D4">
        <w:rPr>
          <w:sz w:val="22"/>
        </w:rPr>
        <w:t>ve</w:t>
      </w:r>
      <w:r w:rsidR="000F4FAD" w:rsidRPr="00D464D4">
        <w:rPr>
          <w:sz w:val="22"/>
        </w:rPr>
        <w:t xml:space="preserve"> geleneksel </w:t>
      </w:r>
      <w:r w:rsidR="00F22CDD" w:rsidRPr="00D464D4">
        <w:rPr>
          <w:sz w:val="22"/>
        </w:rPr>
        <w:t>olanı/olanları</w:t>
      </w:r>
      <w:r w:rsidR="00AF2A8E" w:rsidRPr="00D464D4">
        <w:rPr>
          <w:sz w:val="22"/>
        </w:rPr>
        <w:t xml:space="preserve"> aşındıran bir süreci ifade etmektedir</w:t>
      </w:r>
      <w:r w:rsidR="00BF0C08" w:rsidRPr="00D464D4">
        <w:rPr>
          <w:sz w:val="22"/>
        </w:rPr>
        <w:t>. 21.yüzyıl hızlı bir küreselleşme sürecine tanıklık etmektedir. Bu kapsamda b</w:t>
      </w:r>
      <w:r w:rsidR="00B45FE4" w:rsidRPr="00D464D4">
        <w:rPr>
          <w:sz w:val="22"/>
        </w:rPr>
        <w:t>irbirine</w:t>
      </w:r>
      <w:r w:rsidR="006945B7" w:rsidRPr="00D464D4">
        <w:rPr>
          <w:sz w:val="22"/>
        </w:rPr>
        <w:t xml:space="preserve"> oldukça</w:t>
      </w:r>
      <w:r w:rsidR="00B45FE4" w:rsidRPr="00D464D4">
        <w:rPr>
          <w:sz w:val="22"/>
        </w:rPr>
        <w:t xml:space="preserve"> yakın ve </w:t>
      </w:r>
      <w:r w:rsidR="006945B7" w:rsidRPr="00D464D4">
        <w:rPr>
          <w:sz w:val="22"/>
        </w:rPr>
        <w:t xml:space="preserve">bağımlı günümüz dünyasında ülkelerdeki olumsuz </w:t>
      </w:r>
      <w:r w:rsidR="006945B7" w:rsidRPr="00D464D4">
        <w:rPr>
          <w:sz w:val="22"/>
        </w:rPr>
        <w:lastRenderedPageBreak/>
        <w:t>gelişmelerin</w:t>
      </w:r>
      <w:r w:rsidR="00B45FE4" w:rsidRPr="00D464D4">
        <w:rPr>
          <w:sz w:val="22"/>
        </w:rPr>
        <w:t xml:space="preserve"> etkile</w:t>
      </w:r>
      <w:r w:rsidR="006945B7" w:rsidRPr="00D464D4">
        <w:rPr>
          <w:sz w:val="22"/>
        </w:rPr>
        <w:t>ri küresel boyutta hissedilebilmektedir</w:t>
      </w:r>
      <w:r w:rsidR="000D0B0A" w:rsidRPr="00D464D4">
        <w:rPr>
          <w:sz w:val="22"/>
        </w:rPr>
        <w:t xml:space="preserve">. </w:t>
      </w:r>
      <w:r w:rsidR="00EA035F" w:rsidRPr="00D464D4">
        <w:rPr>
          <w:sz w:val="22"/>
        </w:rPr>
        <w:t xml:space="preserve">Örneğin </w:t>
      </w:r>
      <w:r w:rsidR="005D711D" w:rsidRPr="00D464D4">
        <w:rPr>
          <w:sz w:val="22"/>
        </w:rPr>
        <w:t xml:space="preserve">küresel </w:t>
      </w:r>
      <w:r w:rsidR="00B45FE4" w:rsidRPr="00D464D4">
        <w:rPr>
          <w:sz w:val="22"/>
        </w:rPr>
        <w:t>dünyanın birbirine</w:t>
      </w:r>
      <w:r w:rsidR="005D711D" w:rsidRPr="00D464D4">
        <w:rPr>
          <w:sz w:val="22"/>
        </w:rPr>
        <w:t xml:space="preserve"> sıkıca bağlı finansal sisteminde</w:t>
      </w:r>
      <w:r w:rsidR="00B45FE4" w:rsidRPr="00D464D4">
        <w:rPr>
          <w:sz w:val="22"/>
        </w:rPr>
        <w:t xml:space="preserve"> uzak bir ekonomide</w:t>
      </w:r>
      <w:r w:rsidR="005D711D" w:rsidRPr="00D464D4">
        <w:rPr>
          <w:sz w:val="22"/>
        </w:rPr>
        <w:t>ki kriz diğer ülkeleri</w:t>
      </w:r>
      <w:r w:rsidR="00B45FE4" w:rsidRPr="00D464D4">
        <w:rPr>
          <w:sz w:val="22"/>
        </w:rPr>
        <w:t xml:space="preserve"> etkile</w:t>
      </w:r>
      <w:r w:rsidR="005D711D" w:rsidRPr="00D464D4">
        <w:rPr>
          <w:sz w:val="22"/>
        </w:rPr>
        <w:t>yebilmektedir</w:t>
      </w:r>
      <w:r w:rsidR="009F27FE">
        <w:rPr>
          <w:sz w:val="22"/>
        </w:rPr>
        <w:t>.</w:t>
      </w:r>
      <w:r w:rsidR="00B45FE4" w:rsidRPr="00D464D4">
        <w:rPr>
          <w:sz w:val="22"/>
        </w:rPr>
        <w:t xml:space="preserve"> </w:t>
      </w:r>
      <w:r w:rsidR="005D711D" w:rsidRPr="00D464D4">
        <w:rPr>
          <w:sz w:val="22"/>
        </w:rPr>
        <w:t>Benzer şekilde salgın hastalıklar da ulusal sınırlara meydan okuyan, küresel boyutta hızla hareket edebilen, tek b</w:t>
      </w:r>
      <w:r w:rsidR="00BF0C08" w:rsidRPr="00D464D4">
        <w:rPr>
          <w:sz w:val="22"/>
        </w:rPr>
        <w:t>ir ulus tarafından kontrol edilemeyen ve</w:t>
      </w:r>
      <w:r w:rsidR="005D711D" w:rsidRPr="00D464D4">
        <w:rPr>
          <w:sz w:val="22"/>
        </w:rPr>
        <w:t xml:space="preserve"> küresel bir işbirliği</w:t>
      </w:r>
      <w:r w:rsidR="0012297C" w:rsidRPr="00D464D4">
        <w:rPr>
          <w:sz w:val="22"/>
        </w:rPr>
        <w:t xml:space="preserve"> gerektiren önemli bir husustur </w:t>
      </w:r>
      <w:r w:rsidR="00B45FE4" w:rsidRPr="00D464D4">
        <w:rPr>
          <w:color w:val="000000" w:themeColor="text1"/>
          <w:sz w:val="22"/>
        </w:rPr>
        <w:t xml:space="preserve">(Center </w:t>
      </w:r>
      <w:proofErr w:type="spellStart"/>
      <w:r w:rsidR="00B45FE4" w:rsidRPr="00D464D4">
        <w:rPr>
          <w:color w:val="000000" w:themeColor="text1"/>
          <w:sz w:val="22"/>
        </w:rPr>
        <w:t>for</w:t>
      </w:r>
      <w:proofErr w:type="spellEnd"/>
      <w:r w:rsidR="00B45FE4" w:rsidRPr="00D464D4">
        <w:rPr>
          <w:color w:val="000000" w:themeColor="text1"/>
          <w:sz w:val="22"/>
        </w:rPr>
        <w:t xml:space="preserve"> Strategic </w:t>
      </w:r>
      <w:proofErr w:type="spellStart"/>
      <w:r w:rsidR="00B45FE4" w:rsidRPr="00D464D4">
        <w:rPr>
          <w:color w:val="000000" w:themeColor="text1"/>
          <w:sz w:val="22"/>
        </w:rPr>
        <w:t>and</w:t>
      </w:r>
      <w:proofErr w:type="spellEnd"/>
      <w:r w:rsidR="00B45FE4" w:rsidRPr="00D464D4">
        <w:rPr>
          <w:color w:val="000000" w:themeColor="text1"/>
          <w:sz w:val="22"/>
        </w:rPr>
        <w:t xml:space="preserve"> International </w:t>
      </w:r>
      <w:proofErr w:type="spellStart"/>
      <w:r w:rsidR="00B45FE4" w:rsidRPr="00D464D4">
        <w:rPr>
          <w:color w:val="000000" w:themeColor="text1"/>
          <w:sz w:val="22"/>
        </w:rPr>
        <w:t>Studies</w:t>
      </w:r>
      <w:proofErr w:type="spellEnd"/>
      <w:r w:rsidR="00B45FE4" w:rsidRPr="00D464D4">
        <w:rPr>
          <w:color w:val="000000" w:themeColor="text1"/>
          <w:sz w:val="22"/>
        </w:rPr>
        <w:t>, 2000).</w:t>
      </w:r>
      <w:r w:rsidR="000D0B0A" w:rsidRPr="00D464D4">
        <w:rPr>
          <w:sz w:val="22"/>
        </w:rPr>
        <w:t xml:space="preserve"> Buna karşın g</w:t>
      </w:r>
      <w:r w:rsidR="002946EC" w:rsidRPr="00D464D4">
        <w:rPr>
          <w:sz w:val="22"/>
        </w:rPr>
        <w:t>ünümüzde küresel ve ulusal güvenlik algısını deği</w:t>
      </w:r>
      <w:r w:rsidR="000D0B0A" w:rsidRPr="00D464D4">
        <w:rPr>
          <w:sz w:val="22"/>
        </w:rPr>
        <w:t>ştiren salgın hastalıklarla mücadelede</w:t>
      </w:r>
      <w:r w:rsidR="002946EC" w:rsidRPr="00D464D4">
        <w:rPr>
          <w:sz w:val="22"/>
        </w:rPr>
        <w:t xml:space="preserve"> </w:t>
      </w:r>
      <w:r w:rsidR="003C087A" w:rsidRPr="00D464D4">
        <w:rPr>
          <w:sz w:val="22"/>
        </w:rPr>
        <w:t>sanayileşmiş ülkelerde dahi</w:t>
      </w:r>
      <w:r w:rsidR="00B45FE4" w:rsidRPr="00D464D4">
        <w:rPr>
          <w:sz w:val="22"/>
        </w:rPr>
        <w:t xml:space="preserve"> aşı ve </w:t>
      </w:r>
      <w:r w:rsidR="00CF0414" w:rsidRPr="00D464D4">
        <w:rPr>
          <w:sz w:val="22"/>
        </w:rPr>
        <w:t>ilaç</w:t>
      </w:r>
      <w:r w:rsidR="00B45FE4" w:rsidRPr="00D464D4">
        <w:rPr>
          <w:sz w:val="22"/>
        </w:rPr>
        <w:t xml:space="preserve"> arzının yetersiz olduğu</w:t>
      </w:r>
      <w:r w:rsidR="003C087A" w:rsidRPr="00D464D4">
        <w:rPr>
          <w:sz w:val="22"/>
        </w:rPr>
        <w:t xml:space="preserve"> bilinmektedir. </w:t>
      </w:r>
      <w:r w:rsidR="00B45FE4" w:rsidRPr="00D464D4">
        <w:rPr>
          <w:sz w:val="22"/>
        </w:rPr>
        <w:t xml:space="preserve">Ekonomilerin </w:t>
      </w:r>
      <w:r w:rsidR="003C087A" w:rsidRPr="00D464D4">
        <w:rPr>
          <w:sz w:val="22"/>
        </w:rPr>
        <w:t xml:space="preserve">daha </w:t>
      </w:r>
      <w:r w:rsidR="00B45FE4" w:rsidRPr="00D464D4">
        <w:rPr>
          <w:sz w:val="22"/>
        </w:rPr>
        <w:t xml:space="preserve">kırılgan olduğu ve </w:t>
      </w:r>
      <w:r w:rsidR="003C087A" w:rsidRPr="00D464D4">
        <w:rPr>
          <w:sz w:val="22"/>
        </w:rPr>
        <w:t xml:space="preserve">sağlık </w:t>
      </w:r>
      <w:r w:rsidR="00B45FE4" w:rsidRPr="00D464D4">
        <w:rPr>
          <w:sz w:val="22"/>
        </w:rPr>
        <w:t>altyapıların</w:t>
      </w:r>
      <w:r w:rsidR="003C087A" w:rsidRPr="00D464D4">
        <w:rPr>
          <w:sz w:val="22"/>
        </w:rPr>
        <w:t>ın daha</w:t>
      </w:r>
      <w:r w:rsidR="00B45FE4" w:rsidRPr="00D464D4">
        <w:rPr>
          <w:sz w:val="22"/>
        </w:rPr>
        <w:t xml:space="preserve"> zayıf o</w:t>
      </w:r>
      <w:r w:rsidR="003C087A" w:rsidRPr="00D464D4">
        <w:rPr>
          <w:sz w:val="22"/>
        </w:rPr>
        <w:t xml:space="preserve">lduğu gelişmekte olan ülkelerde </w:t>
      </w:r>
      <w:r w:rsidR="002946EC" w:rsidRPr="00D464D4">
        <w:rPr>
          <w:sz w:val="22"/>
        </w:rPr>
        <w:t xml:space="preserve">ise </w:t>
      </w:r>
      <w:r w:rsidR="003C087A" w:rsidRPr="00D464D4">
        <w:rPr>
          <w:sz w:val="22"/>
        </w:rPr>
        <w:t xml:space="preserve">salgınlar çok daha yıkıcıdır. Bu kapsamda </w:t>
      </w:r>
      <w:proofErr w:type="spellStart"/>
      <w:r w:rsidR="003C087A" w:rsidRPr="00D464D4">
        <w:rPr>
          <w:sz w:val="22"/>
        </w:rPr>
        <w:t>influenza</w:t>
      </w:r>
      <w:proofErr w:type="spellEnd"/>
      <w:r w:rsidR="003C087A" w:rsidRPr="00D464D4">
        <w:rPr>
          <w:sz w:val="22"/>
        </w:rPr>
        <w:t xml:space="preserve"> (grip) gibi küresel salgınlar popülasyonları istikrarsızlaştırma kapasitesine sahip olmanın yanında oluşturdukları panik</w:t>
      </w:r>
      <w:r w:rsidR="00CF0414" w:rsidRPr="00D464D4">
        <w:rPr>
          <w:sz w:val="22"/>
        </w:rPr>
        <w:t xml:space="preserve"> ile</w:t>
      </w:r>
      <w:r w:rsidR="003C087A" w:rsidRPr="00D464D4">
        <w:rPr>
          <w:sz w:val="22"/>
        </w:rPr>
        <w:t xml:space="preserve"> büyük bir sosyal bozulmaya neden olmaktadır. Bu ülkelerde, sıtma, t</w:t>
      </w:r>
      <w:r w:rsidR="002946EC" w:rsidRPr="00D464D4">
        <w:rPr>
          <w:sz w:val="22"/>
        </w:rPr>
        <w:t>überküloz ve AIDS kaynaklı</w:t>
      </w:r>
      <w:r w:rsidR="00B45FE4" w:rsidRPr="00D464D4">
        <w:rPr>
          <w:sz w:val="22"/>
        </w:rPr>
        <w:t xml:space="preserve"> yüksek oranlı</w:t>
      </w:r>
      <w:r w:rsidR="002946EC" w:rsidRPr="00D464D4">
        <w:rPr>
          <w:sz w:val="22"/>
        </w:rPr>
        <w:t xml:space="preserve"> ölümler yaşanabilmektedir. E</w:t>
      </w:r>
      <w:r w:rsidR="00B45FE4" w:rsidRPr="00D464D4">
        <w:rPr>
          <w:sz w:val="22"/>
        </w:rPr>
        <w:t>ndemik hastalı</w:t>
      </w:r>
      <w:r w:rsidR="002946EC" w:rsidRPr="00D464D4">
        <w:rPr>
          <w:sz w:val="22"/>
        </w:rPr>
        <w:t xml:space="preserve">kların uzun süreli rutin kontrol programlarını ve sağlık hizmetlerini kesintiye uğratan dengesizleştirici etkisi ile </w:t>
      </w:r>
      <w:r w:rsidR="00B45FE4" w:rsidRPr="00D464D4">
        <w:rPr>
          <w:sz w:val="22"/>
        </w:rPr>
        <w:t xml:space="preserve">ortaya çıkan salgın hastalıklar </w:t>
      </w:r>
      <w:r w:rsidR="003C087A" w:rsidRPr="00D464D4">
        <w:rPr>
          <w:sz w:val="22"/>
        </w:rPr>
        <w:t xml:space="preserve">daha da </w:t>
      </w:r>
      <w:r w:rsidR="002946EC" w:rsidRPr="00D464D4">
        <w:rPr>
          <w:sz w:val="22"/>
        </w:rPr>
        <w:t>direnç</w:t>
      </w:r>
      <w:r w:rsidR="00B45FE4" w:rsidRPr="00D464D4">
        <w:rPr>
          <w:sz w:val="22"/>
        </w:rPr>
        <w:t xml:space="preserve"> kazanmaktadır. </w:t>
      </w:r>
      <w:r w:rsidR="003C54E0" w:rsidRPr="00D464D4">
        <w:rPr>
          <w:sz w:val="22"/>
        </w:rPr>
        <w:t>Örneğin, düzenli olarak Afrika’</w:t>
      </w:r>
      <w:r w:rsidR="00B45FE4" w:rsidRPr="00D464D4">
        <w:rPr>
          <w:sz w:val="22"/>
        </w:rPr>
        <w:t xml:space="preserve">da </w:t>
      </w:r>
      <w:r w:rsidR="003C54E0" w:rsidRPr="00D464D4">
        <w:rPr>
          <w:sz w:val="22"/>
        </w:rPr>
        <w:t>ortaya çıkan menenjit salgınları risk altındaki tüm bireylerin acil olarak aşılanması gerekliliğinden ötürü</w:t>
      </w:r>
      <w:r w:rsidR="00B45FE4" w:rsidRPr="00D464D4">
        <w:rPr>
          <w:sz w:val="22"/>
        </w:rPr>
        <w:t xml:space="preserve"> </w:t>
      </w:r>
      <w:r w:rsidR="003C54E0" w:rsidRPr="00D464D4">
        <w:rPr>
          <w:sz w:val="22"/>
        </w:rPr>
        <w:t>sosyo-ekonomik hayatı olumsuz yönde etkilemekte ve</w:t>
      </w:r>
      <w:r w:rsidR="00B45FE4" w:rsidRPr="00D464D4">
        <w:rPr>
          <w:sz w:val="22"/>
        </w:rPr>
        <w:t xml:space="preserve"> rutin sağlık hizmetlerini durma </w:t>
      </w:r>
      <w:r w:rsidR="003C54E0" w:rsidRPr="00D464D4">
        <w:rPr>
          <w:sz w:val="22"/>
        </w:rPr>
        <w:t>noktasına</w:t>
      </w:r>
      <w:r w:rsidR="009E2319" w:rsidRPr="00D464D4">
        <w:rPr>
          <w:sz w:val="22"/>
        </w:rPr>
        <w:t xml:space="preserve"> kadar</w:t>
      </w:r>
      <w:r w:rsidR="003C54E0" w:rsidRPr="00D464D4">
        <w:rPr>
          <w:sz w:val="22"/>
        </w:rPr>
        <w:t xml:space="preserve"> getirmektedir</w:t>
      </w:r>
      <w:r w:rsidR="00441D6C" w:rsidRPr="00D464D4">
        <w:rPr>
          <w:sz w:val="22"/>
        </w:rPr>
        <w:t xml:space="preserve">. </w:t>
      </w:r>
      <w:r w:rsidR="00537614" w:rsidRPr="00D464D4">
        <w:rPr>
          <w:sz w:val="22"/>
        </w:rPr>
        <w:t>Salgın haberlerinin ortaya</w:t>
      </w:r>
      <w:r w:rsidR="009E2319" w:rsidRPr="00D464D4">
        <w:rPr>
          <w:sz w:val="22"/>
        </w:rPr>
        <w:t xml:space="preserve"> çıkması ise ticaret ve turizmi</w:t>
      </w:r>
      <w:r w:rsidR="00537614" w:rsidRPr="00D464D4">
        <w:rPr>
          <w:sz w:val="22"/>
        </w:rPr>
        <w:t xml:space="preserve"> sekteye uğratarak gelişmekte olan ülkelere ağır ekonomik yükler getirebilmektedir </w:t>
      </w:r>
      <w:r w:rsidR="00537614" w:rsidRPr="00D464D4">
        <w:rPr>
          <w:color w:val="000000" w:themeColor="text1"/>
          <w:sz w:val="22"/>
        </w:rPr>
        <w:t>(</w:t>
      </w:r>
      <w:proofErr w:type="spellStart"/>
      <w:r w:rsidR="00537614" w:rsidRPr="00D464D4">
        <w:rPr>
          <w:color w:val="000000" w:themeColor="text1"/>
          <w:sz w:val="22"/>
        </w:rPr>
        <w:t>Heymann</w:t>
      </w:r>
      <w:proofErr w:type="spellEnd"/>
      <w:r w:rsidR="00537614" w:rsidRPr="00D464D4">
        <w:rPr>
          <w:color w:val="000000" w:themeColor="text1"/>
          <w:sz w:val="22"/>
        </w:rPr>
        <w:t xml:space="preserve"> ve </w:t>
      </w:r>
      <w:proofErr w:type="spellStart"/>
      <w:r w:rsidR="00537614" w:rsidRPr="00D464D4">
        <w:rPr>
          <w:color w:val="000000" w:themeColor="text1"/>
          <w:sz w:val="22"/>
        </w:rPr>
        <w:t>Rodier</w:t>
      </w:r>
      <w:proofErr w:type="spellEnd"/>
      <w:r w:rsidR="00537614" w:rsidRPr="00D464D4">
        <w:rPr>
          <w:color w:val="000000" w:themeColor="text1"/>
          <w:sz w:val="22"/>
        </w:rPr>
        <w:t>, 2001</w:t>
      </w:r>
      <w:r w:rsidR="00E43CBC" w:rsidRPr="00D464D4">
        <w:rPr>
          <w:color w:val="000000" w:themeColor="text1"/>
          <w:sz w:val="22"/>
        </w:rPr>
        <w:t>: 348-351</w:t>
      </w:r>
      <w:r w:rsidR="00537614" w:rsidRPr="00D464D4">
        <w:rPr>
          <w:color w:val="000000" w:themeColor="text1"/>
          <w:sz w:val="22"/>
        </w:rPr>
        <w:t>).</w:t>
      </w:r>
    </w:p>
    <w:p w:rsidR="006A2AB2" w:rsidRPr="00D464D4" w:rsidRDefault="00DA36EA" w:rsidP="004E7EBF">
      <w:pPr>
        <w:spacing w:before="120" w:after="120" w:line="240" w:lineRule="auto"/>
        <w:rPr>
          <w:sz w:val="22"/>
        </w:rPr>
      </w:pPr>
      <w:r w:rsidRPr="00D464D4">
        <w:rPr>
          <w:sz w:val="22"/>
        </w:rPr>
        <w:tab/>
      </w:r>
      <w:r w:rsidR="00FC72EC" w:rsidRPr="00D464D4">
        <w:rPr>
          <w:color w:val="000000" w:themeColor="text1"/>
          <w:sz w:val="22"/>
        </w:rPr>
        <w:t>G</w:t>
      </w:r>
      <w:r w:rsidR="009E46F2" w:rsidRPr="00D464D4">
        <w:rPr>
          <w:color w:val="000000" w:themeColor="text1"/>
          <w:sz w:val="22"/>
        </w:rPr>
        <w:t>eçmiş</w:t>
      </w:r>
      <w:r w:rsidR="006F3E32" w:rsidRPr="00D464D4">
        <w:rPr>
          <w:sz w:val="22"/>
        </w:rPr>
        <w:t>te yaşanmış</w:t>
      </w:r>
      <w:r w:rsidR="00EF7F48" w:rsidRPr="00D464D4">
        <w:rPr>
          <w:sz w:val="22"/>
        </w:rPr>
        <w:t xml:space="preserve"> </w:t>
      </w:r>
      <w:r w:rsidR="00E86526" w:rsidRPr="00D464D4">
        <w:rPr>
          <w:sz w:val="22"/>
        </w:rPr>
        <w:t>vakaların</w:t>
      </w:r>
      <w:r w:rsidR="009E46F2" w:rsidRPr="00D464D4">
        <w:rPr>
          <w:sz w:val="22"/>
        </w:rPr>
        <w:t xml:space="preserve"> ve</w:t>
      </w:r>
      <w:r w:rsidR="00EF7F48" w:rsidRPr="00D464D4">
        <w:rPr>
          <w:sz w:val="22"/>
        </w:rPr>
        <w:t xml:space="preserve"> ortaya çıkan </w:t>
      </w:r>
      <w:r w:rsidR="009E46F2" w:rsidRPr="00D464D4">
        <w:rPr>
          <w:sz w:val="22"/>
        </w:rPr>
        <w:t>s</w:t>
      </w:r>
      <w:r w:rsidR="00EF7F48" w:rsidRPr="00D464D4">
        <w:rPr>
          <w:sz w:val="22"/>
        </w:rPr>
        <w:t xml:space="preserve">algın hastalıkların ulusal ve küresel güvenliğe yönelik </w:t>
      </w:r>
      <w:r w:rsidR="009E46F2" w:rsidRPr="00D464D4">
        <w:rPr>
          <w:sz w:val="22"/>
        </w:rPr>
        <w:t>ciddi bir tehdit olduğu</w:t>
      </w:r>
      <w:r w:rsidR="006F3E32" w:rsidRPr="00D464D4">
        <w:rPr>
          <w:sz w:val="22"/>
        </w:rPr>
        <w:t xml:space="preserve"> gerçeği</w:t>
      </w:r>
      <w:r w:rsidR="009E46F2" w:rsidRPr="00D464D4">
        <w:rPr>
          <w:sz w:val="22"/>
        </w:rPr>
        <w:t xml:space="preserve"> neredeyse tüm kesimler tarafında</w:t>
      </w:r>
      <w:r w:rsidR="002A49F6" w:rsidRPr="00D464D4">
        <w:rPr>
          <w:sz w:val="22"/>
        </w:rPr>
        <w:t>n kabul edilmektedir.</w:t>
      </w:r>
      <w:r w:rsidR="009D7BC1" w:rsidRPr="00D464D4">
        <w:rPr>
          <w:sz w:val="22"/>
        </w:rPr>
        <w:t xml:space="preserve"> AIDS</w:t>
      </w:r>
      <w:r w:rsidR="000B7DD8" w:rsidRPr="00D464D4">
        <w:rPr>
          <w:sz w:val="22"/>
        </w:rPr>
        <w:t>,</w:t>
      </w:r>
      <w:r w:rsidR="009D7BC1" w:rsidRPr="00D464D4">
        <w:rPr>
          <w:sz w:val="22"/>
        </w:rPr>
        <w:t xml:space="preserve"> bulaşıcı hastalıklar arasında bir güvenlik sorunu olarak değerlendirilen en ciddi hastalıklardan birisidir. AIDS’in güvenlik etkilerini anlama çabaları, Soğuk Savaş sonrası dönemde güvenlik tehdidi oluşturan unsurların yeniden değerlendirilmesi bağlamında gerçekleşmiştir. </w:t>
      </w:r>
      <w:r w:rsidR="009E46F2" w:rsidRPr="00D464D4">
        <w:rPr>
          <w:sz w:val="22"/>
        </w:rPr>
        <w:t xml:space="preserve">Bu kapsamdaki somut adımlardan ilki 1995 yılında </w:t>
      </w:r>
      <w:r w:rsidR="00EF7F48" w:rsidRPr="00D464D4">
        <w:rPr>
          <w:sz w:val="22"/>
        </w:rPr>
        <w:t>ABD hüküme</w:t>
      </w:r>
      <w:r w:rsidR="009E46F2" w:rsidRPr="00D464D4">
        <w:rPr>
          <w:sz w:val="22"/>
        </w:rPr>
        <w:t>tinin desteklediği bir çalışma ile AIDS’</w:t>
      </w:r>
      <w:r w:rsidR="00EF7F48" w:rsidRPr="00D464D4">
        <w:rPr>
          <w:sz w:val="22"/>
        </w:rPr>
        <w:t xml:space="preserve">in </w:t>
      </w:r>
      <w:r w:rsidR="006F3E32" w:rsidRPr="00D464D4">
        <w:rPr>
          <w:sz w:val="22"/>
        </w:rPr>
        <w:t xml:space="preserve">bir </w:t>
      </w:r>
      <w:r w:rsidR="00FC72EC" w:rsidRPr="00D464D4">
        <w:rPr>
          <w:sz w:val="22"/>
        </w:rPr>
        <w:t>iç-</w:t>
      </w:r>
      <w:r w:rsidR="00EF7F48" w:rsidRPr="00D464D4">
        <w:rPr>
          <w:sz w:val="22"/>
        </w:rPr>
        <w:t xml:space="preserve">dış politika </w:t>
      </w:r>
      <w:r w:rsidR="00FC72EC" w:rsidRPr="00D464D4">
        <w:rPr>
          <w:sz w:val="22"/>
        </w:rPr>
        <w:t xml:space="preserve">unsuru ve </w:t>
      </w:r>
      <w:r w:rsidR="006F3E32" w:rsidRPr="00D464D4">
        <w:rPr>
          <w:sz w:val="22"/>
        </w:rPr>
        <w:t>g</w:t>
      </w:r>
      <w:r w:rsidR="00FC72EC" w:rsidRPr="00D464D4">
        <w:rPr>
          <w:sz w:val="22"/>
        </w:rPr>
        <w:t>üvenlik tehdidi</w:t>
      </w:r>
      <w:r w:rsidR="006F3E32" w:rsidRPr="00D464D4">
        <w:rPr>
          <w:sz w:val="22"/>
        </w:rPr>
        <w:t xml:space="preserve"> oluşturduğu sonucuna ulaşılmasıdır</w:t>
      </w:r>
      <w:r w:rsidR="002A49F6" w:rsidRPr="00D464D4">
        <w:rPr>
          <w:sz w:val="22"/>
        </w:rPr>
        <w:t xml:space="preserve"> </w:t>
      </w:r>
      <w:r w:rsidR="002A49F6" w:rsidRPr="00D464D4">
        <w:rPr>
          <w:color w:val="000000" w:themeColor="text1"/>
          <w:sz w:val="22"/>
        </w:rPr>
        <w:t>(</w:t>
      </w:r>
      <w:proofErr w:type="spellStart"/>
      <w:r w:rsidR="002A49F6" w:rsidRPr="00D464D4">
        <w:rPr>
          <w:color w:val="000000" w:themeColor="text1"/>
          <w:sz w:val="22"/>
        </w:rPr>
        <w:t>Lederberg</w:t>
      </w:r>
      <w:proofErr w:type="spellEnd"/>
      <w:r w:rsidR="002A49F6" w:rsidRPr="00D464D4">
        <w:rPr>
          <w:color w:val="000000" w:themeColor="text1"/>
          <w:sz w:val="22"/>
        </w:rPr>
        <w:t>, 1996: 417</w:t>
      </w:r>
      <w:r w:rsidR="00EF7F48" w:rsidRPr="00D464D4">
        <w:rPr>
          <w:color w:val="000000" w:themeColor="text1"/>
          <w:sz w:val="22"/>
        </w:rPr>
        <w:t>).</w:t>
      </w:r>
      <w:r w:rsidR="00EF7F48" w:rsidRPr="00D464D4">
        <w:rPr>
          <w:sz w:val="22"/>
        </w:rPr>
        <w:t xml:space="preserve"> 199</w:t>
      </w:r>
      <w:r w:rsidR="00FC72EC" w:rsidRPr="00D464D4">
        <w:rPr>
          <w:sz w:val="22"/>
        </w:rPr>
        <w:t>6 yılında ABD Savunma Bakanlığı,</w:t>
      </w:r>
      <w:r w:rsidR="00EF7F48" w:rsidRPr="00D464D4">
        <w:rPr>
          <w:sz w:val="22"/>
        </w:rPr>
        <w:t xml:space="preserve"> ortaya çıkan hastalıkların</w:t>
      </w:r>
      <w:r w:rsidR="006F3E32" w:rsidRPr="00D464D4">
        <w:rPr>
          <w:sz w:val="22"/>
        </w:rPr>
        <w:t xml:space="preserve"> tıbbi kaynakları hızla azaltarak</w:t>
      </w:r>
      <w:r w:rsidR="00EF7F48" w:rsidRPr="00D464D4">
        <w:rPr>
          <w:sz w:val="22"/>
        </w:rPr>
        <w:t xml:space="preserve"> askeri personeli ve a</w:t>
      </w:r>
      <w:r w:rsidR="00FC72EC" w:rsidRPr="00D464D4">
        <w:rPr>
          <w:sz w:val="22"/>
        </w:rPr>
        <w:t xml:space="preserve">ilelerini tehdit edebileceğini </w:t>
      </w:r>
      <w:r w:rsidR="006F3E32" w:rsidRPr="00D464D4">
        <w:rPr>
          <w:sz w:val="22"/>
        </w:rPr>
        <w:t>ifade etmiştir. Bu kapsamda</w:t>
      </w:r>
      <w:r w:rsidR="00E86526" w:rsidRPr="00D464D4">
        <w:rPr>
          <w:sz w:val="22"/>
        </w:rPr>
        <w:t xml:space="preserve"> ABD’de</w:t>
      </w:r>
      <w:r w:rsidR="00FC72EC" w:rsidRPr="00D464D4">
        <w:rPr>
          <w:sz w:val="22"/>
        </w:rPr>
        <w:t xml:space="preserve"> </w:t>
      </w:r>
      <w:r w:rsidR="00EF7F48" w:rsidRPr="00D464D4">
        <w:rPr>
          <w:sz w:val="22"/>
        </w:rPr>
        <w:t>yerel ve denizaşırı askeri laboratu</w:t>
      </w:r>
      <w:r w:rsidR="00FC72EC" w:rsidRPr="00D464D4">
        <w:rPr>
          <w:sz w:val="22"/>
        </w:rPr>
        <w:t>varlar ağı içerisinde yer alan</w:t>
      </w:r>
      <w:r w:rsidR="00EF7F48" w:rsidRPr="00D464D4">
        <w:rPr>
          <w:sz w:val="22"/>
        </w:rPr>
        <w:t xml:space="preserve"> Küresel Gelişen Enfeksiyonlar Gözet</w:t>
      </w:r>
      <w:r w:rsidR="007F39EE">
        <w:rPr>
          <w:sz w:val="22"/>
        </w:rPr>
        <w:t>leme ve Müdahale Sistemi</w:t>
      </w:r>
      <w:r w:rsidR="006F3E32" w:rsidRPr="00D464D4">
        <w:rPr>
          <w:sz w:val="22"/>
        </w:rPr>
        <w:t xml:space="preserve"> kurulmuştur</w:t>
      </w:r>
      <w:r w:rsidR="002622FE" w:rsidRPr="00D464D4">
        <w:rPr>
          <w:sz w:val="22"/>
        </w:rPr>
        <w:t xml:space="preserve"> </w:t>
      </w:r>
      <w:r w:rsidR="002A49F6" w:rsidRPr="00D464D4">
        <w:rPr>
          <w:color w:val="000000" w:themeColor="text1"/>
          <w:sz w:val="22"/>
        </w:rPr>
        <w:t>(</w:t>
      </w:r>
      <w:proofErr w:type="spellStart"/>
      <w:r w:rsidR="002622FE" w:rsidRPr="00D464D4">
        <w:rPr>
          <w:color w:val="000000" w:themeColor="text1"/>
          <w:sz w:val="22"/>
        </w:rPr>
        <w:t>Health</w:t>
      </w:r>
      <w:proofErr w:type="spellEnd"/>
      <w:r w:rsidR="002622FE" w:rsidRPr="00D464D4">
        <w:rPr>
          <w:color w:val="000000" w:themeColor="text1"/>
          <w:sz w:val="22"/>
        </w:rPr>
        <w:t>-Mil</w:t>
      </w:r>
      <w:r w:rsidR="002A49F6" w:rsidRPr="00D464D4">
        <w:rPr>
          <w:color w:val="000000" w:themeColor="text1"/>
          <w:sz w:val="22"/>
        </w:rPr>
        <w:t xml:space="preserve">, </w:t>
      </w:r>
      <w:r w:rsidR="002622FE" w:rsidRPr="00D464D4">
        <w:rPr>
          <w:color w:val="000000" w:themeColor="text1"/>
          <w:sz w:val="22"/>
        </w:rPr>
        <w:t>201</w:t>
      </w:r>
      <w:r w:rsidR="00EF7F48" w:rsidRPr="00D464D4">
        <w:rPr>
          <w:color w:val="000000" w:themeColor="text1"/>
          <w:sz w:val="22"/>
        </w:rPr>
        <w:t xml:space="preserve">3). </w:t>
      </w:r>
      <w:r w:rsidR="008C3544" w:rsidRPr="00D464D4">
        <w:rPr>
          <w:sz w:val="22"/>
        </w:rPr>
        <w:t>2000 yılında</w:t>
      </w:r>
      <w:r w:rsidR="006F3E32" w:rsidRPr="00D464D4">
        <w:rPr>
          <w:sz w:val="22"/>
        </w:rPr>
        <w:t xml:space="preserve"> ise</w:t>
      </w:r>
      <w:r w:rsidR="008C3544" w:rsidRPr="00D464D4">
        <w:rPr>
          <w:sz w:val="22"/>
        </w:rPr>
        <w:t xml:space="preserve"> </w:t>
      </w:r>
      <w:proofErr w:type="spellStart"/>
      <w:r w:rsidR="008C3544" w:rsidRPr="00D464D4">
        <w:rPr>
          <w:sz w:val="22"/>
        </w:rPr>
        <w:t>m</w:t>
      </w:r>
      <w:r w:rsidR="00EF7F48" w:rsidRPr="00D464D4">
        <w:rPr>
          <w:sz w:val="22"/>
        </w:rPr>
        <w:t>ikrobiyal</w:t>
      </w:r>
      <w:proofErr w:type="spellEnd"/>
      <w:r w:rsidR="00EF7F48" w:rsidRPr="00D464D4">
        <w:rPr>
          <w:sz w:val="22"/>
        </w:rPr>
        <w:t xml:space="preserve"> </w:t>
      </w:r>
      <w:r w:rsidR="008C3544" w:rsidRPr="00D464D4">
        <w:rPr>
          <w:sz w:val="22"/>
        </w:rPr>
        <w:t>patojenlerin ABD</w:t>
      </w:r>
      <w:r w:rsidR="00EF7F48" w:rsidRPr="00D464D4">
        <w:rPr>
          <w:sz w:val="22"/>
        </w:rPr>
        <w:t xml:space="preserve"> güvenliğine </w:t>
      </w:r>
      <w:r w:rsidR="008C3544" w:rsidRPr="00D464D4">
        <w:rPr>
          <w:sz w:val="22"/>
        </w:rPr>
        <w:t xml:space="preserve">yönelik tehdidine karşı </w:t>
      </w:r>
      <w:r w:rsidR="00EF7F48" w:rsidRPr="00D464D4">
        <w:rPr>
          <w:sz w:val="22"/>
        </w:rPr>
        <w:t xml:space="preserve">ABD </w:t>
      </w:r>
      <w:r w:rsidR="008C3544" w:rsidRPr="00D464D4">
        <w:rPr>
          <w:sz w:val="22"/>
        </w:rPr>
        <w:t>Ulusal İstihbarat Konseyi tarafından</w:t>
      </w:r>
      <w:r w:rsidR="00EF7F48" w:rsidRPr="00D464D4">
        <w:rPr>
          <w:sz w:val="22"/>
        </w:rPr>
        <w:t xml:space="preserve"> </w:t>
      </w:r>
      <w:r w:rsidR="006F3E32" w:rsidRPr="00D464D4">
        <w:rPr>
          <w:sz w:val="22"/>
        </w:rPr>
        <w:t>çarpıcı</w:t>
      </w:r>
      <w:r w:rsidR="008C3544" w:rsidRPr="00D464D4">
        <w:rPr>
          <w:sz w:val="22"/>
        </w:rPr>
        <w:t xml:space="preserve"> bir rapor</w:t>
      </w:r>
      <w:r w:rsidR="00EF7F48" w:rsidRPr="00D464D4">
        <w:rPr>
          <w:sz w:val="22"/>
        </w:rPr>
        <w:t xml:space="preserve"> </w:t>
      </w:r>
      <w:r w:rsidR="008C3544" w:rsidRPr="00D464D4">
        <w:rPr>
          <w:sz w:val="22"/>
        </w:rPr>
        <w:t>sunulmuştur.</w:t>
      </w:r>
      <w:r w:rsidR="0091584D" w:rsidRPr="00D464D4">
        <w:rPr>
          <w:sz w:val="22"/>
        </w:rPr>
        <w:t xml:space="preserve"> Rapor, Sahra Altı Afrika’da </w:t>
      </w:r>
      <w:r w:rsidR="00EF7F48" w:rsidRPr="00D464D4">
        <w:rPr>
          <w:sz w:val="22"/>
        </w:rPr>
        <w:t>AIDS’in ne</w:t>
      </w:r>
      <w:r w:rsidR="0091584D" w:rsidRPr="00D464D4">
        <w:rPr>
          <w:sz w:val="22"/>
        </w:rPr>
        <w:t>den olduğu ölüm sayısının şaşırtıcı ve dengesizleştirici etkisine vurgu yaparak; a</w:t>
      </w:r>
      <w:r w:rsidR="00C32E6D" w:rsidRPr="00D464D4">
        <w:rPr>
          <w:sz w:val="22"/>
        </w:rPr>
        <w:t>zalan gayri safi yurtiçi hasıla</w:t>
      </w:r>
      <w:r w:rsidR="0091584D" w:rsidRPr="00D464D4">
        <w:rPr>
          <w:sz w:val="22"/>
        </w:rPr>
        <w:t>,</w:t>
      </w:r>
      <w:r w:rsidR="00C32E6D" w:rsidRPr="00D464D4">
        <w:rPr>
          <w:sz w:val="22"/>
        </w:rPr>
        <w:t xml:space="preserve"> kısalan yaşam süreleri, zayıflayan askeri kapasite, sosyal parçalanma ve siyasi isti</w:t>
      </w:r>
      <w:r w:rsidR="009C5F74" w:rsidRPr="00D464D4">
        <w:rPr>
          <w:sz w:val="22"/>
        </w:rPr>
        <w:t>krarsızlık gibi olası sonuçlara vurgu yapmıştır</w:t>
      </w:r>
      <w:r w:rsidR="00C32E6D" w:rsidRPr="00D464D4">
        <w:rPr>
          <w:sz w:val="22"/>
        </w:rPr>
        <w:t>.</w:t>
      </w:r>
      <w:r w:rsidR="00574D07" w:rsidRPr="00D464D4">
        <w:rPr>
          <w:sz w:val="22"/>
        </w:rPr>
        <w:t xml:space="preserve"> Ayrıca rapor</w:t>
      </w:r>
      <w:r w:rsidR="00C276BD" w:rsidRPr="00D464D4">
        <w:rPr>
          <w:sz w:val="22"/>
        </w:rPr>
        <w:t>,</w:t>
      </w:r>
      <w:r w:rsidR="00574D07" w:rsidRPr="00D464D4">
        <w:rPr>
          <w:sz w:val="22"/>
        </w:rPr>
        <w:t xml:space="preserve"> genel olarak bulaşıcı hastalıkların</w:t>
      </w:r>
      <w:r w:rsidR="00935B51" w:rsidRPr="00D464D4">
        <w:rPr>
          <w:sz w:val="22"/>
        </w:rPr>
        <w:t xml:space="preserve"> oluşturduğu artan tehdidi ele alarak </w:t>
      </w:r>
      <w:r w:rsidR="00EF7F48" w:rsidRPr="00D464D4">
        <w:rPr>
          <w:sz w:val="22"/>
        </w:rPr>
        <w:t xml:space="preserve">kentsel büyüme, çevresel bozulma ve </w:t>
      </w:r>
      <w:r w:rsidR="00935B51" w:rsidRPr="00D464D4">
        <w:rPr>
          <w:sz w:val="22"/>
        </w:rPr>
        <w:t>sınır ötesi nüfus hareketleri gibi hususlara</w:t>
      </w:r>
      <w:r w:rsidR="00C276BD" w:rsidRPr="00D464D4">
        <w:rPr>
          <w:sz w:val="22"/>
        </w:rPr>
        <w:t xml:space="preserve"> da</w:t>
      </w:r>
      <w:r w:rsidR="00935B51" w:rsidRPr="00D464D4">
        <w:rPr>
          <w:sz w:val="22"/>
        </w:rPr>
        <w:t xml:space="preserve"> dikkat çekmiştir </w:t>
      </w:r>
      <w:r w:rsidR="00EF7F48" w:rsidRPr="00D464D4">
        <w:rPr>
          <w:color w:val="000000" w:themeColor="text1"/>
          <w:sz w:val="22"/>
        </w:rPr>
        <w:t>(</w:t>
      </w:r>
      <w:proofErr w:type="spellStart"/>
      <w:r w:rsidR="002622FE" w:rsidRPr="00D464D4">
        <w:rPr>
          <w:color w:val="000000" w:themeColor="text1"/>
          <w:sz w:val="22"/>
        </w:rPr>
        <w:t>Director</w:t>
      </w:r>
      <w:proofErr w:type="spellEnd"/>
      <w:r w:rsidR="002622FE" w:rsidRPr="00D464D4">
        <w:rPr>
          <w:color w:val="000000" w:themeColor="text1"/>
          <w:sz w:val="22"/>
        </w:rPr>
        <w:t xml:space="preserve"> of </w:t>
      </w:r>
      <w:proofErr w:type="spellStart"/>
      <w:r w:rsidR="002622FE" w:rsidRPr="00D464D4">
        <w:rPr>
          <w:color w:val="000000" w:themeColor="text1"/>
          <w:sz w:val="22"/>
        </w:rPr>
        <w:t>National</w:t>
      </w:r>
      <w:proofErr w:type="spellEnd"/>
      <w:r w:rsidR="002622FE" w:rsidRPr="00D464D4">
        <w:rPr>
          <w:color w:val="000000" w:themeColor="text1"/>
          <w:sz w:val="22"/>
        </w:rPr>
        <w:t xml:space="preserve"> </w:t>
      </w:r>
      <w:proofErr w:type="spellStart"/>
      <w:r w:rsidR="002622FE" w:rsidRPr="00D464D4">
        <w:rPr>
          <w:color w:val="000000" w:themeColor="text1"/>
          <w:sz w:val="22"/>
        </w:rPr>
        <w:t>Intelligence</w:t>
      </w:r>
      <w:proofErr w:type="spellEnd"/>
      <w:r w:rsidR="002622FE" w:rsidRPr="00D464D4">
        <w:rPr>
          <w:color w:val="000000" w:themeColor="text1"/>
          <w:sz w:val="22"/>
        </w:rPr>
        <w:t xml:space="preserve">, </w:t>
      </w:r>
      <w:r w:rsidR="00EF7F48" w:rsidRPr="00D464D4">
        <w:rPr>
          <w:color w:val="000000" w:themeColor="text1"/>
          <w:sz w:val="22"/>
        </w:rPr>
        <w:t>2000).</w:t>
      </w:r>
      <w:r w:rsidR="00EF7F48" w:rsidRPr="00D464D4">
        <w:rPr>
          <w:color w:val="FF0000"/>
          <w:sz w:val="22"/>
        </w:rPr>
        <w:t xml:space="preserve"> </w:t>
      </w:r>
      <w:r w:rsidR="005D3778" w:rsidRPr="00D464D4">
        <w:rPr>
          <w:sz w:val="22"/>
        </w:rPr>
        <w:t xml:space="preserve">Bu </w:t>
      </w:r>
      <w:proofErr w:type="spellStart"/>
      <w:r w:rsidR="005D3778" w:rsidRPr="00D464D4">
        <w:rPr>
          <w:sz w:val="22"/>
        </w:rPr>
        <w:t>mikrobiyal</w:t>
      </w:r>
      <w:proofErr w:type="spellEnd"/>
      <w:r w:rsidR="005D3778" w:rsidRPr="00D464D4">
        <w:rPr>
          <w:sz w:val="22"/>
        </w:rPr>
        <w:t xml:space="preserve"> düşmanların</w:t>
      </w:r>
      <w:r w:rsidR="00EF7F48" w:rsidRPr="00D464D4">
        <w:rPr>
          <w:sz w:val="22"/>
        </w:rPr>
        <w:t xml:space="preserve"> uluslararası barışı ve güvenliği tehdit edebileceğin</w:t>
      </w:r>
      <w:r w:rsidR="00C276BD" w:rsidRPr="00D464D4">
        <w:rPr>
          <w:sz w:val="22"/>
        </w:rPr>
        <w:t>i kabul eden bir başka açıklama</w:t>
      </w:r>
      <w:r w:rsidR="007566A9" w:rsidRPr="00D464D4">
        <w:rPr>
          <w:sz w:val="22"/>
        </w:rPr>
        <w:t xml:space="preserve"> ise</w:t>
      </w:r>
      <w:r w:rsidR="00EF7F48" w:rsidRPr="00D464D4">
        <w:rPr>
          <w:sz w:val="22"/>
        </w:rPr>
        <w:t xml:space="preserve"> 2000 yılında Birle</w:t>
      </w:r>
      <w:r w:rsidR="005D3778" w:rsidRPr="00D464D4">
        <w:rPr>
          <w:sz w:val="22"/>
        </w:rPr>
        <w:t>şmiş Milletler Güvenlik Konseyi</w:t>
      </w:r>
      <w:r w:rsidR="007F39EE">
        <w:rPr>
          <w:sz w:val="22"/>
        </w:rPr>
        <w:t>’</w:t>
      </w:r>
      <w:r w:rsidR="00C276BD" w:rsidRPr="00D464D4">
        <w:rPr>
          <w:sz w:val="22"/>
        </w:rPr>
        <w:t>nin AIDS salgınlarının</w:t>
      </w:r>
      <w:r w:rsidR="00EF7F48" w:rsidRPr="00D464D4">
        <w:rPr>
          <w:sz w:val="22"/>
        </w:rPr>
        <w:t xml:space="preserve"> </w:t>
      </w:r>
      <w:r w:rsidR="00C276BD" w:rsidRPr="00D464D4">
        <w:rPr>
          <w:sz w:val="22"/>
        </w:rPr>
        <w:t>ulusal</w:t>
      </w:r>
      <w:r w:rsidR="00EF7F48" w:rsidRPr="00D464D4">
        <w:rPr>
          <w:sz w:val="22"/>
        </w:rPr>
        <w:t xml:space="preserve"> bir sağlık krizinin ötesine </w:t>
      </w:r>
      <w:r w:rsidR="00C276BD" w:rsidRPr="00D464D4">
        <w:rPr>
          <w:sz w:val="22"/>
        </w:rPr>
        <w:t>geçerek küresel bir kriz olduğunu</w:t>
      </w:r>
      <w:r w:rsidR="00981924" w:rsidRPr="00D464D4">
        <w:rPr>
          <w:sz w:val="22"/>
        </w:rPr>
        <w:t xml:space="preserve"> beyan</w:t>
      </w:r>
      <w:r w:rsidR="00546CB8" w:rsidRPr="00D464D4">
        <w:rPr>
          <w:sz w:val="22"/>
        </w:rPr>
        <w:t xml:space="preserve"> etmesidir </w:t>
      </w:r>
      <w:r w:rsidR="009E6FD9" w:rsidRPr="00D464D4">
        <w:rPr>
          <w:color w:val="000000" w:themeColor="text1"/>
          <w:sz w:val="22"/>
        </w:rPr>
        <w:t xml:space="preserve">(UN Security </w:t>
      </w:r>
      <w:proofErr w:type="spellStart"/>
      <w:r w:rsidR="009E6FD9" w:rsidRPr="00D464D4">
        <w:rPr>
          <w:color w:val="000000" w:themeColor="text1"/>
          <w:sz w:val="22"/>
        </w:rPr>
        <w:t>Council</w:t>
      </w:r>
      <w:proofErr w:type="spellEnd"/>
      <w:r w:rsidR="00EF7F48" w:rsidRPr="00D464D4">
        <w:rPr>
          <w:color w:val="000000" w:themeColor="text1"/>
          <w:sz w:val="22"/>
        </w:rPr>
        <w:t>, 2000).</w:t>
      </w:r>
      <w:r w:rsidR="001F4320" w:rsidRPr="00D464D4">
        <w:rPr>
          <w:sz w:val="22"/>
        </w:rPr>
        <w:t xml:space="preserve"> </w:t>
      </w:r>
    </w:p>
    <w:p w:rsidR="003A6421" w:rsidRPr="00D464D4" w:rsidRDefault="003A6421" w:rsidP="003A6421">
      <w:pPr>
        <w:pStyle w:val="Balk1"/>
        <w:spacing w:before="120" w:after="120" w:line="240" w:lineRule="auto"/>
        <w:rPr>
          <w:sz w:val="22"/>
          <w:szCs w:val="22"/>
        </w:rPr>
      </w:pPr>
      <w:r w:rsidRPr="00D464D4">
        <w:rPr>
          <w:sz w:val="22"/>
          <w:szCs w:val="22"/>
        </w:rPr>
        <w:tab/>
      </w:r>
      <w:r w:rsidR="009D7BC1" w:rsidRPr="00D464D4">
        <w:rPr>
          <w:sz w:val="22"/>
          <w:szCs w:val="22"/>
        </w:rPr>
        <w:t>3</w:t>
      </w:r>
      <w:r w:rsidRPr="00D464D4">
        <w:rPr>
          <w:sz w:val="22"/>
          <w:szCs w:val="22"/>
        </w:rPr>
        <w:t>. KÜRESEL</w:t>
      </w:r>
      <w:r w:rsidR="009D7BC1" w:rsidRPr="00D464D4">
        <w:rPr>
          <w:sz w:val="22"/>
          <w:szCs w:val="22"/>
        </w:rPr>
        <w:t xml:space="preserve"> VE ULUSAL</w:t>
      </w:r>
      <w:r w:rsidRPr="00D464D4">
        <w:rPr>
          <w:sz w:val="22"/>
          <w:szCs w:val="22"/>
        </w:rPr>
        <w:t xml:space="preserve"> GÜVENLİKTE BULAŞICI HASTALIK TEHDİDİNİN BOYUTLARI</w:t>
      </w:r>
    </w:p>
    <w:p w:rsidR="003A6421" w:rsidRPr="00D464D4" w:rsidRDefault="003A6421" w:rsidP="003A6421">
      <w:pPr>
        <w:spacing w:before="120" w:after="120" w:line="240" w:lineRule="auto"/>
        <w:rPr>
          <w:sz w:val="22"/>
        </w:rPr>
      </w:pPr>
      <w:r w:rsidRPr="00D464D4">
        <w:rPr>
          <w:sz w:val="22"/>
        </w:rPr>
        <w:tab/>
        <w:t xml:space="preserve">Bulaşıcı hastalıkların dağılımı/görülme sıklığı, ilaç duyarlılığı, coğrafi dağılımı ve yıkıcı etkileri sürekli farklılaşma eğilimindedir. Bu farklılaşma süreci ekolojik ve demografik dengelerin değişmesiyle birlikte </w:t>
      </w:r>
      <w:proofErr w:type="spellStart"/>
      <w:r w:rsidRPr="00D464D4">
        <w:rPr>
          <w:sz w:val="22"/>
        </w:rPr>
        <w:t>mikrobiyal</w:t>
      </w:r>
      <w:proofErr w:type="spellEnd"/>
      <w:r w:rsidRPr="00D464D4">
        <w:rPr>
          <w:sz w:val="22"/>
        </w:rPr>
        <w:t xml:space="preserve"> dünyanın güçlenmesinden kaynaklanmaktadır. </w:t>
      </w:r>
      <w:proofErr w:type="spellStart"/>
      <w:r w:rsidRPr="00D464D4">
        <w:rPr>
          <w:sz w:val="22"/>
        </w:rPr>
        <w:t>Mikrobiyal</w:t>
      </w:r>
      <w:proofErr w:type="spellEnd"/>
      <w:r w:rsidRPr="00D464D4">
        <w:rPr>
          <w:sz w:val="22"/>
        </w:rPr>
        <w:t xml:space="preserve"> dünyanın hayatta kalma mekanizması sürekli değişim ve gelişim üzerine kuruludur. Bu kapsamda bulaşıcı hastalık patojenleri kolayca ve hızla çoğalmakta, mutasyona uğramakta, ilaçlara karşı direnç göstermekte ve yeni ortamlara hızlıc</w:t>
      </w:r>
      <w:r w:rsidR="00AB6CDA">
        <w:rPr>
          <w:sz w:val="22"/>
        </w:rPr>
        <w:t>a adapte olmaktadır</w:t>
      </w:r>
      <w:r w:rsidRPr="00D464D4">
        <w:rPr>
          <w:sz w:val="22"/>
        </w:rPr>
        <w:t xml:space="preserve">. Dünya nüfusunun hızla artması, toplu yaşantı, etkileşimin yoğun olduğu hareketli yaşam tarzları ve kalabalıklar bu döngüsel süreçte bulaşıcı patojenlere önemli avantajlar sağlamaktadır </w:t>
      </w:r>
      <w:r w:rsidRPr="00D464D4">
        <w:rPr>
          <w:color w:val="000000" w:themeColor="text1"/>
          <w:sz w:val="22"/>
        </w:rPr>
        <w:t>(</w:t>
      </w:r>
      <w:proofErr w:type="spellStart"/>
      <w:r w:rsidRPr="00D464D4">
        <w:rPr>
          <w:color w:val="000000" w:themeColor="text1"/>
          <w:sz w:val="22"/>
        </w:rPr>
        <w:t>Oaks</w:t>
      </w:r>
      <w:proofErr w:type="spellEnd"/>
      <w:r w:rsidRPr="00D464D4">
        <w:rPr>
          <w:color w:val="000000" w:themeColor="text1"/>
          <w:sz w:val="22"/>
        </w:rPr>
        <w:t xml:space="preserve"> vd., 1992: 1-3). </w:t>
      </w:r>
      <w:r w:rsidRPr="00D464D4">
        <w:rPr>
          <w:sz w:val="22"/>
        </w:rPr>
        <w:t xml:space="preserve">Yeni hastalıklar gün geçtikçe çoğalırken eski hastalıkların farklı formlarda yeniden ortaya çıkması ve bu hastalıkların </w:t>
      </w:r>
      <w:proofErr w:type="spellStart"/>
      <w:r w:rsidRPr="00D464D4">
        <w:rPr>
          <w:sz w:val="22"/>
        </w:rPr>
        <w:lastRenderedPageBreak/>
        <w:t>antimikrobiyal</w:t>
      </w:r>
      <w:proofErr w:type="spellEnd"/>
      <w:r w:rsidRPr="00D464D4">
        <w:rPr>
          <w:sz w:val="22"/>
        </w:rPr>
        <w:t xml:space="preserve"> dirençlerinin olması bulaşıcı hastalık tehdidini gözler önüne sermektedir </w:t>
      </w:r>
      <w:r w:rsidRPr="00D464D4">
        <w:rPr>
          <w:color w:val="000000" w:themeColor="text1"/>
          <w:sz w:val="22"/>
        </w:rPr>
        <w:t>(</w:t>
      </w:r>
      <w:proofErr w:type="spellStart"/>
      <w:r w:rsidRPr="00D464D4">
        <w:rPr>
          <w:color w:val="000000" w:themeColor="text1"/>
          <w:sz w:val="22"/>
        </w:rPr>
        <w:t>Heymann</w:t>
      </w:r>
      <w:proofErr w:type="spellEnd"/>
      <w:r w:rsidRPr="00D464D4">
        <w:rPr>
          <w:color w:val="000000" w:themeColor="text1"/>
          <w:sz w:val="22"/>
        </w:rPr>
        <w:t xml:space="preserve"> ve </w:t>
      </w:r>
      <w:proofErr w:type="spellStart"/>
      <w:r w:rsidRPr="00D464D4">
        <w:rPr>
          <w:color w:val="000000" w:themeColor="text1"/>
          <w:sz w:val="22"/>
        </w:rPr>
        <w:t>Rodier</w:t>
      </w:r>
      <w:proofErr w:type="spellEnd"/>
      <w:r w:rsidRPr="00D464D4">
        <w:rPr>
          <w:color w:val="000000" w:themeColor="text1"/>
          <w:sz w:val="22"/>
        </w:rPr>
        <w:t>, 2001: 347).</w:t>
      </w:r>
      <w:r w:rsidRPr="00D464D4">
        <w:rPr>
          <w:color w:val="FF0000"/>
          <w:sz w:val="22"/>
        </w:rPr>
        <w:t xml:space="preserve"> </w:t>
      </w:r>
      <w:proofErr w:type="spellStart"/>
      <w:r w:rsidRPr="00D464D4">
        <w:rPr>
          <w:sz w:val="22"/>
        </w:rPr>
        <w:t>Mikrobiyal</w:t>
      </w:r>
      <w:proofErr w:type="spellEnd"/>
      <w:r w:rsidRPr="00D464D4">
        <w:rPr>
          <w:sz w:val="22"/>
        </w:rPr>
        <w:t xml:space="preserve"> bulaşıcı patojenler; görünmezlik, hareketlilik, hızlı adaptasyon ve ulusal sınırları anlamsız kılan sessiz kuluçka süreleri açısından özel avantajlara sahiptir. Bu bulaşıcı patojenler havaalanları ve hava yolculukları ile rahatlıkla taşınabilirken eş zamanlı olarak dünyadaki herhangi iki şehirde 36 saat gibi kısa bir sürede kuluçka sü</w:t>
      </w:r>
      <w:r w:rsidR="00930E30">
        <w:rPr>
          <w:sz w:val="22"/>
        </w:rPr>
        <w:t>relerini tamamlayabilmektedir</w:t>
      </w:r>
      <w:r w:rsidRPr="00D464D4">
        <w:rPr>
          <w:sz w:val="22"/>
        </w:rPr>
        <w:t xml:space="preserve">. Herhangi bir taşımacılık sektöründe, yüklerde, kabinlerde ve bagajlarda gizlenen hastalık vektörleri henüz tespit edilmemişken dahi yeni bölgelere girebilmekte ve kısa sürede endemik hale gelebilmektedir. Ayrıca bu bulaşıcı hastalık patojenleri göçmen kuşlar tarafından da uzun mesafeler boyunca taşınabilmektedir </w:t>
      </w:r>
      <w:r w:rsidRPr="00D464D4">
        <w:rPr>
          <w:color w:val="000000" w:themeColor="text1"/>
          <w:sz w:val="22"/>
        </w:rPr>
        <w:t>(</w:t>
      </w:r>
      <w:proofErr w:type="spellStart"/>
      <w:r w:rsidRPr="00D464D4">
        <w:rPr>
          <w:color w:val="000000" w:themeColor="text1"/>
          <w:sz w:val="22"/>
        </w:rPr>
        <w:t>Heymann</w:t>
      </w:r>
      <w:proofErr w:type="spellEnd"/>
      <w:r w:rsidRPr="00D464D4">
        <w:rPr>
          <w:color w:val="000000" w:themeColor="text1"/>
          <w:sz w:val="22"/>
        </w:rPr>
        <w:t>, 2003: 192-193).</w:t>
      </w:r>
    </w:p>
    <w:p w:rsidR="00FC7A68" w:rsidRPr="00D464D4" w:rsidRDefault="003A6421" w:rsidP="003A6421">
      <w:pPr>
        <w:spacing w:before="120" w:after="120" w:line="240" w:lineRule="auto"/>
        <w:rPr>
          <w:sz w:val="22"/>
        </w:rPr>
      </w:pPr>
      <w:r w:rsidRPr="00D464D4">
        <w:rPr>
          <w:sz w:val="22"/>
        </w:rPr>
        <w:tab/>
        <w:t xml:space="preserve">Tespiti/tedavisi zor ve çoğu zaman öldürücü olan yeni hastalıklar her yıl görülmemiş oranlarda ortaya çıkmaktadır. Afrika’da Ebola </w:t>
      </w:r>
      <w:proofErr w:type="spellStart"/>
      <w:r w:rsidRPr="00D464D4">
        <w:rPr>
          <w:sz w:val="22"/>
        </w:rPr>
        <w:t>Hemorajik</w:t>
      </w:r>
      <w:proofErr w:type="spellEnd"/>
      <w:r w:rsidRPr="00D464D4">
        <w:rPr>
          <w:sz w:val="22"/>
        </w:rPr>
        <w:t xml:space="preserve"> Ateşi, ABD’de </w:t>
      </w:r>
      <w:proofErr w:type="spellStart"/>
      <w:r w:rsidRPr="00D464D4">
        <w:rPr>
          <w:sz w:val="22"/>
        </w:rPr>
        <w:t>Hantavirüs</w:t>
      </w:r>
      <w:proofErr w:type="spellEnd"/>
      <w:r w:rsidRPr="00D464D4">
        <w:rPr>
          <w:sz w:val="22"/>
        </w:rPr>
        <w:t xml:space="preserve"> </w:t>
      </w:r>
      <w:proofErr w:type="spellStart"/>
      <w:r w:rsidRPr="00D464D4">
        <w:rPr>
          <w:sz w:val="22"/>
        </w:rPr>
        <w:t>Pulmoner</w:t>
      </w:r>
      <w:proofErr w:type="spellEnd"/>
      <w:r w:rsidRPr="00D464D4">
        <w:rPr>
          <w:sz w:val="22"/>
        </w:rPr>
        <w:t xml:space="preserve"> Sendromu ve Güneydoğu Asya’da </w:t>
      </w:r>
      <w:proofErr w:type="spellStart"/>
      <w:r w:rsidRPr="00D464D4">
        <w:rPr>
          <w:sz w:val="22"/>
        </w:rPr>
        <w:t>Nipah</w:t>
      </w:r>
      <w:proofErr w:type="spellEnd"/>
      <w:r w:rsidRPr="00D464D4">
        <w:rPr>
          <w:sz w:val="22"/>
        </w:rPr>
        <w:t xml:space="preserve"> virüsü bunlardan sadece birkaçıdır </w:t>
      </w:r>
      <w:r w:rsidRPr="00D464D4">
        <w:rPr>
          <w:color w:val="000000" w:themeColor="text1"/>
          <w:sz w:val="22"/>
        </w:rPr>
        <w:t>(</w:t>
      </w:r>
      <w:proofErr w:type="spellStart"/>
      <w:r w:rsidRPr="00D464D4">
        <w:rPr>
          <w:color w:val="000000" w:themeColor="text1"/>
          <w:sz w:val="22"/>
        </w:rPr>
        <w:t>Woolhouse</w:t>
      </w:r>
      <w:proofErr w:type="spellEnd"/>
      <w:r w:rsidRPr="00D464D4">
        <w:rPr>
          <w:color w:val="000000" w:themeColor="text1"/>
          <w:sz w:val="22"/>
        </w:rPr>
        <w:t>, 2002: 4).</w:t>
      </w:r>
      <w:r w:rsidRPr="00D464D4">
        <w:rPr>
          <w:sz w:val="22"/>
        </w:rPr>
        <w:t xml:space="preserve"> Bunların yanında eski salgınlar da tekrardan ortaya çıkabilmektedir. Örneğin Kolera salgını neredeyse 100 yıllık bir sürenin ardından 1991 yılında Latin Amerika’ya tekrar dönmüştür. Kolera, bir yıl içerisinde Amerika kıtasındaki 11 ülkede 400.000 vakaya ve 4000 ölüme sebebiyet vermiştir </w:t>
      </w:r>
      <w:r w:rsidRPr="00D464D4">
        <w:rPr>
          <w:color w:val="000000" w:themeColor="text1"/>
          <w:sz w:val="22"/>
        </w:rPr>
        <w:t>(</w:t>
      </w:r>
      <w:proofErr w:type="spellStart"/>
      <w:r w:rsidRPr="00D464D4">
        <w:rPr>
          <w:color w:val="000000" w:themeColor="text1"/>
          <w:sz w:val="22"/>
        </w:rPr>
        <w:t>Tauxe</w:t>
      </w:r>
      <w:proofErr w:type="spellEnd"/>
      <w:r w:rsidRPr="00D464D4">
        <w:rPr>
          <w:color w:val="000000" w:themeColor="text1"/>
          <w:sz w:val="22"/>
        </w:rPr>
        <w:t xml:space="preserve"> vd., 1995: 141-142).</w:t>
      </w:r>
      <w:r w:rsidRPr="00D464D4">
        <w:rPr>
          <w:sz w:val="22"/>
        </w:rPr>
        <w:t xml:space="preserve"> 1998 yılında ortaya çıkan Dang Humması (</w:t>
      </w:r>
      <w:proofErr w:type="spellStart"/>
      <w:r w:rsidRPr="00D464D4">
        <w:rPr>
          <w:sz w:val="22"/>
        </w:rPr>
        <w:t>Dengue</w:t>
      </w:r>
      <w:proofErr w:type="spellEnd"/>
      <w:r w:rsidRPr="00D464D4">
        <w:rPr>
          <w:sz w:val="22"/>
        </w:rPr>
        <w:t xml:space="preserve"> Fever) hastalığı 2002 yılında dünya genelindeki salgınlar arasında yer almış ve kendisini tekrar hatırlatmıştır </w:t>
      </w:r>
      <w:r w:rsidRPr="00D464D4">
        <w:rPr>
          <w:color w:val="000000" w:themeColor="text1"/>
          <w:sz w:val="22"/>
        </w:rPr>
        <w:t>(Dünya Sağlık Örgütü, 2002a).</w:t>
      </w:r>
      <w:r w:rsidRPr="00D464D4">
        <w:rPr>
          <w:sz w:val="22"/>
        </w:rPr>
        <w:t xml:space="preserve"> </w:t>
      </w:r>
      <w:r w:rsidR="00247B10" w:rsidRPr="00D464D4">
        <w:rPr>
          <w:sz w:val="22"/>
        </w:rPr>
        <w:t xml:space="preserve"> </w:t>
      </w:r>
    </w:p>
    <w:p w:rsidR="003A6421" w:rsidRDefault="003A6421" w:rsidP="003A6421">
      <w:pPr>
        <w:spacing w:before="120" w:after="120" w:line="240" w:lineRule="auto"/>
        <w:rPr>
          <w:sz w:val="22"/>
        </w:rPr>
      </w:pPr>
      <w:r w:rsidRPr="00D464D4">
        <w:rPr>
          <w:sz w:val="22"/>
        </w:rPr>
        <w:tab/>
        <w:t>Sarıhumma gibi bazı salgınlarda ülke yoksulluğunun etkisi istenmeyen ölümlerle sonuçlanabilmektedir. Buna karşın sarıhumma ile mücadelede çocukluk dönemindeki rutin aşılamanın önemi b</w:t>
      </w:r>
      <w:r w:rsidR="00930E30">
        <w:rPr>
          <w:sz w:val="22"/>
        </w:rPr>
        <w:t>üyüktür. Ancak görülmektedir ki,</w:t>
      </w:r>
      <w:r w:rsidRPr="00D464D4">
        <w:rPr>
          <w:sz w:val="22"/>
        </w:rPr>
        <w:t xml:space="preserve"> yüksek risk altında olan çoğu yoksul ülke, ilgili giderlerden ötürü aşılama uygulamaları yap</w:t>
      </w:r>
      <w:r w:rsidR="005A2136" w:rsidRPr="00D464D4">
        <w:rPr>
          <w:sz w:val="22"/>
        </w:rPr>
        <w:t>a</w:t>
      </w:r>
      <w:r w:rsidRPr="00D464D4">
        <w:rPr>
          <w:sz w:val="22"/>
        </w:rPr>
        <w:t>mamaktadır. Oysa çocukluk dö</w:t>
      </w:r>
      <w:r w:rsidR="00234D3B">
        <w:rPr>
          <w:sz w:val="22"/>
        </w:rPr>
        <w:t>neminde yapılacak rutin aşılama,</w:t>
      </w:r>
      <w:r w:rsidRPr="00D464D4">
        <w:rPr>
          <w:sz w:val="22"/>
        </w:rPr>
        <w:t xml:space="preserve"> hastalığın ortaya çıkmasının ardından yapılacak giderlerden on kat daha düşük maliyetlidir ve kitle ölümlerini engellemektedir</w:t>
      </w:r>
      <w:r w:rsidRPr="00D464D4">
        <w:rPr>
          <w:color w:val="FF0000"/>
          <w:sz w:val="22"/>
        </w:rPr>
        <w:t xml:space="preserve">. </w:t>
      </w:r>
      <w:r w:rsidRPr="00D464D4">
        <w:rPr>
          <w:sz w:val="22"/>
        </w:rPr>
        <w:t xml:space="preserve">Ayrıca salgın hastalıklar sonrası yapılan aşılar aşı stoklarını hızla tüketmektedir. 2001 yılında Afrika kıtasında bulunan Fildişi Sahili ülkesinde meydana gelen bir kentsel salgın ile 2 haftadan daha kısa bir sürede </w:t>
      </w:r>
      <w:proofErr w:type="gramStart"/>
      <w:r w:rsidRPr="00D464D4">
        <w:rPr>
          <w:sz w:val="22"/>
        </w:rPr>
        <w:t>2.9</w:t>
      </w:r>
      <w:proofErr w:type="gramEnd"/>
      <w:r w:rsidRPr="00D464D4">
        <w:rPr>
          <w:sz w:val="22"/>
        </w:rPr>
        <w:t xml:space="preserve"> milyon kişi aşılanmış ve uluslararası aşı stok rezervi hızla tükenmiştir </w:t>
      </w:r>
      <w:r w:rsidRPr="00D464D4">
        <w:rPr>
          <w:color w:val="000000" w:themeColor="text1"/>
          <w:sz w:val="22"/>
        </w:rPr>
        <w:t xml:space="preserve">(Dünya Sağlık Örgütü, 2003). </w:t>
      </w:r>
      <w:r w:rsidRPr="00D464D4">
        <w:rPr>
          <w:sz w:val="22"/>
        </w:rPr>
        <w:t xml:space="preserve">Benzer şekilde Sarıhumma hastalığı 2002 yılında Senegal’de bir salgına sebebiyet vermiş ve yeterli aşı temini için üst düzey bir çaba gerektirmiştir </w:t>
      </w:r>
      <w:r w:rsidRPr="00D464D4">
        <w:rPr>
          <w:color w:val="000000" w:themeColor="text1"/>
          <w:sz w:val="22"/>
        </w:rPr>
        <w:t>(</w:t>
      </w:r>
      <w:proofErr w:type="spellStart"/>
      <w:r w:rsidRPr="00D464D4">
        <w:rPr>
          <w:color w:val="000000" w:themeColor="text1"/>
          <w:sz w:val="22"/>
        </w:rPr>
        <w:t>Weekly</w:t>
      </w:r>
      <w:proofErr w:type="spellEnd"/>
      <w:r w:rsidRPr="00D464D4">
        <w:rPr>
          <w:color w:val="000000" w:themeColor="text1"/>
          <w:sz w:val="22"/>
        </w:rPr>
        <w:t xml:space="preserve"> </w:t>
      </w:r>
      <w:proofErr w:type="spellStart"/>
      <w:r w:rsidRPr="00D464D4">
        <w:rPr>
          <w:color w:val="000000" w:themeColor="text1"/>
          <w:sz w:val="22"/>
        </w:rPr>
        <w:t>Epidemiology</w:t>
      </w:r>
      <w:proofErr w:type="spellEnd"/>
      <w:r w:rsidRPr="00D464D4">
        <w:rPr>
          <w:color w:val="000000" w:themeColor="text1"/>
          <w:sz w:val="22"/>
        </w:rPr>
        <w:t xml:space="preserve"> </w:t>
      </w:r>
      <w:proofErr w:type="spellStart"/>
      <w:r w:rsidRPr="00D464D4">
        <w:rPr>
          <w:color w:val="000000" w:themeColor="text1"/>
          <w:sz w:val="22"/>
        </w:rPr>
        <w:t>Record</w:t>
      </w:r>
      <w:proofErr w:type="spellEnd"/>
      <w:r w:rsidRPr="00D464D4">
        <w:rPr>
          <w:color w:val="000000" w:themeColor="text1"/>
          <w:sz w:val="22"/>
        </w:rPr>
        <w:t>, 2002).</w:t>
      </w:r>
      <w:r w:rsidRPr="00D464D4">
        <w:rPr>
          <w:sz w:val="22"/>
        </w:rPr>
        <w:t xml:space="preserve"> </w:t>
      </w:r>
    </w:p>
    <w:p w:rsidR="003A6421" w:rsidRPr="00D464D4" w:rsidRDefault="007432FE" w:rsidP="003A6421">
      <w:pPr>
        <w:spacing w:before="120" w:after="120" w:line="240" w:lineRule="auto"/>
        <w:rPr>
          <w:sz w:val="22"/>
        </w:rPr>
      </w:pPr>
      <w:r>
        <w:rPr>
          <w:sz w:val="22"/>
        </w:rPr>
        <w:tab/>
      </w:r>
      <w:r w:rsidR="003A6421" w:rsidRPr="00D464D4">
        <w:rPr>
          <w:sz w:val="22"/>
        </w:rPr>
        <w:t xml:space="preserve">Tüm bulaşıcı hastalık vektörleri oldukça dirençli ve hızlı adaptasyon sağlayabilmektedir. Bu kapsamda sıtmayı ileten bazı sivrisinek türlerinin sivrisinek ilaçlarına karşı direnç gösterdiği tespit edilmiştir </w:t>
      </w:r>
      <w:r w:rsidR="003A6421" w:rsidRPr="00D464D4">
        <w:rPr>
          <w:color w:val="000000" w:themeColor="text1"/>
          <w:sz w:val="22"/>
        </w:rPr>
        <w:t>(</w:t>
      </w:r>
      <w:proofErr w:type="spellStart"/>
      <w:r w:rsidR="003A6421" w:rsidRPr="00D464D4">
        <w:rPr>
          <w:color w:val="000000" w:themeColor="text1"/>
          <w:sz w:val="22"/>
        </w:rPr>
        <w:t>Gubler</w:t>
      </w:r>
      <w:proofErr w:type="spellEnd"/>
      <w:r w:rsidR="003A6421" w:rsidRPr="00D464D4">
        <w:rPr>
          <w:color w:val="000000" w:themeColor="text1"/>
          <w:sz w:val="22"/>
        </w:rPr>
        <w:t>, 2001: 21-22).</w:t>
      </w:r>
      <w:r w:rsidR="003A6421" w:rsidRPr="00D464D4">
        <w:rPr>
          <w:sz w:val="22"/>
        </w:rPr>
        <w:t xml:space="preserve"> Ayrıca AIDS’e yol açan HIV virüsünün Tüberküloza (verem) yakalanma riskini 20-30 kat arası artırmasının yanında tedavi edilmesi 100 kat daha fazla maliyetli olan ve birçok ilaca karşı dirençli olan yeni formların ortaya çıkması endişe vericidir </w:t>
      </w:r>
      <w:r w:rsidR="003A6421" w:rsidRPr="00D464D4">
        <w:rPr>
          <w:color w:val="000000" w:themeColor="text1"/>
          <w:sz w:val="22"/>
        </w:rPr>
        <w:t>(Dünya Sağlık Örgütü, 2003).</w:t>
      </w:r>
      <w:r w:rsidR="003A6421" w:rsidRPr="00D464D4">
        <w:rPr>
          <w:color w:val="FF0000"/>
          <w:sz w:val="22"/>
        </w:rPr>
        <w:t xml:space="preserve"> </w:t>
      </w:r>
      <w:r w:rsidR="003A6421" w:rsidRPr="00D464D4">
        <w:rPr>
          <w:sz w:val="22"/>
        </w:rPr>
        <w:t xml:space="preserve">Yaygın bakteriyel enfeksiyonların ilaçlara olan direnci yaşam boyu sürecek tedavilere yol açabilmektedir. Tüm bu hastalık patojenleri bulaşıcı olmalarının yanında önemli bir direnç geliştirmektedirler. Bu çarpıcı boyuttan hareketle; küresel olarak taşınan bulaşıcı hastalık tehditlerinin ulusal yaşam standartlarının artırılması ve güçlü ilaçlara erişimin kolaylaşması ile savılabileceği düşüncesi gerçekçi görünmemektedir. Ayrıca salgınların ekonomik boyutu da yıpratıcıdır. Örneğin 1994 yılında Hindistan’da yaşanan veba salgını; sağlık, ticaret ve turizm sektörlerine 2 milyar ABD doları kayıp yaşatmıştır </w:t>
      </w:r>
      <w:r w:rsidR="003A6421" w:rsidRPr="00D464D4">
        <w:rPr>
          <w:color w:val="000000" w:themeColor="text1"/>
          <w:sz w:val="22"/>
        </w:rPr>
        <w:t xml:space="preserve">(Cash ve </w:t>
      </w:r>
      <w:proofErr w:type="spellStart"/>
      <w:r w:rsidR="003A6421" w:rsidRPr="00D464D4">
        <w:rPr>
          <w:color w:val="000000" w:themeColor="text1"/>
          <w:sz w:val="22"/>
        </w:rPr>
        <w:t>Narasimham</w:t>
      </w:r>
      <w:proofErr w:type="spellEnd"/>
      <w:r w:rsidR="003A6421" w:rsidRPr="00D464D4">
        <w:rPr>
          <w:color w:val="000000" w:themeColor="text1"/>
          <w:sz w:val="22"/>
        </w:rPr>
        <w:t>, 2002: 1360-1361).</w:t>
      </w:r>
      <w:r w:rsidR="003A6421" w:rsidRPr="00D464D4">
        <w:rPr>
          <w:sz w:val="22"/>
        </w:rPr>
        <w:t xml:space="preserve"> </w:t>
      </w:r>
    </w:p>
    <w:p w:rsidR="001C5D26" w:rsidRPr="00D464D4" w:rsidRDefault="001C5D26" w:rsidP="003A6421">
      <w:pPr>
        <w:spacing w:before="120" w:after="120" w:line="240" w:lineRule="auto"/>
        <w:rPr>
          <w:sz w:val="22"/>
        </w:rPr>
      </w:pPr>
      <w:r w:rsidRPr="00D464D4">
        <w:rPr>
          <w:sz w:val="22"/>
        </w:rPr>
        <w:tab/>
        <w:t>Herhangi bir salgından etkilenen ülkelerde; kamusal panik, nüfusun yerinden edilmesi, milyonlarca sayıdaki insanın acil olarak aşılanması ve kitle ölümleri muhtemel senaryolardır. Yakın geçmişte bulaşıcı hastalıkların toplumda oluşturduğu panik durumuna yönelik örneklerden biri Türkiye’deki Kuş Gribi (</w:t>
      </w:r>
      <w:proofErr w:type="spellStart"/>
      <w:r w:rsidRPr="00D464D4">
        <w:rPr>
          <w:sz w:val="22"/>
        </w:rPr>
        <w:t>Avian</w:t>
      </w:r>
      <w:proofErr w:type="spellEnd"/>
      <w:r w:rsidRPr="00D464D4">
        <w:rPr>
          <w:sz w:val="22"/>
        </w:rPr>
        <w:t xml:space="preserve"> </w:t>
      </w:r>
      <w:proofErr w:type="spellStart"/>
      <w:r w:rsidRPr="00D464D4">
        <w:rPr>
          <w:sz w:val="22"/>
        </w:rPr>
        <w:t>Influenza</w:t>
      </w:r>
      <w:proofErr w:type="spellEnd"/>
      <w:r w:rsidRPr="00D464D4">
        <w:rPr>
          <w:sz w:val="22"/>
        </w:rPr>
        <w:t>) ve Domuz Gribi (</w:t>
      </w:r>
      <w:proofErr w:type="spellStart"/>
      <w:r w:rsidRPr="00D464D4">
        <w:rPr>
          <w:rFonts w:cs="Times New Roman"/>
          <w:color w:val="222222"/>
          <w:sz w:val="22"/>
          <w:shd w:val="clear" w:color="auto" w:fill="FFFFFF"/>
        </w:rPr>
        <w:t>S</w:t>
      </w:r>
      <w:r w:rsidRPr="00D464D4">
        <w:rPr>
          <w:rFonts w:cs="Times New Roman"/>
          <w:bCs/>
          <w:color w:val="222222"/>
          <w:sz w:val="22"/>
          <w:shd w:val="clear" w:color="auto" w:fill="FFFFFF"/>
        </w:rPr>
        <w:t>wine</w:t>
      </w:r>
      <w:proofErr w:type="spellEnd"/>
      <w:r w:rsidRPr="00D464D4">
        <w:rPr>
          <w:rFonts w:cs="Times New Roman"/>
          <w:bCs/>
          <w:color w:val="222222"/>
          <w:sz w:val="22"/>
          <w:shd w:val="clear" w:color="auto" w:fill="FFFFFF"/>
        </w:rPr>
        <w:t xml:space="preserve"> </w:t>
      </w:r>
      <w:proofErr w:type="spellStart"/>
      <w:r w:rsidRPr="00D464D4">
        <w:rPr>
          <w:rFonts w:cs="Times New Roman"/>
          <w:bCs/>
          <w:color w:val="222222"/>
          <w:sz w:val="22"/>
          <w:shd w:val="clear" w:color="auto" w:fill="FFFFFF"/>
        </w:rPr>
        <w:t>Influenza</w:t>
      </w:r>
      <w:proofErr w:type="spellEnd"/>
      <w:r w:rsidRPr="00D464D4">
        <w:rPr>
          <w:rFonts w:cs="Times New Roman"/>
          <w:bCs/>
          <w:color w:val="222222"/>
          <w:sz w:val="22"/>
          <w:shd w:val="clear" w:color="auto" w:fill="FFFFFF"/>
        </w:rPr>
        <w:t xml:space="preserve"> </w:t>
      </w:r>
      <w:proofErr w:type="spellStart"/>
      <w:r w:rsidRPr="00D464D4">
        <w:rPr>
          <w:rFonts w:cs="Times New Roman"/>
          <w:bCs/>
          <w:color w:val="222222"/>
          <w:sz w:val="22"/>
          <w:shd w:val="clear" w:color="auto" w:fill="FFFFFF"/>
        </w:rPr>
        <w:t>Virus</w:t>
      </w:r>
      <w:proofErr w:type="spellEnd"/>
      <w:r w:rsidRPr="00D464D4">
        <w:rPr>
          <w:rFonts w:cs="Times New Roman"/>
          <w:bCs/>
          <w:color w:val="222222"/>
          <w:sz w:val="22"/>
          <w:shd w:val="clear" w:color="auto" w:fill="FFFFFF"/>
        </w:rPr>
        <w:t>)</w:t>
      </w:r>
      <w:r w:rsidRPr="00D464D4">
        <w:rPr>
          <w:sz w:val="22"/>
        </w:rPr>
        <w:t xml:space="preserve"> vakalarıdır. Türkiye’deki ilk Kuş Gribi vakasına 2005 yılında Balıkesir şehrinin Manyas ilçesinde rastlanılmıştır. Hastalık kısa süre içerisinde 53 ile yayılmış ve ölümlü vakalar yaşanmıştır. Salgın hastalık toplumda büyük bir panik oluşturmuş ve hastalığa müdahale kapsamındaki harcamalar 32 milyon TL tutarına ulaşmıştır (</w:t>
      </w:r>
      <w:r w:rsidR="00AD5421" w:rsidRPr="00AD5421">
        <w:rPr>
          <w:sz w:val="22"/>
        </w:rPr>
        <w:t>Kuş Gribiyle Mücadele</w:t>
      </w:r>
      <w:r w:rsidRPr="00D464D4">
        <w:rPr>
          <w:sz w:val="22"/>
        </w:rPr>
        <w:t xml:space="preserve">, 2017). Türkiye’deki ilk Domuz Gribi vakası ise 2009 yılında ABD’den Türkiye’ye seyahat eden bir turistte tespit edilirken ilerleyen </w:t>
      </w:r>
      <w:r w:rsidRPr="00D464D4">
        <w:rPr>
          <w:sz w:val="22"/>
        </w:rPr>
        <w:lastRenderedPageBreak/>
        <w:t>aylarda ölümlü vakalar yaşanmıştır</w:t>
      </w:r>
      <w:r w:rsidR="00FB0D0E">
        <w:rPr>
          <w:sz w:val="22"/>
        </w:rPr>
        <w:t xml:space="preserve"> (</w:t>
      </w:r>
      <w:proofErr w:type="spellStart"/>
      <w:r w:rsidR="00FB0D0E">
        <w:rPr>
          <w:sz w:val="22"/>
        </w:rPr>
        <w:t>Medimagazin</w:t>
      </w:r>
      <w:proofErr w:type="spellEnd"/>
      <w:r w:rsidRPr="00D464D4">
        <w:rPr>
          <w:sz w:val="22"/>
        </w:rPr>
        <w:t xml:space="preserve">, 2009). </w:t>
      </w:r>
      <w:r w:rsidR="00A75838" w:rsidRPr="00D464D4">
        <w:rPr>
          <w:sz w:val="22"/>
        </w:rPr>
        <w:t>Her iki salgındaki ölümlü vakalar ciddi sayılara ulaşmasa da toplumda ciddi bir</w:t>
      </w:r>
      <w:r w:rsidRPr="00D464D4">
        <w:rPr>
          <w:sz w:val="22"/>
        </w:rPr>
        <w:t xml:space="preserve"> pani</w:t>
      </w:r>
      <w:r w:rsidR="00A75838" w:rsidRPr="00D464D4">
        <w:rPr>
          <w:sz w:val="22"/>
        </w:rPr>
        <w:t xml:space="preserve">k ve huzursuzluk ortamı oluşturmuştur. </w:t>
      </w:r>
    </w:p>
    <w:p w:rsidR="003A6421" w:rsidRDefault="003A6421" w:rsidP="004E7EBF">
      <w:pPr>
        <w:spacing w:before="120" w:after="120" w:line="240" w:lineRule="auto"/>
        <w:rPr>
          <w:color w:val="000000" w:themeColor="text1"/>
          <w:sz w:val="22"/>
        </w:rPr>
      </w:pPr>
      <w:r w:rsidRPr="00D464D4">
        <w:rPr>
          <w:sz w:val="22"/>
        </w:rPr>
        <w:tab/>
        <w:t xml:space="preserve">Dünya genelinde bir hastalığın ulusları etkileme potansiyeline dair varsayımlar genellikle AIDS üzerinden yapılmaktadır. Bu kapsamda Sahra Altı Afrika’daki AIDS salgınının diğer ülkelerde yaşanması durumunda sosyo-ekonomik yaşantıyı ne denli etkileyebileceğine dair senaryolar üzerine odaklanılmaktadır. AIDS’in önemli bir boyutu hastalığın neden olduğu yüksek ölüm oranı ve etkilediği yaş grubu olarak ifade edilirken diğer boyutu ise ticaret pazarlarını etkileme gücü ile küresel ve ulusal topluma gerek tedavi süreçlerinde gerekse sosyo-ekonomik açıdan ciddi maliyetler yüklemesidir </w:t>
      </w:r>
      <w:r w:rsidRPr="00D464D4">
        <w:rPr>
          <w:color w:val="000000" w:themeColor="text1"/>
          <w:sz w:val="22"/>
        </w:rPr>
        <w:t>(Dünya Sağlık Örgütü, 2001a). Uluslar</w:t>
      </w:r>
      <w:r w:rsidRPr="00D464D4">
        <w:rPr>
          <w:color w:val="FF0000"/>
          <w:sz w:val="22"/>
        </w:rPr>
        <w:t xml:space="preserve"> </w:t>
      </w:r>
      <w:r w:rsidRPr="00D464D4">
        <w:rPr>
          <w:sz w:val="22"/>
        </w:rPr>
        <w:t xml:space="preserve">için tüm hastalıklar arasında AIDS; daha önce bilinmeyen bir patojenin dünyaya hızla yayılması, kısa sürede salgın hale gelmesi, geniş bir coğrafi bölgeyi tehdit etmesi ve sosyo-ekonomik yaşantıyı derinden etkileme kapasitesi nedeniyle rahatsız edici bir örnektir. Hastalığın genel ve küresel bir dağılışı olmasına karşın etkisini büyük ölçekte Sahra Altı Afrika’da göstermiştir. Sahra Altı Afrika’da 2001 yılında yaklaşık 3,5 milyon yeni enfeksiyon meydana gelmiştir. 2002 yılında ise AIDS/HIV ile yaşayan toplam birey sayısı neredeyse 30 milyona kadar ulaşmıştır. Bu sayı 2002 yılındaki küresel AIDS vakalarının %72’sini oluşturmaktadır. Ayrıca aynı yıl içerisinde kentsel bölgelerdeki hamile kadınlar arasındaki HIV görülme sıklığı %44,9 seviyesine kadar çıkmıştır </w:t>
      </w:r>
      <w:r w:rsidRPr="00D464D4">
        <w:rPr>
          <w:color w:val="000000" w:themeColor="text1"/>
          <w:sz w:val="22"/>
        </w:rPr>
        <w:t>(UNAIDS, 2002).</w:t>
      </w:r>
      <w:r w:rsidRPr="00D464D4">
        <w:rPr>
          <w:sz w:val="22"/>
        </w:rPr>
        <w:t xml:space="preserve"> Bu tür yüksek ölüm oranlarına sahip herhangi bir hastalık veya patojen kitle ölümlerine sebebiyet verebilirken devlet güvenliğine karşı doğrudan bir tehdit oluşturmaktadır</w:t>
      </w:r>
      <w:r w:rsidRPr="00D464D4">
        <w:rPr>
          <w:color w:val="FF0000"/>
          <w:sz w:val="22"/>
        </w:rPr>
        <w:t>.</w:t>
      </w:r>
      <w:r w:rsidRPr="00D464D4">
        <w:rPr>
          <w:sz w:val="22"/>
        </w:rPr>
        <w:t xml:space="preserve"> Afrika’da AIDS, halkı etkilemesinin yanı sıra siyasi kurumların güvenliğini ve kolluk güçlerinin operasyon kapasitesini/performansını da etkilemektedir. Ayrıca Afrika tarihinde bazı üst düzey devlet görevlileri AIDS yüzünden hayatını kaybetmiştir. Bu kapsamda uluslararası güvenlik ve dış ilişkiler uzmanlarının analizleri de bulaşıcı hastalık tehdidin çarpıcı niteliğini doğrulamaktadır </w:t>
      </w:r>
      <w:r w:rsidRPr="00D464D4">
        <w:rPr>
          <w:color w:val="000000" w:themeColor="text1"/>
          <w:sz w:val="22"/>
        </w:rPr>
        <w:t>(</w:t>
      </w:r>
      <w:proofErr w:type="spellStart"/>
      <w:r w:rsidRPr="00D464D4">
        <w:rPr>
          <w:color w:val="000000" w:themeColor="text1"/>
          <w:sz w:val="22"/>
        </w:rPr>
        <w:t>Ostergard</w:t>
      </w:r>
      <w:proofErr w:type="spellEnd"/>
      <w:r w:rsidRPr="00D464D4">
        <w:rPr>
          <w:color w:val="000000" w:themeColor="text1"/>
          <w:sz w:val="22"/>
        </w:rPr>
        <w:t>, 2002: 341-342).</w:t>
      </w:r>
    </w:p>
    <w:p w:rsidR="007432FE" w:rsidRPr="007432FE" w:rsidRDefault="007432FE" w:rsidP="007432FE">
      <w:pPr>
        <w:spacing w:before="120" w:after="120" w:line="240" w:lineRule="auto"/>
        <w:jc w:val="center"/>
        <w:rPr>
          <w:b/>
          <w:sz w:val="22"/>
        </w:rPr>
      </w:pPr>
      <w:r w:rsidRPr="007432FE">
        <w:rPr>
          <w:b/>
          <w:sz w:val="22"/>
        </w:rPr>
        <w:t xml:space="preserve">Resim 1. </w:t>
      </w:r>
      <w:r w:rsidRPr="007432FE">
        <w:rPr>
          <w:sz w:val="22"/>
        </w:rPr>
        <w:t>2011-2017 Yılları Arasında</w:t>
      </w:r>
      <w:r w:rsidR="00D74F68">
        <w:rPr>
          <w:sz w:val="22"/>
        </w:rPr>
        <w:t xml:space="preserve"> </w:t>
      </w:r>
      <w:r w:rsidR="00D74F68" w:rsidRPr="00D74F68">
        <w:rPr>
          <w:sz w:val="22"/>
        </w:rPr>
        <w:t>Kıtalara</w:t>
      </w:r>
      <w:r w:rsidR="00D74F68">
        <w:rPr>
          <w:sz w:val="22"/>
        </w:rPr>
        <w:t xml:space="preserve"> ve Ülkelere</w:t>
      </w:r>
      <w:r w:rsidR="00D74F68" w:rsidRPr="00D74F68">
        <w:rPr>
          <w:sz w:val="22"/>
        </w:rPr>
        <w:t xml:space="preserve"> Göre</w:t>
      </w:r>
      <w:r w:rsidRPr="007432FE">
        <w:rPr>
          <w:sz w:val="22"/>
        </w:rPr>
        <w:t xml:space="preserve"> Gerçekleşen Salgın</w:t>
      </w:r>
      <w:r w:rsidR="00D146BA">
        <w:rPr>
          <w:sz w:val="22"/>
        </w:rPr>
        <w:t xml:space="preserve"> Hastalık</w:t>
      </w:r>
      <w:r w:rsidRPr="007432FE">
        <w:rPr>
          <w:sz w:val="22"/>
        </w:rPr>
        <w:t xml:space="preserve"> Vakaları</w:t>
      </w:r>
    </w:p>
    <w:p w:rsidR="007432FE" w:rsidRDefault="007432FE" w:rsidP="007432FE">
      <w:pPr>
        <w:spacing w:before="120" w:after="120" w:line="240" w:lineRule="auto"/>
        <w:rPr>
          <w:color w:val="FF0000"/>
          <w:sz w:val="22"/>
        </w:rPr>
      </w:pPr>
      <w:r>
        <w:rPr>
          <w:noProof/>
          <w:color w:val="FF0000"/>
          <w:sz w:val="22"/>
          <w:lang w:eastAsia="tr-TR"/>
        </w:rPr>
        <w:drawing>
          <wp:inline distT="0" distB="0" distL="0" distR="0">
            <wp:extent cx="5579745" cy="2754630"/>
            <wp:effectExtent l="19050" t="0" r="0" b="0"/>
            <wp:docPr id="2" name="0 Resim" descr="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png"/>
                    <pic:cNvPicPr/>
                  </pic:nvPicPr>
                  <pic:blipFill>
                    <a:blip r:embed="rId8" cstate="print"/>
                    <a:stretch>
                      <a:fillRect/>
                    </a:stretch>
                  </pic:blipFill>
                  <pic:spPr>
                    <a:xfrm>
                      <a:off x="0" y="0"/>
                      <a:ext cx="5579745" cy="2754630"/>
                    </a:xfrm>
                    <a:prstGeom prst="rect">
                      <a:avLst/>
                    </a:prstGeom>
                  </pic:spPr>
                </pic:pic>
              </a:graphicData>
            </a:graphic>
          </wp:inline>
        </w:drawing>
      </w:r>
    </w:p>
    <w:p w:rsidR="007432FE" w:rsidRDefault="007432FE" w:rsidP="007432FE">
      <w:pPr>
        <w:spacing w:before="120" w:after="120" w:line="240" w:lineRule="auto"/>
        <w:jc w:val="center"/>
        <w:rPr>
          <w:sz w:val="22"/>
        </w:rPr>
      </w:pPr>
      <w:r w:rsidRPr="007432FE">
        <w:rPr>
          <w:b/>
          <w:sz w:val="22"/>
        </w:rPr>
        <w:t xml:space="preserve">Kaynak: </w:t>
      </w:r>
      <w:r>
        <w:rPr>
          <w:sz w:val="22"/>
        </w:rPr>
        <w:t>Dünya Sağlık Örgütü, 2018.</w:t>
      </w:r>
    </w:p>
    <w:p w:rsidR="005D16D0" w:rsidRDefault="00D146BA" w:rsidP="00D146BA">
      <w:pPr>
        <w:spacing w:line="240" w:lineRule="auto"/>
      </w:pPr>
      <w:r>
        <w:tab/>
      </w:r>
      <w:r w:rsidR="007432FE">
        <w:t>Günümüz verilerine bakıldığında da Sahra Altı Afrika</w:t>
      </w:r>
      <w:r>
        <w:t>’nın</w:t>
      </w:r>
      <w:r w:rsidR="007432FE">
        <w:t xml:space="preserve"> salgın hastalık vakalarınd</w:t>
      </w:r>
      <w:r>
        <w:t>a ilk sırada yer aldığı görülmektedir. Bu kapsamda geçmişte</w:t>
      </w:r>
      <w:r w:rsidR="00D74F68">
        <w:t>n</w:t>
      </w:r>
      <w:r>
        <w:t xml:space="preserve"> </w:t>
      </w:r>
      <w:r w:rsidR="00D74F68">
        <w:t xml:space="preserve">günümüze </w:t>
      </w:r>
      <w:r>
        <w:t xml:space="preserve">salgın hastalıklarla mücadele konusundaki </w:t>
      </w:r>
      <w:r w:rsidR="00D74F68">
        <w:t xml:space="preserve">endişeler ve </w:t>
      </w:r>
      <w:r>
        <w:t>senaryolar Afrika kıtası baz alınarak yapılmaktadır.</w:t>
      </w:r>
    </w:p>
    <w:p w:rsidR="005D16D0" w:rsidRDefault="005D16D0" w:rsidP="005D16D0">
      <w:pPr>
        <w:spacing w:before="120" w:after="120" w:line="240" w:lineRule="auto"/>
        <w:jc w:val="center"/>
        <w:rPr>
          <w:b/>
          <w:sz w:val="22"/>
        </w:rPr>
      </w:pPr>
    </w:p>
    <w:p w:rsidR="005D16D0" w:rsidRPr="005D16D0" w:rsidRDefault="005D16D0" w:rsidP="005D16D0">
      <w:pPr>
        <w:spacing w:before="120" w:after="120" w:line="240" w:lineRule="auto"/>
        <w:jc w:val="center"/>
        <w:rPr>
          <w:sz w:val="22"/>
        </w:rPr>
      </w:pPr>
      <w:r w:rsidRPr="00D464D4">
        <w:rPr>
          <w:b/>
          <w:sz w:val="22"/>
        </w:rPr>
        <w:lastRenderedPageBreak/>
        <w:t>Tablo</w:t>
      </w:r>
      <w:r>
        <w:rPr>
          <w:b/>
          <w:sz w:val="22"/>
        </w:rPr>
        <w:t>1</w:t>
      </w:r>
      <w:r w:rsidRPr="00D464D4">
        <w:rPr>
          <w:b/>
          <w:sz w:val="22"/>
        </w:rPr>
        <w:t xml:space="preserve">. </w:t>
      </w:r>
      <w:r>
        <w:rPr>
          <w:sz w:val="22"/>
        </w:rPr>
        <w:t xml:space="preserve">2011-2017 Yılları Arasında </w:t>
      </w:r>
      <w:r w:rsidR="00D74F68">
        <w:rPr>
          <w:sz w:val="22"/>
        </w:rPr>
        <w:t xml:space="preserve">Dünya Genelinde </w:t>
      </w:r>
      <w:r>
        <w:rPr>
          <w:sz w:val="22"/>
        </w:rPr>
        <w:t>Gerçekleşen</w:t>
      </w:r>
      <w:r w:rsidR="00D74F68">
        <w:rPr>
          <w:sz w:val="22"/>
        </w:rPr>
        <w:t xml:space="preserve"> Salgınların Hastalıklar Bazında Sıralaması</w:t>
      </w:r>
    </w:p>
    <w:tbl>
      <w:tblPr>
        <w:tblStyle w:val="TabloKlavuzu"/>
        <w:tblW w:w="0" w:type="auto"/>
        <w:tblLook w:val="04A0" w:firstRow="1" w:lastRow="0" w:firstColumn="1" w:lastColumn="0" w:noHBand="0" w:noVBand="1"/>
      </w:tblPr>
      <w:tblGrid>
        <w:gridCol w:w="1502"/>
        <w:gridCol w:w="933"/>
        <w:gridCol w:w="932"/>
        <w:gridCol w:w="931"/>
        <w:gridCol w:w="931"/>
        <w:gridCol w:w="931"/>
        <w:gridCol w:w="931"/>
        <w:gridCol w:w="931"/>
        <w:gridCol w:w="981"/>
      </w:tblGrid>
      <w:tr w:rsidR="005D16D0" w:rsidTr="00D74F68">
        <w:trPr>
          <w:trHeight w:val="500"/>
        </w:trPr>
        <w:tc>
          <w:tcPr>
            <w:tcW w:w="1502" w:type="dxa"/>
          </w:tcPr>
          <w:p w:rsidR="005D16D0" w:rsidRDefault="005D16D0" w:rsidP="002B5B8A">
            <w:pPr>
              <w:spacing w:before="120" w:after="120" w:line="240" w:lineRule="auto"/>
              <w:rPr>
                <w:color w:val="FF0000"/>
              </w:rPr>
            </w:pPr>
          </w:p>
        </w:tc>
        <w:tc>
          <w:tcPr>
            <w:tcW w:w="933" w:type="dxa"/>
            <w:vAlign w:val="center"/>
          </w:tcPr>
          <w:p w:rsidR="005D16D0" w:rsidRPr="007432FE" w:rsidRDefault="005D16D0" w:rsidP="002B5B8A">
            <w:pPr>
              <w:spacing w:before="120" w:after="120" w:line="240" w:lineRule="auto"/>
              <w:jc w:val="center"/>
              <w:rPr>
                <w:b/>
              </w:rPr>
            </w:pPr>
            <w:r w:rsidRPr="007432FE">
              <w:rPr>
                <w:b/>
              </w:rPr>
              <w:t>2011</w:t>
            </w:r>
          </w:p>
        </w:tc>
        <w:tc>
          <w:tcPr>
            <w:tcW w:w="932" w:type="dxa"/>
            <w:vAlign w:val="center"/>
          </w:tcPr>
          <w:p w:rsidR="005D16D0" w:rsidRPr="007432FE" w:rsidRDefault="005D16D0" w:rsidP="002B5B8A">
            <w:pPr>
              <w:spacing w:before="120" w:after="120" w:line="240" w:lineRule="auto"/>
              <w:jc w:val="center"/>
              <w:rPr>
                <w:b/>
              </w:rPr>
            </w:pPr>
            <w:r w:rsidRPr="007432FE">
              <w:rPr>
                <w:b/>
              </w:rPr>
              <w:t>2012</w:t>
            </w:r>
          </w:p>
        </w:tc>
        <w:tc>
          <w:tcPr>
            <w:tcW w:w="931" w:type="dxa"/>
            <w:vAlign w:val="center"/>
          </w:tcPr>
          <w:p w:rsidR="005D16D0" w:rsidRPr="007432FE" w:rsidRDefault="005D16D0" w:rsidP="002B5B8A">
            <w:pPr>
              <w:spacing w:before="120" w:after="120" w:line="240" w:lineRule="auto"/>
              <w:jc w:val="center"/>
              <w:rPr>
                <w:b/>
              </w:rPr>
            </w:pPr>
            <w:r w:rsidRPr="007432FE">
              <w:rPr>
                <w:b/>
              </w:rPr>
              <w:t>2013</w:t>
            </w:r>
          </w:p>
        </w:tc>
        <w:tc>
          <w:tcPr>
            <w:tcW w:w="931" w:type="dxa"/>
            <w:vAlign w:val="center"/>
          </w:tcPr>
          <w:p w:rsidR="005D16D0" w:rsidRPr="007432FE" w:rsidRDefault="005D16D0" w:rsidP="002B5B8A">
            <w:pPr>
              <w:spacing w:before="120" w:after="120" w:line="240" w:lineRule="auto"/>
              <w:jc w:val="center"/>
              <w:rPr>
                <w:b/>
              </w:rPr>
            </w:pPr>
            <w:r w:rsidRPr="007432FE">
              <w:rPr>
                <w:b/>
              </w:rPr>
              <w:t>2014</w:t>
            </w:r>
          </w:p>
        </w:tc>
        <w:tc>
          <w:tcPr>
            <w:tcW w:w="931" w:type="dxa"/>
            <w:vAlign w:val="center"/>
          </w:tcPr>
          <w:p w:rsidR="005D16D0" w:rsidRPr="007432FE" w:rsidRDefault="005D16D0" w:rsidP="002B5B8A">
            <w:pPr>
              <w:spacing w:before="120" w:after="120" w:line="240" w:lineRule="auto"/>
              <w:jc w:val="center"/>
              <w:rPr>
                <w:b/>
              </w:rPr>
            </w:pPr>
            <w:r w:rsidRPr="007432FE">
              <w:rPr>
                <w:b/>
              </w:rPr>
              <w:t>2015</w:t>
            </w:r>
          </w:p>
        </w:tc>
        <w:tc>
          <w:tcPr>
            <w:tcW w:w="931" w:type="dxa"/>
            <w:vAlign w:val="center"/>
          </w:tcPr>
          <w:p w:rsidR="005D16D0" w:rsidRPr="007432FE" w:rsidRDefault="005D16D0" w:rsidP="002B5B8A">
            <w:pPr>
              <w:spacing w:before="120" w:after="120" w:line="240" w:lineRule="auto"/>
              <w:jc w:val="center"/>
              <w:rPr>
                <w:b/>
              </w:rPr>
            </w:pPr>
            <w:r w:rsidRPr="007432FE">
              <w:rPr>
                <w:b/>
              </w:rPr>
              <w:t>2016</w:t>
            </w:r>
          </w:p>
        </w:tc>
        <w:tc>
          <w:tcPr>
            <w:tcW w:w="931" w:type="dxa"/>
            <w:vAlign w:val="center"/>
          </w:tcPr>
          <w:p w:rsidR="005D16D0" w:rsidRPr="007432FE" w:rsidRDefault="005D16D0" w:rsidP="002B5B8A">
            <w:pPr>
              <w:spacing w:before="120" w:after="120" w:line="240" w:lineRule="auto"/>
              <w:jc w:val="center"/>
              <w:rPr>
                <w:b/>
              </w:rPr>
            </w:pPr>
            <w:r w:rsidRPr="007432FE">
              <w:rPr>
                <w:b/>
              </w:rPr>
              <w:t>2017</w:t>
            </w:r>
          </w:p>
        </w:tc>
        <w:tc>
          <w:tcPr>
            <w:tcW w:w="981" w:type="dxa"/>
          </w:tcPr>
          <w:p w:rsidR="005D16D0" w:rsidRPr="007432FE" w:rsidRDefault="005D16D0" w:rsidP="002B5B8A">
            <w:pPr>
              <w:spacing w:before="120" w:after="120" w:line="240" w:lineRule="auto"/>
              <w:jc w:val="center"/>
              <w:rPr>
                <w:b/>
              </w:rPr>
            </w:pPr>
            <w:r w:rsidRPr="007432FE">
              <w:rPr>
                <w:b/>
              </w:rPr>
              <w:t>Toplam</w:t>
            </w:r>
          </w:p>
        </w:tc>
      </w:tr>
      <w:tr w:rsidR="005D16D0" w:rsidTr="00D74F68">
        <w:trPr>
          <w:trHeight w:val="500"/>
        </w:trPr>
        <w:tc>
          <w:tcPr>
            <w:tcW w:w="1502" w:type="dxa"/>
          </w:tcPr>
          <w:p w:rsidR="005D16D0" w:rsidRPr="007432FE" w:rsidRDefault="005D16D0" w:rsidP="002B5B8A">
            <w:pPr>
              <w:spacing w:before="120" w:after="120" w:line="240" w:lineRule="auto"/>
              <w:rPr>
                <w:b/>
              </w:rPr>
            </w:pPr>
            <w:r w:rsidRPr="007432FE">
              <w:rPr>
                <w:b/>
              </w:rPr>
              <w:t>Kolera</w:t>
            </w:r>
          </w:p>
        </w:tc>
        <w:tc>
          <w:tcPr>
            <w:tcW w:w="933" w:type="dxa"/>
            <w:vAlign w:val="center"/>
          </w:tcPr>
          <w:p w:rsidR="005D16D0" w:rsidRPr="007432FE" w:rsidRDefault="005D16D0" w:rsidP="002B5B8A">
            <w:pPr>
              <w:spacing w:before="120" w:after="120" w:line="240" w:lineRule="auto"/>
              <w:jc w:val="center"/>
            </w:pPr>
            <w:r w:rsidRPr="007432FE">
              <w:t>62</w:t>
            </w:r>
          </w:p>
        </w:tc>
        <w:tc>
          <w:tcPr>
            <w:tcW w:w="932" w:type="dxa"/>
            <w:vAlign w:val="center"/>
          </w:tcPr>
          <w:p w:rsidR="005D16D0" w:rsidRPr="007432FE" w:rsidRDefault="005D16D0" w:rsidP="002B5B8A">
            <w:pPr>
              <w:spacing w:before="120" w:after="120" w:line="240" w:lineRule="auto"/>
              <w:jc w:val="center"/>
            </w:pPr>
            <w:r w:rsidRPr="007432FE">
              <w:t>51</w:t>
            </w:r>
          </w:p>
        </w:tc>
        <w:tc>
          <w:tcPr>
            <w:tcW w:w="931" w:type="dxa"/>
            <w:vAlign w:val="center"/>
          </w:tcPr>
          <w:p w:rsidR="005D16D0" w:rsidRPr="007432FE" w:rsidRDefault="005D16D0" w:rsidP="002B5B8A">
            <w:pPr>
              <w:spacing w:before="120" w:after="120" w:line="240" w:lineRule="auto"/>
              <w:jc w:val="center"/>
            </w:pPr>
            <w:r w:rsidRPr="007432FE">
              <w:t>47</w:t>
            </w:r>
          </w:p>
        </w:tc>
        <w:tc>
          <w:tcPr>
            <w:tcW w:w="931" w:type="dxa"/>
            <w:vAlign w:val="center"/>
          </w:tcPr>
          <w:p w:rsidR="005D16D0" w:rsidRPr="007432FE" w:rsidRDefault="005D16D0" w:rsidP="002B5B8A">
            <w:pPr>
              <w:spacing w:before="120" w:after="120" w:line="240" w:lineRule="auto"/>
              <w:jc w:val="center"/>
            </w:pPr>
            <w:r w:rsidRPr="007432FE">
              <w:t>37</w:t>
            </w:r>
          </w:p>
        </w:tc>
        <w:tc>
          <w:tcPr>
            <w:tcW w:w="931" w:type="dxa"/>
            <w:vAlign w:val="center"/>
          </w:tcPr>
          <w:p w:rsidR="005D16D0" w:rsidRPr="007432FE" w:rsidRDefault="005D16D0" w:rsidP="002B5B8A">
            <w:pPr>
              <w:spacing w:before="120" w:after="120" w:line="240" w:lineRule="auto"/>
              <w:jc w:val="center"/>
            </w:pPr>
            <w:r w:rsidRPr="007432FE">
              <w:t>44</w:t>
            </w:r>
          </w:p>
        </w:tc>
        <w:tc>
          <w:tcPr>
            <w:tcW w:w="931" w:type="dxa"/>
            <w:vAlign w:val="center"/>
          </w:tcPr>
          <w:p w:rsidR="005D16D0" w:rsidRPr="007432FE" w:rsidRDefault="005D16D0" w:rsidP="002B5B8A">
            <w:pPr>
              <w:spacing w:before="120" w:after="120" w:line="240" w:lineRule="auto"/>
              <w:jc w:val="center"/>
            </w:pPr>
            <w:r w:rsidRPr="007432FE">
              <w:t>42</w:t>
            </w:r>
          </w:p>
        </w:tc>
        <w:tc>
          <w:tcPr>
            <w:tcW w:w="931" w:type="dxa"/>
            <w:vAlign w:val="center"/>
          </w:tcPr>
          <w:p w:rsidR="005D16D0" w:rsidRPr="007432FE" w:rsidRDefault="005D16D0" w:rsidP="002B5B8A">
            <w:pPr>
              <w:spacing w:before="120" w:after="120" w:line="240" w:lineRule="auto"/>
              <w:jc w:val="center"/>
            </w:pPr>
            <w:r w:rsidRPr="007432FE">
              <w:t>25</w:t>
            </w:r>
          </w:p>
        </w:tc>
        <w:tc>
          <w:tcPr>
            <w:tcW w:w="981" w:type="dxa"/>
            <w:vAlign w:val="center"/>
          </w:tcPr>
          <w:p w:rsidR="005D16D0" w:rsidRPr="007432FE" w:rsidRDefault="005D16D0" w:rsidP="002B5B8A">
            <w:pPr>
              <w:spacing w:before="120" w:after="120" w:line="240" w:lineRule="auto"/>
              <w:jc w:val="center"/>
            </w:pPr>
            <w:r w:rsidRPr="007432FE">
              <w:t>308</w:t>
            </w:r>
          </w:p>
        </w:tc>
      </w:tr>
      <w:tr w:rsidR="005D16D0" w:rsidTr="00D74F68">
        <w:trPr>
          <w:trHeight w:val="500"/>
        </w:trPr>
        <w:tc>
          <w:tcPr>
            <w:tcW w:w="1502" w:type="dxa"/>
          </w:tcPr>
          <w:p w:rsidR="005D16D0" w:rsidRPr="007432FE" w:rsidRDefault="005D16D0" w:rsidP="002B5B8A">
            <w:pPr>
              <w:spacing w:before="120" w:after="120" w:line="240" w:lineRule="auto"/>
              <w:jc w:val="left"/>
              <w:rPr>
                <w:b/>
              </w:rPr>
            </w:pPr>
            <w:proofErr w:type="spellStart"/>
            <w:r w:rsidRPr="007432FE">
              <w:rPr>
                <w:b/>
              </w:rPr>
              <w:t>Zika</w:t>
            </w:r>
            <w:proofErr w:type="spellEnd"/>
            <w:r w:rsidRPr="007432FE">
              <w:rPr>
                <w:b/>
              </w:rPr>
              <w:t xml:space="preserve"> Virüs Hastalığı</w:t>
            </w:r>
          </w:p>
        </w:tc>
        <w:tc>
          <w:tcPr>
            <w:tcW w:w="933" w:type="dxa"/>
            <w:vAlign w:val="center"/>
          </w:tcPr>
          <w:p w:rsidR="005D16D0" w:rsidRPr="007432FE" w:rsidRDefault="005D16D0" w:rsidP="002B5B8A">
            <w:pPr>
              <w:spacing w:before="120" w:after="120" w:line="240" w:lineRule="auto"/>
              <w:jc w:val="center"/>
            </w:pPr>
            <w:r w:rsidRPr="007432FE">
              <w:t>-</w:t>
            </w:r>
          </w:p>
        </w:tc>
        <w:tc>
          <w:tcPr>
            <w:tcW w:w="932" w:type="dxa"/>
            <w:vAlign w:val="center"/>
          </w:tcPr>
          <w:p w:rsidR="005D16D0" w:rsidRPr="007432FE" w:rsidRDefault="005D16D0" w:rsidP="002B5B8A">
            <w:pPr>
              <w:spacing w:before="120" w:after="120" w:line="240" w:lineRule="auto"/>
              <w:jc w:val="center"/>
            </w:pPr>
            <w:r w:rsidRPr="007432FE">
              <w:t>-</w:t>
            </w:r>
          </w:p>
        </w:tc>
        <w:tc>
          <w:tcPr>
            <w:tcW w:w="931" w:type="dxa"/>
            <w:vAlign w:val="center"/>
          </w:tcPr>
          <w:p w:rsidR="005D16D0" w:rsidRPr="007432FE" w:rsidRDefault="005D16D0" w:rsidP="002B5B8A">
            <w:pPr>
              <w:spacing w:before="120" w:after="120" w:line="240" w:lineRule="auto"/>
              <w:jc w:val="center"/>
            </w:pPr>
            <w:r w:rsidRPr="007432FE">
              <w:t>5</w:t>
            </w:r>
          </w:p>
        </w:tc>
        <w:tc>
          <w:tcPr>
            <w:tcW w:w="931"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19</w:t>
            </w:r>
          </w:p>
        </w:tc>
        <w:tc>
          <w:tcPr>
            <w:tcW w:w="931" w:type="dxa"/>
            <w:vAlign w:val="center"/>
          </w:tcPr>
          <w:p w:rsidR="005D16D0" w:rsidRPr="007432FE" w:rsidRDefault="005D16D0" w:rsidP="002B5B8A">
            <w:pPr>
              <w:spacing w:before="120" w:after="120" w:line="240" w:lineRule="auto"/>
              <w:jc w:val="center"/>
            </w:pPr>
            <w:r w:rsidRPr="007432FE">
              <w:t>54</w:t>
            </w:r>
          </w:p>
        </w:tc>
        <w:tc>
          <w:tcPr>
            <w:tcW w:w="931" w:type="dxa"/>
            <w:vAlign w:val="center"/>
          </w:tcPr>
          <w:p w:rsidR="005D16D0" w:rsidRPr="007432FE" w:rsidRDefault="005D16D0" w:rsidP="002B5B8A">
            <w:pPr>
              <w:spacing w:before="120" w:after="120" w:line="240" w:lineRule="auto"/>
              <w:jc w:val="center"/>
            </w:pPr>
            <w:r w:rsidRPr="007432FE">
              <w:t>52</w:t>
            </w:r>
          </w:p>
        </w:tc>
        <w:tc>
          <w:tcPr>
            <w:tcW w:w="981" w:type="dxa"/>
            <w:vAlign w:val="center"/>
          </w:tcPr>
          <w:p w:rsidR="005D16D0" w:rsidRPr="007432FE" w:rsidRDefault="005D16D0" w:rsidP="002B5B8A">
            <w:pPr>
              <w:spacing w:before="120" w:after="120" w:line="240" w:lineRule="auto"/>
              <w:jc w:val="center"/>
            </w:pPr>
            <w:r w:rsidRPr="007432FE">
              <w:t>137</w:t>
            </w:r>
          </w:p>
        </w:tc>
      </w:tr>
      <w:tr w:rsidR="005D16D0" w:rsidTr="00D74F68">
        <w:trPr>
          <w:trHeight w:val="500"/>
        </w:trPr>
        <w:tc>
          <w:tcPr>
            <w:tcW w:w="1502" w:type="dxa"/>
          </w:tcPr>
          <w:p w:rsidR="005D16D0" w:rsidRPr="007432FE" w:rsidRDefault="005D16D0" w:rsidP="002B5B8A">
            <w:pPr>
              <w:spacing w:before="120" w:after="120" w:line="240" w:lineRule="auto"/>
              <w:rPr>
                <w:b/>
              </w:rPr>
            </w:pPr>
            <w:r w:rsidRPr="007432FE">
              <w:rPr>
                <w:b/>
              </w:rPr>
              <w:t>Menenjit</w:t>
            </w:r>
          </w:p>
        </w:tc>
        <w:tc>
          <w:tcPr>
            <w:tcW w:w="933" w:type="dxa"/>
            <w:vAlign w:val="center"/>
          </w:tcPr>
          <w:p w:rsidR="005D16D0" w:rsidRPr="007432FE" w:rsidRDefault="005D16D0" w:rsidP="002B5B8A">
            <w:pPr>
              <w:spacing w:before="120" w:after="120" w:line="240" w:lineRule="auto"/>
              <w:jc w:val="center"/>
            </w:pPr>
            <w:r w:rsidRPr="007432FE">
              <w:t>14</w:t>
            </w:r>
          </w:p>
        </w:tc>
        <w:tc>
          <w:tcPr>
            <w:tcW w:w="932" w:type="dxa"/>
            <w:vAlign w:val="center"/>
          </w:tcPr>
          <w:p w:rsidR="005D16D0" w:rsidRPr="007432FE" w:rsidRDefault="005D16D0" w:rsidP="002B5B8A">
            <w:pPr>
              <w:spacing w:before="120" w:after="120" w:line="240" w:lineRule="auto"/>
              <w:jc w:val="center"/>
            </w:pPr>
            <w:r w:rsidRPr="007432FE">
              <w:t>20</w:t>
            </w:r>
          </w:p>
        </w:tc>
        <w:tc>
          <w:tcPr>
            <w:tcW w:w="931" w:type="dxa"/>
            <w:vAlign w:val="center"/>
          </w:tcPr>
          <w:p w:rsidR="005D16D0" w:rsidRPr="007432FE" w:rsidRDefault="005D16D0" w:rsidP="002B5B8A">
            <w:pPr>
              <w:spacing w:before="120" w:after="120" w:line="240" w:lineRule="auto"/>
              <w:jc w:val="center"/>
            </w:pPr>
            <w:r w:rsidRPr="007432FE">
              <w:t>19</w:t>
            </w:r>
          </w:p>
        </w:tc>
        <w:tc>
          <w:tcPr>
            <w:tcW w:w="931" w:type="dxa"/>
            <w:vAlign w:val="center"/>
          </w:tcPr>
          <w:p w:rsidR="005D16D0" w:rsidRPr="007432FE" w:rsidRDefault="005D16D0" w:rsidP="002B5B8A">
            <w:pPr>
              <w:spacing w:before="120" w:after="120" w:line="240" w:lineRule="auto"/>
              <w:jc w:val="center"/>
            </w:pPr>
            <w:r w:rsidRPr="007432FE">
              <w:t>19</w:t>
            </w:r>
          </w:p>
        </w:tc>
        <w:tc>
          <w:tcPr>
            <w:tcW w:w="931" w:type="dxa"/>
            <w:vAlign w:val="center"/>
          </w:tcPr>
          <w:p w:rsidR="005D16D0" w:rsidRPr="007432FE" w:rsidRDefault="005D16D0" w:rsidP="002B5B8A">
            <w:pPr>
              <w:spacing w:before="120" w:after="120" w:line="240" w:lineRule="auto"/>
              <w:jc w:val="center"/>
            </w:pPr>
            <w:r w:rsidRPr="007432FE">
              <w:t>19</w:t>
            </w:r>
          </w:p>
        </w:tc>
        <w:tc>
          <w:tcPr>
            <w:tcW w:w="931" w:type="dxa"/>
            <w:vAlign w:val="center"/>
          </w:tcPr>
          <w:p w:rsidR="005D16D0" w:rsidRPr="007432FE" w:rsidRDefault="005D16D0" w:rsidP="002B5B8A">
            <w:pPr>
              <w:spacing w:before="120" w:after="120" w:line="240" w:lineRule="auto"/>
              <w:jc w:val="center"/>
            </w:pPr>
            <w:r w:rsidRPr="007432FE">
              <w:t>23</w:t>
            </w:r>
          </w:p>
        </w:tc>
        <w:tc>
          <w:tcPr>
            <w:tcW w:w="931" w:type="dxa"/>
            <w:vAlign w:val="center"/>
          </w:tcPr>
          <w:p w:rsidR="005D16D0" w:rsidRPr="007432FE" w:rsidRDefault="005D16D0" w:rsidP="002B5B8A">
            <w:pPr>
              <w:spacing w:before="120" w:after="120" w:line="240" w:lineRule="auto"/>
              <w:jc w:val="center"/>
            </w:pPr>
            <w:r w:rsidRPr="007432FE">
              <w:t>23</w:t>
            </w:r>
          </w:p>
        </w:tc>
        <w:tc>
          <w:tcPr>
            <w:tcW w:w="981" w:type="dxa"/>
            <w:vAlign w:val="center"/>
          </w:tcPr>
          <w:p w:rsidR="005D16D0" w:rsidRPr="007432FE" w:rsidRDefault="005D16D0" w:rsidP="002B5B8A">
            <w:pPr>
              <w:spacing w:before="120" w:after="120" w:line="240" w:lineRule="auto"/>
              <w:jc w:val="center"/>
            </w:pPr>
            <w:r w:rsidRPr="007432FE">
              <w:t>137</w:t>
            </w:r>
          </w:p>
        </w:tc>
      </w:tr>
      <w:tr w:rsidR="005D16D0" w:rsidTr="00D74F68">
        <w:trPr>
          <w:trHeight w:val="500"/>
        </w:trPr>
        <w:tc>
          <w:tcPr>
            <w:tcW w:w="1502" w:type="dxa"/>
          </w:tcPr>
          <w:p w:rsidR="005D16D0" w:rsidRPr="007432FE" w:rsidRDefault="005D16D0" w:rsidP="002B5B8A">
            <w:pPr>
              <w:spacing w:before="120" w:after="120" w:line="240" w:lineRule="auto"/>
              <w:rPr>
                <w:b/>
              </w:rPr>
            </w:pPr>
            <w:proofErr w:type="spellStart"/>
            <w:r w:rsidRPr="007432FE">
              <w:rPr>
                <w:b/>
              </w:rPr>
              <w:t>Şigelloz</w:t>
            </w:r>
            <w:proofErr w:type="spellEnd"/>
          </w:p>
        </w:tc>
        <w:tc>
          <w:tcPr>
            <w:tcW w:w="933" w:type="dxa"/>
            <w:vAlign w:val="center"/>
          </w:tcPr>
          <w:p w:rsidR="005D16D0" w:rsidRPr="007432FE" w:rsidRDefault="005D16D0" w:rsidP="002B5B8A">
            <w:pPr>
              <w:spacing w:before="120" w:after="120" w:line="240" w:lineRule="auto"/>
              <w:jc w:val="center"/>
            </w:pPr>
            <w:r w:rsidRPr="007432FE">
              <w:t>25</w:t>
            </w:r>
          </w:p>
        </w:tc>
        <w:tc>
          <w:tcPr>
            <w:tcW w:w="932" w:type="dxa"/>
            <w:vAlign w:val="center"/>
          </w:tcPr>
          <w:p w:rsidR="005D16D0" w:rsidRPr="007432FE" w:rsidRDefault="005D16D0" w:rsidP="002B5B8A">
            <w:pPr>
              <w:spacing w:before="120" w:after="120" w:line="240" w:lineRule="auto"/>
              <w:jc w:val="center"/>
            </w:pPr>
            <w:r w:rsidRPr="007432FE">
              <w:t>24</w:t>
            </w:r>
          </w:p>
        </w:tc>
        <w:tc>
          <w:tcPr>
            <w:tcW w:w="931" w:type="dxa"/>
            <w:vAlign w:val="center"/>
          </w:tcPr>
          <w:p w:rsidR="005D16D0" w:rsidRPr="007432FE" w:rsidRDefault="005D16D0" w:rsidP="002B5B8A">
            <w:pPr>
              <w:spacing w:before="120" w:after="120" w:line="240" w:lineRule="auto"/>
              <w:jc w:val="center"/>
            </w:pPr>
            <w:r w:rsidRPr="007432FE">
              <w:t>28</w:t>
            </w:r>
          </w:p>
        </w:tc>
        <w:tc>
          <w:tcPr>
            <w:tcW w:w="931" w:type="dxa"/>
            <w:vAlign w:val="center"/>
          </w:tcPr>
          <w:p w:rsidR="005D16D0" w:rsidRPr="007432FE" w:rsidRDefault="005D16D0" w:rsidP="002B5B8A">
            <w:pPr>
              <w:spacing w:before="120" w:after="120" w:line="240" w:lineRule="auto"/>
              <w:jc w:val="center"/>
            </w:pPr>
            <w:r w:rsidRPr="007432FE">
              <w:t>29</w:t>
            </w:r>
          </w:p>
        </w:tc>
        <w:tc>
          <w:tcPr>
            <w:tcW w:w="931" w:type="dxa"/>
            <w:vAlign w:val="center"/>
          </w:tcPr>
          <w:p w:rsidR="005D16D0" w:rsidRPr="007432FE" w:rsidRDefault="005D16D0" w:rsidP="002B5B8A">
            <w:pPr>
              <w:spacing w:before="120" w:after="120" w:line="240" w:lineRule="auto"/>
              <w:jc w:val="center"/>
            </w:pPr>
            <w:r w:rsidRPr="007432FE">
              <w:t>4</w:t>
            </w:r>
          </w:p>
        </w:tc>
        <w:tc>
          <w:tcPr>
            <w:tcW w:w="931" w:type="dxa"/>
            <w:vAlign w:val="center"/>
          </w:tcPr>
          <w:p w:rsidR="005D16D0" w:rsidRPr="007432FE" w:rsidRDefault="005D16D0" w:rsidP="002B5B8A">
            <w:pPr>
              <w:spacing w:before="120" w:after="120" w:line="240" w:lineRule="auto"/>
              <w:jc w:val="center"/>
            </w:pPr>
            <w:r w:rsidRPr="007432FE">
              <w:t>2</w:t>
            </w:r>
          </w:p>
        </w:tc>
        <w:tc>
          <w:tcPr>
            <w:tcW w:w="931" w:type="dxa"/>
            <w:vAlign w:val="center"/>
          </w:tcPr>
          <w:p w:rsidR="005D16D0" w:rsidRPr="007432FE" w:rsidRDefault="005D16D0" w:rsidP="002B5B8A">
            <w:pPr>
              <w:spacing w:before="120" w:after="120" w:line="240" w:lineRule="auto"/>
              <w:jc w:val="center"/>
            </w:pPr>
            <w:r w:rsidRPr="007432FE">
              <w:t>1</w:t>
            </w:r>
          </w:p>
        </w:tc>
        <w:tc>
          <w:tcPr>
            <w:tcW w:w="981" w:type="dxa"/>
            <w:vAlign w:val="center"/>
          </w:tcPr>
          <w:p w:rsidR="005D16D0" w:rsidRPr="007432FE" w:rsidRDefault="005D16D0" w:rsidP="002B5B8A">
            <w:pPr>
              <w:spacing w:before="120" w:after="120" w:line="240" w:lineRule="auto"/>
              <w:jc w:val="center"/>
            </w:pPr>
            <w:r w:rsidRPr="007432FE">
              <w:t>113</w:t>
            </w:r>
          </w:p>
        </w:tc>
      </w:tr>
      <w:tr w:rsidR="005D16D0" w:rsidTr="00D74F68">
        <w:trPr>
          <w:trHeight w:val="500"/>
        </w:trPr>
        <w:tc>
          <w:tcPr>
            <w:tcW w:w="1502" w:type="dxa"/>
          </w:tcPr>
          <w:p w:rsidR="005D16D0" w:rsidRPr="007432FE" w:rsidRDefault="005D16D0" w:rsidP="002B5B8A">
            <w:pPr>
              <w:spacing w:before="120" w:after="120" w:line="240" w:lineRule="auto"/>
              <w:rPr>
                <w:b/>
              </w:rPr>
            </w:pPr>
            <w:proofErr w:type="spellStart"/>
            <w:r w:rsidRPr="007432FE">
              <w:rPr>
                <w:b/>
              </w:rPr>
              <w:t>Chikungunya</w:t>
            </w:r>
            <w:proofErr w:type="spellEnd"/>
            <w:r w:rsidRPr="007432FE">
              <w:rPr>
                <w:b/>
              </w:rPr>
              <w:t xml:space="preserve"> Ateşi</w:t>
            </w:r>
          </w:p>
        </w:tc>
        <w:tc>
          <w:tcPr>
            <w:tcW w:w="933" w:type="dxa"/>
            <w:vAlign w:val="center"/>
          </w:tcPr>
          <w:p w:rsidR="005D16D0" w:rsidRPr="007432FE" w:rsidRDefault="005D16D0" w:rsidP="002B5B8A">
            <w:pPr>
              <w:spacing w:before="120" w:after="120" w:line="240" w:lineRule="auto"/>
              <w:jc w:val="center"/>
            </w:pPr>
            <w:r w:rsidRPr="007432FE">
              <w:t>8</w:t>
            </w:r>
          </w:p>
        </w:tc>
        <w:tc>
          <w:tcPr>
            <w:tcW w:w="932" w:type="dxa"/>
            <w:vAlign w:val="center"/>
          </w:tcPr>
          <w:p w:rsidR="005D16D0" w:rsidRPr="007432FE" w:rsidRDefault="005D16D0" w:rsidP="002B5B8A">
            <w:pPr>
              <w:spacing w:before="120" w:after="120" w:line="240" w:lineRule="auto"/>
              <w:jc w:val="center"/>
            </w:pPr>
            <w:r w:rsidRPr="007432FE">
              <w:t>10</w:t>
            </w:r>
          </w:p>
        </w:tc>
        <w:tc>
          <w:tcPr>
            <w:tcW w:w="931" w:type="dxa"/>
            <w:vAlign w:val="center"/>
          </w:tcPr>
          <w:p w:rsidR="005D16D0" w:rsidRPr="007432FE" w:rsidRDefault="005D16D0" w:rsidP="002B5B8A">
            <w:pPr>
              <w:spacing w:before="120" w:after="120" w:line="240" w:lineRule="auto"/>
              <w:jc w:val="center"/>
            </w:pPr>
            <w:r w:rsidRPr="007432FE">
              <w:t>3</w:t>
            </w:r>
          </w:p>
        </w:tc>
        <w:tc>
          <w:tcPr>
            <w:tcW w:w="931" w:type="dxa"/>
            <w:vAlign w:val="center"/>
          </w:tcPr>
          <w:p w:rsidR="005D16D0" w:rsidRPr="007432FE" w:rsidRDefault="005D16D0" w:rsidP="002B5B8A">
            <w:pPr>
              <w:spacing w:before="120" w:after="120" w:line="240" w:lineRule="auto"/>
              <w:jc w:val="center"/>
            </w:pPr>
            <w:r w:rsidRPr="007432FE">
              <w:t>29</w:t>
            </w:r>
          </w:p>
        </w:tc>
        <w:tc>
          <w:tcPr>
            <w:tcW w:w="931" w:type="dxa"/>
            <w:vAlign w:val="center"/>
          </w:tcPr>
          <w:p w:rsidR="005D16D0" w:rsidRPr="007432FE" w:rsidRDefault="005D16D0" w:rsidP="002B5B8A">
            <w:pPr>
              <w:spacing w:before="120" w:after="120" w:line="240" w:lineRule="auto"/>
              <w:jc w:val="center"/>
            </w:pPr>
            <w:r w:rsidRPr="007432FE">
              <w:t>27</w:t>
            </w:r>
          </w:p>
        </w:tc>
        <w:tc>
          <w:tcPr>
            <w:tcW w:w="931" w:type="dxa"/>
            <w:vAlign w:val="center"/>
          </w:tcPr>
          <w:p w:rsidR="005D16D0" w:rsidRPr="007432FE" w:rsidRDefault="005D16D0" w:rsidP="002B5B8A">
            <w:pPr>
              <w:spacing w:before="120" w:after="120" w:line="240" w:lineRule="auto"/>
              <w:jc w:val="center"/>
            </w:pPr>
            <w:r w:rsidRPr="007432FE">
              <w:t>14</w:t>
            </w:r>
          </w:p>
        </w:tc>
        <w:tc>
          <w:tcPr>
            <w:tcW w:w="931" w:type="dxa"/>
            <w:vAlign w:val="center"/>
          </w:tcPr>
          <w:p w:rsidR="005D16D0" w:rsidRPr="007432FE" w:rsidRDefault="005D16D0" w:rsidP="002B5B8A">
            <w:pPr>
              <w:spacing w:before="120" w:after="120" w:line="240" w:lineRule="auto"/>
              <w:jc w:val="center"/>
            </w:pPr>
            <w:r w:rsidRPr="007432FE">
              <w:t>4</w:t>
            </w:r>
          </w:p>
        </w:tc>
        <w:tc>
          <w:tcPr>
            <w:tcW w:w="981" w:type="dxa"/>
            <w:vAlign w:val="center"/>
          </w:tcPr>
          <w:p w:rsidR="005D16D0" w:rsidRPr="007432FE" w:rsidRDefault="005D16D0" w:rsidP="002B5B8A">
            <w:pPr>
              <w:spacing w:before="120" w:after="120" w:line="240" w:lineRule="auto"/>
              <w:jc w:val="center"/>
            </w:pPr>
            <w:r w:rsidRPr="007432FE">
              <w:t>95</w:t>
            </w:r>
          </w:p>
        </w:tc>
      </w:tr>
      <w:tr w:rsidR="005D16D0" w:rsidTr="00D74F68">
        <w:trPr>
          <w:trHeight w:val="500"/>
        </w:trPr>
        <w:tc>
          <w:tcPr>
            <w:tcW w:w="1502" w:type="dxa"/>
          </w:tcPr>
          <w:p w:rsidR="005D16D0" w:rsidRPr="007432FE" w:rsidRDefault="005D16D0" w:rsidP="002B5B8A">
            <w:pPr>
              <w:spacing w:before="120" w:after="120" w:line="240" w:lineRule="auto"/>
              <w:jc w:val="left"/>
              <w:rPr>
                <w:b/>
              </w:rPr>
            </w:pPr>
            <w:r w:rsidRPr="007432FE">
              <w:rPr>
                <w:b/>
              </w:rPr>
              <w:t>Batı Nil Ateşi</w:t>
            </w:r>
          </w:p>
        </w:tc>
        <w:tc>
          <w:tcPr>
            <w:tcW w:w="933" w:type="dxa"/>
            <w:vAlign w:val="center"/>
          </w:tcPr>
          <w:p w:rsidR="005D16D0" w:rsidRPr="007432FE" w:rsidRDefault="005D16D0" w:rsidP="002B5B8A">
            <w:pPr>
              <w:spacing w:before="120" w:after="120" w:line="240" w:lineRule="auto"/>
              <w:jc w:val="center"/>
            </w:pPr>
            <w:r w:rsidRPr="007432FE">
              <w:t>11</w:t>
            </w:r>
          </w:p>
        </w:tc>
        <w:tc>
          <w:tcPr>
            <w:tcW w:w="932" w:type="dxa"/>
            <w:vAlign w:val="center"/>
          </w:tcPr>
          <w:p w:rsidR="005D16D0" w:rsidRPr="007432FE" w:rsidRDefault="005D16D0" w:rsidP="002B5B8A">
            <w:pPr>
              <w:spacing w:before="120" w:after="120" w:line="240" w:lineRule="auto"/>
              <w:jc w:val="center"/>
            </w:pPr>
            <w:r w:rsidRPr="007432FE">
              <w:t>15</w:t>
            </w:r>
          </w:p>
        </w:tc>
        <w:tc>
          <w:tcPr>
            <w:tcW w:w="931" w:type="dxa"/>
            <w:vAlign w:val="center"/>
          </w:tcPr>
          <w:p w:rsidR="005D16D0" w:rsidRPr="007432FE" w:rsidRDefault="005D16D0" w:rsidP="002B5B8A">
            <w:pPr>
              <w:spacing w:before="120" w:after="120" w:line="240" w:lineRule="auto"/>
              <w:jc w:val="center"/>
            </w:pPr>
            <w:r w:rsidRPr="007432FE">
              <w:t>15</w:t>
            </w:r>
          </w:p>
        </w:tc>
        <w:tc>
          <w:tcPr>
            <w:tcW w:w="931" w:type="dxa"/>
            <w:vAlign w:val="center"/>
          </w:tcPr>
          <w:p w:rsidR="005D16D0" w:rsidRPr="007432FE" w:rsidRDefault="005D16D0" w:rsidP="002B5B8A">
            <w:pPr>
              <w:spacing w:before="120" w:after="120" w:line="240" w:lineRule="auto"/>
              <w:jc w:val="center"/>
            </w:pPr>
            <w:r w:rsidRPr="007432FE">
              <w:t>11</w:t>
            </w:r>
          </w:p>
        </w:tc>
        <w:tc>
          <w:tcPr>
            <w:tcW w:w="931" w:type="dxa"/>
            <w:vAlign w:val="center"/>
          </w:tcPr>
          <w:p w:rsidR="005D16D0" w:rsidRPr="007432FE" w:rsidRDefault="005D16D0" w:rsidP="002B5B8A">
            <w:pPr>
              <w:spacing w:before="120" w:after="120" w:line="240" w:lineRule="auto"/>
              <w:jc w:val="center"/>
            </w:pPr>
            <w:r w:rsidRPr="007432FE">
              <w:t>11</w:t>
            </w:r>
          </w:p>
        </w:tc>
        <w:tc>
          <w:tcPr>
            <w:tcW w:w="931" w:type="dxa"/>
            <w:vAlign w:val="center"/>
          </w:tcPr>
          <w:p w:rsidR="005D16D0" w:rsidRPr="007432FE" w:rsidRDefault="005D16D0" w:rsidP="002B5B8A">
            <w:pPr>
              <w:spacing w:before="120" w:after="120" w:line="240" w:lineRule="auto"/>
              <w:jc w:val="center"/>
            </w:pPr>
            <w:r w:rsidRPr="007432FE">
              <w:t>18</w:t>
            </w:r>
          </w:p>
        </w:tc>
        <w:tc>
          <w:tcPr>
            <w:tcW w:w="931" w:type="dxa"/>
            <w:vAlign w:val="center"/>
          </w:tcPr>
          <w:p w:rsidR="005D16D0" w:rsidRPr="007432FE" w:rsidRDefault="005D16D0" w:rsidP="002B5B8A">
            <w:pPr>
              <w:spacing w:before="120" w:after="120" w:line="240" w:lineRule="auto"/>
              <w:jc w:val="center"/>
            </w:pPr>
            <w:r w:rsidRPr="007432FE">
              <w:t>10</w:t>
            </w:r>
          </w:p>
        </w:tc>
        <w:tc>
          <w:tcPr>
            <w:tcW w:w="981" w:type="dxa"/>
            <w:vAlign w:val="center"/>
          </w:tcPr>
          <w:p w:rsidR="005D16D0" w:rsidRPr="007432FE" w:rsidRDefault="005D16D0" w:rsidP="002B5B8A">
            <w:pPr>
              <w:spacing w:before="120" w:after="120" w:line="240" w:lineRule="auto"/>
              <w:jc w:val="center"/>
            </w:pPr>
            <w:r w:rsidRPr="007432FE">
              <w:t>91</w:t>
            </w:r>
          </w:p>
        </w:tc>
      </w:tr>
      <w:tr w:rsidR="005D16D0" w:rsidTr="00D74F68">
        <w:trPr>
          <w:trHeight w:val="500"/>
        </w:trPr>
        <w:tc>
          <w:tcPr>
            <w:tcW w:w="1502" w:type="dxa"/>
          </w:tcPr>
          <w:p w:rsidR="005D16D0" w:rsidRPr="007432FE" w:rsidRDefault="005D16D0" w:rsidP="002B5B8A">
            <w:pPr>
              <w:spacing w:before="120" w:after="120" w:line="240" w:lineRule="auto"/>
              <w:rPr>
                <w:b/>
              </w:rPr>
            </w:pPr>
            <w:r w:rsidRPr="007432FE">
              <w:rPr>
                <w:b/>
              </w:rPr>
              <w:t>Tifo</w:t>
            </w:r>
          </w:p>
        </w:tc>
        <w:tc>
          <w:tcPr>
            <w:tcW w:w="933" w:type="dxa"/>
            <w:vAlign w:val="center"/>
          </w:tcPr>
          <w:p w:rsidR="005D16D0" w:rsidRPr="007432FE" w:rsidRDefault="005D16D0" w:rsidP="002B5B8A">
            <w:pPr>
              <w:spacing w:before="120" w:after="120" w:line="240" w:lineRule="auto"/>
              <w:jc w:val="center"/>
            </w:pPr>
            <w:r w:rsidRPr="007432FE">
              <w:t>20</w:t>
            </w:r>
          </w:p>
        </w:tc>
        <w:tc>
          <w:tcPr>
            <w:tcW w:w="932" w:type="dxa"/>
            <w:vAlign w:val="center"/>
          </w:tcPr>
          <w:p w:rsidR="005D16D0" w:rsidRPr="007432FE" w:rsidRDefault="005D16D0" w:rsidP="002B5B8A">
            <w:pPr>
              <w:spacing w:before="120" w:after="120" w:line="240" w:lineRule="auto"/>
              <w:jc w:val="center"/>
            </w:pPr>
            <w:r w:rsidRPr="007432FE">
              <w:t>23</w:t>
            </w:r>
          </w:p>
        </w:tc>
        <w:tc>
          <w:tcPr>
            <w:tcW w:w="931" w:type="dxa"/>
            <w:vAlign w:val="center"/>
          </w:tcPr>
          <w:p w:rsidR="005D16D0" w:rsidRPr="007432FE" w:rsidRDefault="005D16D0" w:rsidP="002B5B8A">
            <w:pPr>
              <w:spacing w:before="120" w:after="120" w:line="240" w:lineRule="auto"/>
              <w:jc w:val="center"/>
            </w:pPr>
            <w:r w:rsidRPr="007432FE">
              <w:t>5</w:t>
            </w:r>
          </w:p>
        </w:tc>
        <w:tc>
          <w:tcPr>
            <w:tcW w:w="931" w:type="dxa"/>
            <w:vAlign w:val="center"/>
          </w:tcPr>
          <w:p w:rsidR="005D16D0" w:rsidRPr="007432FE" w:rsidRDefault="005D16D0" w:rsidP="002B5B8A">
            <w:pPr>
              <w:spacing w:before="120" w:after="120" w:line="240" w:lineRule="auto"/>
              <w:jc w:val="center"/>
            </w:pPr>
            <w:r w:rsidRPr="007432FE">
              <w:t>2</w:t>
            </w:r>
          </w:p>
        </w:tc>
        <w:tc>
          <w:tcPr>
            <w:tcW w:w="931" w:type="dxa"/>
            <w:vAlign w:val="center"/>
          </w:tcPr>
          <w:p w:rsidR="005D16D0" w:rsidRPr="007432FE" w:rsidRDefault="005D16D0" w:rsidP="002B5B8A">
            <w:pPr>
              <w:spacing w:before="120" w:after="120" w:line="240" w:lineRule="auto"/>
              <w:jc w:val="center"/>
            </w:pPr>
            <w:r w:rsidRPr="007432FE">
              <w:t>8</w:t>
            </w:r>
          </w:p>
        </w:tc>
        <w:tc>
          <w:tcPr>
            <w:tcW w:w="931" w:type="dxa"/>
            <w:vAlign w:val="center"/>
          </w:tcPr>
          <w:p w:rsidR="005D16D0" w:rsidRPr="007432FE" w:rsidRDefault="005D16D0" w:rsidP="002B5B8A">
            <w:pPr>
              <w:spacing w:before="120" w:after="120" w:line="240" w:lineRule="auto"/>
              <w:jc w:val="center"/>
            </w:pPr>
            <w:r w:rsidRPr="007432FE">
              <w:t>3</w:t>
            </w:r>
          </w:p>
        </w:tc>
        <w:tc>
          <w:tcPr>
            <w:tcW w:w="931" w:type="dxa"/>
            <w:vAlign w:val="center"/>
          </w:tcPr>
          <w:p w:rsidR="005D16D0" w:rsidRPr="007432FE" w:rsidRDefault="005D16D0" w:rsidP="002B5B8A">
            <w:pPr>
              <w:spacing w:before="120" w:after="120" w:line="240" w:lineRule="auto"/>
              <w:jc w:val="center"/>
            </w:pPr>
            <w:r w:rsidRPr="007432FE">
              <w:t>14</w:t>
            </w:r>
          </w:p>
        </w:tc>
        <w:tc>
          <w:tcPr>
            <w:tcW w:w="981" w:type="dxa"/>
            <w:vAlign w:val="center"/>
          </w:tcPr>
          <w:p w:rsidR="005D16D0" w:rsidRPr="007432FE" w:rsidRDefault="005D16D0" w:rsidP="002B5B8A">
            <w:pPr>
              <w:spacing w:before="120" w:after="120" w:line="240" w:lineRule="auto"/>
              <w:jc w:val="center"/>
            </w:pPr>
            <w:r w:rsidRPr="007432FE">
              <w:t>75</w:t>
            </w:r>
          </w:p>
        </w:tc>
      </w:tr>
      <w:tr w:rsidR="005D16D0" w:rsidTr="00D74F68">
        <w:trPr>
          <w:trHeight w:val="515"/>
        </w:trPr>
        <w:tc>
          <w:tcPr>
            <w:tcW w:w="1502" w:type="dxa"/>
          </w:tcPr>
          <w:p w:rsidR="005D16D0" w:rsidRPr="007432FE" w:rsidRDefault="005D16D0" w:rsidP="002B5B8A">
            <w:pPr>
              <w:spacing w:before="120" w:after="120" w:line="240" w:lineRule="auto"/>
              <w:rPr>
                <w:b/>
              </w:rPr>
            </w:pPr>
            <w:r w:rsidRPr="007432FE">
              <w:rPr>
                <w:b/>
              </w:rPr>
              <w:t>MERS-</w:t>
            </w:r>
            <w:proofErr w:type="spellStart"/>
            <w:r w:rsidRPr="007432FE">
              <w:rPr>
                <w:b/>
              </w:rPr>
              <w:t>CoV</w:t>
            </w:r>
            <w:proofErr w:type="spellEnd"/>
          </w:p>
        </w:tc>
        <w:tc>
          <w:tcPr>
            <w:tcW w:w="933" w:type="dxa"/>
            <w:vAlign w:val="center"/>
          </w:tcPr>
          <w:p w:rsidR="005D16D0" w:rsidRPr="007432FE" w:rsidRDefault="005D16D0" w:rsidP="002B5B8A">
            <w:pPr>
              <w:spacing w:before="120" w:after="120" w:line="240" w:lineRule="auto"/>
              <w:jc w:val="center"/>
            </w:pPr>
            <w:r w:rsidRPr="007432FE">
              <w:t>-</w:t>
            </w:r>
          </w:p>
        </w:tc>
        <w:tc>
          <w:tcPr>
            <w:tcW w:w="932" w:type="dxa"/>
            <w:vAlign w:val="center"/>
          </w:tcPr>
          <w:p w:rsidR="005D16D0" w:rsidRPr="007432FE" w:rsidRDefault="005D16D0" w:rsidP="002B5B8A">
            <w:pPr>
              <w:spacing w:before="120" w:after="120" w:line="240" w:lineRule="auto"/>
              <w:jc w:val="center"/>
            </w:pPr>
            <w:r w:rsidRPr="007432FE">
              <w:t>3</w:t>
            </w:r>
          </w:p>
        </w:tc>
        <w:tc>
          <w:tcPr>
            <w:tcW w:w="931" w:type="dxa"/>
            <w:vAlign w:val="center"/>
          </w:tcPr>
          <w:p w:rsidR="005D16D0" w:rsidRPr="007432FE" w:rsidRDefault="005D16D0" w:rsidP="002B5B8A">
            <w:pPr>
              <w:spacing w:before="120" w:after="120" w:line="240" w:lineRule="auto"/>
              <w:jc w:val="center"/>
            </w:pPr>
            <w:r w:rsidRPr="007432FE">
              <w:t>10</w:t>
            </w:r>
          </w:p>
        </w:tc>
        <w:tc>
          <w:tcPr>
            <w:tcW w:w="931" w:type="dxa"/>
            <w:vAlign w:val="center"/>
          </w:tcPr>
          <w:p w:rsidR="005D16D0" w:rsidRPr="007432FE" w:rsidRDefault="005D16D0" w:rsidP="002B5B8A">
            <w:pPr>
              <w:spacing w:before="120" w:after="120" w:line="240" w:lineRule="auto"/>
              <w:jc w:val="center"/>
            </w:pPr>
            <w:r w:rsidRPr="007432FE">
              <w:t>17</w:t>
            </w:r>
          </w:p>
        </w:tc>
        <w:tc>
          <w:tcPr>
            <w:tcW w:w="931" w:type="dxa"/>
            <w:vAlign w:val="center"/>
          </w:tcPr>
          <w:p w:rsidR="005D16D0" w:rsidRPr="007432FE" w:rsidRDefault="005D16D0" w:rsidP="002B5B8A">
            <w:pPr>
              <w:spacing w:before="120" w:after="120" w:line="240" w:lineRule="auto"/>
              <w:jc w:val="center"/>
            </w:pPr>
            <w:r w:rsidRPr="007432FE">
              <w:t>12</w:t>
            </w:r>
          </w:p>
        </w:tc>
        <w:tc>
          <w:tcPr>
            <w:tcW w:w="931"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8</w:t>
            </w:r>
          </w:p>
        </w:tc>
        <w:tc>
          <w:tcPr>
            <w:tcW w:w="981" w:type="dxa"/>
            <w:vAlign w:val="center"/>
          </w:tcPr>
          <w:p w:rsidR="005D16D0" w:rsidRPr="007432FE" w:rsidRDefault="005D16D0" w:rsidP="002B5B8A">
            <w:pPr>
              <w:spacing w:before="120" w:after="120" w:line="240" w:lineRule="auto"/>
              <w:jc w:val="center"/>
            </w:pPr>
            <w:r w:rsidRPr="007432FE">
              <w:t>57</w:t>
            </w:r>
          </w:p>
        </w:tc>
      </w:tr>
      <w:tr w:rsidR="005D16D0" w:rsidTr="00D74F68">
        <w:trPr>
          <w:trHeight w:val="515"/>
        </w:trPr>
        <w:tc>
          <w:tcPr>
            <w:tcW w:w="1502" w:type="dxa"/>
          </w:tcPr>
          <w:p w:rsidR="005D16D0" w:rsidRPr="007432FE" w:rsidRDefault="005D16D0" w:rsidP="002B5B8A">
            <w:pPr>
              <w:spacing w:before="120" w:after="120" w:line="240" w:lineRule="auto"/>
              <w:rPr>
                <w:b/>
              </w:rPr>
            </w:pPr>
            <w:r w:rsidRPr="007432FE">
              <w:rPr>
                <w:b/>
              </w:rPr>
              <w:t>Sarıhumma</w:t>
            </w:r>
          </w:p>
        </w:tc>
        <w:tc>
          <w:tcPr>
            <w:tcW w:w="933" w:type="dxa"/>
            <w:vAlign w:val="center"/>
          </w:tcPr>
          <w:p w:rsidR="005D16D0" w:rsidRPr="007432FE" w:rsidRDefault="005D16D0" w:rsidP="002B5B8A">
            <w:pPr>
              <w:spacing w:before="120" w:after="120" w:line="240" w:lineRule="auto"/>
              <w:jc w:val="center"/>
            </w:pPr>
            <w:r w:rsidRPr="007432FE">
              <w:t>17</w:t>
            </w:r>
          </w:p>
        </w:tc>
        <w:tc>
          <w:tcPr>
            <w:tcW w:w="932" w:type="dxa"/>
            <w:vAlign w:val="center"/>
          </w:tcPr>
          <w:p w:rsidR="005D16D0" w:rsidRPr="007432FE" w:rsidRDefault="005D16D0" w:rsidP="002B5B8A">
            <w:pPr>
              <w:spacing w:before="120" w:after="120" w:line="240" w:lineRule="auto"/>
              <w:jc w:val="center"/>
            </w:pPr>
            <w:r w:rsidRPr="007432FE">
              <w:t>12</w:t>
            </w:r>
          </w:p>
        </w:tc>
        <w:tc>
          <w:tcPr>
            <w:tcW w:w="931" w:type="dxa"/>
            <w:vAlign w:val="center"/>
          </w:tcPr>
          <w:p w:rsidR="005D16D0" w:rsidRPr="007432FE" w:rsidRDefault="005D16D0" w:rsidP="002B5B8A">
            <w:pPr>
              <w:spacing w:before="120" w:after="120" w:line="240" w:lineRule="auto"/>
              <w:jc w:val="center"/>
            </w:pPr>
            <w:r w:rsidRPr="007432FE">
              <w:t>8</w:t>
            </w:r>
          </w:p>
        </w:tc>
        <w:tc>
          <w:tcPr>
            <w:tcW w:w="931" w:type="dxa"/>
            <w:vAlign w:val="center"/>
          </w:tcPr>
          <w:p w:rsidR="005D16D0" w:rsidRPr="007432FE" w:rsidRDefault="005D16D0" w:rsidP="002B5B8A">
            <w:pPr>
              <w:spacing w:before="120" w:after="120" w:line="240" w:lineRule="auto"/>
              <w:jc w:val="center"/>
            </w:pPr>
            <w:r w:rsidRPr="007432FE">
              <w:t>2</w:t>
            </w:r>
          </w:p>
        </w:tc>
        <w:tc>
          <w:tcPr>
            <w:tcW w:w="931" w:type="dxa"/>
            <w:vAlign w:val="center"/>
          </w:tcPr>
          <w:p w:rsidR="005D16D0" w:rsidRPr="007432FE" w:rsidRDefault="005D16D0" w:rsidP="002B5B8A">
            <w:pPr>
              <w:spacing w:before="120" w:after="120" w:line="240" w:lineRule="auto"/>
              <w:jc w:val="center"/>
            </w:pPr>
            <w:r w:rsidRPr="007432FE">
              <w:t>4</w:t>
            </w:r>
          </w:p>
        </w:tc>
        <w:tc>
          <w:tcPr>
            <w:tcW w:w="931" w:type="dxa"/>
            <w:vAlign w:val="center"/>
          </w:tcPr>
          <w:p w:rsidR="005D16D0" w:rsidRPr="007432FE" w:rsidRDefault="005D16D0" w:rsidP="002B5B8A">
            <w:pPr>
              <w:spacing w:before="120" w:after="120" w:line="240" w:lineRule="auto"/>
              <w:jc w:val="center"/>
            </w:pPr>
            <w:r w:rsidRPr="007432FE">
              <w:t>10</w:t>
            </w:r>
          </w:p>
        </w:tc>
        <w:tc>
          <w:tcPr>
            <w:tcW w:w="931" w:type="dxa"/>
            <w:vAlign w:val="center"/>
          </w:tcPr>
          <w:p w:rsidR="005D16D0" w:rsidRPr="007432FE" w:rsidRDefault="005D16D0" w:rsidP="002B5B8A">
            <w:pPr>
              <w:spacing w:before="120" w:after="120" w:line="240" w:lineRule="auto"/>
              <w:jc w:val="center"/>
            </w:pPr>
            <w:r w:rsidRPr="007432FE">
              <w:t>4</w:t>
            </w:r>
          </w:p>
        </w:tc>
        <w:tc>
          <w:tcPr>
            <w:tcW w:w="981" w:type="dxa"/>
            <w:vAlign w:val="center"/>
          </w:tcPr>
          <w:p w:rsidR="005D16D0" w:rsidRPr="007432FE" w:rsidRDefault="005D16D0" w:rsidP="002B5B8A">
            <w:pPr>
              <w:spacing w:before="120" w:after="120" w:line="240" w:lineRule="auto"/>
              <w:jc w:val="center"/>
            </w:pPr>
            <w:r w:rsidRPr="007432FE">
              <w:t>57</w:t>
            </w:r>
          </w:p>
        </w:tc>
      </w:tr>
      <w:tr w:rsidR="005D16D0" w:rsidTr="00D74F68">
        <w:trPr>
          <w:trHeight w:val="515"/>
        </w:trPr>
        <w:tc>
          <w:tcPr>
            <w:tcW w:w="1502" w:type="dxa"/>
          </w:tcPr>
          <w:p w:rsidR="005D16D0" w:rsidRPr="007432FE" w:rsidRDefault="005D16D0" w:rsidP="002B5B8A">
            <w:pPr>
              <w:spacing w:before="120" w:after="120" w:line="240" w:lineRule="auto"/>
              <w:jc w:val="left"/>
              <w:rPr>
                <w:b/>
              </w:rPr>
            </w:pPr>
            <w:r w:rsidRPr="007432FE">
              <w:rPr>
                <w:b/>
              </w:rPr>
              <w:t>Grip A</w:t>
            </w:r>
          </w:p>
        </w:tc>
        <w:tc>
          <w:tcPr>
            <w:tcW w:w="933" w:type="dxa"/>
            <w:vAlign w:val="center"/>
          </w:tcPr>
          <w:p w:rsidR="005D16D0" w:rsidRPr="007432FE" w:rsidRDefault="005D16D0" w:rsidP="002B5B8A">
            <w:pPr>
              <w:spacing w:before="120" w:after="120" w:line="240" w:lineRule="auto"/>
              <w:jc w:val="center"/>
            </w:pPr>
            <w:r w:rsidRPr="007432FE">
              <w:t>5</w:t>
            </w:r>
          </w:p>
        </w:tc>
        <w:tc>
          <w:tcPr>
            <w:tcW w:w="932" w:type="dxa"/>
            <w:vAlign w:val="center"/>
          </w:tcPr>
          <w:p w:rsidR="005D16D0" w:rsidRPr="007432FE" w:rsidRDefault="005D16D0" w:rsidP="002B5B8A">
            <w:pPr>
              <w:spacing w:before="120" w:after="120" w:line="240" w:lineRule="auto"/>
              <w:jc w:val="center"/>
            </w:pPr>
            <w:r w:rsidRPr="007432FE">
              <w:t>6</w:t>
            </w:r>
          </w:p>
        </w:tc>
        <w:tc>
          <w:tcPr>
            <w:tcW w:w="931"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9</w:t>
            </w:r>
          </w:p>
        </w:tc>
        <w:tc>
          <w:tcPr>
            <w:tcW w:w="931" w:type="dxa"/>
            <w:vAlign w:val="center"/>
          </w:tcPr>
          <w:p w:rsidR="005D16D0" w:rsidRPr="007432FE" w:rsidRDefault="005D16D0" w:rsidP="002B5B8A">
            <w:pPr>
              <w:spacing w:before="120" w:after="120" w:line="240" w:lineRule="auto"/>
              <w:jc w:val="center"/>
            </w:pPr>
            <w:r w:rsidRPr="007432FE">
              <w:t>10</w:t>
            </w:r>
          </w:p>
        </w:tc>
        <w:tc>
          <w:tcPr>
            <w:tcW w:w="931" w:type="dxa"/>
            <w:vAlign w:val="center"/>
          </w:tcPr>
          <w:p w:rsidR="005D16D0" w:rsidRPr="007432FE" w:rsidRDefault="005D16D0" w:rsidP="002B5B8A">
            <w:pPr>
              <w:spacing w:before="120" w:after="120" w:line="240" w:lineRule="auto"/>
              <w:jc w:val="center"/>
            </w:pPr>
            <w:r w:rsidRPr="007432FE">
              <w:t>5</w:t>
            </w:r>
          </w:p>
        </w:tc>
        <w:tc>
          <w:tcPr>
            <w:tcW w:w="931" w:type="dxa"/>
            <w:vAlign w:val="center"/>
          </w:tcPr>
          <w:p w:rsidR="005D16D0" w:rsidRPr="007432FE" w:rsidRDefault="005D16D0" w:rsidP="002B5B8A">
            <w:pPr>
              <w:spacing w:before="120" w:after="120" w:line="240" w:lineRule="auto"/>
              <w:jc w:val="center"/>
            </w:pPr>
            <w:r w:rsidRPr="007432FE">
              <w:t>9</w:t>
            </w:r>
          </w:p>
        </w:tc>
        <w:tc>
          <w:tcPr>
            <w:tcW w:w="981" w:type="dxa"/>
            <w:vAlign w:val="center"/>
          </w:tcPr>
          <w:p w:rsidR="005D16D0" w:rsidRPr="007432FE" w:rsidRDefault="005D16D0" w:rsidP="002B5B8A">
            <w:pPr>
              <w:spacing w:before="120" w:after="120" w:line="240" w:lineRule="auto"/>
              <w:jc w:val="center"/>
            </w:pPr>
            <w:r w:rsidRPr="007432FE">
              <w:t>51</w:t>
            </w:r>
          </w:p>
        </w:tc>
      </w:tr>
      <w:tr w:rsidR="005D16D0" w:rsidTr="00D74F68">
        <w:trPr>
          <w:trHeight w:val="515"/>
        </w:trPr>
        <w:tc>
          <w:tcPr>
            <w:tcW w:w="1502" w:type="dxa"/>
          </w:tcPr>
          <w:p w:rsidR="005D16D0" w:rsidRPr="007432FE" w:rsidRDefault="005D16D0" w:rsidP="002B5B8A">
            <w:pPr>
              <w:spacing w:before="120" w:after="120" w:line="240" w:lineRule="auto"/>
              <w:jc w:val="left"/>
              <w:rPr>
                <w:b/>
              </w:rPr>
            </w:pPr>
            <w:r w:rsidRPr="007432FE">
              <w:rPr>
                <w:b/>
              </w:rPr>
              <w:t>Kırım-Kongo kanamalı ateşi</w:t>
            </w:r>
          </w:p>
        </w:tc>
        <w:tc>
          <w:tcPr>
            <w:tcW w:w="933" w:type="dxa"/>
            <w:vAlign w:val="center"/>
          </w:tcPr>
          <w:p w:rsidR="005D16D0" w:rsidRPr="007432FE" w:rsidRDefault="005D16D0" w:rsidP="002B5B8A">
            <w:pPr>
              <w:spacing w:before="120" w:after="120" w:line="240" w:lineRule="auto"/>
              <w:jc w:val="center"/>
            </w:pPr>
            <w:r w:rsidRPr="007432FE">
              <w:t>3</w:t>
            </w:r>
          </w:p>
        </w:tc>
        <w:tc>
          <w:tcPr>
            <w:tcW w:w="932" w:type="dxa"/>
            <w:vAlign w:val="center"/>
          </w:tcPr>
          <w:p w:rsidR="005D16D0" w:rsidRPr="007432FE" w:rsidRDefault="005D16D0" w:rsidP="002B5B8A">
            <w:pPr>
              <w:spacing w:before="120" w:after="120" w:line="240" w:lineRule="auto"/>
              <w:jc w:val="center"/>
            </w:pPr>
            <w:r w:rsidRPr="007432FE">
              <w:t>5</w:t>
            </w:r>
          </w:p>
        </w:tc>
        <w:tc>
          <w:tcPr>
            <w:tcW w:w="931" w:type="dxa"/>
            <w:vAlign w:val="center"/>
          </w:tcPr>
          <w:p w:rsidR="005D16D0" w:rsidRPr="007432FE" w:rsidRDefault="005D16D0" w:rsidP="002B5B8A">
            <w:pPr>
              <w:spacing w:before="120" w:after="120" w:line="240" w:lineRule="auto"/>
              <w:jc w:val="center"/>
            </w:pPr>
            <w:r w:rsidRPr="007432FE">
              <w:t>6</w:t>
            </w:r>
          </w:p>
        </w:tc>
        <w:tc>
          <w:tcPr>
            <w:tcW w:w="931" w:type="dxa"/>
            <w:vAlign w:val="center"/>
          </w:tcPr>
          <w:p w:rsidR="005D16D0" w:rsidRPr="007432FE" w:rsidRDefault="005D16D0" w:rsidP="002B5B8A">
            <w:pPr>
              <w:spacing w:before="120" w:after="120" w:line="240" w:lineRule="auto"/>
              <w:jc w:val="center"/>
            </w:pPr>
            <w:r w:rsidRPr="007432FE">
              <w:t>8</w:t>
            </w:r>
          </w:p>
        </w:tc>
        <w:tc>
          <w:tcPr>
            <w:tcW w:w="931"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13</w:t>
            </w:r>
          </w:p>
        </w:tc>
        <w:tc>
          <w:tcPr>
            <w:tcW w:w="981" w:type="dxa"/>
            <w:vAlign w:val="center"/>
          </w:tcPr>
          <w:p w:rsidR="005D16D0" w:rsidRPr="007432FE" w:rsidRDefault="005D16D0" w:rsidP="002B5B8A">
            <w:pPr>
              <w:spacing w:before="120" w:after="120" w:line="240" w:lineRule="auto"/>
              <w:jc w:val="center"/>
            </w:pPr>
            <w:r w:rsidRPr="007432FE">
              <w:t>49</w:t>
            </w:r>
          </w:p>
        </w:tc>
      </w:tr>
      <w:tr w:rsidR="005D16D0" w:rsidTr="00D74F68">
        <w:trPr>
          <w:trHeight w:val="515"/>
        </w:trPr>
        <w:tc>
          <w:tcPr>
            <w:tcW w:w="1502" w:type="dxa"/>
          </w:tcPr>
          <w:p w:rsidR="005D16D0" w:rsidRPr="007432FE" w:rsidRDefault="005D16D0" w:rsidP="002B5B8A">
            <w:pPr>
              <w:spacing w:before="120" w:after="120" w:line="240" w:lineRule="auto"/>
              <w:jc w:val="left"/>
              <w:rPr>
                <w:b/>
              </w:rPr>
            </w:pPr>
            <w:r w:rsidRPr="007432FE">
              <w:rPr>
                <w:b/>
              </w:rPr>
              <w:t>Veba</w:t>
            </w:r>
          </w:p>
        </w:tc>
        <w:tc>
          <w:tcPr>
            <w:tcW w:w="933" w:type="dxa"/>
            <w:vAlign w:val="center"/>
          </w:tcPr>
          <w:p w:rsidR="005D16D0" w:rsidRPr="007432FE" w:rsidRDefault="005D16D0" w:rsidP="002B5B8A">
            <w:pPr>
              <w:spacing w:before="120" w:after="120" w:line="240" w:lineRule="auto"/>
              <w:jc w:val="center"/>
            </w:pPr>
            <w:r w:rsidRPr="007432FE">
              <w:t>8</w:t>
            </w:r>
          </w:p>
        </w:tc>
        <w:tc>
          <w:tcPr>
            <w:tcW w:w="932"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6</w:t>
            </w:r>
          </w:p>
        </w:tc>
        <w:tc>
          <w:tcPr>
            <w:tcW w:w="931" w:type="dxa"/>
            <w:vAlign w:val="center"/>
          </w:tcPr>
          <w:p w:rsidR="005D16D0" w:rsidRPr="007432FE" w:rsidRDefault="005D16D0" w:rsidP="002B5B8A">
            <w:pPr>
              <w:spacing w:before="120" w:after="120" w:line="240" w:lineRule="auto"/>
              <w:jc w:val="center"/>
            </w:pPr>
            <w:r w:rsidRPr="007432FE">
              <w:t>10</w:t>
            </w:r>
          </w:p>
        </w:tc>
        <w:tc>
          <w:tcPr>
            <w:tcW w:w="931"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6</w:t>
            </w:r>
          </w:p>
        </w:tc>
        <w:tc>
          <w:tcPr>
            <w:tcW w:w="931" w:type="dxa"/>
            <w:vAlign w:val="center"/>
          </w:tcPr>
          <w:p w:rsidR="005D16D0" w:rsidRPr="007432FE" w:rsidRDefault="005D16D0" w:rsidP="002B5B8A">
            <w:pPr>
              <w:spacing w:before="120" w:after="120" w:line="240" w:lineRule="auto"/>
              <w:jc w:val="center"/>
            </w:pPr>
            <w:r w:rsidRPr="007432FE">
              <w:t>3</w:t>
            </w:r>
          </w:p>
        </w:tc>
        <w:tc>
          <w:tcPr>
            <w:tcW w:w="981" w:type="dxa"/>
            <w:vAlign w:val="center"/>
          </w:tcPr>
          <w:p w:rsidR="005D16D0" w:rsidRPr="007432FE" w:rsidRDefault="005D16D0" w:rsidP="002B5B8A">
            <w:pPr>
              <w:spacing w:before="120" w:after="120" w:line="240" w:lineRule="auto"/>
              <w:jc w:val="center"/>
            </w:pPr>
            <w:r w:rsidRPr="007432FE">
              <w:t>47</w:t>
            </w:r>
          </w:p>
        </w:tc>
      </w:tr>
      <w:tr w:rsidR="005D16D0" w:rsidTr="00D74F68">
        <w:trPr>
          <w:trHeight w:val="515"/>
        </w:trPr>
        <w:tc>
          <w:tcPr>
            <w:tcW w:w="1502" w:type="dxa"/>
          </w:tcPr>
          <w:p w:rsidR="005D16D0" w:rsidRPr="007432FE" w:rsidRDefault="005D16D0" w:rsidP="002B5B8A">
            <w:pPr>
              <w:spacing w:before="120" w:after="120" w:line="240" w:lineRule="auto"/>
              <w:jc w:val="left"/>
              <w:rPr>
                <w:b/>
              </w:rPr>
            </w:pPr>
            <w:r w:rsidRPr="007432FE">
              <w:rPr>
                <w:b/>
              </w:rPr>
              <w:t>Lassa Ateşi</w:t>
            </w:r>
          </w:p>
        </w:tc>
        <w:tc>
          <w:tcPr>
            <w:tcW w:w="933" w:type="dxa"/>
            <w:vAlign w:val="center"/>
          </w:tcPr>
          <w:p w:rsidR="005D16D0" w:rsidRPr="007432FE" w:rsidRDefault="005D16D0" w:rsidP="002B5B8A">
            <w:pPr>
              <w:spacing w:before="120" w:after="120" w:line="240" w:lineRule="auto"/>
              <w:jc w:val="center"/>
            </w:pPr>
            <w:r w:rsidRPr="007432FE">
              <w:t>2</w:t>
            </w:r>
          </w:p>
        </w:tc>
        <w:tc>
          <w:tcPr>
            <w:tcW w:w="932" w:type="dxa"/>
            <w:vAlign w:val="center"/>
          </w:tcPr>
          <w:p w:rsidR="005D16D0" w:rsidRPr="007432FE" w:rsidRDefault="005D16D0" w:rsidP="002B5B8A">
            <w:pPr>
              <w:spacing w:before="120" w:after="120" w:line="240" w:lineRule="auto"/>
              <w:jc w:val="center"/>
            </w:pPr>
            <w:r w:rsidRPr="007432FE">
              <w:t>1</w:t>
            </w:r>
          </w:p>
        </w:tc>
        <w:tc>
          <w:tcPr>
            <w:tcW w:w="931" w:type="dxa"/>
            <w:vAlign w:val="center"/>
          </w:tcPr>
          <w:p w:rsidR="005D16D0" w:rsidRPr="007432FE" w:rsidRDefault="005D16D0" w:rsidP="002B5B8A">
            <w:pPr>
              <w:spacing w:before="120" w:after="120" w:line="240" w:lineRule="auto"/>
              <w:jc w:val="center"/>
            </w:pPr>
            <w:r w:rsidRPr="007432FE">
              <w:t>2</w:t>
            </w:r>
          </w:p>
        </w:tc>
        <w:tc>
          <w:tcPr>
            <w:tcW w:w="931" w:type="dxa"/>
            <w:vAlign w:val="center"/>
          </w:tcPr>
          <w:p w:rsidR="005D16D0" w:rsidRPr="007432FE" w:rsidRDefault="005D16D0" w:rsidP="002B5B8A">
            <w:pPr>
              <w:spacing w:before="120" w:after="120" w:line="240" w:lineRule="auto"/>
              <w:jc w:val="center"/>
            </w:pPr>
            <w:r w:rsidRPr="007432FE">
              <w:t>3</w:t>
            </w:r>
          </w:p>
        </w:tc>
        <w:tc>
          <w:tcPr>
            <w:tcW w:w="931" w:type="dxa"/>
            <w:vAlign w:val="center"/>
          </w:tcPr>
          <w:p w:rsidR="005D16D0" w:rsidRPr="007432FE" w:rsidRDefault="005D16D0" w:rsidP="002B5B8A">
            <w:pPr>
              <w:spacing w:before="120" w:after="120" w:line="240" w:lineRule="auto"/>
              <w:jc w:val="center"/>
            </w:pPr>
            <w:r w:rsidRPr="007432FE">
              <w:t>2</w:t>
            </w:r>
          </w:p>
        </w:tc>
        <w:tc>
          <w:tcPr>
            <w:tcW w:w="931" w:type="dxa"/>
            <w:vAlign w:val="center"/>
          </w:tcPr>
          <w:p w:rsidR="005D16D0" w:rsidRPr="007432FE" w:rsidRDefault="005D16D0" w:rsidP="002B5B8A">
            <w:pPr>
              <w:spacing w:before="120" w:after="120" w:line="240" w:lineRule="auto"/>
              <w:jc w:val="center"/>
            </w:pPr>
            <w:r w:rsidRPr="007432FE">
              <w:t>7</w:t>
            </w:r>
          </w:p>
        </w:tc>
        <w:tc>
          <w:tcPr>
            <w:tcW w:w="931" w:type="dxa"/>
            <w:vAlign w:val="center"/>
          </w:tcPr>
          <w:p w:rsidR="005D16D0" w:rsidRPr="007432FE" w:rsidRDefault="005D16D0" w:rsidP="002B5B8A">
            <w:pPr>
              <w:spacing w:before="120" w:after="120" w:line="240" w:lineRule="auto"/>
              <w:jc w:val="center"/>
            </w:pPr>
            <w:r w:rsidRPr="007432FE">
              <w:t>6</w:t>
            </w:r>
          </w:p>
        </w:tc>
        <w:tc>
          <w:tcPr>
            <w:tcW w:w="981" w:type="dxa"/>
            <w:vAlign w:val="center"/>
          </w:tcPr>
          <w:p w:rsidR="005D16D0" w:rsidRPr="007432FE" w:rsidRDefault="005D16D0" w:rsidP="002B5B8A">
            <w:pPr>
              <w:spacing w:before="120" w:after="120" w:line="240" w:lineRule="auto"/>
              <w:jc w:val="center"/>
            </w:pPr>
            <w:r w:rsidRPr="007432FE">
              <w:t>23</w:t>
            </w:r>
          </w:p>
        </w:tc>
      </w:tr>
      <w:tr w:rsidR="005D16D0" w:rsidTr="00D74F68">
        <w:trPr>
          <w:trHeight w:val="515"/>
        </w:trPr>
        <w:tc>
          <w:tcPr>
            <w:tcW w:w="1502" w:type="dxa"/>
          </w:tcPr>
          <w:p w:rsidR="005D16D0" w:rsidRPr="007432FE" w:rsidRDefault="005D16D0" w:rsidP="002B5B8A">
            <w:pPr>
              <w:spacing w:before="120" w:after="120" w:line="240" w:lineRule="auto"/>
              <w:jc w:val="left"/>
              <w:rPr>
                <w:b/>
              </w:rPr>
            </w:pPr>
            <w:r w:rsidRPr="007432FE">
              <w:rPr>
                <w:b/>
              </w:rPr>
              <w:t>Ebola Virüsü Hastalığı</w:t>
            </w:r>
          </w:p>
        </w:tc>
        <w:tc>
          <w:tcPr>
            <w:tcW w:w="933" w:type="dxa"/>
            <w:vAlign w:val="center"/>
          </w:tcPr>
          <w:p w:rsidR="005D16D0" w:rsidRPr="007432FE" w:rsidRDefault="005D16D0" w:rsidP="002B5B8A">
            <w:pPr>
              <w:spacing w:before="120" w:after="120" w:line="240" w:lineRule="auto"/>
              <w:jc w:val="center"/>
            </w:pPr>
            <w:r w:rsidRPr="007432FE">
              <w:t>1</w:t>
            </w:r>
          </w:p>
        </w:tc>
        <w:tc>
          <w:tcPr>
            <w:tcW w:w="932" w:type="dxa"/>
            <w:vAlign w:val="center"/>
          </w:tcPr>
          <w:p w:rsidR="005D16D0" w:rsidRPr="007432FE" w:rsidRDefault="005D16D0" w:rsidP="002B5B8A">
            <w:pPr>
              <w:spacing w:before="120" w:after="120" w:line="240" w:lineRule="auto"/>
              <w:jc w:val="center"/>
            </w:pPr>
            <w:r w:rsidRPr="007432FE">
              <w:t>2</w:t>
            </w:r>
          </w:p>
        </w:tc>
        <w:tc>
          <w:tcPr>
            <w:tcW w:w="931" w:type="dxa"/>
            <w:vAlign w:val="center"/>
          </w:tcPr>
          <w:p w:rsidR="005D16D0" w:rsidRPr="007432FE" w:rsidRDefault="005D16D0" w:rsidP="002B5B8A">
            <w:pPr>
              <w:spacing w:before="120" w:after="120" w:line="240" w:lineRule="auto"/>
              <w:jc w:val="center"/>
            </w:pPr>
            <w:r w:rsidRPr="007432FE">
              <w:t>-</w:t>
            </w:r>
          </w:p>
        </w:tc>
        <w:tc>
          <w:tcPr>
            <w:tcW w:w="931" w:type="dxa"/>
            <w:vAlign w:val="center"/>
          </w:tcPr>
          <w:p w:rsidR="005D16D0" w:rsidRPr="007432FE" w:rsidRDefault="005D16D0" w:rsidP="002B5B8A">
            <w:pPr>
              <w:spacing w:before="120" w:after="120" w:line="240" w:lineRule="auto"/>
              <w:jc w:val="center"/>
            </w:pPr>
            <w:r w:rsidRPr="007432FE">
              <w:t>11</w:t>
            </w:r>
          </w:p>
        </w:tc>
        <w:tc>
          <w:tcPr>
            <w:tcW w:w="931" w:type="dxa"/>
            <w:vAlign w:val="center"/>
          </w:tcPr>
          <w:p w:rsidR="005D16D0" w:rsidRPr="007432FE" w:rsidRDefault="005D16D0" w:rsidP="002B5B8A">
            <w:pPr>
              <w:spacing w:before="120" w:after="120" w:line="240" w:lineRule="auto"/>
              <w:jc w:val="center"/>
            </w:pPr>
            <w:r w:rsidRPr="007432FE">
              <w:t>4</w:t>
            </w:r>
          </w:p>
        </w:tc>
        <w:tc>
          <w:tcPr>
            <w:tcW w:w="931" w:type="dxa"/>
            <w:vAlign w:val="center"/>
          </w:tcPr>
          <w:p w:rsidR="005D16D0" w:rsidRPr="007432FE" w:rsidRDefault="005D16D0" w:rsidP="002B5B8A">
            <w:pPr>
              <w:spacing w:before="120" w:after="120" w:line="240" w:lineRule="auto"/>
              <w:jc w:val="center"/>
            </w:pPr>
            <w:r w:rsidRPr="007432FE">
              <w:t>3</w:t>
            </w:r>
          </w:p>
        </w:tc>
        <w:tc>
          <w:tcPr>
            <w:tcW w:w="931" w:type="dxa"/>
            <w:vAlign w:val="center"/>
          </w:tcPr>
          <w:p w:rsidR="005D16D0" w:rsidRPr="007432FE" w:rsidRDefault="005D16D0" w:rsidP="002B5B8A">
            <w:pPr>
              <w:spacing w:before="120" w:after="120" w:line="240" w:lineRule="auto"/>
              <w:jc w:val="center"/>
            </w:pPr>
            <w:r w:rsidRPr="007432FE">
              <w:t>1</w:t>
            </w:r>
          </w:p>
        </w:tc>
        <w:tc>
          <w:tcPr>
            <w:tcW w:w="981" w:type="dxa"/>
            <w:vAlign w:val="center"/>
          </w:tcPr>
          <w:p w:rsidR="005D16D0" w:rsidRPr="007432FE" w:rsidRDefault="005D16D0" w:rsidP="002B5B8A">
            <w:pPr>
              <w:spacing w:before="120" w:after="120" w:line="240" w:lineRule="auto"/>
              <w:jc w:val="center"/>
            </w:pPr>
            <w:r w:rsidRPr="007432FE">
              <w:t>22</w:t>
            </w:r>
          </w:p>
        </w:tc>
      </w:tr>
      <w:tr w:rsidR="005D16D0" w:rsidTr="00D74F68">
        <w:trPr>
          <w:trHeight w:val="515"/>
        </w:trPr>
        <w:tc>
          <w:tcPr>
            <w:tcW w:w="1502" w:type="dxa"/>
          </w:tcPr>
          <w:p w:rsidR="005D16D0" w:rsidRPr="007432FE" w:rsidRDefault="005D16D0" w:rsidP="002B5B8A">
            <w:pPr>
              <w:spacing w:before="120" w:after="120" w:line="240" w:lineRule="auto"/>
              <w:jc w:val="left"/>
              <w:rPr>
                <w:b/>
              </w:rPr>
            </w:pPr>
            <w:proofErr w:type="spellStart"/>
            <w:r w:rsidRPr="007432FE">
              <w:rPr>
                <w:b/>
              </w:rPr>
              <w:t>Rift</w:t>
            </w:r>
            <w:proofErr w:type="spellEnd"/>
            <w:r w:rsidRPr="007432FE">
              <w:rPr>
                <w:b/>
              </w:rPr>
              <w:t xml:space="preserve"> Vadisi Ateşi</w:t>
            </w:r>
          </w:p>
        </w:tc>
        <w:tc>
          <w:tcPr>
            <w:tcW w:w="933" w:type="dxa"/>
            <w:vAlign w:val="center"/>
          </w:tcPr>
          <w:p w:rsidR="005D16D0" w:rsidRPr="007432FE" w:rsidRDefault="005D16D0" w:rsidP="002B5B8A">
            <w:pPr>
              <w:spacing w:before="120" w:after="120" w:line="240" w:lineRule="auto"/>
              <w:jc w:val="center"/>
            </w:pPr>
            <w:r w:rsidRPr="007432FE">
              <w:t>1</w:t>
            </w:r>
          </w:p>
        </w:tc>
        <w:tc>
          <w:tcPr>
            <w:tcW w:w="932" w:type="dxa"/>
            <w:vAlign w:val="center"/>
          </w:tcPr>
          <w:p w:rsidR="005D16D0" w:rsidRPr="007432FE" w:rsidRDefault="005D16D0" w:rsidP="002B5B8A">
            <w:pPr>
              <w:spacing w:before="120" w:after="120" w:line="240" w:lineRule="auto"/>
              <w:jc w:val="center"/>
            </w:pPr>
            <w:r w:rsidRPr="007432FE">
              <w:t>1</w:t>
            </w:r>
          </w:p>
        </w:tc>
        <w:tc>
          <w:tcPr>
            <w:tcW w:w="931" w:type="dxa"/>
            <w:vAlign w:val="center"/>
          </w:tcPr>
          <w:p w:rsidR="005D16D0" w:rsidRPr="007432FE" w:rsidRDefault="005D16D0" w:rsidP="002B5B8A">
            <w:pPr>
              <w:spacing w:before="120" w:after="120" w:line="240" w:lineRule="auto"/>
              <w:jc w:val="center"/>
            </w:pPr>
            <w:r w:rsidRPr="007432FE">
              <w:t>1</w:t>
            </w:r>
          </w:p>
        </w:tc>
        <w:tc>
          <w:tcPr>
            <w:tcW w:w="931" w:type="dxa"/>
            <w:vAlign w:val="center"/>
          </w:tcPr>
          <w:p w:rsidR="005D16D0" w:rsidRPr="007432FE" w:rsidRDefault="005D16D0" w:rsidP="002B5B8A">
            <w:pPr>
              <w:spacing w:before="120" w:after="120" w:line="240" w:lineRule="auto"/>
              <w:jc w:val="center"/>
            </w:pPr>
            <w:r w:rsidRPr="007432FE">
              <w:t>1</w:t>
            </w:r>
          </w:p>
        </w:tc>
        <w:tc>
          <w:tcPr>
            <w:tcW w:w="931" w:type="dxa"/>
            <w:vAlign w:val="center"/>
          </w:tcPr>
          <w:p w:rsidR="005D16D0" w:rsidRPr="007432FE" w:rsidRDefault="005D16D0" w:rsidP="002B5B8A">
            <w:pPr>
              <w:spacing w:before="120" w:after="120" w:line="240" w:lineRule="auto"/>
              <w:jc w:val="center"/>
            </w:pPr>
            <w:r w:rsidRPr="007432FE">
              <w:t>1</w:t>
            </w:r>
          </w:p>
        </w:tc>
        <w:tc>
          <w:tcPr>
            <w:tcW w:w="931" w:type="dxa"/>
            <w:vAlign w:val="center"/>
          </w:tcPr>
          <w:p w:rsidR="005D16D0" w:rsidRPr="007432FE" w:rsidRDefault="005D16D0" w:rsidP="002B5B8A">
            <w:pPr>
              <w:spacing w:before="120" w:after="120" w:line="240" w:lineRule="auto"/>
              <w:jc w:val="center"/>
            </w:pPr>
            <w:r w:rsidRPr="007432FE">
              <w:t>4</w:t>
            </w:r>
          </w:p>
        </w:tc>
        <w:tc>
          <w:tcPr>
            <w:tcW w:w="931" w:type="dxa"/>
            <w:vAlign w:val="center"/>
          </w:tcPr>
          <w:p w:rsidR="005D16D0" w:rsidRPr="007432FE" w:rsidRDefault="005D16D0" w:rsidP="002B5B8A">
            <w:pPr>
              <w:spacing w:before="120" w:after="120" w:line="240" w:lineRule="auto"/>
              <w:jc w:val="center"/>
            </w:pPr>
            <w:r w:rsidRPr="007432FE">
              <w:t>5</w:t>
            </w:r>
          </w:p>
        </w:tc>
        <w:tc>
          <w:tcPr>
            <w:tcW w:w="981" w:type="dxa"/>
            <w:vAlign w:val="center"/>
          </w:tcPr>
          <w:p w:rsidR="005D16D0" w:rsidRPr="007432FE" w:rsidRDefault="005D16D0" w:rsidP="002B5B8A">
            <w:pPr>
              <w:spacing w:before="120" w:after="120" w:line="240" w:lineRule="auto"/>
              <w:jc w:val="center"/>
            </w:pPr>
            <w:r w:rsidRPr="007432FE">
              <w:t>14</w:t>
            </w:r>
          </w:p>
        </w:tc>
      </w:tr>
    </w:tbl>
    <w:p w:rsidR="00D74F68" w:rsidRDefault="00D74F68" w:rsidP="00D74F68">
      <w:pPr>
        <w:spacing w:before="120" w:after="120" w:line="240" w:lineRule="auto"/>
        <w:jc w:val="center"/>
        <w:rPr>
          <w:sz w:val="22"/>
        </w:rPr>
      </w:pPr>
      <w:r w:rsidRPr="007432FE">
        <w:rPr>
          <w:b/>
          <w:sz w:val="22"/>
        </w:rPr>
        <w:t xml:space="preserve">Kaynak: </w:t>
      </w:r>
      <w:r>
        <w:rPr>
          <w:sz w:val="22"/>
        </w:rPr>
        <w:t>Dünya Sağlık Örgütü, 2018.</w:t>
      </w:r>
    </w:p>
    <w:p w:rsidR="005D16D0" w:rsidRPr="006110A0" w:rsidRDefault="00D74F68" w:rsidP="00D74F68">
      <w:pPr>
        <w:spacing w:line="240" w:lineRule="auto"/>
        <w:rPr>
          <w:sz w:val="22"/>
        </w:rPr>
      </w:pPr>
      <w:r>
        <w:tab/>
      </w:r>
      <w:r w:rsidR="006110A0" w:rsidRPr="006110A0">
        <w:rPr>
          <w:sz w:val="22"/>
        </w:rPr>
        <w:t>Dünya genelindeki son on yıllık periyotta 1500’ü aşkın salgın vakası yaşanmıştır.</w:t>
      </w:r>
      <w:r w:rsidR="006110A0">
        <w:rPr>
          <w:sz w:val="22"/>
        </w:rPr>
        <w:t xml:space="preserve"> Bu vakaların </w:t>
      </w:r>
      <w:r w:rsidR="006110A0" w:rsidRPr="006110A0">
        <w:rPr>
          <w:sz w:val="22"/>
        </w:rPr>
        <w:t xml:space="preserve">milyonlarca kişiye ulaşmış olması </w:t>
      </w:r>
      <w:r w:rsidR="006110A0">
        <w:rPr>
          <w:sz w:val="22"/>
        </w:rPr>
        <w:t xml:space="preserve">ve ulaşma potansiyelinin bulunması </w:t>
      </w:r>
      <w:r w:rsidR="006110A0" w:rsidRPr="006110A0">
        <w:rPr>
          <w:sz w:val="22"/>
        </w:rPr>
        <w:t>küresel ve ulusal güvenlikte bulaşıcı hastalık tehdidinin boyutları</w:t>
      </w:r>
      <w:r w:rsidR="006110A0">
        <w:rPr>
          <w:sz w:val="22"/>
        </w:rPr>
        <w:t>nı gözler önüne sermektedir.</w:t>
      </w:r>
    </w:p>
    <w:p w:rsidR="00D74F68" w:rsidRDefault="00D74F68" w:rsidP="004E7EBF">
      <w:pPr>
        <w:pStyle w:val="Balk1"/>
        <w:spacing w:before="120" w:after="120" w:line="240" w:lineRule="auto"/>
        <w:rPr>
          <w:rFonts w:eastAsiaTheme="minorHAnsi" w:cstheme="minorBidi"/>
          <w:bCs w:val="0"/>
          <w:color w:val="auto"/>
          <w:sz w:val="22"/>
          <w:szCs w:val="22"/>
        </w:rPr>
      </w:pPr>
      <w:r>
        <w:rPr>
          <w:rFonts w:eastAsiaTheme="minorHAnsi" w:cstheme="minorBidi"/>
          <w:bCs w:val="0"/>
          <w:color w:val="auto"/>
          <w:sz w:val="22"/>
          <w:szCs w:val="22"/>
        </w:rPr>
        <w:tab/>
      </w:r>
    </w:p>
    <w:p w:rsidR="00D74F68" w:rsidRDefault="00D74F68" w:rsidP="00D74F68">
      <w:r>
        <w:br w:type="page"/>
      </w:r>
    </w:p>
    <w:p w:rsidR="00FC0F01" w:rsidRPr="00D464D4" w:rsidRDefault="006110A0" w:rsidP="004E7EBF">
      <w:pPr>
        <w:pStyle w:val="Balk1"/>
        <w:spacing w:before="120" w:after="120" w:line="240" w:lineRule="auto"/>
        <w:rPr>
          <w:sz w:val="22"/>
          <w:szCs w:val="22"/>
        </w:rPr>
      </w:pPr>
      <w:r>
        <w:rPr>
          <w:sz w:val="22"/>
          <w:szCs w:val="22"/>
        </w:rPr>
        <w:lastRenderedPageBreak/>
        <w:tab/>
      </w:r>
      <w:r w:rsidR="007C4149" w:rsidRPr="00D464D4">
        <w:rPr>
          <w:sz w:val="22"/>
          <w:szCs w:val="22"/>
        </w:rPr>
        <w:t xml:space="preserve">4. BİYOTERÖRİZM VE </w:t>
      </w:r>
      <w:r w:rsidR="0099008F" w:rsidRPr="00D464D4">
        <w:rPr>
          <w:sz w:val="22"/>
          <w:szCs w:val="22"/>
        </w:rPr>
        <w:t xml:space="preserve">KÜRESEL GÜVENLİK </w:t>
      </w:r>
      <w:r w:rsidR="00832707" w:rsidRPr="00D464D4">
        <w:rPr>
          <w:sz w:val="22"/>
          <w:szCs w:val="22"/>
        </w:rPr>
        <w:t>ÇABALARI</w:t>
      </w:r>
      <w:r w:rsidR="007C4149" w:rsidRPr="00D464D4">
        <w:rPr>
          <w:sz w:val="22"/>
          <w:szCs w:val="22"/>
        </w:rPr>
        <w:t xml:space="preserve"> </w:t>
      </w:r>
    </w:p>
    <w:p w:rsidR="006311F7" w:rsidRPr="00D464D4" w:rsidRDefault="009B1A1E" w:rsidP="004E7EBF">
      <w:pPr>
        <w:spacing w:before="120" w:after="120" w:line="240" w:lineRule="auto"/>
        <w:rPr>
          <w:sz w:val="22"/>
        </w:rPr>
      </w:pPr>
      <w:r w:rsidRPr="00D464D4">
        <w:rPr>
          <w:sz w:val="22"/>
        </w:rPr>
        <w:tab/>
      </w:r>
      <w:r w:rsidR="00FC0F01" w:rsidRPr="00D464D4">
        <w:rPr>
          <w:sz w:val="22"/>
        </w:rPr>
        <w:t xml:space="preserve">Bulaşıcı hastalıkların </w:t>
      </w:r>
      <w:r w:rsidR="00D35F04" w:rsidRPr="00D464D4">
        <w:rPr>
          <w:sz w:val="22"/>
        </w:rPr>
        <w:t>dünya geneline yayılmasını</w:t>
      </w:r>
      <w:r w:rsidR="00FC0F01" w:rsidRPr="00D464D4">
        <w:rPr>
          <w:sz w:val="22"/>
        </w:rPr>
        <w:t xml:space="preserve"> önleme çabalarının uzun bir geçmişi vardır. </w:t>
      </w:r>
      <w:r w:rsidR="00D35F04" w:rsidRPr="00D464D4">
        <w:rPr>
          <w:sz w:val="22"/>
        </w:rPr>
        <w:t xml:space="preserve">14. yüzyılda </w:t>
      </w:r>
      <w:r w:rsidR="00FC0F01" w:rsidRPr="00D464D4">
        <w:rPr>
          <w:sz w:val="22"/>
        </w:rPr>
        <w:t xml:space="preserve">veba ile </w:t>
      </w:r>
      <w:proofErr w:type="spellStart"/>
      <w:r w:rsidR="00FC0F01" w:rsidRPr="00D464D4">
        <w:rPr>
          <w:sz w:val="22"/>
        </w:rPr>
        <w:t>enfekte</w:t>
      </w:r>
      <w:proofErr w:type="spellEnd"/>
      <w:r w:rsidR="00FC0F01" w:rsidRPr="00D464D4">
        <w:rPr>
          <w:sz w:val="22"/>
        </w:rPr>
        <w:t xml:space="preserve"> olmuş </w:t>
      </w:r>
      <w:r w:rsidR="00D35F04" w:rsidRPr="00D464D4">
        <w:rPr>
          <w:sz w:val="22"/>
        </w:rPr>
        <w:t>farelerin</w:t>
      </w:r>
      <w:r w:rsidR="00FC0F01" w:rsidRPr="00D464D4">
        <w:rPr>
          <w:sz w:val="22"/>
        </w:rPr>
        <w:t xml:space="preserve"> </w:t>
      </w:r>
      <w:r w:rsidR="00D35F04" w:rsidRPr="00D464D4">
        <w:rPr>
          <w:sz w:val="22"/>
        </w:rPr>
        <w:t>taşıyıcıları olan gemiler vebanın daha fazla ya</w:t>
      </w:r>
      <w:r w:rsidR="00234D3B">
        <w:rPr>
          <w:sz w:val="22"/>
        </w:rPr>
        <w:t>yılmasını önleme adına Venedik L</w:t>
      </w:r>
      <w:r w:rsidR="00D35F04" w:rsidRPr="00D464D4">
        <w:rPr>
          <w:sz w:val="22"/>
        </w:rPr>
        <w:t>imanı</w:t>
      </w:r>
      <w:r w:rsidR="00234D3B">
        <w:rPr>
          <w:sz w:val="22"/>
        </w:rPr>
        <w:t>’</w:t>
      </w:r>
      <w:r w:rsidR="00D35F04" w:rsidRPr="00D464D4">
        <w:rPr>
          <w:sz w:val="22"/>
        </w:rPr>
        <w:t xml:space="preserve">nda </w:t>
      </w:r>
      <w:r w:rsidR="00FC0F01" w:rsidRPr="00D464D4">
        <w:rPr>
          <w:sz w:val="22"/>
        </w:rPr>
        <w:t>karantina</w:t>
      </w:r>
      <w:r w:rsidR="00D35F04" w:rsidRPr="00D464D4">
        <w:rPr>
          <w:sz w:val="22"/>
        </w:rPr>
        <w:t>ya alınmıştır</w:t>
      </w:r>
      <w:r w:rsidR="00FC0F01" w:rsidRPr="00D464D4">
        <w:rPr>
          <w:sz w:val="22"/>
        </w:rPr>
        <w:t xml:space="preserve"> </w:t>
      </w:r>
      <w:r w:rsidR="00B10F52" w:rsidRPr="00D464D4">
        <w:rPr>
          <w:color w:val="000000" w:themeColor="text1"/>
          <w:sz w:val="22"/>
        </w:rPr>
        <w:t>(</w:t>
      </w:r>
      <w:proofErr w:type="spellStart"/>
      <w:r w:rsidR="00B10F52" w:rsidRPr="00D464D4">
        <w:rPr>
          <w:color w:val="000000" w:themeColor="text1"/>
          <w:sz w:val="22"/>
        </w:rPr>
        <w:t>Heymann</w:t>
      </w:r>
      <w:proofErr w:type="spellEnd"/>
      <w:r w:rsidR="00B10F52" w:rsidRPr="00D464D4">
        <w:rPr>
          <w:color w:val="000000" w:themeColor="text1"/>
          <w:sz w:val="22"/>
        </w:rPr>
        <w:t>, 2003: 199).</w:t>
      </w:r>
      <w:r w:rsidR="00B10F52" w:rsidRPr="00D464D4">
        <w:rPr>
          <w:color w:val="FF0000"/>
          <w:sz w:val="22"/>
        </w:rPr>
        <w:t xml:space="preserve"> </w:t>
      </w:r>
      <w:r w:rsidR="00D35F04" w:rsidRPr="00D464D4">
        <w:rPr>
          <w:sz w:val="22"/>
        </w:rPr>
        <w:t>19.</w:t>
      </w:r>
      <w:r w:rsidR="00CB5D71" w:rsidRPr="00D464D4">
        <w:rPr>
          <w:sz w:val="22"/>
        </w:rPr>
        <w:t xml:space="preserve"> </w:t>
      </w:r>
      <w:r w:rsidR="00D35F04" w:rsidRPr="00D464D4">
        <w:rPr>
          <w:sz w:val="22"/>
        </w:rPr>
        <w:t>yüzyılda ise gelişmiş ülkeler arasında bir dizi ulu</w:t>
      </w:r>
      <w:r w:rsidR="00335AE4" w:rsidRPr="00D464D4">
        <w:rPr>
          <w:sz w:val="22"/>
        </w:rPr>
        <w:t>slararası sağlık anlaşmaları imzalanmış ve ilgili düzenlemeler yapılmıştır</w:t>
      </w:r>
      <w:r w:rsidR="00622B58" w:rsidRPr="00D464D4">
        <w:rPr>
          <w:sz w:val="22"/>
        </w:rPr>
        <w:t xml:space="preserve">. </w:t>
      </w:r>
      <w:r w:rsidR="00FC0F01" w:rsidRPr="00D464D4">
        <w:rPr>
          <w:color w:val="000000" w:themeColor="text1"/>
          <w:sz w:val="22"/>
        </w:rPr>
        <w:t>Düzenlemeler</w:t>
      </w:r>
      <w:r w:rsidR="00622B58" w:rsidRPr="00D464D4">
        <w:rPr>
          <w:color w:val="000000" w:themeColor="text1"/>
          <w:sz w:val="22"/>
        </w:rPr>
        <w:t xml:space="preserve"> ile</w:t>
      </w:r>
      <w:r w:rsidR="00FC0F01" w:rsidRPr="00D464D4">
        <w:rPr>
          <w:sz w:val="22"/>
        </w:rPr>
        <w:t xml:space="preserve"> bulaşıcı hastalıkların </w:t>
      </w:r>
      <w:r w:rsidR="008E40A8" w:rsidRPr="00D464D4">
        <w:rPr>
          <w:sz w:val="22"/>
        </w:rPr>
        <w:t xml:space="preserve">dünya geneline yayılmasını önleme adına küresel </w:t>
      </w:r>
      <w:r w:rsidR="00FC0F01" w:rsidRPr="00D464D4">
        <w:rPr>
          <w:sz w:val="22"/>
        </w:rPr>
        <w:t>güv</w:t>
      </w:r>
      <w:r w:rsidR="008E40A8" w:rsidRPr="00D464D4">
        <w:rPr>
          <w:sz w:val="22"/>
        </w:rPr>
        <w:t>enliği</w:t>
      </w:r>
      <w:r w:rsidR="00622B58" w:rsidRPr="00D464D4">
        <w:rPr>
          <w:sz w:val="22"/>
        </w:rPr>
        <w:t>n en üst düzeye çıkarılması</w:t>
      </w:r>
      <w:r w:rsidR="008E40A8" w:rsidRPr="00D464D4">
        <w:rPr>
          <w:sz w:val="22"/>
        </w:rPr>
        <w:t xml:space="preserve"> ve</w:t>
      </w:r>
      <w:r w:rsidR="00622B58" w:rsidRPr="00D464D4">
        <w:rPr>
          <w:sz w:val="22"/>
        </w:rPr>
        <w:t xml:space="preserve"> bulaşıcı hastalıkların ticaret-turizm </w:t>
      </w:r>
      <w:r w:rsidR="00FC0F01" w:rsidRPr="00D464D4">
        <w:rPr>
          <w:sz w:val="22"/>
        </w:rPr>
        <w:t xml:space="preserve">üzerindeki </w:t>
      </w:r>
      <w:r w:rsidR="00622B58" w:rsidRPr="00D464D4">
        <w:rPr>
          <w:sz w:val="22"/>
        </w:rPr>
        <w:t>olumsuz etkilerinin en aza indirgenmesi hedefle</w:t>
      </w:r>
      <w:r w:rsidR="00234D3B">
        <w:rPr>
          <w:sz w:val="22"/>
        </w:rPr>
        <w:t>n</w:t>
      </w:r>
      <w:r w:rsidR="00B10F52" w:rsidRPr="00D464D4">
        <w:rPr>
          <w:sz w:val="22"/>
        </w:rPr>
        <w:t xml:space="preserve">miştir. </w:t>
      </w:r>
      <w:r w:rsidR="00745D36" w:rsidRPr="00D464D4">
        <w:rPr>
          <w:sz w:val="22"/>
        </w:rPr>
        <w:t>21.</w:t>
      </w:r>
      <w:r w:rsidR="00AD7A97" w:rsidRPr="00D464D4">
        <w:rPr>
          <w:sz w:val="22"/>
        </w:rPr>
        <w:t xml:space="preserve"> </w:t>
      </w:r>
      <w:r w:rsidR="00745D36" w:rsidRPr="00D464D4">
        <w:rPr>
          <w:sz w:val="22"/>
        </w:rPr>
        <w:t>yüzyılda ise k</w:t>
      </w:r>
      <w:r w:rsidR="008E40A8" w:rsidRPr="00D464D4">
        <w:rPr>
          <w:sz w:val="22"/>
        </w:rPr>
        <w:t xml:space="preserve">üresel anlamda bulaşıcı hastalık düzenlemeleri ve ilgili raporlamalar </w:t>
      </w:r>
      <w:r w:rsidRPr="00D464D4">
        <w:rPr>
          <w:sz w:val="22"/>
        </w:rPr>
        <w:t xml:space="preserve">Dünya Sağlık Örgütü </w:t>
      </w:r>
      <w:r w:rsidR="008E40A8" w:rsidRPr="00D464D4">
        <w:rPr>
          <w:sz w:val="22"/>
        </w:rPr>
        <w:t>(WHO) tarafından yapılmaktadır.</w:t>
      </w:r>
      <w:r w:rsidRPr="00D464D4">
        <w:rPr>
          <w:sz w:val="22"/>
        </w:rPr>
        <w:t xml:space="preserve"> </w:t>
      </w:r>
      <w:r w:rsidR="008E40A8" w:rsidRPr="00D464D4">
        <w:rPr>
          <w:sz w:val="22"/>
        </w:rPr>
        <w:t xml:space="preserve">Bu düzenleme ve raporlar </w:t>
      </w:r>
      <w:r w:rsidRPr="00D464D4">
        <w:rPr>
          <w:sz w:val="22"/>
        </w:rPr>
        <w:t>bulaşıcı h</w:t>
      </w:r>
      <w:r w:rsidR="008E40A8" w:rsidRPr="00D464D4">
        <w:rPr>
          <w:sz w:val="22"/>
        </w:rPr>
        <w:t>astalık</w:t>
      </w:r>
      <w:r w:rsidR="00622B58" w:rsidRPr="00D464D4">
        <w:rPr>
          <w:sz w:val="22"/>
        </w:rPr>
        <w:t xml:space="preserve"> </w:t>
      </w:r>
      <w:r w:rsidR="00AD7A97" w:rsidRPr="00D464D4">
        <w:rPr>
          <w:sz w:val="22"/>
        </w:rPr>
        <w:t>bulunan</w:t>
      </w:r>
      <w:r w:rsidR="00622B58" w:rsidRPr="00D464D4">
        <w:rPr>
          <w:sz w:val="22"/>
        </w:rPr>
        <w:t xml:space="preserve"> kemirgenlerin ve</w:t>
      </w:r>
      <w:r w:rsidRPr="00D464D4">
        <w:rPr>
          <w:sz w:val="22"/>
        </w:rPr>
        <w:t xml:space="preserve"> böceklerin </w:t>
      </w:r>
      <w:r w:rsidR="008E40A8" w:rsidRPr="00D464D4">
        <w:rPr>
          <w:sz w:val="22"/>
        </w:rPr>
        <w:t>taşınmasını engelleme adına havaalanları ve limanlar</w:t>
      </w:r>
      <w:r w:rsidRPr="00D464D4">
        <w:rPr>
          <w:sz w:val="22"/>
        </w:rPr>
        <w:t xml:space="preserve"> iç</w:t>
      </w:r>
      <w:r w:rsidR="008E40A8" w:rsidRPr="00D464D4">
        <w:rPr>
          <w:sz w:val="22"/>
        </w:rPr>
        <w:t xml:space="preserve">in </w:t>
      </w:r>
      <w:r w:rsidR="00622B58" w:rsidRPr="00D464D4">
        <w:rPr>
          <w:sz w:val="22"/>
        </w:rPr>
        <w:t xml:space="preserve">oluşturulan </w:t>
      </w:r>
      <w:r w:rsidR="008E40A8" w:rsidRPr="00D464D4">
        <w:rPr>
          <w:sz w:val="22"/>
        </w:rPr>
        <w:t>normlar</w:t>
      </w:r>
      <w:r w:rsidR="00940AC8">
        <w:rPr>
          <w:sz w:val="22"/>
        </w:rPr>
        <w:t>ı</w:t>
      </w:r>
      <w:r w:rsidR="008E40A8" w:rsidRPr="00D464D4">
        <w:rPr>
          <w:sz w:val="22"/>
        </w:rPr>
        <w:t xml:space="preserve"> ve standartlar</w:t>
      </w:r>
      <w:r w:rsidR="00622B58" w:rsidRPr="00D464D4">
        <w:rPr>
          <w:sz w:val="22"/>
        </w:rPr>
        <w:t>ı içermektedir.</w:t>
      </w:r>
      <w:r w:rsidRPr="00D464D4">
        <w:rPr>
          <w:sz w:val="22"/>
        </w:rPr>
        <w:t xml:space="preserve"> </w:t>
      </w:r>
      <w:r w:rsidR="00AD7A97" w:rsidRPr="00D464D4">
        <w:rPr>
          <w:sz w:val="22"/>
        </w:rPr>
        <w:t>İ</w:t>
      </w:r>
      <w:r w:rsidR="004058AD" w:rsidRPr="00D464D4">
        <w:rPr>
          <w:sz w:val="22"/>
        </w:rPr>
        <w:t>lgili belge ve düzenlemelerde</w:t>
      </w:r>
      <w:r w:rsidR="008E40A8" w:rsidRPr="00D464D4">
        <w:rPr>
          <w:sz w:val="22"/>
        </w:rPr>
        <w:t xml:space="preserve"> </w:t>
      </w:r>
      <w:r w:rsidR="004058AD" w:rsidRPr="00D464D4">
        <w:rPr>
          <w:sz w:val="22"/>
        </w:rPr>
        <w:t>bulaşıcı hastalıklara</w:t>
      </w:r>
      <w:r w:rsidR="008E40A8" w:rsidRPr="00D464D4">
        <w:rPr>
          <w:sz w:val="22"/>
        </w:rPr>
        <w:t xml:space="preserve"> yönelik karantina u</w:t>
      </w:r>
      <w:r w:rsidR="00E93A02" w:rsidRPr="00D464D4">
        <w:rPr>
          <w:sz w:val="22"/>
        </w:rPr>
        <w:t>ygulamaları</w:t>
      </w:r>
      <w:r w:rsidR="004058AD" w:rsidRPr="00D464D4">
        <w:rPr>
          <w:sz w:val="22"/>
        </w:rPr>
        <w:t>ndan</w:t>
      </w:r>
      <w:r w:rsidR="00E93A02" w:rsidRPr="00D464D4">
        <w:rPr>
          <w:sz w:val="22"/>
        </w:rPr>
        <w:t xml:space="preserve"> da </w:t>
      </w:r>
      <w:r w:rsidR="004058AD" w:rsidRPr="00D464D4">
        <w:rPr>
          <w:sz w:val="22"/>
        </w:rPr>
        <w:t>bahsedilmektedir.</w:t>
      </w:r>
      <w:r w:rsidR="005A3EB4" w:rsidRPr="00D464D4">
        <w:rPr>
          <w:sz w:val="22"/>
        </w:rPr>
        <w:t xml:space="preserve"> </w:t>
      </w:r>
      <w:r w:rsidR="00AD7A97" w:rsidRPr="00D464D4">
        <w:rPr>
          <w:sz w:val="22"/>
        </w:rPr>
        <w:t xml:space="preserve">Ayrıca </w:t>
      </w:r>
      <w:r w:rsidR="005A3EB4" w:rsidRPr="00D464D4">
        <w:rPr>
          <w:sz w:val="22"/>
        </w:rPr>
        <w:t>Dünya Sağlık Örgütü</w:t>
      </w:r>
      <w:r w:rsidR="00B7793D" w:rsidRPr="00D464D4">
        <w:rPr>
          <w:sz w:val="22"/>
        </w:rPr>
        <w:t>,</w:t>
      </w:r>
      <w:r w:rsidR="005A3EB4" w:rsidRPr="00D464D4">
        <w:rPr>
          <w:sz w:val="22"/>
        </w:rPr>
        <w:t xml:space="preserve"> </w:t>
      </w:r>
      <w:r w:rsidRPr="00D464D4">
        <w:rPr>
          <w:sz w:val="22"/>
        </w:rPr>
        <w:t xml:space="preserve">hükümetlerin sunduğu resmi bildirimlerden başka bilgi kaynaklarını </w:t>
      </w:r>
      <w:r w:rsidR="00B10F52" w:rsidRPr="00D464D4">
        <w:rPr>
          <w:sz w:val="22"/>
        </w:rPr>
        <w:t xml:space="preserve">kullanma yetkisine de </w:t>
      </w:r>
      <w:r w:rsidR="00B10F52" w:rsidRPr="00D464D4">
        <w:rPr>
          <w:color w:val="000000" w:themeColor="text1"/>
          <w:sz w:val="22"/>
        </w:rPr>
        <w:t>sahiptir (Dünya Sağlık Örgütü, 2001b</w:t>
      </w:r>
      <w:r w:rsidRPr="00D464D4">
        <w:rPr>
          <w:color w:val="000000" w:themeColor="text1"/>
          <w:sz w:val="22"/>
        </w:rPr>
        <w:t>).</w:t>
      </w:r>
      <w:r w:rsidR="005A3EB4" w:rsidRPr="00D464D4">
        <w:rPr>
          <w:color w:val="FF0000"/>
          <w:sz w:val="22"/>
        </w:rPr>
        <w:t xml:space="preserve"> </w:t>
      </w:r>
      <w:r w:rsidR="006311F7" w:rsidRPr="00D464D4">
        <w:rPr>
          <w:color w:val="FF0000"/>
          <w:sz w:val="22"/>
        </w:rPr>
        <w:t xml:space="preserve"> </w:t>
      </w:r>
    </w:p>
    <w:p w:rsidR="005A2136" w:rsidRPr="00546418" w:rsidRDefault="00425EEB" w:rsidP="00546418">
      <w:pPr>
        <w:spacing w:before="120" w:after="120" w:line="240" w:lineRule="auto"/>
        <w:rPr>
          <w:sz w:val="22"/>
        </w:rPr>
      </w:pPr>
      <w:r w:rsidRPr="00D464D4">
        <w:rPr>
          <w:sz w:val="22"/>
        </w:rPr>
        <w:tab/>
        <w:t>Biyolojik silah kullanma temelinde bir ülke veya toplum kesimine karşı bakteri, virüs ve hastalık patojenlerinin salgın ama</w:t>
      </w:r>
      <w:r w:rsidR="00AD7A97" w:rsidRPr="00D464D4">
        <w:rPr>
          <w:sz w:val="22"/>
        </w:rPr>
        <w:t>cıyla kasten ortaya çıkarılmasına biyo</w:t>
      </w:r>
      <w:r w:rsidRPr="00D464D4">
        <w:rPr>
          <w:sz w:val="22"/>
        </w:rPr>
        <w:t xml:space="preserve">terörizm denilmektedir. </w:t>
      </w:r>
      <w:r w:rsidR="00622B58" w:rsidRPr="00D464D4">
        <w:rPr>
          <w:sz w:val="22"/>
        </w:rPr>
        <w:t xml:space="preserve">Eylül ve Ekim 2001 olayları ile gündeme gelen </w:t>
      </w:r>
      <w:r w:rsidR="00AD7A97" w:rsidRPr="00D464D4">
        <w:rPr>
          <w:sz w:val="22"/>
        </w:rPr>
        <w:t>biyo</w:t>
      </w:r>
      <w:r w:rsidR="00622B58" w:rsidRPr="00D464D4">
        <w:rPr>
          <w:sz w:val="22"/>
        </w:rPr>
        <w:t xml:space="preserve">terörizm kavramı bulaşıcı hastalık patojenlerinin durumunu çarpıcı bir şekilde değiştirmiştir. Bir hastalık patojeninin ülkeler ya da şahıslar tarafından ortaya çıkarılıp çıkartılmadığının tespiti oldukça zordur. Bu durum küresel halk sağlığının karşılaşabileceği en büyük problemlerden birisidir. </w:t>
      </w:r>
      <w:r w:rsidRPr="00D464D4">
        <w:rPr>
          <w:sz w:val="22"/>
        </w:rPr>
        <w:t>Ayrıca s</w:t>
      </w:r>
      <w:r w:rsidR="00622B58" w:rsidRPr="00D464D4">
        <w:rPr>
          <w:sz w:val="22"/>
        </w:rPr>
        <w:t xml:space="preserve">algınların hızlı bir şekilde yayılması ve havaalanları gibi yüksek etkileşimli </w:t>
      </w:r>
      <w:proofErr w:type="spellStart"/>
      <w:r w:rsidR="00622B58" w:rsidRPr="00D464D4">
        <w:rPr>
          <w:sz w:val="22"/>
        </w:rPr>
        <w:t>lokasyonlar</w:t>
      </w:r>
      <w:proofErr w:type="spellEnd"/>
      <w:r w:rsidR="00622B58" w:rsidRPr="00D464D4">
        <w:rPr>
          <w:sz w:val="22"/>
        </w:rPr>
        <w:t xml:space="preserve"> aracılığıyla dünyanın farklı yerlerinde eş zamanlı olarak or</w:t>
      </w:r>
      <w:r w:rsidR="00E0533D">
        <w:rPr>
          <w:sz w:val="22"/>
        </w:rPr>
        <w:t>taya çıkabilmesi olası bir biyo</w:t>
      </w:r>
      <w:r w:rsidR="00622B58" w:rsidRPr="00D464D4">
        <w:rPr>
          <w:sz w:val="22"/>
        </w:rPr>
        <w:t>terörist saldırıyı maskeleyebilmektedir. Örneğin her yıl büyük uluslararası havaalanlarına sahip ılıman ülkelerde ortaya çıkan sıtma, tropik hastalıklar ve hastalık patojenleri dünyanın muhtelif yerlerine kadar ulaşabilmektedir. Bu kapsamda bir salgının yüksek etkile</w:t>
      </w:r>
      <w:r w:rsidR="00E0533D">
        <w:rPr>
          <w:sz w:val="22"/>
        </w:rPr>
        <w:t xml:space="preserve">şimli </w:t>
      </w:r>
      <w:proofErr w:type="spellStart"/>
      <w:r w:rsidR="00E0533D">
        <w:rPr>
          <w:sz w:val="22"/>
        </w:rPr>
        <w:t>lokasyonlar</w:t>
      </w:r>
      <w:proofErr w:type="spellEnd"/>
      <w:r w:rsidR="00E0533D">
        <w:rPr>
          <w:sz w:val="22"/>
        </w:rPr>
        <w:t xml:space="preserve"> veya bir biyo</w:t>
      </w:r>
      <w:r w:rsidR="00622B58" w:rsidRPr="00D464D4">
        <w:rPr>
          <w:sz w:val="22"/>
        </w:rPr>
        <w:t>terörist saldırı yoluyla yayılıp yayılmadığının tespiti oldukça zordur.</w:t>
      </w:r>
      <w:r w:rsidRPr="00D464D4">
        <w:rPr>
          <w:sz w:val="22"/>
        </w:rPr>
        <w:t xml:space="preserve"> </w:t>
      </w:r>
      <w:r w:rsidR="00E0533D">
        <w:rPr>
          <w:sz w:val="22"/>
        </w:rPr>
        <w:t>Dünyanın olası bir biyo</w:t>
      </w:r>
      <w:r w:rsidR="00622B58" w:rsidRPr="00D464D4">
        <w:rPr>
          <w:sz w:val="22"/>
        </w:rPr>
        <w:t>terörist saldırı tehdidine karşı nasıl bir savunma mekanizması geliştirebileceği sorusu 1997 yılına kadar uzanan bir dizi pratik eylemde ele alınmıştır</w:t>
      </w:r>
      <w:r w:rsidR="00E21635" w:rsidRPr="00D464D4">
        <w:rPr>
          <w:color w:val="FF0000"/>
          <w:sz w:val="22"/>
        </w:rPr>
        <w:t xml:space="preserve"> </w:t>
      </w:r>
      <w:r w:rsidR="00E21635" w:rsidRPr="00D464D4">
        <w:rPr>
          <w:color w:val="000000" w:themeColor="text1"/>
          <w:sz w:val="22"/>
        </w:rPr>
        <w:t>(Dünya Sağlık Örgütü, 2002b</w:t>
      </w:r>
      <w:r w:rsidR="00622B58" w:rsidRPr="00D464D4">
        <w:rPr>
          <w:color w:val="000000" w:themeColor="text1"/>
          <w:sz w:val="22"/>
        </w:rPr>
        <w:t xml:space="preserve">). </w:t>
      </w:r>
      <w:r w:rsidR="00622B58" w:rsidRPr="00D464D4">
        <w:rPr>
          <w:sz w:val="22"/>
        </w:rPr>
        <w:t>Bunun yanında ilgili sorunun ilk somut vakası 5 Eylül 2001’de ABD Dış İlişk</w:t>
      </w:r>
      <w:r w:rsidR="00AD7A97" w:rsidRPr="00D464D4">
        <w:rPr>
          <w:sz w:val="22"/>
        </w:rPr>
        <w:t>iler Senatosu Komitesi</w:t>
      </w:r>
      <w:r w:rsidR="00FE2AED">
        <w:rPr>
          <w:sz w:val="22"/>
        </w:rPr>
        <w:t>’</w:t>
      </w:r>
      <w:r w:rsidR="00AD7A97" w:rsidRPr="00D464D4">
        <w:rPr>
          <w:sz w:val="22"/>
        </w:rPr>
        <w:t>nin “Biyo</w:t>
      </w:r>
      <w:r w:rsidR="00622B58" w:rsidRPr="00D464D4">
        <w:rPr>
          <w:sz w:val="22"/>
        </w:rPr>
        <w:t>terörizm Tehdidi ve Bulaşıcı Hastalıkların Yayılması” konulu bir görüşmesinde günd</w:t>
      </w:r>
      <w:r w:rsidR="00E0533D">
        <w:rPr>
          <w:sz w:val="22"/>
        </w:rPr>
        <w:t xml:space="preserve">eme gelmiştir. Bu kapsamda </w:t>
      </w:r>
      <w:proofErr w:type="spellStart"/>
      <w:r w:rsidR="00E0533D">
        <w:rPr>
          <w:sz w:val="22"/>
        </w:rPr>
        <w:t>biyo</w:t>
      </w:r>
      <w:r w:rsidR="00622B58" w:rsidRPr="00D464D4">
        <w:rPr>
          <w:sz w:val="22"/>
        </w:rPr>
        <w:t>terörizmin</w:t>
      </w:r>
      <w:proofErr w:type="spellEnd"/>
      <w:r w:rsidR="00622B58" w:rsidRPr="00D464D4">
        <w:rPr>
          <w:sz w:val="22"/>
        </w:rPr>
        <w:t xml:space="preserve"> oluşturduğu tehdit ve meydana gelen salgınları tespit/kontrol etmek için kurulan sistemlerin küresel savunmada nasıl kullanılabileceği tartışılmıştır </w:t>
      </w:r>
      <w:r w:rsidR="00F316A7" w:rsidRPr="00D464D4">
        <w:rPr>
          <w:color w:val="000000" w:themeColor="text1"/>
          <w:sz w:val="22"/>
        </w:rPr>
        <w:t xml:space="preserve">(Center </w:t>
      </w:r>
      <w:proofErr w:type="spellStart"/>
      <w:r w:rsidR="00F316A7" w:rsidRPr="00D464D4">
        <w:rPr>
          <w:color w:val="000000" w:themeColor="text1"/>
          <w:sz w:val="22"/>
        </w:rPr>
        <w:t>for</w:t>
      </w:r>
      <w:proofErr w:type="spellEnd"/>
      <w:r w:rsidR="00F316A7" w:rsidRPr="00D464D4">
        <w:rPr>
          <w:color w:val="000000" w:themeColor="text1"/>
          <w:sz w:val="22"/>
        </w:rPr>
        <w:t xml:space="preserve"> </w:t>
      </w:r>
      <w:proofErr w:type="spellStart"/>
      <w:r w:rsidR="00F316A7" w:rsidRPr="00D464D4">
        <w:rPr>
          <w:color w:val="000000" w:themeColor="text1"/>
          <w:sz w:val="22"/>
        </w:rPr>
        <w:t>Health</w:t>
      </w:r>
      <w:proofErr w:type="spellEnd"/>
      <w:r w:rsidR="00F316A7" w:rsidRPr="00D464D4">
        <w:rPr>
          <w:color w:val="000000" w:themeColor="text1"/>
          <w:sz w:val="22"/>
        </w:rPr>
        <w:t xml:space="preserve"> Security, 2001</w:t>
      </w:r>
      <w:r w:rsidR="00622B58" w:rsidRPr="00D464D4">
        <w:rPr>
          <w:color w:val="000000" w:themeColor="text1"/>
          <w:sz w:val="22"/>
        </w:rPr>
        <w:t>).</w:t>
      </w:r>
      <w:r w:rsidR="002F2253" w:rsidRPr="00D464D4">
        <w:rPr>
          <w:color w:val="FF0000"/>
          <w:sz w:val="22"/>
        </w:rPr>
        <w:t xml:space="preserve"> </w:t>
      </w:r>
    </w:p>
    <w:p w:rsidR="00A7343F" w:rsidRDefault="007234FA" w:rsidP="004E7EBF">
      <w:pPr>
        <w:spacing w:before="120" w:after="120" w:line="240" w:lineRule="auto"/>
        <w:rPr>
          <w:sz w:val="22"/>
        </w:rPr>
      </w:pPr>
      <w:r w:rsidRPr="00D464D4">
        <w:rPr>
          <w:sz w:val="22"/>
        </w:rPr>
        <w:tab/>
      </w:r>
      <w:r w:rsidR="00A52284" w:rsidRPr="00D464D4">
        <w:rPr>
          <w:sz w:val="22"/>
        </w:rPr>
        <w:t>K</w:t>
      </w:r>
      <w:r w:rsidR="00284616" w:rsidRPr="00D464D4">
        <w:rPr>
          <w:sz w:val="22"/>
        </w:rPr>
        <w:t xml:space="preserve">asıtlı olarak </w:t>
      </w:r>
      <w:r w:rsidR="008104DF" w:rsidRPr="00D464D4">
        <w:rPr>
          <w:sz w:val="22"/>
        </w:rPr>
        <w:t xml:space="preserve">ortaya çıkarılan bir salgın </w:t>
      </w:r>
      <w:r w:rsidR="00425EEB" w:rsidRPr="00D464D4">
        <w:rPr>
          <w:sz w:val="22"/>
        </w:rPr>
        <w:t>ölçeğinin</w:t>
      </w:r>
      <w:r w:rsidR="008104DF" w:rsidRPr="00D464D4">
        <w:rPr>
          <w:sz w:val="22"/>
        </w:rPr>
        <w:t xml:space="preserve"> olağan olarak ortaya çıkan bir salgın ölçeğinden daha büyük olması kuvvetle muhtemeldir.</w:t>
      </w:r>
      <w:r w:rsidR="00A52284" w:rsidRPr="00D464D4">
        <w:rPr>
          <w:sz w:val="22"/>
        </w:rPr>
        <w:t xml:space="preserve"> Bunun yanında Dünya Sağlık Örgütü bulaşıcı hastalık tehdidine karşı en önemli savunmanın iyi istihbarat ve hızlı bir yanıt olduğunu ifade etmektedir. </w:t>
      </w:r>
      <w:r w:rsidR="008104DF" w:rsidRPr="00D464D4">
        <w:rPr>
          <w:sz w:val="22"/>
        </w:rPr>
        <w:t xml:space="preserve"> Bu kapsamda güçlü halk sağlığı sistemlerinin kasıtlı olarak ortaya</w:t>
      </w:r>
      <w:r w:rsidR="00425EEB" w:rsidRPr="00D464D4">
        <w:rPr>
          <w:sz w:val="22"/>
        </w:rPr>
        <w:t xml:space="preserve"> çıkarılan bir salgına vereceği</w:t>
      </w:r>
      <w:r w:rsidR="008104DF" w:rsidRPr="00D464D4">
        <w:rPr>
          <w:sz w:val="22"/>
        </w:rPr>
        <w:t xml:space="preserve"> yanıt </w:t>
      </w:r>
      <w:r w:rsidR="00694C84" w:rsidRPr="00D464D4">
        <w:rPr>
          <w:sz w:val="22"/>
        </w:rPr>
        <w:t xml:space="preserve">önemlidir </w:t>
      </w:r>
      <w:r w:rsidRPr="00D464D4">
        <w:rPr>
          <w:color w:val="000000" w:themeColor="text1"/>
          <w:sz w:val="22"/>
        </w:rPr>
        <w:t>(</w:t>
      </w:r>
      <w:proofErr w:type="spellStart"/>
      <w:r w:rsidRPr="00D464D4">
        <w:rPr>
          <w:color w:val="000000" w:themeColor="text1"/>
          <w:sz w:val="22"/>
        </w:rPr>
        <w:t>Knobler</w:t>
      </w:r>
      <w:proofErr w:type="spellEnd"/>
      <w:r w:rsidRPr="00D464D4">
        <w:rPr>
          <w:color w:val="000000" w:themeColor="text1"/>
          <w:sz w:val="22"/>
        </w:rPr>
        <w:t xml:space="preserve"> vd</w:t>
      </w:r>
      <w:r w:rsidR="00981924" w:rsidRPr="00D464D4">
        <w:rPr>
          <w:color w:val="000000" w:themeColor="text1"/>
          <w:sz w:val="22"/>
        </w:rPr>
        <w:t>.</w:t>
      </w:r>
      <w:r w:rsidRPr="00D464D4">
        <w:rPr>
          <w:color w:val="000000" w:themeColor="text1"/>
          <w:sz w:val="22"/>
        </w:rPr>
        <w:t>,</w:t>
      </w:r>
      <w:r w:rsidR="00981924" w:rsidRPr="00D464D4">
        <w:rPr>
          <w:color w:val="000000" w:themeColor="text1"/>
          <w:sz w:val="22"/>
        </w:rPr>
        <w:t xml:space="preserve"> 2002</w:t>
      </w:r>
      <w:r w:rsidRPr="00D464D4">
        <w:rPr>
          <w:color w:val="000000" w:themeColor="text1"/>
          <w:sz w:val="22"/>
        </w:rPr>
        <w:t>: 16-18</w:t>
      </w:r>
      <w:r w:rsidR="00981924" w:rsidRPr="00D464D4">
        <w:rPr>
          <w:color w:val="000000" w:themeColor="text1"/>
          <w:sz w:val="22"/>
        </w:rPr>
        <w:t>).</w:t>
      </w:r>
      <w:r w:rsidR="00425EEB" w:rsidRPr="00D464D4">
        <w:rPr>
          <w:color w:val="000000" w:themeColor="text1"/>
          <w:sz w:val="22"/>
        </w:rPr>
        <w:t xml:space="preserve"> </w:t>
      </w:r>
      <w:r w:rsidR="00A52284" w:rsidRPr="00D464D4">
        <w:rPr>
          <w:sz w:val="22"/>
        </w:rPr>
        <w:t>Dünya genelinde k</w:t>
      </w:r>
      <w:r w:rsidR="009B1A1E" w:rsidRPr="00D464D4">
        <w:rPr>
          <w:sz w:val="22"/>
        </w:rPr>
        <w:t>üresel gözetim ve müdahale mekanizmaları günlük olarak Küresel</w:t>
      </w:r>
      <w:r w:rsidR="00A52284" w:rsidRPr="00D464D4">
        <w:rPr>
          <w:sz w:val="22"/>
        </w:rPr>
        <w:t xml:space="preserve"> Salgın Uyarısı ve Müdahale Ağı (Global </w:t>
      </w:r>
      <w:proofErr w:type="spellStart"/>
      <w:r w:rsidR="00A52284" w:rsidRPr="00D464D4">
        <w:rPr>
          <w:sz w:val="22"/>
        </w:rPr>
        <w:t>Outbreak</w:t>
      </w:r>
      <w:proofErr w:type="spellEnd"/>
      <w:r w:rsidR="00A52284" w:rsidRPr="00D464D4">
        <w:rPr>
          <w:sz w:val="22"/>
        </w:rPr>
        <w:t xml:space="preserve"> </w:t>
      </w:r>
      <w:proofErr w:type="spellStart"/>
      <w:r w:rsidR="00A52284" w:rsidRPr="00D464D4">
        <w:rPr>
          <w:sz w:val="22"/>
        </w:rPr>
        <w:t>Alert</w:t>
      </w:r>
      <w:proofErr w:type="spellEnd"/>
      <w:r w:rsidR="00A52284" w:rsidRPr="00D464D4">
        <w:rPr>
          <w:sz w:val="22"/>
        </w:rPr>
        <w:t xml:space="preserve"> </w:t>
      </w:r>
      <w:proofErr w:type="spellStart"/>
      <w:r w:rsidR="00A52284" w:rsidRPr="00D464D4">
        <w:rPr>
          <w:sz w:val="22"/>
        </w:rPr>
        <w:t>and</w:t>
      </w:r>
      <w:proofErr w:type="spellEnd"/>
      <w:r w:rsidR="00A52284" w:rsidRPr="00D464D4">
        <w:rPr>
          <w:sz w:val="22"/>
        </w:rPr>
        <w:t xml:space="preserve"> </w:t>
      </w:r>
      <w:proofErr w:type="spellStart"/>
      <w:r w:rsidR="00A52284" w:rsidRPr="00D464D4">
        <w:rPr>
          <w:sz w:val="22"/>
        </w:rPr>
        <w:t>Response</w:t>
      </w:r>
      <w:proofErr w:type="spellEnd"/>
      <w:r w:rsidR="00A52284" w:rsidRPr="00D464D4">
        <w:rPr>
          <w:sz w:val="22"/>
        </w:rPr>
        <w:t xml:space="preserve"> Network) içerisinde konumlanmıştır. 1997’</w:t>
      </w:r>
      <w:r w:rsidR="0073406B" w:rsidRPr="00D464D4">
        <w:rPr>
          <w:sz w:val="22"/>
        </w:rPr>
        <w:t>den beri geliştirilmekte olan bu kapsamlı ağ</w:t>
      </w:r>
      <w:r w:rsidR="00425EEB" w:rsidRPr="00D464D4">
        <w:rPr>
          <w:sz w:val="22"/>
        </w:rPr>
        <w:t>,</w:t>
      </w:r>
      <w:r w:rsidR="0073406B" w:rsidRPr="00D464D4">
        <w:rPr>
          <w:sz w:val="22"/>
        </w:rPr>
        <w:t xml:space="preserve"> elektronik olarak </w:t>
      </w:r>
      <w:r w:rsidR="00A52284" w:rsidRPr="00D464D4">
        <w:rPr>
          <w:sz w:val="22"/>
        </w:rPr>
        <w:t xml:space="preserve">eş </w:t>
      </w:r>
      <w:r w:rsidR="0073406B" w:rsidRPr="00D464D4">
        <w:rPr>
          <w:sz w:val="22"/>
        </w:rPr>
        <w:t xml:space="preserve">zamanlı 110 mevcut laboratuvar ve hastalık </w:t>
      </w:r>
      <w:r w:rsidR="00A52284" w:rsidRPr="00D464D4">
        <w:rPr>
          <w:sz w:val="22"/>
        </w:rPr>
        <w:t>raporlama ağını birbirine bağlamaktadır. B</w:t>
      </w:r>
      <w:r w:rsidR="0073406B" w:rsidRPr="00D464D4">
        <w:rPr>
          <w:sz w:val="22"/>
        </w:rPr>
        <w:t xml:space="preserve">u </w:t>
      </w:r>
      <w:r w:rsidR="00A52284" w:rsidRPr="00D464D4">
        <w:rPr>
          <w:sz w:val="22"/>
        </w:rPr>
        <w:t xml:space="preserve">tür </w:t>
      </w:r>
      <w:r w:rsidR="0073406B" w:rsidRPr="00D464D4">
        <w:rPr>
          <w:sz w:val="22"/>
        </w:rPr>
        <w:t xml:space="preserve">ağlar </w:t>
      </w:r>
      <w:r w:rsidR="00A52284" w:rsidRPr="00D464D4">
        <w:rPr>
          <w:sz w:val="22"/>
        </w:rPr>
        <w:t xml:space="preserve">ile </w:t>
      </w:r>
      <w:r w:rsidR="00196125" w:rsidRPr="00D464D4">
        <w:rPr>
          <w:sz w:val="22"/>
        </w:rPr>
        <w:t>küresel güvenlik sistemlerinin sürekli olarak uyanık kalması</w:t>
      </w:r>
      <w:r w:rsidR="0073406B" w:rsidRPr="00D464D4">
        <w:rPr>
          <w:sz w:val="22"/>
        </w:rPr>
        <w:t xml:space="preserve"> ve </w:t>
      </w:r>
      <w:r w:rsidR="005032BE" w:rsidRPr="00D464D4">
        <w:rPr>
          <w:sz w:val="22"/>
        </w:rPr>
        <w:t xml:space="preserve">olası bir saldırıya </w:t>
      </w:r>
      <w:r w:rsidR="0073406B" w:rsidRPr="00D464D4">
        <w:rPr>
          <w:sz w:val="22"/>
        </w:rPr>
        <w:t xml:space="preserve">yanıt vermeye hazır olmaları </w:t>
      </w:r>
      <w:r w:rsidR="00196125" w:rsidRPr="00D464D4">
        <w:rPr>
          <w:sz w:val="22"/>
        </w:rPr>
        <w:t xml:space="preserve">hedeflenmiştir </w:t>
      </w:r>
      <w:r w:rsidRPr="00D464D4">
        <w:rPr>
          <w:color w:val="000000" w:themeColor="text1"/>
          <w:sz w:val="22"/>
        </w:rPr>
        <w:t>(</w:t>
      </w:r>
      <w:proofErr w:type="spellStart"/>
      <w:r w:rsidRPr="00D464D4">
        <w:rPr>
          <w:color w:val="000000" w:themeColor="text1"/>
          <w:sz w:val="22"/>
        </w:rPr>
        <w:t>Heymann</w:t>
      </w:r>
      <w:proofErr w:type="spellEnd"/>
      <w:r w:rsidRPr="00D464D4">
        <w:rPr>
          <w:color w:val="000000" w:themeColor="text1"/>
          <w:sz w:val="22"/>
        </w:rPr>
        <w:t>, 2003: 200</w:t>
      </w:r>
      <w:r w:rsidR="00A52284" w:rsidRPr="00D464D4">
        <w:rPr>
          <w:color w:val="000000" w:themeColor="text1"/>
          <w:sz w:val="22"/>
        </w:rPr>
        <w:t>).</w:t>
      </w:r>
      <w:r w:rsidR="00425EEB" w:rsidRPr="00D464D4">
        <w:rPr>
          <w:sz w:val="22"/>
        </w:rPr>
        <w:t xml:space="preserve"> </w:t>
      </w:r>
      <w:r w:rsidR="005032BE" w:rsidRPr="00D464D4">
        <w:rPr>
          <w:sz w:val="22"/>
        </w:rPr>
        <w:t xml:space="preserve">Bir diğer küresel ağ </w:t>
      </w:r>
      <w:r w:rsidR="0073406B" w:rsidRPr="00D464D4">
        <w:rPr>
          <w:sz w:val="22"/>
        </w:rPr>
        <w:t xml:space="preserve">Nisan 2000’de resmileştirilmiş </w:t>
      </w:r>
      <w:r w:rsidR="005032BE" w:rsidRPr="00D464D4">
        <w:rPr>
          <w:sz w:val="22"/>
        </w:rPr>
        <w:t>olan</w:t>
      </w:r>
      <w:r w:rsidR="0073406B" w:rsidRPr="00D464D4">
        <w:rPr>
          <w:sz w:val="22"/>
        </w:rPr>
        <w:t xml:space="preserve"> Global Halk Sağlığı İstihbarat Ağı (Global </w:t>
      </w:r>
      <w:proofErr w:type="spellStart"/>
      <w:r w:rsidR="0073406B" w:rsidRPr="00D464D4">
        <w:rPr>
          <w:sz w:val="22"/>
        </w:rPr>
        <w:t>Public</w:t>
      </w:r>
      <w:proofErr w:type="spellEnd"/>
      <w:r w:rsidR="0073406B" w:rsidRPr="00D464D4">
        <w:rPr>
          <w:sz w:val="22"/>
        </w:rPr>
        <w:t xml:space="preserve"> </w:t>
      </w:r>
      <w:proofErr w:type="spellStart"/>
      <w:r w:rsidR="0073406B" w:rsidRPr="00D464D4">
        <w:rPr>
          <w:sz w:val="22"/>
        </w:rPr>
        <w:t>Health</w:t>
      </w:r>
      <w:proofErr w:type="spellEnd"/>
      <w:r w:rsidR="0073406B" w:rsidRPr="00D464D4">
        <w:rPr>
          <w:sz w:val="22"/>
        </w:rPr>
        <w:t xml:space="preserve"> </w:t>
      </w:r>
      <w:proofErr w:type="spellStart"/>
      <w:r w:rsidR="0073406B" w:rsidRPr="00D464D4">
        <w:rPr>
          <w:sz w:val="22"/>
        </w:rPr>
        <w:t>Intelligence</w:t>
      </w:r>
      <w:proofErr w:type="spellEnd"/>
      <w:r w:rsidR="0073406B" w:rsidRPr="00D464D4">
        <w:rPr>
          <w:sz w:val="22"/>
        </w:rPr>
        <w:t xml:space="preserve"> </w:t>
      </w:r>
      <w:proofErr w:type="gramStart"/>
      <w:r w:rsidR="0073406B" w:rsidRPr="00D464D4">
        <w:rPr>
          <w:sz w:val="22"/>
        </w:rPr>
        <w:t>Network</w:t>
      </w:r>
      <w:r w:rsidR="00681037" w:rsidRPr="00D464D4">
        <w:rPr>
          <w:sz w:val="22"/>
        </w:rPr>
        <w:t xml:space="preserve"> -</w:t>
      </w:r>
      <w:proofErr w:type="gramEnd"/>
      <w:r w:rsidR="00681037" w:rsidRPr="00D464D4">
        <w:rPr>
          <w:sz w:val="22"/>
        </w:rPr>
        <w:t xml:space="preserve"> GPHIN</w:t>
      </w:r>
      <w:r w:rsidR="005032BE" w:rsidRPr="00D464D4">
        <w:rPr>
          <w:sz w:val="22"/>
        </w:rPr>
        <w:t>)’dır.</w:t>
      </w:r>
      <w:r w:rsidR="0073406B" w:rsidRPr="00D464D4">
        <w:rPr>
          <w:sz w:val="22"/>
        </w:rPr>
        <w:t xml:space="preserve"> </w:t>
      </w:r>
      <w:proofErr w:type="spellStart"/>
      <w:r w:rsidR="0073406B" w:rsidRPr="00D464D4">
        <w:rPr>
          <w:sz w:val="22"/>
        </w:rPr>
        <w:t>Health</w:t>
      </w:r>
      <w:proofErr w:type="spellEnd"/>
      <w:r w:rsidR="0073406B" w:rsidRPr="00D464D4">
        <w:rPr>
          <w:sz w:val="22"/>
        </w:rPr>
        <w:t xml:space="preserve"> </w:t>
      </w:r>
      <w:proofErr w:type="spellStart"/>
      <w:r w:rsidR="0073406B" w:rsidRPr="00D464D4">
        <w:rPr>
          <w:sz w:val="22"/>
        </w:rPr>
        <w:t>Canada</w:t>
      </w:r>
      <w:proofErr w:type="spellEnd"/>
      <w:r w:rsidR="0073406B" w:rsidRPr="00D464D4">
        <w:rPr>
          <w:sz w:val="22"/>
        </w:rPr>
        <w:t xml:space="preserve"> tarafından </w:t>
      </w:r>
      <w:r w:rsidR="000C3DA7" w:rsidRPr="00D464D4">
        <w:rPr>
          <w:sz w:val="22"/>
        </w:rPr>
        <w:t>geliştirilen</w:t>
      </w:r>
      <w:r w:rsidR="0073406B" w:rsidRPr="00D464D4">
        <w:rPr>
          <w:sz w:val="22"/>
        </w:rPr>
        <w:t xml:space="preserve"> ağ; </w:t>
      </w:r>
      <w:r w:rsidR="000C3DA7" w:rsidRPr="00D464D4">
        <w:rPr>
          <w:sz w:val="22"/>
        </w:rPr>
        <w:t xml:space="preserve">web ve </w:t>
      </w:r>
      <w:r w:rsidR="00425EEB" w:rsidRPr="00D464D4">
        <w:rPr>
          <w:sz w:val="22"/>
        </w:rPr>
        <w:t>haber sitelerini</w:t>
      </w:r>
      <w:r w:rsidR="0073406B" w:rsidRPr="00D464D4">
        <w:rPr>
          <w:sz w:val="22"/>
        </w:rPr>
        <w:t xml:space="preserve">, yerel çevrimiçi gazeteleri, halk sağlığı e-posta servislerini ve elektronik tartışma </w:t>
      </w:r>
      <w:r w:rsidR="000706B7" w:rsidRPr="00D464D4">
        <w:rPr>
          <w:sz w:val="22"/>
        </w:rPr>
        <w:t xml:space="preserve">platformlarını </w:t>
      </w:r>
      <w:r w:rsidR="0073406B" w:rsidRPr="00D464D4">
        <w:rPr>
          <w:sz w:val="22"/>
        </w:rPr>
        <w:t>sürekli ve siste</w:t>
      </w:r>
      <w:r w:rsidR="000C3DA7" w:rsidRPr="00D464D4">
        <w:rPr>
          <w:sz w:val="22"/>
        </w:rPr>
        <w:t>matik olarak tarayarak olası saldırılara karşı ihtiyatlı</w:t>
      </w:r>
      <w:r w:rsidR="00657776" w:rsidRPr="00D464D4">
        <w:rPr>
          <w:sz w:val="22"/>
        </w:rPr>
        <w:t>lığı</w:t>
      </w:r>
      <w:r w:rsidR="000C3DA7" w:rsidRPr="00D464D4">
        <w:rPr>
          <w:sz w:val="22"/>
        </w:rPr>
        <w:t xml:space="preserve"> hedeflemiştir. Böylece</w:t>
      </w:r>
      <w:r w:rsidR="00681037" w:rsidRPr="00D464D4">
        <w:rPr>
          <w:sz w:val="22"/>
        </w:rPr>
        <w:t xml:space="preserve"> ağ</w:t>
      </w:r>
      <w:r w:rsidR="006311F7" w:rsidRPr="00D464D4">
        <w:rPr>
          <w:sz w:val="22"/>
        </w:rPr>
        <w:t>,</w:t>
      </w:r>
      <w:r w:rsidR="00681037" w:rsidRPr="00D464D4">
        <w:rPr>
          <w:sz w:val="22"/>
        </w:rPr>
        <w:t xml:space="preserve"> dünya genelindeki</w:t>
      </w:r>
      <w:r w:rsidR="0073406B" w:rsidRPr="00D464D4">
        <w:rPr>
          <w:sz w:val="22"/>
        </w:rPr>
        <w:t xml:space="preserve"> olağandışı </w:t>
      </w:r>
      <w:r w:rsidR="000C3DA7" w:rsidRPr="00D464D4">
        <w:rPr>
          <w:sz w:val="22"/>
        </w:rPr>
        <w:t>hareket</w:t>
      </w:r>
      <w:r w:rsidR="00681037" w:rsidRPr="00D464D4">
        <w:rPr>
          <w:sz w:val="22"/>
        </w:rPr>
        <w:t xml:space="preserve"> veya şüphe oluşturan</w:t>
      </w:r>
      <w:r w:rsidR="000C3DA7" w:rsidRPr="00D464D4">
        <w:rPr>
          <w:sz w:val="22"/>
        </w:rPr>
        <w:t xml:space="preserve"> bir olay durumunda </w:t>
      </w:r>
      <w:r w:rsidR="0073406B" w:rsidRPr="00D464D4">
        <w:rPr>
          <w:sz w:val="22"/>
        </w:rPr>
        <w:t>resmi</w:t>
      </w:r>
      <w:r w:rsidR="000C3DA7" w:rsidRPr="00D464D4">
        <w:rPr>
          <w:sz w:val="22"/>
        </w:rPr>
        <w:t xml:space="preserve"> ve resmi</w:t>
      </w:r>
      <w:r w:rsidR="0073406B" w:rsidRPr="00D464D4">
        <w:rPr>
          <w:sz w:val="22"/>
        </w:rPr>
        <w:t xml:space="preserve"> ol</w:t>
      </w:r>
      <w:r w:rsidR="000C3DA7" w:rsidRPr="00D464D4">
        <w:rPr>
          <w:sz w:val="22"/>
        </w:rPr>
        <w:t>mayan haber kaynaklarını</w:t>
      </w:r>
      <w:r w:rsidR="001B1A68" w:rsidRPr="00D464D4">
        <w:rPr>
          <w:sz w:val="22"/>
        </w:rPr>
        <w:t xml:space="preserve"> tarayabilmektedir </w:t>
      </w:r>
      <w:r w:rsidR="001B1A68" w:rsidRPr="00D464D4">
        <w:rPr>
          <w:color w:val="000000" w:themeColor="text1"/>
          <w:sz w:val="22"/>
        </w:rPr>
        <w:t xml:space="preserve">(GPHIN </w:t>
      </w:r>
      <w:proofErr w:type="spellStart"/>
      <w:r w:rsidR="001B1A68" w:rsidRPr="00D464D4">
        <w:rPr>
          <w:color w:val="000000" w:themeColor="text1"/>
          <w:sz w:val="22"/>
        </w:rPr>
        <w:t>Canada</w:t>
      </w:r>
      <w:proofErr w:type="spellEnd"/>
      <w:r w:rsidR="001B1A68" w:rsidRPr="00D464D4">
        <w:rPr>
          <w:color w:val="000000" w:themeColor="text1"/>
          <w:sz w:val="22"/>
        </w:rPr>
        <w:t>, 2017</w:t>
      </w:r>
      <w:r w:rsidR="0073406B" w:rsidRPr="00D464D4">
        <w:rPr>
          <w:color w:val="000000" w:themeColor="text1"/>
          <w:sz w:val="22"/>
        </w:rPr>
        <w:t>).</w:t>
      </w:r>
      <w:r w:rsidR="00681037" w:rsidRPr="00D464D4">
        <w:rPr>
          <w:sz w:val="22"/>
        </w:rPr>
        <w:t xml:space="preserve"> </w:t>
      </w:r>
      <w:r w:rsidR="005C5C34" w:rsidRPr="00D464D4">
        <w:rPr>
          <w:sz w:val="22"/>
        </w:rPr>
        <w:t>GPHIN k</w:t>
      </w:r>
      <w:r w:rsidR="00681037" w:rsidRPr="00D464D4">
        <w:rPr>
          <w:sz w:val="22"/>
        </w:rPr>
        <w:t>apsamlı ve sistematik</w:t>
      </w:r>
      <w:r w:rsidR="005C5C34" w:rsidRPr="00D464D4">
        <w:rPr>
          <w:sz w:val="22"/>
        </w:rPr>
        <w:t xml:space="preserve"> arama kapasitesinin yanı sıra</w:t>
      </w:r>
      <w:r w:rsidR="00D95B7A" w:rsidRPr="00D464D4">
        <w:rPr>
          <w:sz w:val="22"/>
        </w:rPr>
        <w:t xml:space="preserve"> herhangi bir acil durum vakasını yerel seviyeden ulusal seviyeye ve sonrasında da Dünya Sağlık Örgütüne raporlayabilmektedir.</w:t>
      </w:r>
      <w:r w:rsidR="006311F7" w:rsidRPr="00D464D4">
        <w:rPr>
          <w:sz w:val="22"/>
        </w:rPr>
        <w:t xml:space="preserve"> </w:t>
      </w:r>
      <w:r w:rsidR="00A7343F" w:rsidRPr="00D464D4">
        <w:rPr>
          <w:sz w:val="22"/>
        </w:rPr>
        <w:t xml:space="preserve">Ağda birbirine bağlı ek </w:t>
      </w:r>
      <w:r w:rsidR="00A7343F" w:rsidRPr="00D464D4">
        <w:rPr>
          <w:sz w:val="22"/>
        </w:rPr>
        <w:lastRenderedPageBreak/>
        <w:t>bilgi</w:t>
      </w:r>
      <w:r w:rsidR="006311F7" w:rsidRPr="00D464D4">
        <w:rPr>
          <w:sz w:val="22"/>
        </w:rPr>
        <w:t xml:space="preserve"> kaynakları arasında hükümetler, </w:t>
      </w:r>
      <w:r w:rsidR="00A7343F" w:rsidRPr="00D464D4">
        <w:rPr>
          <w:sz w:val="22"/>
        </w:rPr>
        <w:t>üniversite merkezleri, sağlık bakanl</w:t>
      </w:r>
      <w:r w:rsidR="000706B7" w:rsidRPr="00D464D4">
        <w:rPr>
          <w:sz w:val="22"/>
        </w:rPr>
        <w:t xml:space="preserve">ıkları, akademik kurumlar, </w:t>
      </w:r>
      <w:r w:rsidR="00425EEB" w:rsidRPr="00D464D4">
        <w:rPr>
          <w:sz w:val="22"/>
        </w:rPr>
        <w:t>BM</w:t>
      </w:r>
      <w:r w:rsidR="00A7343F" w:rsidRPr="00D464D4">
        <w:rPr>
          <w:sz w:val="22"/>
        </w:rPr>
        <w:t xml:space="preserve"> ajansları, denizaşırı askeri labo</w:t>
      </w:r>
      <w:r w:rsidR="006311F7" w:rsidRPr="00D464D4">
        <w:rPr>
          <w:sz w:val="22"/>
        </w:rPr>
        <w:t>ratu</w:t>
      </w:r>
      <w:r w:rsidR="00A53DBD">
        <w:rPr>
          <w:sz w:val="22"/>
        </w:rPr>
        <w:t>v</w:t>
      </w:r>
      <w:r w:rsidR="006311F7" w:rsidRPr="00D464D4">
        <w:rPr>
          <w:sz w:val="22"/>
        </w:rPr>
        <w:t>ar ağları ve salgın eğilimi yüksek</w:t>
      </w:r>
      <w:r w:rsidR="00A7343F" w:rsidRPr="00D464D4">
        <w:rPr>
          <w:sz w:val="22"/>
        </w:rPr>
        <w:t xml:space="preserve"> ülkelerde</w:t>
      </w:r>
      <w:r w:rsidR="006311F7" w:rsidRPr="00D464D4">
        <w:rPr>
          <w:sz w:val="22"/>
        </w:rPr>
        <w:t xml:space="preserve">ki güçlü </w:t>
      </w:r>
      <w:r w:rsidR="00A7343F" w:rsidRPr="00D464D4">
        <w:rPr>
          <w:sz w:val="22"/>
        </w:rPr>
        <w:t>sivil toplum kuruluşları bulunmaktadır.</w:t>
      </w:r>
      <w:r w:rsidR="006311F7" w:rsidRPr="00D464D4">
        <w:rPr>
          <w:sz w:val="22"/>
        </w:rPr>
        <w:t xml:space="preserve"> B</w:t>
      </w:r>
      <w:r w:rsidR="00A7343F" w:rsidRPr="00D464D4">
        <w:rPr>
          <w:sz w:val="22"/>
        </w:rPr>
        <w:t xml:space="preserve">u kaynaklardan gelen </w:t>
      </w:r>
      <w:r w:rsidR="006311F7" w:rsidRPr="00D464D4">
        <w:rPr>
          <w:sz w:val="22"/>
        </w:rPr>
        <w:t xml:space="preserve">tüm </w:t>
      </w:r>
      <w:r w:rsidR="00A7343F" w:rsidRPr="00D464D4">
        <w:rPr>
          <w:sz w:val="22"/>
        </w:rPr>
        <w:t>bilgil</w:t>
      </w:r>
      <w:r w:rsidR="006311F7" w:rsidRPr="00D464D4">
        <w:rPr>
          <w:sz w:val="22"/>
        </w:rPr>
        <w:t>er günlük olarak değerlendirilmekte ve doğrulanmaktadır</w:t>
      </w:r>
      <w:r w:rsidR="001B1A68" w:rsidRPr="00D464D4">
        <w:rPr>
          <w:sz w:val="22"/>
        </w:rPr>
        <w:t xml:space="preserve">. </w:t>
      </w:r>
      <w:r w:rsidR="00A7343F" w:rsidRPr="00D464D4">
        <w:rPr>
          <w:sz w:val="22"/>
        </w:rPr>
        <w:t>Uluslararası</w:t>
      </w:r>
      <w:r w:rsidR="009F2FDE" w:rsidRPr="00D464D4">
        <w:rPr>
          <w:sz w:val="22"/>
        </w:rPr>
        <w:t xml:space="preserve"> bir</w:t>
      </w:r>
      <w:r w:rsidR="00A7343F" w:rsidRPr="00D464D4">
        <w:rPr>
          <w:sz w:val="22"/>
        </w:rPr>
        <w:t xml:space="preserve"> yardıma ihtiyaç duyul</w:t>
      </w:r>
      <w:r w:rsidR="002C18D0">
        <w:rPr>
          <w:sz w:val="22"/>
        </w:rPr>
        <w:t>duğunda, etkilenen ülkeyle</w:t>
      </w:r>
      <w:r w:rsidR="00A7343F" w:rsidRPr="00D464D4">
        <w:rPr>
          <w:sz w:val="22"/>
        </w:rPr>
        <w:t xml:space="preserve"> ve ağdaki uzmanlarla</w:t>
      </w:r>
      <w:r w:rsidR="009F2FDE" w:rsidRPr="00D464D4">
        <w:rPr>
          <w:sz w:val="22"/>
        </w:rPr>
        <w:t xml:space="preserve"> </w:t>
      </w:r>
      <w:r w:rsidR="00A7343F" w:rsidRPr="00D464D4">
        <w:rPr>
          <w:sz w:val="22"/>
        </w:rPr>
        <w:t xml:space="preserve">hızlı </w:t>
      </w:r>
      <w:r w:rsidR="009F2FDE" w:rsidRPr="00D464D4">
        <w:rPr>
          <w:sz w:val="22"/>
        </w:rPr>
        <w:t>koordinasyon</w:t>
      </w:r>
      <w:r w:rsidR="00A7343F" w:rsidRPr="00D464D4">
        <w:rPr>
          <w:sz w:val="22"/>
        </w:rPr>
        <w:t xml:space="preserve"> iç</w:t>
      </w:r>
      <w:r w:rsidR="009F2FDE" w:rsidRPr="00D464D4">
        <w:rPr>
          <w:sz w:val="22"/>
        </w:rPr>
        <w:t>in elektronik iletişim kullanılmaktadı</w:t>
      </w:r>
      <w:r w:rsidR="00A7343F" w:rsidRPr="00D464D4">
        <w:rPr>
          <w:sz w:val="22"/>
        </w:rPr>
        <w:t>r.</w:t>
      </w:r>
      <w:r w:rsidR="009F2FDE" w:rsidRPr="00D464D4">
        <w:rPr>
          <w:sz w:val="22"/>
        </w:rPr>
        <w:t xml:space="preserve"> Bu amaçla belirli salgın durumlarında küresel veri</w:t>
      </w:r>
      <w:r w:rsidR="002C18D0">
        <w:rPr>
          <w:sz w:val="22"/>
        </w:rPr>
        <w:t xml:space="preserve"> </w:t>
      </w:r>
      <w:r w:rsidR="009F2FDE" w:rsidRPr="00D464D4">
        <w:rPr>
          <w:sz w:val="22"/>
        </w:rPr>
        <w:t>tabanlarının erişimi</w:t>
      </w:r>
      <w:r w:rsidR="00A7343F" w:rsidRPr="00D464D4">
        <w:rPr>
          <w:sz w:val="22"/>
        </w:rPr>
        <w:t xml:space="preserve"> ülkelerdeki </w:t>
      </w:r>
      <w:r w:rsidR="009F2FDE" w:rsidRPr="00D464D4">
        <w:rPr>
          <w:sz w:val="22"/>
        </w:rPr>
        <w:t xml:space="preserve">ilgili kurumlara ve </w:t>
      </w:r>
      <w:r w:rsidR="00A7343F" w:rsidRPr="00D464D4">
        <w:rPr>
          <w:sz w:val="22"/>
        </w:rPr>
        <w:t>sivil toplum örgütler</w:t>
      </w:r>
      <w:r w:rsidR="009F2FDE" w:rsidRPr="00D464D4">
        <w:rPr>
          <w:sz w:val="22"/>
        </w:rPr>
        <w:t xml:space="preserve">ine açılmaktadır. </w:t>
      </w:r>
      <w:r w:rsidR="00A7343F" w:rsidRPr="00D464D4">
        <w:rPr>
          <w:sz w:val="22"/>
        </w:rPr>
        <w:t>Tüm dünyada bulunan uzmanlaşmış ulusal laboratu</w:t>
      </w:r>
      <w:r w:rsidR="00A53DBD">
        <w:rPr>
          <w:sz w:val="22"/>
        </w:rPr>
        <w:t>v</w:t>
      </w:r>
      <w:r w:rsidR="00A7343F" w:rsidRPr="00D464D4">
        <w:rPr>
          <w:sz w:val="22"/>
        </w:rPr>
        <w:t xml:space="preserve">ar ve enstitüler tarafından </w:t>
      </w:r>
      <w:r w:rsidR="009F2FDE" w:rsidRPr="00D464D4">
        <w:rPr>
          <w:sz w:val="22"/>
        </w:rPr>
        <w:t>desteklenen bu tür mekanizmalar</w:t>
      </w:r>
      <w:r w:rsidR="000706B7" w:rsidRPr="00D464D4">
        <w:rPr>
          <w:sz w:val="22"/>
        </w:rPr>
        <w:t>,</w:t>
      </w:r>
      <w:r w:rsidR="00A7343F" w:rsidRPr="00D464D4">
        <w:rPr>
          <w:sz w:val="22"/>
        </w:rPr>
        <w:t xml:space="preserve"> </w:t>
      </w:r>
      <w:r w:rsidR="009F2FDE" w:rsidRPr="00D464D4">
        <w:rPr>
          <w:sz w:val="22"/>
        </w:rPr>
        <w:t xml:space="preserve">ilgili yerlerdeki kıt olan halk sağlığı </w:t>
      </w:r>
      <w:r w:rsidR="00A7343F" w:rsidRPr="00D464D4">
        <w:rPr>
          <w:sz w:val="22"/>
        </w:rPr>
        <w:t>kaynaklar</w:t>
      </w:r>
      <w:r w:rsidR="009F2FDE" w:rsidRPr="00D464D4">
        <w:rPr>
          <w:sz w:val="22"/>
        </w:rPr>
        <w:t>ın</w:t>
      </w:r>
      <w:r w:rsidR="00A7343F" w:rsidRPr="00D464D4">
        <w:rPr>
          <w:sz w:val="22"/>
        </w:rPr>
        <w:t>dan en üst dü</w:t>
      </w:r>
      <w:r w:rsidR="000706B7" w:rsidRPr="00D464D4">
        <w:rPr>
          <w:sz w:val="22"/>
        </w:rPr>
        <w:t>zeyde yararlanmaya yardımcı olmaktadır</w:t>
      </w:r>
      <w:r w:rsidR="001B1A68" w:rsidRPr="00D464D4">
        <w:rPr>
          <w:sz w:val="22"/>
        </w:rPr>
        <w:t xml:space="preserve"> </w:t>
      </w:r>
      <w:r w:rsidR="001B1A68" w:rsidRPr="00D464D4">
        <w:rPr>
          <w:color w:val="000000" w:themeColor="text1"/>
          <w:sz w:val="22"/>
        </w:rPr>
        <w:t>(</w:t>
      </w:r>
      <w:proofErr w:type="spellStart"/>
      <w:r w:rsidR="001B1A68" w:rsidRPr="00D464D4">
        <w:rPr>
          <w:color w:val="000000" w:themeColor="text1"/>
          <w:sz w:val="22"/>
        </w:rPr>
        <w:t>Heymann</w:t>
      </w:r>
      <w:proofErr w:type="spellEnd"/>
      <w:r w:rsidR="001B1A68" w:rsidRPr="00D464D4">
        <w:rPr>
          <w:color w:val="000000" w:themeColor="text1"/>
          <w:sz w:val="22"/>
        </w:rPr>
        <w:t xml:space="preserve"> ve </w:t>
      </w:r>
      <w:proofErr w:type="spellStart"/>
      <w:r w:rsidR="001B1A68" w:rsidRPr="00D464D4">
        <w:rPr>
          <w:color w:val="000000" w:themeColor="text1"/>
          <w:sz w:val="22"/>
        </w:rPr>
        <w:t>Rodier</w:t>
      </w:r>
      <w:proofErr w:type="spellEnd"/>
      <w:r w:rsidR="001B1A68" w:rsidRPr="00D464D4">
        <w:rPr>
          <w:color w:val="000000" w:themeColor="text1"/>
          <w:sz w:val="22"/>
        </w:rPr>
        <w:t>, 2001: 349)</w:t>
      </w:r>
      <w:r w:rsidR="00A7343F" w:rsidRPr="00D464D4">
        <w:rPr>
          <w:color w:val="000000" w:themeColor="text1"/>
          <w:sz w:val="22"/>
        </w:rPr>
        <w:t>.</w:t>
      </w:r>
      <w:r w:rsidR="00A7343F" w:rsidRPr="00D464D4">
        <w:rPr>
          <w:sz w:val="22"/>
        </w:rPr>
        <w:t xml:space="preserve"> </w:t>
      </w:r>
      <w:r w:rsidR="008D54E3" w:rsidRPr="00D464D4">
        <w:rPr>
          <w:sz w:val="22"/>
        </w:rPr>
        <w:t xml:space="preserve">Birçok ülkeden birçok organizasyonu kapsamına alan </w:t>
      </w:r>
      <w:r w:rsidR="00A7343F" w:rsidRPr="00D464D4">
        <w:rPr>
          <w:sz w:val="22"/>
        </w:rPr>
        <w:t xml:space="preserve">geniş çaplı uluslararası </w:t>
      </w:r>
      <w:r w:rsidR="008D54E3" w:rsidRPr="00D464D4">
        <w:rPr>
          <w:sz w:val="22"/>
        </w:rPr>
        <w:t>platformlar; koordinasyon</w:t>
      </w:r>
      <w:r w:rsidR="00A7343F" w:rsidRPr="00D464D4">
        <w:rPr>
          <w:sz w:val="22"/>
        </w:rPr>
        <w:t xml:space="preserve">, </w:t>
      </w:r>
      <w:r w:rsidR="008D54E3" w:rsidRPr="00D464D4">
        <w:rPr>
          <w:sz w:val="22"/>
        </w:rPr>
        <w:t xml:space="preserve">acil durum, doğrulama süreci ve küresel </w:t>
      </w:r>
      <w:r w:rsidR="00A7343F" w:rsidRPr="00D464D4">
        <w:rPr>
          <w:sz w:val="22"/>
        </w:rPr>
        <w:t>veri</w:t>
      </w:r>
      <w:r w:rsidR="00425EEB" w:rsidRPr="00D464D4">
        <w:rPr>
          <w:sz w:val="22"/>
        </w:rPr>
        <w:t>tabanlarından</w:t>
      </w:r>
      <w:r w:rsidR="008D54E3" w:rsidRPr="00D464D4">
        <w:rPr>
          <w:sz w:val="22"/>
        </w:rPr>
        <w:t xml:space="preserve"> yararlanma gibi faydalar sağlayarak </w:t>
      </w:r>
      <w:proofErr w:type="spellStart"/>
      <w:r w:rsidR="00A7343F" w:rsidRPr="00D464D4">
        <w:rPr>
          <w:sz w:val="22"/>
        </w:rPr>
        <w:t>operasyonel</w:t>
      </w:r>
      <w:proofErr w:type="spellEnd"/>
      <w:r w:rsidR="00A7343F" w:rsidRPr="00D464D4">
        <w:rPr>
          <w:sz w:val="22"/>
        </w:rPr>
        <w:t xml:space="preserve"> prot</w:t>
      </w:r>
      <w:r w:rsidR="008D54E3" w:rsidRPr="00D464D4">
        <w:rPr>
          <w:sz w:val="22"/>
        </w:rPr>
        <w:t>okolleri</w:t>
      </w:r>
      <w:r w:rsidR="00B80E5C" w:rsidRPr="00D464D4">
        <w:rPr>
          <w:sz w:val="22"/>
        </w:rPr>
        <w:t xml:space="preserve"> </w:t>
      </w:r>
      <w:r w:rsidR="008D54E3" w:rsidRPr="00D464D4">
        <w:rPr>
          <w:sz w:val="22"/>
        </w:rPr>
        <w:t>kolaylaştırmaktadır.</w:t>
      </w:r>
      <w:r w:rsidR="00B80E5C" w:rsidRPr="00D464D4">
        <w:rPr>
          <w:sz w:val="22"/>
        </w:rPr>
        <w:t xml:space="preserve"> </w:t>
      </w:r>
      <w:r w:rsidR="00425EEB" w:rsidRPr="00D464D4">
        <w:rPr>
          <w:sz w:val="22"/>
        </w:rPr>
        <w:t>B</w:t>
      </w:r>
      <w:r w:rsidR="00B80E5C" w:rsidRPr="00D464D4">
        <w:rPr>
          <w:sz w:val="22"/>
        </w:rPr>
        <w:t xml:space="preserve">u </w:t>
      </w:r>
      <w:r w:rsidR="008D54E3" w:rsidRPr="00D464D4">
        <w:rPr>
          <w:sz w:val="22"/>
        </w:rPr>
        <w:t xml:space="preserve">protokoller ölümcül bir patojenin </w:t>
      </w:r>
      <w:r w:rsidR="00B80E5C" w:rsidRPr="00D464D4">
        <w:rPr>
          <w:sz w:val="22"/>
        </w:rPr>
        <w:t xml:space="preserve">terörist </w:t>
      </w:r>
      <w:r w:rsidR="008D54E3" w:rsidRPr="00D464D4">
        <w:rPr>
          <w:sz w:val="22"/>
        </w:rPr>
        <w:t>bir grup tarafından tedarik edilmesi ve dağıtılması durumunda</w:t>
      </w:r>
      <w:r w:rsidR="000706B7" w:rsidRPr="00D464D4">
        <w:rPr>
          <w:sz w:val="22"/>
        </w:rPr>
        <w:t xml:space="preserve"> ilgili</w:t>
      </w:r>
      <w:r w:rsidR="00B80E5C" w:rsidRPr="00D464D4">
        <w:rPr>
          <w:sz w:val="22"/>
        </w:rPr>
        <w:t xml:space="preserve"> </w:t>
      </w:r>
      <w:r w:rsidR="000706B7" w:rsidRPr="00D464D4">
        <w:rPr>
          <w:sz w:val="22"/>
        </w:rPr>
        <w:t>süreçleri</w:t>
      </w:r>
      <w:r w:rsidR="00C43BCC" w:rsidRPr="00D464D4">
        <w:rPr>
          <w:sz w:val="22"/>
        </w:rPr>
        <w:t xml:space="preserve"> yönetmeye yardımcı olmaktadırlar.</w:t>
      </w:r>
      <w:r w:rsidR="00D146BA">
        <w:rPr>
          <w:sz w:val="22"/>
        </w:rPr>
        <w:t xml:space="preserve"> </w:t>
      </w:r>
    </w:p>
    <w:p w:rsidR="005D16D0" w:rsidRDefault="0017279F" w:rsidP="004E7EBF">
      <w:pPr>
        <w:spacing w:before="120" w:after="120" w:line="240" w:lineRule="auto"/>
        <w:rPr>
          <w:sz w:val="22"/>
        </w:rPr>
      </w:pPr>
      <w:r w:rsidRPr="00D464D4">
        <w:rPr>
          <w:sz w:val="22"/>
        </w:rPr>
        <w:tab/>
      </w:r>
      <w:r w:rsidR="00FE7FCE" w:rsidRPr="00D464D4">
        <w:rPr>
          <w:sz w:val="22"/>
        </w:rPr>
        <w:t>Bulaşıcı hastalıklar hızla</w:t>
      </w:r>
      <w:r w:rsidR="00EA57C9" w:rsidRPr="00D464D4">
        <w:rPr>
          <w:sz w:val="22"/>
        </w:rPr>
        <w:t xml:space="preserve"> değişen ve adapte olan </w:t>
      </w:r>
      <w:r w:rsidR="00AE6DB8" w:rsidRPr="00D464D4">
        <w:rPr>
          <w:sz w:val="22"/>
        </w:rPr>
        <w:t>patojenler yoluyla yayılmaktadır</w:t>
      </w:r>
      <w:r w:rsidR="00EA57C9" w:rsidRPr="00D464D4">
        <w:rPr>
          <w:sz w:val="22"/>
        </w:rPr>
        <w:t>.</w:t>
      </w:r>
      <w:r w:rsidR="005D16D0">
        <w:rPr>
          <w:sz w:val="22"/>
        </w:rPr>
        <w:t xml:space="preserve"> Ayrıca </w:t>
      </w:r>
      <w:proofErr w:type="spellStart"/>
      <w:r w:rsidR="005D16D0">
        <w:rPr>
          <w:sz w:val="22"/>
        </w:rPr>
        <w:t>biyoterör</w:t>
      </w:r>
      <w:proofErr w:type="spellEnd"/>
      <w:r w:rsidR="005D16D0" w:rsidRPr="00D464D4">
        <w:rPr>
          <w:sz w:val="22"/>
        </w:rPr>
        <w:t xml:space="preserve"> nükleer terörden çok daha yıkıcı etkiler gösterebilmektedir. </w:t>
      </w:r>
      <w:proofErr w:type="spellStart"/>
      <w:r w:rsidR="005D16D0">
        <w:rPr>
          <w:sz w:val="22"/>
        </w:rPr>
        <w:t>Biyoterör</w:t>
      </w:r>
      <w:proofErr w:type="spellEnd"/>
      <w:r w:rsidR="005D16D0">
        <w:rPr>
          <w:sz w:val="22"/>
        </w:rPr>
        <w:t xml:space="preserve"> saldırılarındaki kitle ölümleri sabit kalmamakla birlikte hızla katlanma potansiyeline sahiptir.</w:t>
      </w:r>
    </w:p>
    <w:p w:rsidR="005D16D0" w:rsidRPr="00D464D4" w:rsidRDefault="005D16D0" w:rsidP="005D16D0">
      <w:pPr>
        <w:spacing w:before="120" w:after="120" w:line="240" w:lineRule="auto"/>
        <w:jc w:val="center"/>
        <w:rPr>
          <w:sz w:val="22"/>
        </w:rPr>
      </w:pPr>
      <w:r w:rsidRPr="00D464D4">
        <w:rPr>
          <w:b/>
          <w:sz w:val="22"/>
        </w:rPr>
        <w:t>Tablo</w:t>
      </w:r>
      <w:r>
        <w:rPr>
          <w:b/>
          <w:sz w:val="22"/>
        </w:rPr>
        <w:t>2</w:t>
      </w:r>
      <w:r w:rsidRPr="00D464D4">
        <w:rPr>
          <w:b/>
          <w:sz w:val="22"/>
        </w:rPr>
        <w:t xml:space="preserve">. </w:t>
      </w:r>
      <w:r w:rsidRPr="00D464D4">
        <w:rPr>
          <w:sz w:val="22"/>
        </w:rPr>
        <w:t>Nükleer ve Biyolojik Terör Arasındaki Ayrımlar</w:t>
      </w:r>
    </w:p>
    <w:tbl>
      <w:tblPr>
        <w:tblStyle w:val="TabloKlavuzu"/>
        <w:tblW w:w="0" w:type="auto"/>
        <w:tblLayout w:type="fixed"/>
        <w:tblLook w:val="04A0" w:firstRow="1" w:lastRow="0" w:firstColumn="1" w:lastColumn="0" w:noHBand="0" w:noVBand="1"/>
      </w:tblPr>
      <w:tblGrid>
        <w:gridCol w:w="1668"/>
        <w:gridCol w:w="3543"/>
        <w:gridCol w:w="4001"/>
      </w:tblGrid>
      <w:tr w:rsidR="005D16D0" w:rsidRPr="00D464D4" w:rsidTr="002B5B8A">
        <w:tc>
          <w:tcPr>
            <w:tcW w:w="1668" w:type="dxa"/>
            <w:tcBorders>
              <w:top w:val="nil"/>
              <w:left w:val="nil"/>
            </w:tcBorders>
          </w:tcPr>
          <w:p w:rsidR="005D16D0" w:rsidRPr="00D464D4" w:rsidRDefault="005D16D0" w:rsidP="002B5B8A">
            <w:pPr>
              <w:spacing w:line="240" w:lineRule="auto"/>
            </w:pPr>
          </w:p>
        </w:tc>
        <w:tc>
          <w:tcPr>
            <w:tcW w:w="3543" w:type="dxa"/>
            <w:vAlign w:val="center"/>
          </w:tcPr>
          <w:p w:rsidR="005D16D0" w:rsidRPr="00D464D4" w:rsidRDefault="005D16D0" w:rsidP="002B5B8A">
            <w:pPr>
              <w:spacing w:line="240" w:lineRule="auto"/>
              <w:jc w:val="center"/>
              <w:rPr>
                <w:b/>
              </w:rPr>
            </w:pPr>
            <w:r w:rsidRPr="00D464D4">
              <w:rPr>
                <w:b/>
              </w:rPr>
              <w:t>Nükleer Terör</w:t>
            </w:r>
          </w:p>
        </w:tc>
        <w:tc>
          <w:tcPr>
            <w:tcW w:w="4001" w:type="dxa"/>
            <w:vAlign w:val="center"/>
          </w:tcPr>
          <w:p w:rsidR="005D16D0" w:rsidRPr="00D464D4" w:rsidRDefault="005D16D0" w:rsidP="002B5B8A">
            <w:pPr>
              <w:spacing w:line="240" w:lineRule="auto"/>
              <w:jc w:val="center"/>
              <w:rPr>
                <w:b/>
              </w:rPr>
            </w:pPr>
            <w:r w:rsidRPr="00D464D4">
              <w:rPr>
                <w:b/>
              </w:rPr>
              <w:t>Biyolojik Terör</w:t>
            </w:r>
          </w:p>
        </w:tc>
      </w:tr>
      <w:tr w:rsidR="005D16D0" w:rsidRPr="00D464D4" w:rsidTr="002B5B8A">
        <w:trPr>
          <w:trHeight w:val="782"/>
        </w:trPr>
        <w:tc>
          <w:tcPr>
            <w:tcW w:w="1668" w:type="dxa"/>
            <w:vAlign w:val="center"/>
          </w:tcPr>
          <w:p w:rsidR="005D16D0" w:rsidRPr="00D464D4" w:rsidRDefault="005D16D0" w:rsidP="002B5B8A">
            <w:pPr>
              <w:spacing w:line="240" w:lineRule="auto"/>
              <w:jc w:val="center"/>
              <w:rPr>
                <w:b/>
              </w:rPr>
            </w:pPr>
            <w:r w:rsidRPr="00D464D4">
              <w:rPr>
                <w:b/>
              </w:rPr>
              <w:t>S</w:t>
            </w:r>
            <w:r>
              <w:rPr>
                <w:b/>
              </w:rPr>
              <w:t>aldırıların</w:t>
            </w:r>
            <w:r w:rsidRPr="00D464D4">
              <w:rPr>
                <w:b/>
              </w:rPr>
              <w:t xml:space="preserve"> hastalıkla sonuçlanma hızı</w:t>
            </w:r>
          </w:p>
        </w:tc>
        <w:tc>
          <w:tcPr>
            <w:tcW w:w="3543" w:type="dxa"/>
            <w:vAlign w:val="center"/>
          </w:tcPr>
          <w:p w:rsidR="005D16D0" w:rsidRPr="00D464D4" w:rsidRDefault="005D16D0" w:rsidP="002B5B8A">
            <w:pPr>
              <w:spacing w:line="240" w:lineRule="auto"/>
              <w:jc w:val="center"/>
            </w:pPr>
            <w:r w:rsidRPr="00D464D4">
              <w:t>Hızlı ve genellikle saldırıdan birkaç dakika sonra</w:t>
            </w:r>
          </w:p>
        </w:tc>
        <w:tc>
          <w:tcPr>
            <w:tcW w:w="4001" w:type="dxa"/>
            <w:vAlign w:val="center"/>
          </w:tcPr>
          <w:p w:rsidR="005D16D0" w:rsidRPr="00D464D4" w:rsidRDefault="005D16D0" w:rsidP="002B5B8A">
            <w:pPr>
              <w:spacing w:line="240" w:lineRule="auto"/>
              <w:jc w:val="center"/>
            </w:pPr>
            <w:r w:rsidRPr="00D464D4">
              <w:t>Saldırıdan günler veya haftalar sonra fakat çok daha yıkıcı</w:t>
            </w:r>
          </w:p>
        </w:tc>
      </w:tr>
      <w:tr w:rsidR="005D16D0" w:rsidRPr="00D464D4" w:rsidTr="002B5B8A">
        <w:trPr>
          <w:trHeight w:val="835"/>
        </w:trPr>
        <w:tc>
          <w:tcPr>
            <w:tcW w:w="1668" w:type="dxa"/>
            <w:vAlign w:val="center"/>
          </w:tcPr>
          <w:p w:rsidR="005D16D0" w:rsidRPr="00D464D4" w:rsidRDefault="005D16D0" w:rsidP="002B5B8A">
            <w:pPr>
              <w:spacing w:line="240" w:lineRule="auto"/>
              <w:jc w:val="center"/>
              <w:rPr>
                <w:b/>
              </w:rPr>
            </w:pPr>
            <w:r w:rsidRPr="00D464D4">
              <w:rPr>
                <w:b/>
              </w:rPr>
              <w:t>Etkilenen hastaların dağılımı</w:t>
            </w:r>
          </w:p>
        </w:tc>
        <w:tc>
          <w:tcPr>
            <w:tcW w:w="3543" w:type="dxa"/>
            <w:vAlign w:val="center"/>
          </w:tcPr>
          <w:p w:rsidR="005D16D0" w:rsidRPr="00D464D4" w:rsidRDefault="005D16D0" w:rsidP="002B5B8A">
            <w:pPr>
              <w:spacing w:line="240" w:lineRule="auto"/>
              <w:jc w:val="center"/>
            </w:pPr>
            <w:r w:rsidRPr="00D464D4">
              <w:t xml:space="preserve">Serbest bırakma noktasının yakınları ve </w:t>
            </w:r>
            <w:proofErr w:type="gramStart"/>
            <w:r w:rsidRPr="00D464D4">
              <w:t>rüzgar</w:t>
            </w:r>
            <w:proofErr w:type="gramEnd"/>
            <w:r w:rsidRPr="00D464D4">
              <w:t xml:space="preserve"> alanı</w:t>
            </w:r>
          </w:p>
        </w:tc>
        <w:tc>
          <w:tcPr>
            <w:tcW w:w="4001" w:type="dxa"/>
            <w:vAlign w:val="center"/>
          </w:tcPr>
          <w:p w:rsidR="005D16D0" w:rsidRPr="00D464D4" w:rsidRDefault="005D16D0" w:rsidP="002B5B8A">
            <w:pPr>
              <w:spacing w:line="240" w:lineRule="auto"/>
              <w:jc w:val="center"/>
            </w:pPr>
            <w:r w:rsidRPr="00D464D4">
              <w:t>Şehir, bölge, ülke veya en kötü senaryoda uluslararası salgın</w:t>
            </w:r>
          </w:p>
        </w:tc>
      </w:tr>
      <w:tr w:rsidR="005D16D0" w:rsidRPr="00D464D4" w:rsidTr="002B5B8A">
        <w:trPr>
          <w:trHeight w:val="848"/>
        </w:trPr>
        <w:tc>
          <w:tcPr>
            <w:tcW w:w="1668" w:type="dxa"/>
            <w:vAlign w:val="center"/>
          </w:tcPr>
          <w:p w:rsidR="005D16D0" w:rsidRPr="00D464D4" w:rsidRDefault="005D16D0" w:rsidP="002B5B8A">
            <w:pPr>
              <w:spacing w:line="240" w:lineRule="auto"/>
              <w:jc w:val="center"/>
              <w:rPr>
                <w:b/>
              </w:rPr>
            </w:pPr>
            <w:r w:rsidRPr="00D464D4">
              <w:rPr>
                <w:b/>
              </w:rPr>
              <w:t xml:space="preserve">Hastaların ve çevrenin </w:t>
            </w:r>
            <w:proofErr w:type="spellStart"/>
            <w:r w:rsidRPr="00D464D4">
              <w:rPr>
                <w:b/>
              </w:rPr>
              <w:t>dekontaminasyonu</w:t>
            </w:r>
            <w:proofErr w:type="spellEnd"/>
          </w:p>
        </w:tc>
        <w:tc>
          <w:tcPr>
            <w:tcW w:w="3543" w:type="dxa"/>
            <w:vAlign w:val="center"/>
          </w:tcPr>
          <w:p w:rsidR="005D16D0" w:rsidRPr="00D464D4" w:rsidRDefault="005D16D0" w:rsidP="002B5B8A">
            <w:pPr>
              <w:spacing w:line="240" w:lineRule="auto"/>
              <w:jc w:val="center"/>
            </w:pPr>
            <w:r w:rsidRPr="00D464D4">
              <w:t>Gerekli ve önemli</w:t>
            </w:r>
          </w:p>
        </w:tc>
        <w:tc>
          <w:tcPr>
            <w:tcW w:w="4001" w:type="dxa"/>
            <w:vAlign w:val="center"/>
          </w:tcPr>
          <w:p w:rsidR="005D16D0" w:rsidRPr="00D464D4" w:rsidRDefault="005D16D0" w:rsidP="002B5B8A">
            <w:pPr>
              <w:spacing w:line="240" w:lineRule="auto"/>
              <w:jc w:val="center"/>
            </w:pPr>
            <w:r w:rsidRPr="00D464D4">
              <w:t xml:space="preserve">Çoğu durumda gerekli değil </w:t>
            </w:r>
          </w:p>
        </w:tc>
      </w:tr>
      <w:tr w:rsidR="005D16D0" w:rsidRPr="00D464D4" w:rsidTr="002B5B8A">
        <w:trPr>
          <w:trHeight w:val="764"/>
        </w:trPr>
        <w:tc>
          <w:tcPr>
            <w:tcW w:w="1668" w:type="dxa"/>
            <w:vAlign w:val="center"/>
          </w:tcPr>
          <w:p w:rsidR="005D16D0" w:rsidRPr="00D464D4" w:rsidRDefault="005D16D0" w:rsidP="002B5B8A">
            <w:pPr>
              <w:spacing w:line="240" w:lineRule="auto"/>
              <w:jc w:val="center"/>
              <w:rPr>
                <w:b/>
              </w:rPr>
            </w:pPr>
            <w:r w:rsidRPr="00D464D4">
              <w:rPr>
                <w:b/>
              </w:rPr>
              <w:t>Tıbbi müdahaleler</w:t>
            </w:r>
          </w:p>
        </w:tc>
        <w:tc>
          <w:tcPr>
            <w:tcW w:w="3543" w:type="dxa"/>
            <w:vAlign w:val="center"/>
          </w:tcPr>
          <w:p w:rsidR="005D16D0" w:rsidRPr="00D464D4" w:rsidRDefault="005D16D0" w:rsidP="002B5B8A">
            <w:pPr>
              <w:spacing w:line="240" w:lineRule="auto"/>
              <w:jc w:val="center"/>
            </w:pPr>
            <w:r w:rsidRPr="00D464D4">
              <w:t>Kimyasal antidotlar</w:t>
            </w:r>
          </w:p>
        </w:tc>
        <w:tc>
          <w:tcPr>
            <w:tcW w:w="4001" w:type="dxa"/>
            <w:vAlign w:val="center"/>
          </w:tcPr>
          <w:p w:rsidR="005D16D0" w:rsidRPr="00D464D4" w:rsidRDefault="005D16D0" w:rsidP="002B5B8A">
            <w:pPr>
              <w:spacing w:line="240" w:lineRule="auto"/>
              <w:jc w:val="center"/>
            </w:pPr>
            <w:r w:rsidRPr="00D464D4">
              <w:t>Aşılar ve/veya antibiyotikler</w:t>
            </w:r>
          </w:p>
        </w:tc>
      </w:tr>
      <w:tr w:rsidR="005D16D0" w:rsidRPr="00D464D4" w:rsidTr="002B5B8A">
        <w:trPr>
          <w:trHeight w:val="846"/>
        </w:trPr>
        <w:tc>
          <w:tcPr>
            <w:tcW w:w="1668" w:type="dxa"/>
            <w:vAlign w:val="center"/>
          </w:tcPr>
          <w:p w:rsidR="005D16D0" w:rsidRPr="00D464D4" w:rsidRDefault="005D16D0" w:rsidP="002B5B8A">
            <w:pPr>
              <w:spacing w:line="240" w:lineRule="auto"/>
              <w:jc w:val="center"/>
              <w:rPr>
                <w:b/>
              </w:rPr>
            </w:pPr>
            <w:r w:rsidRPr="00D464D4">
              <w:rPr>
                <w:b/>
              </w:rPr>
              <w:t>Karantina</w:t>
            </w:r>
          </w:p>
        </w:tc>
        <w:tc>
          <w:tcPr>
            <w:tcW w:w="3543" w:type="dxa"/>
            <w:vAlign w:val="center"/>
          </w:tcPr>
          <w:p w:rsidR="005D16D0" w:rsidRPr="00D464D4" w:rsidRDefault="005D16D0" w:rsidP="002B5B8A">
            <w:pPr>
              <w:spacing w:line="240" w:lineRule="auto"/>
              <w:jc w:val="center"/>
            </w:pPr>
            <w:proofErr w:type="spellStart"/>
            <w:r w:rsidRPr="00D464D4">
              <w:t>Dekontaminasyondan</w:t>
            </w:r>
            <w:proofErr w:type="spellEnd"/>
            <w:r w:rsidRPr="00D464D4">
              <w:t xml:space="preserve"> sonra gerekli değil</w:t>
            </w:r>
          </w:p>
        </w:tc>
        <w:tc>
          <w:tcPr>
            <w:tcW w:w="4001" w:type="dxa"/>
            <w:vAlign w:val="center"/>
          </w:tcPr>
          <w:p w:rsidR="005D16D0" w:rsidRPr="00D464D4" w:rsidRDefault="005D16D0" w:rsidP="002B5B8A">
            <w:pPr>
              <w:spacing w:line="240" w:lineRule="auto"/>
              <w:jc w:val="center"/>
            </w:pPr>
            <w:r w:rsidRPr="00D464D4">
              <w:t xml:space="preserve">Gerekli ve önemli </w:t>
            </w:r>
          </w:p>
        </w:tc>
      </w:tr>
    </w:tbl>
    <w:p w:rsidR="005D16D0" w:rsidRPr="00D146BA" w:rsidRDefault="005D16D0" w:rsidP="005D16D0">
      <w:pPr>
        <w:spacing w:before="120" w:after="120" w:line="240" w:lineRule="auto"/>
        <w:jc w:val="center"/>
        <w:rPr>
          <w:color w:val="000000" w:themeColor="text1"/>
          <w:sz w:val="22"/>
        </w:rPr>
      </w:pPr>
      <w:r w:rsidRPr="00D464D4">
        <w:rPr>
          <w:b/>
          <w:color w:val="000000" w:themeColor="text1"/>
          <w:sz w:val="22"/>
        </w:rPr>
        <w:t>Kaynak:</w:t>
      </w:r>
      <w:r w:rsidRPr="00D464D4">
        <w:rPr>
          <w:color w:val="000000" w:themeColor="text1"/>
          <w:sz w:val="22"/>
        </w:rPr>
        <w:t xml:space="preserve"> </w:t>
      </w:r>
      <w:proofErr w:type="spellStart"/>
      <w:r w:rsidRPr="00D464D4">
        <w:rPr>
          <w:color w:val="000000" w:themeColor="text1"/>
          <w:sz w:val="22"/>
        </w:rPr>
        <w:t>Henderson</w:t>
      </w:r>
      <w:proofErr w:type="spellEnd"/>
      <w:r w:rsidRPr="00D464D4">
        <w:rPr>
          <w:color w:val="000000" w:themeColor="text1"/>
          <w:sz w:val="22"/>
        </w:rPr>
        <w:t>, 1999: 1280.</w:t>
      </w:r>
    </w:p>
    <w:p w:rsidR="005D16D0" w:rsidRDefault="005D16D0" w:rsidP="004E7EBF">
      <w:pPr>
        <w:spacing w:before="120" w:after="120" w:line="240" w:lineRule="auto"/>
        <w:rPr>
          <w:sz w:val="22"/>
        </w:rPr>
      </w:pPr>
    </w:p>
    <w:p w:rsidR="00A7343F" w:rsidRPr="00D464D4" w:rsidRDefault="005D16D0" w:rsidP="004E7EBF">
      <w:pPr>
        <w:spacing w:before="120" w:after="120" w:line="240" w:lineRule="auto"/>
        <w:rPr>
          <w:sz w:val="22"/>
        </w:rPr>
      </w:pPr>
      <w:r>
        <w:rPr>
          <w:sz w:val="22"/>
        </w:rPr>
        <w:tab/>
      </w:r>
      <w:r w:rsidR="00EA57C9" w:rsidRPr="00D464D4">
        <w:rPr>
          <w:sz w:val="22"/>
        </w:rPr>
        <w:t>Biyolojik patojenlerin kasten</w:t>
      </w:r>
      <w:r w:rsidR="00FE7FCE" w:rsidRPr="00D464D4">
        <w:rPr>
          <w:sz w:val="22"/>
        </w:rPr>
        <w:t xml:space="preserve"> yani diğ</w:t>
      </w:r>
      <w:r w:rsidR="00E0533D">
        <w:rPr>
          <w:sz w:val="22"/>
        </w:rPr>
        <w:t>er bir deyişle biyo</w:t>
      </w:r>
      <w:r w:rsidR="00FE7FCE" w:rsidRPr="00D464D4">
        <w:rPr>
          <w:sz w:val="22"/>
        </w:rPr>
        <w:t>terörist saldırılar</w:t>
      </w:r>
      <w:r w:rsidR="00EA57C9" w:rsidRPr="00D464D4">
        <w:rPr>
          <w:sz w:val="22"/>
        </w:rPr>
        <w:t xml:space="preserve"> </w:t>
      </w:r>
      <w:r w:rsidR="00FE7FCE" w:rsidRPr="00D464D4">
        <w:rPr>
          <w:sz w:val="22"/>
        </w:rPr>
        <w:t>yoluyla</w:t>
      </w:r>
      <w:r w:rsidR="00EA57C9" w:rsidRPr="00D464D4">
        <w:rPr>
          <w:sz w:val="22"/>
        </w:rPr>
        <w:t xml:space="preserve"> kullanılabilme olasılığı bulaşıcı hastalık tehdidinin </w:t>
      </w:r>
      <w:r w:rsidR="00FE7FCE" w:rsidRPr="00D464D4">
        <w:rPr>
          <w:sz w:val="22"/>
        </w:rPr>
        <w:t xml:space="preserve">en çarpıcı </w:t>
      </w:r>
      <w:r w:rsidR="00EA57C9" w:rsidRPr="00D464D4">
        <w:rPr>
          <w:sz w:val="22"/>
        </w:rPr>
        <w:t xml:space="preserve">boyutudur. </w:t>
      </w:r>
      <w:proofErr w:type="spellStart"/>
      <w:r w:rsidR="006B50F1" w:rsidRPr="00D464D4">
        <w:rPr>
          <w:sz w:val="22"/>
        </w:rPr>
        <w:t>Biyoterörizmin</w:t>
      </w:r>
      <w:proofErr w:type="spellEnd"/>
      <w:r w:rsidR="006B50F1" w:rsidRPr="00D464D4">
        <w:rPr>
          <w:sz w:val="22"/>
        </w:rPr>
        <w:t xml:space="preserve"> bir</w:t>
      </w:r>
      <w:r w:rsidR="006B50F1" w:rsidRPr="00D464D4">
        <w:rPr>
          <w:color w:val="FF0000"/>
          <w:sz w:val="22"/>
        </w:rPr>
        <w:t xml:space="preserve"> </w:t>
      </w:r>
      <w:r w:rsidR="006B50F1" w:rsidRPr="00D464D4">
        <w:rPr>
          <w:sz w:val="22"/>
        </w:rPr>
        <w:t>g</w:t>
      </w:r>
      <w:r w:rsidR="00AE6DB8" w:rsidRPr="00D464D4">
        <w:rPr>
          <w:sz w:val="22"/>
        </w:rPr>
        <w:t>üvenlik tehdidi olarak önemi;</w:t>
      </w:r>
      <w:r w:rsidR="006B50F1" w:rsidRPr="00D464D4">
        <w:rPr>
          <w:sz w:val="22"/>
        </w:rPr>
        <w:t xml:space="preserve"> salgın hastalıkların hızlı istilası</w:t>
      </w:r>
      <w:r w:rsidR="00EA57C9" w:rsidRPr="00D464D4">
        <w:rPr>
          <w:sz w:val="22"/>
        </w:rPr>
        <w:t xml:space="preserve">, </w:t>
      </w:r>
      <w:r w:rsidR="00A53DBD">
        <w:rPr>
          <w:sz w:val="22"/>
        </w:rPr>
        <w:t>form manipü</w:t>
      </w:r>
      <w:r w:rsidR="006B50F1" w:rsidRPr="00D464D4">
        <w:rPr>
          <w:sz w:val="22"/>
        </w:rPr>
        <w:t xml:space="preserve">lasyonu ve </w:t>
      </w:r>
      <w:r w:rsidR="00AE6DB8" w:rsidRPr="00D464D4">
        <w:rPr>
          <w:sz w:val="22"/>
        </w:rPr>
        <w:t xml:space="preserve">her ortama </w:t>
      </w:r>
      <w:r w:rsidR="006B50F1" w:rsidRPr="00D464D4">
        <w:rPr>
          <w:sz w:val="22"/>
        </w:rPr>
        <w:t>adaptasyon sağlaması</w:t>
      </w:r>
      <w:r w:rsidR="00AE6DB8" w:rsidRPr="00D464D4">
        <w:rPr>
          <w:sz w:val="22"/>
        </w:rPr>
        <w:t xml:space="preserve"> bağlamında</w:t>
      </w:r>
      <w:r w:rsidR="006B50F1" w:rsidRPr="00D464D4">
        <w:rPr>
          <w:sz w:val="22"/>
        </w:rPr>
        <w:t xml:space="preserve"> değerlendirilmektedir. </w:t>
      </w:r>
      <w:r w:rsidR="0017279F" w:rsidRPr="00D464D4">
        <w:rPr>
          <w:sz w:val="22"/>
        </w:rPr>
        <w:t xml:space="preserve">Bu kapsamda </w:t>
      </w:r>
      <w:r w:rsidR="0046448A" w:rsidRPr="00D464D4">
        <w:rPr>
          <w:sz w:val="22"/>
        </w:rPr>
        <w:t xml:space="preserve">aşı üretimi ve </w:t>
      </w:r>
      <w:r w:rsidR="00EA57C9" w:rsidRPr="00D464D4">
        <w:rPr>
          <w:sz w:val="22"/>
        </w:rPr>
        <w:t>antibiyotik st</w:t>
      </w:r>
      <w:r w:rsidR="0046448A" w:rsidRPr="00D464D4">
        <w:rPr>
          <w:sz w:val="22"/>
        </w:rPr>
        <w:t>okları</w:t>
      </w:r>
      <w:r w:rsidR="0017279F" w:rsidRPr="00D464D4">
        <w:rPr>
          <w:sz w:val="22"/>
        </w:rPr>
        <w:t xml:space="preserve"> </w:t>
      </w:r>
      <w:r w:rsidR="00EA57C9" w:rsidRPr="00D464D4">
        <w:rPr>
          <w:sz w:val="22"/>
        </w:rPr>
        <w:t>hayati öneme sahiptir.</w:t>
      </w:r>
      <w:r w:rsidR="00AE6DB8" w:rsidRPr="00D464D4">
        <w:rPr>
          <w:sz w:val="22"/>
        </w:rPr>
        <w:t xml:space="preserve"> </w:t>
      </w:r>
      <w:r w:rsidR="0046448A" w:rsidRPr="00D464D4">
        <w:rPr>
          <w:sz w:val="22"/>
        </w:rPr>
        <w:t>Yakın geçmişte b</w:t>
      </w:r>
      <w:r w:rsidR="00AE6DB8" w:rsidRPr="00D464D4">
        <w:rPr>
          <w:sz w:val="22"/>
        </w:rPr>
        <w:t>ulaşıcı bir hastalık olan ş</w:t>
      </w:r>
      <w:r w:rsidR="0017279F" w:rsidRPr="00D464D4">
        <w:rPr>
          <w:sz w:val="22"/>
        </w:rPr>
        <w:t xml:space="preserve">arbonun </w:t>
      </w:r>
      <w:r w:rsidR="00E0533D">
        <w:rPr>
          <w:sz w:val="22"/>
        </w:rPr>
        <w:t>biyo</w:t>
      </w:r>
      <w:r w:rsidR="006B50F1" w:rsidRPr="00D464D4">
        <w:rPr>
          <w:sz w:val="22"/>
        </w:rPr>
        <w:t>teröris</w:t>
      </w:r>
      <w:r w:rsidR="00AE6DB8" w:rsidRPr="00D464D4">
        <w:rPr>
          <w:sz w:val="22"/>
        </w:rPr>
        <w:t xml:space="preserve">t saldırı </w:t>
      </w:r>
      <w:r w:rsidR="000706B7" w:rsidRPr="00D464D4">
        <w:rPr>
          <w:sz w:val="22"/>
        </w:rPr>
        <w:t>olarak kullanıldığı şüphesinin</w:t>
      </w:r>
      <w:r w:rsidR="00AE6DB8" w:rsidRPr="00D464D4">
        <w:rPr>
          <w:sz w:val="22"/>
        </w:rPr>
        <w:t xml:space="preserve"> akabinde</w:t>
      </w:r>
      <w:r w:rsidR="006B50F1" w:rsidRPr="00D464D4">
        <w:rPr>
          <w:sz w:val="22"/>
        </w:rPr>
        <w:t xml:space="preserve"> bulaşıcı hastalıklar profilindeki çarpıcı değişim tüm salgınların</w:t>
      </w:r>
      <w:r w:rsidR="0017279F" w:rsidRPr="00D464D4">
        <w:rPr>
          <w:sz w:val="22"/>
        </w:rPr>
        <w:t xml:space="preserve"> uluslarar</w:t>
      </w:r>
      <w:r w:rsidR="006B50F1" w:rsidRPr="00D464D4">
        <w:rPr>
          <w:sz w:val="22"/>
        </w:rPr>
        <w:t>ası ve yerel platformlarda</w:t>
      </w:r>
      <w:r w:rsidR="0017279F" w:rsidRPr="00D464D4">
        <w:rPr>
          <w:sz w:val="22"/>
        </w:rPr>
        <w:t xml:space="preserve"> </w:t>
      </w:r>
      <w:r w:rsidR="006B50F1" w:rsidRPr="00D464D4">
        <w:rPr>
          <w:sz w:val="22"/>
        </w:rPr>
        <w:t>yüksek düzeyde dikkat çekmesine sebebiyet vermiştir</w:t>
      </w:r>
      <w:r w:rsidR="001B1A68" w:rsidRPr="00D464D4">
        <w:rPr>
          <w:sz w:val="22"/>
        </w:rPr>
        <w:t xml:space="preserve"> </w:t>
      </w:r>
      <w:r w:rsidR="001B1A68" w:rsidRPr="00D464D4">
        <w:rPr>
          <w:color w:val="000000" w:themeColor="text1"/>
          <w:sz w:val="22"/>
        </w:rPr>
        <w:t>(</w:t>
      </w:r>
      <w:proofErr w:type="spellStart"/>
      <w:r w:rsidR="001B1A68" w:rsidRPr="00D464D4">
        <w:rPr>
          <w:color w:val="000000" w:themeColor="text1"/>
          <w:sz w:val="22"/>
        </w:rPr>
        <w:t>Henderson</w:t>
      </w:r>
      <w:proofErr w:type="spellEnd"/>
      <w:r w:rsidR="001B1A68" w:rsidRPr="00D464D4">
        <w:rPr>
          <w:color w:val="000000" w:themeColor="text1"/>
          <w:sz w:val="22"/>
        </w:rPr>
        <w:t>, 1999: 1280-1281)</w:t>
      </w:r>
      <w:r w:rsidR="006B50F1" w:rsidRPr="00D464D4">
        <w:rPr>
          <w:color w:val="000000" w:themeColor="text1"/>
          <w:sz w:val="22"/>
        </w:rPr>
        <w:t>.</w:t>
      </w:r>
      <w:r w:rsidR="006B50F1" w:rsidRPr="00D464D4">
        <w:rPr>
          <w:sz w:val="22"/>
        </w:rPr>
        <w:t xml:space="preserve"> Buradaki zorluk bu yeni tehditleri olağan</w:t>
      </w:r>
      <w:r w:rsidR="0017279F" w:rsidRPr="00D464D4">
        <w:rPr>
          <w:sz w:val="22"/>
        </w:rPr>
        <w:t xml:space="preserve"> salgınlara verilen yanıttan ödün vermeden</w:t>
      </w:r>
      <w:r w:rsidR="006B50F1" w:rsidRPr="00D464D4">
        <w:rPr>
          <w:sz w:val="22"/>
        </w:rPr>
        <w:t xml:space="preserve">, </w:t>
      </w:r>
      <w:r w:rsidR="0017279F" w:rsidRPr="00D464D4">
        <w:rPr>
          <w:sz w:val="22"/>
        </w:rPr>
        <w:t xml:space="preserve">her iki tehdidi </w:t>
      </w:r>
      <w:r w:rsidR="006B50F1" w:rsidRPr="00D464D4">
        <w:rPr>
          <w:sz w:val="22"/>
        </w:rPr>
        <w:t>de</w:t>
      </w:r>
      <w:r w:rsidR="0017279F" w:rsidRPr="00D464D4">
        <w:rPr>
          <w:sz w:val="22"/>
        </w:rPr>
        <w:t xml:space="preserve"> yerel ve küresel halk s</w:t>
      </w:r>
      <w:r w:rsidR="006B50F1" w:rsidRPr="00D464D4">
        <w:rPr>
          <w:sz w:val="22"/>
        </w:rPr>
        <w:t>ağlığı altyapısını güçlendirecek</w:t>
      </w:r>
      <w:r w:rsidR="0017279F" w:rsidRPr="00D464D4">
        <w:rPr>
          <w:sz w:val="22"/>
        </w:rPr>
        <w:t xml:space="preserve"> şekilde yönetmektir.</w:t>
      </w:r>
      <w:r w:rsidR="006B50F1" w:rsidRPr="00D464D4">
        <w:rPr>
          <w:sz w:val="22"/>
        </w:rPr>
        <w:t xml:space="preserve"> Bu kapsamda</w:t>
      </w:r>
      <w:r w:rsidR="0017279F" w:rsidRPr="00D464D4">
        <w:rPr>
          <w:sz w:val="22"/>
        </w:rPr>
        <w:t xml:space="preserve"> </w:t>
      </w:r>
      <w:r w:rsidR="006B50F1" w:rsidRPr="00D464D4">
        <w:rPr>
          <w:sz w:val="22"/>
        </w:rPr>
        <w:t>biyo</w:t>
      </w:r>
      <w:r w:rsidR="0017279F" w:rsidRPr="00D464D4">
        <w:rPr>
          <w:sz w:val="22"/>
        </w:rPr>
        <w:t xml:space="preserve">terörizm tehdidine karşı bulaşıcı hastalıkların </w:t>
      </w:r>
      <w:r w:rsidR="0017279F" w:rsidRPr="00D464D4">
        <w:rPr>
          <w:sz w:val="22"/>
        </w:rPr>
        <w:lastRenderedPageBreak/>
        <w:t>kontrol altına alınması</w:t>
      </w:r>
      <w:r w:rsidR="006B50F1" w:rsidRPr="00D464D4">
        <w:rPr>
          <w:sz w:val="22"/>
        </w:rPr>
        <w:t xml:space="preserve"> ve her iki tehdit durumu</w:t>
      </w:r>
      <w:r w:rsidR="0017279F" w:rsidRPr="00D464D4">
        <w:rPr>
          <w:sz w:val="22"/>
        </w:rPr>
        <w:t xml:space="preserve"> için gereken aş</w:t>
      </w:r>
      <w:r w:rsidR="006B50F1" w:rsidRPr="00D464D4">
        <w:rPr>
          <w:sz w:val="22"/>
        </w:rPr>
        <w:t>ı tedarikinin artırılması oldukça önemlidir.</w:t>
      </w:r>
    </w:p>
    <w:p w:rsidR="00693495" w:rsidRDefault="0017279F" w:rsidP="004E7EBF">
      <w:pPr>
        <w:spacing w:before="120" w:after="120" w:line="240" w:lineRule="auto"/>
        <w:rPr>
          <w:color w:val="000000" w:themeColor="text1"/>
          <w:sz w:val="22"/>
        </w:rPr>
      </w:pPr>
      <w:r w:rsidRPr="00D464D4">
        <w:rPr>
          <w:sz w:val="22"/>
        </w:rPr>
        <w:tab/>
      </w:r>
      <w:r w:rsidR="006B50F1" w:rsidRPr="00D464D4">
        <w:rPr>
          <w:sz w:val="22"/>
        </w:rPr>
        <w:t>2000’li yılların başlarında ABD’</w:t>
      </w:r>
      <w:r w:rsidRPr="00D464D4">
        <w:rPr>
          <w:sz w:val="22"/>
        </w:rPr>
        <w:t>d</w:t>
      </w:r>
      <w:r w:rsidR="006B50F1" w:rsidRPr="00D464D4">
        <w:rPr>
          <w:sz w:val="22"/>
        </w:rPr>
        <w:t>e gerçekleşen şarbon olaylarına karşı ilk müdahale</w:t>
      </w:r>
      <w:r w:rsidRPr="00D464D4">
        <w:rPr>
          <w:sz w:val="22"/>
        </w:rPr>
        <w:t xml:space="preserve"> yalnızca yerel halk sağlığı kapasitesinin g</w:t>
      </w:r>
      <w:r w:rsidR="0074592F" w:rsidRPr="00D464D4">
        <w:rPr>
          <w:sz w:val="22"/>
        </w:rPr>
        <w:t>üçlendirilmesine odaklanmıştır.</w:t>
      </w:r>
      <w:r w:rsidR="00AE6DB8" w:rsidRPr="00D464D4">
        <w:rPr>
          <w:sz w:val="22"/>
        </w:rPr>
        <w:t xml:space="preserve"> </w:t>
      </w:r>
      <w:r w:rsidR="0074592F" w:rsidRPr="00D464D4">
        <w:rPr>
          <w:sz w:val="22"/>
        </w:rPr>
        <w:t>T</w:t>
      </w:r>
      <w:r w:rsidRPr="00D464D4">
        <w:rPr>
          <w:sz w:val="22"/>
        </w:rPr>
        <w:t>e</w:t>
      </w:r>
      <w:r w:rsidR="00AE6DB8" w:rsidRPr="00D464D4">
        <w:rPr>
          <w:sz w:val="22"/>
        </w:rPr>
        <w:t xml:space="preserve">hdidin uluslararası ve </w:t>
      </w:r>
      <w:r w:rsidRPr="00D464D4">
        <w:rPr>
          <w:sz w:val="22"/>
        </w:rPr>
        <w:t>küresel</w:t>
      </w:r>
      <w:r w:rsidR="00AE6DB8" w:rsidRPr="00D464D4">
        <w:rPr>
          <w:sz w:val="22"/>
        </w:rPr>
        <w:t xml:space="preserve"> güvenlik</w:t>
      </w:r>
      <w:r w:rsidRPr="00D464D4">
        <w:rPr>
          <w:sz w:val="22"/>
        </w:rPr>
        <w:t xml:space="preserve"> </w:t>
      </w:r>
      <w:r w:rsidR="00AE6DB8" w:rsidRPr="00D464D4">
        <w:rPr>
          <w:sz w:val="22"/>
        </w:rPr>
        <w:t>boyutuna</w:t>
      </w:r>
      <w:r w:rsidRPr="00D464D4">
        <w:rPr>
          <w:sz w:val="22"/>
        </w:rPr>
        <w:t xml:space="preserve"> </w:t>
      </w:r>
      <w:r w:rsidR="0074592F" w:rsidRPr="00D464D4">
        <w:rPr>
          <w:sz w:val="22"/>
        </w:rPr>
        <w:t xml:space="preserve">ise </w:t>
      </w:r>
      <w:r w:rsidRPr="00D464D4">
        <w:rPr>
          <w:sz w:val="22"/>
        </w:rPr>
        <w:t xml:space="preserve">çok az </w:t>
      </w:r>
      <w:r w:rsidR="0074592F" w:rsidRPr="00D464D4">
        <w:rPr>
          <w:sz w:val="22"/>
        </w:rPr>
        <w:t>değinilmiştir</w:t>
      </w:r>
      <w:r w:rsidR="00AA6630" w:rsidRPr="00D464D4">
        <w:rPr>
          <w:sz w:val="22"/>
        </w:rPr>
        <w:t xml:space="preserve">. </w:t>
      </w:r>
      <w:r w:rsidR="00E019FA" w:rsidRPr="00D464D4">
        <w:rPr>
          <w:sz w:val="22"/>
        </w:rPr>
        <w:t xml:space="preserve">Ancak </w:t>
      </w:r>
      <w:r w:rsidR="0074592F" w:rsidRPr="00D464D4">
        <w:rPr>
          <w:sz w:val="22"/>
        </w:rPr>
        <w:t>olağan</w:t>
      </w:r>
      <w:r w:rsidRPr="00D464D4">
        <w:rPr>
          <w:sz w:val="22"/>
        </w:rPr>
        <w:t xml:space="preserve"> </w:t>
      </w:r>
      <w:r w:rsidR="00AE6DB8" w:rsidRPr="00D464D4">
        <w:rPr>
          <w:sz w:val="22"/>
        </w:rPr>
        <w:t>şekilde</w:t>
      </w:r>
      <w:r w:rsidRPr="00D464D4">
        <w:rPr>
          <w:sz w:val="22"/>
        </w:rPr>
        <w:t xml:space="preserve"> or</w:t>
      </w:r>
      <w:r w:rsidR="00E0533D">
        <w:rPr>
          <w:sz w:val="22"/>
        </w:rPr>
        <w:t>taya çıkan salgınların bir biyo</w:t>
      </w:r>
      <w:r w:rsidRPr="00D464D4">
        <w:rPr>
          <w:sz w:val="22"/>
        </w:rPr>
        <w:t>terörist saldırı tehdidine dönüşmesine</w:t>
      </w:r>
      <w:r w:rsidR="0074592F" w:rsidRPr="00D464D4">
        <w:rPr>
          <w:sz w:val="22"/>
        </w:rPr>
        <w:t xml:space="preserve"> karşı</w:t>
      </w:r>
      <w:r w:rsidRPr="00D464D4">
        <w:rPr>
          <w:sz w:val="22"/>
        </w:rPr>
        <w:t xml:space="preserve"> ulus</w:t>
      </w:r>
      <w:r w:rsidR="0046448A" w:rsidRPr="00D464D4">
        <w:rPr>
          <w:sz w:val="22"/>
        </w:rPr>
        <w:t>ları savunmanın en rasyonel, en güvenilir ve</w:t>
      </w:r>
      <w:r w:rsidRPr="00D464D4">
        <w:rPr>
          <w:sz w:val="22"/>
        </w:rPr>
        <w:t xml:space="preserve"> en koruyucu yolu geliştirilmiş </w:t>
      </w:r>
      <w:r w:rsidR="0074592F" w:rsidRPr="00D464D4">
        <w:rPr>
          <w:sz w:val="22"/>
        </w:rPr>
        <w:t>bir küresel kapasitedir</w:t>
      </w:r>
      <w:r w:rsidR="00AE6DB8" w:rsidRPr="00D464D4">
        <w:rPr>
          <w:sz w:val="22"/>
        </w:rPr>
        <w:t xml:space="preserve"> </w:t>
      </w:r>
      <w:r w:rsidRPr="00D464D4">
        <w:rPr>
          <w:color w:val="000000" w:themeColor="text1"/>
          <w:sz w:val="22"/>
        </w:rPr>
        <w:t>(</w:t>
      </w:r>
      <w:proofErr w:type="spellStart"/>
      <w:r w:rsidRPr="00D464D4">
        <w:rPr>
          <w:color w:val="000000" w:themeColor="text1"/>
          <w:sz w:val="22"/>
        </w:rPr>
        <w:t>Chyba</w:t>
      </w:r>
      <w:proofErr w:type="spellEnd"/>
      <w:r w:rsidRPr="00D464D4">
        <w:rPr>
          <w:color w:val="000000" w:themeColor="text1"/>
          <w:sz w:val="22"/>
        </w:rPr>
        <w:t>, 2002</w:t>
      </w:r>
      <w:r w:rsidR="00AA6630" w:rsidRPr="00D464D4">
        <w:rPr>
          <w:color w:val="000000" w:themeColor="text1"/>
          <w:sz w:val="22"/>
        </w:rPr>
        <w:t>: 122-124</w:t>
      </w:r>
      <w:r w:rsidRPr="00D464D4">
        <w:rPr>
          <w:color w:val="000000" w:themeColor="text1"/>
          <w:sz w:val="22"/>
        </w:rPr>
        <w:t>).</w:t>
      </w:r>
      <w:r w:rsidR="00AE6DB8" w:rsidRPr="00D464D4">
        <w:rPr>
          <w:sz w:val="22"/>
        </w:rPr>
        <w:t xml:space="preserve"> Bu kapsamdaki gelişmelere bakıldığında </w:t>
      </w:r>
      <w:r w:rsidR="00E019FA" w:rsidRPr="00D464D4">
        <w:rPr>
          <w:sz w:val="22"/>
        </w:rPr>
        <w:t>Kasım 2001’</w:t>
      </w:r>
      <w:r w:rsidR="00AE6DB8" w:rsidRPr="00D464D4">
        <w:rPr>
          <w:sz w:val="22"/>
        </w:rPr>
        <w:t>'de</w:t>
      </w:r>
      <w:r w:rsidRPr="00D464D4">
        <w:rPr>
          <w:sz w:val="22"/>
        </w:rPr>
        <w:t xml:space="preserve"> G7</w:t>
      </w:r>
      <w:r w:rsidR="00E019FA" w:rsidRPr="00D464D4">
        <w:rPr>
          <w:sz w:val="22"/>
        </w:rPr>
        <w:t xml:space="preserve"> ülkeleri ve</w:t>
      </w:r>
      <w:r w:rsidRPr="00D464D4">
        <w:rPr>
          <w:sz w:val="22"/>
        </w:rPr>
        <w:t xml:space="preserve"> Meksika sağlık</w:t>
      </w:r>
      <w:r w:rsidR="00E019FA" w:rsidRPr="00D464D4">
        <w:rPr>
          <w:sz w:val="22"/>
        </w:rPr>
        <w:t xml:space="preserve"> bakanlarının bir araya gelmesi ile</w:t>
      </w:r>
      <w:r w:rsidRPr="00D464D4">
        <w:rPr>
          <w:sz w:val="22"/>
        </w:rPr>
        <w:t xml:space="preserve"> </w:t>
      </w:r>
      <w:r w:rsidR="00AE6DB8" w:rsidRPr="00D464D4">
        <w:rPr>
          <w:sz w:val="22"/>
        </w:rPr>
        <w:t xml:space="preserve">oluşturulan </w:t>
      </w:r>
      <w:proofErr w:type="spellStart"/>
      <w:r w:rsidRPr="00D464D4">
        <w:rPr>
          <w:sz w:val="22"/>
        </w:rPr>
        <w:t>Ottawa</w:t>
      </w:r>
      <w:proofErr w:type="spellEnd"/>
      <w:r w:rsidRPr="00D464D4">
        <w:rPr>
          <w:sz w:val="22"/>
        </w:rPr>
        <w:t xml:space="preserve"> Sağlık Güvenliğ</w:t>
      </w:r>
      <w:r w:rsidR="00E019FA" w:rsidRPr="00D464D4">
        <w:rPr>
          <w:sz w:val="22"/>
        </w:rPr>
        <w:t xml:space="preserve">ini İyileştirme Planı </w:t>
      </w:r>
      <w:r w:rsidR="00854696" w:rsidRPr="00D464D4">
        <w:rPr>
          <w:sz w:val="22"/>
        </w:rPr>
        <w:t xml:space="preserve">dikkat çekmektedir. </w:t>
      </w:r>
      <w:r w:rsidR="0046448A" w:rsidRPr="00D464D4">
        <w:rPr>
          <w:sz w:val="22"/>
        </w:rPr>
        <w:t>Plan ile biyo</w:t>
      </w:r>
      <w:r w:rsidR="00E019FA" w:rsidRPr="00D464D4">
        <w:rPr>
          <w:sz w:val="22"/>
        </w:rPr>
        <w:t>terörizm</w:t>
      </w:r>
      <w:r w:rsidRPr="00D464D4">
        <w:rPr>
          <w:sz w:val="22"/>
        </w:rPr>
        <w:t xml:space="preserve"> uluslararası işbirliğini g</w:t>
      </w:r>
      <w:r w:rsidR="00E019FA" w:rsidRPr="00D464D4">
        <w:rPr>
          <w:sz w:val="22"/>
        </w:rPr>
        <w:t>erektiren küresel bir sorun olarak kabul edilerek küresel hazırlık ve cevap verme kapasitelerini</w:t>
      </w:r>
      <w:r w:rsidRPr="00D464D4">
        <w:rPr>
          <w:sz w:val="22"/>
        </w:rPr>
        <w:t xml:space="preserve"> geliştirmeyi amaçla</w:t>
      </w:r>
      <w:r w:rsidR="00E019FA" w:rsidRPr="00D464D4">
        <w:rPr>
          <w:sz w:val="22"/>
        </w:rPr>
        <w:t>yan bir dizi toplu çaba başlatılmıştır</w:t>
      </w:r>
      <w:r w:rsidR="00854696" w:rsidRPr="00D464D4">
        <w:rPr>
          <w:sz w:val="22"/>
        </w:rPr>
        <w:t xml:space="preserve"> </w:t>
      </w:r>
      <w:r w:rsidR="00854696" w:rsidRPr="00D464D4">
        <w:rPr>
          <w:color w:val="000000" w:themeColor="text1"/>
          <w:sz w:val="22"/>
        </w:rPr>
        <w:t xml:space="preserve">(G7 </w:t>
      </w:r>
      <w:proofErr w:type="spellStart"/>
      <w:r w:rsidR="00854696" w:rsidRPr="00D464D4">
        <w:rPr>
          <w:color w:val="000000" w:themeColor="text1"/>
          <w:sz w:val="22"/>
        </w:rPr>
        <w:t>Health</w:t>
      </w:r>
      <w:proofErr w:type="spellEnd"/>
      <w:r w:rsidR="00854696" w:rsidRPr="00D464D4">
        <w:rPr>
          <w:color w:val="000000" w:themeColor="text1"/>
          <w:sz w:val="22"/>
        </w:rPr>
        <w:t xml:space="preserve"> </w:t>
      </w:r>
      <w:proofErr w:type="spellStart"/>
      <w:r w:rsidR="00854696" w:rsidRPr="00D464D4">
        <w:rPr>
          <w:color w:val="000000" w:themeColor="text1"/>
          <w:sz w:val="22"/>
        </w:rPr>
        <w:t>Ministers</w:t>
      </w:r>
      <w:proofErr w:type="spellEnd"/>
      <w:r w:rsidR="00854696" w:rsidRPr="00D464D4">
        <w:rPr>
          <w:color w:val="000000" w:themeColor="text1"/>
          <w:sz w:val="22"/>
        </w:rPr>
        <w:t>, 2001)</w:t>
      </w:r>
      <w:r w:rsidRPr="00D464D4">
        <w:rPr>
          <w:color w:val="000000" w:themeColor="text1"/>
          <w:sz w:val="22"/>
        </w:rPr>
        <w:t>.</w:t>
      </w:r>
      <w:r w:rsidRPr="00D464D4">
        <w:rPr>
          <w:sz w:val="22"/>
        </w:rPr>
        <w:t xml:space="preserve"> Aralık 2002’de Meks</w:t>
      </w:r>
      <w:r w:rsidR="00E019FA" w:rsidRPr="00D464D4">
        <w:rPr>
          <w:sz w:val="22"/>
        </w:rPr>
        <w:t>ika’da yapılan üçüncü toplantıda</w:t>
      </w:r>
      <w:r w:rsidR="00490D13" w:rsidRPr="00D464D4">
        <w:rPr>
          <w:sz w:val="22"/>
        </w:rPr>
        <w:t>,</w:t>
      </w:r>
      <w:r w:rsidRPr="00D464D4">
        <w:rPr>
          <w:sz w:val="22"/>
        </w:rPr>
        <w:t xml:space="preserve"> </w:t>
      </w:r>
      <w:r w:rsidR="00E019FA" w:rsidRPr="00D464D4">
        <w:rPr>
          <w:sz w:val="22"/>
        </w:rPr>
        <w:t>toplantı gündemi Dünya Sağlık Örgütü</w:t>
      </w:r>
      <w:r w:rsidRPr="00D464D4">
        <w:rPr>
          <w:sz w:val="22"/>
        </w:rPr>
        <w:t xml:space="preserve">nün çiçek hastalığı aşısının </w:t>
      </w:r>
      <w:r w:rsidR="00E019FA" w:rsidRPr="00D464D4">
        <w:rPr>
          <w:sz w:val="22"/>
        </w:rPr>
        <w:t xml:space="preserve">rezervini artırma </w:t>
      </w:r>
      <w:r w:rsidRPr="00D464D4">
        <w:rPr>
          <w:sz w:val="22"/>
        </w:rPr>
        <w:t xml:space="preserve">planlarını </w:t>
      </w:r>
      <w:r w:rsidR="00E019FA" w:rsidRPr="00D464D4">
        <w:rPr>
          <w:sz w:val="22"/>
        </w:rPr>
        <w:t>da içerecek şekilde genişletilmiştir.</w:t>
      </w:r>
      <w:r w:rsidRPr="00D464D4">
        <w:rPr>
          <w:sz w:val="22"/>
        </w:rPr>
        <w:t xml:space="preserve"> </w:t>
      </w:r>
      <w:r w:rsidR="00E019FA" w:rsidRPr="00D464D4">
        <w:rPr>
          <w:sz w:val="22"/>
        </w:rPr>
        <w:t>Toplantıda</w:t>
      </w:r>
      <w:r w:rsidRPr="00D464D4">
        <w:rPr>
          <w:sz w:val="22"/>
        </w:rPr>
        <w:t xml:space="preserve"> yetersiz aşı tedariki ve </w:t>
      </w:r>
      <w:r w:rsidR="00E019FA" w:rsidRPr="00D464D4">
        <w:rPr>
          <w:sz w:val="22"/>
        </w:rPr>
        <w:t xml:space="preserve">salgınlarla ilgili süreç </w:t>
      </w:r>
      <w:r w:rsidRPr="00D464D4">
        <w:rPr>
          <w:sz w:val="22"/>
        </w:rPr>
        <w:t>yönetimi</w:t>
      </w:r>
      <w:r w:rsidR="00E019FA" w:rsidRPr="00D464D4">
        <w:rPr>
          <w:sz w:val="22"/>
        </w:rPr>
        <w:t>ne vurgu yapılarak olası salgınlara</w:t>
      </w:r>
      <w:r w:rsidRPr="00D464D4">
        <w:rPr>
          <w:sz w:val="22"/>
        </w:rPr>
        <w:t xml:space="preserve"> hazırlık </w:t>
      </w:r>
      <w:r w:rsidR="00E019FA" w:rsidRPr="00D464D4">
        <w:rPr>
          <w:sz w:val="22"/>
        </w:rPr>
        <w:t>ve</w:t>
      </w:r>
      <w:r w:rsidRPr="00D464D4">
        <w:rPr>
          <w:sz w:val="22"/>
        </w:rPr>
        <w:t xml:space="preserve"> </w:t>
      </w:r>
      <w:r w:rsidR="00E019FA" w:rsidRPr="00D464D4">
        <w:rPr>
          <w:sz w:val="22"/>
        </w:rPr>
        <w:t>mevcut problemleri</w:t>
      </w:r>
      <w:r w:rsidRPr="00D464D4">
        <w:rPr>
          <w:sz w:val="22"/>
        </w:rPr>
        <w:t xml:space="preserve"> ele almak için bir çalışma grubu </w:t>
      </w:r>
      <w:r w:rsidR="00490D13" w:rsidRPr="00D464D4">
        <w:rPr>
          <w:sz w:val="22"/>
        </w:rPr>
        <w:t>kurulmuştur</w:t>
      </w:r>
      <w:r w:rsidRPr="00D464D4">
        <w:rPr>
          <w:sz w:val="22"/>
        </w:rPr>
        <w:t xml:space="preserve">. </w:t>
      </w:r>
      <w:r w:rsidR="00E40DD3" w:rsidRPr="00D464D4">
        <w:rPr>
          <w:sz w:val="22"/>
        </w:rPr>
        <w:t>Ayrıca olağan</w:t>
      </w:r>
      <w:r w:rsidRPr="00D464D4">
        <w:rPr>
          <w:sz w:val="22"/>
        </w:rPr>
        <w:t xml:space="preserve"> ya da kas</w:t>
      </w:r>
      <w:r w:rsidR="00E40DD3" w:rsidRPr="00D464D4">
        <w:rPr>
          <w:sz w:val="22"/>
        </w:rPr>
        <w:t>ıtlı olarak ortaya çıkarılan hastalıkların</w:t>
      </w:r>
      <w:r w:rsidR="00706976" w:rsidRPr="00D464D4">
        <w:rPr>
          <w:sz w:val="22"/>
        </w:rPr>
        <w:t xml:space="preserve"> </w:t>
      </w:r>
      <w:r w:rsidRPr="00D464D4">
        <w:rPr>
          <w:sz w:val="22"/>
        </w:rPr>
        <w:t xml:space="preserve">hızlı ve doğru bir şekilde teşhis </w:t>
      </w:r>
      <w:r w:rsidR="00E40DD3" w:rsidRPr="00D464D4">
        <w:rPr>
          <w:sz w:val="22"/>
        </w:rPr>
        <w:t>edilmesi ve küresel kapasitenin art</w:t>
      </w:r>
      <w:r w:rsidRPr="00D464D4">
        <w:rPr>
          <w:sz w:val="22"/>
        </w:rPr>
        <w:t>ırılması</w:t>
      </w:r>
      <w:r w:rsidR="00E40DD3" w:rsidRPr="00D464D4">
        <w:rPr>
          <w:sz w:val="22"/>
        </w:rPr>
        <w:t xml:space="preserve"> adına</w:t>
      </w:r>
      <w:r w:rsidRPr="00D464D4">
        <w:rPr>
          <w:sz w:val="22"/>
        </w:rPr>
        <w:t xml:space="preserve"> </w:t>
      </w:r>
      <w:r w:rsidR="00490D13" w:rsidRPr="00D464D4">
        <w:rPr>
          <w:sz w:val="22"/>
        </w:rPr>
        <w:t>Yüksek G</w:t>
      </w:r>
      <w:r w:rsidRPr="00D464D4">
        <w:rPr>
          <w:sz w:val="22"/>
        </w:rPr>
        <w:t>üvenlik</w:t>
      </w:r>
      <w:r w:rsidR="00490D13" w:rsidRPr="00D464D4">
        <w:rPr>
          <w:sz w:val="22"/>
        </w:rPr>
        <w:t xml:space="preserve"> Laboratuvarları A</w:t>
      </w:r>
      <w:r w:rsidR="00706976" w:rsidRPr="00D464D4">
        <w:rPr>
          <w:sz w:val="22"/>
        </w:rPr>
        <w:t>ğı</w:t>
      </w:r>
      <w:r w:rsidR="00490D13" w:rsidRPr="00D464D4">
        <w:rPr>
          <w:sz w:val="22"/>
        </w:rPr>
        <w:t xml:space="preserve"> da bu plan dahilinde başlatılmıştır </w:t>
      </w:r>
      <w:r w:rsidR="00490D13" w:rsidRPr="00D464D4">
        <w:rPr>
          <w:color w:val="000000" w:themeColor="text1"/>
          <w:sz w:val="22"/>
        </w:rPr>
        <w:t>(</w:t>
      </w:r>
      <w:proofErr w:type="spellStart"/>
      <w:r w:rsidR="00854696" w:rsidRPr="00D464D4">
        <w:rPr>
          <w:color w:val="000000" w:themeColor="text1"/>
          <w:sz w:val="22"/>
        </w:rPr>
        <w:t>Heymann</w:t>
      </w:r>
      <w:proofErr w:type="spellEnd"/>
      <w:r w:rsidR="00854696" w:rsidRPr="00D464D4">
        <w:rPr>
          <w:color w:val="000000" w:themeColor="text1"/>
          <w:sz w:val="22"/>
        </w:rPr>
        <w:t>, 2003: 202</w:t>
      </w:r>
      <w:r w:rsidR="00490D13" w:rsidRPr="00D464D4">
        <w:rPr>
          <w:color w:val="000000" w:themeColor="text1"/>
          <w:sz w:val="22"/>
        </w:rPr>
        <w:t>).</w:t>
      </w:r>
      <w:r w:rsidR="00490D13" w:rsidRPr="00D464D4">
        <w:rPr>
          <w:sz w:val="22"/>
        </w:rPr>
        <w:t xml:space="preserve"> </w:t>
      </w:r>
      <w:r w:rsidR="00352EE9" w:rsidRPr="00D464D4">
        <w:rPr>
          <w:sz w:val="22"/>
        </w:rPr>
        <w:t>Bir diğer önemli gelişme 2002 yılında kabul edilen</w:t>
      </w:r>
      <w:r w:rsidR="00CB2BFA" w:rsidRPr="00D464D4">
        <w:rPr>
          <w:sz w:val="22"/>
        </w:rPr>
        <w:t xml:space="preserve"> ABD Küresel Patojen Gözetleme Yasası</w:t>
      </w:r>
      <w:r w:rsidR="00352EE9" w:rsidRPr="00D464D4">
        <w:rPr>
          <w:sz w:val="22"/>
        </w:rPr>
        <w:t xml:space="preserve"> </w:t>
      </w:r>
      <w:r w:rsidR="00CB2BFA" w:rsidRPr="00D464D4">
        <w:rPr>
          <w:sz w:val="22"/>
        </w:rPr>
        <w:t xml:space="preserve">(US Global </w:t>
      </w:r>
      <w:proofErr w:type="spellStart"/>
      <w:r w:rsidR="00CB2BFA" w:rsidRPr="00D464D4">
        <w:rPr>
          <w:sz w:val="22"/>
        </w:rPr>
        <w:t>Pathogen</w:t>
      </w:r>
      <w:proofErr w:type="spellEnd"/>
      <w:r w:rsidR="00CB2BFA" w:rsidRPr="00D464D4">
        <w:rPr>
          <w:sz w:val="22"/>
        </w:rPr>
        <w:t xml:space="preserve"> </w:t>
      </w:r>
      <w:proofErr w:type="spellStart"/>
      <w:r w:rsidR="00CB2BFA" w:rsidRPr="00D464D4">
        <w:rPr>
          <w:sz w:val="22"/>
        </w:rPr>
        <w:t>Surveillance</w:t>
      </w:r>
      <w:proofErr w:type="spellEnd"/>
      <w:r w:rsidR="00CB2BFA" w:rsidRPr="00D464D4">
        <w:rPr>
          <w:sz w:val="22"/>
        </w:rPr>
        <w:t xml:space="preserve"> </w:t>
      </w:r>
      <w:proofErr w:type="spellStart"/>
      <w:r w:rsidR="00CB2BFA" w:rsidRPr="00D464D4">
        <w:rPr>
          <w:sz w:val="22"/>
        </w:rPr>
        <w:t>Act</w:t>
      </w:r>
      <w:proofErr w:type="spellEnd"/>
      <w:r w:rsidR="00CB2BFA" w:rsidRPr="00D464D4">
        <w:rPr>
          <w:sz w:val="22"/>
        </w:rPr>
        <w:t>)</w:t>
      </w:r>
      <w:r w:rsidR="00352EE9" w:rsidRPr="00D464D4">
        <w:rPr>
          <w:sz w:val="22"/>
        </w:rPr>
        <w:t>’</w:t>
      </w:r>
      <w:proofErr w:type="spellStart"/>
      <w:r w:rsidR="00352EE9" w:rsidRPr="00D464D4">
        <w:rPr>
          <w:sz w:val="22"/>
        </w:rPr>
        <w:t>dır</w:t>
      </w:r>
      <w:proofErr w:type="spellEnd"/>
      <w:r w:rsidR="00352EE9" w:rsidRPr="00D464D4">
        <w:rPr>
          <w:sz w:val="22"/>
        </w:rPr>
        <w:t>.</w:t>
      </w:r>
      <w:r w:rsidR="00CB2BFA" w:rsidRPr="00D464D4">
        <w:rPr>
          <w:sz w:val="22"/>
        </w:rPr>
        <w:t xml:space="preserve"> </w:t>
      </w:r>
      <w:r w:rsidR="00352EE9" w:rsidRPr="00D464D4">
        <w:rPr>
          <w:sz w:val="22"/>
        </w:rPr>
        <w:t xml:space="preserve">Yasa ile </w:t>
      </w:r>
      <w:r w:rsidR="00CB2BFA" w:rsidRPr="00D464D4">
        <w:rPr>
          <w:sz w:val="22"/>
        </w:rPr>
        <w:t>bulaşıcı hastalık tehdidinin evrens</w:t>
      </w:r>
      <w:r w:rsidR="00832707" w:rsidRPr="00D464D4">
        <w:rPr>
          <w:sz w:val="22"/>
        </w:rPr>
        <w:t>el niteliği</w:t>
      </w:r>
      <w:r w:rsidR="00352EE9" w:rsidRPr="00D464D4">
        <w:rPr>
          <w:sz w:val="22"/>
        </w:rPr>
        <w:t xml:space="preserve"> kabul edilerek</w:t>
      </w:r>
      <w:r w:rsidR="0046448A" w:rsidRPr="00D464D4">
        <w:rPr>
          <w:sz w:val="22"/>
        </w:rPr>
        <w:t xml:space="preserve"> </w:t>
      </w:r>
      <w:proofErr w:type="spellStart"/>
      <w:r w:rsidR="0046448A" w:rsidRPr="00D464D4">
        <w:rPr>
          <w:sz w:val="22"/>
        </w:rPr>
        <w:t>biyo</w:t>
      </w:r>
      <w:r w:rsidR="00CB2BFA" w:rsidRPr="00D464D4">
        <w:rPr>
          <w:sz w:val="22"/>
        </w:rPr>
        <w:t>terörizmle</w:t>
      </w:r>
      <w:proofErr w:type="spellEnd"/>
      <w:r w:rsidR="00CB2BFA" w:rsidRPr="00D464D4">
        <w:rPr>
          <w:sz w:val="22"/>
        </w:rPr>
        <w:t xml:space="preserve"> mücadele</w:t>
      </w:r>
      <w:r w:rsidR="00352EE9" w:rsidRPr="00D464D4">
        <w:rPr>
          <w:sz w:val="22"/>
        </w:rPr>
        <w:t>de ulusal çabaların tek başına yeterli olamayacağı ifade edilmiştir.</w:t>
      </w:r>
      <w:r w:rsidR="00CB2BFA" w:rsidRPr="00D464D4">
        <w:rPr>
          <w:sz w:val="22"/>
        </w:rPr>
        <w:t xml:space="preserve"> Yasa, Küresel Sa</w:t>
      </w:r>
      <w:r w:rsidR="00832707" w:rsidRPr="00D464D4">
        <w:rPr>
          <w:sz w:val="22"/>
        </w:rPr>
        <w:t>lgın Uyarısı ve Müdahale Ağı</w:t>
      </w:r>
      <w:r w:rsidR="00CB2BFA" w:rsidRPr="00D464D4">
        <w:rPr>
          <w:sz w:val="22"/>
        </w:rPr>
        <w:t xml:space="preserve"> (Global </w:t>
      </w:r>
      <w:proofErr w:type="spellStart"/>
      <w:r w:rsidR="00CB2BFA" w:rsidRPr="00D464D4">
        <w:rPr>
          <w:sz w:val="22"/>
        </w:rPr>
        <w:t>Outbreak</w:t>
      </w:r>
      <w:proofErr w:type="spellEnd"/>
      <w:r w:rsidR="00CB2BFA" w:rsidRPr="00D464D4">
        <w:rPr>
          <w:sz w:val="22"/>
        </w:rPr>
        <w:t xml:space="preserve"> </w:t>
      </w:r>
      <w:proofErr w:type="spellStart"/>
      <w:r w:rsidR="00CB2BFA" w:rsidRPr="00D464D4">
        <w:rPr>
          <w:sz w:val="22"/>
        </w:rPr>
        <w:t>Alert</w:t>
      </w:r>
      <w:proofErr w:type="spellEnd"/>
      <w:r w:rsidR="00CB2BFA" w:rsidRPr="00D464D4">
        <w:rPr>
          <w:sz w:val="22"/>
        </w:rPr>
        <w:t xml:space="preserve"> </w:t>
      </w:r>
      <w:proofErr w:type="spellStart"/>
      <w:r w:rsidR="00CB2BFA" w:rsidRPr="00D464D4">
        <w:rPr>
          <w:sz w:val="22"/>
        </w:rPr>
        <w:t>and</w:t>
      </w:r>
      <w:proofErr w:type="spellEnd"/>
      <w:r w:rsidR="00CB2BFA" w:rsidRPr="00D464D4">
        <w:rPr>
          <w:sz w:val="22"/>
        </w:rPr>
        <w:t xml:space="preserve"> </w:t>
      </w:r>
      <w:proofErr w:type="spellStart"/>
      <w:r w:rsidR="00CB2BFA" w:rsidRPr="00D464D4">
        <w:rPr>
          <w:sz w:val="22"/>
        </w:rPr>
        <w:t>Response</w:t>
      </w:r>
      <w:proofErr w:type="spellEnd"/>
      <w:r w:rsidR="00CB2BFA" w:rsidRPr="00D464D4">
        <w:rPr>
          <w:sz w:val="22"/>
        </w:rPr>
        <w:t xml:space="preserve"> Network)</w:t>
      </w:r>
      <w:r w:rsidR="00832707" w:rsidRPr="00D464D4">
        <w:rPr>
          <w:sz w:val="22"/>
        </w:rPr>
        <w:t xml:space="preserve"> ile benzer bir işlevde olup gelişmekte olan ülkelerin </w:t>
      </w:r>
      <w:r w:rsidR="00CB2BFA" w:rsidRPr="00D464D4">
        <w:rPr>
          <w:sz w:val="22"/>
        </w:rPr>
        <w:t>halk sağlığı altyapıları</w:t>
      </w:r>
      <w:r w:rsidR="00832707" w:rsidRPr="00D464D4">
        <w:rPr>
          <w:sz w:val="22"/>
        </w:rPr>
        <w:t>nı</w:t>
      </w:r>
      <w:r w:rsidR="00CB2BFA" w:rsidRPr="00D464D4">
        <w:rPr>
          <w:sz w:val="22"/>
        </w:rPr>
        <w:t xml:space="preserve"> inşa etmek için gerekli</w:t>
      </w:r>
      <w:r w:rsidR="00832707" w:rsidRPr="00D464D4">
        <w:rPr>
          <w:sz w:val="22"/>
        </w:rPr>
        <w:t xml:space="preserve"> olan</w:t>
      </w:r>
      <w:r w:rsidR="00CB2BFA" w:rsidRPr="00D464D4">
        <w:rPr>
          <w:sz w:val="22"/>
        </w:rPr>
        <w:t xml:space="preserve"> kaynakları </w:t>
      </w:r>
      <w:r w:rsidR="00832707" w:rsidRPr="00D464D4">
        <w:rPr>
          <w:sz w:val="22"/>
        </w:rPr>
        <w:t>oluşturma hususuna değinerek</w:t>
      </w:r>
      <w:r w:rsidR="00CB2BFA" w:rsidRPr="00D464D4">
        <w:rPr>
          <w:sz w:val="22"/>
        </w:rPr>
        <w:t xml:space="preserve"> </w:t>
      </w:r>
      <w:r w:rsidR="00490D13" w:rsidRPr="00D464D4">
        <w:rPr>
          <w:sz w:val="22"/>
        </w:rPr>
        <w:t xml:space="preserve">küresel işbirliği ve </w:t>
      </w:r>
      <w:r w:rsidR="00832707" w:rsidRPr="00D464D4">
        <w:rPr>
          <w:sz w:val="22"/>
        </w:rPr>
        <w:t xml:space="preserve">dış yardım ihtiyacını vurgulamaktadır. </w:t>
      </w:r>
      <w:r w:rsidR="00490D13" w:rsidRPr="00D464D4">
        <w:rPr>
          <w:sz w:val="22"/>
        </w:rPr>
        <w:t xml:space="preserve">Ayrıca yasa ile </w:t>
      </w:r>
      <w:r w:rsidR="00832707" w:rsidRPr="00D464D4">
        <w:rPr>
          <w:sz w:val="22"/>
        </w:rPr>
        <w:t>olağan şekilde ortaya çıkan</w:t>
      </w:r>
      <w:r w:rsidR="00CB2BFA" w:rsidRPr="00D464D4">
        <w:rPr>
          <w:sz w:val="22"/>
        </w:rPr>
        <w:t xml:space="preserve"> ​​ve </w:t>
      </w:r>
      <w:r w:rsidR="00832707" w:rsidRPr="00D464D4">
        <w:rPr>
          <w:sz w:val="22"/>
        </w:rPr>
        <w:t xml:space="preserve">kasten ortaya çıkarılan salgınlara vurgu </w:t>
      </w:r>
      <w:r w:rsidR="00490D13" w:rsidRPr="00D464D4">
        <w:rPr>
          <w:sz w:val="22"/>
        </w:rPr>
        <w:t>yapılarak</w:t>
      </w:r>
      <w:r w:rsidR="00832707" w:rsidRPr="00D464D4">
        <w:rPr>
          <w:sz w:val="22"/>
        </w:rPr>
        <w:t xml:space="preserve"> </w:t>
      </w:r>
      <w:r w:rsidR="00CB2BFA" w:rsidRPr="00D464D4">
        <w:rPr>
          <w:sz w:val="22"/>
        </w:rPr>
        <w:t xml:space="preserve">bulaşıcı hastalık salgınlarını izleme, tespit etme ve bunlara yanıt verme konusundaki güçlendirilmiş kapasitenin her iki tehdide karşı daha iyi koruma </w:t>
      </w:r>
      <w:r w:rsidR="00490D13" w:rsidRPr="00D464D4">
        <w:rPr>
          <w:sz w:val="22"/>
        </w:rPr>
        <w:t>sağlayacağı</w:t>
      </w:r>
      <w:r w:rsidR="00832707" w:rsidRPr="00D464D4">
        <w:rPr>
          <w:sz w:val="22"/>
        </w:rPr>
        <w:t xml:space="preserve"> ka</w:t>
      </w:r>
      <w:r w:rsidR="00490D13" w:rsidRPr="00D464D4">
        <w:rPr>
          <w:sz w:val="22"/>
        </w:rPr>
        <w:t xml:space="preserve">bul edilmiştir </w:t>
      </w:r>
      <w:r w:rsidR="0044074B" w:rsidRPr="00D464D4">
        <w:rPr>
          <w:color w:val="000000" w:themeColor="text1"/>
          <w:sz w:val="22"/>
        </w:rPr>
        <w:t>(</w:t>
      </w:r>
      <w:proofErr w:type="spellStart"/>
      <w:r w:rsidR="002A6B4C" w:rsidRPr="00D464D4">
        <w:rPr>
          <w:color w:val="000000" w:themeColor="text1"/>
          <w:sz w:val="22"/>
        </w:rPr>
        <w:t>Congress</w:t>
      </w:r>
      <w:proofErr w:type="spellEnd"/>
      <w:r w:rsidR="00854696" w:rsidRPr="00D464D4">
        <w:rPr>
          <w:color w:val="000000" w:themeColor="text1"/>
          <w:sz w:val="22"/>
        </w:rPr>
        <w:t>, 2010</w:t>
      </w:r>
      <w:r w:rsidR="00CB2BFA" w:rsidRPr="00D464D4">
        <w:rPr>
          <w:color w:val="000000" w:themeColor="text1"/>
          <w:sz w:val="22"/>
        </w:rPr>
        <w:t>).</w:t>
      </w:r>
    </w:p>
    <w:p w:rsidR="007432FE" w:rsidRPr="00D464D4" w:rsidRDefault="007432FE" w:rsidP="007432FE">
      <w:pPr>
        <w:spacing w:before="120" w:after="120" w:line="240" w:lineRule="auto"/>
        <w:rPr>
          <w:sz w:val="22"/>
        </w:rPr>
      </w:pPr>
      <w:r>
        <w:rPr>
          <w:color w:val="FF0000"/>
          <w:sz w:val="22"/>
        </w:rPr>
        <w:tab/>
      </w:r>
      <w:r w:rsidR="0067455F" w:rsidRPr="00D464D4">
        <w:rPr>
          <w:color w:val="000000" w:themeColor="text1"/>
          <w:sz w:val="22"/>
        </w:rPr>
        <w:t xml:space="preserve">Bulaşıcı </w:t>
      </w:r>
      <w:r w:rsidR="0067455F" w:rsidRPr="00D464D4">
        <w:rPr>
          <w:sz w:val="22"/>
        </w:rPr>
        <w:t xml:space="preserve">hastalık tehdidinin üst düzey bir güvenlik </w:t>
      </w:r>
      <w:r w:rsidR="00832707" w:rsidRPr="00D464D4">
        <w:rPr>
          <w:sz w:val="22"/>
        </w:rPr>
        <w:t>konusu olarak kabulü 2000’li yıllarda ortaya çıkan şarbon vakalarıyla gündeme gelmiştir. Çok kısa bir süre içerisinde</w:t>
      </w:r>
      <w:r w:rsidR="00E2200F" w:rsidRPr="00D464D4">
        <w:rPr>
          <w:sz w:val="22"/>
        </w:rPr>
        <w:t xml:space="preserve"> gelişen şarbon olaylarının yankıları</w:t>
      </w:r>
      <w:r w:rsidR="0067455F" w:rsidRPr="00D464D4">
        <w:rPr>
          <w:sz w:val="22"/>
        </w:rPr>
        <w:t xml:space="preserve"> </w:t>
      </w:r>
      <w:r w:rsidR="00E2200F" w:rsidRPr="00D464D4">
        <w:rPr>
          <w:sz w:val="22"/>
        </w:rPr>
        <w:t>olağan salgınlara dahi şüphe ile yaklaşılmasına</w:t>
      </w:r>
      <w:r w:rsidR="0067455F" w:rsidRPr="00D464D4">
        <w:rPr>
          <w:sz w:val="22"/>
        </w:rPr>
        <w:t xml:space="preserve"> yol açmıştır. </w:t>
      </w:r>
    </w:p>
    <w:p w:rsidR="0067455F" w:rsidRDefault="005D16D0" w:rsidP="004E7EBF">
      <w:pPr>
        <w:spacing w:before="120" w:after="120" w:line="240" w:lineRule="auto"/>
        <w:rPr>
          <w:sz w:val="22"/>
        </w:rPr>
      </w:pPr>
      <w:r>
        <w:rPr>
          <w:sz w:val="22"/>
        </w:rPr>
        <w:tab/>
      </w:r>
      <w:r w:rsidR="008859D9" w:rsidRPr="00D464D4">
        <w:rPr>
          <w:sz w:val="22"/>
        </w:rPr>
        <w:t xml:space="preserve">Günümüze </w:t>
      </w:r>
      <w:r w:rsidR="00E2200F" w:rsidRPr="00D464D4">
        <w:rPr>
          <w:sz w:val="22"/>
        </w:rPr>
        <w:t>bakıldığında</w:t>
      </w:r>
      <w:r w:rsidR="0067455F" w:rsidRPr="00D464D4">
        <w:rPr>
          <w:sz w:val="22"/>
        </w:rPr>
        <w:t xml:space="preserve"> </w:t>
      </w:r>
      <w:r w:rsidR="00E2200F" w:rsidRPr="00D464D4">
        <w:rPr>
          <w:sz w:val="22"/>
        </w:rPr>
        <w:t xml:space="preserve">ise </w:t>
      </w:r>
      <w:r w:rsidR="0067455F" w:rsidRPr="00D464D4">
        <w:rPr>
          <w:sz w:val="22"/>
        </w:rPr>
        <w:t>siyasi liderlerin halk sağlı</w:t>
      </w:r>
      <w:r w:rsidR="008859D9" w:rsidRPr="00D464D4">
        <w:rPr>
          <w:sz w:val="22"/>
        </w:rPr>
        <w:t>ğının korunmasına</w:t>
      </w:r>
      <w:r w:rsidR="0067455F" w:rsidRPr="00D464D4">
        <w:rPr>
          <w:sz w:val="22"/>
        </w:rPr>
        <w:t xml:space="preserve"> karşı </w:t>
      </w:r>
      <w:r w:rsidR="008859D9" w:rsidRPr="00D464D4">
        <w:rPr>
          <w:sz w:val="22"/>
        </w:rPr>
        <w:t xml:space="preserve">daha fazla çaba gösterdiği görülmektedir. Bu kapsamda </w:t>
      </w:r>
      <w:r w:rsidR="00E2200F" w:rsidRPr="00D464D4">
        <w:rPr>
          <w:sz w:val="22"/>
        </w:rPr>
        <w:t xml:space="preserve">küresel </w:t>
      </w:r>
      <w:r w:rsidR="0067455F" w:rsidRPr="00D464D4">
        <w:rPr>
          <w:sz w:val="22"/>
        </w:rPr>
        <w:t xml:space="preserve">halk sağlığı </w:t>
      </w:r>
      <w:r w:rsidR="00386A44" w:rsidRPr="00D464D4">
        <w:rPr>
          <w:sz w:val="22"/>
        </w:rPr>
        <w:t xml:space="preserve">kapasitelerinin </w:t>
      </w:r>
      <w:r w:rsidR="008859D9" w:rsidRPr="00D464D4">
        <w:rPr>
          <w:sz w:val="22"/>
        </w:rPr>
        <w:t>güçlendirilmesi gerekliliğine</w:t>
      </w:r>
      <w:r w:rsidR="0067455F" w:rsidRPr="00D464D4">
        <w:rPr>
          <w:sz w:val="22"/>
        </w:rPr>
        <w:t xml:space="preserve"> </w:t>
      </w:r>
      <w:r w:rsidR="00E2200F" w:rsidRPr="00D464D4">
        <w:rPr>
          <w:sz w:val="22"/>
        </w:rPr>
        <w:t xml:space="preserve">vurgu </w:t>
      </w:r>
      <w:r w:rsidR="008859D9" w:rsidRPr="00D464D4">
        <w:rPr>
          <w:sz w:val="22"/>
        </w:rPr>
        <w:t>yapılmaktadır</w:t>
      </w:r>
      <w:r w:rsidR="00E2200F" w:rsidRPr="00D464D4">
        <w:rPr>
          <w:sz w:val="22"/>
        </w:rPr>
        <w:t>.</w:t>
      </w:r>
      <w:r w:rsidR="0067455F" w:rsidRPr="00D464D4">
        <w:rPr>
          <w:sz w:val="22"/>
        </w:rPr>
        <w:t xml:space="preserve"> </w:t>
      </w:r>
      <w:r w:rsidR="00E2200F" w:rsidRPr="00D464D4">
        <w:rPr>
          <w:sz w:val="22"/>
        </w:rPr>
        <w:t>Ayrıca a</w:t>
      </w:r>
      <w:r w:rsidR="0067455F" w:rsidRPr="00D464D4">
        <w:rPr>
          <w:sz w:val="22"/>
        </w:rPr>
        <w:t>ynı derecede önemli</w:t>
      </w:r>
      <w:r w:rsidR="00E2200F" w:rsidRPr="00D464D4">
        <w:rPr>
          <w:sz w:val="22"/>
        </w:rPr>
        <w:t xml:space="preserve"> olan husus</w:t>
      </w:r>
      <w:r w:rsidR="0067455F" w:rsidRPr="00D464D4">
        <w:rPr>
          <w:sz w:val="22"/>
        </w:rPr>
        <w:t xml:space="preserve"> güçlü ulusal v</w:t>
      </w:r>
      <w:r w:rsidR="00E2200F" w:rsidRPr="00D464D4">
        <w:rPr>
          <w:sz w:val="22"/>
        </w:rPr>
        <w:t xml:space="preserve">e uluslararası halk sağlığı kapasitesinin </w:t>
      </w:r>
      <w:r w:rsidR="0067455F" w:rsidRPr="00D464D4">
        <w:rPr>
          <w:sz w:val="22"/>
        </w:rPr>
        <w:t>ulusal güvenliğin bir unsuru olarak görülmesi gerektiği</w:t>
      </w:r>
      <w:r w:rsidR="00E2200F" w:rsidRPr="00D464D4">
        <w:rPr>
          <w:sz w:val="22"/>
        </w:rPr>
        <w:t>dir. Ancak bu anlayışla ihtiyatlı ve</w:t>
      </w:r>
      <w:r w:rsidR="00386A44" w:rsidRPr="00D464D4">
        <w:rPr>
          <w:sz w:val="22"/>
        </w:rPr>
        <w:t xml:space="preserve"> istikrarlı bir küresel savunma sistemi geliştirilerek </w:t>
      </w:r>
      <w:r w:rsidR="00E2200F" w:rsidRPr="00D464D4">
        <w:rPr>
          <w:sz w:val="22"/>
        </w:rPr>
        <w:t>kalıcı faydalar sağlanabilir.</w:t>
      </w:r>
    </w:p>
    <w:p w:rsidR="005D16D0" w:rsidRPr="00D464D4" w:rsidRDefault="005D16D0" w:rsidP="004E7EBF">
      <w:pPr>
        <w:spacing w:before="120" w:after="120" w:line="240" w:lineRule="auto"/>
        <w:rPr>
          <w:sz w:val="22"/>
        </w:rPr>
      </w:pPr>
    </w:p>
    <w:p w:rsidR="005D16D0" w:rsidRDefault="007C4149" w:rsidP="004E7EBF">
      <w:pPr>
        <w:pStyle w:val="Balk1"/>
        <w:spacing w:before="120" w:after="120" w:line="240" w:lineRule="auto"/>
        <w:rPr>
          <w:sz w:val="22"/>
          <w:szCs w:val="22"/>
        </w:rPr>
      </w:pPr>
      <w:r w:rsidRPr="00D464D4">
        <w:rPr>
          <w:sz w:val="22"/>
          <w:szCs w:val="22"/>
        </w:rPr>
        <w:tab/>
      </w:r>
    </w:p>
    <w:p w:rsidR="005D16D0" w:rsidRDefault="005D16D0" w:rsidP="005D16D0">
      <w:pPr>
        <w:rPr>
          <w:rFonts w:eastAsiaTheme="majorEastAsia" w:cstheme="majorBidi"/>
          <w:color w:val="000000" w:themeColor="text1"/>
        </w:rPr>
      </w:pPr>
      <w:r>
        <w:br w:type="page"/>
      </w:r>
    </w:p>
    <w:p w:rsidR="00321B4F" w:rsidRPr="00D464D4" w:rsidRDefault="005D16D0" w:rsidP="004E7EBF">
      <w:pPr>
        <w:pStyle w:val="Balk1"/>
        <w:spacing w:before="120" w:after="120" w:line="240" w:lineRule="auto"/>
        <w:rPr>
          <w:sz w:val="22"/>
          <w:szCs w:val="22"/>
        </w:rPr>
      </w:pPr>
      <w:r>
        <w:rPr>
          <w:sz w:val="22"/>
          <w:szCs w:val="22"/>
        </w:rPr>
        <w:lastRenderedPageBreak/>
        <w:tab/>
      </w:r>
      <w:r w:rsidR="007C4149" w:rsidRPr="00D464D4">
        <w:rPr>
          <w:sz w:val="22"/>
          <w:szCs w:val="22"/>
        </w:rPr>
        <w:t xml:space="preserve">5. </w:t>
      </w:r>
      <w:r w:rsidR="00321B4F" w:rsidRPr="00D464D4">
        <w:rPr>
          <w:sz w:val="22"/>
          <w:szCs w:val="22"/>
        </w:rPr>
        <w:t xml:space="preserve">SONUÇ VE </w:t>
      </w:r>
      <w:r w:rsidR="00CC53CB" w:rsidRPr="00D464D4">
        <w:rPr>
          <w:sz w:val="22"/>
          <w:szCs w:val="22"/>
        </w:rPr>
        <w:t>ÖNERİLER</w:t>
      </w:r>
    </w:p>
    <w:p w:rsidR="00597E88" w:rsidRPr="00D464D4" w:rsidRDefault="000706B7" w:rsidP="004E7EBF">
      <w:pPr>
        <w:spacing w:before="120" w:after="120" w:line="240" w:lineRule="auto"/>
        <w:rPr>
          <w:sz w:val="22"/>
        </w:rPr>
      </w:pPr>
      <w:r w:rsidRPr="00D464D4">
        <w:rPr>
          <w:sz w:val="22"/>
        </w:rPr>
        <w:tab/>
        <w:t>Son yıllarda uluslararası güvenlik konferanslarına</w:t>
      </w:r>
      <w:r w:rsidR="003E56AF" w:rsidRPr="00D464D4">
        <w:rPr>
          <w:sz w:val="22"/>
        </w:rPr>
        <w:t xml:space="preserve"> sıklıkla</w:t>
      </w:r>
      <w:r w:rsidRPr="00D464D4">
        <w:rPr>
          <w:sz w:val="22"/>
        </w:rPr>
        <w:t xml:space="preserve"> konu olan biyoterörizm</w:t>
      </w:r>
      <w:r w:rsidR="003E56AF" w:rsidRPr="00D464D4">
        <w:rPr>
          <w:sz w:val="22"/>
        </w:rPr>
        <w:t>;</w:t>
      </w:r>
      <w:r w:rsidRPr="00D464D4">
        <w:rPr>
          <w:sz w:val="22"/>
        </w:rPr>
        <w:t xml:space="preserve"> salgın hastalıklar</w:t>
      </w:r>
      <w:r w:rsidR="003E56AF" w:rsidRPr="00D464D4">
        <w:rPr>
          <w:sz w:val="22"/>
        </w:rPr>
        <w:t xml:space="preserve">ın kasıtlı olarak ortaya çıkarılarak bir topluluğun hedef alınmasını </w:t>
      </w:r>
      <w:r w:rsidRPr="00D464D4">
        <w:rPr>
          <w:sz w:val="22"/>
        </w:rPr>
        <w:t>ifade etmektedir.</w:t>
      </w:r>
      <w:r w:rsidR="003E56AF" w:rsidRPr="00D464D4">
        <w:rPr>
          <w:sz w:val="22"/>
        </w:rPr>
        <w:t xml:space="preserve"> </w:t>
      </w:r>
      <w:proofErr w:type="spellStart"/>
      <w:r w:rsidR="003E56AF" w:rsidRPr="00D464D4">
        <w:rPr>
          <w:sz w:val="22"/>
        </w:rPr>
        <w:t>Biyoterörizmi</w:t>
      </w:r>
      <w:proofErr w:type="spellEnd"/>
      <w:r w:rsidR="003E56AF" w:rsidRPr="00D464D4">
        <w:rPr>
          <w:sz w:val="22"/>
        </w:rPr>
        <w:t xml:space="preserve"> ulusal ve uluslararası güvenlik gündemi açısından önemli kılan en çarpıcı boyut ise olası bir vakada hayat kayıplarının artarak ve katlanarak devam etmesidir. </w:t>
      </w:r>
      <w:r w:rsidR="00D367D9" w:rsidRPr="00D464D4">
        <w:rPr>
          <w:sz w:val="22"/>
        </w:rPr>
        <w:t xml:space="preserve">Bu </w:t>
      </w:r>
      <w:r w:rsidR="008460D2" w:rsidRPr="00D464D4">
        <w:rPr>
          <w:sz w:val="22"/>
        </w:rPr>
        <w:t>doğrultuda</w:t>
      </w:r>
      <w:r w:rsidR="00D367D9" w:rsidRPr="00D464D4">
        <w:rPr>
          <w:sz w:val="22"/>
        </w:rPr>
        <w:t xml:space="preserve"> çalışmanın ana odağı küresel sağlık güvenliği konusundaki artan salgın endişeleri</w:t>
      </w:r>
      <w:r w:rsidR="008460D2" w:rsidRPr="00D464D4">
        <w:rPr>
          <w:sz w:val="22"/>
        </w:rPr>
        <w:t>nin değerlendirilmesi</w:t>
      </w:r>
      <w:r w:rsidR="00D367D9" w:rsidRPr="00D464D4">
        <w:rPr>
          <w:sz w:val="22"/>
        </w:rPr>
        <w:t xml:space="preserve"> ve </w:t>
      </w:r>
      <w:r w:rsidR="008460D2" w:rsidRPr="00D464D4">
        <w:rPr>
          <w:sz w:val="22"/>
        </w:rPr>
        <w:t xml:space="preserve">herhangi bir </w:t>
      </w:r>
      <w:r w:rsidR="00D367D9" w:rsidRPr="00D464D4">
        <w:rPr>
          <w:sz w:val="22"/>
        </w:rPr>
        <w:t>kasıtlı salgın saldırısına yanıt verebilme</w:t>
      </w:r>
      <w:r w:rsidR="008460D2" w:rsidRPr="00D464D4">
        <w:rPr>
          <w:sz w:val="22"/>
        </w:rPr>
        <w:t xml:space="preserve"> kapasitesinin geliştirilmesi hususlarıdır</w:t>
      </w:r>
      <w:r w:rsidR="00D367D9" w:rsidRPr="00D464D4">
        <w:rPr>
          <w:sz w:val="22"/>
        </w:rPr>
        <w:t>.</w:t>
      </w:r>
      <w:r w:rsidR="00E0533D">
        <w:rPr>
          <w:sz w:val="22"/>
        </w:rPr>
        <w:t xml:space="preserve"> </w:t>
      </w:r>
      <w:proofErr w:type="spellStart"/>
      <w:r w:rsidR="00E0533D">
        <w:rPr>
          <w:sz w:val="22"/>
        </w:rPr>
        <w:t>Biyo</w:t>
      </w:r>
      <w:r w:rsidR="004D44C0" w:rsidRPr="00D464D4">
        <w:rPr>
          <w:sz w:val="22"/>
        </w:rPr>
        <w:t>terör</w:t>
      </w:r>
      <w:proofErr w:type="spellEnd"/>
      <w:r w:rsidR="004D44C0" w:rsidRPr="00D464D4">
        <w:rPr>
          <w:sz w:val="22"/>
        </w:rPr>
        <w:t xml:space="preserve"> saldırıları ancak ulusal ve küresel halk sağlığı mekanizmalarının güçlendirilmesi ve ortak bir anlayışla savılabilir.</w:t>
      </w:r>
      <w:r w:rsidR="008460D2" w:rsidRPr="00D464D4">
        <w:rPr>
          <w:sz w:val="22"/>
        </w:rPr>
        <w:t xml:space="preserve"> </w:t>
      </w:r>
      <w:r w:rsidR="007C6A1A" w:rsidRPr="00D464D4">
        <w:rPr>
          <w:sz w:val="22"/>
        </w:rPr>
        <w:t>Bu kapsamda ç</w:t>
      </w:r>
      <w:r w:rsidR="00D367D9" w:rsidRPr="00D464D4">
        <w:rPr>
          <w:sz w:val="22"/>
        </w:rPr>
        <w:t>alışma</w:t>
      </w:r>
      <w:r w:rsidR="007C6A1A" w:rsidRPr="00D464D4">
        <w:rPr>
          <w:sz w:val="22"/>
        </w:rPr>
        <w:t>da ifade edilen küresel güvenlik çabalarına</w:t>
      </w:r>
      <w:r w:rsidR="00D367D9" w:rsidRPr="00D464D4">
        <w:rPr>
          <w:sz w:val="22"/>
        </w:rPr>
        <w:t xml:space="preserve"> ek olarak sunulan öneriler aşağıda belirtilmiştir:</w:t>
      </w:r>
    </w:p>
    <w:p w:rsidR="00321B4F" w:rsidRPr="00D464D4" w:rsidRDefault="00E0533D" w:rsidP="004E7EBF">
      <w:pPr>
        <w:pStyle w:val="ListeParagraf"/>
        <w:numPr>
          <w:ilvl w:val="0"/>
          <w:numId w:val="4"/>
        </w:numPr>
        <w:spacing w:before="120" w:after="120" w:line="240" w:lineRule="auto"/>
        <w:rPr>
          <w:sz w:val="22"/>
        </w:rPr>
      </w:pPr>
      <w:proofErr w:type="spellStart"/>
      <w:r>
        <w:rPr>
          <w:sz w:val="22"/>
        </w:rPr>
        <w:t>Biyo</w:t>
      </w:r>
      <w:r w:rsidR="007C6A1A" w:rsidRPr="00D464D4">
        <w:rPr>
          <w:sz w:val="22"/>
        </w:rPr>
        <w:t>terör</w:t>
      </w:r>
      <w:proofErr w:type="spellEnd"/>
      <w:r w:rsidR="007C6A1A" w:rsidRPr="00D464D4">
        <w:rPr>
          <w:sz w:val="22"/>
        </w:rPr>
        <w:t xml:space="preserve"> saldırıları ve </w:t>
      </w:r>
      <w:r w:rsidR="00321B4F" w:rsidRPr="00D464D4">
        <w:rPr>
          <w:sz w:val="22"/>
        </w:rPr>
        <w:t>bulaşıcı hastalık tehdidine karşı</w:t>
      </w:r>
      <w:r w:rsidR="007C6A1A" w:rsidRPr="00D464D4">
        <w:rPr>
          <w:sz w:val="22"/>
        </w:rPr>
        <w:t xml:space="preserve"> </w:t>
      </w:r>
      <w:r w:rsidR="00052DB0" w:rsidRPr="00D464D4">
        <w:rPr>
          <w:sz w:val="22"/>
        </w:rPr>
        <w:t>alınabilecek en iyi önlem hızlı</w:t>
      </w:r>
      <w:r w:rsidR="00321B4F" w:rsidRPr="00D464D4">
        <w:rPr>
          <w:sz w:val="22"/>
        </w:rPr>
        <w:t xml:space="preserve"> yanıt</w:t>
      </w:r>
      <w:r w:rsidR="00052DB0" w:rsidRPr="00D464D4">
        <w:rPr>
          <w:sz w:val="22"/>
        </w:rPr>
        <w:t xml:space="preserve"> ve güçlü bir istihbarattır. </w:t>
      </w:r>
      <w:r w:rsidR="00321B4F" w:rsidRPr="00D464D4">
        <w:rPr>
          <w:sz w:val="22"/>
        </w:rPr>
        <w:t xml:space="preserve">Bu istihbarat </w:t>
      </w:r>
      <w:r w:rsidR="008460D2" w:rsidRPr="00D464D4">
        <w:rPr>
          <w:sz w:val="22"/>
        </w:rPr>
        <w:t xml:space="preserve">ise </w:t>
      </w:r>
      <w:r w:rsidR="00321B4F" w:rsidRPr="00D464D4">
        <w:rPr>
          <w:sz w:val="22"/>
        </w:rPr>
        <w:t xml:space="preserve">dünyayı </w:t>
      </w:r>
      <w:r w:rsidR="002F295B" w:rsidRPr="00D464D4">
        <w:rPr>
          <w:sz w:val="22"/>
        </w:rPr>
        <w:t>salgın durumlarındaki</w:t>
      </w:r>
      <w:r w:rsidR="00321B4F" w:rsidRPr="00D464D4">
        <w:rPr>
          <w:sz w:val="22"/>
        </w:rPr>
        <w:t xml:space="preserve"> değişiklikler konusunda uyaran</w:t>
      </w:r>
      <w:r w:rsidR="002F295B" w:rsidRPr="00D464D4">
        <w:rPr>
          <w:sz w:val="22"/>
        </w:rPr>
        <w:t>,</w:t>
      </w:r>
      <w:r w:rsidR="00321B4F" w:rsidRPr="00D464D4">
        <w:rPr>
          <w:sz w:val="22"/>
        </w:rPr>
        <w:t xml:space="preserve"> yüksek hassasiyete sahip küresel gözetim sistemleri </w:t>
      </w:r>
      <w:r w:rsidR="002F295B" w:rsidRPr="00D464D4">
        <w:rPr>
          <w:sz w:val="22"/>
        </w:rPr>
        <w:t xml:space="preserve">ile sağlanmalıdır. Gerçek zamanlı olarak çalışan küresel bir gözetim sistemi, hızlı ve rasyonel tepkileri kolaylaştırmaktadır. </w:t>
      </w:r>
      <w:r w:rsidR="00321B4F" w:rsidRPr="00D464D4">
        <w:rPr>
          <w:sz w:val="22"/>
        </w:rPr>
        <w:t>Bu kapsamda rutin gözetim/kontrol sistem</w:t>
      </w:r>
      <w:r>
        <w:rPr>
          <w:sz w:val="22"/>
        </w:rPr>
        <w:t>leri biyo</w:t>
      </w:r>
      <w:r w:rsidR="002F295B" w:rsidRPr="00D464D4">
        <w:rPr>
          <w:sz w:val="22"/>
        </w:rPr>
        <w:t>terörist saldırıları</w:t>
      </w:r>
      <w:r w:rsidR="00321B4F" w:rsidRPr="00D464D4">
        <w:rPr>
          <w:sz w:val="22"/>
        </w:rPr>
        <w:t xml:space="preserve"> </w:t>
      </w:r>
      <w:r w:rsidR="00597E88" w:rsidRPr="00D464D4">
        <w:rPr>
          <w:sz w:val="22"/>
        </w:rPr>
        <w:t>tespit edilerek</w:t>
      </w:r>
      <w:r w:rsidR="00321B4F" w:rsidRPr="00D464D4">
        <w:rPr>
          <w:sz w:val="22"/>
        </w:rPr>
        <w:t xml:space="preserve"> araştırm</w:t>
      </w:r>
      <w:r w:rsidR="002F295B" w:rsidRPr="00D464D4">
        <w:rPr>
          <w:sz w:val="22"/>
        </w:rPr>
        <w:t>a kapasit</w:t>
      </w:r>
      <w:r w:rsidR="00597E88" w:rsidRPr="00D464D4">
        <w:rPr>
          <w:sz w:val="22"/>
        </w:rPr>
        <w:t>esi sürekli</w:t>
      </w:r>
      <w:r w:rsidR="002F295B" w:rsidRPr="00D464D4">
        <w:rPr>
          <w:sz w:val="22"/>
        </w:rPr>
        <w:t xml:space="preserve"> artırılmalıdır</w:t>
      </w:r>
      <w:r w:rsidR="00321B4F" w:rsidRPr="00D464D4">
        <w:rPr>
          <w:sz w:val="22"/>
        </w:rPr>
        <w:t xml:space="preserve">. </w:t>
      </w:r>
    </w:p>
    <w:p w:rsidR="00597E88" w:rsidRPr="00D464D4" w:rsidRDefault="00597E88" w:rsidP="004E7EBF">
      <w:pPr>
        <w:pStyle w:val="ListeParagraf"/>
        <w:numPr>
          <w:ilvl w:val="0"/>
          <w:numId w:val="4"/>
        </w:numPr>
        <w:spacing w:before="120" w:after="120" w:line="240" w:lineRule="auto"/>
        <w:rPr>
          <w:sz w:val="22"/>
        </w:rPr>
      </w:pPr>
      <w:r w:rsidRPr="00D464D4">
        <w:rPr>
          <w:sz w:val="22"/>
        </w:rPr>
        <w:t>İlgili ağlar ve küresel gözetim sistemleri</w:t>
      </w:r>
      <w:r w:rsidR="008460D2" w:rsidRPr="00D464D4">
        <w:rPr>
          <w:sz w:val="22"/>
        </w:rPr>
        <w:t>nin</w:t>
      </w:r>
      <w:r w:rsidRPr="00D464D4">
        <w:rPr>
          <w:sz w:val="22"/>
        </w:rPr>
        <w:t xml:space="preserve"> herhangi bir acil durum vakasını yerel seviyeden ulusal seviyeye ve sonrasında Dünya Sağlık Örg</w:t>
      </w:r>
      <w:r w:rsidR="008460D2" w:rsidRPr="00D464D4">
        <w:rPr>
          <w:sz w:val="22"/>
        </w:rPr>
        <w:t>ütüne kadar raporlayabildiği görülmektedir</w:t>
      </w:r>
      <w:r w:rsidRPr="00D464D4">
        <w:rPr>
          <w:sz w:val="22"/>
        </w:rPr>
        <w:t>. Ancak bazı salgınlar elektronik iletişimin ulaşamayacağı çok uzak kırsal alanlarda meydana gelebilmektedir. Bu kırsal alanlar ile iletişimin sağlanması ve bu alanları küresel gözetim sistemlerine dahil etmek adına çalışmalar yapılmalıdır.</w:t>
      </w:r>
    </w:p>
    <w:p w:rsidR="00321B4F" w:rsidRPr="00D464D4" w:rsidRDefault="00321B4F" w:rsidP="004E7EBF">
      <w:pPr>
        <w:pStyle w:val="ListeParagraf"/>
        <w:numPr>
          <w:ilvl w:val="0"/>
          <w:numId w:val="4"/>
        </w:numPr>
        <w:spacing w:before="120" w:after="120" w:line="240" w:lineRule="auto"/>
        <w:rPr>
          <w:sz w:val="22"/>
        </w:rPr>
      </w:pPr>
      <w:r w:rsidRPr="00D464D4">
        <w:rPr>
          <w:sz w:val="22"/>
        </w:rPr>
        <w:t xml:space="preserve">Bilinen patojenlerin doğal davranışları hakkındaki geçmiş verilerden hareketle alışılmadık veya şüpheli </w:t>
      </w:r>
      <w:r w:rsidR="002F295B" w:rsidRPr="00D464D4">
        <w:rPr>
          <w:sz w:val="22"/>
        </w:rPr>
        <w:t>vakalar</w:t>
      </w:r>
      <w:r w:rsidR="00E0533D">
        <w:rPr>
          <w:sz w:val="22"/>
        </w:rPr>
        <w:t xml:space="preserve"> analiz edilerek biyo</w:t>
      </w:r>
      <w:r w:rsidRPr="00D464D4">
        <w:rPr>
          <w:sz w:val="22"/>
        </w:rPr>
        <w:t>terörist saldırı</w:t>
      </w:r>
      <w:r w:rsidR="002F295B" w:rsidRPr="00D464D4">
        <w:rPr>
          <w:sz w:val="22"/>
        </w:rPr>
        <w:t xml:space="preserve"> olup olmadığı tespit edilmeli; küresel</w:t>
      </w:r>
      <w:r w:rsidRPr="00D464D4">
        <w:rPr>
          <w:sz w:val="22"/>
        </w:rPr>
        <w:t xml:space="preserve"> düzeydeki olağan salgın vakalarının neredeyse her gün gerçekleşmesinden hareketle küresel gözetim mekanizmalarındaki olağan veriler ile olağanüstü durumlardaki veril</w:t>
      </w:r>
      <w:r w:rsidR="002F295B" w:rsidRPr="00D464D4">
        <w:rPr>
          <w:sz w:val="22"/>
        </w:rPr>
        <w:t xml:space="preserve">er </w:t>
      </w:r>
      <w:r w:rsidR="0016133E" w:rsidRPr="00D464D4">
        <w:rPr>
          <w:sz w:val="22"/>
        </w:rPr>
        <w:t xml:space="preserve">sıklıkla </w:t>
      </w:r>
      <w:r w:rsidR="002F295B" w:rsidRPr="00D464D4">
        <w:rPr>
          <w:sz w:val="22"/>
        </w:rPr>
        <w:t>karşılaştırılmalıdır.</w:t>
      </w:r>
    </w:p>
    <w:p w:rsidR="00D010DA" w:rsidRPr="00D464D4" w:rsidRDefault="00D010DA" w:rsidP="004E7EBF">
      <w:pPr>
        <w:pStyle w:val="ListeParagraf"/>
        <w:numPr>
          <w:ilvl w:val="0"/>
          <w:numId w:val="4"/>
        </w:numPr>
        <w:spacing w:before="120" w:after="120" w:line="240" w:lineRule="auto"/>
        <w:rPr>
          <w:sz w:val="22"/>
        </w:rPr>
      </w:pPr>
      <w:r w:rsidRPr="00D464D4">
        <w:rPr>
          <w:sz w:val="22"/>
        </w:rPr>
        <w:t>Olağan salgın vakalarının tespiti ve kontrolünde halk sağlığı uzmanlarının payı büyüktür. Bu kapsamda geçmişteki olağan salgın vakalarında ilgili süreçleri başarılı bir şekilde yöneten halk sağlığı uzmanları kürese</w:t>
      </w:r>
      <w:r w:rsidR="0016133E" w:rsidRPr="00D464D4">
        <w:rPr>
          <w:sz w:val="22"/>
        </w:rPr>
        <w:t>l bir sistemde buluşturulmalıdır</w:t>
      </w:r>
      <w:r w:rsidRPr="00D464D4">
        <w:rPr>
          <w:sz w:val="22"/>
        </w:rPr>
        <w:t>.</w:t>
      </w:r>
    </w:p>
    <w:p w:rsidR="00597E88" w:rsidRPr="00D464D4" w:rsidRDefault="00597E88" w:rsidP="004E7EBF">
      <w:pPr>
        <w:pStyle w:val="ListeParagraf"/>
        <w:numPr>
          <w:ilvl w:val="0"/>
          <w:numId w:val="4"/>
        </w:numPr>
        <w:spacing w:line="240" w:lineRule="auto"/>
        <w:rPr>
          <w:sz w:val="22"/>
        </w:rPr>
      </w:pPr>
      <w:r w:rsidRPr="00D464D4">
        <w:rPr>
          <w:sz w:val="22"/>
        </w:rPr>
        <w:t xml:space="preserve">Salgınların ani artış kapasitesinden hareketle yetersiz aşı tedariki ve pahalı ilaçlar gibi olumsuzlukların giderilmesi adına ortak bir anlayışla gerekli işbirlikleri sağlanmalıdır. </w:t>
      </w:r>
    </w:p>
    <w:p w:rsidR="003A6421" w:rsidRPr="00D464D4" w:rsidRDefault="00E0533D" w:rsidP="004E7EBF">
      <w:pPr>
        <w:pStyle w:val="ListeParagraf"/>
        <w:numPr>
          <w:ilvl w:val="0"/>
          <w:numId w:val="4"/>
        </w:numPr>
        <w:spacing w:before="120" w:after="120" w:line="240" w:lineRule="auto"/>
        <w:rPr>
          <w:sz w:val="22"/>
        </w:rPr>
      </w:pPr>
      <w:r>
        <w:rPr>
          <w:sz w:val="22"/>
        </w:rPr>
        <w:t>Gelişmiş ülkelerdeki biyo</w:t>
      </w:r>
      <w:r w:rsidR="007566A9" w:rsidRPr="00D464D4">
        <w:rPr>
          <w:sz w:val="22"/>
        </w:rPr>
        <w:t xml:space="preserve">terörist saldırı ihtimali ile tetiklenen acil durum süreci, bu salgın hastalıklarla mücadele etmeye alışmış gelişmekte olan ülkeler için sıradan bir süreçtir. Bu kapsamda gelişmiş ülkelerin zengin kaynakları </w:t>
      </w:r>
      <w:r w:rsidR="0016133E" w:rsidRPr="00D464D4">
        <w:rPr>
          <w:sz w:val="22"/>
        </w:rPr>
        <w:t>ile gelişmekte olan</w:t>
      </w:r>
      <w:r w:rsidR="007566A9" w:rsidRPr="00D464D4">
        <w:rPr>
          <w:sz w:val="22"/>
        </w:rPr>
        <w:t xml:space="preserve"> ülkelerin süreç deneyimleri ortak bir zeminde küresel halk sağlığı güvenliğine hizmet etmeli ve bu </w:t>
      </w:r>
      <w:r w:rsidR="002F295B" w:rsidRPr="00D464D4">
        <w:rPr>
          <w:sz w:val="22"/>
        </w:rPr>
        <w:t>kapsamda</w:t>
      </w:r>
      <w:r w:rsidR="007566A9" w:rsidRPr="00D464D4">
        <w:rPr>
          <w:sz w:val="22"/>
        </w:rPr>
        <w:t xml:space="preserve"> koordinasyon sağlanarak </w:t>
      </w:r>
      <w:r w:rsidR="002F295B" w:rsidRPr="00D464D4">
        <w:rPr>
          <w:sz w:val="22"/>
        </w:rPr>
        <w:t>ilgili çalışmalar yapılmalıdır.</w:t>
      </w:r>
      <w:r w:rsidR="00382ECF" w:rsidRPr="00D464D4">
        <w:rPr>
          <w:sz w:val="22"/>
        </w:rPr>
        <w:tab/>
      </w:r>
    </w:p>
    <w:p w:rsidR="007C6A1A" w:rsidRPr="00D464D4" w:rsidRDefault="003A6421" w:rsidP="004E7EBF">
      <w:pPr>
        <w:spacing w:before="120" w:after="120" w:line="240" w:lineRule="auto"/>
        <w:rPr>
          <w:sz w:val="22"/>
        </w:rPr>
      </w:pPr>
      <w:r w:rsidRPr="00D464D4">
        <w:rPr>
          <w:sz w:val="22"/>
        </w:rPr>
        <w:tab/>
      </w:r>
      <w:r w:rsidR="00713E90" w:rsidRPr="00D464D4">
        <w:rPr>
          <w:sz w:val="22"/>
        </w:rPr>
        <w:t xml:space="preserve">Sonuç olarak ulusal ve küresel güvenliğin sağlanması ancak </w:t>
      </w:r>
      <w:r w:rsidR="005A2136" w:rsidRPr="00D464D4">
        <w:rPr>
          <w:sz w:val="22"/>
        </w:rPr>
        <w:t>ortaya çıkan salgın hastalıkların hızlı bir şekilde tespit edilmesi ve dünyayı güçlendirilmiş bir küresel h</w:t>
      </w:r>
      <w:r w:rsidR="00E0533D">
        <w:rPr>
          <w:sz w:val="22"/>
        </w:rPr>
        <w:t>alk sağlığı kapasitesi ile biyo</w:t>
      </w:r>
      <w:r w:rsidR="005A2136" w:rsidRPr="00D464D4">
        <w:rPr>
          <w:sz w:val="22"/>
        </w:rPr>
        <w:t xml:space="preserve">terörist saldırı tehditlerinden korumakla </w:t>
      </w:r>
      <w:r w:rsidR="00713E90" w:rsidRPr="00D464D4">
        <w:rPr>
          <w:sz w:val="22"/>
        </w:rPr>
        <w:t>mümkündür.</w:t>
      </w:r>
    </w:p>
    <w:p w:rsidR="00546418" w:rsidRDefault="00546418" w:rsidP="006E08BA">
      <w:pPr>
        <w:pStyle w:val="Balk1"/>
        <w:rPr>
          <w:sz w:val="22"/>
          <w:szCs w:val="22"/>
        </w:rPr>
      </w:pPr>
    </w:p>
    <w:p w:rsidR="00546418" w:rsidRDefault="00546418" w:rsidP="00546418">
      <w:pPr>
        <w:rPr>
          <w:rFonts w:eastAsiaTheme="majorEastAsia" w:cstheme="majorBidi"/>
          <w:color w:val="000000" w:themeColor="text1"/>
        </w:rPr>
      </w:pPr>
      <w:r>
        <w:br w:type="page"/>
      </w:r>
    </w:p>
    <w:p w:rsidR="00CC2D6E" w:rsidRPr="00D464D4" w:rsidRDefault="00CC2D6E" w:rsidP="008F364F">
      <w:pPr>
        <w:pStyle w:val="Balk1"/>
        <w:spacing w:before="120" w:after="120"/>
        <w:rPr>
          <w:sz w:val="22"/>
          <w:szCs w:val="22"/>
        </w:rPr>
      </w:pPr>
      <w:r w:rsidRPr="00D464D4">
        <w:rPr>
          <w:sz w:val="22"/>
          <w:szCs w:val="22"/>
        </w:rPr>
        <w:lastRenderedPageBreak/>
        <w:t>KAYNAKÇA</w:t>
      </w:r>
      <w:r w:rsidR="00A53DBD">
        <w:rPr>
          <w:sz w:val="22"/>
          <w:szCs w:val="22"/>
        </w:rPr>
        <w:t xml:space="preserve"> </w:t>
      </w:r>
    </w:p>
    <w:p w:rsidR="002A6B4C" w:rsidRPr="008F364F" w:rsidRDefault="003F3B99" w:rsidP="00B654EA">
      <w:pPr>
        <w:spacing w:before="120" w:after="120" w:line="240" w:lineRule="auto"/>
        <w:ind w:left="709" w:hanging="709"/>
        <w:rPr>
          <w:sz w:val="22"/>
        </w:rPr>
      </w:pPr>
      <w:r w:rsidRPr="008F364F">
        <w:rPr>
          <w:sz w:val="22"/>
        </w:rPr>
        <w:t>Cash</w:t>
      </w:r>
      <w:r w:rsidR="003A133D" w:rsidRPr="008F364F">
        <w:rPr>
          <w:sz w:val="22"/>
        </w:rPr>
        <w:t xml:space="preserve">, Richard ve </w:t>
      </w:r>
      <w:proofErr w:type="spellStart"/>
      <w:r w:rsidR="003A133D" w:rsidRPr="008F364F">
        <w:rPr>
          <w:sz w:val="22"/>
        </w:rPr>
        <w:t>Narasimhan</w:t>
      </w:r>
      <w:proofErr w:type="spellEnd"/>
      <w:r w:rsidR="003A133D" w:rsidRPr="008F364F">
        <w:rPr>
          <w:sz w:val="22"/>
        </w:rPr>
        <w:t xml:space="preserve">, </w:t>
      </w:r>
      <w:proofErr w:type="spellStart"/>
      <w:r w:rsidR="003A133D" w:rsidRPr="008F364F">
        <w:rPr>
          <w:sz w:val="22"/>
        </w:rPr>
        <w:t>Vasant</w:t>
      </w:r>
      <w:proofErr w:type="spellEnd"/>
      <w:r w:rsidR="003A133D" w:rsidRPr="008F364F">
        <w:rPr>
          <w:sz w:val="22"/>
        </w:rPr>
        <w:t xml:space="preserve"> </w:t>
      </w:r>
      <w:r w:rsidR="00990226" w:rsidRPr="008F364F">
        <w:rPr>
          <w:sz w:val="22"/>
        </w:rPr>
        <w:t>(2000).</w:t>
      </w:r>
      <w:r w:rsidR="006175A8" w:rsidRPr="008F364F">
        <w:rPr>
          <w:sz w:val="22"/>
        </w:rPr>
        <w:t xml:space="preserve"> </w:t>
      </w:r>
      <w:r w:rsidR="003A133D" w:rsidRPr="008F364F">
        <w:rPr>
          <w:sz w:val="22"/>
        </w:rPr>
        <w:t>“</w:t>
      </w:r>
      <w:proofErr w:type="spellStart"/>
      <w:r w:rsidR="006175A8" w:rsidRPr="008F364F">
        <w:rPr>
          <w:sz w:val="22"/>
        </w:rPr>
        <w:t>Impediments</w:t>
      </w:r>
      <w:proofErr w:type="spellEnd"/>
      <w:r w:rsidR="006175A8" w:rsidRPr="008F364F">
        <w:rPr>
          <w:sz w:val="22"/>
        </w:rPr>
        <w:t xml:space="preserve"> </w:t>
      </w:r>
      <w:proofErr w:type="spellStart"/>
      <w:r w:rsidR="006175A8" w:rsidRPr="008F364F">
        <w:rPr>
          <w:sz w:val="22"/>
        </w:rPr>
        <w:t>to</w:t>
      </w:r>
      <w:proofErr w:type="spellEnd"/>
      <w:r w:rsidR="006175A8" w:rsidRPr="008F364F">
        <w:rPr>
          <w:sz w:val="22"/>
        </w:rPr>
        <w:t xml:space="preserve"> Global </w:t>
      </w:r>
      <w:proofErr w:type="spellStart"/>
      <w:r w:rsidR="006175A8" w:rsidRPr="008F364F">
        <w:rPr>
          <w:sz w:val="22"/>
        </w:rPr>
        <w:t>Surveillance</w:t>
      </w:r>
      <w:proofErr w:type="spellEnd"/>
      <w:r w:rsidR="006175A8" w:rsidRPr="008F364F">
        <w:rPr>
          <w:sz w:val="22"/>
        </w:rPr>
        <w:t xml:space="preserve"> of </w:t>
      </w:r>
      <w:proofErr w:type="spellStart"/>
      <w:r w:rsidR="006175A8" w:rsidRPr="008F364F">
        <w:rPr>
          <w:sz w:val="22"/>
        </w:rPr>
        <w:t>I</w:t>
      </w:r>
      <w:r w:rsidR="002A6B4C" w:rsidRPr="008F364F">
        <w:rPr>
          <w:sz w:val="22"/>
        </w:rPr>
        <w:t>nfe</w:t>
      </w:r>
      <w:r w:rsidR="006175A8" w:rsidRPr="008F364F">
        <w:rPr>
          <w:sz w:val="22"/>
        </w:rPr>
        <w:t>ctious</w:t>
      </w:r>
      <w:proofErr w:type="spellEnd"/>
      <w:r w:rsidR="006175A8" w:rsidRPr="008F364F">
        <w:rPr>
          <w:sz w:val="22"/>
        </w:rPr>
        <w:t xml:space="preserve"> </w:t>
      </w:r>
      <w:proofErr w:type="spellStart"/>
      <w:r w:rsidR="006175A8" w:rsidRPr="008F364F">
        <w:rPr>
          <w:sz w:val="22"/>
        </w:rPr>
        <w:t>Diseases</w:t>
      </w:r>
      <w:proofErr w:type="spellEnd"/>
      <w:r w:rsidR="006175A8" w:rsidRPr="008F364F">
        <w:rPr>
          <w:sz w:val="22"/>
        </w:rPr>
        <w:t xml:space="preserve">: </w:t>
      </w:r>
      <w:proofErr w:type="spellStart"/>
      <w:r w:rsidR="006175A8" w:rsidRPr="008F364F">
        <w:rPr>
          <w:sz w:val="22"/>
        </w:rPr>
        <w:t>Consequences</w:t>
      </w:r>
      <w:proofErr w:type="spellEnd"/>
      <w:r w:rsidR="006175A8" w:rsidRPr="008F364F">
        <w:rPr>
          <w:sz w:val="22"/>
        </w:rPr>
        <w:t xml:space="preserve"> of Ope</w:t>
      </w:r>
      <w:r w:rsidR="00990226" w:rsidRPr="008F364F">
        <w:rPr>
          <w:sz w:val="22"/>
        </w:rPr>
        <w:t xml:space="preserve">n </w:t>
      </w:r>
      <w:proofErr w:type="spellStart"/>
      <w:r w:rsidR="00990226" w:rsidRPr="008F364F">
        <w:rPr>
          <w:sz w:val="22"/>
        </w:rPr>
        <w:t>Reporting</w:t>
      </w:r>
      <w:proofErr w:type="spellEnd"/>
      <w:r w:rsidR="00990226" w:rsidRPr="008F364F">
        <w:rPr>
          <w:sz w:val="22"/>
        </w:rPr>
        <w:t xml:space="preserve"> in A Global </w:t>
      </w:r>
      <w:proofErr w:type="spellStart"/>
      <w:r w:rsidR="00990226" w:rsidRPr="008F364F">
        <w:rPr>
          <w:sz w:val="22"/>
        </w:rPr>
        <w:t>Economy</w:t>
      </w:r>
      <w:proofErr w:type="spellEnd"/>
      <w:r w:rsidR="003A133D" w:rsidRPr="008F364F">
        <w:rPr>
          <w:sz w:val="22"/>
        </w:rPr>
        <w:t>”</w:t>
      </w:r>
      <w:r w:rsidR="00990226" w:rsidRPr="008F364F">
        <w:rPr>
          <w:sz w:val="22"/>
        </w:rPr>
        <w:t>.</w:t>
      </w:r>
      <w:r w:rsidR="002A6B4C" w:rsidRPr="008F364F">
        <w:rPr>
          <w:sz w:val="22"/>
        </w:rPr>
        <w:t xml:space="preserve"> </w:t>
      </w:r>
      <w:proofErr w:type="spellStart"/>
      <w:r w:rsidR="002A6B4C" w:rsidRPr="008F364F">
        <w:rPr>
          <w:sz w:val="22"/>
        </w:rPr>
        <w:t>Bulletin</w:t>
      </w:r>
      <w:proofErr w:type="spellEnd"/>
      <w:r w:rsidR="002A6B4C" w:rsidRPr="008F364F">
        <w:rPr>
          <w:sz w:val="22"/>
        </w:rPr>
        <w:t xml:space="preserve"> of </w:t>
      </w:r>
      <w:proofErr w:type="spellStart"/>
      <w:r w:rsidR="002A6B4C" w:rsidRPr="008F364F">
        <w:rPr>
          <w:sz w:val="22"/>
        </w:rPr>
        <w:t>the</w:t>
      </w:r>
      <w:proofErr w:type="spellEnd"/>
      <w:r w:rsidR="002A6B4C" w:rsidRPr="008F364F">
        <w:rPr>
          <w:sz w:val="22"/>
        </w:rPr>
        <w:t xml:space="preserve"> World </w:t>
      </w:r>
      <w:proofErr w:type="spellStart"/>
      <w:r w:rsidR="002A6B4C" w:rsidRPr="008F364F">
        <w:rPr>
          <w:sz w:val="22"/>
        </w:rPr>
        <w:t>Health</w:t>
      </w:r>
      <w:proofErr w:type="spellEnd"/>
      <w:r w:rsidR="002A6B4C" w:rsidRPr="008F364F">
        <w:rPr>
          <w:sz w:val="22"/>
        </w:rPr>
        <w:t xml:space="preserve"> </w:t>
      </w:r>
      <w:proofErr w:type="spellStart"/>
      <w:r w:rsidR="002A6B4C" w:rsidRPr="008F364F">
        <w:rPr>
          <w:sz w:val="22"/>
        </w:rPr>
        <w:t>Organization</w:t>
      </w:r>
      <w:proofErr w:type="spellEnd"/>
      <w:r w:rsidR="003A133D" w:rsidRPr="008F364F">
        <w:rPr>
          <w:sz w:val="22"/>
        </w:rPr>
        <w:t>, 78:</w:t>
      </w:r>
      <w:r w:rsidR="002A6B4C" w:rsidRPr="008F364F">
        <w:rPr>
          <w:sz w:val="22"/>
        </w:rPr>
        <w:t xml:space="preserve"> 1358-1367.</w:t>
      </w:r>
    </w:p>
    <w:p w:rsidR="002A6B4C" w:rsidRPr="008F364F" w:rsidRDefault="002A6B4C" w:rsidP="00B654EA">
      <w:pPr>
        <w:spacing w:before="120" w:after="120" w:line="240" w:lineRule="auto"/>
        <w:ind w:left="709" w:hanging="709"/>
        <w:rPr>
          <w:sz w:val="22"/>
        </w:rPr>
      </w:pPr>
      <w:r w:rsidRPr="008F364F">
        <w:rPr>
          <w:sz w:val="22"/>
        </w:rPr>
        <w:t xml:space="preserve">Center </w:t>
      </w:r>
      <w:proofErr w:type="spellStart"/>
      <w:r w:rsidRPr="008F364F">
        <w:rPr>
          <w:sz w:val="22"/>
        </w:rPr>
        <w:t>for</w:t>
      </w:r>
      <w:proofErr w:type="spellEnd"/>
      <w:r w:rsidRPr="008F364F">
        <w:rPr>
          <w:sz w:val="22"/>
        </w:rPr>
        <w:t xml:space="preserve"> </w:t>
      </w:r>
      <w:proofErr w:type="spellStart"/>
      <w:r w:rsidRPr="008F364F">
        <w:rPr>
          <w:sz w:val="22"/>
        </w:rPr>
        <w:t>Health</w:t>
      </w:r>
      <w:proofErr w:type="spellEnd"/>
      <w:r w:rsidRPr="008F364F">
        <w:rPr>
          <w:sz w:val="22"/>
        </w:rPr>
        <w:t xml:space="preserve"> Security</w:t>
      </w:r>
      <w:r w:rsidR="00990226" w:rsidRPr="008F364F">
        <w:rPr>
          <w:sz w:val="22"/>
        </w:rPr>
        <w:t>,</w:t>
      </w:r>
      <w:r w:rsidRPr="008F364F">
        <w:rPr>
          <w:sz w:val="22"/>
        </w:rPr>
        <w:t xml:space="preserve"> (2001), </w:t>
      </w:r>
      <w:r w:rsidR="00990226" w:rsidRPr="008F364F">
        <w:rPr>
          <w:sz w:val="22"/>
        </w:rPr>
        <w:t>“</w:t>
      </w:r>
      <w:proofErr w:type="spellStart"/>
      <w:r w:rsidRPr="008F364F">
        <w:rPr>
          <w:sz w:val="22"/>
        </w:rPr>
        <w:t>Hearing</w:t>
      </w:r>
      <w:proofErr w:type="spellEnd"/>
      <w:r w:rsidRPr="008F364F">
        <w:rPr>
          <w:sz w:val="22"/>
        </w:rPr>
        <w:t xml:space="preserve"> on </w:t>
      </w:r>
      <w:proofErr w:type="spellStart"/>
      <w:r w:rsidRPr="008F364F">
        <w:rPr>
          <w:sz w:val="22"/>
        </w:rPr>
        <w:t>the</w:t>
      </w:r>
      <w:proofErr w:type="spellEnd"/>
      <w:r w:rsidRPr="008F364F">
        <w:rPr>
          <w:sz w:val="22"/>
        </w:rPr>
        <w:t xml:space="preserve"> </w:t>
      </w:r>
      <w:proofErr w:type="spellStart"/>
      <w:r w:rsidRPr="008F364F">
        <w:rPr>
          <w:sz w:val="22"/>
        </w:rPr>
        <w:t>Threat</w:t>
      </w:r>
      <w:proofErr w:type="spellEnd"/>
      <w:r w:rsidRPr="008F364F">
        <w:rPr>
          <w:sz w:val="22"/>
        </w:rPr>
        <w:t xml:space="preserve"> of </w:t>
      </w:r>
      <w:proofErr w:type="spellStart"/>
      <w:r w:rsidRPr="008F364F">
        <w:rPr>
          <w:sz w:val="22"/>
        </w:rPr>
        <w:t>Bioterrori</w:t>
      </w:r>
      <w:r w:rsidR="003F3B99" w:rsidRPr="008F364F">
        <w:rPr>
          <w:sz w:val="22"/>
        </w:rPr>
        <w:t>sm</w:t>
      </w:r>
      <w:proofErr w:type="spellEnd"/>
      <w:r w:rsidR="003F3B99" w:rsidRPr="008F364F">
        <w:rPr>
          <w:sz w:val="22"/>
        </w:rPr>
        <w:t xml:space="preserve"> </w:t>
      </w:r>
      <w:proofErr w:type="spellStart"/>
      <w:r w:rsidR="003F3B99" w:rsidRPr="008F364F">
        <w:rPr>
          <w:sz w:val="22"/>
        </w:rPr>
        <w:t>and</w:t>
      </w:r>
      <w:proofErr w:type="spellEnd"/>
      <w:r w:rsidR="003F3B99" w:rsidRPr="008F364F">
        <w:rPr>
          <w:sz w:val="22"/>
        </w:rPr>
        <w:t xml:space="preserve"> </w:t>
      </w:r>
      <w:proofErr w:type="spellStart"/>
      <w:r w:rsidR="003F3B99" w:rsidRPr="008F364F">
        <w:rPr>
          <w:sz w:val="22"/>
        </w:rPr>
        <w:t>the</w:t>
      </w:r>
      <w:proofErr w:type="spellEnd"/>
      <w:r w:rsidR="003F3B99" w:rsidRPr="008F364F">
        <w:rPr>
          <w:sz w:val="22"/>
        </w:rPr>
        <w:t xml:space="preserve"> Spread of </w:t>
      </w:r>
      <w:proofErr w:type="spellStart"/>
      <w:r w:rsidR="003F3B99" w:rsidRPr="008F364F">
        <w:rPr>
          <w:sz w:val="22"/>
        </w:rPr>
        <w:t>Infectious</w:t>
      </w:r>
      <w:proofErr w:type="spellEnd"/>
      <w:r w:rsidR="003F3B99" w:rsidRPr="008F364F">
        <w:rPr>
          <w:sz w:val="22"/>
        </w:rPr>
        <w:t xml:space="preserve"> </w:t>
      </w:r>
      <w:proofErr w:type="spellStart"/>
      <w:r w:rsidRPr="008F364F">
        <w:rPr>
          <w:sz w:val="22"/>
        </w:rPr>
        <w:t>Diseases</w:t>
      </w:r>
      <w:proofErr w:type="spellEnd"/>
      <w:r w:rsidR="00990226" w:rsidRPr="008F364F">
        <w:rPr>
          <w:sz w:val="22"/>
        </w:rPr>
        <w:t>”</w:t>
      </w:r>
      <w:r w:rsidRPr="008F364F">
        <w:rPr>
          <w:sz w:val="22"/>
        </w:rPr>
        <w:t>, http://www.centerforhealthsecurity.org/our-work/testimony-briefings/pdfs/2001-09-05-bt-and-spread-of-id.pdf</w:t>
      </w:r>
      <w:r w:rsidR="003F3B99" w:rsidRPr="008F364F">
        <w:rPr>
          <w:sz w:val="22"/>
        </w:rPr>
        <w:t xml:space="preserve">, </w:t>
      </w:r>
      <w:r w:rsidR="00990226" w:rsidRPr="008F364F">
        <w:rPr>
          <w:sz w:val="22"/>
        </w:rPr>
        <w:t>(</w:t>
      </w:r>
      <w:r w:rsidR="003F3B99" w:rsidRPr="008F364F">
        <w:rPr>
          <w:sz w:val="22"/>
        </w:rPr>
        <w:t>Erişim Tari</w:t>
      </w:r>
      <w:r w:rsidR="00990226" w:rsidRPr="008F364F">
        <w:rPr>
          <w:sz w:val="22"/>
        </w:rPr>
        <w:t>hi: 13.02.2019)</w:t>
      </w:r>
      <w:r w:rsidR="00AF1266">
        <w:rPr>
          <w:sz w:val="22"/>
        </w:rPr>
        <w:t>.</w:t>
      </w:r>
    </w:p>
    <w:p w:rsidR="002A6B4C" w:rsidRPr="008F364F" w:rsidRDefault="002A6B4C" w:rsidP="00B654EA">
      <w:pPr>
        <w:spacing w:before="120" w:after="120" w:line="240" w:lineRule="auto"/>
        <w:ind w:left="709" w:hanging="709"/>
        <w:rPr>
          <w:sz w:val="22"/>
        </w:rPr>
      </w:pPr>
      <w:r w:rsidRPr="008F364F">
        <w:rPr>
          <w:sz w:val="22"/>
        </w:rPr>
        <w:t xml:space="preserve">Center </w:t>
      </w:r>
      <w:proofErr w:type="spellStart"/>
      <w:r w:rsidRPr="008F364F">
        <w:rPr>
          <w:sz w:val="22"/>
        </w:rPr>
        <w:t>for</w:t>
      </w:r>
      <w:proofErr w:type="spellEnd"/>
      <w:r w:rsidRPr="008F364F">
        <w:rPr>
          <w:sz w:val="22"/>
        </w:rPr>
        <w:t xml:space="preserve"> Strategic </w:t>
      </w:r>
      <w:proofErr w:type="spellStart"/>
      <w:r w:rsidRPr="008F364F">
        <w:rPr>
          <w:sz w:val="22"/>
        </w:rPr>
        <w:t>and</w:t>
      </w:r>
      <w:proofErr w:type="spellEnd"/>
      <w:r w:rsidRPr="008F364F">
        <w:rPr>
          <w:sz w:val="22"/>
        </w:rPr>
        <w:t xml:space="preserve"> International </w:t>
      </w:r>
      <w:proofErr w:type="spellStart"/>
      <w:r w:rsidRPr="008F364F">
        <w:rPr>
          <w:sz w:val="22"/>
        </w:rPr>
        <w:t>Studies</w:t>
      </w:r>
      <w:proofErr w:type="spellEnd"/>
      <w:r w:rsidR="00C476CC" w:rsidRPr="008F364F">
        <w:rPr>
          <w:sz w:val="22"/>
        </w:rPr>
        <w:t>,</w:t>
      </w:r>
      <w:r w:rsidRPr="008F364F">
        <w:rPr>
          <w:sz w:val="22"/>
        </w:rPr>
        <w:t xml:space="preserve"> (2000), </w:t>
      </w:r>
      <w:r w:rsidR="00C476CC" w:rsidRPr="008F364F">
        <w:rPr>
          <w:sz w:val="22"/>
        </w:rPr>
        <w:t>“</w:t>
      </w:r>
      <w:proofErr w:type="spellStart"/>
      <w:r w:rsidR="003F3B99" w:rsidRPr="008F364F">
        <w:rPr>
          <w:sz w:val="22"/>
        </w:rPr>
        <w:t>Contagion</w:t>
      </w:r>
      <w:proofErr w:type="spellEnd"/>
      <w:r w:rsidR="003F3B99" w:rsidRPr="008F364F">
        <w:rPr>
          <w:sz w:val="22"/>
        </w:rPr>
        <w:t xml:space="preserve"> </w:t>
      </w:r>
      <w:proofErr w:type="spellStart"/>
      <w:r w:rsidR="003F3B99" w:rsidRPr="008F364F">
        <w:rPr>
          <w:sz w:val="22"/>
        </w:rPr>
        <w:t>and</w:t>
      </w:r>
      <w:proofErr w:type="spellEnd"/>
      <w:r w:rsidR="003F3B99" w:rsidRPr="008F364F">
        <w:rPr>
          <w:sz w:val="22"/>
        </w:rPr>
        <w:t xml:space="preserve"> </w:t>
      </w:r>
      <w:proofErr w:type="spellStart"/>
      <w:r w:rsidR="003F3B99" w:rsidRPr="008F364F">
        <w:rPr>
          <w:sz w:val="22"/>
        </w:rPr>
        <w:t>Conflict</w:t>
      </w:r>
      <w:proofErr w:type="spellEnd"/>
      <w:r w:rsidR="003F3B99" w:rsidRPr="008F364F">
        <w:rPr>
          <w:sz w:val="22"/>
        </w:rPr>
        <w:t xml:space="preserve">: </w:t>
      </w:r>
      <w:proofErr w:type="spellStart"/>
      <w:r w:rsidR="003F3B99" w:rsidRPr="008F364F">
        <w:rPr>
          <w:sz w:val="22"/>
        </w:rPr>
        <w:t>Health</w:t>
      </w:r>
      <w:proofErr w:type="spellEnd"/>
      <w:r w:rsidR="003F3B99" w:rsidRPr="008F364F">
        <w:rPr>
          <w:sz w:val="22"/>
        </w:rPr>
        <w:t xml:space="preserve"> As A </w:t>
      </w:r>
      <w:r w:rsidRPr="008F364F">
        <w:rPr>
          <w:sz w:val="22"/>
        </w:rPr>
        <w:t>Global Security Challenge</w:t>
      </w:r>
      <w:r w:rsidR="00C476CC" w:rsidRPr="008F364F">
        <w:rPr>
          <w:sz w:val="22"/>
        </w:rPr>
        <w:t>”</w:t>
      </w:r>
      <w:r w:rsidRPr="008F364F">
        <w:rPr>
          <w:sz w:val="22"/>
        </w:rPr>
        <w:t>, https://csis-prod.s3.amazonaws.com/s3fs public/legacy_files/files/publication/000130_Moodie_ContagionConflict_Web.pdf</w:t>
      </w:r>
      <w:r w:rsidR="003F3B99" w:rsidRPr="008F364F">
        <w:rPr>
          <w:sz w:val="22"/>
        </w:rPr>
        <w:t xml:space="preserve">, </w:t>
      </w:r>
      <w:r w:rsidR="00C476CC" w:rsidRPr="008F364F">
        <w:rPr>
          <w:sz w:val="22"/>
        </w:rPr>
        <w:t>(</w:t>
      </w:r>
      <w:r w:rsidR="003F3B99" w:rsidRPr="008F364F">
        <w:rPr>
          <w:sz w:val="22"/>
        </w:rPr>
        <w:t>Erişim Tarihi: 13.02.2019</w:t>
      </w:r>
      <w:r w:rsidR="00C476CC" w:rsidRPr="008F364F">
        <w:rPr>
          <w:sz w:val="22"/>
        </w:rPr>
        <w:t>)</w:t>
      </w:r>
      <w:r w:rsidR="00AF1266">
        <w:rPr>
          <w:sz w:val="22"/>
        </w:rPr>
        <w:t>.</w:t>
      </w:r>
    </w:p>
    <w:p w:rsidR="002A6B4C" w:rsidRPr="008F364F" w:rsidRDefault="003E69AB" w:rsidP="00B654EA">
      <w:pPr>
        <w:spacing w:before="120" w:after="120" w:line="240" w:lineRule="auto"/>
        <w:ind w:left="709" w:hanging="709"/>
        <w:rPr>
          <w:sz w:val="22"/>
        </w:rPr>
      </w:pPr>
      <w:proofErr w:type="spellStart"/>
      <w:r w:rsidRPr="008F364F">
        <w:rPr>
          <w:sz w:val="22"/>
        </w:rPr>
        <w:t>Chyba</w:t>
      </w:r>
      <w:proofErr w:type="spellEnd"/>
      <w:r w:rsidRPr="008F364F">
        <w:rPr>
          <w:sz w:val="22"/>
        </w:rPr>
        <w:t xml:space="preserve">, </w:t>
      </w:r>
      <w:proofErr w:type="spellStart"/>
      <w:r w:rsidRPr="008F364F">
        <w:rPr>
          <w:sz w:val="22"/>
        </w:rPr>
        <w:t>Christopher</w:t>
      </w:r>
      <w:proofErr w:type="spellEnd"/>
      <w:r w:rsidR="002A6B4C" w:rsidRPr="008F364F">
        <w:rPr>
          <w:sz w:val="22"/>
        </w:rPr>
        <w:t xml:space="preserve"> (2002)</w:t>
      </w:r>
      <w:r w:rsidR="00BE42C5" w:rsidRPr="008F364F">
        <w:rPr>
          <w:sz w:val="22"/>
        </w:rPr>
        <w:t>.</w:t>
      </w:r>
      <w:r w:rsidR="006175A8" w:rsidRPr="008F364F">
        <w:rPr>
          <w:sz w:val="22"/>
        </w:rPr>
        <w:t xml:space="preserve"> </w:t>
      </w:r>
      <w:r w:rsidR="003A133D" w:rsidRPr="008F364F">
        <w:rPr>
          <w:sz w:val="22"/>
        </w:rPr>
        <w:t>“</w:t>
      </w:r>
      <w:proofErr w:type="spellStart"/>
      <w:r w:rsidR="006175A8" w:rsidRPr="008F364F">
        <w:rPr>
          <w:sz w:val="22"/>
        </w:rPr>
        <w:t>Toward</w:t>
      </w:r>
      <w:proofErr w:type="spellEnd"/>
      <w:r w:rsidR="006175A8" w:rsidRPr="008F364F">
        <w:rPr>
          <w:sz w:val="22"/>
        </w:rPr>
        <w:t xml:space="preserve"> </w:t>
      </w:r>
      <w:proofErr w:type="spellStart"/>
      <w:r w:rsidR="006175A8" w:rsidRPr="008F364F">
        <w:rPr>
          <w:sz w:val="22"/>
        </w:rPr>
        <w:t>Biological</w:t>
      </w:r>
      <w:proofErr w:type="spellEnd"/>
      <w:r w:rsidR="006175A8" w:rsidRPr="008F364F">
        <w:rPr>
          <w:sz w:val="22"/>
        </w:rPr>
        <w:t xml:space="preserve"> Security</w:t>
      </w:r>
      <w:r w:rsidR="003A133D" w:rsidRPr="008F364F">
        <w:rPr>
          <w:sz w:val="22"/>
        </w:rPr>
        <w:t>”</w:t>
      </w:r>
      <w:r w:rsidR="002A6B4C" w:rsidRPr="008F364F">
        <w:rPr>
          <w:sz w:val="22"/>
        </w:rPr>
        <w:t xml:space="preserve">, </w:t>
      </w:r>
      <w:proofErr w:type="spellStart"/>
      <w:r w:rsidR="002A6B4C" w:rsidRPr="008F364F">
        <w:rPr>
          <w:sz w:val="22"/>
        </w:rPr>
        <w:t>Foreign</w:t>
      </w:r>
      <w:proofErr w:type="spellEnd"/>
      <w:r w:rsidR="002A6B4C" w:rsidRPr="008F364F">
        <w:rPr>
          <w:sz w:val="22"/>
        </w:rPr>
        <w:t xml:space="preserve"> </w:t>
      </w:r>
      <w:proofErr w:type="spellStart"/>
      <w:r w:rsidR="002A6B4C" w:rsidRPr="008F364F">
        <w:rPr>
          <w:sz w:val="22"/>
        </w:rPr>
        <w:t>Affairs</w:t>
      </w:r>
      <w:proofErr w:type="spellEnd"/>
      <w:r w:rsidR="003A133D" w:rsidRPr="008F364F">
        <w:rPr>
          <w:sz w:val="22"/>
        </w:rPr>
        <w:t>, 81:</w:t>
      </w:r>
      <w:r w:rsidR="00BE42C5" w:rsidRPr="008F364F">
        <w:rPr>
          <w:sz w:val="22"/>
        </w:rPr>
        <w:t xml:space="preserve"> </w:t>
      </w:r>
      <w:r w:rsidR="002A6B4C" w:rsidRPr="008F364F">
        <w:rPr>
          <w:sz w:val="22"/>
        </w:rPr>
        <w:t>122–136</w:t>
      </w:r>
      <w:r w:rsidR="006175A8" w:rsidRPr="008F364F">
        <w:rPr>
          <w:sz w:val="22"/>
        </w:rPr>
        <w:t>.</w:t>
      </w:r>
    </w:p>
    <w:p w:rsidR="002A6B4C" w:rsidRPr="008F364F" w:rsidRDefault="002A6B4C" w:rsidP="00B654EA">
      <w:pPr>
        <w:spacing w:before="120" w:after="120" w:line="240" w:lineRule="auto"/>
        <w:ind w:left="709" w:hanging="709"/>
        <w:rPr>
          <w:sz w:val="22"/>
        </w:rPr>
      </w:pPr>
      <w:proofErr w:type="spellStart"/>
      <w:r w:rsidRPr="008F364F">
        <w:rPr>
          <w:sz w:val="22"/>
        </w:rPr>
        <w:t>Congress</w:t>
      </w:r>
      <w:proofErr w:type="spellEnd"/>
      <w:r w:rsidR="00144A9B" w:rsidRPr="008F364F">
        <w:rPr>
          <w:sz w:val="22"/>
        </w:rPr>
        <w:t xml:space="preserve">, </w:t>
      </w:r>
      <w:r w:rsidRPr="008F364F">
        <w:rPr>
          <w:sz w:val="22"/>
        </w:rPr>
        <w:t xml:space="preserve"> (2010), </w:t>
      </w:r>
      <w:r w:rsidR="00144A9B" w:rsidRPr="008F364F">
        <w:rPr>
          <w:sz w:val="22"/>
        </w:rPr>
        <w:t>“</w:t>
      </w:r>
      <w:r w:rsidRPr="008F364F">
        <w:rPr>
          <w:sz w:val="22"/>
        </w:rPr>
        <w:t xml:space="preserve">Global </w:t>
      </w:r>
      <w:proofErr w:type="spellStart"/>
      <w:r w:rsidRPr="008F364F">
        <w:rPr>
          <w:sz w:val="22"/>
        </w:rPr>
        <w:t>Pathogen</w:t>
      </w:r>
      <w:proofErr w:type="spellEnd"/>
      <w:r w:rsidRPr="008F364F">
        <w:rPr>
          <w:sz w:val="22"/>
        </w:rPr>
        <w:t xml:space="preserve"> </w:t>
      </w:r>
      <w:proofErr w:type="spellStart"/>
      <w:r w:rsidRPr="008F364F">
        <w:rPr>
          <w:sz w:val="22"/>
        </w:rPr>
        <w:t>Surveillance</w:t>
      </w:r>
      <w:proofErr w:type="spellEnd"/>
      <w:r w:rsidRPr="008F364F">
        <w:rPr>
          <w:sz w:val="22"/>
        </w:rPr>
        <w:t xml:space="preserve"> </w:t>
      </w:r>
      <w:proofErr w:type="spellStart"/>
      <w:r w:rsidRPr="008F364F">
        <w:rPr>
          <w:sz w:val="22"/>
        </w:rPr>
        <w:t>Act</w:t>
      </w:r>
      <w:proofErr w:type="spellEnd"/>
      <w:r w:rsidRPr="008F364F">
        <w:rPr>
          <w:sz w:val="22"/>
        </w:rPr>
        <w:t xml:space="preserve"> of 2002</w:t>
      </w:r>
      <w:r w:rsidR="00144A9B" w:rsidRPr="008F364F">
        <w:rPr>
          <w:sz w:val="22"/>
        </w:rPr>
        <w:t>”</w:t>
      </w:r>
      <w:r w:rsidRPr="008F364F">
        <w:rPr>
          <w:sz w:val="22"/>
        </w:rPr>
        <w:t>, https://www.congress.gov/bill/107th-congress/senate-bill/2487</w:t>
      </w:r>
      <w:r w:rsidR="003E69AB" w:rsidRPr="008F364F">
        <w:rPr>
          <w:sz w:val="22"/>
        </w:rPr>
        <w:t xml:space="preserve">, </w:t>
      </w:r>
      <w:r w:rsidR="00144A9B" w:rsidRPr="008F364F">
        <w:rPr>
          <w:sz w:val="22"/>
        </w:rPr>
        <w:t>(</w:t>
      </w:r>
      <w:r w:rsidR="003E69AB" w:rsidRPr="008F364F">
        <w:rPr>
          <w:sz w:val="22"/>
        </w:rPr>
        <w:t>Erişim Tarihi: 13.02.2019</w:t>
      </w:r>
      <w:r w:rsidR="00144A9B" w:rsidRPr="008F364F">
        <w:rPr>
          <w:sz w:val="22"/>
        </w:rPr>
        <w:t>)</w:t>
      </w:r>
      <w:r w:rsidR="00AF1266">
        <w:rPr>
          <w:sz w:val="22"/>
        </w:rPr>
        <w:t>.</w:t>
      </w:r>
    </w:p>
    <w:p w:rsidR="002A6B4C" w:rsidRPr="008F364F" w:rsidRDefault="002A6B4C" w:rsidP="00B654EA">
      <w:pPr>
        <w:spacing w:before="120" w:after="120" w:line="240" w:lineRule="auto"/>
        <w:ind w:left="709" w:hanging="709"/>
        <w:rPr>
          <w:sz w:val="22"/>
        </w:rPr>
      </w:pPr>
      <w:proofErr w:type="spellStart"/>
      <w:r w:rsidRPr="008F364F">
        <w:rPr>
          <w:sz w:val="22"/>
        </w:rPr>
        <w:t>Director</w:t>
      </w:r>
      <w:proofErr w:type="spellEnd"/>
      <w:r w:rsidRPr="008F364F">
        <w:rPr>
          <w:sz w:val="22"/>
        </w:rPr>
        <w:t xml:space="preserve"> of </w:t>
      </w:r>
      <w:proofErr w:type="spellStart"/>
      <w:r w:rsidRPr="008F364F">
        <w:rPr>
          <w:sz w:val="22"/>
        </w:rPr>
        <w:t>National</w:t>
      </w:r>
      <w:proofErr w:type="spellEnd"/>
      <w:r w:rsidRPr="008F364F">
        <w:rPr>
          <w:sz w:val="22"/>
        </w:rPr>
        <w:t xml:space="preserve"> </w:t>
      </w:r>
      <w:proofErr w:type="spellStart"/>
      <w:r w:rsidRPr="008F364F">
        <w:rPr>
          <w:sz w:val="22"/>
        </w:rPr>
        <w:t>Intelligence</w:t>
      </w:r>
      <w:proofErr w:type="spellEnd"/>
      <w:r w:rsidR="00144A9B" w:rsidRPr="008F364F">
        <w:rPr>
          <w:sz w:val="22"/>
        </w:rPr>
        <w:t xml:space="preserve">, </w:t>
      </w:r>
      <w:r w:rsidRPr="008F364F">
        <w:rPr>
          <w:sz w:val="22"/>
        </w:rPr>
        <w:t xml:space="preserve"> (2000), </w:t>
      </w:r>
      <w:r w:rsidR="00144A9B" w:rsidRPr="008F364F">
        <w:rPr>
          <w:sz w:val="22"/>
        </w:rPr>
        <w:t>“</w:t>
      </w:r>
      <w:proofErr w:type="spellStart"/>
      <w:r w:rsidRPr="008F364F">
        <w:rPr>
          <w:sz w:val="22"/>
        </w:rPr>
        <w:t>The</w:t>
      </w:r>
      <w:proofErr w:type="spellEnd"/>
      <w:r w:rsidRPr="008F364F">
        <w:rPr>
          <w:sz w:val="22"/>
        </w:rPr>
        <w:t xml:space="preserve"> Global</w:t>
      </w:r>
      <w:r w:rsidR="003E69AB" w:rsidRPr="008F364F">
        <w:rPr>
          <w:sz w:val="22"/>
        </w:rPr>
        <w:t xml:space="preserve"> </w:t>
      </w:r>
      <w:proofErr w:type="spellStart"/>
      <w:r w:rsidR="003E69AB" w:rsidRPr="008F364F">
        <w:rPr>
          <w:sz w:val="22"/>
        </w:rPr>
        <w:t>Infectious</w:t>
      </w:r>
      <w:proofErr w:type="spellEnd"/>
      <w:r w:rsidR="003E69AB" w:rsidRPr="008F364F">
        <w:rPr>
          <w:sz w:val="22"/>
        </w:rPr>
        <w:t xml:space="preserve"> </w:t>
      </w:r>
      <w:proofErr w:type="spellStart"/>
      <w:r w:rsidR="003E69AB" w:rsidRPr="008F364F">
        <w:rPr>
          <w:sz w:val="22"/>
        </w:rPr>
        <w:t>Disease</w:t>
      </w:r>
      <w:proofErr w:type="spellEnd"/>
      <w:r w:rsidR="003E69AB" w:rsidRPr="008F364F">
        <w:rPr>
          <w:sz w:val="22"/>
        </w:rPr>
        <w:t xml:space="preserve"> </w:t>
      </w:r>
      <w:proofErr w:type="spellStart"/>
      <w:r w:rsidR="003E69AB" w:rsidRPr="008F364F">
        <w:rPr>
          <w:sz w:val="22"/>
        </w:rPr>
        <w:t>Threat</w:t>
      </w:r>
      <w:proofErr w:type="spellEnd"/>
      <w:r w:rsidR="003E69AB" w:rsidRPr="008F364F">
        <w:rPr>
          <w:sz w:val="22"/>
        </w:rPr>
        <w:t xml:space="preserve"> </w:t>
      </w:r>
      <w:proofErr w:type="spellStart"/>
      <w:r w:rsidR="003E69AB" w:rsidRPr="008F364F">
        <w:rPr>
          <w:sz w:val="22"/>
        </w:rPr>
        <w:t>and</w:t>
      </w:r>
      <w:proofErr w:type="spellEnd"/>
      <w:r w:rsidR="003E69AB" w:rsidRPr="008F364F">
        <w:rPr>
          <w:sz w:val="22"/>
        </w:rPr>
        <w:t xml:space="preserve"> </w:t>
      </w:r>
      <w:proofErr w:type="spellStart"/>
      <w:r w:rsidR="003E69AB" w:rsidRPr="008F364F">
        <w:rPr>
          <w:sz w:val="22"/>
        </w:rPr>
        <w:t>I</w:t>
      </w:r>
      <w:r w:rsidRPr="008F364F">
        <w:rPr>
          <w:sz w:val="22"/>
        </w:rPr>
        <w:t>ts</w:t>
      </w:r>
      <w:proofErr w:type="spellEnd"/>
      <w:r w:rsidRPr="008F364F">
        <w:rPr>
          <w:sz w:val="22"/>
        </w:rPr>
        <w:t xml:space="preserve"> </w:t>
      </w:r>
      <w:proofErr w:type="spellStart"/>
      <w:r w:rsidRPr="008F364F">
        <w:rPr>
          <w:sz w:val="22"/>
        </w:rPr>
        <w:t>Implications</w:t>
      </w:r>
      <w:proofErr w:type="spellEnd"/>
      <w:r w:rsidRPr="008F364F">
        <w:rPr>
          <w:sz w:val="22"/>
        </w:rPr>
        <w:t xml:space="preserve"> </w:t>
      </w:r>
      <w:proofErr w:type="spellStart"/>
      <w:r w:rsidRPr="008F364F">
        <w:rPr>
          <w:sz w:val="22"/>
        </w:rPr>
        <w:t>for</w:t>
      </w:r>
      <w:proofErr w:type="spellEnd"/>
      <w:r w:rsidRPr="008F364F">
        <w:rPr>
          <w:sz w:val="22"/>
        </w:rPr>
        <w:t xml:space="preserve"> </w:t>
      </w:r>
      <w:proofErr w:type="spellStart"/>
      <w:r w:rsidRPr="008F364F">
        <w:rPr>
          <w:sz w:val="22"/>
        </w:rPr>
        <w:t>the</w:t>
      </w:r>
      <w:proofErr w:type="spellEnd"/>
      <w:r w:rsidRPr="008F364F">
        <w:rPr>
          <w:sz w:val="22"/>
        </w:rPr>
        <w:t xml:space="preserve"> United </w:t>
      </w:r>
      <w:proofErr w:type="spellStart"/>
      <w:r w:rsidRPr="008F364F">
        <w:rPr>
          <w:sz w:val="22"/>
        </w:rPr>
        <w:t>States</w:t>
      </w:r>
      <w:proofErr w:type="spellEnd"/>
      <w:r w:rsidR="00144A9B" w:rsidRPr="008F364F">
        <w:rPr>
          <w:sz w:val="22"/>
        </w:rPr>
        <w:t>”</w:t>
      </w:r>
      <w:r w:rsidRPr="008F364F">
        <w:rPr>
          <w:sz w:val="22"/>
        </w:rPr>
        <w:t>, https://www.dni.gov/files/documents/infectiousdiseases_2000.pdf</w:t>
      </w:r>
      <w:r w:rsidR="003E69AB" w:rsidRPr="008F364F">
        <w:rPr>
          <w:sz w:val="22"/>
        </w:rPr>
        <w:t xml:space="preserve">, </w:t>
      </w:r>
      <w:r w:rsidR="00144A9B" w:rsidRPr="008F364F">
        <w:rPr>
          <w:sz w:val="22"/>
        </w:rPr>
        <w:t>(</w:t>
      </w:r>
      <w:r w:rsidR="003E69AB" w:rsidRPr="008F364F">
        <w:rPr>
          <w:sz w:val="22"/>
        </w:rPr>
        <w:t>Erişim Tarihi: 13.02.2019</w:t>
      </w:r>
      <w:r w:rsidR="00144A9B" w:rsidRPr="008F364F">
        <w:rPr>
          <w:sz w:val="22"/>
        </w:rPr>
        <w:t>)</w:t>
      </w:r>
      <w:r w:rsidR="00AF1266">
        <w:rPr>
          <w:sz w:val="22"/>
        </w:rPr>
        <w:t>.</w:t>
      </w:r>
    </w:p>
    <w:p w:rsidR="002A6B4C" w:rsidRPr="008F364F" w:rsidRDefault="002A6B4C" w:rsidP="00B654EA">
      <w:pPr>
        <w:spacing w:before="120" w:after="120" w:line="240" w:lineRule="auto"/>
        <w:ind w:left="709" w:hanging="709"/>
        <w:rPr>
          <w:sz w:val="22"/>
        </w:rPr>
      </w:pPr>
      <w:r w:rsidRPr="008F364F">
        <w:rPr>
          <w:sz w:val="22"/>
        </w:rPr>
        <w:t>Dünya Sağlık Örgütü</w:t>
      </w:r>
      <w:r w:rsidR="00144A9B" w:rsidRPr="008F364F">
        <w:rPr>
          <w:sz w:val="22"/>
        </w:rPr>
        <w:t xml:space="preserve">, </w:t>
      </w:r>
      <w:r w:rsidRPr="008F364F">
        <w:rPr>
          <w:sz w:val="22"/>
        </w:rPr>
        <w:t xml:space="preserve"> (2001a), </w:t>
      </w:r>
      <w:r w:rsidR="00144A9B" w:rsidRPr="008F364F">
        <w:rPr>
          <w:sz w:val="22"/>
        </w:rPr>
        <w:t>“</w:t>
      </w:r>
      <w:proofErr w:type="spellStart"/>
      <w:r w:rsidRPr="008F364F">
        <w:rPr>
          <w:sz w:val="22"/>
        </w:rPr>
        <w:t>Macroeconomics</w:t>
      </w:r>
      <w:proofErr w:type="spellEnd"/>
      <w:r w:rsidRPr="008F364F">
        <w:rPr>
          <w:sz w:val="22"/>
        </w:rPr>
        <w:t xml:space="preserve"> </w:t>
      </w:r>
      <w:proofErr w:type="spellStart"/>
      <w:r w:rsidRPr="008F364F">
        <w:rPr>
          <w:sz w:val="22"/>
        </w:rPr>
        <w:t>and</w:t>
      </w:r>
      <w:proofErr w:type="spellEnd"/>
      <w:r w:rsidRPr="008F364F">
        <w:rPr>
          <w:sz w:val="22"/>
        </w:rPr>
        <w:t xml:space="preserve"> </w:t>
      </w:r>
      <w:proofErr w:type="spellStart"/>
      <w:r w:rsidRPr="008F364F">
        <w:rPr>
          <w:sz w:val="22"/>
        </w:rPr>
        <w:t>Health</w:t>
      </w:r>
      <w:proofErr w:type="spellEnd"/>
      <w:r w:rsidRPr="008F364F">
        <w:rPr>
          <w:sz w:val="22"/>
        </w:rPr>
        <w:t xml:space="preserve">: </w:t>
      </w:r>
      <w:proofErr w:type="spellStart"/>
      <w:r w:rsidRPr="008F364F">
        <w:rPr>
          <w:sz w:val="22"/>
        </w:rPr>
        <w:t>I</w:t>
      </w:r>
      <w:r w:rsidR="003E69AB" w:rsidRPr="008F364F">
        <w:rPr>
          <w:sz w:val="22"/>
        </w:rPr>
        <w:t>nvesting</w:t>
      </w:r>
      <w:proofErr w:type="spellEnd"/>
      <w:r w:rsidR="003E69AB" w:rsidRPr="008F364F">
        <w:rPr>
          <w:sz w:val="22"/>
        </w:rPr>
        <w:t xml:space="preserve"> in </w:t>
      </w:r>
      <w:proofErr w:type="spellStart"/>
      <w:r w:rsidR="003E69AB" w:rsidRPr="008F364F">
        <w:rPr>
          <w:sz w:val="22"/>
        </w:rPr>
        <w:t>Health</w:t>
      </w:r>
      <w:proofErr w:type="spellEnd"/>
      <w:r w:rsidR="003E69AB" w:rsidRPr="008F364F">
        <w:rPr>
          <w:sz w:val="22"/>
        </w:rPr>
        <w:t xml:space="preserve"> </w:t>
      </w:r>
      <w:proofErr w:type="spellStart"/>
      <w:r w:rsidR="003E69AB" w:rsidRPr="008F364F">
        <w:rPr>
          <w:sz w:val="22"/>
        </w:rPr>
        <w:t>for</w:t>
      </w:r>
      <w:proofErr w:type="spellEnd"/>
      <w:r w:rsidR="003E69AB" w:rsidRPr="008F364F">
        <w:rPr>
          <w:sz w:val="22"/>
        </w:rPr>
        <w:t xml:space="preserve"> </w:t>
      </w:r>
      <w:proofErr w:type="spellStart"/>
      <w:r w:rsidR="003E69AB" w:rsidRPr="008F364F">
        <w:rPr>
          <w:sz w:val="22"/>
        </w:rPr>
        <w:t>Economic</w:t>
      </w:r>
      <w:proofErr w:type="spellEnd"/>
      <w:r w:rsidR="003E69AB" w:rsidRPr="008F364F">
        <w:rPr>
          <w:sz w:val="22"/>
        </w:rPr>
        <w:t xml:space="preserve"> </w:t>
      </w:r>
      <w:r w:rsidRPr="008F364F">
        <w:rPr>
          <w:sz w:val="22"/>
        </w:rPr>
        <w:t>Development</w:t>
      </w:r>
      <w:r w:rsidR="00144A9B" w:rsidRPr="008F364F">
        <w:rPr>
          <w:sz w:val="22"/>
        </w:rPr>
        <w:t>”</w:t>
      </w:r>
      <w:r w:rsidRPr="008F364F">
        <w:rPr>
          <w:sz w:val="22"/>
        </w:rPr>
        <w:t>,  http://www1.worldbank.org/publicsector/pe/PEAMMarch2005/CMHReport.pdf</w:t>
      </w:r>
      <w:r w:rsidR="003E69AB" w:rsidRPr="008F364F">
        <w:rPr>
          <w:sz w:val="22"/>
        </w:rPr>
        <w:t xml:space="preserve">, </w:t>
      </w:r>
      <w:r w:rsidR="00144A9B" w:rsidRPr="008F364F">
        <w:rPr>
          <w:sz w:val="22"/>
        </w:rPr>
        <w:t>(</w:t>
      </w:r>
      <w:r w:rsidRPr="008F364F">
        <w:rPr>
          <w:sz w:val="22"/>
        </w:rPr>
        <w:t>Erişim Tarihi</w:t>
      </w:r>
      <w:r w:rsidR="003E69AB" w:rsidRPr="008F364F">
        <w:rPr>
          <w:sz w:val="22"/>
        </w:rPr>
        <w:t>: 13.02.2019</w:t>
      </w:r>
      <w:r w:rsidR="00144A9B" w:rsidRPr="008F364F">
        <w:rPr>
          <w:sz w:val="22"/>
        </w:rPr>
        <w:t>)</w:t>
      </w:r>
      <w:r w:rsidR="00AF1266">
        <w:rPr>
          <w:sz w:val="22"/>
        </w:rPr>
        <w:t>.</w:t>
      </w:r>
    </w:p>
    <w:p w:rsidR="005F770C" w:rsidRPr="008F364F" w:rsidRDefault="005F770C" w:rsidP="00B654EA">
      <w:pPr>
        <w:spacing w:before="120" w:after="120" w:line="240" w:lineRule="auto"/>
        <w:ind w:left="709" w:hanging="709"/>
        <w:rPr>
          <w:sz w:val="22"/>
        </w:rPr>
      </w:pPr>
      <w:r w:rsidRPr="008F364F">
        <w:rPr>
          <w:sz w:val="22"/>
        </w:rPr>
        <w:t>Dünya Sağlık Örgütü</w:t>
      </w:r>
      <w:r w:rsidR="00144A9B" w:rsidRPr="008F364F">
        <w:rPr>
          <w:sz w:val="22"/>
        </w:rPr>
        <w:t>,</w:t>
      </w:r>
      <w:r w:rsidRPr="008F364F">
        <w:rPr>
          <w:sz w:val="22"/>
        </w:rPr>
        <w:t xml:space="preserve"> (2001b), </w:t>
      </w:r>
      <w:r w:rsidR="00144A9B" w:rsidRPr="008F364F">
        <w:rPr>
          <w:sz w:val="22"/>
        </w:rPr>
        <w:t>“</w:t>
      </w:r>
      <w:r w:rsidRPr="008F364F">
        <w:rPr>
          <w:sz w:val="22"/>
        </w:rPr>
        <w:t xml:space="preserve">Global </w:t>
      </w:r>
      <w:proofErr w:type="spellStart"/>
      <w:r w:rsidRPr="008F364F">
        <w:rPr>
          <w:sz w:val="22"/>
        </w:rPr>
        <w:t>Health</w:t>
      </w:r>
      <w:proofErr w:type="spellEnd"/>
      <w:r w:rsidRPr="008F364F">
        <w:rPr>
          <w:sz w:val="22"/>
        </w:rPr>
        <w:t xml:space="preserve"> Security: </w:t>
      </w:r>
      <w:proofErr w:type="spellStart"/>
      <w:r w:rsidRPr="008F364F">
        <w:rPr>
          <w:sz w:val="22"/>
        </w:rPr>
        <w:t>Epidemic</w:t>
      </w:r>
      <w:proofErr w:type="spellEnd"/>
      <w:r w:rsidRPr="008F364F">
        <w:rPr>
          <w:sz w:val="22"/>
        </w:rPr>
        <w:t xml:space="preserve"> </w:t>
      </w:r>
      <w:proofErr w:type="spellStart"/>
      <w:r w:rsidRPr="008F364F">
        <w:rPr>
          <w:sz w:val="22"/>
        </w:rPr>
        <w:t>Alert</w:t>
      </w:r>
      <w:proofErr w:type="spellEnd"/>
      <w:r w:rsidRPr="008F364F">
        <w:rPr>
          <w:sz w:val="22"/>
        </w:rPr>
        <w:t xml:space="preserve"> </w:t>
      </w:r>
      <w:proofErr w:type="spellStart"/>
      <w:r w:rsidRPr="008F364F">
        <w:rPr>
          <w:sz w:val="22"/>
        </w:rPr>
        <w:t>and</w:t>
      </w:r>
      <w:proofErr w:type="spellEnd"/>
      <w:r w:rsidRPr="008F364F">
        <w:rPr>
          <w:sz w:val="22"/>
        </w:rPr>
        <w:t xml:space="preserve"> </w:t>
      </w:r>
      <w:proofErr w:type="spellStart"/>
      <w:r w:rsidRPr="008F364F">
        <w:rPr>
          <w:sz w:val="22"/>
        </w:rPr>
        <w:t>Response</w:t>
      </w:r>
      <w:proofErr w:type="spellEnd"/>
      <w:r w:rsidR="00144A9B" w:rsidRPr="008F364F">
        <w:rPr>
          <w:sz w:val="22"/>
        </w:rPr>
        <w:t>”</w:t>
      </w:r>
      <w:r w:rsidRPr="008F364F">
        <w:rPr>
          <w:sz w:val="22"/>
        </w:rPr>
        <w:t>, http://apps.who.int/medicinedocs/documents/s163536e/s16356e.pdf</w:t>
      </w:r>
      <w:r w:rsidR="003E69AB" w:rsidRPr="008F364F">
        <w:rPr>
          <w:sz w:val="22"/>
        </w:rPr>
        <w:t xml:space="preserve">, </w:t>
      </w:r>
      <w:r w:rsidR="00A039D9" w:rsidRPr="008F364F">
        <w:rPr>
          <w:sz w:val="22"/>
        </w:rPr>
        <w:t>(</w:t>
      </w:r>
      <w:r w:rsidR="003E69AB" w:rsidRPr="008F364F">
        <w:rPr>
          <w:sz w:val="22"/>
        </w:rPr>
        <w:t>Erişim Tarihi: 13.02.2019</w:t>
      </w:r>
      <w:r w:rsidR="00A039D9" w:rsidRPr="008F364F">
        <w:rPr>
          <w:sz w:val="22"/>
        </w:rPr>
        <w:t>)</w:t>
      </w:r>
      <w:r w:rsidR="00AF1266">
        <w:rPr>
          <w:sz w:val="22"/>
        </w:rPr>
        <w:t>.</w:t>
      </w:r>
    </w:p>
    <w:p w:rsidR="005F770C" w:rsidRPr="008F364F" w:rsidRDefault="005F770C" w:rsidP="00B654EA">
      <w:pPr>
        <w:spacing w:before="120" w:after="120" w:line="240" w:lineRule="auto"/>
        <w:ind w:left="709" w:hanging="709"/>
        <w:rPr>
          <w:sz w:val="22"/>
        </w:rPr>
      </w:pPr>
      <w:r w:rsidRPr="008F364F">
        <w:rPr>
          <w:sz w:val="22"/>
        </w:rPr>
        <w:t>Dünya</w:t>
      </w:r>
      <w:r w:rsidR="003E69AB" w:rsidRPr="008F364F">
        <w:rPr>
          <w:sz w:val="22"/>
        </w:rPr>
        <w:t xml:space="preserve"> Sağlık Örgütü</w:t>
      </w:r>
      <w:r w:rsidR="00A039D9" w:rsidRPr="008F364F">
        <w:rPr>
          <w:sz w:val="22"/>
        </w:rPr>
        <w:t>,</w:t>
      </w:r>
      <w:r w:rsidR="003E69AB" w:rsidRPr="008F364F">
        <w:rPr>
          <w:sz w:val="22"/>
        </w:rPr>
        <w:t xml:space="preserve"> (2002a), </w:t>
      </w:r>
      <w:r w:rsidR="00A039D9" w:rsidRPr="008F364F">
        <w:rPr>
          <w:sz w:val="22"/>
        </w:rPr>
        <w:t>“</w:t>
      </w:r>
      <w:proofErr w:type="spellStart"/>
      <w:r w:rsidR="003E69AB" w:rsidRPr="008F364F">
        <w:rPr>
          <w:sz w:val="22"/>
        </w:rPr>
        <w:t>Dengue</w:t>
      </w:r>
      <w:proofErr w:type="spellEnd"/>
      <w:r w:rsidR="003E69AB" w:rsidRPr="008F364F">
        <w:rPr>
          <w:sz w:val="22"/>
        </w:rPr>
        <w:t xml:space="preserve"> </w:t>
      </w:r>
      <w:proofErr w:type="spellStart"/>
      <w:r w:rsidR="003E69AB" w:rsidRPr="008F364F">
        <w:rPr>
          <w:sz w:val="22"/>
        </w:rPr>
        <w:t>Prevention</w:t>
      </w:r>
      <w:proofErr w:type="spellEnd"/>
      <w:r w:rsidR="003E69AB" w:rsidRPr="008F364F">
        <w:rPr>
          <w:sz w:val="22"/>
        </w:rPr>
        <w:t xml:space="preserve"> </w:t>
      </w:r>
      <w:proofErr w:type="spellStart"/>
      <w:r w:rsidR="003E69AB" w:rsidRPr="008F364F">
        <w:rPr>
          <w:sz w:val="22"/>
        </w:rPr>
        <w:t>and</w:t>
      </w:r>
      <w:proofErr w:type="spellEnd"/>
      <w:r w:rsidR="003E69AB" w:rsidRPr="008F364F">
        <w:rPr>
          <w:sz w:val="22"/>
        </w:rPr>
        <w:t xml:space="preserve"> C</w:t>
      </w:r>
      <w:r w:rsidRPr="008F364F">
        <w:rPr>
          <w:sz w:val="22"/>
        </w:rPr>
        <w:t>ontrol</w:t>
      </w:r>
      <w:r w:rsidR="00A039D9" w:rsidRPr="008F364F">
        <w:rPr>
          <w:sz w:val="22"/>
        </w:rPr>
        <w:t>”</w:t>
      </w:r>
      <w:r w:rsidRPr="008F364F">
        <w:rPr>
          <w:sz w:val="22"/>
        </w:rPr>
        <w:t>, http://apps.who.int/gb/archive/pdf_files/WHA55/ea5519.pdf</w:t>
      </w:r>
      <w:r w:rsidR="003E69AB" w:rsidRPr="008F364F">
        <w:rPr>
          <w:sz w:val="22"/>
        </w:rPr>
        <w:t xml:space="preserve">, </w:t>
      </w:r>
      <w:r w:rsidR="00A039D9" w:rsidRPr="008F364F">
        <w:rPr>
          <w:sz w:val="22"/>
        </w:rPr>
        <w:t>(</w:t>
      </w:r>
      <w:r w:rsidR="003E69AB" w:rsidRPr="008F364F">
        <w:rPr>
          <w:sz w:val="22"/>
        </w:rPr>
        <w:t>Erişim Tarihi: 13.02.2019</w:t>
      </w:r>
      <w:r w:rsidR="00A039D9" w:rsidRPr="008F364F">
        <w:rPr>
          <w:sz w:val="22"/>
        </w:rPr>
        <w:t>)</w:t>
      </w:r>
      <w:r w:rsidR="00AF1266">
        <w:rPr>
          <w:sz w:val="22"/>
        </w:rPr>
        <w:t>.</w:t>
      </w:r>
    </w:p>
    <w:p w:rsidR="005F770C" w:rsidRPr="008F364F" w:rsidRDefault="005F770C" w:rsidP="00B654EA">
      <w:pPr>
        <w:spacing w:before="120" w:after="120" w:line="240" w:lineRule="auto"/>
        <w:ind w:left="709" w:hanging="709"/>
        <w:rPr>
          <w:sz w:val="22"/>
        </w:rPr>
      </w:pPr>
      <w:r w:rsidRPr="008F364F">
        <w:rPr>
          <w:sz w:val="22"/>
        </w:rPr>
        <w:t>Dünya Sağlık Örgütü</w:t>
      </w:r>
      <w:r w:rsidR="00A039D9" w:rsidRPr="008F364F">
        <w:rPr>
          <w:sz w:val="22"/>
        </w:rPr>
        <w:t>,</w:t>
      </w:r>
      <w:r w:rsidRPr="008F364F">
        <w:rPr>
          <w:sz w:val="22"/>
        </w:rPr>
        <w:t xml:space="preserve"> (2002b), </w:t>
      </w:r>
      <w:r w:rsidR="00A039D9" w:rsidRPr="008F364F">
        <w:rPr>
          <w:sz w:val="22"/>
        </w:rPr>
        <w:t>“</w:t>
      </w:r>
      <w:proofErr w:type="spellStart"/>
      <w:r w:rsidRPr="008F364F">
        <w:rPr>
          <w:sz w:val="22"/>
        </w:rPr>
        <w:t>Preparedness</w:t>
      </w:r>
      <w:proofErr w:type="spellEnd"/>
      <w:r w:rsidRPr="008F364F">
        <w:rPr>
          <w:sz w:val="22"/>
        </w:rPr>
        <w:t xml:space="preserve"> </w:t>
      </w:r>
      <w:proofErr w:type="spellStart"/>
      <w:r w:rsidRPr="008F364F">
        <w:rPr>
          <w:sz w:val="22"/>
        </w:rPr>
        <w:t>for</w:t>
      </w:r>
      <w:proofErr w:type="spellEnd"/>
      <w:r w:rsidRPr="008F364F">
        <w:rPr>
          <w:sz w:val="22"/>
        </w:rPr>
        <w:t xml:space="preserve"> </w:t>
      </w:r>
      <w:proofErr w:type="spellStart"/>
      <w:r w:rsidRPr="008F364F">
        <w:rPr>
          <w:sz w:val="22"/>
        </w:rPr>
        <w:t>the</w:t>
      </w:r>
      <w:proofErr w:type="spellEnd"/>
      <w:r w:rsidRPr="008F364F">
        <w:rPr>
          <w:sz w:val="22"/>
        </w:rPr>
        <w:t xml:space="preserve"> </w:t>
      </w:r>
      <w:proofErr w:type="spellStart"/>
      <w:r w:rsidRPr="008F364F">
        <w:rPr>
          <w:sz w:val="22"/>
        </w:rPr>
        <w:t>Deliberate</w:t>
      </w:r>
      <w:proofErr w:type="spellEnd"/>
      <w:r w:rsidRPr="008F364F">
        <w:rPr>
          <w:sz w:val="22"/>
        </w:rPr>
        <w:t xml:space="preserve"> </w:t>
      </w:r>
      <w:proofErr w:type="spellStart"/>
      <w:r w:rsidRPr="008F364F">
        <w:rPr>
          <w:sz w:val="22"/>
        </w:rPr>
        <w:t>Use</w:t>
      </w:r>
      <w:proofErr w:type="spellEnd"/>
      <w:r w:rsidRPr="008F364F">
        <w:rPr>
          <w:sz w:val="22"/>
        </w:rPr>
        <w:t xml:space="preserve"> of </w:t>
      </w:r>
      <w:proofErr w:type="spellStart"/>
      <w:r w:rsidRPr="008F364F">
        <w:rPr>
          <w:sz w:val="22"/>
        </w:rPr>
        <w:t>Biological</w:t>
      </w:r>
      <w:proofErr w:type="spellEnd"/>
      <w:r w:rsidRPr="008F364F">
        <w:rPr>
          <w:sz w:val="22"/>
        </w:rPr>
        <w:t xml:space="preserve"> </w:t>
      </w:r>
      <w:proofErr w:type="spellStart"/>
      <w:r w:rsidRPr="008F364F">
        <w:rPr>
          <w:sz w:val="22"/>
        </w:rPr>
        <w:t>Agents</w:t>
      </w:r>
      <w:proofErr w:type="spellEnd"/>
      <w:r w:rsidRPr="008F364F">
        <w:rPr>
          <w:sz w:val="22"/>
        </w:rPr>
        <w:t xml:space="preserve">: A </w:t>
      </w:r>
      <w:proofErr w:type="spellStart"/>
      <w:r w:rsidRPr="008F364F">
        <w:rPr>
          <w:sz w:val="22"/>
        </w:rPr>
        <w:t>Rational</w:t>
      </w:r>
      <w:proofErr w:type="spellEnd"/>
      <w:r w:rsidRPr="008F364F">
        <w:rPr>
          <w:sz w:val="22"/>
        </w:rPr>
        <w:t xml:space="preserve"> </w:t>
      </w:r>
      <w:proofErr w:type="spellStart"/>
      <w:r w:rsidRPr="008F364F">
        <w:rPr>
          <w:sz w:val="22"/>
        </w:rPr>
        <w:t>Approach</w:t>
      </w:r>
      <w:proofErr w:type="spellEnd"/>
      <w:r w:rsidRPr="008F364F">
        <w:rPr>
          <w:sz w:val="22"/>
        </w:rPr>
        <w:t xml:space="preserve"> </w:t>
      </w:r>
      <w:proofErr w:type="spellStart"/>
      <w:r w:rsidRPr="008F364F">
        <w:rPr>
          <w:sz w:val="22"/>
        </w:rPr>
        <w:t>to</w:t>
      </w:r>
      <w:proofErr w:type="spellEnd"/>
      <w:r w:rsidRPr="008F364F">
        <w:rPr>
          <w:sz w:val="22"/>
        </w:rPr>
        <w:t xml:space="preserve"> </w:t>
      </w:r>
      <w:proofErr w:type="spellStart"/>
      <w:r w:rsidRPr="008F364F">
        <w:rPr>
          <w:sz w:val="22"/>
        </w:rPr>
        <w:t>the</w:t>
      </w:r>
      <w:proofErr w:type="spellEnd"/>
      <w:r w:rsidRPr="008F364F">
        <w:rPr>
          <w:sz w:val="22"/>
        </w:rPr>
        <w:t xml:space="preserve"> </w:t>
      </w:r>
      <w:proofErr w:type="spellStart"/>
      <w:r w:rsidRPr="008F364F">
        <w:rPr>
          <w:sz w:val="22"/>
        </w:rPr>
        <w:t>Unthinkable</w:t>
      </w:r>
      <w:proofErr w:type="spellEnd"/>
      <w:r w:rsidR="00A039D9" w:rsidRPr="008F364F">
        <w:rPr>
          <w:sz w:val="22"/>
        </w:rPr>
        <w:t>”</w:t>
      </w:r>
      <w:r w:rsidRPr="008F364F">
        <w:rPr>
          <w:sz w:val="22"/>
        </w:rPr>
        <w:t>, https://www.who.int/csr/resources/publications/deliberate/whacdscsreph200216.pdf?ua=1</w:t>
      </w:r>
      <w:r w:rsidR="003E69AB" w:rsidRPr="008F364F">
        <w:rPr>
          <w:sz w:val="22"/>
        </w:rPr>
        <w:t xml:space="preserve">, </w:t>
      </w:r>
      <w:r w:rsidR="00336C28" w:rsidRPr="008F364F">
        <w:rPr>
          <w:sz w:val="22"/>
        </w:rPr>
        <w:t>(</w:t>
      </w:r>
      <w:r w:rsidR="003E69AB" w:rsidRPr="008F364F">
        <w:rPr>
          <w:sz w:val="22"/>
        </w:rPr>
        <w:t>Erişim Tarihi: 13.02.2019</w:t>
      </w:r>
      <w:r w:rsidR="00336C28" w:rsidRPr="008F364F">
        <w:rPr>
          <w:sz w:val="22"/>
        </w:rPr>
        <w:t>)</w:t>
      </w:r>
      <w:r w:rsidR="00AF1266">
        <w:rPr>
          <w:sz w:val="22"/>
        </w:rPr>
        <w:t>.</w:t>
      </w:r>
    </w:p>
    <w:p w:rsidR="005F770C" w:rsidRDefault="005F770C" w:rsidP="00B654EA">
      <w:pPr>
        <w:spacing w:before="120" w:after="120" w:line="240" w:lineRule="auto"/>
        <w:ind w:left="709" w:hanging="709"/>
        <w:rPr>
          <w:sz w:val="22"/>
        </w:rPr>
      </w:pPr>
      <w:r w:rsidRPr="008F364F">
        <w:rPr>
          <w:sz w:val="22"/>
        </w:rPr>
        <w:t>Dünya Sağlık Örgütü</w:t>
      </w:r>
      <w:r w:rsidR="00336C28" w:rsidRPr="008F364F">
        <w:rPr>
          <w:sz w:val="22"/>
        </w:rPr>
        <w:t>,</w:t>
      </w:r>
      <w:r w:rsidRPr="008F364F">
        <w:rPr>
          <w:sz w:val="22"/>
        </w:rPr>
        <w:t xml:space="preserve"> (2003), </w:t>
      </w:r>
      <w:r w:rsidR="00336C28" w:rsidRPr="008F364F">
        <w:rPr>
          <w:sz w:val="22"/>
        </w:rPr>
        <w:t>“</w:t>
      </w:r>
      <w:r w:rsidRPr="008F364F">
        <w:rPr>
          <w:sz w:val="22"/>
        </w:rPr>
        <w:t xml:space="preserve">Global </w:t>
      </w:r>
      <w:proofErr w:type="spellStart"/>
      <w:r w:rsidRPr="008F364F">
        <w:rPr>
          <w:sz w:val="22"/>
        </w:rPr>
        <w:t>Defence</w:t>
      </w:r>
      <w:proofErr w:type="spellEnd"/>
      <w:r w:rsidRPr="008F364F">
        <w:rPr>
          <w:sz w:val="22"/>
        </w:rPr>
        <w:t xml:space="preserve"> </w:t>
      </w:r>
      <w:proofErr w:type="spellStart"/>
      <w:r w:rsidRPr="008F364F">
        <w:rPr>
          <w:sz w:val="22"/>
        </w:rPr>
        <w:t>Against</w:t>
      </w:r>
      <w:proofErr w:type="spellEnd"/>
      <w:r w:rsidRPr="008F364F">
        <w:rPr>
          <w:sz w:val="22"/>
        </w:rPr>
        <w:t xml:space="preserve"> </w:t>
      </w:r>
      <w:proofErr w:type="spellStart"/>
      <w:r w:rsidRPr="008F364F">
        <w:rPr>
          <w:sz w:val="22"/>
        </w:rPr>
        <w:t>the</w:t>
      </w:r>
      <w:proofErr w:type="spellEnd"/>
      <w:r w:rsidRPr="008F364F">
        <w:rPr>
          <w:sz w:val="22"/>
        </w:rPr>
        <w:t xml:space="preserve"> </w:t>
      </w:r>
      <w:proofErr w:type="spellStart"/>
      <w:r w:rsidRPr="008F364F">
        <w:rPr>
          <w:sz w:val="22"/>
        </w:rPr>
        <w:t>Infectious</w:t>
      </w:r>
      <w:proofErr w:type="spellEnd"/>
      <w:r w:rsidRPr="008F364F">
        <w:rPr>
          <w:sz w:val="22"/>
        </w:rPr>
        <w:t xml:space="preserve"> </w:t>
      </w:r>
      <w:proofErr w:type="spellStart"/>
      <w:r w:rsidRPr="008F364F">
        <w:rPr>
          <w:sz w:val="22"/>
        </w:rPr>
        <w:t>Disease</w:t>
      </w:r>
      <w:proofErr w:type="spellEnd"/>
      <w:r w:rsidRPr="008F364F">
        <w:rPr>
          <w:sz w:val="22"/>
        </w:rPr>
        <w:t xml:space="preserve"> </w:t>
      </w:r>
      <w:proofErr w:type="spellStart"/>
      <w:r w:rsidRPr="008F364F">
        <w:rPr>
          <w:sz w:val="22"/>
        </w:rPr>
        <w:t>Threat</w:t>
      </w:r>
      <w:proofErr w:type="spellEnd"/>
      <w:r w:rsidR="00336C28" w:rsidRPr="008F364F">
        <w:rPr>
          <w:sz w:val="22"/>
        </w:rPr>
        <w:t>”</w:t>
      </w:r>
      <w:r w:rsidRPr="008F364F">
        <w:rPr>
          <w:sz w:val="22"/>
        </w:rPr>
        <w:t>, https://apps.who.int/iris/bitstream/handle/10665/42572/9241590297.pdf?sequence=1&amp;isAllowed=y</w:t>
      </w:r>
      <w:r w:rsidR="003E69AB" w:rsidRPr="008F364F">
        <w:rPr>
          <w:sz w:val="22"/>
        </w:rPr>
        <w:t xml:space="preserve">, </w:t>
      </w:r>
      <w:r w:rsidR="00336C28" w:rsidRPr="008F364F">
        <w:rPr>
          <w:sz w:val="22"/>
        </w:rPr>
        <w:t>(</w:t>
      </w:r>
      <w:r w:rsidR="003E69AB" w:rsidRPr="008F364F">
        <w:rPr>
          <w:sz w:val="22"/>
        </w:rPr>
        <w:t>Erişim Tarihi: 13.02.2019</w:t>
      </w:r>
      <w:r w:rsidR="00336C28" w:rsidRPr="008F364F">
        <w:rPr>
          <w:sz w:val="22"/>
        </w:rPr>
        <w:t>)</w:t>
      </w:r>
      <w:r w:rsidR="00AF1266">
        <w:rPr>
          <w:sz w:val="22"/>
        </w:rPr>
        <w:t>.</w:t>
      </w:r>
    </w:p>
    <w:p w:rsidR="006110A0" w:rsidRPr="00AF1266" w:rsidRDefault="006110A0" w:rsidP="00B654EA">
      <w:pPr>
        <w:spacing w:before="120" w:after="120" w:line="240" w:lineRule="auto"/>
        <w:ind w:left="709" w:hanging="709"/>
        <w:rPr>
          <w:sz w:val="22"/>
        </w:rPr>
      </w:pPr>
      <w:r w:rsidRPr="00AF1266">
        <w:rPr>
          <w:sz w:val="22"/>
        </w:rPr>
        <w:t>Dünya Sağlık Örgütü, (2018), “</w:t>
      </w:r>
      <w:proofErr w:type="spellStart"/>
      <w:r w:rsidRPr="00AF1266">
        <w:rPr>
          <w:sz w:val="22"/>
        </w:rPr>
        <w:t>Managing</w:t>
      </w:r>
      <w:proofErr w:type="spellEnd"/>
      <w:r w:rsidRPr="00AF1266">
        <w:rPr>
          <w:sz w:val="22"/>
        </w:rPr>
        <w:t xml:space="preserve"> </w:t>
      </w:r>
      <w:proofErr w:type="spellStart"/>
      <w:r w:rsidRPr="00AF1266">
        <w:rPr>
          <w:sz w:val="22"/>
        </w:rPr>
        <w:t>Epidemics</w:t>
      </w:r>
      <w:proofErr w:type="spellEnd"/>
      <w:r w:rsidRPr="00AF1266">
        <w:rPr>
          <w:sz w:val="22"/>
        </w:rPr>
        <w:t xml:space="preserve">: </w:t>
      </w:r>
      <w:proofErr w:type="spellStart"/>
      <w:r w:rsidRPr="00AF1266">
        <w:rPr>
          <w:sz w:val="22"/>
        </w:rPr>
        <w:t>Key</w:t>
      </w:r>
      <w:proofErr w:type="spellEnd"/>
      <w:r w:rsidRPr="00AF1266">
        <w:rPr>
          <w:sz w:val="22"/>
        </w:rPr>
        <w:t xml:space="preserve"> </w:t>
      </w:r>
      <w:proofErr w:type="spellStart"/>
      <w:r w:rsidRPr="00AF1266">
        <w:rPr>
          <w:sz w:val="22"/>
        </w:rPr>
        <w:t>Facts</w:t>
      </w:r>
      <w:proofErr w:type="spellEnd"/>
      <w:r w:rsidRPr="00AF1266">
        <w:rPr>
          <w:sz w:val="22"/>
        </w:rPr>
        <w:t xml:space="preserve"> </w:t>
      </w:r>
      <w:proofErr w:type="spellStart"/>
      <w:r w:rsidRPr="00AF1266">
        <w:rPr>
          <w:sz w:val="22"/>
        </w:rPr>
        <w:t>About</w:t>
      </w:r>
      <w:proofErr w:type="spellEnd"/>
      <w:r w:rsidRPr="00AF1266">
        <w:rPr>
          <w:sz w:val="22"/>
        </w:rPr>
        <w:t xml:space="preserve"> </w:t>
      </w:r>
      <w:proofErr w:type="spellStart"/>
      <w:r w:rsidRPr="00AF1266">
        <w:rPr>
          <w:sz w:val="22"/>
        </w:rPr>
        <w:t>Major</w:t>
      </w:r>
      <w:proofErr w:type="spellEnd"/>
      <w:r w:rsidRPr="00AF1266">
        <w:rPr>
          <w:sz w:val="22"/>
        </w:rPr>
        <w:t xml:space="preserve"> Deadly </w:t>
      </w:r>
      <w:proofErr w:type="spellStart"/>
      <w:r w:rsidRPr="00AF1266">
        <w:rPr>
          <w:sz w:val="22"/>
        </w:rPr>
        <w:t>Diseases</w:t>
      </w:r>
      <w:proofErr w:type="spellEnd"/>
      <w:r w:rsidRPr="00AF1266">
        <w:rPr>
          <w:sz w:val="22"/>
        </w:rPr>
        <w:t>”, https://www.who.int/emergencies/diseases/managing-epidemics/en/, (Erişim Tarihi: 18.07.2019)</w:t>
      </w:r>
      <w:r w:rsidR="00AF1266">
        <w:rPr>
          <w:sz w:val="22"/>
        </w:rPr>
        <w:t>.</w:t>
      </w:r>
    </w:p>
    <w:p w:rsidR="005F770C" w:rsidRPr="008F364F" w:rsidRDefault="005F770C" w:rsidP="00B654EA">
      <w:pPr>
        <w:spacing w:before="120" w:after="120" w:line="240" w:lineRule="auto"/>
        <w:ind w:left="709" w:hanging="709"/>
        <w:rPr>
          <w:sz w:val="22"/>
        </w:rPr>
      </w:pPr>
      <w:r w:rsidRPr="008F364F">
        <w:rPr>
          <w:sz w:val="22"/>
        </w:rPr>
        <w:t xml:space="preserve">G7 </w:t>
      </w:r>
      <w:proofErr w:type="spellStart"/>
      <w:r w:rsidRPr="008F364F">
        <w:rPr>
          <w:sz w:val="22"/>
        </w:rPr>
        <w:t>Health</w:t>
      </w:r>
      <w:proofErr w:type="spellEnd"/>
      <w:r w:rsidRPr="008F364F">
        <w:rPr>
          <w:sz w:val="22"/>
        </w:rPr>
        <w:t xml:space="preserve"> </w:t>
      </w:r>
      <w:proofErr w:type="spellStart"/>
      <w:r w:rsidRPr="008F364F">
        <w:rPr>
          <w:sz w:val="22"/>
        </w:rPr>
        <w:t>Ministers</w:t>
      </w:r>
      <w:proofErr w:type="spellEnd"/>
      <w:r w:rsidR="00336C28" w:rsidRPr="008F364F">
        <w:rPr>
          <w:sz w:val="22"/>
        </w:rPr>
        <w:t>,</w:t>
      </w:r>
      <w:r w:rsidRPr="008F364F">
        <w:rPr>
          <w:sz w:val="22"/>
        </w:rPr>
        <w:t xml:space="preserve"> (2001), </w:t>
      </w:r>
      <w:r w:rsidR="003A133D" w:rsidRPr="008F364F">
        <w:rPr>
          <w:sz w:val="22"/>
        </w:rPr>
        <w:t>“</w:t>
      </w:r>
      <w:r w:rsidR="003E69AB" w:rsidRPr="008F364F">
        <w:rPr>
          <w:sz w:val="22"/>
        </w:rPr>
        <w:t xml:space="preserve">G7 </w:t>
      </w:r>
      <w:proofErr w:type="spellStart"/>
      <w:r w:rsidR="003E69AB" w:rsidRPr="008F364F">
        <w:rPr>
          <w:sz w:val="22"/>
        </w:rPr>
        <w:t>Health</w:t>
      </w:r>
      <w:proofErr w:type="spellEnd"/>
      <w:r w:rsidR="003E69AB" w:rsidRPr="008F364F">
        <w:rPr>
          <w:sz w:val="22"/>
        </w:rPr>
        <w:t xml:space="preserve"> </w:t>
      </w:r>
      <w:proofErr w:type="spellStart"/>
      <w:r w:rsidR="003E69AB" w:rsidRPr="008F364F">
        <w:rPr>
          <w:sz w:val="22"/>
        </w:rPr>
        <w:t>Ministers</w:t>
      </w:r>
      <w:proofErr w:type="spellEnd"/>
      <w:r w:rsidRPr="008F364F">
        <w:rPr>
          <w:sz w:val="22"/>
        </w:rPr>
        <w:t xml:space="preserve"> Meeting</w:t>
      </w:r>
      <w:r w:rsidR="003A133D" w:rsidRPr="008F364F">
        <w:rPr>
          <w:sz w:val="22"/>
        </w:rPr>
        <w:t>”</w:t>
      </w:r>
      <w:r w:rsidRPr="008F364F">
        <w:rPr>
          <w:sz w:val="22"/>
        </w:rPr>
        <w:t>, http://www.g8.utoronto.ca/health/ottawa2001.html</w:t>
      </w:r>
      <w:r w:rsidR="003E69AB" w:rsidRPr="008F364F">
        <w:rPr>
          <w:sz w:val="22"/>
        </w:rPr>
        <w:t xml:space="preserve">, </w:t>
      </w:r>
      <w:r w:rsidR="003A133D" w:rsidRPr="008F364F">
        <w:rPr>
          <w:sz w:val="22"/>
        </w:rPr>
        <w:t>(</w:t>
      </w:r>
      <w:r w:rsidR="003E69AB" w:rsidRPr="008F364F">
        <w:rPr>
          <w:sz w:val="22"/>
        </w:rPr>
        <w:t>Erişim Tarihi: 13.02.2019</w:t>
      </w:r>
      <w:r w:rsidR="003A133D" w:rsidRPr="008F364F">
        <w:rPr>
          <w:sz w:val="22"/>
        </w:rPr>
        <w:t>)</w:t>
      </w:r>
      <w:r w:rsidR="00AF1266">
        <w:rPr>
          <w:sz w:val="22"/>
        </w:rPr>
        <w:t>.</w:t>
      </w:r>
    </w:p>
    <w:p w:rsidR="005F770C" w:rsidRPr="008F364F" w:rsidRDefault="005F770C" w:rsidP="00B654EA">
      <w:pPr>
        <w:spacing w:before="120" w:after="120" w:line="240" w:lineRule="auto"/>
        <w:ind w:left="709" w:hanging="709"/>
        <w:rPr>
          <w:sz w:val="22"/>
        </w:rPr>
      </w:pPr>
      <w:r w:rsidRPr="008F364F">
        <w:rPr>
          <w:sz w:val="22"/>
        </w:rPr>
        <w:t xml:space="preserve">GPHIN </w:t>
      </w:r>
      <w:proofErr w:type="spellStart"/>
      <w:r w:rsidRPr="008F364F">
        <w:rPr>
          <w:sz w:val="22"/>
        </w:rPr>
        <w:t>Canada</w:t>
      </w:r>
      <w:proofErr w:type="spellEnd"/>
      <w:r w:rsidR="003A133D" w:rsidRPr="008F364F">
        <w:rPr>
          <w:sz w:val="22"/>
        </w:rPr>
        <w:t>,</w:t>
      </w:r>
      <w:r w:rsidR="003E69AB" w:rsidRPr="008F364F">
        <w:rPr>
          <w:sz w:val="22"/>
        </w:rPr>
        <w:t xml:space="preserve"> (2017)</w:t>
      </w:r>
      <w:r w:rsidRPr="008F364F">
        <w:rPr>
          <w:sz w:val="22"/>
        </w:rPr>
        <w:t xml:space="preserve">, </w:t>
      </w:r>
      <w:r w:rsidR="003A133D" w:rsidRPr="008F364F">
        <w:rPr>
          <w:sz w:val="22"/>
        </w:rPr>
        <w:t>“</w:t>
      </w:r>
      <w:proofErr w:type="spellStart"/>
      <w:r w:rsidRPr="008F364F">
        <w:rPr>
          <w:sz w:val="22"/>
        </w:rPr>
        <w:t>About</w:t>
      </w:r>
      <w:proofErr w:type="spellEnd"/>
      <w:r w:rsidRPr="008F364F">
        <w:rPr>
          <w:sz w:val="22"/>
        </w:rPr>
        <w:t xml:space="preserve"> GPHIN</w:t>
      </w:r>
      <w:r w:rsidR="003A133D" w:rsidRPr="008F364F">
        <w:rPr>
          <w:sz w:val="22"/>
        </w:rPr>
        <w:t>”</w:t>
      </w:r>
      <w:r w:rsidRPr="008F364F">
        <w:rPr>
          <w:sz w:val="22"/>
        </w:rPr>
        <w:t>, https://gphin.canada.ca/cepr/aboutgphin-rmispenbref.jsp?language=en_CA</w:t>
      </w:r>
      <w:r w:rsidR="003E69AB" w:rsidRPr="008F364F">
        <w:rPr>
          <w:sz w:val="22"/>
        </w:rPr>
        <w:t xml:space="preserve">, </w:t>
      </w:r>
      <w:r w:rsidR="003A133D" w:rsidRPr="008F364F">
        <w:rPr>
          <w:sz w:val="22"/>
        </w:rPr>
        <w:t>(</w:t>
      </w:r>
      <w:r w:rsidR="003E69AB" w:rsidRPr="008F364F">
        <w:rPr>
          <w:sz w:val="22"/>
        </w:rPr>
        <w:t>Erişim Tarihi: 13.02.2019</w:t>
      </w:r>
      <w:r w:rsidR="003A133D" w:rsidRPr="008F364F">
        <w:rPr>
          <w:sz w:val="22"/>
        </w:rPr>
        <w:t>)</w:t>
      </w:r>
      <w:r w:rsidR="00AF1266">
        <w:rPr>
          <w:sz w:val="22"/>
        </w:rPr>
        <w:t>.</w:t>
      </w:r>
    </w:p>
    <w:p w:rsidR="005F770C" w:rsidRPr="008F364F" w:rsidRDefault="00EB4B34" w:rsidP="00B654EA">
      <w:pPr>
        <w:spacing w:before="120" w:after="120" w:line="240" w:lineRule="auto"/>
        <w:ind w:left="709" w:hanging="709"/>
        <w:rPr>
          <w:sz w:val="22"/>
        </w:rPr>
      </w:pPr>
      <w:proofErr w:type="spellStart"/>
      <w:r w:rsidRPr="008F364F">
        <w:rPr>
          <w:sz w:val="22"/>
        </w:rPr>
        <w:t>Gubler</w:t>
      </w:r>
      <w:proofErr w:type="spellEnd"/>
      <w:r w:rsidRPr="008F364F">
        <w:rPr>
          <w:sz w:val="22"/>
        </w:rPr>
        <w:t xml:space="preserve">, </w:t>
      </w:r>
      <w:proofErr w:type="spellStart"/>
      <w:r w:rsidRPr="008F364F">
        <w:rPr>
          <w:sz w:val="22"/>
        </w:rPr>
        <w:t>Duane</w:t>
      </w:r>
      <w:proofErr w:type="spellEnd"/>
      <w:r w:rsidR="003A133D" w:rsidRPr="008F364F">
        <w:rPr>
          <w:sz w:val="22"/>
        </w:rPr>
        <w:t xml:space="preserve"> (2001).</w:t>
      </w:r>
      <w:r w:rsidR="005F770C" w:rsidRPr="008F364F">
        <w:rPr>
          <w:sz w:val="22"/>
        </w:rPr>
        <w:t xml:space="preserve"> </w:t>
      </w:r>
      <w:r w:rsidR="003A133D" w:rsidRPr="008F364F">
        <w:rPr>
          <w:sz w:val="22"/>
        </w:rPr>
        <w:t>“</w:t>
      </w:r>
      <w:r w:rsidR="005F770C" w:rsidRPr="008F364F">
        <w:rPr>
          <w:sz w:val="22"/>
        </w:rPr>
        <w:t xml:space="preserve">Human </w:t>
      </w:r>
      <w:proofErr w:type="spellStart"/>
      <w:r w:rsidRPr="008F364F">
        <w:rPr>
          <w:sz w:val="22"/>
        </w:rPr>
        <w:t>Arbovirus</w:t>
      </w:r>
      <w:proofErr w:type="spellEnd"/>
      <w:r w:rsidRPr="008F364F">
        <w:rPr>
          <w:sz w:val="22"/>
        </w:rPr>
        <w:t xml:space="preserve"> </w:t>
      </w:r>
      <w:proofErr w:type="spellStart"/>
      <w:r w:rsidRPr="008F364F">
        <w:rPr>
          <w:sz w:val="22"/>
        </w:rPr>
        <w:t>Infections</w:t>
      </w:r>
      <w:proofErr w:type="spellEnd"/>
      <w:r w:rsidRPr="008F364F">
        <w:rPr>
          <w:sz w:val="22"/>
        </w:rPr>
        <w:t xml:space="preserve"> </w:t>
      </w:r>
      <w:proofErr w:type="spellStart"/>
      <w:r w:rsidRPr="008F364F">
        <w:rPr>
          <w:sz w:val="22"/>
        </w:rPr>
        <w:t>W</w:t>
      </w:r>
      <w:r w:rsidR="006175A8" w:rsidRPr="008F364F">
        <w:rPr>
          <w:sz w:val="22"/>
        </w:rPr>
        <w:t>orldwide</w:t>
      </w:r>
      <w:proofErr w:type="spellEnd"/>
      <w:r w:rsidR="003A133D" w:rsidRPr="008F364F">
        <w:rPr>
          <w:sz w:val="22"/>
        </w:rPr>
        <w:t>”.</w:t>
      </w:r>
      <w:r w:rsidR="005F770C" w:rsidRPr="008F364F">
        <w:rPr>
          <w:sz w:val="22"/>
        </w:rPr>
        <w:t xml:space="preserve"> </w:t>
      </w:r>
      <w:proofErr w:type="spellStart"/>
      <w:r w:rsidR="005F770C" w:rsidRPr="008F364F">
        <w:rPr>
          <w:sz w:val="22"/>
        </w:rPr>
        <w:t>Annals</w:t>
      </w:r>
      <w:proofErr w:type="spellEnd"/>
      <w:r w:rsidR="005F770C" w:rsidRPr="008F364F">
        <w:rPr>
          <w:sz w:val="22"/>
        </w:rPr>
        <w:t xml:space="preserve"> of </w:t>
      </w:r>
      <w:proofErr w:type="spellStart"/>
      <w:r w:rsidR="005F770C" w:rsidRPr="008F364F">
        <w:rPr>
          <w:sz w:val="22"/>
        </w:rPr>
        <w:t>the</w:t>
      </w:r>
      <w:proofErr w:type="spellEnd"/>
      <w:r w:rsidR="005F770C" w:rsidRPr="008F364F">
        <w:rPr>
          <w:sz w:val="22"/>
        </w:rPr>
        <w:t xml:space="preserve"> New York Academy of </w:t>
      </w:r>
      <w:proofErr w:type="spellStart"/>
      <w:r w:rsidR="005F770C" w:rsidRPr="008F364F">
        <w:rPr>
          <w:sz w:val="22"/>
        </w:rPr>
        <w:t>Sciences</w:t>
      </w:r>
      <w:proofErr w:type="spellEnd"/>
      <w:r w:rsidR="003A133D" w:rsidRPr="008F364F">
        <w:rPr>
          <w:sz w:val="22"/>
        </w:rPr>
        <w:t xml:space="preserve">, 951(1): </w:t>
      </w:r>
      <w:r w:rsidR="005F770C" w:rsidRPr="008F364F">
        <w:rPr>
          <w:sz w:val="22"/>
        </w:rPr>
        <w:t>13-24.</w:t>
      </w:r>
    </w:p>
    <w:p w:rsidR="005F770C" w:rsidRPr="008F364F" w:rsidRDefault="005F770C" w:rsidP="00B654EA">
      <w:pPr>
        <w:spacing w:before="120" w:after="120" w:line="240" w:lineRule="auto"/>
        <w:ind w:left="709" w:hanging="709"/>
        <w:rPr>
          <w:sz w:val="22"/>
        </w:rPr>
      </w:pPr>
      <w:proofErr w:type="spellStart"/>
      <w:r w:rsidRPr="008F364F">
        <w:rPr>
          <w:sz w:val="22"/>
        </w:rPr>
        <w:lastRenderedPageBreak/>
        <w:t>Health</w:t>
      </w:r>
      <w:proofErr w:type="spellEnd"/>
      <w:r w:rsidRPr="008F364F">
        <w:rPr>
          <w:sz w:val="22"/>
        </w:rPr>
        <w:t>-Mil</w:t>
      </w:r>
      <w:r w:rsidR="003A133D" w:rsidRPr="008F364F">
        <w:rPr>
          <w:sz w:val="22"/>
        </w:rPr>
        <w:t>,</w:t>
      </w:r>
      <w:r w:rsidRPr="008F364F">
        <w:rPr>
          <w:sz w:val="22"/>
        </w:rPr>
        <w:t xml:space="preserve"> (2013), </w:t>
      </w:r>
      <w:r w:rsidR="003A133D" w:rsidRPr="008F364F">
        <w:rPr>
          <w:sz w:val="22"/>
        </w:rPr>
        <w:t>“</w:t>
      </w:r>
      <w:r w:rsidRPr="008F364F">
        <w:rPr>
          <w:sz w:val="22"/>
        </w:rPr>
        <w:t xml:space="preserve">Global </w:t>
      </w:r>
      <w:proofErr w:type="spellStart"/>
      <w:r w:rsidRPr="008F364F">
        <w:rPr>
          <w:sz w:val="22"/>
        </w:rPr>
        <w:t>Emerging</w:t>
      </w:r>
      <w:proofErr w:type="spellEnd"/>
      <w:r w:rsidRPr="008F364F">
        <w:rPr>
          <w:sz w:val="22"/>
        </w:rPr>
        <w:t xml:space="preserve"> </w:t>
      </w:r>
      <w:proofErr w:type="spellStart"/>
      <w:r w:rsidRPr="008F364F">
        <w:rPr>
          <w:sz w:val="22"/>
        </w:rPr>
        <w:t>Infections</w:t>
      </w:r>
      <w:proofErr w:type="spellEnd"/>
      <w:r w:rsidRPr="008F364F">
        <w:rPr>
          <w:sz w:val="22"/>
        </w:rPr>
        <w:t xml:space="preserve"> </w:t>
      </w:r>
      <w:proofErr w:type="spellStart"/>
      <w:r w:rsidRPr="008F364F">
        <w:rPr>
          <w:sz w:val="22"/>
        </w:rPr>
        <w:t>Surveillance</w:t>
      </w:r>
      <w:proofErr w:type="spellEnd"/>
      <w:r w:rsidRPr="008F364F">
        <w:rPr>
          <w:sz w:val="22"/>
        </w:rPr>
        <w:t xml:space="preserve"> </w:t>
      </w:r>
      <w:proofErr w:type="spellStart"/>
      <w:r w:rsidRPr="008F364F">
        <w:rPr>
          <w:sz w:val="22"/>
        </w:rPr>
        <w:t>and</w:t>
      </w:r>
      <w:proofErr w:type="spellEnd"/>
      <w:r w:rsidRPr="008F364F">
        <w:rPr>
          <w:sz w:val="22"/>
        </w:rPr>
        <w:t xml:space="preserve"> </w:t>
      </w:r>
      <w:proofErr w:type="spellStart"/>
      <w:r w:rsidRPr="008F364F">
        <w:rPr>
          <w:sz w:val="22"/>
        </w:rPr>
        <w:t>Response</w:t>
      </w:r>
      <w:proofErr w:type="spellEnd"/>
      <w:r w:rsidR="003A133D" w:rsidRPr="008F364F">
        <w:rPr>
          <w:sz w:val="22"/>
        </w:rPr>
        <w:t>”</w:t>
      </w:r>
      <w:r w:rsidRPr="008F364F">
        <w:rPr>
          <w:sz w:val="22"/>
        </w:rPr>
        <w:t>, https://www.health.mil/Military-Health-Topics/Health-Readiness/Armed-Forces-Health-Surveillance-Branch/Global-Emerging-Infections-Surveillance-and-Response</w:t>
      </w:r>
      <w:r w:rsidR="00EB4B34" w:rsidRPr="008F364F">
        <w:rPr>
          <w:sz w:val="22"/>
        </w:rPr>
        <w:t xml:space="preserve">, </w:t>
      </w:r>
      <w:r w:rsidR="003A133D" w:rsidRPr="008F364F">
        <w:rPr>
          <w:sz w:val="22"/>
        </w:rPr>
        <w:t>(</w:t>
      </w:r>
      <w:r w:rsidR="00EB4B34" w:rsidRPr="008F364F">
        <w:rPr>
          <w:sz w:val="22"/>
        </w:rPr>
        <w:t>Erişim Tarihi: 13.02.2019</w:t>
      </w:r>
      <w:r w:rsidR="003A133D" w:rsidRPr="008F364F">
        <w:rPr>
          <w:sz w:val="22"/>
        </w:rPr>
        <w:t>)</w:t>
      </w:r>
      <w:r w:rsidR="00AF1266">
        <w:rPr>
          <w:sz w:val="22"/>
        </w:rPr>
        <w:t>.</w:t>
      </w:r>
    </w:p>
    <w:p w:rsidR="005F770C" w:rsidRPr="008F364F" w:rsidRDefault="005F770C" w:rsidP="00B654EA">
      <w:pPr>
        <w:spacing w:before="120" w:after="120" w:line="240" w:lineRule="auto"/>
        <w:ind w:left="709" w:hanging="709"/>
        <w:rPr>
          <w:sz w:val="22"/>
        </w:rPr>
      </w:pPr>
      <w:proofErr w:type="spellStart"/>
      <w:r w:rsidRPr="008F364F">
        <w:rPr>
          <w:sz w:val="22"/>
        </w:rPr>
        <w:t>Henderson</w:t>
      </w:r>
      <w:proofErr w:type="spellEnd"/>
      <w:r w:rsidRPr="008F364F">
        <w:rPr>
          <w:sz w:val="22"/>
        </w:rPr>
        <w:t>, Donald</w:t>
      </w:r>
      <w:r w:rsidR="003A133D" w:rsidRPr="008F364F">
        <w:rPr>
          <w:sz w:val="22"/>
        </w:rPr>
        <w:t xml:space="preserve"> (1999).</w:t>
      </w:r>
      <w:r w:rsidR="00EB4B34" w:rsidRPr="008F364F">
        <w:rPr>
          <w:sz w:val="22"/>
        </w:rPr>
        <w:t xml:space="preserve"> </w:t>
      </w:r>
      <w:r w:rsidR="003A133D" w:rsidRPr="008F364F">
        <w:rPr>
          <w:sz w:val="22"/>
        </w:rPr>
        <w:t>“</w:t>
      </w:r>
      <w:proofErr w:type="spellStart"/>
      <w:r w:rsidR="00EB4B34" w:rsidRPr="008F364F">
        <w:rPr>
          <w:sz w:val="22"/>
        </w:rPr>
        <w:t>The</w:t>
      </w:r>
      <w:proofErr w:type="spellEnd"/>
      <w:r w:rsidR="00EB4B34" w:rsidRPr="008F364F">
        <w:rPr>
          <w:sz w:val="22"/>
        </w:rPr>
        <w:t xml:space="preserve"> </w:t>
      </w:r>
      <w:proofErr w:type="spellStart"/>
      <w:r w:rsidR="00EB4B34" w:rsidRPr="008F364F">
        <w:rPr>
          <w:sz w:val="22"/>
        </w:rPr>
        <w:t>Looming</w:t>
      </w:r>
      <w:proofErr w:type="spellEnd"/>
      <w:r w:rsidR="00EB4B34" w:rsidRPr="008F364F">
        <w:rPr>
          <w:sz w:val="22"/>
        </w:rPr>
        <w:t xml:space="preserve"> </w:t>
      </w:r>
      <w:proofErr w:type="spellStart"/>
      <w:r w:rsidR="00EB4B34" w:rsidRPr="008F364F">
        <w:rPr>
          <w:sz w:val="22"/>
        </w:rPr>
        <w:t>Threat</w:t>
      </w:r>
      <w:proofErr w:type="spellEnd"/>
      <w:r w:rsidR="00EB4B34" w:rsidRPr="008F364F">
        <w:rPr>
          <w:sz w:val="22"/>
        </w:rPr>
        <w:t xml:space="preserve"> of </w:t>
      </w:r>
      <w:proofErr w:type="spellStart"/>
      <w:r w:rsidR="00EB4B34" w:rsidRPr="008F364F">
        <w:rPr>
          <w:sz w:val="22"/>
        </w:rPr>
        <w:t>B</w:t>
      </w:r>
      <w:r w:rsidR="006175A8" w:rsidRPr="008F364F">
        <w:rPr>
          <w:sz w:val="22"/>
        </w:rPr>
        <w:t>ioterrorism</w:t>
      </w:r>
      <w:proofErr w:type="spellEnd"/>
      <w:r w:rsidR="003A133D" w:rsidRPr="008F364F">
        <w:rPr>
          <w:sz w:val="22"/>
        </w:rPr>
        <w:t>”.</w:t>
      </w:r>
      <w:r w:rsidRPr="008F364F">
        <w:rPr>
          <w:sz w:val="22"/>
        </w:rPr>
        <w:t xml:space="preserve"> </w:t>
      </w:r>
      <w:proofErr w:type="spellStart"/>
      <w:r w:rsidRPr="008F364F">
        <w:rPr>
          <w:sz w:val="22"/>
        </w:rPr>
        <w:t>Science</w:t>
      </w:r>
      <w:proofErr w:type="spellEnd"/>
      <w:r w:rsidR="003A133D" w:rsidRPr="008F364F">
        <w:rPr>
          <w:sz w:val="22"/>
        </w:rPr>
        <w:t>, 283(5406):</w:t>
      </w:r>
      <w:r w:rsidR="006175A8" w:rsidRPr="008F364F">
        <w:rPr>
          <w:sz w:val="22"/>
        </w:rPr>
        <w:t xml:space="preserve"> </w:t>
      </w:r>
      <w:r w:rsidRPr="008F364F">
        <w:rPr>
          <w:sz w:val="22"/>
        </w:rPr>
        <w:t>1279-1282.</w:t>
      </w:r>
    </w:p>
    <w:p w:rsidR="005F770C" w:rsidRPr="008F364F" w:rsidRDefault="003A133D" w:rsidP="00B654EA">
      <w:pPr>
        <w:spacing w:before="120" w:after="120" w:line="240" w:lineRule="auto"/>
        <w:ind w:left="709" w:hanging="709"/>
        <w:rPr>
          <w:sz w:val="22"/>
        </w:rPr>
      </w:pPr>
      <w:proofErr w:type="spellStart"/>
      <w:r w:rsidRPr="008F364F">
        <w:rPr>
          <w:sz w:val="22"/>
        </w:rPr>
        <w:t>Heymann</w:t>
      </w:r>
      <w:proofErr w:type="spellEnd"/>
      <w:r w:rsidRPr="008F364F">
        <w:rPr>
          <w:sz w:val="22"/>
        </w:rPr>
        <w:t>, David (2003).</w:t>
      </w:r>
      <w:r w:rsidR="0073326B" w:rsidRPr="008F364F">
        <w:rPr>
          <w:sz w:val="22"/>
        </w:rPr>
        <w:t xml:space="preserve"> </w:t>
      </w:r>
      <w:r w:rsidRPr="008F364F">
        <w:rPr>
          <w:sz w:val="22"/>
        </w:rPr>
        <w:t>“</w:t>
      </w:r>
      <w:proofErr w:type="spellStart"/>
      <w:r w:rsidR="0073326B" w:rsidRPr="008F364F">
        <w:rPr>
          <w:sz w:val="22"/>
        </w:rPr>
        <w:t>The</w:t>
      </w:r>
      <w:proofErr w:type="spellEnd"/>
      <w:r w:rsidR="0073326B" w:rsidRPr="008F364F">
        <w:rPr>
          <w:sz w:val="22"/>
        </w:rPr>
        <w:t xml:space="preserve"> </w:t>
      </w:r>
      <w:proofErr w:type="spellStart"/>
      <w:r w:rsidR="0073326B" w:rsidRPr="008F364F">
        <w:rPr>
          <w:sz w:val="22"/>
        </w:rPr>
        <w:t>Evolving</w:t>
      </w:r>
      <w:proofErr w:type="spellEnd"/>
      <w:r w:rsidR="0073326B" w:rsidRPr="008F364F">
        <w:rPr>
          <w:sz w:val="22"/>
        </w:rPr>
        <w:t xml:space="preserve"> </w:t>
      </w:r>
      <w:proofErr w:type="spellStart"/>
      <w:r w:rsidR="0073326B" w:rsidRPr="008F364F">
        <w:rPr>
          <w:sz w:val="22"/>
        </w:rPr>
        <w:t>Infectious</w:t>
      </w:r>
      <w:proofErr w:type="spellEnd"/>
      <w:r w:rsidR="0073326B" w:rsidRPr="008F364F">
        <w:rPr>
          <w:sz w:val="22"/>
        </w:rPr>
        <w:t xml:space="preserve"> </w:t>
      </w:r>
      <w:proofErr w:type="spellStart"/>
      <w:r w:rsidR="0073326B" w:rsidRPr="008F364F">
        <w:rPr>
          <w:sz w:val="22"/>
        </w:rPr>
        <w:t>Disease</w:t>
      </w:r>
      <w:proofErr w:type="spellEnd"/>
      <w:r w:rsidR="0073326B" w:rsidRPr="008F364F">
        <w:rPr>
          <w:sz w:val="22"/>
        </w:rPr>
        <w:t xml:space="preserve"> </w:t>
      </w:r>
      <w:proofErr w:type="spellStart"/>
      <w:r w:rsidR="0073326B" w:rsidRPr="008F364F">
        <w:rPr>
          <w:sz w:val="22"/>
        </w:rPr>
        <w:t>Threat</w:t>
      </w:r>
      <w:proofErr w:type="spellEnd"/>
      <w:r w:rsidR="0073326B" w:rsidRPr="008F364F">
        <w:rPr>
          <w:sz w:val="22"/>
        </w:rPr>
        <w:t xml:space="preserve">: </w:t>
      </w:r>
      <w:proofErr w:type="spellStart"/>
      <w:r w:rsidR="0073326B" w:rsidRPr="008F364F">
        <w:rPr>
          <w:sz w:val="22"/>
        </w:rPr>
        <w:t>Implications</w:t>
      </w:r>
      <w:proofErr w:type="spellEnd"/>
      <w:r w:rsidR="0073326B" w:rsidRPr="008F364F">
        <w:rPr>
          <w:sz w:val="22"/>
        </w:rPr>
        <w:t xml:space="preserve"> </w:t>
      </w:r>
      <w:proofErr w:type="spellStart"/>
      <w:r w:rsidR="0073326B" w:rsidRPr="008F364F">
        <w:rPr>
          <w:sz w:val="22"/>
        </w:rPr>
        <w:t>for</w:t>
      </w:r>
      <w:proofErr w:type="spellEnd"/>
      <w:r w:rsidR="0073326B" w:rsidRPr="008F364F">
        <w:rPr>
          <w:sz w:val="22"/>
        </w:rPr>
        <w:t xml:space="preserve"> </w:t>
      </w:r>
      <w:proofErr w:type="spellStart"/>
      <w:r w:rsidR="0073326B" w:rsidRPr="008F364F">
        <w:rPr>
          <w:sz w:val="22"/>
        </w:rPr>
        <w:t>National</w:t>
      </w:r>
      <w:proofErr w:type="spellEnd"/>
      <w:r w:rsidR="0073326B" w:rsidRPr="008F364F">
        <w:rPr>
          <w:sz w:val="22"/>
        </w:rPr>
        <w:t xml:space="preserve"> </w:t>
      </w:r>
      <w:proofErr w:type="spellStart"/>
      <w:r w:rsidR="0073326B" w:rsidRPr="008F364F">
        <w:rPr>
          <w:sz w:val="22"/>
        </w:rPr>
        <w:t>and</w:t>
      </w:r>
      <w:proofErr w:type="spellEnd"/>
      <w:r w:rsidR="0073326B" w:rsidRPr="008F364F">
        <w:rPr>
          <w:sz w:val="22"/>
        </w:rPr>
        <w:t xml:space="preserve"> Global S</w:t>
      </w:r>
      <w:r w:rsidR="005F770C" w:rsidRPr="008F364F">
        <w:rPr>
          <w:sz w:val="22"/>
        </w:rPr>
        <w:t>e</w:t>
      </w:r>
      <w:r w:rsidR="006175A8" w:rsidRPr="008F364F">
        <w:rPr>
          <w:sz w:val="22"/>
        </w:rPr>
        <w:t>curity</w:t>
      </w:r>
      <w:r w:rsidRPr="008F364F">
        <w:rPr>
          <w:sz w:val="22"/>
        </w:rPr>
        <w:t>”.</w:t>
      </w:r>
      <w:r w:rsidR="005F770C" w:rsidRPr="008F364F">
        <w:rPr>
          <w:sz w:val="22"/>
        </w:rPr>
        <w:t xml:space="preserve"> </w:t>
      </w:r>
      <w:proofErr w:type="spellStart"/>
      <w:r w:rsidR="005F770C" w:rsidRPr="008F364F">
        <w:rPr>
          <w:sz w:val="22"/>
        </w:rPr>
        <w:t>Journal</w:t>
      </w:r>
      <w:proofErr w:type="spellEnd"/>
      <w:r w:rsidR="005F770C" w:rsidRPr="008F364F">
        <w:rPr>
          <w:sz w:val="22"/>
        </w:rPr>
        <w:t xml:space="preserve"> of Human Development</w:t>
      </w:r>
      <w:r w:rsidRPr="008F364F">
        <w:rPr>
          <w:sz w:val="22"/>
        </w:rPr>
        <w:t xml:space="preserve">, 4(2): </w:t>
      </w:r>
      <w:r w:rsidR="005F770C" w:rsidRPr="008F364F">
        <w:rPr>
          <w:sz w:val="22"/>
        </w:rPr>
        <w:t>191-207.</w:t>
      </w:r>
    </w:p>
    <w:p w:rsidR="005F770C" w:rsidRPr="008F364F" w:rsidRDefault="0073326B" w:rsidP="00B654EA">
      <w:pPr>
        <w:spacing w:before="120" w:after="120" w:line="240" w:lineRule="auto"/>
        <w:ind w:left="709" w:hanging="709"/>
        <w:rPr>
          <w:sz w:val="22"/>
        </w:rPr>
      </w:pPr>
      <w:proofErr w:type="spellStart"/>
      <w:r w:rsidRPr="008F364F">
        <w:rPr>
          <w:sz w:val="22"/>
        </w:rPr>
        <w:t>Heymann</w:t>
      </w:r>
      <w:proofErr w:type="spellEnd"/>
      <w:r w:rsidRPr="008F364F">
        <w:rPr>
          <w:sz w:val="22"/>
        </w:rPr>
        <w:t xml:space="preserve">, David ve </w:t>
      </w:r>
      <w:proofErr w:type="spellStart"/>
      <w:r w:rsidRPr="008F364F">
        <w:rPr>
          <w:sz w:val="22"/>
        </w:rPr>
        <w:t>Rodier</w:t>
      </w:r>
      <w:proofErr w:type="spellEnd"/>
      <w:r w:rsidRPr="008F364F">
        <w:rPr>
          <w:sz w:val="22"/>
        </w:rPr>
        <w:t xml:space="preserve">, </w:t>
      </w:r>
      <w:proofErr w:type="spellStart"/>
      <w:r w:rsidRPr="008F364F">
        <w:rPr>
          <w:sz w:val="22"/>
        </w:rPr>
        <w:t>Guenael</w:t>
      </w:r>
      <w:proofErr w:type="spellEnd"/>
      <w:r w:rsidRPr="008F364F">
        <w:rPr>
          <w:sz w:val="22"/>
        </w:rPr>
        <w:t xml:space="preserve"> (2001). </w:t>
      </w:r>
      <w:r w:rsidR="003A133D" w:rsidRPr="008F364F">
        <w:rPr>
          <w:sz w:val="22"/>
        </w:rPr>
        <w:t>“</w:t>
      </w:r>
      <w:r w:rsidRPr="008F364F">
        <w:rPr>
          <w:sz w:val="22"/>
        </w:rPr>
        <w:t xml:space="preserve">Hot Spots in A </w:t>
      </w:r>
      <w:proofErr w:type="spellStart"/>
      <w:r w:rsidRPr="008F364F">
        <w:rPr>
          <w:sz w:val="22"/>
        </w:rPr>
        <w:t>Wired</w:t>
      </w:r>
      <w:proofErr w:type="spellEnd"/>
      <w:r w:rsidRPr="008F364F">
        <w:rPr>
          <w:sz w:val="22"/>
        </w:rPr>
        <w:t xml:space="preserve"> World: WH</w:t>
      </w:r>
      <w:r w:rsidR="006175A8" w:rsidRPr="008F364F">
        <w:rPr>
          <w:sz w:val="22"/>
        </w:rPr>
        <w:t xml:space="preserve">O </w:t>
      </w:r>
      <w:proofErr w:type="spellStart"/>
      <w:r w:rsidR="006175A8" w:rsidRPr="008F364F">
        <w:rPr>
          <w:sz w:val="22"/>
        </w:rPr>
        <w:t>Surveillance</w:t>
      </w:r>
      <w:proofErr w:type="spellEnd"/>
      <w:r w:rsidR="006175A8" w:rsidRPr="008F364F">
        <w:rPr>
          <w:sz w:val="22"/>
        </w:rPr>
        <w:t xml:space="preserve"> of </w:t>
      </w:r>
      <w:proofErr w:type="spellStart"/>
      <w:r w:rsidR="006175A8" w:rsidRPr="008F364F">
        <w:rPr>
          <w:sz w:val="22"/>
        </w:rPr>
        <w:t>Emerging</w:t>
      </w:r>
      <w:proofErr w:type="spellEnd"/>
      <w:r w:rsidR="006175A8" w:rsidRPr="008F364F">
        <w:rPr>
          <w:sz w:val="22"/>
        </w:rPr>
        <w:t xml:space="preserve"> </w:t>
      </w:r>
      <w:proofErr w:type="spellStart"/>
      <w:r w:rsidR="006175A8" w:rsidRPr="008F364F">
        <w:rPr>
          <w:sz w:val="22"/>
        </w:rPr>
        <w:t>And</w:t>
      </w:r>
      <w:proofErr w:type="spellEnd"/>
      <w:r w:rsidR="006175A8" w:rsidRPr="008F364F">
        <w:rPr>
          <w:sz w:val="22"/>
        </w:rPr>
        <w:t xml:space="preserve"> Re-</w:t>
      </w:r>
      <w:proofErr w:type="spellStart"/>
      <w:r w:rsidR="006175A8" w:rsidRPr="008F364F">
        <w:rPr>
          <w:sz w:val="22"/>
        </w:rPr>
        <w:t>emerging</w:t>
      </w:r>
      <w:proofErr w:type="spellEnd"/>
      <w:r w:rsidR="006175A8" w:rsidRPr="008F364F">
        <w:rPr>
          <w:sz w:val="22"/>
        </w:rPr>
        <w:t xml:space="preserve"> </w:t>
      </w:r>
      <w:proofErr w:type="spellStart"/>
      <w:r w:rsidR="006175A8" w:rsidRPr="008F364F">
        <w:rPr>
          <w:sz w:val="22"/>
        </w:rPr>
        <w:t>Infectious</w:t>
      </w:r>
      <w:proofErr w:type="spellEnd"/>
      <w:r w:rsidR="006175A8" w:rsidRPr="008F364F">
        <w:rPr>
          <w:sz w:val="22"/>
        </w:rPr>
        <w:t xml:space="preserve"> </w:t>
      </w:r>
      <w:proofErr w:type="spellStart"/>
      <w:r w:rsidR="006175A8" w:rsidRPr="008F364F">
        <w:rPr>
          <w:sz w:val="22"/>
        </w:rPr>
        <w:t>Diseases</w:t>
      </w:r>
      <w:proofErr w:type="spellEnd"/>
      <w:r w:rsidR="003A133D" w:rsidRPr="008F364F">
        <w:rPr>
          <w:sz w:val="22"/>
        </w:rPr>
        <w:t>”.</w:t>
      </w:r>
      <w:r w:rsidRPr="008F364F">
        <w:rPr>
          <w:sz w:val="22"/>
        </w:rPr>
        <w:t xml:space="preserve"> </w:t>
      </w:r>
      <w:proofErr w:type="spellStart"/>
      <w:r w:rsidRPr="008F364F">
        <w:rPr>
          <w:sz w:val="22"/>
        </w:rPr>
        <w:t>The</w:t>
      </w:r>
      <w:proofErr w:type="spellEnd"/>
      <w:r w:rsidRPr="008F364F">
        <w:rPr>
          <w:sz w:val="22"/>
        </w:rPr>
        <w:t xml:space="preserve"> </w:t>
      </w:r>
      <w:proofErr w:type="spellStart"/>
      <w:r w:rsidRPr="008F364F">
        <w:rPr>
          <w:sz w:val="22"/>
        </w:rPr>
        <w:t>Lancet</w:t>
      </w:r>
      <w:proofErr w:type="spellEnd"/>
      <w:r w:rsidRPr="008F364F">
        <w:rPr>
          <w:sz w:val="22"/>
        </w:rPr>
        <w:t xml:space="preserve"> </w:t>
      </w:r>
      <w:proofErr w:type="spellStart"/>
      <w:r w:rsidRPr="008F364F">
        <w:rPr>
          <w:sz w:val="22"/>
        </w:rPr>
        <w:t>Infectious</w:t>
      </w:r>
      <w:proofErr w:type="spellEnd"/>
      <w:r w:rsidRPr="008F364F">
        <w:rPr>
          <w:sz w:val="22"/>
        </w:rPr>
        <w:t xml:space="preserve"> </w:t>
      </w:r>
      <w:proofErr w:type="spellStart"/>
      <w:r w:rsidRPr="008F364F">
        <w:rPr>
          <w:sz w:val="22"/>
        </w:rPr>
        <w:t>D</w:t>
      </w:r>
      <w:r w:rsidR="005F770C" w:rsidRPr="008F364F">
        <w:rPr>
          <w:sz w:val="22"/>
        </w:rPr>
        <w:t>iseases</w:t>
      </w:r>
      <w:proofErr w:type="spellEnd"/>
      <w:r w:rsidR="003A133D" w:rsidRPr="008F364F">
        <w:rPr>
          <w:sz w:val="22"/>
        </w:rPr>
        <w:t xml:space="preserve">, 1(5): </w:t>
      </w:r>
      <w:r w:rsidR="005F770C" w:rsidRPr="008F364F">
        <w:rPr>
          <w:sz w:val="22"/>
        </w:rPr>
        <w:t>345-353.</w:t>
      </w:r>
    </w:p>
    <w:p w:rsidR="005F770C" w:rsidRPr="008F364F" w:rsidRDefault="00407298" w:rsidP="00B654EA">
      <w:pPr>
        <w:spacing w:before="120" w:after="120" w:line="240" w:lineRule="auto"/>
        <w:ind w:left="709" w:hanging="709"/>
        <w:rPr>
          <w:sz w:val="22"/>
        </w:rPr>
      </w:pPr>
      <w:proofErr w:type="spellStart"/>
      <w:r w:rsidRPr="008F364F">
        <w:rPr>
          <w:sz w:val="22"/>
        </w:rPr>
        <w:t>Kelley</w:t>
      </w:r>
      <w:proofErr w:type="spellEnd"/>
      <w:r w:rsidRPr="008F364F">
        <w:rPr>
          <w:sz w:val="22"/>
        </w:rPr>
        <w:t xml:space="preserve">, </w:t>
      </w:r>
      <w:proofErr w:type="spellStart"/>
      <w:r w:rsidRPr="008F364F">
        <w:rPr>
          <w:sz w:val="22"/>
        </w:rPr>
        <w:t>Patrick</w:t>
      </w:r>
      <w:proofErr w:type="spellEnd"/>
      <w:r w:rsidR="006175A8" w:rsidRPr="008F364F">
        <w:rPr>
          <w:sz w:val="22"/>
        </w:rPr>
        <w:t xml:space="preserve"> (200</w:t>
      </w:r>
      <w:r w:rsidR="003A133D" w:rsidRPr="008F364F">
        <w:rPr>
          <w:sz w:val="22"/>
        </w:rPr>
        <w:t>0).</w:t>
      </w:r>
      <w:r w:rsidR="005F770C" w:rsidRPr="008F364F">
        <w:rPr>
          <w:sz w:val="22"/>
        </w:rPr>
        <w:t xml:space="preserve"> </w:t>
      </w:r>
      <w:r w:rsidR="003A133D" w:rsidRPr="008F364F">
        <w:rPr>
          <w:sz w:val="22"/>
        </w:rPr>
        <w:t>“</w:t>
      </w:r>
      <w:proofErr w:type="spellStart"/>
      <w:r w:rsidRPr="008F364F">
        <w:rPr>
          <w:sz w:val="22"/>
        </w:rPr>
        <w:t>Transnational</w:t>
      </w:r>
      <w:proofErr w:type="spellEnd"/>
      <w:r w:rsidRPr="008F364F">
        <w:rPr>
          <w:sz w:val="22"/>
        </w:rPr>
        <w:t xml:space="preserve"> </w:t>
      </w:r>
      <w:proofErr w:type="spellStart"/>
      <w:r w:rsidRPr="008F364F">
        <w:rPr>
          <w:sz w:val="22"/>
        </w:rPr>
        <w:t>Contagion</w:t>
      </w:r>
      <w:proofErr w:type="spellEnd"/>
      <w:r w:rsidRPr="008F364F">
        <w:rPr>
          <w:sz w:val="22"/>
        </w:rPr>
        <w:t xml:space="preserve"> </w:t>
      </w:r>
      <w:proofErr w:type="spellStart"/>
      <w:r w:rsidRPr="008F364F">
        <w:rPr>
          <w:sz w:val="22"/>
        </w:rPr>
        <w:t>And</w:t>
      </w:r>
      <w:proofErr w:type="spellEnd"/>
      <w:r w:rsidRPr="008F364F">
        <w:rPr>
          <w:sz w:val="22"/>
        </w:rPr>
        <w:t xml:space="preserve"> Global S</w:t>
      </w:r>
      <w:r w:rsidR="005F770C" w:rsidRPr="008F364F">
        <w:rPr>
          <w:sz w:val="22"/>
        </w:rPr>
        <w:t>ecur</w:t>
      </w:r>
      <w:r w:rsidR="006175A8" w:rsidRPr="008F364F">
        <w:rPr>
          <w:sz w:val="22"/>
        </w:rPr>
        <w:t>ity</w:t>
      </w:r>
      <w:r w:rsidR="003A133D" w:rsidRPr="008F364F">
        <w:rPr>
          <w:sz w:val="22"/>
        </w:rPr>
        <w:t>”.</w:t>
      </w:r>
      <w:r w:rsidR="005F770C" w:rsidRPr="008F364F">
        <w:rPr>
          <w:sz w:val="22"/>
        </w:rPr>
        <w:t xml:space="preserve"> </w:t>
      </w:r>
      <w:proofErr w:type="spellStart"/>
      <w:r w:rsidR="005F770C" w:rsidRPr="008F364F">
        <w:rPr>
          <w:sz w:val="22"/>
        </w:rPr>
        <w:t>Military</w:t>
      </w:r>
      <w:proofErr w:type="spellEnd"/>
      <w:r w:rsidR="005F770C" w:rsidRPr="008F364F">
        <w:rPr>
          <w:sz w:val="22"/>
        </w:rPr>
        <w:t xml:space="preserve"> </w:t>
      </w:r>
      <w:proofErr w:type="spellStart"/>
      <w:r w:rsidR="005F770C" w:rsidRPr="008F364F">
        <w:rPr>
          <w:sz w:val="22"/>
        </w:rPr>
        <w:t>Review</w:t>
      </w:r>
      <w:proofErr w:type="spellEnd"/>
      <w:r w:rsidR="003A133D" w:rsidRPr="008F364F">
        <w:rPr>
          <w:sz w:val="22"/>
        </w:rPr>
        <w:t xml:space="preserve">, 80(3): </w:t>
      </w:r>
      <w:r w:rsidR="005F770C" w:rsidRPr="008F364F">
        <w:rPr>
          <w:sz w:val="22"/>
        </w:rPr>
        <w:t>59-64.</w:t>
      </w:r>
    </w:p>
    <w:p w:rsidR="005F770C" w:rsidRPr="008F364F" w:rsidRDefault="00407298" w:rsidP="00B654EA">
      <w:pPr>
        <w:spacing w:line="240" w:lineRule="auto"/>
        <w:ind w:left="709" w:hanging="709"/>
        <w:rPr>
          <w:sz w:val="22"/>
        </w:rPr>
      </w:pPr>
      <w:proofErr w:type="spellStart"/>
      <w:r w:rsidRPr="008F364F">
        <w:rPr>
          <w:sz w:val="22"/>
        </w:rPr>
        <w:t>Knobler</w:t>
      </w:r>
      <w:proofErr w:type="spellEnd"/>
      <w:r w:rsidRPr="008F364F">
        <w:rPr>
          <w:sz w:val="22"/>
        </w:rPr>
        <w:t xml:space="preserve">, </w:t>
      </w:r>
      <w:proofErr w:type="spellStart"/>
      <w:r w:rsidRPr="008F364F">
        <w:rPr>
          <w:sz w:val="22"/>
        </w:rPr>
        <w:t>Stacey</w:t>
      </w:r>
      <w:proofErr w:type="spellEnd"/>
      <w:r w:rsidRPr="008F364F">
        <w:rPr>
          <w:sz w:val="22"/>
        </w:rPr>
        <w:t xml:space="preserve"> &amp; </w:t>
      </w:r>
      <w:proofErr w:type="spellStart"/>
      <w:r w:rsidRPr="008F364F">
        <w:rPr>
          <w:sz w:val="22"/>
        </w:rPr>
        <w:t>Mahmoud</w:t>
      </w:r>
      <w:proofErr w:type="spellEnd"/>
      <w:r w:rsidRPr="008F364F">
        <w:rPr>
          <w:sz w:val="22"/>
        </w:rPr>
        <w:t xml:space="preserve">, </w:t>
      </w:r>
      <w:proofErr w:type="spellStart"/>
      <w:r w:rsidRPr="008F364F">
        <w:rPr>
          <w:sz w:val="22"/>
        </w:rPr>
        <w:t>Adel</w:t>
      </w:r>
      <w:proofErr w:type="spellEnd"/>
      <w:r w:rsidRPr="008F364F">
        <w:rPr>
          <w:sz w:val="22"/>
        </w:rPr>
        <w:t xml:space="preserve"> &amp; </w:t>
      </w:r>
      <w:proofErr w:type="spellStart"/>
      <w:r w:rsidRPr="008F364F">
        <w:rPr>
          <w:sz w:val="22"/>
        </w:rPr>
        <w:t>Pray</w:t>
      </w:r>
      <w:proofErr w:type="spellEnd"/>
      <w:r w:rsidRPr="008F364F">
        <w:rPr>
          <w:sz w:val="22"/>
        </w:rPr>
        <w:t xml:space="preserve">, </w:t>
      </w:r>
      <w:proofErr w:type="spellStart"/>
      <w:r w:rsidRPr="008F364F">
        <w:rPr>
          <w:sz w:val="22"/>
        </w:rPr>
        <w:t>Leslie</w:t>
      </w:r>
      <w:proofErr w:type="spellEnd"/>
      <w:r w:rsidR="005F770C" w:rsidRPr="008F364F">
        <w:rPr>
          <w:sz w:val="22"/>
        </w:rPr>
        <w:t xml:space="preserve"> (2002)</w:t>
      </w:r>
      <w:r w:rsidR="003F03D4" w:rsidRPr="008F364F">
        <w:rPr>
          <w:sz w:val="22"/>
        </w:rPr>
        <w:t>.</w:t>
      </w:r>
      <w:r w:rsidR="005F770C" w:rsidRPr="008F364F">
        <w:rPr>
          <w:sz w:val="22"/>
        </w:rPr>
        <w:t xml:space="preserve"> </w:t>
      </w:r>
      <w:proofErr w:type="spellStart"/>
      <w:r w:rsidR="005F770C" w:rsidRPr="008F364F">
        <w:rPr>
          <w:i/>
          <w:sz w:val="22"/>
        </w:rPr>
        <w:t>Biological</w:t>
      </w:r>
      <w:proofErr w:type="spellEnd"/>
      <w:r w:rsidR="005F770C" w:rsidRPr="008F364F">
        <w:rPr>
          <w:i/>
          <w:sz w:val="22"/>
        </w:rPr>
        <w:t xml:space="preserve"> </w:t>
      </w:r>
      <w:proofErr w:type="spellStart"/>
      <w:r w:rsidR="005F770C" w:rsidRPr="008F364F">
        <w:rPr>
          <w:i/>
          <w:sz w:val="22"/>
        </w:rPr>
        <w:t>Threats</w:t>
      </w:r>
      <w:proofErr w:type="spellEnd"/>
      <w:r w:rsidR="005F770C" w:rsidRPr="008F364F">
        <w:rPr>
          <w:i/>
          <w:sz w:val="22"/>
        </w:rPr>
        <w:t xml:space="preserve"> </w:t>
      </w:r>
      <w:proofErr w:type="spellStart"/>
      <w:r w:rsidR="005F770C" w:rsidRPr="008F364F">
        <w:rPr>
          <w:i/>
          <w:sz w:val="22"/>
        </w:rPr>
        <w:t>and</w:t>
      </w:r>
      <w:proofErr w:type="spellEnd"/>
      <w:r w:rsidR="005F770C" w:rsidRPr="008F364F">
        <w:rPr>
          <w:i/>
          <w:sz w:val="22"/>
        </w:rPr>
        <w:t xml:space="preserve"> </w:t>
      </w:r>
      <w:proofErr w:type="spellStart"/>
      <w:r w:rsidR="005F770C" w:rsidRPr="008F364F">
        <w:rPr>
          <w:i/>
          <w:sz w:val="22"/>
        </w:rPr>
        <w:t>Terrorism</w:t>
      </w:r>
      <w:proofErr w:type="spellEnd"/>
      <w:r w:rsidR="005F770C" w:rsidRPr="008F364F">
        <w:rPr>
          <w:i/>
          <w:sz w:val="22"/>
        </w:rPr>
        <w:t xml:space="preserve">. </w:t>
      </w:r>
      <w:proofErr w:type="spellStart"/>
      <w:r w:rsidR="005F770C" w:rsidRPr="008F364F">
        <w:rPr>
          <w:i/>
          <w:sz w:val="22"/>
        </w:rPr>
        <w:t>Assessing</w:t>
      </w:r>
      <w:proofErr w:type="spellEnd"/>
      <w:r w:rsidR="005F770C" w:rsidRPr="008F364F">
        <w:rPr>
          <w:i/>
          <w:sz w:val="22"/>
        </w:rPr>
        <w:t xml:space="preserve"> </w:t>
      </w:r>
      <w:proofErr w:type="spellStart"/>
      <w:r w:rsidR="005F770C" w:rsidRPr="008F364F">
        <w:rPr>
          <w:i/>
          <w:sz w:val="22"/>
        </w:rPr>
        <w:t>the</w:t>
      </w:r>
      <w:proofErr w:type="spellEnd"/>
      <w:r w:rsidR="005F770C" w:rsidRPr="008F364F">
        <w:rPr>
          <w:i/>
          <w:sz w:val="22"/>
        </w:rPr>
        <w:t xml:space="preserve"> </w:t>
      </w:r>
      <w:proofErr w:type="spellStart"/>
      <w:r w:rsidR="005F770C" w:rsidRPr="008F364F">
        <w:rPr>
          <w:i/>
          <w:sz w:val="22"/>
        </w:rPr>
        <w:t>Science</w:t>
      </w:r>
      <w:proofErr w:type="spellEnd"/>
      <w:r w:rsidR="005F770C" w:rsidRPr="008F364F">
        <w:rPr>
          <w:i/>
          <w:sz w:val="22"/>
        </w:rPr>
        <w:t xml:space="preserve"> </w:t>
      </w:r>
      <w:proofErr w:type="spellStart"/>
      <w:r w:rsidR="005F770C" w:rsidRPr="008F364F">
        <w:rPr>
          <w:i/>
          <w:sz w:val="22"/>
        </w:rPr>
        <w:t>and</w:t>
      </w:r>
      <w:proofErr w:type="spellEnd"/>
      <w:r w:rsidR="005F770C" w:rsidRPr="008F364F">
        <w:rPr>
          <w:i/>
          <w:sz w:val="22"/>
        </w:rPr>
        <w:t xml:space="preserve"> </w:t>
      </w:r>
      <w:proofErr w:type="spellStart"/>
      <w:r w:rsidR="005F770C" w:rsidRPr="008F364F">
        <w:rPr>
          <w:i/>
          <w:sz w:val="22"/>
        </w:rPr>
        <w:t>Response</w:t>
      </w:r>
      <w:proofErr w:type="spellEnd"/>
      <w:r w:rsidR="005F770C" w:rsidRPr="008F364F">
        <w:rPr>
          <w:i/>
          <w:sz w:val="22"/>
        </w:rPr>
        <w:t xml:space="preserve"> </w:t>
      </w:r>
      <w:proofErr w:type="spellStart"/>
      <w:r w:rsidR="005F770C" w:rsidRPr="008F364F">
        <w:rPr>
          <w:i/>
          <w:sz w:val="22"/>
        </w:rPr>
        <w:t>Capabilities</w:t>
      </w:r>
      <w:proofErr w:type="spellEnd"/>
      <w:r w:rsidR="003F03D4" w:rsidRPr="008F364F">
        <w:rPr>
          <w:sz w:val="22"/>
        </w:rPr>
        <w:t>.</w:t>
      </w:r>
      <w:r w:rsidR="005F770C" w:rsidRPr="008F364F">
        <w:rPr>
          <w:sz w:val="22"/>
        </w:rPr>
        <w:t xml:space="preserve"> </w:t>
      </w:r>
      <w:r w:rsidR="002A6F00" w:rsidRPr="008F364F">
        <w:rPr>
          <w:sz w:val="22"/>
        </w:rPr>
        <w:t xml:space="preserve">Washington: </w:t>
      </w:r>
      <w:proofErr w:type="spellStart"/>
      <w:r w:rsidR="002A6F00" w:rsidRPr="008F364F">
        <w:rPr>
          <w:sz w:val="22"/>
        </w:rPr>
        <w:t>National</w:t>
      </w:r>
      <w:proofErr w:type="spellEnd"/>
      <w:r w:rsidR="002A6F00" w:rsidRPr="008F364F">
        <w:rPr>
          <w:sz w:val="22"/>
        </w:rPr>
        <w:t xml:space="preserve"> Academy </w:t>
      </w:r>
      <w:proofErr w:type="spellStart"/>
      <w:r w:rsidR="002A6F00" w:rsidRPr="008F364F">
        <w:rPr>
          <w:sz w:val="22"/>
        </w:rPr>
        <w:t>Press</w:t>
      </w:r>
      <w:proofErr w:type="spellEnd"/>
      <w:r w:rsidR="002A6F00" w:rsidRPr="008F364F">
        <w:rPr>
          <w:sz w:val="22"/>
        </w:rPr>
        <w:t>.</w:t>
      </w:r>
    </w:p>
    <w:p w:rsidR="00FB0D0E" w:rsidRPr="008F364F" w:rsidRDefault="00FB0D0E" w:rsidP="00B654EA">
      <w:pPr>
        <w:spacing w:before="120" w:after="120" w:line="240" w:lineRule="auto"/>
        <w:ind w:left="709" w:hanging="709"/>
        <w:rPr>
          <w:sz w:val="22"/>
        </w:rPr>
      </w:pPr>
      <w:r w:rsidRPr="008F364F">
        <w:rPr>
          <w:sz w:val="22"/>
        </w:rPr>
        <w:t>Kuş Gribiyle Mücadele, (2017), “Türkiye'de Kuş Gribi”, http://www.kusgribi.gov.tr/TR/Genel/BelgeGoster.aspx?F6E10F8892433CFFAAF6AA849816B2EF3F93D97214554F97#ulkemizde, (Erişim Tarihi: 13.02.2019)</w:t>
      </w:r>
      <w:r w:rsidR="00AF1266">
        <w:rPr>
          <w:sz w:val="22"/>
        </w:rPr>
        <w:t>.</w:t>
      </w:r>
    </w:p>
    <w:p w:rsidR="005F770C" w:rsidRPr="008F364F" w:rsidRDefault="003F03D4" w:rsidP="00B654EA">
      <w:pPr>
        <w:spacing w:before="120" w:after="120" w:line="240" w:lineRule="auto"/>
        <w:ind w:left="709" w:hanging="709"/>
        <w:rPr>
          <w:sz w:val="22"/>
        </w:rPr>
      </w:pPr>
      <w:proofErr w:type="spellStart"/>
      <w:r w:rsidRPr="008F364F">
        <w:rPr>
          <w:sz w:val="22"/>
        </w:rPr>
        <w:t>Lederberg</w:t>
      </w:r>
      <w:proofErr w:type="spellEnd"/>
      <w:r w:rsidRPr="008F364F">
        <w:rPr>
          <w:sz w:val="22"/>
        </w:rPr>
        <w:t xml:space="preserve">, </w:t>
      </w:r>
      <w:proofErr w:type="spellStart"/>
      <w:r w:rsidRPr="008F364F">
        <w:rPr>
          <w:sz w:val="22"/>
        </w:rPr>
        <w:t>Joshua</w:t>
      </w:r>
      <w:proofErr w:type="spellEnd"/>
      <w:r w:rsidRPr="008F364F">
        <w:rPr>
          <w:sz w:val="22"/>
        </w:rPr>
        <w:t xml:space="preserve"> (1996).</w:t>
      </w:r>
      <w:r w:rsidR="00407298" w:rsidRPr="008F364F">
        <w:rPr>
          <w:sz w:val="22"/>
        </w:rPr>
        <w:t xml:space="preserve"> </w:t>
      </w:r>
      <w:r w:rsidRPr="008F364F">
        <w:rPr>
          <w:sz w:val="22"/>
        </w:rPr>
        <w:t>“</w:t>
      </w:r>
      <w:proofErr w:type="spellStart"/>
      <w:r w:rsidR="00407298" w:rsidRPr="008F364F">
        <w:rPr>
          <w:sz w:val="22"/>
        </w:rPr>
        <w:t>Infectious</w:t>
      </w:r>
      <w:proofErr w:type="spellEnd"/>
      <w:r w:rsidR="00407298" w:rsidRPr="008F364F">
        <w:rPr>
          <w:sz w:val="22"/>
        </w:rPr>
        <w:t xml:space="preserve"> </w:t>
      </w:r>
      <w:proofErr w:type="spellStart"/>
      <w:r w:rsidR="00407298" w:rsidRPr="008F364F">
        <w:rPr>
          <w:sz w:val="22"/>
        </w:rPr>
        <w:t>Disease</w:t>
      </w:r>
      <w:proofErr w:type="spellEnd"/>
      <w:r w:rsidR="00407298" w:rsidRPr="008F364F">
        <w:rPr>
          <w:sz w:val="22"/>
        </w:rPr>
        <w:t xml:space="preserve"> - A </w:t>
      </w:r>
      <w:proofErr w:type="spellStart"/>
      <w:r w:rsidR="00407298" w:rsidRPr="008F364F">
        <w:rPr>
          <w:sz w:val="22"/>
        </w:rPr>
        <w:t>Threat</w:t>
      </w:r>
      <w:proofErr w:type="spellEnd"/>
      <w:r w:rsidR="00407298" w:rsidRPr="008F364F">
        <w:rPr>
          <w:sz w:val="22"/>
        </w:rPr>
        <w:t xml:space="preserve"> </w:t>
      </w:r>
      <w:proofErr w:type="spellStart"/>
      <w:r w:rsidR="00407298" w:rsidRPr="008F364F">
        <w:rPr>
          <w:sz w:val="22"/>
        </w:rPr>
        <w:t>to</w:t>
      </w:r>
      <w:proofErr w:type="spellEnd"/>
      <w:r w:rsidR="00407298" w:rsidRPr="008F364F">
        <w:rPr>
          <w:sz w:val="22"/>
        </w:rPr>
        <w:t xml:space="preserve"> Global </w:t>
      </w:r>
      <w:proofErr w:type="spellStart"/>
      <w:r w:rsidR="00407298" w:rsidRPr="008F364F">
        <w:rPr>
          <w:sz w:val="22"/>
        </w:rPr>
        <w:t>Health</w:t>
      </w:r>
      <w:proofErr w:type="spellEnd"/>
      <w:r w:rsidR="00407298" w:rsidRPr="008F364F">
        <w:rPr>
          <w:sz w:val="22"/>
        </w:rPr>
        <w:t xml:space="preserve"> </w:t>
      </w:r>
      <w:proofErr w:type="spellStart"/>
      <w:r w:rsidR="00407298" w:rsidRPr="008F364F">
        <w:rPr>
          <w:sz w:val="22"/>
        </w:rPr>
        <w:t>and</w:t>
      </w:r>
      <w:proofErr w:type="spellEnd"/>
      <w:r w:rsidR="00407298" w:rsidRPr="008F364F">
        <w:rPr>
          <w:sz w:val="22"/>
        </w:rPr>
        <w:t xml:space="preserve"> S</w:t>
      </w:r>
      <w:r w:rsidR="006175A8" w:rsidRPr="008F364F">
        <w:rPr>
          <w:sz w:val="22"/>
        </w:rPr>
        <w:t>ecurity</w:t>
      </w:r>
      <w:r w:rsidRPr="008F364F">
        <w:rPr>
          <w:sz w:val="22"/>
        </w:rPr>
        <w:t>”.</w:t>
      </w:r>
      <w:r w:rsidR="006175A8" w:rsidRPr="008F364F">
        <w:rPr>
          <w:sz w:val="22"/>
        </w:rPr>
        <w:t xml:space="preserve"> </w:t>
      </w:r>
      <w:proofErr w:type="spellStart"/>
      <w:r w:rsidR="005F770C" w:rsidRPr="008F364F">
        <w:rPr>
          <w:sz w:val="22"/>
        </w:rPr>
        <w:t>Jama</w:t>
      </w:r>
      <w:proofErr w:type="spellEnd"/>
      <w:r w:rsidRPr="008F364F">
        <w:rPr>
          <w:sz w:val="22"/>
        </w:rPr>
        <w:t xml:space="preserve">, 276(5): </w:t>
      </w:r>
      <w:r w:rsidR="005F770C" w:rsidRPr="008F364F">
        <w:rPr>
          <w:sz w:val="22"/>
        </w:rPr>
        <w:t>417-419.</w:t>
      </w:r>
    </w:p>
    <w:p w:rsidR="008F364F" w:rsidRPr="008F364F" w:rsidRDefault="008F364F" w:rsidP="00B654EA">
      <w:pPr>
        <w:spacing w:before="120" w:after="120" w:line="240" w:lineRule="auto"/>
        <w:ind w:left="709" w:hanging="709"/>
        <w:rPr>
          <w:sz w:val="22"/>
        </w:rPr>
      </w:pPr>
      <w:proofErr w:type="spellStart"/>
      <w:r w:rsidRPr="008F364F">
        <w:rPr>
          <w:sz w:val="22"/>
        </w:rPr>
        <w:t>Medimagazin</w:t>
      </w:r>
      <w:proofErr w:type="spellEnd"/>
      <w:r w:rsidRPr="008F364F">
        <w:rPr>
          <w:sz w:val="22"/>
        </w:rPr>
        <w:t>, (2009), “ABD'li Turistte Domuz Gribi Vakası”, https://www.medimagazin.com.tr/ilac-sanayi//tr-akdag-abdli-turistte-domuz-gribi-virusu-var-8-681-20261.html, (Erişim Tarihi: 13.02.2019)</w:t>
      </w:r>
      <w:r w:rsidR="00AF1266">
        <w:rPr>
          <w:sz w:val="22"/>
        </w:rPr>
        <w:t>.</w:t>
      </w:r>
    </w:p>
    <w:p w:rsidR="005F770C" w:rsidRPr="008F364F" w:rsidRDefault="00407298" w:rsidP="00B654EA">
      <w:pPr>
        <w:spacing w:before="120" w:after="120" w:line="240" w:lineRule="auto"/>
        <w:ind w:left="709" w:hanging="709"/>
        <w:rPr>
          <w:sz w:val="22"/>
        </w:rPr>
      </w:pPr>
      <w:proofErr w:type="spellStart"/>
      <w:r w:rsidRPr="008F364F">
        <w:rPr>
          <w:sz w:val="22"/>
        </w:rPr>
        <w:t>Oaks</w:t>
      </w:r>
      <w:proofErr w:type="spellEnd"/>
      <w:r w:rsidRPr="008F364F">
        <w:rPr>
          <w:sz w:val="22"/>
        </w:rPr>
        <w:t xml:space="preserve">, </w:t>
      </w:r>
      <w:proofErr w:type="spellStart"/>
      <w:r w:rsidRPr="008F364F">
        <w:rPr>
          <w:sz w:val="22"/>
        </w:rPr>
        <w:t>Stanley</w:t>
      </w:r>
      <w:proofErr w:type="spellEnd"/>
      <w:r w:rsidRPr="008F364F">
        <w:rPr>
          <w:sz w:val="22"/>
        </w:rPr>
        <w:t xml:space="preserve"> &amp; </w:t>
      </w:r>
      <w:proofErr w:type="spellStart"/>
      <w:r w:rsidRPr="008F364F">
        <w:rPr>
          <w:sz w:val="22"/>
        </w:rPr>
        <w:t>Shope</w:t>
      </w:r>
      <w:proofErr w:type="spellEnd"/>
      <w:r w:rsidRPr="008F364F">
        <w:rPr>
          <w:sz w:val="22"/>
        </w:rPr>
        <w:t>, Robert</w:t>
      </w:r>
      <w:r w:rsidR="005F770C" w:rsidRPr="008F364F">
        <w:rPr>
          <w:sz w:val="22"/>
        </w:rPr>
        <w:t xml:space="preserve"> &amp; </w:t>
      </w:r>
      <w:proofErr w:type="spellStart"/>
      <w:r w:rsidR="005F770C" w:rsidRPr="008F364F">
        <w:rPr>
          <w:sz w:val="22"/>
        </w:rPr>
        <w:t>Lederberg</w:t>
      </w:r>
      <w:proofErr w:type="spellEnd"/>
      <w:r w:rsidR="005F770C" w:rsidRPr="008F364F">
        <w:rPr>
          <w:sz w:val="22"/>
        </w:rPr>
        <w:t xml:space="preserve">, </w:t>
      </w:r>
      <w:proofErr w:type="spellStart"/>
      <w:r w:rsidR="005F770C" w:rsidRPr="008F364F">
        <w:rPr>
          <w:sz w:val="22"/>
        </w:rPr>
        <w:t>J</w:t>
      </w:r>
      <w:r w:rsidR="001E1403" w:rsidRPr="008F364F">
        <w:rPr>
          <w:sz w:val="22"/>
        </w:rPr>
        <w:t>oshua</w:t>
      </w:r>
      <w:proofErr w:type="spellEnd"/>
      <w:r w:rsidR="001E1403" w:rsidRPr="008F364F">
        <w:rPr>
          <w:sz w:val="22"/>
        </w:rPr>
        <w:t xml:space="preserve"> (1992).</w:t>
      </w:r>
      <w:r w:rsidRPr="008F364F">
        <w:rPr>
          <w:sz w:val="22"/>
        </w:rPr>
        <w:t xml:space="preserve"> </w:t>
      </w:r>
      <w:proofErr w:type="spellStart"/>
      <w:r w:rsidRPr="008F364F">
        <w:rPr>
          <w:i/>
          <w:sz w:val="22"/>
        </w:rPr>
        <w:t>Emerging</w:t>
      </w:r>
      <w:proofErr w:type="spellEnd"/>
      <w:r w:rsidRPr="008F364F">
        <w:rPr>
          <w:i/>
          <w:sz w:val="22"/>
        </w:rPr>
        <w:t xml:space="preserve"> </w:t>
      </w:r>
      <w:proofErr w:type="spellStart"/>
      <w:r w:rsidRPr="008F364F">
        <w:rPr>
          <w:i/>
          <w:sz w:val="22"/>
        </w:rPr>
        <w:t>Infections</w:t>
      </w:r>
      <w:proofErr w:type="spellEnd"/>
      <w:r w:rsidRPr="008F364F">
        <w:rPr>
          <w:i/>
          <w:sz w:val="22"/>
        </w:rPr>
        <w:t xml:space="preserve">: </w:t>
      </w:r>
      <w:proofErr w:type="spellStart"/>
      <w:r w:rsidRPr="008F364F">
        <w:rPr>
          <w:i/>
          <w:sz w:val="22"/>
        </w:rPr>
        <w:t>Microbial</w:t>
      </w:r>
      <w:proofErr w:type="spellEnd"/>
      <w:r w:rsidRPr="008F364F">
        <w:rPr>
          <w:i/>
          <w:sz w:val="22"/>
        </w:rPr>
        <w:t xml:space="preserve"> </w:t>
      </w:r>
      <w:proofErr w:type="spellStart"/>
      <w:r w:rsidRPr="008F364F">
        <w:rPr>
          <w:i/>
          <w:sz w:val="22"/>
        </w:rPr>
        <w:t>Threats</w:t>
      </w:r>
      <w:proofErr w:type="spellEnd"/>
      <w:r w:rsidRPr="008F364F">
        <w:rPr>
          <w:i/>
          <w:sz w:val="22"/>
        </w:rPr>
        <w:t xml:space="preserve"> </w:t>
      </w:r>
      <w:proofErr w:type="spellStart"/>
      <w:r w:rsidRPr="008F364F">
        <w:rPr>
          <w:i/>
          <w:sz w:val="22"/>
        </w:rPr>
        <w:t>to</w:t>
      </w:r>
      <w:proofErr w:type="spellEnd"/>
      <w:r w:rsidRPr="008F364F">
        <w:rPr>
          <w:i/>
          <w:sz w:val="22"/>
        </w:rPr>
        <w:t xml:space="preserve"> </w:t>
      </w:r>
      <w:proofErr w:type="spellStart"/>
      <w:r w:rsidRPr="008F364F">
        <w:rPr>
          <w:i/>
          <w:sz w:val="22"/>
        </w:rPr>
        <w:t>H</w:t>
      </w:r>
      <w:r w:rsidR="00D64AAD" w:rsidRPr="008F364F">
        <w:rPr>
          <w:i/>
          <w:sz w:val="22"/>
        </w:rPr>
        <w:t>ealth</w:t>
      </w:r>
      <w:proofErr w:type="spellEnd"/>
      <w:r w:rsidR="00D64AAD" w:rsidRPr="008F364F">
        <w:rPr>
          <w:i/>
          <w:sz w:val="22"/>
        </w:rPr>
        <w:t xml:space="preserve"> in </w:t>
      </w:r>
      <w:proofErr w:type="spellStart"/>
      <w:r w:rsidR="00D64AAD" w:rsidRPr="008F364F">
        <w:rPr>
          <w:i/>
          <w:sz w:val="22"/>
        </w:rPr>
        <w:t>the</w:t>
      </w:r>
      <w:proofErr w:type="spellEnd"/>
      <w:r w:rsidR="00D64AAD" w:rsidRPr="008F364F">
        <w:rPr>
          <w:i/>
          <w:sz w:val="22"/>
        </w:rPr>
        <w:t xml:space="preserve"> United </w:t>
      </w:r>
      <w:proofErr w:type="spellStart"/>
      <w:r w:rsidR="00D64AAD" w:rsidRPr="008F364F">
        <w:rPr>
          <w:i/>
          <w:sz w:val="22"/>
        </w:rPr>
        <w:t>States</w:t>
      </w:r>
      <w:proofErr w:type="spellEnd"/>
      <w:r w:rsidR="001E1403" w:rsidRPr="008F364F">
        <w:rPr>
          <w:sz w:val="22"/>
        </w:rPr>
        <w:t>.</w:t>
      </w:r>
      <w:r w:rsidR="005F770C" w:rsidRPr="008F364F">
        <w:rPr>
          <w:sz w:val="22"/>
        </w:rPr>
        <w:t xml:space="preserve"> </w:t>
      </w:r>
      <w:r w:rsidR="001E1403" w:rsidRPr="008F364F">
        <w:rPr>
          <w:sz w:val="22"/>
        </w:rPr>
        <w:t xml:space="preserve">Washington: </w:t>
      </w:r>
      <w:proofErr w:type="spellStart"/>
      <w:r w:rsidR="001E1403" w:rsidRPr="008F364F">
        <w:rPr>
          <w:sz w:val="22"/>
        </w:rPr>
        <w:t>National</w:t>
      </w:r>
      <w:proofErr w:type="spellEnd"/>
      <w:r w:rsidR="001E1403" w:rsidRPr="008F364F">
        <w:rPr>
          <w:sz w:val="22"/>
        </w:rPr>
        <w:t xml:space="preserve"> Academy </w:t>
      </w:r>
      <w:proofErr w:type="spellStart"/>
      <w:r w:rsidR="001E1403" w:rsidRPr="008F364F">
        <w:rPr>
          <w:sz w:val="22"/>
        </w:rPr>
        <w:t>Press</w:t>
      </w:r>
      <w:proofErr w:type="spellEnd"/>
      <w:r w:rsidR="001E1403" w:rsidRPr="008F364F">
        <w:rPr>
          <w:sz w:val="22"/>
        </w:rPr>
        <w:t>.</w:t>
      </w:r>
    </w:p>
    <w:p w:rsidR="005F770C" w:rsidRPr="008F364F" w:rsidRDefault="006175A8" w:rsidP="00B654EA">
      <w:pPr>
        <w:spacing w:before="120" w:after="120" w:line="240" w:lineRule="auto"/>
        <w:ind w:left="709" w:hanging="709"/>
        <w:rPr>
          <w:sz w:val="22"/>
        </w:rPr>
      </w:pPr>
      <w:proofErr w:type="spellStart"/>
      <w:r w:rsidRPr="008F364F">
        <w:rPr>
          <w:sz w:val="22"/>
        </w:rPr>
        <w:t>Oste</w:t>
      </w:r>
      <w:r w:rsidR="001E1403" w:rsidRPr="008F364F">
        <w:rPr>
          <w:sz w:val="22"/>
        </w:rPr>
        <w:t>rgard</w:t>
      </w:r>
      <w:proofErr w:type="spellEnd"/>
      <w:r w:rsidR="001E1403" w:rsidRPr="008F364F">
        <w:rPr>
          <w:sz w:val="22"/>
        </w:rPr>
        <w:t xml:space="preserve"> </w:t>
      </w:r>
      <w:proofErr w:type="spellStart"/>
      <w:r w:rsidR="001E1403" w:rsidRPr="008F364F">
        <w:rPr>
          <w:sz w:val="22"/>
        </w:rPr>
        <w:t>Jr</w:t>
      </w:r>
      <w:proofErr w:type="spellEnd"/>
      <w:r w:rsidR="001E1403" w:rsidRPr="008F364F">
        <w:rPr>
          <w:sz w:val="22"/>
        </w:rPr>
        <w:t>, Robert (2002).</w:t>
      </w:r>
      <w:r w:rsidRPr="008F364F">
        <w:rPr>
          <w:sz w:val="22"/>
        </w:rPr>
        <w:t xml:space="preserve"> </w:t>
      </w:r>
      <w:r w:rsidR="001E1403" w:rsidRPr="008F364F">
        <w:rPr>
          <w:sz w:val="22"/>
        </w:rPr>
        <w:t>“</w:t>
      </w:r>
      <w:proofErr w:type="spellStart"/>
      <w:r w:rsidRPr="008F364F">
        <w:rPr>
          <w:sz w:val="22"/>
        </w:rPr>
        <w:t>Politics</w:t>
      </w:r>
      <w:proofErr w:type="spellEnd"/>
      <w:r w:rsidRPr="008F364F">
        <w:rPr>
          <w:sz w:val="22"/>
        </w:rPr>
        <w:t xml:space="preserve"> in </w:t>
      </w:r>
      <w:proofErr w:type="spellStart"/>
      <w:r w:rsidRPr="008F364F">
        <w:rPr>
          <w:sz w:val="22"/>
        </w:rPr>
        <w:t>the</w:t>
      </w:r>
      <w:proofErr w:type="spellEnd"/>
      <w:r w:rsidRPr="008F364F">
        <w:rPr>
          <w:sz w:val="22"/>
        </w:rPr>
        <w:t xml:space="preserve"> Hot </w:t>
      </w:r>
      <w:proofErr w:type="spellStart"/>
      <w:r w:rsidRPr="008F364F">
        <w:rPr>
          <w:sz w:val="22"/>
        </w:rPr>
        <w:t>Zone</w:t>
      </w:r>
      <w:proofErr w:type="spellEnd"/>
      <w:r w:rsidRPr="008F364F">
        <w:rPr>
          <w:sz w:val="22"/>
        </w:rPr>
        <w:t xml:space="preserve">: AIDS </w:t>
      </w:r>
      <w:proofErr w:type="spellStart"/>
      <w:r w:rsidRPr="008F364F">
        <w:rPr>
          <w:sz w:val="22"/>
        </w:rPr>
        <w:t>and</w:t>
      </w:r>
      <w:proofErr w:type="spellEnd"/>
      <w:r w:rsidRPr="008F364F">
        <w:rPr>
          <w:sz w:val="22"/>
        </w:rPr>
        <w:t xml:space="preserve"> </w:t>
      </w:r>
      <w:proofErr w:type="spellStart"/>
      <w:r w:rsidRPr="008F364F">
        <w:rPr>
          <w:sz w:val="22"/>
        </w:rPr>
        <w:t>National</w:t>
      </w:r>
      <w:proofErr w:type="spellEnd"/>
      <w:r w:rsidRPr="008F364F">
        <w:rPr>
          <w:sz w:val="22"/>
        </w:rPr>
        <w:t xml:space="preserve"> S</w:t>
      </w:r>
      <w:r w:rsidR="00D64AAD" w:rsidRPr="008F364F">
        <w:rPr>
          <w:sz w:val="22"/>
        </w:rPr>
        <w:t xml:space="preserve">ecurity in </w:t>
      </w:r>
      <w:proofErr w:type="spellStart"/>
      <w:r w:rsidR="00D64AAD" w:rsidRPr="008F364F">
        <w:rPr>
          <w:sz w:val="22"/>
        </w:rPr>
        <w:t>Africa</w:t>
      </w:r>
      <w:proofErr w:type="spellEnd"/>
      <w:r w:rsidR="001E1403" w:rsidRPr="008F364F">
        <w:rPr>
          <w:sz w:val="22"/>
        </w:rPr>
        <w:t>”.</w:t>
      </w:r>
      <w:r w:rsidR="005F770C" w:rsidRPr="008F364F">
        <w:rPr>
          <w:sz w:val="22"/>
        </w:rPr>
        <w:t xml:space="preserve"> Third World </w:t>
      </w:r>
      <w:proofErr w:type="spellStart"/>
      <w:r w:rsidR="005F770C" w:rsidRPr="008F364F">
        <w:rPr>
          <w:sz w:val="22"/>
        </w:rPr>
        <w:t>Quarterly</w:t>
      </w:r>
      <w:proofErr w:type="spellEnd"/>
      <w:r w:rsidR="001E1403" w:rsidRPr="008F364F">
        <w:rPr>
          <w:sz w:val="22"/>
        </w:rPr>
        <w:t xml:space="preserve">, 23(2): </w:t>
      </w:r>
      <w:r w:rsidR="005F770C" w:rsidRPr="008F364F">
        <w:rPr>
          <w:sz w:val="22"/>
        </w:rPr>
        <w:t>333-350.</w:t>
      </w:r>
    </w:p>
    <w:p w:rsidR="005F770C" w:rsidRPr="008F364F" w:rsidRDefault="006175A8" w:rsidP="00B654EA">
      <w:pPr>
        <w:spacing w:before="120" w:after="120" w:line="240" w:lineRule="auto"/>
        <w:ind w:left="709" w:hanging="709"/>
        <w:rPr>
          <w:sz w:val="22"/>
        </w:rPr>
      </w:pPr>
      <w:proofErr w:type="spellStart"/>
      <w:r w:rsidRPr="008F364F">
        <w:rPr>
          <w:sz w:val="22"/>
        </w:rPr>
        <w:t>Tauxe</w:t>
      </w:r>
      <w:proofErr w:type="spellEnd"/>
      <w:r w:rsidRPr="008F364F">
        <w:rPr>
          <w:sz w:val="22"/>
        </w:rPr>
        <w:t xml:space="preserve">, Robert &amp; </w:t>
      </w:r>
      <w:proofErr w:type="spellStart"/>
      <w:r w:rsidRPr="008F364F">
        <w:rPr>
          <w:sz w:val="22"/>
        </w:rPr>
        <w:t>Min</w:t>
      </w:r>
      <w:r w:rsidR="001E1403" w:rsidRPr="008F364F">
        <w:rPr>
          <w:sz w:val="22"/>
        </w:rPr>
        <w:t>tz</w:t>
      </w:r>
      <w:proofErr w:type="spellEnd"/>
      <w:r w:rsidR="001E1403" w:rsidRPr="008F364F">
        <w:rPr>
          <w:sz w:val="22"/>
        </w:rPr>
        <w:t xml:space="preserve">, </w:t>
      </w:r>
      <w:proofErr w:type="spellStart"/>
      <w:r w:rsidR="001E1403" w:rsidRPr="008F364F">
        <w:rPr>
          <w:sz w:val="22"/>
        </w:rPr>
        <w:t>Eric</w:t>
      </w:r>
      <w:proofErr w:type="spellEnd"/>
      <w:r w:rsidR="001E1403" w:rsidRPr="008F364F">
        <w:rPr>
          <w:sz w:val="22"/>
        </w:rPr>
        <w:t xml:space="preserve"> &amp; </w:t>
      </w:r>
      <w:proofErr w:type="spellStart"/>
      <w:r w:rsidR="001E1403" w:rsidRPr="008F364F">
        <w:rPr>
          <w:sz w:val="22"/>
        </w:rPr>
        <w:t>Quick</w:t>
      </w:r>
      <w:proofErr w:type="spellEnd"/>
      <w:r w:rsidR="001E1403" w:rsidRPr="008F364F">
        <w:rPr>
          <w:sz w:val="22"/>
        </w:rPr>
        <w:t>, Robert (1995).</w:t>
      </w:r>
      <w:r w:rsidRPr="008F364F">
        <w:rPr>
          <w:sz w:val="22"/>
        </w:rPr>
        <w:t xml:space="preserve"> </w:t>
      </w:r>
      <w:r w:rsidR="001E1403" w:rsidRPr="008F364F">
        <w:rPr>
          <w:sz w:val="22"/>
        </w:rPr>
        <w:t>“</w:t>
      </w:r>
      <w:proofErr w:type="spellStart"/>
      <w:r w:rsidRPr="008F364F">
        <w:rPr>
          <w:sz w:val="22"/>
        </w:rPr>
        <w:t>Epidemic</w:t>
      </w:r>
      <w:proofErr w:type="spellEnd"/>
      <w:r w:rsidRPr="008F364F">
        <w:rPr>
          <w:sz w:val="22"/>
        </w:rPr>
        <w:t xml:space="preserve"> </w:t>
      </w:r>
      <w:proofErr w:type="spellStart"/>
      <w:r w:rsidRPr="008F364F">
        <w:rPr>
          <w:sz w:val="22"/>
        </w:rPr>
        <w:t>Cholera</w:t>
      </w:r>
      <w:proofErr w:type="spellEnd"/>
      <w:r w:rsidRPr="008F364F">
        <w:rPr>
          <w:sz w:val="22"/>
        </w:rPr>
        <w:t xml:space="preserve"> in </w:t>
      </w:r>
      <w:proofErr w:type="spellStart"/>
      <w:r w:rsidRPr="008F364F">
        <w:rPr>
          <w:sz w:val="22"/>
        </w:rPr>
        <w:t>the</w:t>
      </w:r>
      <w:proofErr w:type="spellEnd"/>
      <w:r w:rsidRPr="008F364F">
        <w:rPr>
          <w:sz w:val="22"/>
        </w:rPr>
        <w:t xml:space="preserve"> New World: </w:t>
      </w:r>
      <w:proofErr w:type="spellStart"/>
      <w:r w:rsidRPr="008F364F">
        <w:rPr>
          <w:sz w:val="22"/>
        </w:rPr>
        <w:t>Translating</w:t>
      </w:r>
      <w:proofErr w:type="spellEnd"/>
      <w:r w:rsidRPr="008F364F">
        <w:rPr>
          <w:sz w:val="22"/>
        </w:rPr>
        <w:t xml:space="preserve"> </w:t>
      </w:r>
      <w:proofErr w:type="spellStart"/>
      <w:r w:rsidRPr="008F364F">
        <w:rPr>
          <w:sz w:val="22"/>
        </w:rPr>
        <w:t>Field</w:t>
      </w:r>
      <w:proofErr w:type="spellEnd"/>
      <w:r w:rsidRPr="008F364F">
        <w:rPr>
          <w:sz w:val="22"/>
        </w:rPr>
        <w:t xml:space="preserve"> </w:t>
      </w:r>
      <w:proofErr w:type="spellStart"/>
      <w:r w:rsidRPr="008F364F">
        <w:rPr>
          <w:sz w:val="22"/>
        </w:rPr>
        <w:t>E</w:t>
      </w:r>
      <w:r w:rsidR="005F770C" w:rsidRPr="008F364F">
        <w:rPr>
          <w:sz w:val="22"/>
        </w:rPr>
        <w:t>pidemiology</w:t>
      </w:r>
      <w:proofErr w:type="spellEnd"/>
      <w:r w:rsidR="005F770C" w:rsidRPr="008F364F">
        <w:rPr>
          <w:sz w:val="22"/>
        </w:rPr>
        <w:t xml:space="preserve"> </w:t>
      </w:r>
      <w:proofErr w:type="spellStart"/>
      <w:r w:rsidRPr="008F364F">
        <w:rPr>
          <w:sz w:val="22"/>
        </w:rPr>
        <w:t>into</w:t>
      </w:r>
      <w:proofErr w:type="spellEnd"/>
      <w:r w:rsidRPr="008F364F">
        <w:rPr>
          <w:sz w:val="22"/>
        </w:rPr>
        <w:t xml:space="preserve"> New </w:t>
      </w:r>
      <w:proofErr w:type="spellStart"/>
      <w:r w:rsidRPr="008F364F">
        <w:rPr>
          <w:sz w:val="22"/>
        </w:rPr>
        <w:t>Prevention</w:t>
      </w:r>
      <w:proofErr w:type="spellEnd"/>
      <w:r w:rsidRPr="008F364F">
        <w:rPr>
          <w:sz w:val="22"/>
        </w:rPr>
        <w:t xml:space="preserve"> </w:t>
      </w:r>
      <w:proofErr w:type="spellStart"/>
      <w:r w:rsidRPr="008F364F">
        <w:rPr>
          <w:sz w:val="22"/>
        </w:rPr>
        <w:t>S</w:t>
      </w:r>
      <w:r w:rsidR="00071D51" w:rsidRPr="008F364F">
        <w:rPr>
          <w:sz w:val="22"/>
        </w:rPr>
        <w:t>trategies</w:t>
      </w:r>
      <w:proofErr w:type="spellEnd"/>
      <w:r w:rsidR="001E1403" w:rsidRPr="008F364F">
        <w:rPr>
          <w:sz w:val="22"/>
        </w:rPr>
        <w:t>”.</w:t>
      </w:r>
      <w:r w:rsidR="005F770C" w:rsidRPr="008F364F">
        <w:rPr>
          <w:sz w:val="22"/>
        </w:rPr>
        <w:t xml:space="preserve"> </w:t>
      </w:r>
      <w:proofErr w:type="spellStart"/>
      <w:r w:rsidR="005F770C" w:rsidRPr="008F364F">
        <w:rPr>
          <w:sz w:val="22"/>
        </w:rPr>
        <w:t>Emerging</w:t>
      </w:r>
      <w:proofErr w:type="spellEnd"/>
      <w:r w:rsidR="005F770C" w:rsidRPr="008F364F">
        <w:rPr>
          <w:sz w:val="22"/>
        </w:rPr>
        <w:t xml:space="preserve"> </w:t>
      </w:r>
      <w:proofErr w:type="spellStart"/>
      <w:r w:rsidR="005F770C" w:rsidRPr="008F364F">
        <w:rPr>
          <w:sz w:val="22"/>
        </w:rPr>
        <w:t>Infectious</w:t>
      </w:r>
      <w:proofErr w:type="spellEnd"/>
      <w:r w:rsidR="005F770C" w:rsidRPr="008F364F">
        <w:rPr>
          <w:sz w:val="22"/>
        </w:rPr>
        <w:t xml:space="preserve"> </w:t>
      </w:r>
      <w:proofErr w:type="spellStart"/>
      <w:r w:rsidR="005F770C" w:rsidRPr="008F364F">
        <w:rPr>
          <w:sz w:val="22"/>
        </w:rPr>
        <w:t>Diseases</w:t>
      </w:r>
      <w:proofErr w:type="spellEnd"/>
      <w:r w:rsidR="001E1403" w:rsidRPr="008F364F">
        <w:rPr>
          <w:sz w:val="22"/>
        </w:rPr>
        <w:t xml:space="preserve">, 1(4): </w:t>
      </w:r>
      <w:r w:rsidR="005F770C" w:rsidRPr="008F364F">
        <w:rPr>
          <w:sz w:val="22"/>
        </w:rPr>
        <w:t>141-146.</w:t>
      </w:r>
    </w:p>
    <w:p w:rsidR="005F770C" w:rsidRPr="008F364F" w:rsidRDefault="005F770C" w:rsidP="00B654EA">
      <w:pPr>
        <w:spacing w:before="120" w:after="120" w:line="240" w:lineRule="auto"/>
        <w:ind w:left="709" w:hanging="709"/>
        <w:rPr>
          <w:sz w:val="22"/>
        </w:rPr>
      </w:pPr>
      <w:r w:rsidRPr="008F364F">
        <w:rPr>
          <w:sz w:val="22"/>
        </w:rPr>
        <w:t xml:space="preserve">UN Security </w:t>
      </w:r>
      <w:proofErr w:type="spellStart"/>
      <w:r w:rsidRPr="008F364F">
        <w:rPr>
          <w:sz w:val="22"/>
        </w:rPr>
        <w:t>Council</w:t>
      </w:r>
      <w:proofErr w:type="spellEnd"/>
      <w:r w:rsidR="00D82ADB" w:rsidRPr="008F364F">
        <w:rPr>
          <w:sz w:val="22"/>
        </w:rPr>
        <w:t>,</w:t>
      </w:r>
      <w:r w:rsidRPr="008F364F">
        <w:rPr>
          <w:sz w:val="22"/>
        </w:rPr>
        <w:t xml:space="preserve"> (2000), </w:t>
      </w:r>
      <w:r w:rsidR="00D82ADB" w:rsidRPr="008F364F">
        <w:rPr>
          <w:sz w:val="22"/>
        </w:rPr>
        <w:t>“</w:t>
      </w:r>
      <w:r w:rsidR="006175A8" w:rsidRPr="008F364F">
        <w:rPr>
          <w:sz w:val="22"/>
        </w:rPr>
        <w:t xml:space="preserve">Security </w:t>
      </w:r>
      <w:proofErr w:type="spellStart"/>
      <w:r w:rsidR="006175A8" w:rsidRPr="008F364F">
        <w:rPr>
          <w:sz w:val="22"/>
        </w:rPr>
        <w:t>Council</w:t>
      </w:r>
      <w:proofErr w:type="spellEnd"/>
      <w:r w:rsidR="006175A8" w:rsidRPr="008F364F">
        <w:rPr>
          <w:sz w:val="22"/>
        </w:rPr>
        <w:t xml:space="preserve"> </w:t>
      </w:r>
      <w:proofErr w:type="spellStart"/>
      <w:r w:rsidR="006175A8" w:rsidRPr="008F364F">
        <w:rPr>
          <w:sz w:val="22"/>
        </w:rPr>
        <w:t>Holds</w:t>
      </w:r>
      <w:proofErr w:type="spellEnd"/>
      <w:r w:rsidR="006175A8" w:rsidRPr="008F364F">
        <w:rPr>
          <w:sz w:val="22"/>
        </w:rPr>
        <w:t xml:space="preserve"> </w:t>
      </w:r>
      <w:proofErr w:type="spellStart"/>
      <w:r w:rsidR="006175A8" w:rsidRPr="008F364F">
        <w:rPr>
          <w:sz w:val="22"/>
        </w:rPr>
        <w:t>Debate</w:t>
      </w:r>
      <w:proofErr w:type="spellEnd"/>
      <w:r w:rsidR="006175A8" w:rsidRPr="008F364F">
        <w:rPr>
          <w:sz w:val="22"/>
        </w:rPr>
        <w:t xml:space="preserve"> on </w:t>
      </w:r>
      <w:proofErr w:type="spellStart"/>
      <w:r w:rsidR="006175A8" w:rsidRPr="008F364F">
        <w:rPr>
          <w:sz w:val="22"/>
        </w:rPr>
        <w:t>Impact</w:t>
      </w:r>
      <w:proofErr w:type="spellEnd"/>
      <w:r w:rsidR="006175A8" w:rsidRPr="008F364F">
        <w:rPr>
          <w:sz w:val="22"/>
        </w:rPr>
        <w:t xml:space="preserve"> Of </w:t>
      </w:r>
      <w:proofErr w:type="spellStart"/>
      <w:r w:rsidR="006175A8" w:rsidRPr="008F364F">
        <w:rPr>
          <w:sz w:val="22"/>
        </w:rPr>
        <w:t>Aids</w:t>
      </w:r>
      <w:proofErr w:type="spellEnd"/>
      <w:r w:rsidR="006175A8" w:rsidRPr="008F364F">
        <w:rPr>
          <w:sz w:val="22"/>
        </w:rPr>
        <w:t xml:space="preserve"> on </w:t>
      </w:r>
      <w:proofErr w:type="spellStart"/>
      <w:r w:rsidR="006175A8" w:rsidRPr="008F364F">
        <w:rPr>
          <w:sz w:val="22"/>
        </w:rPr>
        <w:t>Peace</w:t>
      </w:r>
      <w:proofErr w:type="spellEnd"/>
      <w:r w:rsidR="006175A8" w:rsidRPr="008F364F">
        <w:rPr>
          <w:sz w:val="22"/>
        </w:rPr>
        <w:t xml:space="preserve"> </w:t>
      </w:r>
      <w:proofErr w:type="spellStart"/>
      <w:r w:rsidR="006175A8" w:rsidRPr="008F364F">
        <w:rPr>
          <w:sz w:val="22"/>
        </w:rPr>
        <w:t>and</w:t>
      </w:r>
      <w:proofErr w:type="spellEnd"/>
      <w:r w:rsidR="006175A8" w:rsidRPr="008F364F">
        <w:rPr>
          <w:sz w:val="22"/>
        </w:rPr>
        <w:t xml:space="preserve"> Security in </w:t>
      </w:r>
      <w:proofErr w:type="spellStart"/>
      <w:r w:rsidR="006175A8" w:rsidRPr="008F364F">
        <w:rPr>
          <w:sz w:val="22"/>
        </w:rPr>
        <w:t>Afri</w:t>
      </w:r>
      <w:r w:rsidRPr="008F364F">
        <w:rPr>
          <w:sz w:val="22"/>
        </w:rPr>
        <w:t>ca</w:t>
      </w:r>
      <w:proofErr w:type="spellEnd"/>
      <w:r w:rsidR="00D82ADB" w:rsidRPr="008F364F">
        <w:rPr>
          <w:sz w:val="22"/>
        </w:rPr>
        <w:t>”</w:t>
      </w:r>
      <w:r w:rsidRPr="008F364F">
        <w:rPr>
          <w:sz w:val="22"/>
        </w:rPr>
        <w:t>, https://www.un.org/press/en/2000/20000110.sc6781.doc.html</w:t>
      </w:r>
      <w:r w:rsidR="006175A8" w:rsidRPr="008F364F">
        <w:rPr>
          <w:sz w:val="22"/>
        </w:rPr>
        <w:t xml:space="preserve">, </w:t>
      </w:r>
      <w:r w:rsidR="00D82ADB" w:rsidRPr="008F364F">
        <w:rPr>
          <w:sz w:val="22"/>
        </w:rPr>
        <w:t>(</w:t>
      </w:r>
      <w:r w:rsidR="006175A8" w:rsidRPr="008F364F">
        <w:rPr>
          <w:sz w:val="22"/>
        </w:rPr>
        <w:t>Erişim Tarihi: 13.02.2019</w:t>
      </w:r>
      <w:r w:rsidR="00D82ADB" w:rsidRPr="008F364F">
        <w:rPr>
          <w:sz w:val="22"/>
        </w:rPr>
        <w:t>)</w:t>
      </w:r>
      <w:r w:rsidR="00AF1266">
        <w:rPr>
          <w:sz w:val="22"/>
        </w:rPr>
        <w:t>.</w:t>
      </w:r>
    </w:p>
    <w:p w:rsidR="005F770C" w:rsidRPr="008F364F" w:rsidRDefault="005F770C" w:rsidP="00B654EA">
      <w:pPr>
        <w:spacing w:before="120" w:after="120" w:line="240" w:lineRule="auto"/>
        <w:ind w:left="709" w:hanging="709"/>
        <w:rPr>
          <w:sz w:val="22"/>
        </w:rPr>
      </w:pPr>
      <w:r w:rsidRPr="008F364F">
        <w:rPr>
          <w:sz w:val="22"/>
        </w:rPr>
        <w:t>UNAIDS</w:t>
      </w:r>
      <w:r w:rsidR="00D82ADB" w:rsidRPr="008F364F">
        <w:rPr>
          <w:sz w:val="22"/>
        </w:rPr>
        <w:t>,</w:t>
      </w:r>
      <w:r w:rsidRPr="008F364F">
        <w:rPr>
          <w:sz w:val="22"/>
        </w:rPr>
        <w:t xml:space="preserve"> (2002), </w:t>
      </w:r>
      <w:r w:rsidR="00D82ADB" w:rsidRPr="008F364F">
        <w:rPr>
          <w:sz w:val="22"/>
        </w:rPr>
        <w:t>“</w:t>
      </w:r>
      <w:r w:rsidRPr="008F364F">
        <w:rPr>
          <w:sz w:val="22"/>
        </w:rPr>
        <w:t xml:space="preserve">Report on </w:t>
      </w:r>
      <w:proofErr w:type="spellStart"/>
      <w:r w:rsidRPr="008F364F">
        <w:rPr>
          <w:sz w:val="22"/>
        </w:rPr>
        <w:t>the</w:t>
      </w:r>
      <w:proofErr w:type="spellEnd"/>
      <w:r w:rsidRPr="008F364F">
        <w:rPr>
          <w:sz w:val="22"/>
        </w:rPr>
        <w:t xml:space="preserve"> Global HIV/AIDS </w:t>
      </w:r>
      <w:proofErr w:type="spellStart"/>
      <w:r w:rsidRPr="008F364F">
        <w:rPr>
          <w:sz w:val="22"/>
        </w:rPr>
        <w:t>Epidemic</w:t>
      </w:r>
      <w:proofErr w:type="spellEnd"/>
      <w:r w:rsidR="00D82ADB" w:rsidRPr="008F364F">
        <w:rPr>
          <w:sz w:val="22"/>
        </w:rPr>
        <w:t>”</w:t>
      </w:r>
      <w:r w:rsidRPr="008F364F">
        <w:rPr>
          <w:sz w:val="22"/>
        </w:rPr>
        <w:t>, http://data.unaids.org/pub/report/2002/brglobal_aids_report_en_pdf_red_en.pdf</w:t>
      </w:r>
      <w:r w:rsidR="006175A8" w:rsidRPr="008F364F">
        <w:rPr>
          <w:sz w:val="22"/>
        </w:rPr>
        <w:t xml:space="preserve">, </w:t>
      </w:r>
      <w:r w:rsidR="00D82ADB" w:rsidRPr="008F364F">
        <w:rPr>
          <w:sz w:val="22"/>
        </w:rPr>
        <w:t>(</w:t>
      </w:r>
      <w:r w:rsidR="006175A8" w:rsidRPr="008F364F">
        <w:rPr>
          <w:sz w:val="22"/>
        </w:rPr>
        <w:t>Erişim Tarihi: 13.02.2019</w:t>
      </w:r>
      <w:r w:rsidR="00D82ADB" w:rsidRPr="008F364F">
        <w:rPr>
          <w:sz w:val="22"/>
        </w:rPr>
        <w:t>)</w:t>
      </w:r>
      <w:r w:rsidR="00AF1266">
        <w:rPr>
          <w:sz w:val="22"/>
        </w:rPr>
        <w:t>.</w:t>
      </w:r>
    </w:p>
    <w:p w:rsidR="005F770C" w:rsidRPr="008F364F" w:rsidRDefault="005F770C" w:rsidP="00B654EA">
      <w:pPr>
        <w:spacing w:before="120" w:after="120" w:line="240" w:lineRule="auto"/>
        <w:ind w:left="709" w:hanging="709"/>
        <w:rPr>
          <w:sz w:val="22"/>
        </w:rPr>
      </w:pPr>
      <w:proofErr w:type="spellStart"/>
      <w:r w:rsidRPr="008F364F">
        <w:rPr>
          <w:sz w:val="22"/>
        </w:rPr>
        <w:t>Weekly</w:t>
      </w:r>
      <w:proofErr w:type="spellEnd"/>
      <w:r w:rsidRPr="008F364F">
        <w:rPr>
          <w:sz w:val="22"/>
        </w:rPr>
        <w:t xml:space="preserve"> </w:t>
      </w:r>
      <w:proofErr w:type="spellStart"/>
      <w:r w:rsidRPr="008F364F">
        <w:rPr>
          <w:sz w:val="22"/>
        </w:rPr>
        <w:t>Epidemiology</w:t>
      </w:r>
      <w:proofErr w:type="spellEnd"/>
      <w:r w:rsidRPr="008F364F">
        <w:rPr>
          <w:sz w:val="22"/>
        </w:rPr>
        <w:t xml:space="preserve"> </w:t>
      </w:r>
      <w:proofErr w:type="spellStart"/>
      <w:r w:rsidRPr="008F364F">
        <w:rPr>
          <w:sz w:val="22"/>
        </w:rPr>
        <w:t>Record</w:t>
      </w:r>
      <w:proofErr w:type="spellEnd"/>
      <w:r w:rsidR="00AD5421" w:rsidRPr="008F364F">
        <w:rPr>
          <w:sz w:val="22"/>
        </w:rPr>
        <w:t>,</w:t>
      </w:r>
      <w:r w:rsidRPr="008F364F">
        <w:rPr>
          <w:sz w:val="22"/>
        </w:rPr>
        <w:t xml:space="preserve"> (2002), </w:t>
      </w:r>
      <w:r w:rsidR="00AD5421" w:rsidRPr="008F364F">
        <w:rPr>
          <w:sz w:val="22"/>
        </w:rPr>
        <w:t>“</w:t>
      </w:r>
      <w:proofErr w:type="spellStart"/>
      <w:r w:rsidRPr="008F364F">
        <w:rPr>
          <w:sz w:val="22"/>
        </w:rPr>
        <w:t>Yellow</w:t>
      </w:r>
      <w:proofErr w:type="spellEnd"/>
      <w:r w:rsidRPr="008F364F">
        <w:rPr>
          <w:sz w:val="22"/>
        </w:rPr>
        <w:t xml:space="preserve"> Fever in Senegal</w:t>
      </w:r>
      <w:r w:rsidR="00AD5421" w:rsidRPr="008F364F">
        <w:rPr>
          <w:sz w:val="22"/>
        </w:rPr>
        <w:t>”</w:t>
      </w:r>
      <w:r w:rsidRPr="008F364F">
        <w:rPr>
          <w:sz w:val="22"/>
        </w:rPr>
        <w:t>, https://www.who.int/wer/2002/werl8207.pdf</w:t>
      </w:r>
      <w:r w:rsidR="006175A8" w:rsidRPr="008F364F">
        <w:rPr>
          <w:sz w:val="22"/>
        </w:rPr>
        <w:t xml:space="preserve">, </w:t>
      </w:r>
      <w:r w:rsidR="00AD5421" w:rsidRPr="008F364F">
        <w:rPr>
          <w:sz w:val="22"/>
        </w:rPr>
        <w:t>(</w:t>
      </w:r>
      <w:r w:rsidR="006175A8" w:rsidRPr="008F364F">
        <w:rPr>
          <w:sz w:val="22"/>
        </w:rPr>
        <w:t>Erişim Tarihi: 13.02.2019</w:t>
      </w:r>
      <w:r w:rsidR="00AD5421" w:rsidRPr="008F364F">
        <w:rPr>
          <w:sz w:val="22"/>
        </w:rPr>
        <w:t>)</w:t>
      </w:r>
      <w:r w:rsidR="00AF1266">
        <w:rPr>
          <w:sz w:val="22"/>
        </w:rPr>
        <w:t>.</w:t>
      </w:r>
    </w:p>
    <w:p w:rsidR="00854696" w:rsidRPr="008F364F" w:rsidRDefault="006175A8" w:rsidP="00B654EA">
      <w:pPr>
        <w:spacing w:before="120" w:after="120" w:line="240" w:lineRule="auto"/>
        <w:ind w:left="709" w:hanging="709"/>
        <w:rPr>
          <w:sz w:val="22"/>
        </w:rPr>
      </w:pPr>
      <w:proofErr w:type="spellStart"/>
      <w:r w:rsidRPr="008F364F">
        <w:rPr>
          <w:sz w:val="22"/>
        </w:rPr>
        <w:t>Woolhouse</w:t>
      </w:r>
      <w:proofErr w:type="spellEnd"/>
      <w:r w:rsidRPr="008F364F">
        <w:rPr>
          <w:sz w:val="22"/>
        </w:rPr>
        <w:t>, Mark</w:t>
      </w:r>
      <w:r w:rsidR="00AD5421" w:rsidRPr="008F364F">
        <w:rPr>
          <w:sz w:val="22"/>
        </w:rPr>
        <w:t xml:space="preserve"> (2002).</w:t>
      </w:r>
      <w:r w:rsidR="006A0496" w:rsidRPr="008F364F">
        <w:rPr>
          <w:sz w:val="22"/>
        </w:rPr>
        <w:t xml:space="preserve"> </w:t>
      </w:r>
      <w:r w:rsidR="00AD5421" w:rsidRPr="008F364F">
        <w:rPr>
          <w:sz w:val="22"/>
        </w:rPr>
        <w:t>“</w:t>
      </w:r>
      <w:proofErr w:type="spellStart"/>
      <w:r w:rsidR="006A0496" w:rsidRPr="008F364F">
        <w:rPr>
          <w:sz w:val="22"/>
        </w:rPr>
        <w:t>Populati</w:t>
      </w:r>
      <w:r w:rsidRPr="008F364F">
        <w:rPr>
          <w:sz w:val="22"/>
        </w:rPr>
        <w:t>on</w:t>
      </w:r>
      <w:proofErr w:type="spellEnd"/>
      <w:r w:rsidRPr="008F364F">
        <w:rPr>
          <w:sz w:val="22"/>
        </w:rPr>
        <w:t xml:space="preserve"> </w:t>
      </w:r>
      <w:proofErr w:type="spellStart"/>
      <w:r w:rsidRPr="008F364F">
        <w:rPr>
          <w:sz w:val="22"/>
        </w:rPr>
        <w:t>Biology</w:t>
      </w:r>
      <w:proofErr w:type="spellEnd"/>
      <w:r w:rsidRPr="008F364F">
        <w:rPr>
          <w:sz w:val="22"/>
        </w:rPr>
        <w:t xml:space="preserve"> of </w:t>
      </w:r>
      <w:proofErr w:type="spellStart"/>
      <w:r w:rsidRPr="008F364F">
        <w:rPr>
          <w:sz w:val="22"/>
        </w:rPr>
        <w:t>Eme</w:t>
      </w:r>
      <w:r w:rsidR="00071D51" w:rsidRPr="008F364F">
        <w:rPr>
          <w:sz w:val="22"/>
        </w:rPr>
        <w:t>rging</w:t>
      </w:r>
      <w:proofErr w:type="spellEnd"/>
      <w:r w:rsidR="00071D51" w:rsidRPr="008F364F">
        <w:rPr>
          <w:sz w:val="22"/>
        </w:rPr>
        <w:t xml:space="preserve"> </w:t>
      </w:r>
      <w:proofErr w:type="spellStart"/>
      <w:r w:rsidR="00071D51" w:rsidRPr="008F364F">
        <w:rPr>
          <w:sz w:val="22"/>
        </w:rPr>
        <w:t>and</w:t>
      </w:r>
      <w:proofErr w:type="spellEnd"/>
      <w:r w:rsidR="00071D51" w:rsidRPr="008F364F">
        <w:rPr>
          <w:sz w:val="22"/>
        </w:rPr>
        <w:t xml:space="preserve"> Re-</w:t>
      </w:r>
      <w:proofErr w:type="spellStart"/>
      <w:r w:rsidR="00071D51" w:rsidRPr="008F364F">
        <w:rPr>
          <w:sz w:val="22"/>
        </w:rPr>
        <w:t>emerging</w:t>
      </w:r>
      <w:proofErr w:type="spellEnd"/>
      <w:r w:rsidR="00071D51" w:rsidRPr="008F364F">
        <w:rPr>
          <w:sz w:val="22"/>
        </w:rPr>
        <w:t xml:space="preserve"> </w:t>
      </w:r>
      <w:proofErr w:type="spellStart"/>
      <w:r w:rsidR="00071D51" w:rsidRPr="008F364F">
        <w:rPr>
          <w:sz w:val="22"/>
        </w:rPr>
        <w:t>Pathogens</w:t>
      </w:r>
      <w:proofErr w:type="spellEnd"/>
      <w:r w:rsidR="00AD5421" w:rsidRPr="008F364F">
        <w:rPr>
          <w:sz w:val="22"/>
        </w:rPr>
        <w:t>”.</w:t>
      </w:r>
      <w:r w:rsidRPr="008F364F">
        <w:rPr>
          <w:sz w:val="22"/>
        </w:rPr>
        <w:t xml:space="preserve"> </w:t>
      </w:r>
      <w:proofErr w:type="spellStart"/>
      <w:r w:rsidRPr="008F364F">
        <w:rPr>
          <w:sz w:val="22"/>
        </w:rPr>
        <w:t>Trends</w:t>
      </w:r>
      <w:proofErr w:type="spellEnd"/>
      <w:r w:rsidRPr="008F364F">
        <w:rPr>
          <w:sz w:val="22"/>
        </w:rPr>
        <w:t xml:space="preserve"> in </w:t>
      </w:r>
      <w:proofErr w:type="spellStart"/>
      <w:r w:rsidRPr="008F364F">
        <w:rPr>
          <w:sz w:val="22"/>
        </w:rPr>
        <w:t>M</w:t>
      </w:r>
      <w:r w:rsidR="00071D51" w:rsidRPr="008F364F">
        <w:rPr>
          <w:sz w:val="22"/>
        </w:rPr>
        <w:t>icrobiology</w:t>
      </w:r>
      <w:proofErr w:type="spellEnd"/>
      <w:r w:rsidR="00AD5421" w:rsidRPr="008F364F">
        <w:rPr>
          <w:sz w:val="22"/>
        </w:rPr>
        <w:t>, 10(10):</w:t>
      </w:r>
      <w:r w:rsidR="00071D51" w:rsidRPr="008F364F">
        <w:rPr>
          <w:sz w:val="22"/>
        </w:rPr>
        <w:t xml:space="preserve"> 3-</w:t>
      </w:r>
      <w:r w:rsidR="006A0496" w:rsidRPr="008F364F">
        <w:rPr>
          <w:sz w:val="22"/>
        </w:rPr>
        <w:t>7.</w:t>
      </w:r>
    </w:p>
    <w:p w:rsidR="00FB4910" w:rsidRPr="00FB0D0E" w:rsidRDefault="00FB4910" w:rsidP="004E7EBF">
      <w:pPr>
        <w:spacing w:line="240" w:lineRule="auto"/>
        <w:rPr>
          <w:sz w:val="22"/>
        </w:rPr>
      </w:pPr>
    </w:p>
    <w:sectPr w:rsidR="00FB4910" w:rsidRPr="00FB0D0E" w:rsidSect="004E7EBF">
      <w:headerReference w:type="default" r:id="rId9"/>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3A7" w:rsidRDefault="008A03A7" w:rsidP="005B748F">
      <w:pPr>
        <w:spacing w:after="0" w:line="240" w:lineRule="auto"/>
      </w:pPr>
      <w:r>
        <w:separator/>
      </w:r>
    </w:p>
  </w:endnote>
  <w:endnote w:type="continuationSeparator" w:id="0">
    <w:p w:rsidR="008A03A7" w:rsidRDefault="008A03A7" w:rsidP="005B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3A7" w:rsidRDefault="008A03A7" w:rsidP="005B748F">
      <w:pPr>
        <w:spacing w:after="0" w:line="240" w:lineRule="auto"/>
      </w:pPr>
      <w:r>
        <w:separator/>
      </w:r>
    </w:p>
  </w:footnote>
  <w:footnote w:type="continuationSeparator" w:id="0">
    <w:p w:rsidR="008A03A7" w:rsidRDefault="008A03A7" w:rsidP="005B748F">
      <w:pPr>
        <w:spacing w:after="0" w:line="240" w:lineRule="auto"/>
      </w:pPr>
      <w:r>
        <w:continuationSeparator/>
      </w:r>
    </w:p>
  </w:footnote>
  <w:footnote w:id="1">
    <w:p w:rsidR="00A87531" w:rsidRPr="00BC74D5" w:rsidRDefault="00A87531" w:rsidP="005B748F">
      <w:pPr>
        <w:pStyle w:val="DipnotMetni"/>
        <w:rPr>
          <w:sz w:val="18"/>
          <w:szCs w:val="18"/>
        </w:rPr>
      </w:pPr>
      <w:r>
        <w:rPr>
          <w:rStyle w:val="DipnotBavurusu"/>
        </w:rPr>
        <w:t>*</w:t>
      </w:r>
      <w:r w:rsidRPr="00BC74D5">
        <w:rPr>
          <w:sz w:val="18"/>
          <w:szCs w:val="18"/>
        </w:rPr>
        <w:t xml:space="preserve"> Prof. Dr., İstanbul Gelişim Üniversitesi İktisadi İdari ve Sosyal Bilimler Fakültesi Havacılık Yönetimi Bölümü, Türkiye, skaratepe@gelisim.edu.tr</w:t>
      </w:r>
    </w:p>
  </w:footnote>
  <w:footnote w:id="2">
    <w:p w:rsidR="00A87531" w:rsidRPr="00BC74D5" w:rsidRDefault="00A87531" w:rsidP="005B748F">
      <w:pPr>
        <w:pStyle w:val="DipnotMetni"/>
        <w:rPr>
          <w:sz w:val="18"/>
          <w:szCs w:val="18"/>
        </w:rPr>
      </w:pPr>
      <w:r>
        <w:rPr>
          <w:rStyle w:val="DipnotBavurusu"/>
        </w:rPr>
        <w:t>**</w:t>
      </w:r>
      <w:r w:rsidRPr="00BC74D5">
        <w:rPr>
          <w:sz w:val="18"/>
          <w:szCs w:val="18"/>
        </w:rPr>
        <w:t xml:space="preserve"> </w:t>
      </w:r>
      <w:proofErr w:type="spellStart"/>
      <w:r w:rsidR="00CC75D5">
        <w:rPr>
          <w:sz w:val="18"/>
          <w:szCs w:val="18"/>
        </w:rPr>
        <w:t>Öğr</w:t>
      </w:r>
      <w:proofErr w:type="spellEnd"/>
      <w:r w:rsidR="00CC75D5">
        <w:rPr>
          <w:sz w:val="18"/>
          <w:szCs w:val="18"/>
        </w:rPr>
        <w:t>. Gör.</w:t>
      </w:r>
      <w:r w:rsidR="00891A81">
        <w:rPr>
          <w:sz w:val="18"/>
          <w:szCs w:val="18"/>
        </w:rPr>
        <w:t>,</w:t>
      </w:r>
      <w:bookmarkStart w:id="0" w:name="_GoBack"/>
      <w:bookmarkEnd w:id="0"/>
      <w:r w:rsidR="00CC75D5">
        <w:rPr>
          <w:sz w:val="18"/>
          <w:szCs w:val="18"/>
        </w:rPr>
        <w:t xml:space="preserve"> Erciyes Üniversitesi, </w:t>
      </w:r>
      <w:r w:rsidRPr="00BC74D5">
        <w:rPr>
          <w:sz w:val="18"/>
          <w:szCs w:val="18"/>
        </w:rPr>
        <w:t>mseydaozan@gmail.com</w:t>
      </w:r>
    </w:p>
  </w:footnote>
  <w:footnote w:id="3">
    <w:p w:rsidR="00A87531" w:rsidRDefault="00A87531" w:rsidP="005B748F">
      <w:pPr>
        <w:pStyle w:val="DipnotMetni"/>
      </w:pPr>
      <w:r>
        <w:rPr>
          <w:rStyle w:val="DipnotBavurusu"/>
        </w:rPr>
        <w:t>***</w:t>
      </w:r>
      <w:r w:rsidRPr="00BC74D5">
        <w:rPr>
          <w:sz w:val="18"/>
          <w:szCs w:val="18"/>
        </w:rPr>
        <w:t xml:space="preserve"> </w:t>
      </w:r>
      <w:proofErr w:type="spellStart"/>
      <w:r w:rsidRPr="00BC74D5">
        <w:rPr>
          <w:sz w:val="18"/>
          <w:szCs w:val="18"/>
        </w:rPr>
        <w:t>Doktorant</w:t>
      </w:r>
      <w:proofErr w:type="spellEnd"/>
      <w:r w:rsidRPr="00BC74D5">
        <w:rPr>
          <w:sz w:val="18"/>
          <w:szCs w:val="18"/>
        </w:rPr>
        <w:t>, İstanbul Medeniyet Üniversitesi Sosyal Bilimler Enstitüsü Siyaset Bilimi ve Kamu Yönetimi Anabilim, a.muhammetbnzl@gmail.com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531" w:rsidRDefault="00A87531">
    <w:pPr>
      <w:pStyle w:val="stBilgi"/>
    </w:pPr>
  </w:p>
  <w:p w:rsidR="00A87531" w:rsidRPr="00A87531" w:rsidRDefault="00A87531" w:rsidP="00A87531">
    <w:pPr>
      <w:pStyle w:val="stBilgi"/>
      <w:shd w:val="clear" w:color="auto" w:fill="B8CCE4" w:themeFill="accent1" w:themeFillTint="66"/>
      <w:jc w:val="center"/>
      <w:rPr>
        <w:rFonts w:asciiTheme="minorHAnsi" w:hAnsiTheme="minorHAnsi"/>
        <w:sz w:val="22"/>
      </w:rPr>
    </w:pPr>
    <w:r w:rsidRPr="00A87531">
      <w:rPr>
        <w:rFonts w:asciiTheme="minorHAnsi" w:hAnsiTheme="minorHAnsi"/>
        <w:sz w:val="22"/>
      </w:rPr>
      <w:t>ASSAM ULUSLARARASI HAKEMLİ DERGİ 13. ULUSLARARASI KAMU YÖNETİMİ SEMPOZYUMU BİLDİRİLERİ ÖZEL SAYISI</w:t>
    </w:r>
  </w:p>
  <w:p w:rsidR="00A87531" w:rsidRDefault="00A875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31A2"/>
    <w:multiLevelType w:val="hybridMultilevel"/>
    <w:tmpl w:val="9E48D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F51588"/>
    <w:multiLevelType w:val="hybridMultilevel"/>
    <w:tmpl w:val="7CE28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247BB7"/>
    <w:multiLevelType w:val="hybridMultilevel"/>
    <w:tmpl w:val="BAF0F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2E60CF"/>
    <w:multiLevelType w:val="hybridMultilevel"/>
    <w:tmpl w:val="5E6CE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929"/>
    <w:rsid w:val="000079B5"/>
    <w:rsid w:val="0001425B"/>
    <w:rsid w:val="00023B5E"/>
    <w:rsid w:val="000520A8"/>
    <w:rsid w:val="00052DB0"/>
    <w:rsid w:val="00057460"/>
    <w:rsid w:val="000706B7"/>
    <w:rsid w:val="00071D51"/>
    <w:rsid w:val="000849A6"/>
    <w:rsid w:val="000A2CB4"/>
    <w:rsid w:val="000A704C"/>
    <w:rsid w:val="000A7929"/>
    <w:rsid w:val="000B6EAB"/>
    <w:rsid w:val="000B742F"/>
    <w:rsid w:val="000B7DD8"/>
    <w:rsid w:val="000C3DA7"/>
    <w:rsid w:val="000D0B0A"/>
    <w:rsid w:val="000D7FB4"/>
    <w:rsid w:val="000E67CE"/>
    <w:rsid w:val="000F4FAD"/>
    <w:rsid w:val="000F6616"/>
    <w:rsid w:val="00111E1E"/>
    <w:rsid w:val="0012297C"/>
    <w:rsid w:val="00122C48"/>
    <w:rsid w:val="00144A9B"/>
    <w:rsid w:val="001540BA"/>
    <w:rsid w:val="0016133E"/>
    <w:rsid w:val="00164932"/>
    <w:rsid w:val="00165452"/>
    <w:rsid w:val="0016689E"/>
    <w:rsid w:val="0017279F"/>
    <w:rsid w:val="00173DBB"/>
    <w:rsid w:val="001754D2"/>
    <w:rsid w:val="00177BDF"/>
    <w:rsid w:val="00182299"/>
    <w:rsid w:val="00191AFD"/>
    <w:rsid w:val="00196125"/>
    <w:rsid w:val="001A0A59"/>
    <w:rsid w:val="001A3306"/>
    <w:rsid w:val="001B1A68"/>
    <w:rsid w:val="001C0806"/>
    <w:rsid w:val="001C1EFB"/>
    <w:rsid w:val="001C5D26"/>
    <w:rsid w:val="001D5352"/>
    <w:rsid w:val="001E1403"/>
    <w:rsid w:val="001F4320"/>
    <w:rsid w:val="001F607A"/>
    <w:rsid w:val="001F7062"/>
    <w:rsid w:val="0022130F"/>
    <w:rsid w:val="00225BBB"/>
    <w:rsid w:val="00226137"/>
    <w:rsid w:val="00227522"/>
    <w:rsid w:val="002304FA"/>
    <w:rsid w:val="00234D3B"/>
    <w:rsid w:val="00240A2F"/>
    <w:rsid w:val="00241017"/>
    <w:rsid w:val="00247B10"/>
    <w:rsid w:val="002510B9"/>
    <w:rsid w:val="00251244"/>
    <w:rsid w:val="002546D4"/>
    <w:rsid w:val="00256828"/>
    <w:rsid w:val="002622FE"/>
    <w:rsid w:val="00264682"/>
    <w:rsid w:val="002740A5"/>
    <w:rsid w:val="00277ABC"/>
    <w:rsid w:val="00284616"/>
    <w:rsid w:val="00290042"/>
    <w:rsid w:val="002933A6"/>
    <w:rsid w:val="002946EC"/>
    <w:rsid w:val="00294ACF"/>
    <w:rsid w:val="002971CB"/>
    <w:rsid w:val="002A49F6"/>
    <w:rsid w:val="002A6B4C"/>
    <w:rsid w:val="002A6F00"/>
    <w:rsid w:val="002B3A57"/>
    <w:rsid w:val="002B4AB7"/>
    <w:rsid w:val="002B7FE1"/>
    <w:rsid w:val="002C18D0"/>
    <w:rsid w:val="002C4623"/>
    <w:rsid w:val="002F1114"/>
    <w:rsid w:val="002F2253"/>
    <w:rsid w:val="002F295B"/>
    <w:rsid w:val="003000E4"/>
    <w:rsid w:val="003016EC"/>
    <w:rsid w:val="003126B4"/>
    <w:rsid w:val="00312F51"/>
    <w:rsid w:val="003149EA"/>
    <w:rsid w:val="00321B4F"/>
    <w:rsid w:val="00335AE4"/>
    <w:rsid w:val="00336C28"/>
    <w:rsid w:val="00340AE2"/>
    <w:rsid w:val="00347A4E"/>
    <w:rsid w:val="0035021F"/>
    <w:rsid w:val="00352EE9"/>
    <w:rsid w:val="00354C12"/>
    <w:rsid w:val="00357180"/>
    <w:rsid w:val="003753CA"/>
    <w:rsid w:val="00382ECF"/>
    <w:rsid w:val="00385DCA"/>
    <w:rsid w:val="00386A44"/>
    <w:rsid w:val="003A133D"/>
    <w:rsid w:val="003A6421"/>
    <w:rsid w:val="003B1B92"/>
    <w:rsid w:val="003B3AFF"/>
    <w:rsid w:val="003C087A"/>
    <w:rsid w:val="003C54E0"/>
    <w:rsid w:val="003D6AAD"/>
    <w:rsid w:val="003E2CAC"/>
    <w:rsid w:val="003E506E"/>
    <w:rsid w:val="003E56AF"/>
    <w:rsid w:val="003E69AB"/>
    <w:rsid w:val="003F03D4"/>
    <w:rsid w:val="003F14FF"/>
    <w:rsid w:val="003F3B99"/>
    <w:rsid w:val="004058AD"/>
    <w:rsid w:val="00405B3B"/>
    <w:rsid w:val="00407298"/>
    <w:rsid w:val="00417698"/>
    <w:rsid w:val="00421B44"/>
    <w:rsid w:val="00425EEB"/>
    <w:rsid w:val="00436B71"/>
    <w:rsid w:val="0044074B"/>
    <w:rsid w:val="00441D6C"/>
    <w:rsid w:val="00445524"/>
    <w:rsid w:val="00450B26"/>
    <w:rsid w:val="0046448A"/>
    <w:rsid w:val="004812D6"/>
    <w:rsid w:val="00481481"/>
    <w:rsid w:val="00481D6A"/>
    <w:rsid w:val="00490D13"/>
    <w:rsid w:val="00492E42"/>
    <w:rsid w:val="004D186E"/>
    <w:rsid w:val="004D44C0"/>
    <w:rsid w:val="004E7EBF"/>
    <w:rsid w:val="004F0A11"/>
    <w:rsid w:val="004F17D8"/>
    <w:rsid w:val="005032BE"/>
    <w:rsid w:val="00512653"/>
    <w:rsid w:val="005218AE"/>
    <w:rsid w:val="005266AD"/>
    <w:rsid w:val="00527099"/>
    <w:rsid w:val="00530540"/>
    <w:rsid w:val="00534C7C"/>
    <w:rsid w:val="00534F94"/>
    <w:rsid w:val="00537614"/>
    <w:rsid w:val="00542943"/>
    <w:rsid w:val="0054324E"/>
    <w:rsid w:val="00546418"/>
    <w:rsid w:val="00546CB8"/>
    <w:rsid w:val="00574D07"/>
    <w:rsid w:val="005778A7"/>
    <w:rsid w:val="00577F5B"/>
    <w:rsid w:val="0058021A"/>
    <w:rsid w:val="00584DA9"/>
    <w:rsid w:val="005860D4"/>
    <w:rsid w:val="00597E88"/>
    <w:rsid w:val="005A1670"/>
    <w:rsid w:val="005A2136"/>
    <w:rsid w:val="005A3CBC"/>
    <w:rsid w:val="005A3EB4"/>
    <w:rsid w:val="005A7ABC"/>
    <w:rsid w:val="005B3BEF"/>
    <w:rsid w:val="005B748F"/>
    <w:rsid w:val="005C044F"/>
    <w:rsid w:val="005C0B48"/>
    <w:rsid w:val="005C4204"/>
    <w:rsid w:val="005C5C34"/>
    <w:rsid w:val="005C6781"/>
    <w:rsid w:val="005D136A"/>
    <w:rsid w:val="005D16D0"/>
    <w:rsid w:val="005D3778"/>
    <w:rsid w:val="005D6420"/>
    <w:rsid w:val="005D711D"/>
    <w:rsid w:val="005E6354"/>
    <w:rsid w:val="005F1F35"/>
    <w:rsid w:val="005F3609"/>
    <w:rsid w:val="005F770C"/>
    <w:rsid w:val="0060095D"/>
    <w:rsid w:val="00606594"/>
    <w:rsid w:val="006110A0"/>
    <w:rsid w:val="006166BE"/>
    <w:rsid w:val="006175A8"/>
    <w:rsid w:val="00622B58"/>
    <w:rsid w:val="006311F7"/>
    <w:rsid w:val="00637DDB"/>
    <w:rsid w:val="00637F16"/>
    <w:rsid w:val="00651BDA"/>
    <w:rsid w:val="0065263C"/>
    <w:rsid w:val="00657776"/>
    <w:rsid w:val="0067455F"/>
    <w:rsid w:val="00681037"/>
    <w:rsid w:val="00693495"/>
    <w:rsid w:val="006945B7"/>
    <w:rsid w:val="00694C84"/>
    <w:rsid w:val="006A0496"/>
    <w:rsid w:val="006A1141"/>
    <w:rsid w:val="006A2AB2"/>
    <w:rsid w:val="006A6349"/>
    <w:rsid w:val="006B1FA6"/>
    <w:rsid w:val="006B50F1"/>
    <w:rsid w:val="006C57FF"/>
    <w:rsid w:val="006C75CE"/>
    <w:rsid w:val="006D0CD9"/>
    <w:rsid w:val="006D254E"/>
    <w:rsid w:val="006D72E7"/>
    <w:rsid w:val="006E08BA"/>
    <w:rsid w:val="006E5A62"/>
    <w:rsid w:val="006F3E32"/>
    <w:rsid w:val="0070034B"/>
    <w:rsid w:val="007066FE"/>
    <w:rsid w:val="00706976"/>
    <w:rsid w:val="00713E90"/>
    <w:rsid w:val="007234FA"/>
    <w:rsid w:val="00723737"/>
    <w:rsid w:val="0073269B"/>
    <w:rsid w:val="0073326B"/>
    <w:rsid w:val="0073406B"/>
    <w:rsid w:val="007358FC"/>
    <w:rsid w:val="007432FE"/>
    <w:rsid w:val="0074592F"/>
    <w:rsid w:val="0074594D"/>
    <w:rsid w:val="00745D36"/>
    <w:rsid w:val="00752447"/>
    <w:rsid w:val="007566A9"/>
    <w:rsid w:val="00764E62"/>
    <w:rsid w:val="007762B4"/>
    <w:rsid w:val="00776ADF"/>
    <w:rsid w:val="0078753F"/>
    <w:rsid w:val="00787825"/>
    <w:rsid w:val="007B5566"/>
    <w:rsid w:val="007C0E77"/>
    <w:rsid w:val="007C202E"/>
    <w:rsid w:val="007C4149"/>
    <w:rsid w:val="007C6A1A"/>
    <w:rsid w:val="007D6053"/>
    <w:rsid w:val="007E6563"/>
    <w:rsid w:val="007E72FE"/>
    <w:rsid w:val="007F39EE"/>
    <w:rsid w:val="007F5142"/>
    <w:rsid w:val="00800E9E"/>
    <w:rsid w:val="008104DF"/>
    <w:rsid w:val="00811A43"/>
    <w:rsid w:val="008135EA"/>
    <w:rsid w:val="00813B1F"/>
    <w:rsid w:val="00816309"/>
    <w:rsid w:val="008240C6"/>
    <w:rsid w:val="00832707"/>
    <w:rsid w:val="00835367"/>
    <w:rsid w:val="008460D2"/>
    <w:rsid w:val="00852E20"/>
    <w:rsid w:val="00854696"/>
    <w:rsid w:val="00864F8C"/>
    <w:rsid w:val="00866ED3"/>
    <w:rsid w:val="00875BCD"/>
    <w:rsid w:val="00881908"/>
    <w:rsid w:val="008859D9"/>
    <w:rsid w:val="00886888"/>
    <w:rsid w:val="00891A81"/>
    <w:rsid w:val="00893645"/>
    <w:rsid w:val="00894507"/>
    <w:rsid w:val="008A03A7"/>
    <w:rsid w:val="008A0FA5"/>
    <w:rsid w:val="008C3544"/>
    <w:rsid w:val="008C367B"/>
    <w:rsid w:val="008C72F4"/>
    <w:rsid w:val="008D0223"/>
    <w:rsid w:val="008D54E3"/>
    <w:rsid w:val="008E369A"/>
    <w:rsid w:val="008E40A8"/>
    <w:rsid w:val="008E63A3"/>
    <w:rsid w:val="008F364F"/>
    <w:rsid w:val="008F6EA3"/>
    <w:rsid w:val="00902012"/>
    <w:rsid w:val="0091584D"/>
    <w:rsid w:val="00916750"/>
    <w:rsid w:val="00930E30"/>
    <w:rsid w:val="00932AC7"/>
    <w:rsid w:val="00933EBD"/>
    <w:rsid w:val="00934B58"/>
    <w:rsid w:val="00935B51"/>
    <w:rsid w:val="009362D2"/>
    <w:rsid w:val="00940AC8"/>
    <w:rsid w:val="009522E7"/>
    <w:rsid w:val="00955656"/>
    <w:rsid w:val="00955A4B"/>
    <w:rsid w:val="00967B29"/>
    <w:rsid w:val="00981924"/>
    <w:rsid w:val="0098662D"/>
    <w:rsid w:val="0099008F"/>
    <w:rsid w:val="00990226"/>
    <w:rsid w:val="0099343B"/>
    <w:rsid w:val="009B1A1E"/>
    <w:rsid w:val="009B6D6B"/>
    <w:rsid w:val="009C5F74"/>
    <w:rsid w:val="009D6299"/>
    <w:rsid w:val="009D7BC1"/>
    <w:rsid w:val="009E2319"/>
    <w:rsid w:val="009E46F2"/>
    <w:rsid w:val="009E6F9B"/>
    <w:rsid w:val="009E6FD9"/>
    <w:rsid w:val="009F27FE"/>
    <w:rsid w:val="009F2FDE"/>
    <w:rsid w:val="009F345A"/>
    <w:rsid w:val="00A039D9"/>
    <w:rsid w:val="00A04FAA"/>
    <w:rsid w:val="00A077E5"/>
    <w:rsid w:val="00A1778B"/>
    <w:rsid w:val="00A34318"/>
    <w:rsid w:val="00A36B00"/>
    <w:rsid w:val="00A44511"/>
    <w:rsid w:val="00A52284"/>
    <w:rsid w:val="00A53DBD"/>
    <w:rsid w:val="00A60EA2"/>
    <w:rsid w:val="00A62453"/>
    <w:rsid w:val="00A7343F"/>
    <w:rsid w:val="00A75838"/>
    <w:rsid w:val="00A76306"/>
    <w:rsid w:val="00A83DD8"/>
    <w:rsid w:val="00A87531"/>
    <w:rsid w:val="00AA6630"/>
    <w:rsid w:val="00AB6CDA"/>
    <w:rsid w:val="00AD109C"/>
    <w:rsid w:val="00AD5421"/>
    <w:rsid w:val="00AD7A97"/>
    <w:rsid w:val="00AE0AFE"/>
    <w:rsid w:val="00AE47CA"/>
    <w:rsid w:val="00AE69E6"/>
    <w:rsid w:val="00AE6DB8"/>
    <w:rsid w:val="00AF1266"/>
    <w:rsid w:val="00AF2A8E"/>
    <w:rsid w:val="00AF3FA4"/>
    <w:rsid w:val="00AF4CA3"/>
    <w:rsid w:val="00AF7D6C"/>
    <w:rsid w:val="00B026E9"/>
    <w:rsid w:val="00B10F52"/>
    <w:rsid w:val="00B33913"/>
    <w:rsid w:val="00B439F3"/>
    <w:rsid w:val="00B45FE4"/>
    <w:rsid w:val="00B654EA"/>
    <w:rsid w:val="00B758A8"/>
    <w:rsid w:val="00B7793D"/>
    <w:rsid w:val="00B80E5C"/>
    <w:rsid w:val="00B92D8D"/>
    <w:rsid w:val="00BA67B1"/>
    <w:rsid w:val="00BB5163"/>
    <w:rsid w:val="00BC098D"/>
    <w:rsid w:val="00BC74D5"/>
    <w:rsid w:val="00BD45CA"/>
    <w:rsid w:val="00BE42C5"/>
    <w:rsid w:val="00BF0C08"/>
    <w:rsid w:val="00BF68AE"/>
    <w:rsid w:val="00C055A5"/>
    <w:rsid w:val="00C157E2"/>
    <w:rsid w:val="00C15EFC"/>
    <w:rsid w:val="00C1687D"/>
    <w:rsid w:val="00C204D9"/>
    <w:rsid w:val="00C26315"/>
    <w:rsid w:val="00C27510"/>
    <w:rsid w:val="00C276BD"/>
    <w:rsid w:val="00C32E6D"/>
    <w:rsid w:val="00C33E98"/>
    <w:rsid w:val="00C41328"/>
    <w:rsid w:val="00C43BCC"/>
    <w:rsid w:val="00C46C85"/>
    <w:rsid w:val="00C476CC"/>
    <w:rsid w:val="00C50291"/>
    <w:rsid w:val="00C520F1"/>
    <w:rsid w:val="00C56D72"/>
    <w:rsid w:val="00C61CB1"/>
    <w:rsid w:val="00C62E1E"/>
    <w:rsid w:val="00C7348D"/>
    <w:rsid w:val="00C832D5"/>
    <w:rsid w:val="00C936FA"/>
    <w:rsid w:val="00CA225D"/>
    <w:rsid w:val="00CB2BFA"/>
    <w:rsid w:val="00CB5D71"/>
    <w:rsid w:val="00CB6242"/>
    <w:rsid w:val="00CC048A"/>
    <w:rsid w:val="00CC22A0"/>
    <w:rsid w:val="00CC2D6E"/>
    <w:rsid w:val="00CC53CB"/>
    <w:rsid w:val="00CC75D5"/>
    <w:rsid w:val="00CD2C0C"/>
    <w:rsid w:val="00CD655F"/>
    <w:rsid w:val="00CE1D93"/>
    <w:rsid w:val="00CE555F"/>
    <w:rsid w:val="00CF0414"/>
    <w:rsid w:val="00CF7725"/>
    <w:rsid w:val="00D010DA"/>
    <w:rsid w:val="00D146BA"/>
    <w:rsid w:val="00D34A52"/>
    <w:rsid w:val="00D35F04"/>
    <w:rsid w:val="00D367D9"/>
    <w:rsid w:val="00D464D4"/>
    <w:rsid w:val="00D472EC"/>
    <w:rsid w:val="00D5023E"/>
    <w:rsid w:val="00D54A4D"/>
    <w:rsid w:val="00D56E6A"/>
    <w:rsid w:val="00D61C42"/>
    <w:rsid w:val="00D64A65"/>
    <w:rsid w:val="00D64AAD"/>
    <w:rsid w:val="00D66FFF"/>
    <w:rsid w:val="00D70AD7"/>
    <w:rsid w:val="00D74F68"/>
    <w:rsid w:val="00D82ADB"/>
    <w:rsid w:val="00D86FBF"/>
    <w:rsid w:val="00D93D1E"/>
    <w:rsid w:val="00D94C45"/>
    <w:rsid w:val="00D956EB"/>
    <w:rsid w:val="00D95B7A"/>
    <w:rsid w:val="00DA3149"/>
    <w:rsid w:val="00DA36EA"/>
    <w:rsid w:val="00DA72EF"/>
    <w:rsid w:val="00DB00C0"/>
    <w:rsid w:val="00DB7626"/>
    <w:rsid w:val="00DC171F"/>
    <w:rsid w:val="00DC2938"/>
    <w:rsid w:val="00DC2E28"/>
    <w:rsid w:val="00DC7B13"/>
    <w:rsid w:val="00DC7B63"/>
    <w:rsid w:val="00DD1057"/>
    <w:rsid w:val="00DD1639"/>
    <w:rsid w:val="00DD7FB3"/>
    <w:rsid w:val="00DE0046"/>
    <w:rsid w:val="00DE2CB9"/>
    <w:rsid w:val="00DE4CE8"/>
    <w:rsid w:val="00DE65EF"/>
    <w:rsid w:val="00DF2CFB"/>
    <w:rsid w:val="00E019FA"/>
    <w:rsid w:val="00E03B68"/>
    <w:rsid w:val="00E0533D"/>
    <w:rsid w:val="00E15D94"/>
    <w:rsid w:val="00E21635"/>
    <w:rsid w:val="00E2200F"/>
    <w:rsid w:val="00E22FF2"/>
    <w:rsid w:val="00E26501"/>
    <w:rsid w:val="00E3300A"/>
    <w:rsid w:val="00E40DD3"/>
    <w:rsid w:val="00E42ACA"/>
    <w:rsid w:val="00E43CBC"/>
    <w:rsid w:val="00E4678B"/>
    <w:rsid w:val="00E47CB2"/>
    <w:rsid w:val="00E56D04"/>
    <w:rsid w:val="00E616D7"/>
    <w:rsid w:val="00E653E6"/>
    <w:rsid w:val="00E66E33"/>
    <w:rsid w:val="00E86526"/>
    <w:rsid w:val="00E90FDE"/>
    <w:rsid w:val="00E91B21"/>
    <w:rsid w:val="00E93A02"/>
    <w:rsid w:val="00E95CA7"/>
    <w:rsid w:val="00E97167"/>
    <w:rsid w:val="00EA035F"/>
    <w:rsid w:val="00EA2B13"/>
    <w:rsid w:val="00EA40DF"/>
    <w:rsid w:val="00EA57C9"/>
    <w:rsid w:val="00EA7665"/>
    <w:rsid w:val="00EB4B34"/>
    <w:rsid w:val="00EB5D9D"/>
    <w:rsid w:val="00EC0732"/>
    <w:rsid w:val="00EE6DD8"/>
    <w:rsid w:val="00EF7F48"/>
    <w:rsid w:val="00F056ED"/>
    <w:rsid w:val="00F05B1E"/>
    <w:rsid w:val="00F2063F"/>
    <w:rsid w:val="00F22590"/>
    <w:rsid w:val="00F22CDD"/>
    <w:rsid w:val="00F278BF"/>
    <w:rsid w:val="00F316A7"/>
    <w:rsid w:val="00F405BF"/>
    <w:rsid w:val="00F42F0E"/>
    <w:rsid w:val="00F51D37"/>
    <w:rsid w:val="00F6126F"/>
    <w:rsid w:val="00F67823"/>
    <w:rsid w:val="00F86CC3"/>
    <w:rsid w:val="00F91212"/>
    <w:rsid w:val="00F9675B"/>
    <w:rsid w:val="00FA00B0"/>
    <w:rsid w:val="00FA2BD4"/>
    <w:rsid w:val="00FB0D0E"/>
    <w:rsid w:val="00FB36BE"/>
    <w:rsid w:val="00FB41B7"/>
    <w:rsid w:val="00FB4910"/>
    <w:rsid w:val="00FB73D7"/>
    <w:rsid w:val="00FC0F01"/>
    <w:rsid w:val="00FC2410"/>
    <w:rsid w:val="00FC72EC"/>
    <w:rsid w:val="00FC7A68"/>
    <w:rsid w:val="00FD382E"/>
    <w:rsid w:val="00FD49BE"/>
    <w:rsid w:val="00FD5178"/>
    <w:rsid w:val="00FD6439"/>
    <w:rsid w:val="00FE1CB5"/>
    <w:rsid w:val="00FE2AED"/>
    <w:rsid w:val="00FE7FCE"/>
    <w:rsid w:val="00FF4982"/>
    <w:rsid w:val="00FF5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31F3F"/>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7929"/>
    <w:pPr>
      <w:spacing w:line="360" w:lineRule="auto"/>
      <w:jc w:val="both"/>
    </w:pPr>
    <w:rPr>
      <w:rFonts w:ascii="Times New Roman" w:hAnsi="Times New Roman"/>
      <w:sz w:val="24"/>
    </w:rPr>
  </w:style>
  <w:style w:type="paragraph" w:styleId="Balk1">
    <w:name w:val="heading 1"/>
    <w:basedOn w:val="Normal"/>
    <w:next w:val="Normal"/>
    <w:link w:val="Balk1Char"/>
    <w:uiPriority w:val="9"/>
    <w:qFormat/>
    <w:rsid w:val="00894507"/>
    <w:pPr>
      <w:keepNext/>
      <w:keepLines/>
      <w:spacing w:before="480" w:after="0"/>
      <w:outlineLvl w:val="0"/>
    </w:pPr>
    <w:rPr>
      <w:rFonts w:eastAsiaTheme="majorEastAsia" w:cstheme="majorBidi"/>
      <w:b/>
      <w:bCs/>
      <w:color w:val="000000" w:themeColor="text1"/>
      <w:szCs w:val="28"/>
    </w:rPr>
  </w:style>
  <w:style w:type="paragraph" w:styleId="Balk2">
    <w:name w:val="heading 2"/>
    <w:basedOn w:val="Normal"/>
    <w:next w:val="Normal"/>
    <w:link w:val="Balk2Char"/>
    <w:uiPriority w:val="9"/>
    <w:unhideWhenUsed/>
    <w:qFormat/>
    <w:rsid w:val="00894507"/>
    <w:pPr>
      <w:keepNext/>
      <w:keepLines/>
      <w:spacing w:before="200" w:after="0"/>
      <w:outlineLvl w:val="1"/>
    </w:pPr>
    <w:rPr>
      <w:rFonts w:eastAsiaTheme="majorEastAsia" w:cstheme="majorBidi"/>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171F"/>
    <w:pPr>
      <w:ind w:left="720"/>
      <w:contextualSpacing/>
    </w:pPr>
  </w:style>
  <w:style w:type="paragraph" w:styleId="BelgeBalantlar">
    <w:name w:val="Document Map"/>
    <w:basedOn w:val="Normal"/>
    <w:link w:val="BelgeBalantlarChar"/>
    <w:uiPriority w:val="99"/>
    <w:semiHidden/>
    <w:unhideWhenUsed/>
    <w:rsid w:val="00816309"/>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816309"/>
    <w:rPr>
      <w:rFonts w:ascii="Tahoma" w:hAnsi="Tahoma" w:cs="Tahoma"/>
      <w:sz w:val="16"/>
      <w:szCs w:val="16"/>
    </w:rPr>
  </w:style>
  <w:style w:type="paragraph" w:styleId="DipnotMetni">
    <w:name w:val="footnote text"/>
    <w:basedOn w:val="Normal"/>
    <w:link w:val="DipnotMetniChar"/>
    <w:uiPriority w:val="99"/>
    <w:semiHidden/>
    <w:unhideWhenUsed/>
    <w:rsid w:val="005B748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B748F"/>
    <w:rPr>
      <w:rFonts w:ascii="Times New Roman" w:hAnsi="Times New Roman"/>
      <w:sz w:val="20"/>
      <w:szCs w:val="20"/>
    </w:rPr>
  </w:style>
  <w:style w:type="character" w:styleId="DipnotBavurusu">
    <w:name w:val="footnote reference"/>
    <w:basedOn w:val="VarsaylanParagrafYazTipi"/>
    <w:uiPriority w:val="99"/>
    <w:semiHidden/>
    <w:unhideWhenUsed/>
    <w:rsid w:val="005B748F"/>
    <w:rPr>
      <w:vertAlign w:val="superscript"/>
    </w:rPr>
  </w:style>
  <w:style w:type="character" w:customStyle="1" w:styleId="Balk1Char">
    <w:name w:val="Başlık 1 Char"/>
    <w:basedOn w:val="VarsaylanParagrafYazTipi"/>
    <w:link w:val="Balk1"/>
    <w:uiPriority w:val="9"/>
    <w:rsid w:val="00894507"/>
    <w:rPr>
      <w:rFonts w:ascii="Times New Roman" w:eastAsiaTheme="majorEastAsia" w:hAnsi="Times New Roman" w:cstheme="majorBidi"/>
      <w:b/>
      <w:bCs/>
      <w:color w:val="000000" w:themeColor="text1"/>
      <w:sz w:val="24"/>
      <w:szCs w:val="28"/>
    </w:rPr>
  </w:style>
  <w:style w:type="character" w:customStyle="1" w:styleId="Balk2Char">
    <w:name w:val="Başlık 2 Char"/>
    <w:basedOn w:val="VarsaylanParagrafYazTipi"/>
    <w:link w:val="Balk2"/>
    <w:uiPriority w:val="9"/>
    <w:rsid w:val="00894507"/>
    <w:rPr>
      <w:rFonts w:ascii="Times New Roman" w:eastAsiaTheme="majorEastAsia" w:hAnsi="Times New Roman" w:cstheme="majorBidi"/>
      <w:b/>
      <w:bCs/>
      <w:sz w:val="24"/>
      <w:szCs w:val="26"/>
    </w:rPr>
  </w:style>
  <w:style w:type="table" w:styleId="TabloKlavuzu">
    <w:name w:val="Table Grid"/>
    <w:basedOn w:val="NormalTablo"/>
    <w:uiPriority w:val="59"/>
    <w:rsid w:val="002F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971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71CB"/>
    <w:rPr>
      <w:rFonts w:ascii="Tahoma" w:hAnsi="Tahoma" w:cs="Tahoma"/>
      <w:sz w:val="16"/>
      <w:szCs w:val="16"/>
    </w:rPr>
  </w:style>
  <w:style w:type="paragraph" w:styleId="stBilgi">
    <w:name w:val="header"/>
    <w:basedOn w:val="Normal"/>
    <w:link w:val="stBilgiChar"/>
    <w:uiPriority w:val="99"/>
    <w:unhideWhenUsed/>
    <w:rsid w:val="00A875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7531"/>
    <w:rPr>
      <w:rFonts w:ascii="Times New Roman" w:hAnsi="Times New Roman"/>
      <w:sz w:val="24"/>
    </w:rPr>
  </w:style>
  <w:style w:type="paragraph" w:styleId="AltBilgi">
    <w:name w:val="footer"/>
    <w:basedOn w:val="Normal"/>
    <w:link w:val="AltBilgiChar"/>
    <w:uiPriority w:val="99"/>
    <w:unhideWhenUsed/>
    <w:rsid w:val="00A875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75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4356">
      <w:bodyDiv w:val="1"/>
      <w:marLeft w:val="0"/>
      <w:marRight w:val="0"/>
      <w:marTop w:val="0"/>
      <w:marBottom w:val="0"/>
      <w:divBdr>
        <w:top w:val="none" w:sz="0" w:space="0" w:color="auto"/>
        <w:left w:val="none" w:sz="0" w:space="0" w:color="auto"/>
        <w:bottom w:val="none" w:sz="0" w:space="0" w:color="auto"/>
        <w:right w:val="none" w:sz="0" w:space="0" w:color="auto"/>
      </w:divBdr>
      <w:divsChild>
        <w:div w:id="550117894">
          <w:marLeft w:val="0"/>
          <w:marRight w:val="0"/>
          <w:marTop w:val="0"/>
          <w:marBottom w:val="0"/>
          <w:divBdr>
            <w:top w:val="none" w:sz="0" w:space="0" w:color="auto"/>
            <w:left w:val="none" w:sz="0" w:space="0" w:color="auto"/>
            <w:bottom w:val="none" w:sz="0" w:space="0" w:color="auto"/>
            <w:right w:val="none" w:sz="0" w:space="0" w:color="auto"/>
          </w:divBdr>
          <w:divsChild>
            <w:div w:id="1155218560">
              <w:marLeft w:val="0"/>
              <w:marRight w:val="0"/>
              <w:marTop w:val="0"/>
              <w:marBottom w:val="0"/>
              <w:divBdr>
                <w:top w:val="none" w:sz="0" w:space="0" w:color="auto"/>
                <w:left w:val="none" w:sz="0" w:space="0" w:color="auto"/>
                <w:bottom w:val="none" w:sz="0" w:space="0" w:color="auto"/>
                <w:right w:val="none" w:sz="0" w:space="0" w:color="auto"/>
              </w:divBdr>
              <w:divsChild>
                <w:div w:id="1865824355">
                  <w:marLeft w:val="0"/>
                  <w:marRight w:val="0"/>
                  <w:marTop w:val="0"/>
                  <w:marBottom w:val="0"/>
                  <w:divBdr>
                    <w:top w:val="none" w:sz="0" w:space="0" w:color="auto"/>
                    <w:left w:val="none" w:sz="0" w:space="0" w:color="auto"/>
                    <w:bottom w:val="none" w:sz="0" w:space="0" w:color="auto"/>
                    <w:right w:val="none" w:sz="0" w:space="0" w:color="auto"/>
                  </w:divBdr>
                  <w:divsChild>
                    <w:div w:id="270747876">
                      <w:marLeft w:val="0"/>
                      <w:marRight w:val="0"/>
                      <w:marTop w:val="0"/>
                      <w:marBottom w:val="0"/>
                      <w:divBdr>
                        <w:top w:val="none" w:sz="0" w:space="0" w:color="auto"/>
                        <w:left w:val="none" w:sz="0" w:space="0" w:color="auto"/>
                        <w:bottom w:val="none" w:sz="0" w:space="0" w:color="auto"/>
                        <w:right w:val="none" w:sz="0" w:space="0" w:color="auto"/>
                      </w:divBdr>
                      <w:divsChild>
                        <w:div w:id="1759447608">
                          <w:marLeft w:val="0"/>
                          <w:marRight w:val="0"/>
                          <w:marTop w:val="0"/>
                          <w:marBottom w:val="0"/>
                          <w:divBdr>
                            <w:top w:val="none" w:sz="0" w:space="0" w:color="auto"/>
                            <w:left w:val="none" w:sz="0" w:space="0" w:color="auto"/>
                            <w:bottom w:val="none" w:sz="0" w:space="0" w:color="auto"/>
                            <w:right w:val="none" w:sz="0" w:space="0" w:color="auto"/>
                          </w:divBdr>
                          <w:divsChild>
                            <w:div w:id="1031493327">
                              <w:marLeft w:val="0"/>
                              <w:marRight w:val="335"/>
                              <w:marTop w:val="201"/>
                              <w:marBottom w:val="0"/>
                              <w:divBdr>
                                <w:top w:val="none" w:sz="0" w:space="0" w:color="auto"/>
                                <w:left w:val="none" w:sz="0" w:space="0" w:color="auto"/>
                                <w:bottom w:val="none" w:sz="0" w:space="0" w:color="auto"/>
                                <w:right w:val="none" w:sz="0" w:space="0" w:color="auto"/>
                              </w:divBdr>
                              <w:divsChild>
                                <w:div w:id="3003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9346">
          <w:marLeft w:val="0"/>
          <w:marRight w:val="0"/>
          <w:marTop w:val="0"/>
          <w:marBottom w:val="0"/>
          <w:divBdr>
            <w:top w:val="none" w:sz="0" w:space="0" w:color="auto"/>
            <w:left w:val="none" w:sz="0" w:space="0" w:color="auto"/>
            <w:bottom w:val="none" w:sz="0" w:space="0" w:color="auto"/>
            <w:right w:val="none" w:sz="0" w:space="0" w:color="auto"/>
          </w:divBdr>
          <w:divsChild>
            <w:div w:id="1662736610">
              <w:marLeft w:val="0"/>
              <w:marRight w:val="0"/>
              <w:marTop w:val="0"/>
              <w:marBottom w:val="0"/>
              <w:divBdr>
                <w:top w:val="none" w:sz="0" w:space="0" w:color="auto"/>
                <w:left w:val="none" w:sz="0" w:space="0" w:color="auto"/>
                <w:bottom w:val="none" w:sz="0" w:space="0" w:color="auto"/>
                <w:right w:val="none" w:sz="0" w:space="0" w:color="auto"/>
              </w:divBdr>
              <w:divsChild>
                <w:div w:id="856502671">
                  <w:marLeft w:val="0"/>
                  <w:marRight w:val="0"/>
                  <w:marTop w:val="0"/>
                  <w:marBottom w:val="0"/>
                  <w:divBdr>
                    <w:top w:val="none" w:sz="0" w:space="0" w:color="auto"/>
                    <w:left w:val="none" w:sz="0" w:space="0" w:color="auto"/>
                    <w:bottom w:val="none" w:sz="0" w:space="0" w:color="auto"/>
                    <w:right w:val="none" w:sz="0" w:space="0" w:color="auto"/>
                  </w:divBdr>
                  <w:divsChild>
                    <w:div w:id="1122919012">
                      <w:marLeft w:val="0"/>
                      <w:marRight w:val="0"/>
                      <w:marTop w:val="0"/>
                      <w:marBottom w:val="0"/>
                      <w:divBdr>
                        <w:top w:val="none" w:sz="0" w:space="0" w:color="auto"/>
                        <w:left w:val="none" w:sz="0" w:space="0" w:color="auto"/>
                        <w:bottom w:val="none" w:sz="0" w:space="0" w:color="auto"/>
                        <w:right w:val="none" w:sz="0" w:space="0" w:color="auto"/>
                      </w:divBdr>
                      <w:divsChild>
                        <w:div w:id="14746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1543">
      <w:bodyDiv w:val="1"/>
      <w:marLeft w:val="0"/>
      <w:marRight w:val="0"/>
      <w:marTop w:val="0"/>
      <w:marBottom w:val="0"/>
      <w:divBdr>
        <w:top w:val="none" w:sz="0" w:space="0" w:color="auto"/>
        <w:left w:val="none" w:sz="0" w:space="0" w:color="auto"/>
        <w:bottom w:val="none" w:sz="0" w:space="0" w:color="auto"/>
        <w:right w:val="none" w:sz="0" w:space="0" w:color="auto"/>
      </w:divBdr>
      <w:divsChild>
        <w:div w:id="1934506831">
          <w:marLeft w:val="0"/>
          <w:marRight w:val="0"/>
          <w:marTop w:val="0"/>
          <w:marBottom w:val="0"/>
          <w:divBdr>
            <w:top w:val="none" w:sz="0" w:space="0" w:color="auto"/>
            <w:left w:val="none" w:sz="0" w:space="0" w:color="auto"/>
            <w:bottom w:val="none" w:sz="0" w:space="0" w:color="auto"/>
            <w:right w:val="none" w:sz="0" w:space="0" w:color="auto"/>
          </w:divBdr>
          <w:divsChild>
            <w:div w:id="1422338167">
              <w:marLeft w:val="0"/>
              <w:marRight w:val="0"/>
              <w:marTop w:val="0"/>
              <w:marBottom w:val="0"/>
              <w:divBdr>
                <w:top w:val="none" w:sz="0" w:space="0" w:color="auto"/>
                <w:left w:val="none" w:sz="0" w:space="0" w:color="auto"/>
                <w:bottom w:val="none" w:sz="0" w:space="0" w:color="auto"/>
                <w:right w:val="none" w:sz="0" w:space="0" w:color="auto"/>
              </w:divBdr>
              <w:divsChild>
                <w:div w:id="140737907">
                  <w:marLeft w:val="0"/>
                  <w:marRight w:val="0"/>
                  <w:marTop w:val="0"/>
                  <w:marBottom w:val="0"/>
                  <w:divBdr>
                    <w:top w:val="none" w:sz="0" w:space="0" w:color="auto"/>
                    <w:left w:val="none" w:sz="0" w:space="0" w:color="auto"/>
                    <w:bottom w:val="none" w:sz="0" w:space="0" w:color="auto"/>
                    <w:right w:val="none" w:sz="0" w:space="0" w:color="auto"/>
                  </w:divBdr>
                  <w:divsChild>
                    <w:div w:id="569727916">
                      <w:marLeft w:val="0"/>
                      <w:marRight w:val="0"/>
                      <w:marTop w:val="0"/>
                      <w:marBottom w:val="0"/>
                      <w:divBdr>
                        <w:top w:val="none" w:sz="0" w:space="0" w:color="auto"/>
                        <w:left w:val="none" w:sz="0" w:space="0" w:color="auto"/>
                        <w:bottom w:val="none" w:sz="0" w:space="0" w:color="auto"/>
                        <w:right w:val="none" w:sz="0" w:space="0" w:color="auto"/>
                      </w:divBdr>
                      <w:divsChild>
                        <w:div w:id="2108957629">
                          <w:marLeft w:val="0"/>
                          <w:marRight w:val="0"/>
                          <w:marTop w:val="0"/>
                          <w:marBottom w:val="0"/>
                          <w:divBdr>
                            <w:top w:val="none" w:sz="0" w:space="0" w:color="auto"/>
                            <w:left w:val="none" w:sz="0" w:space="0" w:color="auto"/>
                            <w:bottom w:val="none" w:sz="0" w:space="0" w:color="auto"/>
                            <w:right w:val="none" w:sz="0" w:space="0" w:color="auto"/>
                          </w:divBdr>
                          <w:divsChild>
                            <w:div w:id="1419907914">
                              <w:marLeft w:val="0"/>
                              <w:marRight w:val="335"/>
                              <w:marTop w:val="201"/>
                              <w:marBottom w:val="0"/>
                              <w:divBdr>
                                <w:top w:val="none" w:sz="0" w:space="0" w:color="auto"/>
                                <w:left w:val="none" w:sz="0" w:space="0" w:color="auto"/>
                                <w:bottom w:val="none" w:sz="0" w:space="0" w:color="auto"/>
                                <w:right w:val="none" w:sz="0" w:space="0" w:color="auto"/>
                              </w:divBdr>
                              <w:divsChild>
                                <w:div w:id="13689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688">
          <w:marLeft w:val="0"/>
          <w:marRight w:val="0"/>
          <w:marTop w:val="0"/>
          <w:marBottom w:val="0"/>
          <w:divBdr>
            <w:top w:val="none" w:sz="0" w:space="0" w:color="auto"/>
            <w:left w:val="none" w:sz="0" w:space="0" w:color="auto"/>
            <w:bottom w:val="none" w:sz="0" w:space="0" w:color="auto"/>
            <w:right w:val="none" w:sz="0" w:space="0" w:color="auto"/>
          </w:divBdr>
          <w:divsChild>
            <w:div w:id="41249322">
              <w:marLeft w:val="0"/>
              <w:marRight w:val="0"/>
              <w:marTop w:val="0"/>
              <w:marBottom w:val="0"/>
              <w:divBdr>
                <w:top w:val="none" w:sz="0" w:space="0" w:color="auto"/>
                <w:left w:val="none" w:sz="0" w:space="0" w:color="auto"/>
                <w:bottom w:val="none" w:sz="0" w:space="0" w:color="auto"/>
                <w:right w:val="none" w:sz="0" w:space="0" w:color="auto"/>
              </w:divBdr>
              <w:divsChild>
                <w:div w:id="1843884871">
                  <w:marLeft w:val="0"/>
                  <w:marRight w:val="0"/>
                  <w:marTop w:val="0"/>
                  <w:marBottom w:val="0"/>
                  <w:divBdr>
                    <w:top w:val="none" w:sz="0" w:space="0" w:color="auto"/>
                    <w:left w:val="none" w:sz="0" w:space="0" w:color="auto"/>
                    <w:bottom w:val="none" w:sz="0" w:space="0" w:color="auto"/>
                    <w:right w:val="none" w:sz="0" w:space="0" w:color="auto"/>
                  </w:divBdr>
                  <w:divsChild>
                    <w:div w:id="1136677743">
                      <w:marLeft w:val="0"/>
                      <w:marRight w:val="0"/>
                      <w:marTop w:val="0"/>
                      <w:marBottom w:val="0"/>
                      <w:divBdr>
                        <w:top w:val="none" w:sz="0" w:space="0" w:color="auto"/>
                        <w:left w:val="none" w:sz="0" w:space="0" w:color="auto"/>
                        <w:bottom w:val="none" w:sz="0" w:space="0" w:color="auto"/>
                        <w:right w:val="none" w:sz="0" w:space="0" w:color="auto"/>
                      </w:divBdr>
                      <w:divsChild>
                        <w:div w:id="16648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4244">
      <w:bodyDiv w:val="1"/>
      <w:marLeft w:val="0"/>
      <w:marRight w:val="0"/>
      <w:marTop w:val="0"/>
      <w:marBottom w:val="0"/>
      <w:divBdr>
        <w:top w:val="none" w:sz="0" w:space="0" w:color="auto"/>
        <w:left w:val="none" w:sz="0" w:space="0" w:color="auto"/>
        <w:bottom w:val="none" w:sz="0" w:space="0" w:color="auto"/>
        <w:right w:val="none" w:sz="0" w:space="0" w:color="auto"/>
      </w:divBdr>
    </w:div>
    <w:div w:id="380792080">
      <w:bodyDiv w:val="1"/>
      <w:marLeft w:val="0"/>
      <w:marRight w:val="0"/>
      <w:marTop w:val="0"/>
      <w:marBottom w:val="0"/>
      <w:divBdr>
        <w:top w:val="none" w:sz="0" w:space="0" w:color="auto"/>
        <w:left w:val="none" w:sz="0" w:space="0" w:color="auto"/>
        <w:bottom w:val="none" w:sz="0" w:space="0" w:color="auto"/>
        <w:right w:val="none" w:sz="0" w:space="0" w:color="auto"/>
      </w:divBdr>
    </w:div>
    <w:div w:id="476185421">
      <w:bodyDiv w:val="1"/>
      <w:marLeft w:val="0"/>
      <w:marRight w:val="0"/>
      <w:marTop w:val="0"/>
      <w:marBottom w:val="0"/>
      <w:divBdr>
        <w:top w:val="none" w:sz="0" w:space="0" w:color="auto"/>
        <w:left w:val="none" w:sz="0" w:space="0" w:color="auto"/>
        <w:bottom w:val="none" w:sz="0" w:space="0" w:color="auto"/>
        <w:right w:val="none" w:sz="0" w:space="0" w:color="auto"/>
      </w:divBdr>
    </w:div>
    <w:div w:id="713772696">
      <w:bodyDiv w:val="1"/>
      <w:marLeft w:val="0"/>
      <w:marRight w:val="0"/>
      <w:marTop w:val="0"/>
      <w:marBottom w:val="0"/>
      <w:divBdr>
        <w:top w:val="none" w:sz="0" w:space="0" w:color="auto"/>
        <w:left w:val="none" w:sz="0" w:space="0" w:color="auto"/>
        <w:bottom w:val="none" w:sz="0" w:space="0" w:color="auto"/>
        <w:right w:val="none" w:sz="0" w:space="0" w:color="auto"/>
      </w:divBdr>
      <w:divsChild>
        <w:div w:id="663356066">
          <w:marLeft w:val="0"/>
          <w:marRight w:val="0"/>
          <w:marTop w:val="0"/>
          <w:marBottom w:val="0"/>
          <w:divBdr>
            <w:top w:val="none" w:sz="0" w:space="0" w:color="auto"/>
            <w:left w:val="none" w:sz="0" w:space="0" w:color="auto"/>
            <w:bottom w:val="none" w:sz="0" w:space="0" w:color="auto"/>
            <w:right w:val="none" w:sz="0" w:space="0" w:color="auto"/>
          </w:divBdr>
          <w:divsChild>
            <w:div w:id="263459899">
              <w:marLeft w:val="0"/>
              <w:marRight w:val="0"/>
              <w:marTop w:val="0"/>
              <w:marBottom w:val="0"/>
              <w:divBdr>
                <w:top w:val="none" w:sz="0" w:space="0" w:color="auto"/>
                <w:left w:val="none" w:sz="0" w:space="0" w:color="auto"/>
                <w:bottom w:val="none" w:sz="0" w:space="0" w:color="auto"/>
                <w:right w:val="none" w:sz="0" w:space="0" w:color="auto"/>
              </w:divBdr>
              <w:divsChild>
                <w:div w:id="538737479">
                  <w:marLeft w:val="0"/>
                  <w:marRight w:val="0"/>
                  <w:marTop w:val="0"/>
                  <w:marBottom w:val="0"/>
                  <w:divBdr>
                    <w:top w:val="none" w:sz="0" w:space="0" w:color="auto"/>
                    <w:left w:val="none" w:sz="0" w:space="0" w:color="auto"/>
                    <w:bottom w:val="none" w:sz="0" w:space="0" w:color="auto"/>
                    <w:right w:val="none" w:sz="0" w:space="0" w:color="auto"/>
                  </w:divBdr>
                  <w:divsChild>
                    <w:div w:id="984893502">
                      <w:marLeft w:val="0"/>
                      <w:marRight w:val="0"/>
                      <w:marTop w:val="0"/>
                      <w:marBottom w:val="0"/>
                      <w:divBdr>
                        <w:top w:val="none" w:sz="0" w:space="0" w:color="auto"/>
                        <w:left w:val="none" w:sz="0" w:space="0" w:color="auto"/>
                        <w:bottom w:val="none" w:sz="0" w:space="0" w:color="auto"/>
                        <w:right w:val="none" w:sz="0" w:space="0" w:color="auto"/>
                      </w:divBdr>
                      <w:divsChild>
                        <w:div w:id="1898004749">
                          <w:marLeft w:val="0"/>
                          <w:marRight w:val="0"/>
                          <w:marTop w:val="0"/>
                          <w:marBottom w:val="0"/>
                          <w:divBdr>
                            <w:top w:val="none" w:sz="0" w:space="0" w:color="auto"/>
                            <w:left w:val="none" w:sz="0" w:space="0" w:color="auto"/>
                            <w:bottom w:val="none" w:sz="0" w:space="0" w:color="auto"/>
                            <w:right w:val="none" w:sz="0" w:space="0" w:color="auto"/>
                          </w:divBdr>
                          <w:divsChild>
                            <w:div w:id="991565975">
                              <w:marLeft w:val="0"/>
                              <w:marRight w:val="335"/>
                              <w:marTop w:val="201"/>
                              <w:marBottom w:val="0"/>
                              <w:divBdr>
                                <w:top w:val="none" w:sz="0" w:space="0" w:color="auto"/>
                                <w:left w:val="none" w:sz="0" w:space="0" w:color="auto"/>
                                <w:bottom w:val="none" w:sz="0" w:space="0" w:color="auto"/>
                                <w:right w:val="none" w:sz="0" w:space="0" w:color="auto"/>
                              </w:divBdr>
                              <w:divsChild>
                                <w:div w:id="1699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388559">
          <w:marLeft w:val="0"/>
          <w:marRight w:val="0"/>
          <w:marTop w:val="0"/>
          <w:marBottom w:val="0"/>
          <w:divBdr>
            <w:top w:val="none" w:sz="0" w:space="0" w:color="auto"/>
            <w:left w:val="none" w:sz="0" w:space="0" w:color="auto"/>
            <w:bottom w:val="none" w:sz="0" w:space="0" w:color="auto"/>
            <w:right w:val="none" w:sz="0" w:space="0" w:color="auto"/>
          </w:divBdr>
          <w:divsChild>
            <w:div w:id="2055688710">
              <w:marLeft w:val="0"/>
              <w:marRight w:val="0"/>
              <w:marTop w:val="0"/>
              <w:marBottom w:val="0"/>
              <w:divBdr>
                <w:top w:val="none" w:sz="0" w:space="0" w:color="auto"/>
                <w:left w:val="none" w:sz="0" w:space="0" w:color="auto"/>
                <w:bottom w:val="none" w:sz="0" w:space="0" w:color="auto"/>
                <w:right w:val="none" w:sz="0" w:space="0" w:color="auto"/>
              </w:divBdr>
              <w:divsChild>
                <w:div w:id="905922661">
                  <w:marLeft w:val="0"/>
                  <w:marRight w:val="0"/>
                  <w:marTop w:val="0"/>
                  <w:marBottom w:val="0"/>
                  <w:divBdr>
                    <w:top w:val="none" w:sz="0" w:space="0" w:color="auto"/>
                    <w:left w:val="none" w:sz="0" w:space="0" w:color="auto"/>
                    <w:bottom w:val="none" w:sz="0" w:space="0" w:color="auto"/>
                    <w:right w:val="none" w:sz="0" w:space="0" w:color="auto"/>
                  </w:divBdr>
                  <w:divsChild>
                    <w:div w:id="560405607">
                      <w:marLeft w:val="0"/>
                      <w:marRight w:val="0"/>
                      <w:marTop w:val="0"/>
                      <w:marBottom w:val="0"/>
                      <w:divBdr>
                        <w:top w:val="none" w:sz="0" w:space="0" w:color="auto"/>
                        <w:left w:val="none" w:sz="0" w:space="0" w:color="auto"/>
                        <w:bottom w:val="none" w:sz="0" w:space="0" w:color="auto"/>
                        <w:right w:val="none" w:sz="0" w:space="0" w:color="auto"/>
                      </w:divBdr>
                      <w:divsChild>
                        <w:div w:id="21302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753872">
      <w:bodyDiv w:val="1"/>
      <w:marLeft w:val="0"/>
      <w:marRight w:val="0"/>
      <w:marTop w:val="0"/>
      <w:marBottom w:val="0"/>
      <w:divBdr>
        <w:top w:val="none" w:sz="0" w:space="0" w:color="auto"/>
        <w:left w:val="none" w:sz="0" w:space="0" w:color="auto"/>
        <w:bottom w:val="none" w:sz="0" w:space="0" w:color="auto"/>
        <w:right w:val="none" w:sz="0" w:space="0" w:color="auto"/>
      </w:divBdr>
    </w:div>
    <w:div w:id="1517840539">
      <w:bodyDiv w:val="1"/>
      <w:marLeft w:val="0"/>
      <w:marRight w:val="0"/>
      <w:marTop w:val="0"/>
      <w:marBottom w:val="0"/>
      <w:divBdr>
        <w:top w:val="none" w:sz="0" w:space="0" w:color="auto"/>
        <w:left w:val="none" w:sz="0" w:space="0" w:color="auto"/>
        <w:bottom w:val="none" w:sz="0" w:space="0" w:color="auto"/>
        <w:right w:val="none" w:sz="0" w:space="0" w:color="auto"/>
      </w:divBdr>
      <w:divsChild>
        <w:div w:id="64378579">
          <w:marLeft w:val="0"/>
          <w:marRight w:val="0"/>
          <w:marTop w:val="0"/>
          <w:marBottom w:val="0"/>
          <w:divBdr>
            <w:top w:val="none" w:sz="0" w:space="0" w:color="auto"/>
            <w:left w:val="none" w:sz="0" w:space="0" w:color="auto"/>
            <w:bottom w:val="none" w:sz="0" w:space="0" w:color="auto"/>
            <w:right w:val="none" w:sz="0" w:space="0" w:color="auto"/>
          </w:divBdr>
          <w:divsChild>
            <w:div w:id="592512424">
              <w:marLeft w:val="0"/>
              <w:marRight w:val="0"/>
              <w:marTop w:val="0"/>
              <w:marBottom w:val="0"/>
              <w:divBdr>
                <w:top w:val="none" w:sz="0" w:space="0" w:color="auto"/>
                <w:left w:val="none" w:sz="0" w:space="0" w:color="auto"/>
                <w:bottom w:val="none" w:sz="0" w:space="0" w:color="auto"/>
                <w:right w:val="none" w:sz="0" w:space="0" w:color="auto"/>
              </w:divBdr>
              <w:divsChild>
                <w:div w:id="159850556">
                  <w:marLeft w:val="0"/>
                  <w:marRight w:val="0"/>
                  <w:marTop w:val="0"/>
                  <w:marBottom w:val="0"/>
                  <w:divBdr>
                    <w:top w:val="none" w:sz="0" w:space="0" w:color="auto"/>
                    <w:left w:val="none" w:sz="0" w:space="0" w:color="auto"/>
                    <w:bottom w:val="none" w:sz="0" w:space="0" w:color="auto"/>
                    <w:right w:val="none" w:sz="0" w:space="0" w:color="auto"/>
                  </w:divBdr>
                  <w:divsChild>
                    <w:div w:id="996617920">
                      <w:marLeft w:val="0"/>
                      <w:marRight w:val="0"/>
                      <w:marTop w:val="0"/>
                      <w:marBottom w:val="0"/>
                      <w:divBdr>
                        <w:top w:val="none" w:sz="0" w:space="0" w:color="auto"/>
                        <w:left w:val="none" w:sz="0" w:space="0" w:color="auto"/>
                        <w:bottom w:val="none" w:sz="0" w:space="0" w:color="auto"/>
                        <w:right w:val="none" w:sz="0" w:space="0" w:color="auto"/>
                      </w:divBdr>
                      <w:divsChild>
                        <w:div w:id="1166437325">
                          <w:marLeft w:val="0"/>
                          <w:marRight w:val="0"/>
                          <w:marTop w:val="0"/>
                          <w:marBottom w:val="0"/>
                          <w:divBdr>
                            <w:top w:val="none" w:sz="0" w:space="0" w:color="auto"/>
                            <w:left w:val="none" w:sz="0" w:space="0" w:color="auto"/>
                            <w:bottom w:val="none" w:sz="0" w:space="0" w:color="auto"/>
                            <w:right w:val="none" w:sz="0" w:space="0" w:color="auto"/>
                          </w:divBdr>
                          <w:divsChild>
                            <w:div w:id="233005108">
                              <w:marLeft w:val="0"/>
                              <w:marRight w:val="335"/>
                              <w:marTop w:val="201"/>
                              <w:marBottom w:val="0"/>
                              <w:divBdr>
                                <w:top w:val="none" w:sz="0" w:space="0" w:color="auto"/>
                                <w:left w:val="none" w:sz="0" w:space="0" w:color="auto"/>
                                <w:bottom w:val="none" w:sz="0" w:space="0" w:color="auto"/>
                                <w:right w:val="none" w:sz="0" w:space="0" w:color="auto"/>
                              </w:divBdr>
                              <w:divsChild>
                                <w:div w:id="10396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44738">
          <w:marLeft w:val="0"/>
          <w:marRight w:val="0"/>
          <w:marTop w:val="0"/>
          <w:marBottom w:val="0"/>
          <w:divBdr>
            <w:top w:val="none" w:sz="0" w:space="0" w:color="auto"/>
            <w:left w:val="none" w:sz="0" w:space="0" w:color="auto"/>
            <w:bottom w:val="none" w:sz="0" w:space="0" w:color="auto"/>
            <w:right w:val="none" w:sz="0" w:space="0" w:color="auto"/>
          </w:divBdr>
          <w:divsChild>
            <w:div w:id="37167908">
              <w:marLeft w:val="0"/>
              <w:marRight w:val="0"/>
              <w:marTop w:val="0"/>
              <w:marBottom w:val="0"/>
              <w:divBdr>
                <w:top w:val="none" w:sz="0" w:space="0" w:color="auto"/>
                <w:left w:val="none" w:sz="0" w:space="0" w:color="auto"/>
                <w:bottom w:val="none" w:sz="0" w:space="0" w:color="auto"/>
                <w:right w:val="none" w:sz="0" w:space="0" w:color="auto"/>
              </w:divBdr>
              <w:divsChild>
                <w:div w:id="1349213117">
                  <w:marLeft w:val="0"/>
                  <w:marRight w:val="0"/>
                  <w:marTop w:val="0"/>
                  <w:marBottom w:val="0"/>
                  <w:divBdr>
                    <w:top w:val="none" w:sz="0" w:space="0" w:color="auto"/>
                    <w:left w:val="none" w:sz="0" w:space="0" w:color="auto"/>
                    <w:bottom w:val="none" w:sz="0" w:space="0" w:color="auto"/>
                    <w:right w:val="none" w:sz="0" w:space="0" w:color="auto"/>
                  </w:divBdr>
                  <w:divsChild>
                    <w:div w:id="2031641055">
                      <w:marLeft w:val="0"/>
                      <w:marRight w:val="0"/>
                      <w:marTop w:val="0"/>
                      <w:marBottom w:val="0"/>
                      <w:divBdr>
                        <w:top w:val="none" w:sz="0" w:space="0" w:color="auto"/>
                        <w:left w:val="none" w:sz="0" w:space="0" w:color="auto"/>
                        <w:bottom w:val="none" w:sz="0" w:space="0" w:color="auto"/>
                        <w:right w:val="none" w:sz="0" w:space="0" w:color="auto"/>
                      </w:divBdr>
                      <w:divsChild>
                        <w:div w:id="20533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821778">
      <w:bodyDiv w:val="1"/>
      <w:marLeft w:val="0"/>
      <w:marRight w:val="0"/>
      <w:marTop w:val="0"/>
      <w:marBottom w:val="0"/>
      <w:divBdr>
        <w:top w:val="none" w:sz="0" w:space="0" w:color="auto"/>
        <w:left w:val="none" w:sz="0" w:space="0" w:color="auto"/>
        <w:bottom w:val="none" w:sz="0" w:space="0" w:color="auto"/>
        <w:right w:val="none" w:sz="0" w:space="0" w:color="auto"/>
      </w:divBdr>
    </w:div>
    <w:div w:id="1755204129">
      <w:bodyDiv w:val="1"/>
      <w:marLeft w:val="0"/>
      <w:marRight w:val="0"/>
      <w:marTop w:val="0"/>
      <w:marBottom w:val="0"/>
      <w:divBdr>
        <w:top w:val="none" w:sz="0" w:space="0" w:color="auto"/>
        <w:left w:val="none" w:sz="0" w:space="0" w:color="auto"/>
        <w:bottom w:val="none" w:sz="0" w:space="0" w:color="auto"/>
        <w:right w:val="none" w:sz="0" w:space="0" w:color="auto"/>
      </w:divBdr>
      <w:divsChild>
        <w:div w:id="815872971">
          <w:marLeft w:val="0"/>
          <w:marRight w:val="0"/>
          <w:marTop w:val="0"/>
          <w:marBottom w:val="0"/>
          <w:divBdr>
            <w:top w:val="none" w:sz="0" w:space="0" w:color="auto"/>
            <w:left w:val="none" w:sz="0" w:space="0" w:color="auto"/>
            <w:bottom w:val="none" w:sz="0" w:space="0" w:color="auto"/>
            <w:right w:val="none" w:sz="0" w:space="0" w:color="auto"/>
          </w:divBdr>
          <w:divsChild>
            <w:div w:id="1143739475">
              <w:marLeft w:val="0"/>
              <w:marRight w:val="0"/>
              <w:marTop w:val="0"/>
              <w:marBottom w:val="0"/>
              <w:divBdr>
                <w:top w:val="none" w:sz="0" w:space="0" w:color="auto"/>
                <w:left w:val="none" w:sz="0" w:space="0" w:color="auto"/>
                <w:bottom w:val="none" w:sz="0" w:space="0" w:color="auto"/>
                <w:right w:val="none" w:sz="0" w:space="0" w:color="auto"/>
              </w:divBdr>
              <w:divsChild>
                <w:div w:id="241108650">
                  <w:marLeft w:val="0"/>
                  <w:marRight w:val="0"/>
                  <w:marTop w:val="0"/>
                  <w:marBottom w:val="0"/>
                  <w:divBdr>
                    <w:top w:val="none" w:sz="0" w:space="0" w:color="auto"/>
                    <w:left w:val="none" w:sz="0" w:space="0" w:color="auto"/>
                    <w:bottom w:val="none" w:sz="0" w:space="0" w:color="auto"/>
                    <w:right w:val="none" w:sz="0" w:space="0" w:color="auto"/>
                  </w:divBdr>
                  <w:divsChild>
                    <w:div w:id="446773082">
                      <w:marLeft w:val="0"/>
                      <w:marRight w:val="0"/>
                      <w:marTop w:val="0"/>
                      <w:marBottom w:val="0"/>
                      <w:divBdr>
                        <w:top w:val="none" w:sz="0" w:space="0" w:color="auto"/>
                        <w:left w:val="none" w:sz="0" w:space="0" w:color="auto"/>
                        <w:bottom w:val="none" w:sz="0" w:space="0" w:color="auto"/>
                        <w:right w:val="none" w:sz="0" w:space="0" w:color="auto"/>
                      </w:divBdr>
                      <w:divsChild>
                        <w:div w:id="1715732634">
                          <w:marLeft w:val="0"/>
                          <w:marRight w:val="0"/>
                          <w:marTop w:val="0"/>
                          <w:marBottom w:val="0"/>
                          <w:divBdr>
                            <w:top w:val="none" w:sz="0" w:space="0" w:color="auto"/>
                            <w:left w:val="none" w:sz="0" w:space="0" w:color="auto"/>
                            <w:bottom w:val="none" w:sz="0" w:space="0" w:color="auto"/>
                            <w:right w:val="none" w:sz="0" w:space="0" w:color="auto"/>
                          </w:divBdr>
                          <w:divsChild>
                            <w:div w:id="145704173">
                              <w:marLeft w:val="0"/>
                              <w:marRight w:val="335"/>
                              <w:marTop w:val="201"/>
                              <w:marBottom w:val="0"/>
                              <w:divBdr>
                                <w:top w:val="none" w:sz="0" w:space="0" w:color="auto"/>
                                <w:left w:val="none" w:sz="0" w:space="0" w:color="auto"/>
                                <w:bottom w:val="none" w:sz="0" w:space="0" w:color="auto"/>
                                <w:right w:val="none" w:sz="0" w:space="0" w:color="auto"/>
                              </w:divBdr>
                              <w:divsChild>
                                <w:div w:id="17575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374468">
          <w:marLeft w:val="0"/>
          <w:marRight w:val="0"/>
          <w:marTop w:val="0"/>
          <w:marBottom w:val="0"/>
          <w:divBdr>
            <w:top w:val="none" w:sz="0" w:space="0" w:color="auto"/>
            <w:left w:val="none" w:sz="0" w:space="0" w:color="auto"/>
            <w:bottom w:val="none" w:sz="0" w:space="0" w:color="auto"/>
            <w:right w:val="none" w:sz="0" w:space="0" w:color="auto"/>
          </w:divBdr>
          <w:divsChild>
            <w:div w:id="936988844">
              <w:marLeft w:val="0"/>
              <w:marRight w:val="0"/>
              <w:marTop w:val="0"/>
              <w:marBottom w:val="0"/>
              <w:divBdr>
                <w:top w:val="none" w:sz="0" w:space="0" w:color="auto"/>
                <w:left w:val="none" w:sz="0" w:space="0" w:color="auto"/>
                <w:bottom w:val="none" w:sz="0" w:space="0" w:color="auto"/>
                <w:right w:val="none" w:sz="0" w:space="0" w:color="auto"/>
              </w:divBdr>
              <w:divsChild>
                <w:div w:id="85276003">
                  <w:marLeft w:val="0"/>
                  <w:marRight w:val="0"/>
                  <w:marTop w:val="0"/>
                  <w:marBottom w:val="0"/>
                  <w:divBdr>
                    <w:top w:val="none" w:sz="0" w:space="0" w:color="auto"/>
                    <w:left w:val="none" w:sz="0" w:space="0" w:color="auto"/>
                    <w:bottom w:val="none" w:sz="0" w:space="0" w:color="auto"/>
                    <w:right w:val="none" w:sz="0" w:space="0" w:color="auto"/>
                  </w:divBdr>
                  <w:divsChild>
                    <w:div w:id="399452123">
                      <w:marLeft w:val="0"/>
                      <w:marRight w:val="0"/>
                      <w:marTop w:val="0"/>
                      <w:marBottom w:val="0"/>
                      <w:divBdr>
                        <w:top w:val="none" w:sz="0" w:space="0" w:color="auto"/>
                        <w:left w:val="none" w:sz="0" w:space="0" w:color="auto"/>
                        <w:bottom w:val="none" w:sz="0" w:space="0" w:color="auto"/>
                        <w:right w:val="none" w:sz="0" w:space="0" w:color="auto"/>
                      </w:divBdr>
                      <w:divsChild>
                        <w:div w:id="19742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0F89F-FAD7-2B48-B020-14398631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13</Pages>
  <Words>6189</Words>
  <Characters>35280</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seda kulu</cp:lastModifiedBy>
  <cp:revision>26</cp:revision>
  <dcterms:created xsi:type="dcterms:W3CDTF">2019-06-14T21:35:00Z</dcterms:created>
  <dcterms:modified xsi:type="dcterms:W3CDTF">2019-09-24T12:02:00Z</dcterms:modified>
</cp:coreProperties>
</file>